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EACC4" w14:textId="77777777" w:rsidR="00F53206" w:rsidRPr="00341ED2" w:rsidRDefault="00F53206" w:rsidP="000F393F">
      <w:pPr>
        <w:widowControl w:val="0"/>
        <w:tabs>
          <w:tab w:val="left" w:pos="2149"/>
        </w:tabs>
        <w:autoSpaceDE w:val="0"/>
        <w:autoSpaceDN w:val="0"/>
        <w:adjustRightInd w:val="0"/>
        <w:ind w:right="-91"/>
        <w:jc w:val="center"/>
        <w:outlineLvl w:val="0"/>
        <w:rPr>
          <w:b/>
          <w:bCs/>
          <w:lang w:val="es-ES_tradnl"/>
        </w:rPr>
      </w:pPr>
      <w:r w:rsidRPr="00341ED2">
        <w:rPr>
          <w:b/>
          <w:bCs/>
          <w:lang w:val="es-ES_tradnl"/>
        </w:rPr>
        <w:t>REPÚBLICA DE COLOMBIA</w:t>
      </w:r>
    </w:p>
    <w:p w14:paraId="0256AB61" w14:textId="77777777" w:rsidR="00F53206" w:rsidRPr="00341ED2" w:rsidRDefault="00F53206" w:rsidP="000F393F">
      <w:pPr>
        <w:widowControl w:val="0"/>
        <w:autoSpaceDE w:val="0"/>
        <w:autoSpaceDN w:val="0"/>
        <w:adjustRightInd w:val="0"/>
        <w:ind w:right="-91"/>
        <w:jc w:val="center"/>
        <w:rPr>
          <w:b/>
          <w:bCs/>
          <w:lang w:val="es-ES_tradnl"/>
        </w:rPr>
      </w:pPr>
      <w:r w:rsidRPr="00341ED2">
        <w:rPr>
          <w:noProof/>
          <w:szCs w:val="28"/>
          <w:lang w:val="es-CO" w:eastAsia="es-CO"/>
        </w:rPr>
        <w:drawing>
          <wp:inline distT="0" distB="0" distL="0" distR="0" wp14:anchorId="31EC09AA" wp14:editId="473B7B60">
            <wp:extent cx="790575" cy="790575"/>
            <wp:effectExtent l="0" t="0" r="0" b="0"/>
            <wp:docPr id="3" name="Picture 2"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2"/>
                    <a:srcRect/>
                    <a:stretch>
                      <a:fillRect/>
                    </a:stretch>
                  </pic:blipFill>
                  <pic:spPr>
                    <a:xfrm>
                      <a:off x="0" y="0"/>
                      <a:ext cx="790575" cy="790575"/>
                    </a:xfrm>
                    <a:prstGeom prst="rect">
                      <a:avLst/>
                    </a:prstGeom>
                    <a:ln/>
                  </pic:spPr>
                </pic:pic>
              </a:graphicData>
            </a:graphic>
          </wp:inline>
        </w:drawing>
      </w:r>
    </w:p>
    <w:p w14:paraId="51F9695A" w14:textId="77777777" w:rsidR="00F53206" w:rsidRPr="00341ED2" w:rsidRDefault="00F53206" w:rsidP="000F393F">
      <w:pPr>
        <w:widowControl w:val="0"/>
        <w:autoSpaceDE w:val="0"/>
        <w:autoSpaceDN w:val="0"/>
        <w:adjustRightInd w:val="0"/>
        <w:ind w:right="-91"/>
        <w:jc w:val="center"/>
        <w:outlineLvl w:val="0"/>
        <w:rPr>
          <w:b/>
          <w:bCs/>
          <w:lang w:val="es-ES_tradnl"/>
        </w:rPr>
      </w:pPr>
      <w:r w:rsidRPr="00341ED2">
        <w:rPr>
          <w:b/>
          <w:bCs/>
          <w:lang w:val="es-ES_tradnl"/>
        </w:rPr>
        <w:t>CORTE CONSTITUCIONAL</w:t>
      </w:r>
    </w:p>
    <w:p w14:paraId="684B759D" w14:textId="77777777" w:rsidR="00F53206" w:rsidRPr="00341ED2" w:rsidRDefault="00F53206" w:rsidP="000F393F">
      <w:pPr>
        <w:widowControl w:val="0"/>
        <w:autoSpaceDE w:val="0"/>
        <w:autoSpaceDN w:val="0"/>
        <w:adjustRightInd w:val="0"/>
        <w:ind w:right="-91"/>
        <w:jc w:val="center"/>
        <w:outlineLvl w:val="0"/>
        <w:rPr>
          <w:b/>
          <w:bCs/>
          <w:lang w:val="es-ES_tradnl"/>
        </w:rPr>
      </w:pPr>
      <w:r w:rsidRPr="00341ED2">
        <w:rPr>
          <w:b/>
          <w:bCs/>
          <w:lang w:val="es-ES_tradnl"/>
        </w:rPr>
        <w:t>Sala Octava de Revisión</w:t>
      </w:r>
    </w:p>
    <w:p w14:paraId="31ABA326" w14:textId="77777777" w:rsidR="00F53206" w:rsidRPr="00341ED2" w:rsidRDefault="00F53206" w:rsidP="000F393F">
      <w:pPr>
        <w:ind w:right="20"/>
        <w:contextualSpacing/>
        <w:rPr>
          <w:b/>
          <w:szCs w:val="28"/>
          <w:lang w:val="es-CO" w:eastAsia="es-ES"/>
        </w:rPr>
      </w:pPr>
    </w:p>
    <w:p w14:paraId="17BEF677" w14:textId="02753991" w:rsidR="00635DC9" w:rsidRPr="00341ED2" w:rsidRDefault="00635DC9" w:rsidP="000F393F">
      <w:pPr>
        <w:ind w:left="708" w:right="20" w:hanging="708"/>
        <w:contextualSpacing/>
        <w:jc w:val="center"/>
        <w:rPr>
          <w:b/>
          <w:szCs w:val="28"/>
          <w:lang w:val="es-CO" w:eastAsia="es-ES"/>
        </w:rPr>
      </w:pPr>
      <w:r w:rsidRPr="00341ED2">
        <w:rPr>
          <w:b/>
          <w:szCs w:val="28"/>
          <w:lang w:val="es-CO" w:eastAsia="es-ES"/>
        </w:rPr>
        <w:t xml:space="preserve">Sentencia </w:t>
      </w:r>
      <w:r w:rsidR="00A340C8">
        <w:rPr>
          <w:b/>
          <w:szCs w:val="28"/>
          <w:lang w:val="es-CO" w:eastAsia="es-ES"/>
        </w:rPr>
        <w:t>T-269</w:t>
      </w:r>
      <w:r w:rsidRPr="00341ED2">
        <w:rPr>
          <w:b/>
          <w:szCs w:val="28"/>
          <w:lang w:val="es-CO" w:eastAsia="es-ES"/>
        </w:rPr>
        <w:t xml:space="preserve"> de 202</w:t>
      </w:r>
      <w:r w:rsidR="00F53206" w:rsidRPr="00341ED2">
        <w:rPr>
          <w:b/>
          <w:szCs w:val="28"/>
          <w:lang w:val="es-CO" w:eastAsia="es-ES"/>
        </w:rPr>
        <w:t>4</w:t>
      </w:r>
    </w:p>
    <w:p w14:paraId="071CC4D6" w14:textId="77777777" w:rsidR="00635DC9" w:rsidRPr="00341ED2" w:rsidRDefault="00635DC9" w:rsidP="000F393F">
      <w:pPr>
        <w:ind w:right="20"/>
        <w:contextualSpacing/>
        <w:rPr>
          <w:szCs w:val="28"/>
          <w:lang w:val="es-CO" w:eastAsia="es-ES"/>
        </w:rPr>
      </w:pPr>
    </w:p>
    <w:p w14:paraId="46B0A626" w14:textId="30469541" w:rsidR="00F53206" w:rsidRPr="00341ED2" w:rsidRDefault="00635DC9" w:rsidP="000F393F">
      <w:pPr>
        <w:ind w:left="3969" w:right="20"/>
        <w:contextualSpacing/>
        <w:rPr>
          <w:szCs w:val="28"/>
          <w:lang w:eastAsia="es-ES"/>
        </w:rPr>
      </w:pPr>
      <w:r w:rsidRPr="00341ED2">
        <w:rPr>
          <w:b/>
          <w:bCs/>
          <w:szCs w:val="28"/>
          <w:lang w:val="es-CO" w:eastAsia="es-ES"/>
        </w:rPr>
        <w:t>Referencia:</w:t>
      </w:r>
      <w:r w:rsidRPr="00341ED2">
        <w:rPr>
          <w:szCs w:val="28"/>
          <w:lang w:val="es-CO" w:eastAsia="es-ES"/>
        </w:rPr>
        <w:t xml:space="preserve"> </w:t>
      </w:r>
      <w:bookmarkStart w:id="0" w:name="_Hlk512762962"/>
      <w:r w:rsidRPr="00341ED2">
        <w:rPr>
          <w:szCs w:val="28"/>
          <w:lang w:eastAsia="es-ES"/>
        </w:rPr>
        <w:t>Expediente</w:t>
      </w:r>
      <w:bookmarkEnd w:id="0"/>
      <w:r w:rsidRPr="00341ED2">
        <w:rPr>
          <w:szCs w:val="28"/>
          <w:lang w:eastAsia="es-ES"/>
        </w:rPr>
        <w:t xml:space="preserve"> </w:t>
      </w:r>
      <w:r w:rsidR="00F53206" w:rsidRPr="00341ED2">
        <w:rPr>
          <w:szCs w:val="28"/>
          <w:lang w:eastAsia="es-ES"/>
        </w:rPr>
        <w:t>T</w:t>
      </w:r>
      <w:bookmarkStart w:id="1" w:name="_Hlk506735133"/>
      <w:bookmarkStart w:id="2" w:name="_Hlk500521467"/>
      <w:r w:rsidR="005045AD" w:rsidRPr="00341ED2">
        <w:rPr>
          <w:rFonts w:eastAsia="Calibri"/>
          <w:szCs w:val="28"/>
          <w:lang w:eastAsia="es-ES"/>
        </w:rPr>
        <w:t>-9.</w:t>
      </w:r>
      <w:r w:rsidR="00800C05">
        <w:rPr>
          <w:rFonts w:eastAsia="Calibri"/>
          <w:szCs w:val="28"/>
          <w:lang w:eastAsia="es-ES"/>
        </w:rPr>
        <w:t>701</w:t>
      </w:r>
      <w:r w:rsidR="005045AD" w:rsidRPr="00341ED2">
        <w:rPr>
          <w:rFonts w:eastAsia="Calibri"/>
          <w:szCs w:val="28"/>
          <w:lang w:eastAsia="es-ES"/>
        </w:rPr>
        <w:t>.</w:t>
      </w:r>
      <w:r w:rsidR="00800C05">
        <w:rPr>
          <w:rFonts w:eastAsia="Calibri"/>
          <w:szCs w:val="28"/>
          <w:lang w:eastAsia="es-ES"/>
        </w:rPr>
        <w:t>567</w:t>
      </w:r>
    </w:p>
    <w:p w14:paraId="793FA407" w14:textId="77777777" w:rsidR="00F53206" w:rsidRPr="00341ED2" w:rsidRDefault="00F53206" w:rsidP="000F393F">
      <w:pPr>
        <w:ind w:left="3969" w:right="20"/>
        <w:contextualSpacing/>
        <w:rPr>
          <w:b/>
          <w:bCs/>
          <w:spacing w:val="-2"/>
          <w:szCs w:val="28"/>
          <w:lang w:val="es-CO"/>
        </w:rPr>
      </w:pPr>
      <w:bookmarkStart w:id="3" w:name="_GoBack"/>
      <w:bookmarkEnd w:id="3"/>
    </w:p>
    <w:p w14:paraId="1BE933FB" w14:textId="3507AEC9" w:rsidR="00F53206" w:rsidRPr="00341ED2" w:rsidRDefault="00F53206" w:rsidP="00D664E1">
      <w:pPr>
        <w:ind w:left="3969" w:right="20"/>
        <w:contextualSpacing/>
        <w:rPr>
          <w:spacing w:val="-2"/>
          <w:szCs w:val="28"/>
        </w:rPr>
      </w:pPr>
      <w:r w:rsidRPr="00341ED2">
        <w:rPr>
          <w:b/>
          <w:bCs/>
          <w:spacing w:val="-2"/>
          <w:szCs w:val="28"/>
          <w:lang w:val="es-CO"/>
        </w:rPr>
        <w:t>Asunto:</w:t>
      </w:r>
      <w:r w:rsidRPr="00341ED2">
        <w:rPr>
          <w:spacing w:val="-2"/>
          <w:szCs w:val="28"/>
          <w:lang w:val="es-CO"/>
        </w:rPr>
        <w:t xml:space="preserve"> </w:t>
      </w:r>
      <w:r w:rsidR="00D664E1" w:rsidRPr="00341ED2">
        <w:rPr>
          <w:spacing w:val="-2"/>
          <w:szCs w:val="28"/>
        </w:rPr>
        <w:t xml:space="preserve">Acción de tutela presentada por </w:t>
      </w:r>
      <w:bookmarkStart w:id="4" w:name="_Hlk172647920"/>
      <w:r w:rsidR="0027314C">
        <w:rPr>
          <w:i/>
          <w:iCs/>
          <w:spacing w:val="-2"/>
          <w:szCs w:val="28"/>
        </w:rPr>
        <w:t>Amalia</w:t>
      </w:r>
      <w:bookmarkEnd w:id="4"/>
      <w:r w:rsidR="007D0E40">
        <w:rPr>
          <w:spacing w:val="-2"/>
          <w:szCs w:val="28"/>
        </w:rPr>
        <w:t xml:space="preserve"> </w:t>
      </w:r>
      <w:r w:rsidR="00D664E1" w:rsidRPr="00341ED2">
        <w:rPr>
          <w:spacing w:val="-2"/>
          <w:szCs w:val="28"/>
        </w:rPr>
        <w:t xml:space="preserve">contra </w:t>
      </w:r>
      <w:r w:rsidR="00864785">
        <w:rPr>
          <w:spacing w:val="-2"/>
          <w:szCs w:val="28"/>
        </w:rPr>
        <w:t>el Tribunal Administrativo de Norte de Santander</w:t>
      </w:r>
      <w:r w:rsidRPr="00341ED2">
        <w:rPr>
          <w:spacing w:val="-2"/>
          <w:szCs w:val="28"/>
          <w:lang w:val="es-CO"/>
        </w:rPr>
        <w:t>.</w:t>
      </w:r>
    </w:p>
    <w:p w14:paraId="75128A51" w14:textId="77777777" w:rsidR="00635DC9" w:rsidRPr="00341ED2" w:rsidRDefault="00635DC9" w:rsidP="000F393F">
      <w:pPr>
        <w:ind w:right="20"/>
        <w:contextualSpacing/>
        <w:rPr>
          <w:szCs w:val="28"/>
          <w:lang w:eastAsia="es-ES"/>
        </w:rPr>
      </w:pPr>
      <w:r w:rsidRPr="00341ED2">
        <w:rPr>
          <w:szCs w:val="28"/>
          <w:lang w:eastAsia="es-ES"/>
        </w:rPr>
        <w:t xml:space="preserve">  </w:t>
      </w:r>
    </w:p>
    <w:bookmarkEnd w:id="1"/>
    <w:bookmarkEnd w:id="2"/>
    <w:p w14:paraId="635149D2" w14:textId="77777777" w:rsidR="00635DC9" w:rsidRPr="00341ED2" w:rsidRDefault="00635DC9" w:rsidP="000F393F">
      <w:pPr>
        <w:ind w:left="3969" w:right="20"/>
        <w:contextualSpacing/>
        <w:rPr>
          <w:b/>
          <w:bCs/>
          <w:szCs w:val="28"/>
          <w:lang w:val="es-CO" w:eastAsia="es-ES"/>
        </w:rPr>
      </w:pPr>
      <w:r w:rsidRPr="00341ED2">
        <w:rPr>
          <w:b/>
          <w:bCs/>
          <w:szCs w:val="28"/>
          <w:lang w:val="es-CO" w:eastAsia="es-ES"/>
        </w:rPr>
        <w:t>Magistrada Ponente:</w:t>
      </w:r>
    </w:p>
    <w:p w14:paraId="4089FBFE" w14:textId="77777777" w:rsidR="00635DC9" w:rsidRPr="00341ED2" w:rsidRDefault="00635DC9" w:rsidP="000F393F">
      <w:pPr>
        <w:keepNext/>
        <w:ind w:left="3969" w:right="20"/>
        <w:contextualSpacing/>
        <w:outlineLvl w:val="1"/>
        <w:rPr>
          <w:szCs w:val="28"/>
          <w:lang w:val="es-CO" w:eastAsia="es-ES"/>
        </w:rPr>
      </w:pPr>
      <w:r w:rsidRPr="00341ED2">
        <w:rPr>
          <w:szCs w:val="28"/>
          <w:lang w:val="es-CO" w:eastAsia="es-ES"/>
        </w:rPr>
        <w:t>CRISTINA PARDO SCHLESINGER</w:t>
      </w:r>
    </w:p>
    <w:p w14:paraId="5BD454FD" w14:textId="77777777" w:rsidR="00635DC9" w:rsidRPr="00341ED2" w:rsidRDefault="00635DC9" w:rsidP="000F393F">
      <w:pPr>
        <w:ind w:right="20"/>
        <w:contextualSpacing/>
        <w:rPr>
          <w:szCs w:val="28"/>
          <w:lang w:val="es-CO" w:eastAsia="es-ES"/>
        </w:rPr>
      </w:pPr>
    </w:p>
    <w:p w14:paraId="036DD634" w14:textId="0662BCC3" w:rsidR="00450555" w:rsidRPr="00341ED2" w:rsidRDefault="00635DC9" w:rsidP="000F393F">
      <w:pPr>
        <w:rPr>
          <w:szCs w:val="28"/>
          <w:lang w:val="es-CO" w:eastAsia="es-ES"/>
        </w:rPr>
      </w:pPr>
      <w:r w:rsidRPr="00341ED2">
        <w:rPr>
          <w:szCs w:val="28"/>
          <w:lang w:val="es-CO" w:eastAsia="es-ES"/>
        </w:rPr>
        <w:t xml:space="preserve">Bogotá D.C., </w:t>
      </w:r>
      <w:r w:rsidR="00A340C8">
        <w:rPr>
          <w:szCs w:val="28"/>
          <w:lang w:val="es-CO" w:eastAsia="es-ES"/>
        </w:rPr>
        <w:t>diez</w:t>
      </w:r>
      <w:r w:rsidRPr="00341ED2">
        <w:rPr>
          <w:szCs w:val="28"/>
          <w:lang w:val="es-CO" w:eastAsia="es-ES"/>
        </w:rPr>
        <w:t xml:space="preserve"> (</w:t>
      </w:r>
      <w:r w:rsidR="00A340C8">
        <w:rPr>
          <w:szCs w:val="28"/>
          <w:lang w:val="es-CO" w:eastAsia="es-ES"/>
        </w:rPr>
        <w:t>10</w:t>
      </w:r>
      <w:r w:rsidRPr="00341ED2">
        <w:rPr>
          <w:szCs w:val="28"/>
          <w:lang w:val="es-CO" w:eastAsia="es-ES"/>
        </w:rPr>
        <w:t xml:space="preserve">) de </w:t>
      </w:r>
      <w:r w:rsidR="00A340C8">
        <w:rPr>
          <w:szCs w:val="28"/>
          <w:lang w:val="es-CO" w:eastAsia="es-ES"/>
        </w:rPr>
        <w:t>julio</w:t>
      </w:r>
      <w:r w:rsidRPr="00341ED2">
        <w:rPr>
          <w:szCs w:val="28"/>
          <w:lang w:val="es-CO" w:eastAsia="es-ES"/>
        </w:rPr>
        <w:t xml:space="preserve"> de dos mil </w:t>
      </w:r>
      <w:r w:rsidR="00F53206" w:rsidRPr="00341ED2">
        <w:rPr>
          <w:szCs w:val="28"/>
          <w:lang w:val="es-CO" w:eastAsia="es-ES"/>
        </w:rPr>
        <w:t>veinticuatro</w:t>
      </w:r>
      <w:r w:rsidRPr="00341ED2">
        <w:rPr>
          <w:szCs w:val="28"/>
          <w:lang w:val="es-CO" w:eastAsia="es-ES"/>
        </w:rPr>
        <w:t xml:space="preserve"> (202</w:t>
      </w:r>
      <w:r w:rsidR="00F53206" w:rsidRPr="00341ED2">
        <w:rPr>
          <w:szCs w:val="28"/>
          <w:lang w:val="es-CO" w:eastAsia="es-ES"/>
        </w:rPr>
        <w:t>4</w:t>
      </w:r>
      <w:r w:rsidRPr="00341ED2">
        <w:rPr>
          <w:szCs w:val="28"/>
          <w:lang w:val="es-CO" w:eastAsia="es-ES"/>
        </w:rPr>
        <w:t>)</w:t>
      </w:r>
    </w:p>
    <w:p w14:paraId="6ADA3991" w14:textId="77777777" w:rsidR="00635DC9" w:rsidRPr="00341ED2" w:rsidRDefault="00635DC9" w:rsidP="000F393F">
      <w:pPr>
        <w:rPr>
          <w:szCs w:val="28"/>
          <w:lang w:val="es-CO" w:eastAsia="es-ES"/>
        </w:rPr>
      </w:pPr>
    </w:p>
    <w:p w14:paraId="7FE46FB1" w14:textId="7A8EBF93" w:rsidR="00635DC9" w:rsidRPr="00341ED2" w:rsidRDefault="00635DC9" w:rsidP="000F393F">
      <w:pPr>
        <w:ind w:right="20"/>
        <w:contextualSpacing/>
        <w:rPr>
          <w:szCs w:val="28"/>
          <w:lang w:val="es-CO" w:eastAsia="es-ES"/>
        </w:rPr>
      </w:pPr>
      <w:r w:rsidRPr="00341ED2">
        <w:rPr>
          <w:bCs/>
          <w:szCs w:val="28"/>
        </w:rPr>
        <w:t xml:space="preserve">La Sala </w:t>
      </w:r>
      <w:r w:rsidR="00375751" w:rsidRPr="00341ED2">
        <w:rPr>
          <w:bCs/>
          <w:szCs w:val="28"/>
        </w:rPr>
        <w:t>Octava</w:t>
      </w:r>
      <w:r w:rsidRPr="00341ED2">
        <w:rPr>
          <w:bCs/>
          <w:szCs w:val="28"/>
        </w:rPr>
        <w:t xml:space="preserve"> de Revisión de tutelas de la Corte Constitucional, </w:t>
      </w:r>
      <w:r w:rsidRPr="00341ED2">
        <w:rPr>
          <w:szCs w:val="28"/>
        </w:rPr>
        <w:t xml:space="preserve">integrada por las magistradas Cristina Pardo </w:t>
      </w:r>
      <w:proofErr w:type="spellStart"/>
      <w:r w:rsidRPr="00341ED2">
        <w:rPr>
          <w:szCs w:val="28"/>
        </w:rPr>
        <w:t>Schlesinger</w:t>
      </w:r>
      <w:proofErr w:type="spellEnd"/>
      <w:r w:rsidRPr="00341ED2">
        <w:rPr>
          <w:szCs w:val="28"/>
        </w:rPr>
        <w:t xml:space="preserve"> –quien la preside– y Natalia Ángel Cabo, y por el magistrado José Fernando Reyes Cuartas, en ejercicio de sus competencias constitucionales y legales, </w:t>
      </w:r>
      <w:r w:rsidRPr="00341ED2">
        <w:rPr>
          <w:szCs w:val="28"/>
          <w:lang w:val="es-CO" w:eastAsia="es-ES"/>
        </w:rPr>
        <w:t>específicamente las previstas en los artículos 86 y 241 numeral 9º de la Constitución Política, ha proferido la siguiente:</w:t>
      </w:r>
    </w:p>
    <w:p w14:paraId="799DD1DB" w14:textId="77777777" w:rsidR="00635DC9" w:rsidRPr="00341ED2" w:rsidRDefault="00635DC9" w:rsidP="000F393F">
      <w:pPr>
        <w:ind w:right="20"/>
        <w:contextualSpacing/>
        <w:jc w:val="center"/>
        <w:rPr>
          <w:bCs/>
          <w:szCs w:val="28"/>
          <w:lang w:val="es-CO" w:eastAsia="es-ES"/>
        </w:rPr>
      </w:pPr>
    </w:p>
    <w:p w14:paraId="3688C8CD" w14:textId="77777777" w:rsidR="00635DC9" w:rsidRPr="00341ED2" w:rsidRDefault="00635DC9" w:rsidP="000F393F">
      <w:pPr>
        <w:ind w:right="20"/>
        <w:contextualSpacing/>
        <w:jc w:val="center"/>
        <w:rPr>
          <w:b/>
          <w:szCs w:val="28"/>
          <w:lang w:val="es-CO" w:eastAsia="es-ES"/>
        </w:rPr>
      </w:pPr>
      <w:r w:rsidRPr="00341ED2">
        <w:rPr>
          <w:b/>
          <w:szCs w:val="28"/>
          <w:lang w:val="es-CO" w:eastAsia="es-ES"/>
        </w:rPr>
        <w:t>SENTENCIA</w:t>
      </w:r>
    </w:p>
    <w:p w14:paraId="504787E7" w14:textId="63359231" w:rsidR="00F53206" w:rsidRPr="00341ED2" w:rsidRDefault="00F53206" w:rsidP="000F393F">
      <w:pPr>
        <w:pStyle w:val="Sinespaciado"/>
        <w:numPr>
          <w:ilvl w:val="0"/>
          <w:numId w:val="0"/>
        </w:numPr>
      </w:pPr>
    </w:p>
    <w:p w14:paraId="7D4EAA12" w14:textId="1C14A581" w:rsidR="00F53206" w:rsidRPr="00341ED2" w:rsidRDefault="00F53206" w:rsidP="000F393F">
      <w:pPr>
        <w:rPr>
          <w:szCs w:val="28"/>
        </w:rPr>
      </w:pPr>
      <w:r w:rsidRPr="00341ED2">
        <w:rPr>
          <w:szCs w:val="28"/>
        </w:rPr>
        <w:t xml:space="preserve">En el proceso de revisión de los fallos proferidos el </w:t>
      </w:r>
      <w:bookmarkStart w:id="5" w:name="_Hlk107412220"/>
      <w:r w:rsidR="00812E01" w:rsidRPr="00341ED2">
        <w:rPr>
          <w:rFonts w:eastAsia="Calibri"/>
          <w:bCs/>
          <w:iCs/>
          <w:szCs w:val="28"/>
          <w:lang w:eastAsia="es-ES"/>
        </w:rPr>
        <w:t>2 de junio</w:t>
      </w:r>
      <w:r w:rsidRPr="00341ED2">
        <w:rPr>
          <w:rFonts w:eastAsia="Calibri"/>
          <w:bCs/>
          <w:iCs/>
          <w:szCs w:val="28"/>
          <w:lang w:eastAsia="es-ES"/>
        </w:rPr>
        <w:t xml:space="preserve"> de </w:t>
      </w:r>
      <w:bookmarkEnd w:id="5"/>
      <w:r w:rsidR="00812E01" w:rsidRPr="00341ED2">
        <w:rPr>
          <w:rFonts w:eastAsia="Calibri"/>
          <w:bCs/>
          <w:iCs/>
          <w:szCs w:val="28"/>
          <w:lang w:eastAsia="es-ES"/>
        </w:rPr>
        <w:t>2023</w:t>
      </w:r>
      <w:r w:rsidRPr="00341ED2">
        <w:rPr>
          <w:rFonts w:eastAsia="Calibri"/>
          <w:bCs/>
          <w:iCs/>
          <w:szCs w:val="28"/>
          <w:lang w:eastAsia="es-ES"/>
        </w:rPr>
        <w:t xml:space="preserve"> </w:t>
      </w:r>
      <w:r w:rsidRPr="00341ED2">
        <w:rPr>
          <w:szCs w:val="28"/>
        </w:rPr>
        <w:t xml:space="preserve">por </w:t>
      </w:r>
      <w:r w:rsidR="00812E01" w:rsidRPr="00341ED2">
        <w:rPr>
          <w:szCs w:val="28"/>
        </w:rPr>
        <w:t>la Subsección A de la Sección Tercera del Consejo de Estado y el 24 de agosto del mismo año por la Sección Quinta del Consejo de Estado</w:t>
      </w:r>
      <w:r w:rsidRPr="00341ED2">
        <w:rPr>
          <w:szCs w:val="28"/>
        </w:rPr>
        <w:t xml:space="preserve">, en primera y segunda instancia respectivamente, dentro del trámite acción de tutela promovido por </w:t>
      </w:r>
      <w:r w:rsidR="00B8660C">
        <w:rPr>
          <w:i/>
          <w:iCs/>
          <w:spacing w:val="-2"/>
          <w:szCs w:val="28"/>
        </w:rPr>
        <w:t>Amalia</w:t>
      </w:r>
      <w:r w:rsidR="00812E01" w:rsidRPr="00341ED2">
        <w:rPr>
          <w:szCs w:val="28"/>
        </w:rPr>
        <w:t xml:space="preserve"> en contra del Tribunal Administrativo de Norte de Santander.</w:t>
      </w:r>
      <w:r w:rsidR="00812E01" w:rsidRPr="00341ED2">
        <w:rPr>
          <w:rStyle w:val="Refdenotaalpie"/>
          <w:szCs w:val="28"/>
        </w:rPr>
        <w:footnoteReference w:id="1"/>
      </w:r>
    </w:p>
    <w:p w14:paraId="57CA2190" w14:textId="77777777" w:rsidR="004B4130" w:rsidRPr="00341ED2" w:rsidRDefault="004B4130" w:rsidP="000F393F">
      <w:pPr>
        <w:rPr>
          <w:szCs w:val="28"/>
        </w:rPr>
      </w:pPr>
    </w:p>
    <w:p w14:paraId="42DEEDA5" w14:textId="0AF13733" w:rsidR="003614D5" w:rsidRPr="00341ED2" w:rsidRDefault="003614D5" w:rsidP="00FF343B">
      <w:pPr>
        <w:pStyle w:val="Sinespaciado"/>
        <w:numPr>
          <w:ilvl w:val="0"/>
          <w:numId w:val="0"/>
        </w:numPr>
      </w:pPr>
      <w:r w:rsidRPr="00341ED2">
        <w:t xml:space="preserve">Aclaración previa </w:t>
      </w:r>
    </w:p>
    <w:p w14:paraId="1563D202" w14:textId="4104E5E2" w:rsidR="001157DF" w:rsidRPr="00341ED2" w:rsidRDefault="001157DF" w:rsidP="000F393F">
      <w:pPr>
        <w:pStyle w:val="Sinespaciado"/>
        <w:numPr>
          <w:ilvl w:val="0"/>
          <w:numId w:val="0"/>
        </w:numPr>
        <w:rPr>
          <w:b w:val="0"/>
          <w:bCs w:val="0"/>
          <w:szCs w:val="28"/>
          <w:shd w:val="clear" w:color="auto" w:fill="FFFFFF"/>
        </w:rPr>
      </w:pPr>
      <w:r w:rsidRPr="00341ED2">
        <w:rPr>
          <w:b w:val="0"/>
          <w:bCs w:val="0"/>
          <w:szCs w:val="28"/>
          <w:shd w:val="clear" w:color="auto" w:fill="FFFFFF"/>
        </w:rPr>
        <w:t xml:space="preserve">Con fundamento en el artículo 62 del Acuerdo 02 de 2015 (Reglamento de la Corte Constitucional) y en la Circular 10 de 2022 de esta Corte, dado que el asunto de la referencia involucra temas sensibles relacionados con la salud </w:t>
      </w:r>
      <w:r w:rsidR="00BF39FD" w:rsidRPr="00341ED2">
        <w:rPr>
          <w:b w:val="0"/>
          <w:bCs w:val="0"/>
          <w:szCs w:val="28"/>
          <w:shd w:val="clear" w:color="auto" w:fill="FFFFFF"/>
        </w:rPr>
        <w:t xml:space="preserve">e historia clínica </w:t>
      </w:r>
      <w:r w:rsidRPr="00341ED2">
        <w:rPr>
          <w:b w:val="0"/>
          <w:bCs w:val="0"/>
          <w:szCs w:val="28"/>
          <w:shd w:val="clear" w:color="auto" w:fill="FFFFFF"/>
        </w:rPr>
        <w:t>de</w:t>
      </w:r>
      <w:r w:rsidR="00DE464A" w:rsidRPr="00341ED2">
        <w:rPr>
          <w:b w:val="0"/>
          <w:bCs w:val="0"/>
          <w:szCs w:val="28"/>
          <w:shd w:val="clear" w:color="auto" w:fill="FFFFFF"/>
        </w:rPr>
        <w:t>l hijo de</w:t>
      </w:r>
      <w:r w:rsidR="00CF7011" w:rsidRPr="00341ED2">
        <w:rPr>
          <w:b w:val="0"/>
          <w:bCs w:val="0"/>
          <w:szCs w:val="28"/>
          <w:shd w:val="clear" w:color="auto" w:fill="FFFFFF"/>
        </w:rPr>
        <w:t xml:space="preserve"> </w:t>
      </w:r>
      <w:r w:rsidR="00BF39FD" w:rsidRPr="00341ED2">
        <w:rPr>
          <w:b w:val="0"/>
          <w:bCs w:val="0"/>
          <w:szCs w:val="28"/>
          <w:shd w:val="clear" w:color="auto" w:fill="FFFFFF"/>
        </w:rPr>
        <w:t>l</w:t>
      </w:r>
      <w:r w:rsidR="00CF7011" w:rsidRPr="00341ED2">
        <w:rPr>
          <w:b w:val="0"/>
          <w:bCs w:val="0"/>
          <w:szCs w:val="28"/>
          <w:shd w:val="clear" w:color="auto" w:fill="FFFFFF"/>
        </w:rPr>
        <w:t>a</w:t>
      </w:r>
      <w:r w:rsidRPr="00341ED2">
        <w:rPr>
          <w:b w:val="0"/>
          <w:bCs w:val="0"/>
          <w:szCs w:val="28"/>
          <w:shd w:val="clear" w:color="auto" w:fill="FFFFFF"/>
        </w:rPr>
        <w:t xml:space="preserve"> accionante, esta Sala de Revisión emitirá dos copias del mismo fallo, con la diferencia de que en aquella que publique la Corte Constitucional en su página web se utilizarán </w:t>
      </w:r>
      <w:r w:rsidR="00BF39FD" w:rsidRPr="00341ED2">
        <w:rPr>
          <w:b w:val="0"/>
          <w:bCs w:val="0"/>
          <w:szCs w:val="28"/>
          <w:shd w:val="clear" w:color="auto" w:fill="FFFFFF"/>
        </w:rPr>
        <w:t>seudónimos.</w:t>
      </w:r>
    </w:p>
    <w:p w14:paraId="296FCC10" w14:textId="77777777" w:rsidR="00B861A5" w:rsidRPr="00341ED2" w:rsidRDefault="00B861A5" w:rsidP="000F393F">
      <w:pPr>
        <w:pStyle w:val="Sinespaciado"/>
        <w:numPr>
          <w:ilvl w:val="0"/>
          <w:numId w:val="0"/>
        </w:numPr>
        <w:rPr>
          <w:b w:val="0"/>
          <w:bCs w:val="0"/>
          <w:szCs w:val="28"/>
          <w:shd w:val="clear" w:color="auto" w:fill="FFFFFF"/>
        </w:rPr>
      </w:pPr>
    </w:p>
    <w:p w14:paraId="55981E44" w14:textId="0A676635" w:rsidR="00B861A5" w:rsidRPr="00341ED2" w:rsidRDefault="0097567A" w:rsidP="0097567A">
      <w:pPr>
        <w:pStyle w:val="Sinespaciado"/>
        <w:outlineLvl w:val="0"/>
      </w:pPr>
      <w:r w:rsidRPr="00341ED2">
        <w:t>SÍNTESIS DE LA DECISIÓN</w:t>
      </w:r>
    </w:p>
    <w:p w14:paraId="1CE24897" w14:textId="77777777" w:rsidR="0097567A" w:rsidRPr="00341ED2" w:rsidRDefault="0097567A" w:rsidP="0097567A">
      <w:pPr>
        <w:pStyle w:val="Sinespaciado"/>
        <w:numPr>
          <w:ilvl w:val="0"/>
          <w:numId w:val="0"/>
        </w:numPr>
        <w:ind w:left="1080"/>
        <w:outlineLvl w:val="0"/>
      </w:pPr>
    </w:p>
    <w:p w14:paraId="463DCBE1" w14:textId="41BDAAE0" w:rsidR="00B861A5" w:rsidRPr="00341ED2" w:rsidRDefault="00B8660C" w:rsidP="00B861A5">
      <w:pPr>
        <w:pStyle w:val="Prrafodelista"/>
        <w:widowControl w:val="0"/>
        <w:autoSpaceDE w:val="0"/>
        <w:autoSpaceDN w:val="0"/>
        <w:adjustRightInd w:val="0"/>
        <w:ind w:left="0"/>
        <w:rPr>
          <w:lang w:val="es-CO"/>
        </w:rPr>
      </w:pPr>
      <w:r>
        <w:rPr>
          <w:i/>
          <w:iCs/>
          <w:spacing w:val="-2"/>
          <w:szCs w:val="28"/>
        </w:rPr>
        <w:t>Amalia</w:t>
      </w:r>
      <w:r w:rsidR="00B861A5" w:rsidRPr="00341ED2">
        <w:t xml:space="preserve">, actuando mediante apoderado judicial, presentó una demanda de reparación directa en contra de la Nación-Ministerio de Defensa-Ejército Nacional por la lesión cerebral traumática que sufrió su hijo, </w:t>
      </w:r>
      <w:r w:rsidR="002174CD" w:rsidRPr="002174CD">
        <w:rPr>
          <w:i/>
          <w:iCs/>
        </w:rPr>
        <w:t>Oscar</w:t>
      </w:r>
      <w:r w:rsidR="00B861A5" w:rsidRPr="00341ED2">
        <w:t xml:space="preserve">, cuando prestó el servicio militar obligatorio. En primera instancia, el Juzgado Quinto Administrativo Oral de Cúcuta declaró responsable a la entidad demandada por la lesión sufrida por </w:t>
      </w:r>
      <w:r w:rsidR="002174CD" w:rsidRPr="002174CD">
        <w:rPr>
          <w:i/>
          <w:iCs/>
        </w:rPr>
        <w:t>Oscar</w:t>
      </w:r>
      <w:r w:rsidR="00B861A5" w:rsidRPr="00341ED2">
        <w:t xml:space="preserve">. </w:t>
      </w:r>
      <w:r w:rsidR="00B861A5" w:rsidRPr="00341ED2">
        <w:rPr>
          <w:lang w:val="es-CO"/>
        </w:rPr>
        <w:t xml:space="preserve">En segunda instancia, el Tribunal Administrativo de Norte de Santander revocó la decisión y declaró la caducidad de la acción de reparación directa. Inconforme, </w:t>
      </w:r>
      <w:r w:rsidRPr="00B8660C">
        <w:rPr>
          <w:i/>
          <w:iCs/>
        </w:rPr>
        <w:t>Amalia</w:t>
      </w:r>
      <w:r w:rsidRPr="00B8660C">
        <w:rPr>
          <w:i/>
          <w:iCs/>
          <w:lang w:val="es-CO"/>
        </w:rPr>
        <w:t xml:space="preserve"> </w:t>
      </w:r>
      <w:r w:rsidR="00B861A5" w:rsidRPr="00341ED2">
        <w:rPr>
          <w:lang w:val="es-CO"/>
        </w:rPr>
        <w:t>interpuso una acción de tutela contra la decisión del Tribunal por considerar que vulneró sus derechos fundamentales al debido proceso y al acceso a la administración de justicia.</w:t>
      </w:r>
    </w:p>
    <w:p w14:paraId="31D2782D" w14:textId="77777777" w:rsidR="00B861A5" w:rsidRPr="00341ED2" w:rsidRDefault="00B861A5" w:rsidP="00B861A5">
      <w:pPr>
        <w:pStyle w:val="Prrafodelista"/>
        <w:widowControl w:val="0"/>
        <w:autoSpaceDE w:val="0"/>
        <w:autoSpaceDN w:val="0"/>
        <w:adjustRightInd w:val="0"/>
        <w:ind w:left="0"/>
        <w:rPr>
          <w:szCs w:val="28"/>
        </w:rPr>
      </w:pPr>
    </w:p>
    <w:p w14:paraId="4BC34B42" w14:textId="72BB6D8D" w:rsidR="00B861A5" w:rsidRPr="00341ED2" w:rsidRDefault="00B861A5" w:rsidP="00B861A5">
      <w:pPr>
        <w:pStyle w:val="Prrafodelista"/>
        <w:widowControl w:val="0"/>
        <w:autoSpaceDE w:val="0"/>
        <w:autoSpaceDN w:val="0"/>
        <w:adjustRightInd w:val="0"/>
        <w:ind w:left="0"/>
        <w:rPr>
          <w:szCs w:val="28"/>
        </w:rPr>
      </w:pPr>
      <w:r w:rsidRPr="00341ED2">
        <w:rPr>
          <w:szCs w:val="28"/>
          <w:lang w:val="es-CO"/>
        </w:rPr>
        <w:t xml:space="preserve">La Sala encontró satisfechos los requisitos generales de </w:t>
      </w:r>
      <w:proofErr w:type="spellStart"/>
      <w:r w:rsidRPr="00341ED2">
        <w:rPr>
          <w:szCs w:val="28"/>
          <w:lang w:val="es-CO"/>
        </w:rPr>
        <w:t>procedibilidad</w:t>
      </w:r>
      <w:proofErr w:type="spellEnd"/>
      <w:r w:rsidRPr="00341ED2">
        <w:rPr>
          <w:szCs w:val="28"/>
          <w:lang w:val="es-CO"/>
        </w:rPr>
        <w:t xml:space="preserve"> de la acción de tutela en contra de providencias judiciales. </w:t>
      </w:r>
      <w:r w:rsidRPr="00341ED2">
        <w:rPr>
          <w:szCs w:val="28"/>
          <w:lang w:val="es-CO" w:eastAsia="es-ES"/>
        </w:rPr>
        <w:t>Luego, reiteró la jurisprudencia de la Sección Tercera del Consejo de Estado y de la Corte Constitucional sobre el cómputo del término de caducidad de la acción de reparación directa en los casos de lesiones físicas.</w:t>
      </w:r>
    </w:p>
    <w:p w14:paraId="1E2AF89F" w14:textId="77777777" w:rsidR="00B861A5" w:rsidRPr="00341ED2" w:rsidRDefault="00B861A5" w:rsidP="00B861A5">
      <w:pPr>
        <w:pStyle w:val="Prrafodelista"/>
        <w:widowControl w:val="0"/>
        <w:autoSpaceDE w:val="0"/>
        <w:autoSpaceDN w:val="0"/>
        <w:adjustRightInd w:val="0"/>
        <w:ind w:left="0"/>
        <w:rPr>
          <w:szCs w:val="28"/>
        </w:rPr>
      </w:pPr>
    </w:p>
    <w:p w14:paraId="7190B6D6" w14:textId="502FE485" w:rsidR="00B861A5" w:rsidRPr="00341ED2" w:rsidRDefault="00B861A5" w:rsidP="00B861A5">
      <w:pPr>
        <w:pStyle w:val="Prrafodelista"/>
        <w:widowControl w:val="0"/>
        <w:autoSpaceDE w:val="0"/>
        <w:autoSpaceDN w:val="0"/>
        <w:adjustRightInd w:val="0"/>
        <w:ind w:left="0"/>
        <w:rPr>
          <w:szCs w:val="28"/>
        </w:rPr>
      </w:pPr>
      <w:bookmarkStart w:id="6" w:name="_Hlk172799388"/>
      <w:r w:rsidRPr="00341ED2">
        <w:rPr>
          <w:szCs w:val="28"/>
          <w:lang w:val="es-CO" w:eastAsia="es-ES"/>
        </w:rPr>
        <w:t xml:space="preserve">Con fundamento en la jurisprudencia contencioso administrativa y constitucional, la Sala analizó la existencia de un defecto fáctico y concluyó que, en efecto, </w:t>
      </w:r>
      <w:r w:rsidR="00A506F2">
        <w:rPr>
          <w:szCs w:val="28"/>
          <w:lang w:val="es-CO" w:eastAsia="es-ES"/>
        </w:rPr>
        <w:t xml:space="preserve">el </w:t>
      </w:r>
      <w:r w:rsidR="00A506F2" w:rsidRPr="00341ED2">
        <w:rPr>
          <w:lang w:val="es-CO"/>
        </w:rPr>
        <w:t xml:space="preserve">Tribunal Administrativo de Norte de Santander </w:t>
      </w:r>
      <w:r w:rsidRPr="00341ED2">
        <w:rPr>
          <w:szCs w:val="28"/>
          <w:lang w:val="es-CO" w:eastAsia="es-ES"/>
        </w:rPr>
        <w:t>incurrió en este por indebida valoración probatoria. En concreto, encontró que</w:t>
      </w:r>
      <w:r w:rsidR="00A506F2">
        <w:rPr>
          <w:szCs w:val="28"/>
          <w:lang w:val="es-CO" w:eastAsia="es-ES"/>
        </w:rPr>
        <w:t xml:space="preserve"> el Tribunal</w:t>
      </w:r>
      <w:r w:rsidRPr="00341ED2">
        <w:rPr>
          <w:szCs w:val="28"/>
          <w:lang w:val="es-CO" w:eastAsia="es-ES"/>
        </w:rPr>
        <w:t xml:space="preserve"> desconoció que</w:t>
      </w:r>
      <w:r w:rsidR="00A506F2" w:rsidRPr="00A506F2">
        <w:rPr>
          <w:szCs w:val="28"/>
          <w:lang w:val="es-CO" w:eastAsia="es-ES"/>
        </w:rPr>
        <w:t xml:space="preserve"> </w:t>
      </w:r>
      <w:r w:rsidR="00A506F2" w:rsidRPr="00341ED2">
        <w:rPr>
          <w:szCs w:val="28"/>
          <w:lang w:val="es-CO" w:eastAsia="es-ES"/>
        </w:rPr>
        <w:t xml:space="preserve">la accionante </w:t>
      </w:r>
      <w:r w:rsidR="00A506F2">
        <w:rPr>
          <w:szCs w:val="28"/>
          <w:lang w:val="es-CO" w:eastAsia="es-ES"/>
        </w:rPr>
        <w:t xml:space="preserve">solo </w:t>
      </w:r>
      <w:r w:rsidR="00A506F2" w:rsidRPr="00341ED2">
        <w:rPr>
          <w:szCs w:val="28"/>
          <w:lang w:val="es-CO" w:eastAsia="es-ES"/>
        </w:rPr>
        <w:t>pudo conocer de manera cierta y concreta el daño sufrido por su hijo</w:t>
      </w:r>
      <w:r w:rsidRPr="00341ED2">
        <w:rPr>
          <w:szCs w:val="28"/>
          <w:lang w:val="es-CO" w:eastAsia="es-ES"/>
        </w:rPr>
        <w:t xml:space="preserve"> hasta el dictamen de pérdida de capacidad laboral de la Junta Médica Laboral del Ejército Nacional emitido el 21 de noviembre de 2016. Así mismo, advirtió que </w:t>
      </w:r>
      <w:r w:rsidR="00A506F2">
        <w:rPr>
          <w:szCs w:val="28"/>
          <w:lang w:val="es-CO" w:eastAsia="es-ES"/>
        </w:rPr>
        <w:t>esta</w:t>
      </w:r>
      <w:r w:rsidRPr="00341ED2">
        <w:rPr>
          <w:szCs w:val="28"/>
          <w:lang w:val="es-CO" w:eastAsia="es-ES"/>
        </w:rPr>
        <w:t xml:space="preserve"> autoridad judicial le dio un alcance que no tenía a la primera atención médica </w:t>
      </w:r>
      <w:r w:rsidR="00A3675A">
        <w:rPr>
          <w:szCs w:val="28"/>
          <w:lang w:val="es-CO" w:eastAsia="es-ES"/>
        </w:rPr>
        <w:t xml:space="preserve">que recibió </w:t>
      </w:r>
      <w:r w:rsidR="00A3675A" w:rsidRPr="00A3675A">
        <w:rPr>
          <w:i/>
          <w:iCs/>
          <w:szCs w:val="28"/>
          <w:lang w:val="es-CO" w:eastAsia="es-ES"/>
        </w:rPr>
        <w:t>Oscar</w:t>
      </w:r>
      <w:r w:rsidR="00A3675A">
        <w:rPr>
          <w:szCs w:val="28"/>
          <w:lang w:val="es-CO" w:eastAsia="es-ES"/>
        </w:rPr>
        <w:t xml:space="preserve"> </w:t>
      </w:r>
      <w:r w:rsidRPr="00341ED2">
        <w:rPr>
          <w:szCs w:val="28"/>
          <w:lang w:val="es-CO" w:eastAsia="es-ES"/>
        </w:rPr>
        <w:t>el 25 de junio de 2012.</w:t>
      </w:r>
    </w:p>
    <w:bookmarkEnd w:id="6"/>
    <w:p w14:paraId="57C33018" w14:textId="77777777" w:rsidR="00B861A5" w:rsidRPr="00341ED2" w:rsidRDefault="00B861A5" w:rsidP="00B861A5">
      <w:pPr>
        <w:pStyle w:val="Prrafodelista"/>
        <w:widowControl w:val="0"/>
        <w:autoSpaceDE w:val="0"/>
        <w:autoSpaceDN w:val="0"/>
        <w:adjustRightInd w:val="0"/>
        <w:ind w:left="0"/>
        <w:rPr>
          <w:szCs w:val="28"/>
        </w:rPr>
      </w:pPr>
    </w:p>
    <w:p w14:paraId="7618E866" w14:textId="3A9226B7" w:rsidR="00B861A5" w:rsidRPr="00341ED2" w:rsidRDefault="00B861A5" w:rsidP="00B861A5">
      <w:pPr>
        <w:pStyle w:val="Prrafodelista"/>
        <w:widowControl w:val="0"/>
        <w:autoSpaceDE w:val="0"/>
        <w:autoSpaceDN w:val="0"/>
        <w:adjustRightInd w:val="0"/>
        <w:ind w:left="0"/>
        <w:rPr>
          <w:szCs w:val="28"/>
        </w:rPr>
      </w:pPr>
      <w:r w:rsidRPr="00341ED2">
        <w:rPr>
          <w:szCs w:val="28"/>
          <w:lang w:val="es-CO" w:eastAsia="es-ES"/>
        </w:rPr>
        <w:t>En tales términos, la Sala concluyó que el Tribunal Administrativo de Norte de Santander, al incurrir en</w:t>
      </w:r>
      <w:r w:rsidR="007E06A5">
        <w:rPr>
          <w:szCs w:val="28"/>
          <w:lang w:val="es-CO" w:eastAsia="es-ES"/>
        </w:rPr>
        <w:t xml:space="preserve"> el</w:t>
      </w:r>
      <w:r w:rsidRPr="00341ED2">
        <w:rPr>
          <w:szCs w:val="28"/>
          <w:lang w:val="es-CO" w:eastAsia="es-ES"/>
        </w:rPr>
        <w:t xml:space="preserve"> defecto fáctico señalado, vulneró los derechos fundamentales de la accionante al debido proceso y acceso a la administración de justicia. En consecuencia, decidió amparar tales derechos y revocar las sentencias de tutela objeto de revisión. </w:t>
      </w:r>
      <w:r w:rsidR="007E06A5">
        <w:rPr>
          <w:szCs w:val="28"/>
          <w:lang w:val="es-CO" w:eastAsia="es-ES"/>
        </w:rPr>
        <w:t>Igualmente</w:t>
      </w:r>
      <w:r w:rsidRPr="00341ED2">
        <w:rPr>
          <w:szCs w:val="28"/>
          <w:lang w:val="es-CO" w:eastAsia="es-ES"/>
        </w:rPr>
        <w:t xml:space="preserve">, la Sala decidió dejar sin efecto la sentencia del </w:t>
      </w:r>
      <w:r w:rsidRPr="00341ED2">
        <w:rPr>
          <w:lang w:val="es-CO"/>
        </w:rPr>
        <w:t>11</w:t>
      </w:r>
      <w:r w:rsidRPr="00341ED2">
        <w:t xml:space="preserve"> de agosto de 2022 expedida por el Tribunal Administrativo de Norte de Santander, mediante la cual </w:t>
      </w:r>
      <w:r w:rsidRPr="00341ED2">
        <w:rPr>
          <w:szCs w:val="28"/>
          <w:lang w:val="es-CO" w:eastAsia="es-ES"/>
        </w:rPr>
        <w:t>revocó la sentencia del 21 de junio de 2021</w:t>
      </w:r>
      <w:r w:rsidRPr="00341ED2">
        <w:rPr>
          <w:szCs w:val="28"/>
        </w:rPr>
        <w:t xml:space="preserve"> del </w:t>
      </w:r>
      <w:r w:rsidRPr="00341ED2">
        <w:rPr>
          <w:szCs w:val="28"/>
          <w:lang w:val="es-CO" w:eastAsia="es-ES"/>
        </w:rPr>
        <w:t xml:space="preserve">Juzgado Quinto Administrativo Oral de Cúcuta y </w:t>
      </w:r>
      <w:r w:rsidRPr="00341ED2">
        <w:t>declaró la caducidad del medio de control de reparación directa promovido por la accionante en contra de la Nación-Ministerio de Defensa-Ejército Nacional.</w:t>
      </w:r>
    </w:p>
    <w:p w14:paraId="34988F89" w14:textId="77777777" w:rsidR="00B861A5" w:rsidRPr="00341ED2" w:rsidRDefault="00B861A5" w:rsidP="00B861A5">
      <w:pPr>
        <w:pStyle w:val="Prrafodelista"/>
        <w:widowControl w:val="0"/>
        <w:autoSpaceDE w:val="0"/>
        <w:autoSpaceDN w:val="0"/>
        <w:adjustRightInd w:val="0"/>
        <w:ind w:left="0"/>
        <w:rPr>
          <w:szCs w:val="28"/>
        </w:rPr>
      </w:pPr>
    </w:p>
    <w:p w14:paraId="75E64FF2" w14:textId="0A272996" w:rsidR="00B861A5" w:rsidRPr="00341ED2" w:rsidRDefault="00B861A5" w:rsidP="00B861A5">
      <w:pPr>
        <w:pStyle w:val="Prrafodelista"/>
        <w:widowControl w:val="0"/>
        <w:autoSpaceDE w:val="0"/>
        <w:autoSpaceDN w:val="0"/>
        <w:adjustRightInd w:val="0"/>
        <w:ind w:left="0"/>
        <w:rPr>
          <w:szCs w:val="28"/>
        </w:rPr>
      </w:pPr>
      <w:r w:rsidRPr="00341ED2">
        <w:t xml:space="preserve">En consecuencia, </w:t>
      </w:r>
      <w:r w:rsidRPr="00341ED2">
        <w:rPr>
          <w:szCs w:val="28"/>
        </w:rPr>
        <w:t xml:space="preserve">ordenó </w:t>
      </w:r>
      <w:r w:rsidRPr="00341ED2">
        <w:rPr>
          <w:szCs w:val="28"/>
          <w:lang w:val="es-CO" w:eastAsia="es-ES"/>
        </w:rPr>
        <w:t>al Tribunal Administrativo de Norte de Santander que, en el término de veinte (20) días contados a partir de la notificación de esta sentencia, emita una nueva decisión teniendo en cuenta las consideraciones de la presente sentencia.</w:t>
      </w:r>
    </w:p>
    <w:p w14:paraId="564BC136" w14:textId="77777777" w:rsidR="00AE39B3" w:rsidRPr="00341ED2" w:rsidRDefault="00AE39B3" w:rsidP="000F393F">
      <w:pPr>
        <w:pStyle w:val="Sinespaciado"/>
        <w:numPr>
          <w:ilvl w:val="0"/>
          <w:numId w:val="0"/>
        </w:numPr>
        <w:rPr>
          <w:b w:val="0"/>
          <w:bCs w:val="0"/>
        </w:rPr>
      </w:pPr>
    </w:p>
    <w:p w14:paraId="15F28FFE" w14:textId="4176EA67" w:rsidR="006C581E" w:rsidRPr="00341ED2" w:rsidRDefault="00635DC9" w:rsidP="000F393F">
      <w:pPr>
        <w:pStyle w:val="Sinespaciado"/>
        <w:outlineLvl w:val="0"/>
      </w:pPr>
      <w:bookmarkStart w:id="7" w:name="_Hlk163150890"/>
      <w:r w:rsidRPr="00341ED2">
        <w:t>ANTECEDENTES</w:t>
      </w:r>
    </w:p>
    <w:p w14:paraId="6158AEDB" w14:textId="77777777" w:rsidR="00EA2DA7" w:rsidRPr="00341ED2" w:rsidRDefault="00EA2DA7" w:rsidP="000F393F">
      <w:pPr>
        <w:pStyle w:val="Prrafodelista"/>
        <w:ind w:left="0"/>
        <w:rPr>
          <w:szCs w:val="28"/>
          <w:lang w:val="es-CO"/>
        </w:rPr>
      </w:pPr>
    </w:p>
    <w:p w14:paraId="66375DD0" w14:textId="77777777" w:rsidR="00F53206" w:rsidRPr="00341ED2" w:rsidRDefault="00F53206" w:rsidP="000F393F">
      <w:pPr>
        <w:pStyle w:val="Prrafodelista"/>
        <w:widowControl w:val="0"/>
        <w:numPr>
          <w:ilvl w:val="0"/>
          <w:numId w:val="15"/>
        </w:numPr>
        <w:autoSpaceDE w:val="0"/>
        <w:autoSpaceDN w:val="0"/>
        <w:adjustRightInd w:val="0"/>
        <w:spacing w:after="160"/>
        <w:ind w:left="284" w:hanging="284"/>
        <w:rPr>
          <w:b/>
          <w:szCs w:val="28"/>
          <w:lang w:val="es-CO" w:eastAsia="es-ES"/>
        </w:rPr>
      </w:pPr>
      <w:r w:rsidRPr="00341ED2">
        <w:rPr>
          <w:b/>
          <w:szCs w:val="28"/>
          <w:lang w:eastAsia="es-ES"/>
        </w:rPr>
        <w:t>Hechos</w:t>
      </w:r>
    </w:p>
    <w:p w14:paraId="7516EA7F" w14:textId="77777777" w:rsidR="00F53206" w:rsidRPr="00341ED2" w:rsidRDefault="00F53206" w:rsidP="000F393F">
      <w:pPr>
        <w:pStyle w:val="Prrafodelista"/>
        <w:widowControl w:val="0"/>
        <w:autoSpaceDE w:val="0"/>
        <w:autoSpaceDN w:val="0"/>
        <w:adjustRightInd w:val="0"/>
        <w:ind w:left="0"/>
        <w:rPr>
          <w:b/>
          <w:szCs w:val="28"/>
          <w:lang w:eastAsia="es-ES"/>
        </w:rPr>
      </w:pPr>
    </w:p>
    <w:p w14:paraId="3272574A" w14:textId="23F09BA5" w:rsidR="000B775B" w:rsidRPr="00341ED2" w:rsidRDefault="000B775B" w:rsidP="000F393F">
      <w:pPr>
        <w:pStyle w:val="Prrafodelista"/>
        <w:widowControl w:val="0"/>
        <w:numPr>
          <w:ilvl w:val="1"/>
          <w:numId w:val="15"/>
        </w:numPr>
        <w:autoSpaceDE w:val="0"/>
        <w:autoSpaceDN w:val="0"/>
        <w:adjustRightInd w:val="0"/>
        <w:spacing w:after="160"/>
        <w:rPr>
          <w:b/>
          <w:szCs w:val="28"/>
          <w:lang w:eastAsia="es-ES"/>
        </w:rPr>
      </w:pPr>
      <w:r w:rsidRPr="00341ED2">
        <w:rPr>
          <w:iCs/>
        </w:rPr>
        <w:t xml:space="preserve">El 13 de diciembre de 2011, </w:t>
      </w:r>
      <w:r w:rsidR="002174CD" w:rsidRPr="002174CD">
        <w:rPr>
          <w:i/>
          <w:iCs/>
        </w:rPr>
        <w:t>Oscar</w:t>
      </w:r>
      <w:r w:rsidRPr="00341ED2">
        <w:rPr>
          <w:iCs/>
        </w:rPr>
        <w:t xml:space="preserve"> fue reclutado por el Ejército Nacional para prestar el servicio militar obligatorio.</w:t>
      </w:r>
      <w:r w:rsidR="00067FF1" w:rsidRPr="00341ED2">
        <w:rPr>
          <w:rStyle w:val="Refdenotaalpie"/>
          <w:iCs/>
        </w:rPr>
        <w:footnoteReference w:id="2"/>
      </w:r>
      <w:r w:rsidRPr="00341ED2">
        <w:rPr>
          <w:iCs/>
        </w:rPr>
        <w:t xml:space="preserve"> De acuerdo con la accionante, su hijo ingresó al «Batallón ASPC No. 30 </w:t>
      </w:r>
      <w:proofErr w:type="spellStart"/>
      <w:r w:rsidRPr="00341ED2">
        <w:rPr>
          <w:iCs/>
        </w:rPr>
        <w:t>Guasimales</w:t>
      </w:r>
      <w:proofErr w:type="spellEnd"/>
      <w:r w:rsidRPr="00341ED2">
        <w:rPr>
          <w:iCs/>
        </w:rPr>
        <w:t xml:space="preserve"> de la ciudad de Cúcuta en calidad de soldado bachiller</w:t>
      </w:r>
      <w:r w:rsidR="001D1EC1" w:rsidRPr="00341ED2">
        <w:rPr>
          <w:iCs/>
        </w:rPr>
        <w:t>.</w:t>
      </w:r>
      <w:r w:rsidRPr="00341ED2">
        <w:rPr>
          <w:iCs/>
        </w:rPr>
        <w:t xml:space="preserve"> […] Cuando fue incorporado se encontraba en perfectas condiciones de salud, tanto físicas como mentales y con base en ellas se le reclutó»</w:t>
      </w:r>
      <w:r w:rsidRPr="00341ED2">
        <w:rPr>
          <w:rStyle w:val="Refdenotaalpie"/>
          <w:iCs/>
        </w:rPr>
        <w:footnoteReference w:id="3"/>
      </w:r>
      <w:r w:rsidRPr="00341ED2">
        <w:rPr>
          <w:iCs/>
        </w:rPr>
        <w:t>.</w:t>
      </w:r>
    </w:p>
    <w:p w14:paraId="52B9D688" w14:textId="77777777" w:rsidR="008348D8" w:rsidRPr="00341ED2" w:rsidRDefault="008348D8" w:rsidP="000F393F">
      <w:pPr>
        <w:pStyle w:val="Prrafodelista"/>
        <w:widowControl w:val="0"/>
        <w:autoSpaceDE w:val="0"/>
        <w:autoSpaceDN w:val="0"/>
        <w:adjustRightInd w:val="0"/>
        <w:spacing w:after="160"/>
        <w:ind w:left="0"/>
        <w:rPr>
          <w:b/>
          <w:szCs w:val="28"/>
          <w:lang w:eastAsia="es-ES"/>
        </w:rPr>
      </w:pPr>
    </w:p>
    <w:p w14:paraId="7911F788" w14:textId="660218BE" w:rsidR="00D4614B" w:rsidRPr="00341ED2" w:rsidRDefault="00D80C95" w:rsidP="000F393F">
      <w:pPr>
        <w:pStyle w:val="Prrafodelista"/>
        <w:widowControl w:val="0"/>
        <w:numPr>
          <w:ilvl w:val="1"/>
          <w:numId w:val="15"/>
        </w:numPr>
        <w:autoSpaceDE w:val="0"/>
        <w:autoSpaceDN w:val="0"/>
        <w:adjustRightInd w:val="0"/>
        <w:spacing w:after="160"/>
        <w:rPr>
          <w:b/>
          <w:szCs w:val="28"/>
          <w:lang w:eastAsia="es-ES"/>
        </w:rPr>
      </w:pPr>
      <w:r w:rsidRPr="00341ED2">
        <w:rPr>
          <w:i/>
          <w:iCs/>
        </w:rPr>
        <w:t>Atención en salud</w:t>
      </w:r>
      <w:r w:rsidRPr="00341ED2">
        <w:t xml:space="preserve">. </w:t>
      </w:r>
      <w:r w:rsidR="000B775B" w:rsidRPr="00341ED2">
        <w:rPr>
          <w:iCs/>
        </w:rPr>
        <w:t xml:space="preserve">El </w:t>
      </w:r>
      <w:r w:rsidR="00790E94" w:rsidRPr="00341ED2">
        <w:rPr>
          <w:iCs/>
        </w:rPr>
        <w:t xml:space="preserve">25 de junio de 2012, </w:t>
      </w:r>
      <w:r w:rsidR="002174CD" w:rsidRPr="002174CD">
        <w:rPr>
          <w:i/>
          <w:iCs/>
        </w:rPr>
        <w:t>Oscar</w:t>
      </w:r>
      <w:r w:rsidR="004129F1" w:rsidRPr="00341ED2">
        <w:rPr>
          <w:iCs/>
        </w:rPr>
        <w:t xml:space="preserve"> fue </w:t>
      </w:r>
      <w:r w:rsidR="00D4614B" w:rsidRPr="00341ED2">
        <w:rPr>
          <w:iCs/>
        </w:rPr>
        <w:t>llevado de urgencia a</w:t>
      </w:r>
      <w:r w:rsidR="00197AEB" w:rsidRPr="00341ED2">
        <w:rPr>
          <w:iCs/>
        </w:rPr>
        <w:t xml:space="preserve"> la Clínica Santa Ana</w:t>
      </w:r>
      <w:r w:rsidR="006C00CB" w:rsidRPr="00341ED2">
        <w:rPr>
          <w:iCs/>
        </w:rPr>
        <w:t xml:space="preserve"> de Cúcuta y de allí fue remitido</w:t>
      </w:r>
      <w:r w:rsidR="006C00CB" w:rsidRPr="00341ED2">
        <w:rPr>
          <w:szCs w:val="28"/>
          <w:lang w:eastAsia="es-ES"/>
        </w:rPr>
        <w:t xml:space="preserve"> al Hospital Mental </w:t>
      </w:r>
      <w:proofErr w:type="spellStart"/>
      <w:r w:rsidR="006C00CB" w:rsidRPr="00341ED2">
        <w:rPr>
          <w:szCs w:val="28"/>
          <w:lang w:eastAsia="es-ES"/>
        </w:rPr>
        <w:t>Rudesindo</w:t>
      </w:r>
      <w:proofErr w:type="spellEnd"/>
      <w:r w:rsidR="006C00CB" w:rsidRPr="00341ED2">
        <w:rPr>
          <w:szCs w:val="28"/>
          <w:lang w:eastAsia="es-ES"/>
        </w:rPr>
        <w:t xml:space="preserve"> Soto en la misma ciudad</w:t>
      </w:r>
      <w:r w:rsidR="008348D8" w:rsidRPr="00341ED2">
        <w:rPr>
          <w:iCs/>
        </w:rPr>
        <w:t>.</w:t>
      </w:r>
      <w:r w:rsidR="00197AEB" w:rsidRPr="00341ED2">
        <w:rPr>
          <w:iCs/>
        </w:rPr>
        <w:t xml:space="preserve"> </w:t>
      </w:r>
      <w:r w:rsidR="00D4614B" w:rsidRPr="00341ED2">
        <w:rPr>
          <w:iCs/>
        </w:rPr>
        <w:t>En la hoja de referencia del Dispensario Médico de la Brigada 30</w:t>
      </w:r>
      <w:r w:rsidR="002175A2" w:rsidRPr="00341ED2">
        <w:rPr>
          <w:iCs/>
        </w:rPr>
        <w:t>,</w:t>
      </w:r>
      <w:r w:rsidR="00D4614B" w:rsidRPr="00341ED2">
        <w:rPr>
          <w:iCs/>
        </w:rPr>
        <w:t xml:space="preserve"> el médico </w:t>
      </w:r>
      <w:r w:rsidR="00F54ECB" w:rsidRPr="00341ED2">
        <w:rPr>
          <w:iCs/>
        </w:rPr>
        <w:t xml:space="preserve">que </w:t>
      </w:r>
      <w:r w:rsidR="00D42795" w:rsidRPr="00341ED2">
        <w:rPr>
          <w:iCs/>
        </w:rPr>
        <w:t xml:space="preserve">atendió a </w:t>
      </w:r>
      <w:r w:rsidR="002174CD" w:rsidRPr="002174CD">
        <w:rPr>
          <w:i/>
          <w:iCs/>
        </w:rPr>
        <w:t>Oscar</w:t>
      </w:r>
      <w:r w:rsidR="00D42795" w:rsidRPr="00341ED2">
        <w:rPr>
          <w:iCs/>
        </w:rPr>
        <w:t xml:space="preserve"> indicó</w:t>
      </w:r>
      <w:r w:rsidR="00D4614B" w:rsidRPr="00341ED2">
        <w:rPr>
          <w:iCs/>
        </w:rPr>
        <w:t xml:space="preserve"> lo siguiente:</w:t>
      </w:r>
      <w:r w:rsidR="002175A2" w:rsidRPr="00341ED2">
        <w:rPr>
          <w:b/>
          <w:szCs w:val="28"/>
          <w:lang w:eastAsia="es-ES"/>
        </w:rPr>
        <w:t xml:space="preserve"> </w:t>
      </w:r>
      <w:r w:rsidR="00D4614B" w:rsidRPr="00341ED2">
        <w:rPr>
          <w:iCs/>
        </w:rPr>
        <w:t xml:space="preserve">«Paciente con reporte de trauma craneoencefálico, según refiere, sin embargo, en valoración </w:t>
      </w:r>
      <w:r w:rsidR="00D42795" w:rsidRPr="00341ED2">
        <w:rPr>
          <w:iCs/>
        </w:rPr>
        <w:t>en C</w:t>
      </w:r>
      <w:r w:rsidR="00D4614B" w:rsidRPr="00341ED2">
        <w:rPr>
          <w:iCs/>
        </w:rPr>
        <w:t>línica</w:t>
      </w:r>
      <w:r w:rsidR="00D42795" w:rsidRPr="00341ED2">
        <w:rPr>
          <w:iCs/>
        </w:rPr>
        <w:t xml:space="preserve"> Santa Ana</w:t>
      </w:r>
      <w:r w:rsidR="00D4614B" w:rsidRPr="00341ED2">
        <w:rPr>
          <w:iCs/>
        </w:rPr>
        <w:t xml:space="preserve"> no se enc</w:t>
      </w:r>
      <w:r w:rsidR="00D42795" w:rsidRPr="00341ED2">
        <w:rPr>
          <w:iCs/>
        </w:rPr>
        <w:t>ontraron</w:t>
      </w:r>
      <w:r w:rsidR="00D4614B" w:rsidRPr="00341ED2">
        <w:rPr>
          <w:iCs/>
        </w:rPr>
        <w:t xml:space="preserve"> signos de golpes.</w:t>
      </w:r>
      <w:r w:rsidR="00695CA7" w:rsidRPr="00341ED2">
        <w:rPr>
          <w:iCs/>
        </w:rPr>
        <w:t xml:space="preserve"> </w:t>
      </w:r>
      <w:r w:rsidR="00D4614B" w:rsidRPr="00341ED2">
        <w:rPr>
          <w:iCs/>
        </w:rPr>
        <w:t>Negativo para SPA. Lenguaje comprometido, movimientos estereotipados en manos, dificultad motora</w:t>
      </w:r>
      <w:r w:rsidR="000C0611" w:rsidRPr="00341ED2">
        <w:rPr>
          <w:iCs/>
        </w:rPr>
        <w:t xml:space="preserve">. </w:t>
      </w:r>
      <w:r w:rsidR="00695CA7" w:rsidRPr="00341ED2">
        <w:rPr>
          <w:iCs/>
        </w:rPr>
        <w:t>¿</w:t>
      </w:r>
      <w:r w:rsidR="000C0611" w:rsidRPr="00341ED2">
        <w:rPr>
          <w:iCs/>
        </w:rPr>
        <w:t>Somatización?</w:t>
      </w:r>
      <w:r w:rsidR="002175A2" w:rsidRPr="00341ED2">
        <w:rPr>
          <w:iCs/>
        </w:rPr>
        <w:t>»</w:t>
      </w:r>
      <w:r w:rsidR="002175A2" w:rsidRPr="00341ED2">
        <w:rPr>
          <w:rStyle w:val="Refdenotaalpie"/>
          <w:iCs/>
        </w:rPr>
        <w:footnoteReference w:id="4"/>
      </w:r>
      <w:r w:rsidR="00D4614B" w:rsidRPr="00341ED2">
        <w:rPr>
          <w:iCs/>
        </w:rPr>
        <w:t>.</w:t>
      </w:r>
    </w:p>
    <w:p w14:paraId="11A430A0" w14:textId="77777777" w:rsidR="002175A2" w:rsidRPr="00341ED2" w:rsidRDefault="002175A2" w:rsidP="000F393F">
      <w:pPr>
        <w:pStyle w:val="Prrafodelista"/>
        <w:widowControl w:val="0"/>
        <w:autoSpaceDE w:val="0"/>
        <w:autoSpaceDN w:val="0"/>
        <w:adjustRightInd w:val="0"/>
        <w:spacing w:after="160"/>
        <w:ind w:left="0"/>
        <w:rPr>
          <w:b/>
          <w:szCs w:val="28"/>
          <w:lang w:eastAsia="es-ES"/>
        </w:rPr>
      </w:pPr>
    </w:p>
    <w:p w14:paraId="14C41893" w14:textId="714C8669" w:rsidR="00B66B52" w:rsidRPr="00341ED2" w:rsidRDefault="00F54ECB" w:rsidP="000F393F">
      <w:pPr>
        <w:pStyle w:val="Prrafodelista"/>
        <w:widowControl w:val="0"/>
        <w:numPr>
          <w:ilvl w:val="1"/>
          <w:numId w:val="15"/>
        </w:numPr>
        <w:autoSpaceDE w:val="0"/>
        <w:autoSpaceDN w:val="0"/>
        <w:adjustRightInd w:val="0"/>
        <w:spacing w:after="160"/>
        <w:rPr>
          <w:b/>
          <w:szCs w:val="28"/>
          <w:lang w:eastAsia="es-ES"/>
        </w:rPr>
      </w:pPr>
      <w:r w:rsidRPr="00341ED2">
        <w:rPr>
          <w:szCs w:val="28"/>
          <w:lang w:eastAsia="es-ES"/>
        </w:rPr>
        <w:t xml:space="preserve">Al día siguiente, el 26 de junio de 2012, </w:t>
      </w:r>
      <w:r w:rsidR="002174CD" w:rsidRPr="002174CD">
        <w:rPr>
          <w:i/>
          <w:iCs/>
          <w:szCs w:val="28"/>
          <w:lang w:eastAsia="es-ES"/>
        </w:rPr>
        <w:t>Oscar</w:t>
      </w:r>
      <w:r w:rsidR="00D42795" w:rsidRPr="00341ED2">
        <w:rPr>
          <w:szCs w:val="28"/>
          <w:lang w:eastAsia="es-ES"/>
        </w:rPr>
        <w:t xml:space="preserve"> fue llevado nuevamente </w:t>
      </w:r>
      <w:r w:rsidRPr="00341ED2">
        <w:rPr>
          <w:szCs w:val="28"/>
          <w:lang w:eastAsia="es-ES"/>
        </w:rPr>
        <w:t>al Hospital</w:t>
      </w:r>
      <w:r w:rsidR="00D42795" w:rsidRPr="00341ED2">
        <w:rPr>
          <w:szCs w:val="28"/>
          <w:lang w:eastAsia="es-ES"/>
        </w:rPr>
        <w:t xml:space="preserve"> Mental</w:t>
      </w:r>
      <w:r w:rsidRPr="00341ED2">
        <w:rPr>
          <w:szCs w:val="28"/>
          <w:lang w:eastAsia="es-ES"/>
        </w:rPr>
        <w:t xml:space="preserve"> </w:t>
      </w:r>
      <w:proofErr w:type="spellStart"/>
      <w:r w:rsidRPr="00341ED2">
        <w:rPr>
          <w:szCs w:val="28"/>
          <w:lang w:eastAsia="es-ES"/>
        </w:rPr>
        <w:t>Rudesindo</w:t>
      </w:r>
      <w:proofErr w:type="spellEnd"/>
      <w:r w:rsidRPr="00341ED2">
        <w:rPr>
          <w:szCs w:val="28"/>
          <w:lang w:eastAsia="es-ES"/>
        </w:rPr>
        <w:t xml:space="preserve"> Soto. </w:t>
      </w:r>
      <w:r w:rsidR="00D42795" w:rsidRPr="00341ED2">
        <w:rPr>
          <w:szCs w:val="28"/>
          <w:lang w:eastAsia="es-ES"/>
        </w:rPr>
        <w:t xml:space="preserve">En la </w:t>
      </w:r>
      <w:proofErr w:type="spellStart"/>
      <w:r w:rsidR="00E46E19" w:rsidRPr="00341ED2">
        <w:rPr>
          <w:szCs w:val="28"/>
          <w:lang w:eastAsia="es-ES"/>
        </w:rPr>
        <w:t>epicrisis</w:t>
      </w:r>
      <w:proofErr w:type="spellEnd"/>
      <w:r w:rsidR="006C00CB" w:rsidRPr="00341ED2">
        <w:rPr>
          <w:szCs w:val="28"/>
          <w:lang w:eastAsia="es-ES"/>
        </w:rPr>
        <w:t xml:space="preserve"> elaborada por la psiquiatra Andrea Camperos</w:t>
      </w:r>
      <w:r w:rsidR="00AB6CFF" w:rsidRPr="00341ED2">
        <w:rPr>
          <w:szCs w:val="28"/>
          <w:lang w:eastAsia="es-ES"/>
        </w:rPr>
        <w:t xml:space="preserve"> se lee: </w:t>
      </w:r>
      <w:r w:rsidR="00E46E19" w:rsidRPr="00341ED2">
        <w:rPr>
          <w:szCs w:val="28"/>
          <w:lang w:eastAsia="es-ES"/>
        </w:rPr>
        <w:t>«Trauma craneoencefálico. Valorado por neurología y dado de alta, con exámenes toxicológicos negativos.</w:t>
      </w:r>
      <w:r w:rsidR="00E745EA" w:rsidRPr="00341ED2">
        <w:rPr>
          <w:szCs w:val="28"/>
          <w:lang w:eastAsia="es-ES"/>
        </w:rPr>
        <w:t xml:space="preserve"> ¿</w:t>
      </w:r>
      <w:r w:rsidR="00E46E19" w:rsidRPr="00341ED2">
        <w:rPr>
          <w:szCs w:val="28"/>
          <w:lang w:eastAsia="es-ES"/>
        </w:rPr>
        <w:t xml:space="preserve">Trastorno </w:t>
      </w:r>
      <w:proofErr w:type="spellStart"/>
      <w:r w:rsidR="00E46E19" w:rsidRPr="00341ED2">
        <w:rPr>
          <w:szCs w:val="28"/>
          <w:lang w:eastAsia="es-ES"/>
        </w:rPr>
        <w:t>disociativo</w:t>
      </w:r>
      <w:proofErr w:type="spellEnd"/>
      <w:r w:rsidR="00E46E19" w:rsidRPr="00341ED2">
        <w:rPr>
          <w:szCs w:val="28"/>
          <w:lang w:eastAsia="es-ES"/>
        </w:rPr>
        <w:t>?</w:t>
      </w:r>
      <w:r w:rsidR="00AB6CFF" w:rsidRPr="00341ED2">
        <w:rPr>
          <w:szCs w:val="28"/>
          <w:lang w:eastAsia="es-ES"/>
        </w:rPr>
        <w:t>»</w:t>
      </w:r>
      <w:r w:rsidR="00AB6CFF" w:rsidRPr="00341ED2">
        <w:rPr>
          <w:rStyle w:val="Refdenotaalpie"/>
          <w:szCs w:val="28"/>
          <w:lang w:eastAsia="es-ES"/>
        </w:rPr>
        <w:footnoteReference w:id="5"/>
      </w:r>
      <w:r w:rsidR="00AB6CFF" w:rsidRPr="00341ED2">
        <w:rPr>
          <w:szCs w:val="28"/>
          <w:lang w:eastAsia="es-ES"/>
        </w:rPr>
        <w:t>.</w:t>
      </w:r>
    </w:p>
    <w:p w14:paraId="19BAF78D" w14:textId="77777777" w:rsidR="00B66B52" w:rsidRPr="00341ED2" w:rsidRDefault="00B66B52" w:rsidP="000F393F">
      <w:pPr>
        <w:pStyle w:val="Prrafodelista"/>
        <w:widowControl w:val="0"/>
        <w:autoSpaceDE w:val="0"/>
        <w:autoSpaceDN w:val="0"/>
        <w:adjustRightInd w:val="0"/>
        <w:spacing w:after="160"/>
        <w:ind w:left="0"/>
        <w:rPr>
          <w:b/>
          <w:szCs w:val="28"/>
          <w:lang w:eastAsia="es-ES"/>
        </w:rPr>
      </w:pPr>
    </w:p>
    <w:p w14:paraId="4DABDC04" w14:textId="24CC3D39" w:rsidR="00B66B52" w:rsidRPr="00341ED2" w:rsidRDefault="004B3E6D" w:rsidP="000F393F">
      <w:pPr>
        <w:pStyle w:val="Prrafodelista"/>
        <w:widowControl w:val="0"/>
        <w:numPr>
          <w:ilvl w:val="1"/>
          <w:numId w:val="15"/>
        </w:numPr>
        <w:autoSpaceDE w:val="0"/>
        <w:autoSpaceDN w:val="0"/>
        <w:adjustRightInd w:val="0"/>
        <w:spacing w:after="160"/>
        <w:rPr>
          <w:b/>
          <w:szCs w:val="28"/>
          <w:lang w:eastAsia="es-ES"/>
        </w:rPr>
      </w:pPr>
      <w:r w:rsidRPr="00341ED2">
        <w:rPr>
          <w:bCs/>
          <w:szCs w:val="28"/>
          <w:lang w:eastAsia="es-ES"/>
        </w:rPr>
        <w:t>El 3</w:t>
      </w:r>
      <w:r w:rsidR="0021580B" w:rsidRPr="00341ED2">
        <w:rPr>
          <w:bCs/>
          <w:szCs w:val="28"/>
          <w:lang w:eastAsia="es-ES"/>
        </w:rPr>
        <w:t>0</w:t>
      </w:r>
      <w:r w:rsidRPr="00341ED2">
        <w:rPr>
          <w:bCs/>
          <w:szCs w:val="28"/>
          <w:lang w:eastAsia="es-ES"/>
        </w:rPr>
        <w:t xml:space="preserve"> de octubre de 2012, </w:t>
      </w:r>
      <w:r w:rsidR="002174CD" w:rsidRPr="002174CD">
        <w:rPr>
          <w:bCs/>
          <w:i/>
          <w:iCs/>
          <w:szCs w:val="28"/>
          <w:lang w:eastAsia="es-ES"/>
        </w:rPr>
        <w:t>Oscar</w:t>
      </w:r>
      <w:r w:rsidRPr="00341ED2">
        <w:rPr>
          <w:bCs/>
          <w:szCs w:val="28"/>
          <w:lang w:eastAsia="es-ES"/>
        </w:rPr>
        <w:t xml:space="preserve"> fue remitido a la Clínica Stella Maris de Salud Mental de Cúcuta</w:t>
      </w:r>
      <w:r w:rsidR="00244C22" w:rsidRPr="00341ED2">
        <w:rPr>
          <w:bCs/>
          <w:szCs w:val="28"/>
          <w:lang w:eastAsia="es-ES"/>
        </w:rPr>
        <w:t xml:space="preserve"> por el Batallón </w:t>
      </w:r>
      <w:r w:rsidR="00244C22" w:rsidRPr="00341ED2">
        <w:rPr>
          <w:iCs/>
        </w:rPr>
        <w:t xml:space="preserve">ASPC 30 </w:t>
      </w:r>
      <w:proofErr w:type="spellStart"/>
      <w:r w:rsidR="00244C22" w:rsidRPr="00341ED2">
        <w:rPr>
          <w:iCs/>
        </w:rPr>
        <w:t>Guasimales</w:t>
      </w:r>
      <w:proofErr w:type="spellEnd"/>
      <w:r w:rsidR="00B66B52" w:rsidRPr="00341ED2">
        <w:rPr>
          <w:iCs/>
        </w:rPr>
        <w:t xml:space="preserve"> debido a cambios en su conducta</w:t>
      </w:r>
      <w:r w:rsidRPr="00341ED2">
        <w:rPr>
          <w:bCs/>
          <w:szCs w:val="28"/>
          <w:lang w:eastAsia="es-ES"/>
        </w:rPr>
        <w:t>.</w:t>
      </w:r>
      <w:r w:rsidR="00244C22" w:rsidRPr="00341ED2">
        <w:rPr>
          <w:bCs/>
          <w:szCs w:val="28"/>
          <w:lang w:eastAsia="es-ES"/>
        </w:rPr>
        <w:t xml:space="preserve"> </w:t>
      </w:r>
      <w:r w:rsidR="0021580B" w:rsidRPr="00341ED2">
        <w:rPr>
          <w:bCs/>
          <w:szCs w:val="28"/>
          <w:lang w:eastAsia="es-ES"/>
        </w:rPr>
        <w:t xml:space="preserve">El psiquiatra </w:t>
      </w:r>
      <w:r w:rsidR="002646F0" w:rsidRPr="00341ED2">
        <w:rPr>
          <w:bCs/>
          <w:szCs w:val="28"/>
          <w:lang w:eastAsia="es-ES"/>
        </w:rPr>
        <w:t>que</w:t>
      </w:r>
      <w:r w:rsidR="0021580B" w:rsidRPr="00341ED2">
        <w:rPr>
          <w:bCs/>
          <w:szCs w:val="28"/>
          <w:lang w:eastAsia="es-ES"/>
        </w:rPr>
        <w:t xml:space="preserve"> lo atendió indicó lo siguiente</w:t>
      </w:r>
      <w:r w:rsidR="00244C22" w:rsidRPr="00341ED2">
        <w:rPr>
          <w:bCs/>
          <w:szCs w:val="28"/>
          <w:lang w:eastAsia="es-ES"/>
        </w:rPr>
        <w:t>: «</w:t>
      </w:r>
      <w:r w:rsidR="00244C22" w:rsidRPr="00341ED2">
        <w:t>S</w:t>
      </w:r>
      <w:r w:rsidR="00244C22" w:rsidRPr="00341ED2">
        <w:rPr>
          <w:bCs/>
          <w:szCs w:val="28"/>
          <w:lang w:eastAsia="es-ES"/>
        </w:rPr>
        <w:t xml:space="preserve">oldado Activo. </w:t>
      </w:r>
      <w:r w:rsidR="00244C22" w:rsidRPr="00341ED2">
        <w:rPr>
          <w:iCs/>
        </w:rPr>
        <w:t>Hace 3 meses sufrió trauma craneano tras lo cual presentó rigidez a nivel de manos y dificultad en la articulación de la palabra […] dificultad por burlas en el Batallón, agredió por ello a un compañero</w:t>
      </w:r>
      <w:r w:rsidR="00B66B52" w:rsidRPr="00341ED2">
        <w:rPr>
          <w:iCs/>
        </w:rPr>
        <w:t xml:space="preserve">. </w:t>
      </w:r>
      <w:r w:rsidR="00B66B52" w:rsidRPr="00341ED2">
        <w:rPr>
          <w:szCs w:val="28"/>
          <w:lang w:eastAsia="es-ES"/>
        </w:rPr>
        <w:t>Diagnóstico:</w:t>
      </w:r>
      <w:r w:rsidR="00B66B52" w:rsidRPr="00341ED2">
        <w:rPr>
          <w:b/>
          <w:szCs w:val="28"/>
          <w:lang w:eastAsia="es-ES"/>
        </w:rPr>
        <w:t xml:space="preserve"> </w:t>
      </w:r>
      <w:r w:rsidR="00B66B52" w:rsidRPr="00341ED2">
        <w:rPr>
          <w:szCs w:val="28"/>
          <w:lang w:eastAsia="es-ES"/>
        </w:rPr>
        <w:t>Trastorno de Estrés Postraumático»</w:t>
      </w:r>
      <w:r w:rsidR="0047744F" w:rsidRPr="00341ED2">
        <w:rPr>
          <w:rStyle w:val="Refdenotaalpie"/>
          <w:szCs w:val="28"/>
          <w:lang w:eastAsia="es-ES"/>
        </w:rPr>
        <w:footnoteReference w:id="6"/>
      </w:r>
      <w:r w:rsidR="00B66B52" w:rsidRPr="00341ED2">
        <w:rPr>
          <w:szCs w:val="28"/>
          <w:lang w:eastAsia="es-ES"/>
        </w:rPr>
        <w:t>.</w:t>
      </w:r>
    </w:p>
    <w:p w14:paraId="423A2642" w14:textId="77777777" w:rsidR="00E4066E" w:rsidRPr="00341ED2" w:rsidRDefault="00E4066E" w:rsidP="000F393F">
      <w:pPr>
        <w:pStyle w:val="Prrafodelista"/>
        <w:widowControl w:val="0"/>
        <w:autoSpaceDE w:val="0"/>
        <w:autoSpaceDN w:val="0"/>
        <w:adjustRightInd w:val="0"/>
        <w:spacing w:after="160"/>
        <w:ind w:left="0"/>
        <w:rPr>
          <w:b/>
          <w:szCs w:val="28"/>
          <w:lang w:eastAsia="es-ES"/>
        </w:rPr>
      </w:pPr>
    </w:p>
    <w:p w14:paraId="46A3D4D1" w14:textId="49C8E338" w:rsidR="00CF1E86" w:rsidRPr="00341ED2" w:rsidRDefault="00E4066E" w:rsidP="000F393F">
      <w:pPr>
        <w:pStyle w:val="Prrafodelista"/>
        <w:widowControl w:val="0"/>
        <w:numPr>
          <w:ilvl w:val="1"/>
          <w:numId w:val="15"/>
        </w:numPr>
        <w:autoSpaceDE w:val="0"/>
        <w:autoSpaceDN w:val="0"/>
        <w:adjustRightInd w:val="0"/>
        <w:spacing w:after="160"/>
        <w:rPr>
          <w:b/>
          <w:szCs w:val="28"/>
          <w:lang w:eastAsia="es-ES"/>
        </w:rPr>
      </w:pPr>
      <w:r w:rsidRPr="00341ED2">
        <w:t xml:space="preserve">El 28 de noviembre de 2012, </w:t>
      </w:r>
      <w:r w:rsidR="002174CD" w:rsidRPr="002174CD">
        <w:rPr>
          <w:i/>
          <w:iCs/>
        </w:rPr>
        <w:t>Oscar</w:t>
      </w:r>
      <w:r w:rsidRPr="00341ED2">
        <w:t xml:space="preserve"> fue atendido nuevamente en la Clínica Stella Maris</w:t>
      </w:r>
      <w:r w:rsidR="00963EC8" w:rsidRPr="00341ED2">
        <w:t xml:space="preserve"> </w:t>
      </w:r>
      <w:r w:rsidR="0021580B" w:rsidRPr="00341ED2">
        <w:t>por sufrir</w:t>
      </w:r>
      <w:r w:rsidR="00956982" w:rsidRPr="00341ED2">
        <w:t xml:space="preserve"> dolores de cabeza recurrentes</w:t>
      </w:r>
      <w:r w:rsidR="0021580B" w:rsidRPr="00341ED2">
        <w:t xml:space="preserve"> e insomnio</w:t>
      </w:r>
      <w:r w:rsidR="00567FA8" w:rsidRPr="00341ED2">
        <w:t>.</w:t>
      </w:r>
      <w:r w:rsidR="00963EC8" w:rsidRPr="00341ED2">
        <w:t xml:space="preserve"> </w:t>
      </w:r>
      <w:r w:rsidR="00567FA8" w:rsidRPr="00341ED2">
        <w:t>El psiquiatra le</w:t>
      </w:r>
      <w:r w:rsidR="00963EC8" w:rsidRPr="00341ED2">
        <w:t xml:space="preserve"> formul</w:t>
      </w:r>
      <w:r w:rsidR="00567FA8" w:rsidRPr="00341ED2">
        <w:t>ó</w:t>
      </w:r>
      <w:r w:rsidR="006E1CD1" w:rsidRPr="00341ED2">
        <w:t xml:space="preserve"> </w:t>
      </w:r>
      <w:r w:rsidR="0021580B" w:rsidRPr="00341ED2">
        <w:rPr>
          <w:szCs w:val="28"/>
          <w:lang w:eastAsia="es-ES"/>
        </w:rPr>
        <w:t xml:space="preserve">50 miligramos de </w:t>
      </w:r>
      <w:proofErr w:type="spellStart"/>
      <w:r w:rsidR="0021580B" w:rsidRPr="00341ED2">
        <w:rPr>
          <w:szCs w:val="28"/>
          <w:lang w:eastAsia="es-ES"/>
        </w:rPr>
        <w:t>trazodona</w:t>
      </w:r>
      <w:proofErr w:type="spellEnd"/>
      <w:r w:rsidR="0021580B" w:rsidRPr="00341ED2">
        <w:rPr>
          <w:szCs w:val="28"/>
          <w:lang w:eastAsia="es-ES"/>
        </w:rPr>
        <w:t xml:space="preserve"> cada noche</w:t>
      </w:r>
      <w:r w:rsidR="0021580B" w:rsidRPr="00341ED2">
        <w:t xml:space="preserve"> </w:t>
      </w:r>
      <w:r w:rsidR="00963EC8" w:rsidRPr="00341ED2">
        <w:t xml:space="preserve">y </w:t>
      </w:r>
      <w:r w:rsidR="00567FA8" w:rsidRPr="00341ED2">
        <w:t>le o</w:t>
      </w:r>
      <w:r w:rsidR="00067FF1" w:rsidRPr="00341ED2">
        <w:t>torgó</w:t>
      </w:r>
      <w:r w:rsidR="00963EC8" w:rsidRPr="00341ED2">
        <w:t xml:space="preserve"> una </w:t>
      </w:r>
      <w:r w:rsidR="006E1CD1" w:rsidRPr="00341ED2">
        <w:t>incapacidad</w:t>
      </w:r>
      <w:r w:rsidR="00067FF1" w:rsidRPr="00341ED2">
        <w:t xml:space="preserve"> de 8 días,</w:t>
      </w:r>
      <w:r w:rsidR="003F4751" w:rsidRPr="00341ED2">
        <w:t xml:space="preserve"> </w:t>
      </w:r>
      <w:r w:rsidR="00963EC8" w:rsidRPr="00341ED2">
        <w:t>hasta el 6 de diciembre de 2012.</w:t>
      </w:r>
      <w:r w:rsidR="00963EC8" w:rsidRPr="00341ED2">
        <w:rPr>
          <w:rStyle w:val="Refdenotaalpie"/>
        </w:rPr>
        <w:footnoteReference w:id="7"/>
      </w:r>
    </w:p>
    <w:p w14:paraId="3C93E641" w14:textId="77777777" w:rsidR="00963EC8" w:rsidRPr="00341ED2" w:rsidRDefault="00963EC8" w:rsidP="000F393F">
      <w:pPr>
        <w:pStyle w:val="Prrafodelista"/>
        <w:widowControl w:val="0"/>
        <w:autoSpaceDE w:val="0"/>
        <w:autoSpaceDN w:val="0"/>
        <w:adjustRightInd w:val="0"/>
        <w:spacing w:after="160"/>
        <w:ind w:left="0"/>
        <w:rPr>
          <w:b/>
          <w:szCs w:val="28"/>
          <w:lang w:eastAsia="es-ES"/>
        </w:rPr>
      </w:pPr>
    </w:p>
    <w:p w14:paraId="711F9D57" w14:textId="35A0EE9E" w:rsidR="000C2691" w:rsidRPr="00341ED2" w:rsidRDefault="00B17636" w:rsidP="000F393F">
      <w:pPr>
        <w:pStyle w:val="Prrafodelista"/>
        <w:widowControl w:val="0"/>
        <w:numPr>
          <w:ilvl w:val="1"/>
          <w:numId w:val="15"/>
        </w:numPr>
        <w:autoSpaceDE w:val="0"/>
        <w:autoSpaceDN w:val="0"/>
        <w:adjustRightInd w:val="0"/>
        <w:spacing w:after="160"/>
        <w:rPr>
          <w:b/>
          <w:szCs w:val="28"/>
          <w:lang w:eastAsia="es-ES"/>
        </w:rPr>
      </w:pPr>
      <w:r w:rsidRPr="00341ED2">
        <w:t xml:space="preserve">El 7 de diciembre de 2012, </w:t>
      </w:r>
      <w:r w:rsidR="002174CD" w:rsidRPr="002174CD">
        <w:rPr>
          <w:i/>
          <w:iCs/>
        </w:rPr>
        <w:t>Oscar</w:t>
      </w:r>
      <w:r w:rsidRPr="00341ED2">
        <w:t xml:space="preserve"> fue retirado</w:t>
      </w:r>
      <w:r w:rsidR="009C7DAC" w:rsidRPr="00341ED2">
        <w:t xml:space="preserve"> del Ejército Nacional</w:t>
      </w:r>
      <w:r w:rsidRPr="00341ED2">
        <w:t>.</w:t>
      </w:r>
      <w:r w:rsidR="00E745EA" w:rsidRPr="00341ED2">
        <w:t xml:space="preserve"> </w:t>
      </w:r>
      <w:r w:rsidR="000C2691" w:rsidRPr="00341ED2">
        <w:rPr>
          <w:iCs/>
        </w:rPr>
        <w:t xml:space="preserve">En el examen médico de </w:t>
      </w:r>
      <w:r w:rsidR="000C2691" w:rsidRPr="00341ED2">
        <w:t xml:space="preserve">evacuación practicado </w:t>
      </w:r>
      <w:r w:rsidR="000C2691" w:rsidRPr="00341ED2">
        <w:rPr>
          <w:iCs/>
        </w:rPr>
        <w:t xml:space="preserve">el 30 de noviembre de 2012 </w:t>
      </w:r>
      <w:r w:rsidR="00567FA8" w:rsidRPr="00341ED2">
        <w:t>en</w:t>
      </w:r>
      <w:r w:rsidR="000C2691" w:rsidRPr="00341ED2">
        <w:t xml:space="preserve"> el </w:t>
      </w:r>
      <w:r w:rsidR="000C2691" w:rsidRPr="00341ED2">
        <w:rPr>
          <w:iCs/>
        </w:rPr>
        <w:t xml:space="preserve">Batallón ASPC No. 30 </w:t>
      </w:r>
      <w:proofErr w:type="spellStart"/>
      <w:r w:rsidR="000C2691" w:rsidRPr="00341ED2">
        <w:rPr>
          <w:iCs/>
        </w:rPr>
        <w:t>Guasimales</w:t>
      </w:r>
      <w:proofErr w:type="spellEnd"/>
      <w:r w:rsidR="000C2691" w:rsidRPr="00341ED2">
        <w:rPr>
          <w:iCs/>
        </w:rPr>
        <w:t xml:space="preserve">, </w:t>
      </w:r>
      <w:r w:rsidR="00233689" w:rsidRPr="00341ED2">
        <w:rPr>
          <w:iCs/>
        </w:rPr>
        <w:t xml:space="preserve">el </w:t>
      </w:r>
      <w:r w:rsidR="002646F0" w:rsidRPr="00341ED2">
        <w:rPr>
          <w:iCs/>
        </w:rPr>
        <w:t>joven</w:t>
      </w:r>
      <w:r w:rsidR="000C2691" w:rsidRPr="00341ED2">
        <w:rPr>
          <w:iCs/>
        </w:rPr>
        <w:t xml:space="preserve"> fue diagnosticado con «trastorno de adaptación»</w:t>
      </w:r>
      <w:r w:rsidR="000C2691" w:rsidRPr="00341ED2">
        <w:rPr>
          <w:rStyle w:val="Refdenotaalpie"/>
          <w:iCs/>
        </w:rPr>
        <w:footnoteReference w:id="8"/>
      </w:r>
      <w:r w:rsidR="000C2691" w:rsidRPr="00341ED2">
        <w:rPr>
          <w:iCs/>
        </w:rPr>
        <w:t xml:space="preserve"> y declarado no apto para seguir prestando el servicio militar obligatorio. </w:t>
      </w:r>
    </w:p>
    <w:p w14:paraId="7A7CD5B3" w14:textId="77777777" w:rsidR="0096459A" w:rsidRPr="00341ED2" w:rsidRDefault="0096459A" w:rsidP="000F393F">
      <w:pPr>
        <w:pStyle w:val="Prrafodelista"/>
        <w:widowControl w:val="0"/>
        <w:autoSpaceDE w:val="0"/>
        <w:autoSpaceDN w:val="0"/>
        <w:adjustRightInd w:val="0"/>
        <w:spacing w:after="160"/>
        <w:ind w:left="0"/>
        <w:rPr>
          <w:b/>
          <w:szCs w:val="28"/>
          <w:lang w:eastAsia="es-ES"/>
        </w:rPr>
      </w:pPr>
    </w:p>
    <w:p w14:paraId="1F6FD9EA" w14:textId="2F70A971" w:rsidR="00375393" w:rsidRPr="00341ED2" w:rsidRDefault="00390C36" w:rsidP="000F393F">
      <w:pPr>
        <w:pStyle w:val="Prrafodelista"/>
        <w:widowControl w:val="0"/>
        <w:numPr>
          <w:ilvl w:val="1"/>
          <w:numId w:val="15"/>
        </w:numPr>
        <w:autoSpaceDE w:val="0"/>
        <w:autoSpaceDN w:val="0"/>
        <w:adjustRightInd w:val="0"/>
        <w:spacing w:after="160"/>
        <w:rPr>
          <w:b/>
          <w:szCs w:val="28"/>
          <w:lang w:eastAsia="es-ES"/>
        </w:rPr>
      </w:pPr>
      <w:r w:rsidRPr="00341ED2">
        <w:t>Durante</w:t>
      </w:r>
      <w:r w:rsidR="00BD0AA0" w:rsidRPr="00341ED2">
        <w:t xml:space="preserve"> el año </w:t>
      </w:r>
      <w:r w:rsidR="00AE55E6" w:rsidRPr="00341ED2">
        <w:t xml:space="preserve">2013, </w:t>
      </w:r>
      <w:r w:rsidR="002174CD" w:rsidRPr="002174CD">
        <w:rPr>
          <w:i/>
          <w:iCs/>
        </w:rPr>
        <w:t>Oscar</w:t>
      </w:r>
      <w:r w:rsidR="00233689" w:rsidRPr="00341ED2">
        <w:t xml:space="preserve"> acudió a citas médicas en</w:t>
      </w:r>
      <w:r w:rsidR="00AE55E6" w:rsidRPr="00341ED2">
        <w:t xml:space="preserve"> la Clínica Stella Maris el 28 de febrero, el 18 de marzo</w:t>
      </w:r>
      <w:r w:rsidR="00BD0AA0" w:rsidRPr="00341ED2">
        <w:t xml:space="preserve">, </w:t>
      </w:r>
      <w:r w:rsidR="00AE55E6" w:rsidRPr="00341ED2">
        <w:t>el 15 de abril</w:t>
      </w:r>
      <w:r w:rsidR="00BD0AA0" w:rsidRPr="00341ED2">
        <w:t xml:space="preserve"> y el 4 de octubre</w:t>
      </w:r>
      <w:r w:rsidR="00AE55E6" w:rsidRPr="00341ED2">
        <w:t>.</w:t>
      </w:r>
      <w:r w:rsidR="005079E6" w:rsidRPr="00341ED2">
        <w:rPr>
          <w:rStyle w:val="Refdenotaalpie"/>
        </w:rPr>
        <w:footnoteReference w:id="9"/>
      </w:r>
      <w:r w:rsidR="00AE55E6" w:rsidRPr="00341ED2">
        <w:t xml:space="preserve"> </w:t>
      </w:r>
      <w:r w:rsidR="00332AF2" w:rsidRPr="00341ED2">
        <w:t>E</w:t>
      </w:r>
      <w:r w:rsidR="004418D9" w:rsidRPr="00341ED2">
        <w:t>n estas citas</w:t>
      </w:r>
      <w:r w:rsidR="00332AF2" w:rsidRPr="00341ED2">
        <w:t>,</w:t>
      </w:r>
      <w:r w:rsidR="004418D9" w:rsidRPr="00341ED2">
        <w:t xml:space="preserve"> </w:t>
      </w:r>
      <w:r w:rsidR="002174CD" w:rsidRPr="002174CD">
        <w:rPr>
          <w:i/>
          <w:iCs/>
        </w:rPr>
        <w:t>Oscar</w:t>
      </w:r>
      <w:r w:rsidR="004418D9" w:rsidRPr="00341ED2">
        <w:t xml:space="preserve"> manifestó </w:t>
      </w:r>
      <w:r w:rsidRPr="00341ED2">
        <w:t xml:space="preserve">sufrir </w:t>
      </w:r>
      <w:r w:rsidR="004418D9" w:rsidRPr="00341ED2">
        <w:t>dolores de cabeza recurrentes</w:t>
      </w:r>
      <w:r w:rsidRPr="00341ED2">
        <w:t>, conducta explosiva</w:t>
      </w:r>
      <w:r w:rsidR="004418D9" w:rsidRPr="00341ED2">
        <w:t xml:space="preserve"> </w:t>
      </w:r>
      <w:r w:rsidRPr="00341ED2">
        <w:t>e</w:t>
      </w:r>
      <w:r w:rsidR="004418D9" w:rsidRPr="00341ED2">
        <w:t xml:space="preserve"> insomnio</w:t>
      </w:r>
      <w:r w:rsidR="008F004C" w:rsidRPr="00341ED2">
        <w:t>. Le formularon</w:t>
      </w:r>
      <w:r w:rsidR="002646F0" w:rsidRPr="00341ED2">
        <w:t xml:space="preserve"> 250 miligramos de</w:t>
      </w:r>
      <w:r w:rsidR="008F004C" w:rsidRPr="00341ED2">
        <w:t xml:space="preserve"> ácido </w:t>
      </w:r>
      <w:proofErr w:type="spellStart"/>
      <w:r w:rsidR="008F004C" w:rsidRPr="00341ED2">
        <w:t>valproico</w:t>
      </w:r>
      <w:proofErr w:type="spellEnd"/>
      <w:r w:rsidR="002646F0" w:rsidRPr="00341ED2">
        <w:t xml:space="preserve"> tres veces al día y </w:t>
      </w:r>
      <w:r w:rsidR="002646F0" w:rsidRPr="00341ED2">
        <w:rPr>
          <w:szCs w:val="28"/>
          <w:lang w:eastAsia="es-ES"/>
        </w:rPr>
        <w:t xml:space="preserve">50 miligramos de </w:t>
      </w:r>
      <w:proofErr w:type="spellStart"/>
      <w:r w:rsidR="002646F0" w:rsidRPr="00341ED2">
        <w:rPr>
          <w:szCs w:val="28"/>
          <w:lang w:eastAsia="es-ES"/>
        </w:rPr>
        <w:t>trazodona</w:t>
      </w:r>
      <w:proofErr w:type="spellEnd"/>
      <w:r w:rsidR="002646F0" w:rsidRPr="00341ED2">
        <w:rPr>
          <w:szCs w:val="28"/>
          <w:lang w:eastAsia="es-ES"/>
        </w:rPr>
        <w:t xml:space="preserve"> cada noche</w:t>
      </w:r>
      <w:r w:rsidR="002646F0" w:rsidRPr="00341ED2">
        <w:t>. Finalmente,</w:t>
      </w:r>
      <w:r w:rsidRPr="00341ED2">
        <w:t xml:space="preserve"> en la cita del 4 de octubre,</w:t>
      </w:r>
      <w:r w:rsidR="008F004C" w:rsidRPr="00341ED2">
        <w:t xml:space="preserve"> le recomendaron «acudir a terapia ocupacional para iniciar su reincorporación social»</w:t>
      </w:r>
      <w:r w:rsidR="008F004C" w:rsidRPr="00341ED2">
        <w:rPr>
          <w:rStyle w:val="Refdenotaalpie"/>
        </w:rPr>
        <w:footnoteReference w:id="10"/>
      </w:r>
      <w:r w:rsidR="008F004C" w:rsidRPr="00341ED2">
        <w:t>.</w:t>
      </w:r>
    </w:p>
    <w:p w14:paraId="580E6502" w14:textId="77777777" w:rsidR="002646F0" w:rsidRPr="00341ED2" w:rsidRDefault="002646F0" w:rsidP="000F393F">
      <w:pPr>
        <w:pStyle w:val="Prrafodelista"/>
        <w:widowControl w:val="0"/>
        <w:autoSpaceDE w:val="0"/>
        <w:autoSpaceDN w:val="0"/>
        <w:adjustRightInd w:val="0"/>
        <w:spacing w:after="160"/>
        <w:ind w:left="0"/>
        <w:rPr>
          <w:b/>
          <w:szCs w:val="28"/>
          <w:lang w:eastAsia="es-ES"/>
        </w:rPr>
      </w:pPr>
    </w:p>
    <w:p w14:paraId="581656E3" w14:textId="52D5691B" w:rsidR="00C629B1" w:rsidRPr="00341ED2" w:rsidRDefault="00375393" w:rsidP="000F393F">
      <w:pPr>
        <w:pStyle w:val="Prrafodelista"/>
        <w:widowControl w:val="0"/>
        <w:numPr>
          <w:ilvl w:val="1"/>
          <w:numId w:val="15"/>
        </w:numPr>
        <w:autoSpaceDE w:val="0"/>
        <w:autoSpaceDN w:val="0"/>
        <w:adjustRightInd w:val="0"/>
        <w:spacing w:after="160"/>
        <w:rPr>
          <w:b/>
          <w:szCs w:val="28"/>
          <w:lang w:eastAsia="es-ES"/>
        </w:rPr>
      </w:pPr>
      <w:r w:rsidRPr="00341ED2">
        <w:rPr>
          <w:bCs/>
          <w:szCs w:val="28"/>
          <w:lang w:eastAsia="es-ES"/>
        </w:rPr>
        <w:t>E</w:t>
      </w:r>
      <w:r w:rsidR="00D80C95" w:rsidRPr="00341ED2">
        <w:rPr>
          <w:bCs/>
          <w:szCs w:val="28"/>
          <w:lang w:eastAsia="es-ES"/>
        </w:rPr>
        <w:t xml:space="preserve">l </w:t>
      </w:r>
      <w:r w:rsidR="005079E6" w:rsidRPr="00341ED2">
        <w:rPr>
          <w:bCs/>
          <w:szCs w:val="28"/>
          <w:lang w:eastAsia="es-ES"/>
        </w:rPr>
        <w:t xml:space="preserve">29 de julio de 2014, </w:t>
      </w:r>
      <w:r w:rsidR="00B8660C">
        <w:rPr>
          <w:i/>
          <w:iCs/>
          <w:spacing w:val="-2"/>
          <w:szCs w:val="28"/>
        </w:rPr>
        <w:t>Amalia</w:t>
      </w:r>
      <w:r w:rsidR="005079E6" w:rsidRPr="00341ED2">
        <w:t>, actuando en calidad de agente oficios</w:t>
      </w:r>
      <w:r w:rsidR="002174CD">
        <w:t>o</w:t>
      </w:r>
      <w:r w:rsidR="005079E6" w:rsidRPr="00341ED2">
        <w:t xml:space="preserve"> de </w:t>
      </w:r>
      <w:r w:rsidR="002174CD" w:rsidRPr="002174CD">
        <w:rPr>
          <w:i/>
          <w:iCs/>
        </w:rPr>
        <w:t>Oscar</w:t>
      </w:r>
      <w:r w:rsidR="005079E6" w:rsidRPr="00341ED2">
        <w:t>, presentó acción de tutela contra la Dirección de Sanidad del Ejército Nacional</w:t>
      </w:r>
      <w:r w:rsidR="0087634E" w:rsidRPr="00341ED2">
        <w:t xml:space="preserve"> por la vulneración de </w:t>
      </w:r>
      <w:r w:rsidR="00A414E7" w:rsidRPr="00341ED2">
        <w:t>sus</w:t>
      </w:r>
      <w:r w:rsidR="0087634E" w:rsidRPr="00341ED2">
        <w:t xml:space="preserve"> derechos</w:t>
      </w:r>
      <w:r w:rsidR="00A414E7" w:rsidRPr="00341ED2">
        <w:t xml:space="preserve"> fundamentales a la</w:t>
      </w:r>
      <w:r w:rsidR="0087634E" w:rsidRPr="00341ED2">
        <w:t xml:space="preserve"> salud y </w:t>
      </w:r>
      <w:r w:rsidR="00A414E7" w:rsidRPr="00341ED2">
        <w:t xml:space="preserve">de </w:t>
      </w:r>
      <w:r w:rsidR="0087634E" w:rsidRPr="00341ED2">
        <w:t>petición.</w:t>
      </w:r>
      <w:r w:rsidR="00DD3A81" w:rsidRPr="00341ED2">
        <w:rPr>
          <w:b/>
          <w:szCs w:val="28"/>
          <w:lang w:eastAsia="es-ES"/>
        </w:rPr>
        <w:t xml:space="preserve"> </w:t>
      </w:r>
      <w:r w:rsidR="00C31DC4" w:rsidRPr="00341ED2">
        <w:t>Indicó que el 5 de mayo de 2014 solicitó a la Dirección de Sanidad que</w:t>
      </w:r>
      <w:r w:rsidR="00DD3A81" w:rsidRPr="00341ED2">
        <w:t xml:space="preserve"> </w:t>
      </w:r>
      <w:r w:rsidR="00C45E4E" w:rsidRPr="00341ED2">
        <w:t>prestara</w:t>
      </w:r>
      <w:r w:rsidR="00DD3A81" w:rsidRPr="00341ED2">
        <w:t xml:space="preserve"> atención </w:t>
      </w:r>
      <w:r w:rsidR="005D3FEC" w:rsidRPr="00341ED2">
        <w:t xml:space="preserve">psiquiátrica </w:t>
      </w:r>
      <w:r w:rsidR="00C31DC4" w:rsidRPr="00341ED2">
        <w:t>a su hijo</w:t>
      </w:r>
      <w:r w:rsidR="00DD3A81" w:rsidRPr="00341ED2">
        <w:t xml:space="preserve"> y que convocara una Junta Médica Laboral</w:t>
      </w:r>
      <w:r w:rsidR="00C45E4E" w:rsidRPr="00341ED2">
        <w:t xml:space="preserve"> para determinar su nivel de pérdida de capacidad laboral</w:t>
      </w:r>
      <w:r w:rsidR="007631A9" w:rsidRPr="00341ED2">
        <w:t xml:space="preserve"> (PCL)</w:t>
      </w:r>
      <w:r w:rsidR="00C45E4E" w:rsidRPr="00341ED2">
        <w:t xml:space="preserve">. </w:t>
      </w:r>
      <w:r w:rsidR="00C2616F" w:rsidRPr="00341ED2">
        <w:t>A</w:t>
      </w:r>
      <w:r w:rsidR="00C45E4E" w:rsidRPr="00341ED2">
        <w:t>l momento de la presentación de la acción de tutela, la Dirección de Sanidad no había dado respuesta a</w:t>
      </w:r>
      <w:r w:rsidR="00C2616F" w:rsidRPr="00341ED2">
        <w:t xml:space="preserve"> su</w:t>
      </w:r>
      <w:r w:rsidR="00C45E4E" w:rsidRPr="00341ED2">
        <w:t xml:space="preserve"> derecho de petición. La accionante indicó que </w:t>
      </w:r>
      <w:r w:rsidR="00C31DC4" w:rsidRPr="00341ED2">
        <w:t>«</w:t>
      </w:r>
      <w:r w:rsidR="002174CD" w:rsidRPr="002174CD">
        <w:rPr>
          <w:i/>
          <w:iCs/>
        </w:rPr>
        <w:t>Oscar</w:t>
      </w:r>
      <w:r w:rsidR="00C31DC4" w:rsidRPr="00341ED2">
        <w:t xml:space="preserve"> tiene fuertes episodios psiquiátricos, y me siento impotente y dolida porque no atienden a mi hijo, siendo </w:t>
      </w:r>
      <w:r w:rsidR="00C45E4E" w:rsidRPr="00341ED2">
        <w:t>un</w:t>
      </w:r>
      <w:r w:rsidR="00C31DC4" w:rsidRPr="00341ED2">
        <w:t xml:space="preserve"> deber de ellos»</w:t>
      </w:r>
      <w:r w:rsidR="005D3FEC" w:rsidRPr="00341ED2">
        <w:rPr>
          <w:rStyle w:val="Refdenotaalpie"/>
        </w:rPr>
        <w:footnoteReference w:id="11"/>
      </w:r>
      <w:r w:rsidR="00C31DC4" w:rsidRPr="00341ED2">
        <w:t xml:space="preserve">. </w:t>
      </w:r>
      <w:r w:rsidR="00C45E4E" w:rsidRPr="00341ED2">
        <w:t xml:space="preserve">Además, señaló que actúa como agente oficioso de su hijo «debido a que él no se puede valer por sí solo </w:t>
      </w:r>
      <w:r w:rsidR="005D3FEC" w:rsidRPr="00341ED2">
        <w:t>por su grave condición de salud»</w:t>
      </w:r>
      <w:r w:rsidR="005D3FEC" w:rsidRPr="00341ED2">
        <w:rPr>
          <w:rStyle w:val="Refdenotaalpie"/>
        </w:rPr>
        <w:footnoteReference w:id="12"/>
      </w:r>
      <w:r w:rsidR="005D3FEC" w:rsidRPr="00341ED2">
        <w:t>.</w:t>
      </w:r>
    </w:p>
    <w:p w14:paraId="1E11DD87" w14:textId="77777777" w:rsidR="00CA6404" w:rsidRPr="00341ED2" w:rsidRDefault="00CA6404" w:rsidP="000F393F">
      <w:pPr>
        <w:pStyle w:val="Prrafodelista"/>
        <w:widowControl w:val="0"/>
        <w:autoSpaceDE w:val="0"/>
        <w:autoSpaceDN w:val="0"/>
        <w:adjustRightInd w:val="0"/>
        <w:spacing w:after="160"/>
        <w:ind w:left="0"/>
        <w:rPr>
          <w:rFonts w:eastAsiaTheme="minorHAnsi"/>
          <w:szCs w:val="28"/>
        </w:rPr>
      </w:pPr>
    </w:p>
    <w:p w14:paraId="6961C886" w14:textId="63359EA3" w:rsidR="009C7C4D" w:rsidRPr="00341ED2" w:rsidRDefault="00CA6404" w:rsidP="000F393F">
      <w:pPr>
        <w:pStyle w:val="Prrafodelista"/>
        <w:widowControl w:val="0"/>
        <w:numPr>
          <w:ilvl w:val="1"/>
          <w:numId w:val="15"/>
        </w:numPr>
        <w:autoSpaceDE w:val="0"/>
        <w:autoSpaceDN w:val="0"/>
        <w:adjustRightInd w:val="0"/>
        <w:spacing w:after="160"/>
        <w:rPr>
          <w:rFonts w:eastAsiaTheme="minorHAnsi"/>
          <w:szCs w:val="28"/>
        </w:rPr>
      </w:pPr>
      <w:r w:rsidRPr="00341ED2">
        <w:rPr>
          <w:bCs/>
          <w:szCs w:val="28"/>
          <w:lang w:eastAsia="es-ES"/>
        </w:rPr>
        <w:t xml:space="preserve">Mediante sentencia del 15 de agosto de 2014, la Sala Disciplinaria del Consejo Seccional de la Judicatura de Santander declaró improcedente el amparo solicitado por la señora </w:t>
      </w:r>
      <w:r w:rsidR="00B8660C">
        <w:rPr>
          <w:i/>
          <w:iCs/>
          <w:spacing w:val="-2"/>
          <w:szCs w:val="28"/>
        </w:rPr>
        <w:t>Amalia</w:t>
      </w:r>
      <w:r w:rsidRPr="00341ED2">
        <w:t>. Expuso que «la progenitora no allegó prueba alguna de la situación psiquiátrica de</w:t>
      </w:r>
      <w:r w:rsidR="002062A2" w:rsidRPr="00341ED2">
        <w:t xml:space="preserve"> su hijo</w:t>
      </w:r>
      <w:r w:rsidRPr="00341ED2">
        <w:t xml:space="preserve"> […] por lo que no es coherente la situación de la agencia oficiosa»</w:t>
      </w:r>
      <w:r w:rsidRPr="00341ED2">
        <w:rPr>
          <w:rStyle w:val="Refdenotaalpie"/>
        </w:rPr>
        <w:footnoteReference w:id="13"/>
      </w:r>
      <w:r w:rsidRPr="00341ED2">
        <w:t>. La accionante impugnó esta decisión.</w:t>
      </w:r>
      <w:r w:rsidR="00BD20DD" w:rsidRPr="00341ED2">
        <w:rPr>
          <w:rFonts w:eastAsiaTheme="minorHAnsi"/>
          <w:szCs w:val="28"/>
        </w:rPr>
        <w:t xml:space="preserve"> </w:t>
      </w:r>
    </w:p>
    <w:p w14:paraId="341E42AB" w14:textId="77777777" w:rsidR="00497102" w:rsidRPr="00341ED2" w:rsidRDefault="00497102" w:rsidP="000F393F">
      <w:pPr>
        <w:pStyle w:val="Prrafodelista"/>
        <w:widowControl w:val="0"/>
        <w:autoSpaceDE w:val="0"/>
        <w:autoSpaceDN w:val="0"/>
        <w:adjustRightInd w:val="0"/>
        <w:spacing w:after="160"/>
        <w:ind w:left="0"/>
        <w:rPr>
          <w:rFonts w:eastAsiaTheme="minorHAnsi"/>
          <w:szCs w:val="28"/>
        </w:rPr>
      </w:pPr>
    </w:p>
    <w:p w14:paraId="56ED46E3" w14:textId="3535596A" w:rsidR="00497102" w:rsidRPr="00341ED2" w:rsidRDefault="00EB6E0C"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El</w:t>
      </w:r>
      <w:r w:rsidR="0032746D" w:rsidRPr="00341ED2">
        <w:rPr>
          <w:rFonts w:eastAsiaTheme="minorHAnsi"/>
          <w:szCs w:val="28"/>
        </w:rPr>
        <w:t xml:space="preserve"> 1 de octubre de 2014, </w:t>
      </w:r>
      <w:r w:rsidR="00BD20DD" w:rsidRPr="00341ED2">
        <w:rPr>
          <w:rFonts w:eastAsiaTheme="minorHAnsi"/>
          <w:szCs w:val="28"/>
        </w:rPr>
        <w:t xml:space="preserve">la Sala Disciplinaria del Consejo Superior de la Judicatura revocó la </w:t>
      </w:r>
      <w:r w:rsidR="002062A2" w:rsidRPr="00341ED2">
        <w:rPr>
          <w:rFonts w:eastAsiaTheme="minorHAnsi"/>
          <w:szCs w:val="28"/>
        </w:rPr>
        <w:t>sentencia</w:t>
      </w:r>
      <w:r w:rsidR="00BD20DD" w:rsidRPr="00341ED2">
        <w:rPr>
          <w:rFonts w:eastAsiaTheme="minorHAnsi"/>
          <w:szCs w:val="28"/>
        </w:rPr>
        <w:t xml:space="preserve"> de primera instancia y, en su lugar, amparó los derechos fundamentales a la salud, vida y seguridad social de </w:t>
      </w:r>
      <w:r w:rsidR="002174CD" w:rsidRPr="002174CD">
        <w:rPr>
          <w:rFonts w:eastAsiaTheme="minorHAnsi"/>
          <w:i/>
          <w:iCs/>
          <w:szCs w:val="28"/>
        </w:rPr>
        <w:t>Oscar</w:t>
      </w:r>
      <w:r w:rsidR="00BD20DD" w:rsidRPr="00341ED2">
        <w:rPr>
          <w:rFonts w:eastAsiaTheme="minorHAnsi"/>
          <w:szCs w:val="28"/>
        </w:rPr>
        <w:t xml:space="preserve">. Expuso </w:t>
      </w:r>
      <w:r w:rsidR="00F36122" w:rsidRPr="00341ED2">
        <w:rPr>
          <w:rFonts w:eastAsiaTheme="minorHAnsi"/>
          <w:szCs w:val="28"/>
        </w:rPr>
        <w:t>que el artículo 8 del Decreto 1796 de 2000</w:t>
      </w:r>
      <w:r w:rsidR="009C7C4D" w:rsidRPr="00341ED2">
        <w:rPr>
          <w:rStyle w:val="Refdenotaalpie"/>
          <w:rFonts w:eastAsiaTheme="minorHAnsi"/>
          <w:szCs w:val="28"/>
        </w:rPr>
        <w:footnoteReference w:id="14"/>
      </w:r>
      <w:r w:rsidR="00F36122" w:rsidRPr="00341ED2">
        <w:rPr>
          <w:rFonts w:eastAsiaTheme="minorHAnsi"/>
          <w:szCs w:val="28"/>
        </w:rPr>
        <w:t xml:space="preserve"> establece que los exámenes </w:t>
      </w:r>
      <w:r w:rsidR="00F62A00" w:rsidRPr="00341ED2">
        <w:rPr>
          <w:rFonts w:eastAsiaTheme="minorHAnsi"/>
          <w:szCs w:val="28"/>
        </w:rPr>
        <w:t>médico-laborales</w:t>
      </w:r>
      <w:r w:rsidR="00F36122" w:rsidRPr="00341ED2">
        <w:rPr>
          <w:rFonts w:eastAsiaTheme="minorHAnsi"/>
          <w:szCs w:val="28"/>
        </w:rPr>
        <w:t xml:space="preserve"> que se deriven del examen médico de retiro de las Fuerzas Armadas deben observar completa continuidad</w:t>
      </w:r>
      <w:r w:rsidR="00C2616F" w:rsidRPr="00341ED2">
        <w:rPr>
          <w:rFonts w:eastAsiaTheme="minorHAnsi"/>
          <w:szCs w:val="28"/>
        </w:rPr>
        <w:t xml:space="preserve"> y ser realizados en un término razonable</w:t>
      </w:r>
      <w:r w:rsidR="00F36122" w:rsidRPr="00341ED2">
        <w:rPr>
          <w:rFonts w:eastAsiaTheme="minorHAnsi"/>
          <w:szCs w:val="28"/>
        </w:rPr>
        <w:t xml:space="preserve">. </w:t>
      </w:r>
      <w:r w:rsidR="00A619C6" w:rsidRPr="00341ED2">
        <w:rPr>
          <w:rFonts w:eastAsiaTheme="minorHAnsi"/>
          <w:szCs w:val="28"/>
        </w:rPr>
        <w:t>Frente al caso concreto</w:t>
      </w:r>
      <w:r w:rsidR="00FB63BE" w:rsidRPr="00341ED2">
        <w:rPr>
          <w:rFonts w:eastAsiaTheme="minorHAnsi"/>
          <w:szCs w:val="28"/>
        </w:rPr>
        <w:t>,</w:t>
      </w:r>
      <w:r w:rsidR="00A619C6" w:rsidRPr="00341ED2">
        <w:rPr>
          <w:rFonts w:eastAsiaTheme="minorHAnsi"/>
          <w:szCs w:val="28"/>
        </w:rPr>
        <w:t xml:space="preserve"> precisó que, a pesar de que </w:t>
      </w:r>
      <w:r w:rsidR="002174CD" w:rsidRPr="002174CD">
        <w:rPr>
          <w:rFonts w:eastAsiaTheme="minorHAnsi"/>
          <w:i/>
          <w:iCs/>
          <w:szCs w:val="28"/>
        </w:rPr>
        <w:t>Oscar</w:t>
      </w:r>
      <w:r w:rsidR="00A619C6" w:rsidRPr="00341ED2">
        <w:rPr>
          <w:rFonts w:eastAsiaTheme="minorHAnsi"/>
          <w:szCs w:val="28"/>
        </w:rPr>
        <w:t xml:space="preserve"> fue declarado no apto para seguir prestando el servicio militar obligatorio en diciembre de 2012, la Dirección de Sanidad a</w:t>
      </w:r>
      <w:r w:rsidR="00670E9E" w:rsidRPr="00341ED2">
        <w:rPr>
          <w:rFonts w:eastAsiaTheme="minorHAnsi"/>
          <w:szCs w:val="28"/>
        </w:rPr>
        <w:t xml:space="preserve">ún </w:t>
      </w:r>
      <w:r w:rsidR="00A619C6" w:rsidRPr="00341ED2">
        <w:rPr>
          <w:rFonts w:eastAsiaTheme="minorHAnsi"/>
          <w:szCs w:val="28"/>
        </w:rPr>
        <w:t>no lo ha</w:t>
      </w:r>
      <w:r w:rsidR="00670E9E" w:rsidRPr="00341ED2">
        <w:rPr>
          <w:rFonts w:eastAsiaTheme="minorHAnsi"/>
          <w:szCs w:val="28"/>
        </w:rPr>
        <w:t>bía</w:t>
      </w:r>
      <w:r w:rsidR="00A619C6" w:rsidRPr="00341ED2">
        <w:rPr>
          <w:rFonts w:eastAsiaTheme="minorHAnsi"/>
          <w:szCs w:val="28"/>
        </w:rPr>
        <w:t xml:space="preserve"> convocado a los exámenes médicos-laborales necesarios para determinar </w:t>
      </w:r>
      <w:r w:rsidR="00670E9E" w:rsidRPr="00341ED2">
        <w:rPr>
          <w:rFonts w:eastAsiaTheme="minorHAnsi"/>
          <w:szCs w:val="28"/>
        </w:rPr>
        <w:t>el alcance de</w:t>
      </w:r>
      <w:r w:rsidR="00A619C6" w:rsidRPr="00341ED2">
        <w:rPr>
          <w:rFonts w:eastAsiaTheme="minorHAnsi"/>
          <w:szCs w:val="28"/>
        </w:rPr>
        <w:t xml:space="preserve"> las lesiones que </w:t>
      </w:r>
      <w:r w:rsidR="00FB63BE" w:rsidRPr="00341ED2">
        <w:rPr>
          <w:rFonts w:eastAsiaTheme="minorHAnsi"/>
          <w:szCs w:val="28"/>
        </w:rPr>
        <w:t xml:space="preserve">forzaron </w:t>
      </w:r>
      <w:r w:rsidR="00A619C6" w:rsidRPr="00341ED2">
        <w:rPr>
          <w:rFonts w:eastAsiaTheme="minorHAnsi"/>
          <w:szCs w:val="28"/>
        </w:rPr>
        <w:t xml:space="preserve">su retiro del Ejército Nacional. </w:t>
      </w:r>
      <w:r w:rsidR="009C7C4D" w:rsidRPr="00341ED2">
        <w:rPr>
          <w:rFonts w:eastAsiaTheme="minorHAnsi"/>
          <w:szCs w:val="28"/>
        </w:rPr>
        <w:t>Por lo</w:t>
      </w:r>
      <w:r w:rsidR="00F62A00" w:rsidRPr="00341ED2">
        <w:rPr>
          <w:rFonts w:eastAsiaTheme="minorHAnsi"/>
          <w:szCs w:val="28"/>
        </w:rPr>
        <w:t xml:space="preserve"> anterior, </w:t>
      </w:r>
      <w:r w:rsidR="009C7C4D" w:rsidRPr="00341ED2">
        <w:rPr>
          <w:rFonts w:eastAsiaTheme="minorHAnsi"/>
          <w:szCs w:val="28"/>
        </w:rPr>
        <w:t xml:space="preserve">ordenó </w:t>
      </w:r>
      <w:r w:rsidR="00F62A00" w:rsidRPr="00341ED2">
        <w:rPr>
          <w:rFonts w:eastAsiaTheme="minorHAnsi"/>
          <w:szCs w:val="28"/>
        </w:rPr>
        <w:t>a la Dirección de Sanidad del Ejército Nacional que</w:t>
      </w:r>
    </w:p>
    <w:p w14:paraId="18DED486" w14:textId="77777777" w:rsidR="00497102" w:rsidRPr="00341ED2" w:rsidRDefault="00497102" w:rsidP="000F393F">
      <w:pPr>
        <w:pStyle w:val="Prrafodelista"/>
        <w:widowControl w:val="0"/>
        <w:autoSpaceDE w:val="0"/>
        <w:autoSpaceDN w:val="0"/>
        <w:adjustRightInd w:val="0"/>
        <w:spacing w:after="160"/>
        <w:ind w:left="0"/>
        <w:rPr>
          <w:rFonts w:eastAsiaTheme="minorHAnsi"/>
          <w:szCs w:val="28"/>
        </w:rPr>
      </w:pPr>
    </w:p>
    <w:p w14:paraId="745CCAED" w14:textId="42B17F71" w:rsidR="004734C9" w:rsidRPr="00341ED2" w:rsidRDefault="00497102" w:rsidP="000F393F">
      <w:pPr>
        <w:pStyle w:val="Prrafodelista"/>
        <w:widowControl w:val="0"/>
        <w:autoSpaceDE w:val="0"/>
        <w:autoSpaceDN w:val="0"/>
        <w:adjustRightInd w:val="0"/>
        <w:ind w:left="567" w:right="567"/>
        <w:rPr>
          <w:rFonts w:eastAsiaTheme="minorHAnsi"/>
          <w:sz w:val="26"/>
          <w:szCs w:val="26"/>
        </w:rPr>
      </w:pPr>
      <w:r w:rsidRPr="00341ED2">
        <w:rPr>
          <w:rFonts w:eastAsiaTheme="minorHAnsi"/>
          <w:sz w:val="26"/>
          <w:szCs w:val="26"/>
        </w:rPr>
        <w:t>«</w:t>
      </w:r>
      <w:proofErr w:type="gramStart"/>
      <w:r w:rsidR="00A619C6" w:rsidRPr="00341ED2">
        <w:rPr>
          <w:rFonts w:eastAsiaTheme="minorHAnsi"/>
          <w:sz w:val="26"/>
          <w:szCs w:val="26"/>
        </w:rPr>
        <w:t>p</w:t>
      </w:r>
      <w:r w:rsidR="004734C9" w:rsidRPr="00341ED2">
        <w:rPr>
          <w:rFonts w:eastAsiaTheme="minorHAnsi"/>
          <w:sz w:val="26"/>
          <w:szCs w:val="26"/>
        </w:rPr>
        <w:t>roceda</w:t>
      </w:r>
      <w:proofErr w:type="gramEnd"/>
      <w:r w:rsidR="004734C9" w:rsidRPr="00341ED2">
        <w:rPr>
          <w:rFonts w:eastAsiaTheme="minorHAnsi"/>
          <w:sz w:val="26"/>
          <w:szCs w:val="26"/>
        </w:rPr>
        <w:t xml:space="preserve"> con la realización de los exámenes médicos pendientes de practicar a </w:t>
      </w:r>
      <w:r w:rsidR="002174CD">
        <w:rPr>
          <w:rFonts w:eastAsiaTheme="minorHAnsi"/>
          <w:sz w:val="26"/>
          <w:szCs w:val="26"/>
        </w:rPr>
        <w:t>[</w:t>
      </w:r>
      <w:r w:rsidR="002174CD" w:rsidRPr="002174CD">
        <w:rPr>
          <w:rFonts w:eastAsiaTheme="minorHAnsi"/>
          <w:i/>
          <w:iCs/>
          <w:sz w:val="26"/>
          <w:szCs w:val="26"/>
        </w:rPr>
        <w:t>Oscar</w:t>
      </w:r>
      <w:r w:rsidR="002174CD">
        <w:rPr>
          <w:rFonts w:eastAsiaTheme="minorHAnsi"/>
          <w:sz w:val="26"/>
          <w:szCs w:val="26"/>
        </w:rPr>
        <w:t>]</w:t>
      </w:r>
      <w:r w:rsidRPr="00341ED2">
        <w:rPr>
          <w:rFonts w:eastAsiaTheme="minorHAnsi"/>
          <w:sz w:val="26"/>
          <w:szCs w:val="26"/>
        </w:rPr>
        <w:t xml:space="preserve"> </w:t>
      </w:r>
      <w:r w:rsidR="004734C9" w:rsidRPr="00341ED2">
        <w:rPr>
          <w:rFonts w:eastAsiaTheme="minorHAnsi"/>
          <w:sz w:val="26"/>
          <w:szCs w:val="26"/>
        </w:rPr>
        <w:t>y</w:t>
      </w:r>
      <w:r w:rsidRPr="00341ED2">
        <w:rPr>
          <w:rFonts w:eastAsiaTheme="minorHAnsi"/>
          <w:sz w:val="26"/>
          <w:szCs w:val="26"/>
        </w:rPr>
        <w:t xml:space="preserve">/o la obtención de otros conceptos de pruebas médicas, […] y proceda con </w:t>
      </w:r>
      <w:r w:rsidR="00A619C6" w:rsidRPr="00341ED2">
        <w:rPr>
          <w:rFonts w:eastAsiaTheme="minorHAnsi"/>
          <w:sz w:val="26"/>
          <w:szCs w:val="26"/>
        </w:rPr>
        <w:t>l</w:t>
      </w:r>
      <w:r w:rsidRPr="00341ED2">
        <w:rPr>
          <w:rFonts w:eastAsiaTheme="minorHAnsi"/>
          <w:sz w:val="26"/>
          <w:szCs w:val="26"/>
        </w:rPr>
        <w:t>a convocatoria de la Junta Médico Laboral. En todo caso, se deberá mantener la vinculación del agenciado al subsistema de Salud de las Fuerzas Militares mientras no haya recuperado la normalidad del estado de salud por cuenta del padecimiento psiquiátrico que lo aqueja.»</w:t>
      </w:r>
      <w:r w:rsidRPr="00341ED2">
        <w:rPr>
          <w:rStyle w:val="Refdenotaalpie"/>
          <w:rFonts w:eastAsiaTheme="minorHAnsi"/>
          <w:szCs w:val="28"/>
        </w:rPr>
        <w:footnoteReference w:id="15"/>
      </w:r>
    </w:p>
    <w:p w14:paraId="653F352D" w14:textId="77777777" w:rsidR="00497102" w:rsidRPr="00341ED2" w:rsidRDefault="00497102" w:rsidP="000F393F">
      <w:pPr>
        <w:pStyle w:val="Prrafodelista"/>
        <w:rPr>
          <w:rFonts w:eastAsiaTheme="minorHAnsi"/>
          <w:szCs w:val="28"/>
        </w:rPr>
      </w:pPr>
    </w:p>
    <w:p w14:paraId="0B4EB33F" w14:textId="4ADED30A" w:rsidR="00497102" w:rsidRPr="00341ED2" w:rsidRDefault="00A42302"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El 21 de noviembre de 2016, mediante el Acta No. 91458, la Junta Médica Laboral del Ejército Nacional determinó que </w:t>
      </w:r>
      <w:r w:rsidR="002174CD" w:rsidRPr="002174CD">
        <w:rPr>
          <w:rFonts w:eastAsiaTheme="minorHAnsi"/>
          <w:i/>
          <w:iCs/>
          <w:szCs w:val="28"/>
        </w:rPr>
        <w:t>Oscar</w:t>
      </w:r>
      <w:r w:rsidRPr="00341ED2">
        <w:rPr>
          <w:rFonts w:eastAsiaTheme="minorHAnsi"/>
          <w:szCs w:val="28"/>
        </w:rPr>
        <w:t xml:space="preserve"> </w:t>
      </w:r>
      <w:r w:rsidR="00C07524" w:rsidRPr="00341ED2">
        <w:rPr>
          <w:rFonts w:eastAsiaTheme="minorHAnsi"/>
          <w:szCs w:val="28"/>
        </w:rPr>
        <w:t xml:space="preserve">tenía una </w:t>
      </w:r>
      <w:r w:rsidR="007631A9" w:rsidRPr="00341ED2">
        <w:rPr>
          <w:rFonts w:eastAsiaTheme="minorHAnsi"/>
          <w:szCs w:val="28"/>
        </w:rPr>
        <w:t>PCL</w:t>
      </w:r>
      <w:r w:rsidR="00C07524" w:rsidRPr="00341ED2">
        <w:rPr>
          <w:rFonts w:eastAsiaTheme="minorHAnsi"/>
          <w:szCs w:val="28"/>
        </w:rPr>
        <w:t xml:space="preserve"> del 11.5%. </w:t>
      </w:r>
      <w:r w:rsidR="00713175" w:rsidRPr="00341ED2">
        <w:rPr>
          <w:rFonts w:eastAsiaTheme="minorHAnsi"/>
          <w:szCs w:val="28"/>
        </w:rPr>
        <w:t>Con base en</w:t>
      </w:r>
      <w:r w:rsidR="00AC6951" w:rsidRPr="00341ED2">
        <w:rPr>
          <w:rFonts w:eastAsiaTheme="minorHAnsi"/>
          <w:szCs w:val="28"/>
        </w:rPr>
        <w:t xml:space="preserve"> los conceptos de neuropsicología, neurología y psiquiatría, </w:t>
      </w:r>
      <w:r w:rsidR="00BF433D" w:rsidRPr="00341ED2">
        <w:rPr>
          <w:rFonts w:eastAsiaTheme="minorHAnsi"/>
          <w:szCs w:val="28"/>
        </w:rPr>
        <w:t xml:space="preserve">la Junta estableció </w:t>
      </w:r>
      <w:r w:rsidR="00AC6951" w:rsidRPr="00341ED2">
        <w:rPr>
          <w:rFonts w:eastAsiaTheme="minorHAnsi"/>
          <w:szCs w:val="28"/>
        </w:rPr>
        <w:t xml:space="preserve">el </w:t>
      </w:r>
      <w:r w:rsidR="00BF433D" w:rsidRPr="00341ED2">
        <w:rPr>
          <w:rFonts w:eastAsiaTheme="minorHAnsi"/>
          <w:szCs w:val="28"/>
        </w:rPr>
        <w:t xml:space="preserve">siguiente </w:t>
      </w:r>
      <w:r w:rsidR="00AC6951" w:rsidRPr="00341ED2">
        <w:rPr>
          <w:rFonts w:eastAsiaTheme="minorHAnsi"/>
          <w:szCs w:val="28"/>
        </w:rPr>
        <w:t xml:space="preserve">diagnóstico </w:t>
      </w:r>
      <w:r w:rsidR="00BF433D" w:rsidRPr="00341ED2">
        <w:rPr>
          <w:rFonts w:eastAsiaTheme="minorHAnsi"/>
          <w:szCs w:val="28"/>
        </w:rPr>
        <w:t>de las lesiones</w:t>
      </w:r>
      <w:r w:rsidR="00AC6951" w:rsidRPr="00341ED2">
        <w:rPr>
          <w:rFonts w:eastAsiaTheme="minorHAnsi"/>
          <w:szCs w:val="28"/>
        </w:rPr>
        <w:t xml:space="preserve">: «trauma craneoencefálico que deja como secuela síndrome mental orgánico (trastorno </w:t>
      </w:r>
      <w:proofErr w:type="spellStart"/>
      <w:r w:rsidR="00AC6951" w:rsidRPr="00341ED2">
        <w:rPr>
          <w:rFonts w:eastAsiaTheme="minorHAnsi"/>
          <w:szCs w:val="28"/>
        </w:rPr>
        <w:t>neurocognitivo</w:t>
      </w:r>
      <w:proofErr w:type="spellEnd"/>
      <w:r w:rsidR="00AC6951" w:rsidRPr="00341ED2">
        <w:rPr>
          <w:rFonts w:eastAsiaTheme="minorHAnsi"/>
          <w:szCs w:val="28"/>
        </w:rPr>
        <w:t>, amnesia parcial, cefalea y trastorno del comportamiento secundario a lesión cerebral)»</w:t>
      </w:r>
      <w:r w:rsidR="00AC6951" w:rsidRPr="00341ED2">
        <w:rPr>
          <w:rStyle w:val="Refdenotaalpie"/>
          <w:rFonts w:eastAsiaTheme="minorHAnsi"/>
          <w:szCs w:val="28"/>
        </w:rPr>
        <w:footnoteReference w:id="16"/>
      </w:r>
      <w:r w:rsidR="00AC6951" w:rsidRPr="00341ED2">
        <w:rPr>
          <w:rFonts w:eastAsiaTheme="minorHAnsi"/>
          <w:szCs w:val="28"/>
        </w:rPr>
        <w:t>.</w:t>
      </w:r>
    </w:p>
    <w:p w14:paraId="5932261C" w14:textId="77777777" w:rsidR="00F4496D" w:rsidRPr="00341ED2" w:rsidRDefault="00F4496D" w:rsidP="000F393F">
      <w:pPr>
        <w:pStyle w:val="Prrafodelista"/>
        <w:widowControl w:val="0"/>
        <w:autoSpaceDE w:val="0"/>
        <w:autoSpaceDN w:val="0"/>
        <w:adjustRightInd w:val="0"/>
        <w:spacing w:after="160"/>
        <w:ind w:left="0"/>
        <w:rPr>
          <w:rFonts w:eastAsiaTheme="minorHAnsi"/>
          <w:szCs w:val="28"/>
        </w:rPr>
      </w:pPr>
    </w:p>
    <w:p w14:paraId="7C1085DB" w14:textId="3D1ABB56" w:rsidR="007674DB" w:rsidRPr="00341ED2" w:rsidRDefault="00FE640C"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Demanda de reparación directa</w:t>
      </w:r>
      <w:r w:rsidRPr="00341ED2">
        <w:rPr>
          <w:rFonts w:eastAsiaTheme="minorHAnsi"/>
          <w:szCs w:val="28"/>
        </w:rPr>
        <w:t xml:space="preserve">. El 22 de febrero de 2017, la señora </w:t>
      </w:r>
      <w:r w:rsidR="00B8660C" w:rsidRPr="00B8660C">
        <w:rPr>
          <w:i/>
          <w:iCs/>
        </w:rPr>
        <w:t xml:space="preserve">Amalia </w:t>
      </w:r>
      <w:r w:rsidRPr="00341ED2">
        <w:t>y su núcleo familiar, a</w:t>
      </w:r>
      <w:r w:rsidR="007674DB" w:rsidRPr="00341ED2">
        <w:t>ctuando</w:t>
      </w:r>
      <w:r w:rsidRPr="00341ED2">
        <w:t xml:space="preserve"> través de apoderado judicial, presentaron solicitud de conciliación </w:t>
      </w:r>
      <w:r w:rsidR="007674DB" w:rsidRPr="00341ED2">
        <w:t>extrajudicial</w:t>
      </w:r>
      <w:r w:rsidRPr="00341ED2">
        <w:t xml:space="preserve"> ante la Procuraduría 24 Judicial II para Asuntos Administrativos de Norte de Santander. </w:t>
      </w:r>
      <w:r w:rsidR="007674DB" w:rsidRPr="00341ED2">
        <w:t>El 24 de abril del mismo año, l</w:t>
      </w:r>
      <w:r w:rsidRPr="00341ED2">
        <w:t xml:space="preserve">a Procuraduría convocó a la Nación-Ministerio de Defensa-Ejército Nacional a conciliación con la señora </w:t>
      </w:r>
      <w:r w:rsidR="00B8660C">
        <w:rPr>
          <w:i/>
          <w:iCs/>
          <w:spacing w:val="-2"/>
          <w:szCs w:val="28"/>
        </w:rPr>
        <w:t>Amalia</w:t>
      </w:r>
      <w:r w:rsidRPr="00341ED2">
        <w:t xml:space="preserve"> y su núcleo familiar</w:t>
      </w:r>
      <w:r w:rsidR="00567FA8" w:rsidRPr="00341ED2">
        <w:t>;</w:t>
      </w:r>
      <w:r w:rsidRPr="00341ED2">
        <w:t xml:space="preserve"> sin embargo, </w:t>
      </w:r>
      <w:r w:rsidR="007674DB" w:rsidRPr="00341ED2">
        <w:t xml:space="preserve">las partes no pudieron llegar a un acuerdo y la conciliación fue declarada fallida. </w:t>
      </w:r>
      <w:r w:rsidR="00F4496D" w:rsidRPr="00341ED2">
        <w:t xml:space="preserve">Con lo anterior, se dio por agotado el requisito de </w:t>
      </w:r>
      <w:proofErr w:type="spellStart"/>
      <w:r w:rsidR="00F4496D" w:rsidRPr="00341ED2">
        <w:t>procedibilidad</w:t>
      </w:r>
      <w:proofErr w:type="spellEnd"/>
      <w:r w:rsidR="00F4496D" w:rsidRPr="00341ED2">
        <w:t xml:space="preserve"> previsto por el artículo 161.1 de la Ley 1437 de 2011.</w:t>
      </w:r>
    </w:p>
    <w:p w14:paraId="254CEE41" w14:textId="77777777" w:rsidR="00F4496D" w:rsidRPr="00341ED2" w:rsidRDefault="00F4496D" w:rsidP="000F393F">
      <w:pPr>
        <w:pStyle w:val="Prrafodelista"/>
        <w:widowControl w:val="0"/>
        <w:autoSpaceDE w:val="0"/>
        <w:autoSpaceDN w:val="0"/>
        <w:adjustRightInd w:val="0"/>
        <w:spacing w:after="160"/>
        <w:ind w:left="0"/>
        <w:rPr>
          <w:rFonts w:eastAsiaTheme="minorHAnsi"/>
          <w:szCs w:val="28"/>
        </w:rPr>
      </w:pPr>
    </w:p>
    <w:p w14:paraId="4C002C24" w14:textId="444998F0" w:rsidR="00B62EB4" w:rsidRPr="00341ED2" w:rsidRDefault="007674DB"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El 12 de junio de 2017,</w:t>
      </w:r>
      <w:r w:rsidR="00F4496D" w:rsidRPr="00341ED2">
        <w:rPr>
          <w:rFonts w:eastAsiaTheme="minorHAnsi"/>
          <w:szCs w:val="28"/>
        </w:rPr>
        <w:t xml:space="preserve"> la</w:t>
      </w:r>
      <w:r w:rsidRPr="00341ED2">
        <w:rPr>
          <w:rFonts w:eastAsiaTheme="minorHAnsi"/>
          <w:szCs w:val="28"/>
        </w:rPr>
        <w:t xml:space="preserve"> señora </w:t>
      </w:r>
      <w:r w:rsidR="00B8660C">
        <w:rPr>
          <w:i/>
          <w:iCs/>
          <w:spacing w:val="-2"/>
          <w:szCs w:val="28"/>
        </w:rPr>
        <w:t>Amalia</w:t>
      </w:r>
      <w:r w:rsidR="00B8660C" w:rsidRPr="00341ED2">
        <w:t xml:space="preserve"> </w:t>
      </w:r>
      <w:r w:rsidRPr="00341ED2">
        <w:t>y su núcleo familiar present</w:t>
      </w:r>
      <w:r w:rsidR="00F4496D" w:rsidRPr="00341ED2">
        <w:t>aron</w:t>
      </w:r>
      <w:r w:rsidRPr="00341ED2">
        <w:t xml:space="preserve"> demanda de reparación directa contra la Nación-Ministerio de Defensa-Ejército Nacional </w:t>
      </w:r>
      <w:r w:rsidR="00F4496D" w:rsidRPr="00341ED2">
        <w:t xml:space="preserve">por «los </w:t>
      </w:r>
      <w:r w:rsidR="00F4496D" w:rsidRPr="00341ED2">
        <w:rPr>
          <w:rFonts w:eastAsiaTheme="minorHAnsi"/>
          <w:szCs w:val="28"/>
        </w:rPr>
        <w:t xml:space="preserve">perjuicios materiales e inmateriales que nos fueron ocasionados por las lesiones y secuelas mentales irreversibles sufridas por el soldado bachiller </w:t>
      </w:r>
      <w:r w:rsidR="002174CD" w:rsidRPr="002174CD">
        <w:rPr>
          <w:rFonts w:eastAsiaTheme="minorHAnsi"/>
          <w:i/>
          <w:iCs/>
          <w:szCs w:val="28"/>
        </w:rPr>
        <w:t>Oscar</w:t>
      </w:r>
      <w:r w:rsidR="00F4496D" w:rsidRPr="00341ED2">
        <w:rPr>
          <w:rFonts w:eastAsiaTheme="minorHAnsi"/>
          <w:szCs w:val="28"/>
        </w:rPr>
        <w:t>»</w:t>
      </w:r>
      <w:r w:rsidR="00F4496D" w:rsidRPr="00341ED2">
        <w:rPr>
          <w:rStyle w:val="Refdenotaalpie"/>
          <w:rFonts w:eastAsiaTheme="minorHAnsi"/>
          <w:szCs w:val="28"/>
        </w:rPr>
        <w:footnoteReference w:id="17"/>
      </w:r>
      <w:r w:rsidR="00F4496D" w:rsidRPr="00341ED2">
        <w:rPr>
          <w:rFonts w:eastAsiaTheme="minorHAnsi"/>
          <w:szCs w:val="28"/>
        </w:rPr>
        <w:t>.</w:t>
      </w:r>
      <w:r w:rsidR="00F95456" w:rsidRPr="00341ED2">
        <w:rPr>
          <w:rFonts w:eastAsiaTheme="minorHAnsi"/>
          <w:szCs w:val="28"/>
        </w:rPr>
        <w:t xml:space="preserve"> Los demandantes afirmaron que, mientras se encontraba prestando el servicio militar obligatorio, </w:t>
      </w:r>
      <w:r w:rsidR="002174CD" w:rsidRPr="002174CD">
        <w:rPr>
          <w:rFonts w:eastAsiaTheme="minorHAnsi"/>
          <w:i/>
          <w:iCs/>
          <w:szCs w:val="28"/>
        </w:rPr>
        <w:t>Oscar</w:t>
      </w:r>
      <w:r w:rsidR="00F95456" w:rsidRPr="00341ED2">
        <w:rPr>
          <w:rFonts w:eastAsiaTheme="minorHAnsi"/>
          <w:szCs w:val="28"/>
        </w:rPr>
        <w:t xml:space="preserve"> sufrió un golpe en la cabeza que le ocasionó una lesión cerebral</w:t>
      </w:r>
      <w:r w:rsidR="00567FA8" w:rsidRPr="00341ED2">
        <w:rPr>
          <w:rFonts w:eastAsiaTheme="minorHAnsi"/>
          <w:szCs w:val="28"/>
        </w:rPr>
        <w:t>,</w:t>
      </w:r>
      <w:r w:rsidR="00F95456" w:rsidRPr="00341ED2">
        <w:rPr>
          <w:rFonts w:eastAsiaTheme="minorHAnsi"/>
          <w:szCs w:val="28"/>
        </w:rPr>
        <w:t xml:space="preserve"> </w:t>
      </w:r>
      <w:r w:rsidR="00567FA8" w:rsidRPr="00341ED2">
        <w:rPr>
          <w:rFonts w:eastAsiaTheme="minorHAnsi"/>
          <w:szCs w:val="28"/>
        </w:rPr>
        <w:t>a</w:t>
      </w:r>
      <w:r w:rsidR="00F95456" w:rsidRPr="00341ED2">
        <w:rPr>
          <w:rFonts w:eastAsiaTheme="minorHAnsi"/>
          <w:szCs w:val="28"/>
        </w:rPr>
        <w:t xml:space="preserve"> raíz de</w:t>
      </w:r>
      <w:r w:rsidR="00567FA8" w:rsidRPr="00341ED2">
        <w:rPr>
          <w:rFonts w:eastAsiaTheme="minorHAnsi"/>
          <w:szCs w:val="28"/>
        </w:rPr>
        <w:t xml:space="preserve"> la cual </w:t>
      </w:r>
      <w:r w:rsidR="00F95456" w:rsidRPr="00341ED2">
        <w:rPr>
          <w:rFonts w:eastAsiaTheme="minorHAnsi"/>
          <w:szCs w:val="28"/>
        </w:rPr>
        <w:t xml:space="preserve">fue declarado </w:t>
      </w:r>
      <w:r w:rsidR="00B62EB4" w:rsidRPr="00341ED2">
        <w:rPr>
          <w:rFonts w:eastAsiaTheme="minorHAnsi"/>
          <w:szCs w:val="28"/>
        </w:rPr>
        <w:t xml:space="preserve">no apto y dado de baja por el Ejército Nacional. Por lo anterior, precisaron que, como los hechos sucedieron durante el término de conscripción del joven, «debe declararse al Ejército Nacional administrativa y patrimonialmente responsable en razón de las lesiones mentales y la </w:t>
      </w:r>
      <w:r w:rsidR="007631A9" w:rsidRPr="00341ED2">
        <w:rPr>
          <w:rFonts w:eastAsiaTheme="minorHAnsi"/>
          <w:szCs w:val="28"/>
        </w:rPr>
        <w:t>PCL</w:t>
      </w:r>
      <w:r w:rsidR="00B62EB4" w:rsidRPr="00341ED2">
        <w:rPr>
          <w:rFonts w:eastAsiaTheme="minorHAnsi"/>
          <w:szCs w:val="28"/>
        </w:rPr>
        <w:t xml:space="preserve"> que sufrió el soldado regular en cumplimiento de una carga impuesta por el Estado, sin estar obligado a ello»</w:t>
      </w:r>
      <w:r w:rsidR="00B62EB4" w:rsidRPr="00341ED2">
        <w:rPr>
          <w:rStyle w:val="Refdenotaalpie"/>
          <w:rFonts w:eastAsiaTheme="minorHAnsi"/>
          <w:szCs w:val="28"/>
        </w:rPr>
        <w:footnoteReference w:id="18"/>
      </w:r>
      <w:r w:rsidR="00B62EB4" w:rsidRPr="00341ED2">
        <w:rPr>
          <w:rFonts w:eastAsiaTheme="minorHAnsi"/>
          <w:szCs w:val="28"/>
        </w:rPr>
        <w:t>.</w:t>
      </w:r>
    </w:p>
    <w:p w14:paraId="3FAF1C60" w14:textId="77777777" w:rsidR="00023751" w:rsidRPr="00341ED2" w:rsidRDefault="00023751" w:rsidP="000F393F">
      <w:pPr>
        <w:pStyle w:val="Prrafodelista"/>
        <w:widowControl w:val="0"/>
        <w:autoSpaceDE w:val="0"/>
        <w:autoSpaceDN w:val="0"/>
        <w:adjustRightInd w:val="0"/>
        <w:spacing w:after="160"/>
        <w:ind w:left="0"/>
        <w:rPr>
          <w:rFonts w:eastAsiaTheme="minorHAnsi"/>
          <w:szCs w:val="28"/>
        </w:rPr>
      </w:pPr>
    </w:p>
    <w:p w14:paraId="0A4B5497" w14:textId="3B5BBF7A" w:rsidR="00B92EF3" w:rsidRPr="00341ED2" w:rsidRDefault="00023751"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En cuanto a la situación de </w:t>
      </w:r>
      <w:r w:rsidR="002174CD" w:rsidRPr="002174CD">
        <w:rPr>
          <w:rFonts w:eastAsiaTheme="minorHAnsi"/>
          <w:i/>
          <w:iCs/>
          <w:szCs w:val="28"/>
        </w:rPr>
        <w:t>Oscar</w:t>
      </w:r>
      <w:r w:rsidRPr="00341ED2">
        <w:rPr>
          <w:rFonts w:eastAsiaTheme="minorHAnsi"/>
          <w:szCs w:val="28"/>
        </w:rPr>
        <w:t>, señalaron lo siguiente:</w:t>
      </w:r>
    </w:p>
    <w:p w14:paraId="11C58B2E" w14:textId="77777777" w:rsidR="00B92EF3" w:rsidRPr="00341ED2" w:rsidRDefault="00B92EF3" w:rsidP="000F393F">
      <w:pPr>
        <w:pStyle w:val="Prrafodelista"/>
        <w:widowControl w:val="0"/>
        <w:autoSpaceDE w:val="0"/>
        <w:autoSpaceDN w:val="0"/>
        <w:adjustRightInd w:val="0"/>
        <w:spacing w:after="160"/>
        <w:ind w:left="0"/>
        <w:rPr>
          <w:rFonts w:eastAsiaTheme="minorHAnsi"/>
          <w:szCs w:val="28"/>
        </w:rPr>
      </w:pPr>
    </w:p>
    <w:p w14:paraId="258D1F27" w14:textId="2E6EF0CB" w:rsidR="00B92EF3" w:rsidRPr="00341ED2" w:rsidRDefault="00023751"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lang w:val="es-CO"/>
        </w:rPr>
        <w:t>«</w:t>
      </w:r>
      <w:r w:rsidR="002174CD" w:rsidRPr="002174CD">
        <w:rPr>
          <w:rFonts w:eastAsiaTheme="minorHAnsi"/>
          <w:i/>
          <w:iCs/>
          <w:sz w:val="26"/>
          <w:szCs w:val="26"/>
          <w:lang w:val="es-CO"/>
        </w:rPr>
        <w:t>Oscar</w:t>
      </w:r>
      <w:r w:rsidRPr="00341ED2">
        <w:rPr>
          <w:rFonts w:eastAsiaTheme="minorHAnsi"/>
          <w:sz w:val="26"/>
          <w:szCs w:val="26"/>
          <w:lang w:val="es-CO"/>
        </w:rPr>
        <w:t xml:space="preserve"> </w:t>
      </w:r>
      <w:r w:rsidR="00C44B4E" w:rsidRPr="00341ED2">
        <w:rPr>
          <w:rFonts w:eastAsiaTheme="minorHAnsi"/>
          <w:sz w:val="26"/>
          <w:szCs w:val="26"/>
          <w:lang w:val="es-CO"/>
        </w:rPr>
        <w:t>es un joven de escasos 24 años de edad que a causa del trastorno</w:t>
      </w:r>
      <w:r w:rsidR="00B62EB4" w:rsidRPr="00341ED2">
        <w:rPr>
          <w:rFonts w:eastAsiaTheme="minorHAnsi"/>
          <w:sz w:val="26"/>
          <w:szCs w:val="26"/>
          <w:lang w:val="es-CO"/>
        </w:rPr>
        <w:t xml:space="preserve"> </w:t>
      </w:r>
      <w:r w:rsidR="00C44B4E" w:rsidRPr="00341ED2">
        <w:rPr>
          <w:rFonts w:eastAsiaTheme="minorHAnsi"/>
          <w:sz w:val="26"/>
          <w:szCs w:val="26"/>
          <w:lang w:val="es-CO"/>
        </w:rPr>
        <w:t>mental que adquirió durante la conscripción tiene su lenguaje comprometido, posee una</w:t>
      </w:r>
      <w:r w:rsidR="00B62EB4" w:rsidRPr="00341ED2">
        <w:rPr>
          <w:rFonts w:eastAsiaTheme="minorHAnsi"/>
          <w:sz w:val="26"/>
          <w:szCs w:val="26"/>
          <w:lang w:val="es-CO"/>
        </w:rPr>
        <w:t xml:space="preserve"> </w:t>
      </w:r>
      <w:r w:rsidR="00C44B4E" w:rsidRPr="00341ED2">
        <w:rPr>
          <w:rFonts w:eastAsiaTheme="minorHAnsi"/>
          <w:sz w:val="26"/>
          <w:szCs w:val="26"/>
          <w:lang w:val="es-CO"/>
        </w:rPr>
        <w:t>dificultad motora por el debilitamiento o alteración de la sensibilidad de los sentidos. Mantiene</w:t>
      </w:r>
      <w:r w:rsidR="00B62EB4" w:rsidRPr="00341ED2">
        <w:rPr>
          <w:rFonts w:eastAsiaTheme="minorHAnsi"/>
          <w:sz w:val="26"/>
          <w:szCs w:val="26"/>
          <w:lang w:val="es-CO"/>
        </w:rPr>
        <w:t xml:space="preserve"> </w:t>
      </w:r>
      <w:r w:rsidR="00C44B4E" w:rsidRPr="00341ED2">
        <w:rPr>
          <w:rFonts w:eastAsiaTheme="minorHAnsi"/>
          <w:sz w:val="26"/>
          <w:szCs w:val="26"/>
          <w:lang w:val="es-CO"/>
        </w:rPr>
        <w:t>callado, apático, con mirada fija y dificultad para hablar; tiene pérdida de la memoria,</w:t>
      </w:r>
      <w:r w:rsidR="00B62EB4" w:rsidRPr="00341ED2">
        <w:rPr>
          <w:rFonts w:eastAsiaTheme="minorHAnsi"/>
          <w:sz w:val="26"/>
          <w:szCs w:val="26"/>
          <w:lang w:val="es-CO"/>
        </w:rPr>
        <w:t xml:space="preserve"> </w:t>
      </w:r>
      <w:r w:rsidR="00C44B4E" w:rsidRPr="00341ED2">
        <w:rPr>
          <w:rFonts w:eastAsiaTheme="minorHAnsi"/>
          <w:sz w:val="26"/>
          <w:szCs w:val="26"/>
          <w:lang w:val="es-CO"/>
        </w:rPr>
        <w:t xml:space="preserve">cefalea constante; requerirá control psiquiátrico de forma indefinida. </w:t>
      </w:r>
      <w:r w:rsidRPr="00341ED2">
        <w:rPr>
          <w:rFonts w:eastAsiaTheme="minorHAnsi"/>
          <w:sz w:val="26"/>
          <w:szCs w:val="26"/>
          <w:lang w:val="es-CO"/>
        </w:rPr>
        <w:t>E</w:t>
      </w:r>
      <w:r w:rsidR="00C44B4E" w:rsidRPr="00341ED2">
        <w:rPr>
          <w:rFonts w:eastAsiaTheme="minorHAnsi"/>
          <w:sz w:val="26"/>
          <w:szCs w:val="26"/>
          <w:lang w:val="es-CO"/>
        </w:rPr>
        <w:t>sta clase de</w:t>
      </w:r>
      <w:r w:rsidR="00B62EB4" w:rsidRPr="00341ED2">
        <w:rPr>
          <w:rFonts w:eastAsiaTheme="minorHAnsi"/>
          <w:sz w:val="26"/>
          <w:szCs w:val="26"/>
          <w:lang w:val="es-CO"/>
        </w:rPr>
        <w:t xml:space="preserve"> </w:t>
      </w:r>
      <w:r w:rsidR="00C44B4E" w:rsidRPr="00341ED2">
        <w:rPr>
          <w:rFonts w:eastAsiaTheme="minorHAnsi"/>
          <w:sz w:val="26"/>
          <w:szCs w:val="26"/>
          <w:lang w:val="es-CO"/>
        </w:rPr>
        <w:t xml:space="preserve">trastornos dañaron las relaciones de </w:t>
      </w:r>
      <w:r w:rsidR="002174CD" w:rsidRPr="002174CD">
        <w:rPr>
          <w:rFonts w:eastAsiaTheme="minorHAnsi"/>
          <w:bCs/>
          <w:i/>
          <w:iCs/>
          <w:sz w:val="26"/>
          <w:szCs w:val="26"/>
          <w:lang w:val="es-CO"/>
        </w:rPr>
        <w:t>Oscar</w:t>
      </w:r>
      <w:r w:rsidRPr="00341ED2">
        <w:rPr>
          <w:rFonts w:eastAsiaTheme="minorHAnsi"/>
          <w:b/>
          <w:bCs/>
          <w:sz w:val="26"/>
          <w:szCs w:val="26"/>
          <w:lang w:val="es-CO"/>
        </w:rPr>
        <w:t xml:space="preserve"> </w:t>
      </w:r>
      <w:r w:rsidR="00C44B4E" w:rsidRPr="00341ED2">
        <w:rPr>
          <w:rFonts w:eastAsiaTheme="minorHAnsi"/>
          <w:sz w:val="26"/>
          <w:szCs w:val="26"/>
          <w:lang w:val="es-CO"/>
        </w:rPr>
        <w:t>con sus familiares, amigos y</w:t>
      </w:r>
      <w:r w:rsidR="00B62EB4" w:rsidRPr="00341ED2">
        <w:rPr>
          <w:rFonts w:eastAsiaTheme="minorHAnsi"/>
          <w:sz w:val="26"/>
          <w:szCs w:val="26"/>
          <w:lang w:val="es-CO"/>
        </w:rPr>
        <w:t xml:space="preserve"> </w:t>
      </w:r>
      <w:r w:rsidR="00C44B4E" w:rsidRPr="00341ED2">
        <w:rPr>
          <w:rFonts w:eastAsiaTheme="minorHAnsi"/>
          <w:sz w:val="26"/>
          <w:szCs w:val="26"/>
          <w:lang w:val="es-CO"/>
        </w:rPr>
        <w:t xml:space="preserve">personas más cercanas, pues se ha convertido en un hombre agresivo y </w:t>
      </w:r>
      <w:proofErr w:type="spellStart"/>
      <w:r w:rsidR="00C44B4E" w:rsidRPr="00341ED2">
        <w:rPr>
          <w:rFonts w:eastAsiaTheme="minorHAnsi"/>
          <w:sz w:val="26"/>
          <w:szCs w:val="26"/>
          <w:lang w:val="es-CO"/>
        </w:rPr>
        <w:t>codependiente</w:t>
      </w:r>
      <w:proofErr w:type="spellEnd"/>
      <w:r w:rsidR="00B62EB4" w:rsidRPr="00341ED2">
        <w:rPr>
          <w:rFonts w:eastAsiaTheme="minorHAnsi"/>
          <w:sz w:val="26"/>
          <w:szCs w:val="26"/>
          <w:lang w:val="es-CO"/>
        </w:rPr>
        <w:t xml:space="preserve"> </w:t>
      </w:r>
      <w:r w:rsidR="00C44B4E" w:rsidRPr="00341ED2">
        <w:rPr>
          <w:rFonts w:eastAsiaTheme="minorHAnsi"/>
          <w:sz w:val="26"/>
          <w:szCs w:val="26"/>
          <w:lang w:val="es-CO"/>
        </w:rPr>
        <w:t>de sus padres</w:t>
      </w:r>
      <w:r w:rsidR="00C44B4E" w:rsidRPr="00341ED2">
        <w:rPr>
          <w:rFonts w:eastAsiaTheme="minorHAnsi"/>
          <w:bCs/>
          <w:sz w:val="26"/>
          <w:szCs w:val="26"/>
          <w:lang w:val="es-CO"/>
        </w:rPr>
        <w:t>,</w:t>
      </w:r>
      <w:r w:rsidR="00C44B4E" w:rsidRPr="00341ED2">
        <w:rPr>
          <w:rFonts w:eastAsiaTheme="minorHAnsi"/>
          <w:b/>
          <w:bCs/>
          <w:sz w:val="26"/>
          <w:szCs w:val="26"/>
          <w:lang w:val="es-CO"/>
        </w:rPr>
        <w:t xml:space="preserve"> </w:t>
      </w:r>
      <w:r w:rsidRPr="00341ED2">
        <w:rPr>
          <w:rFonts w:eastAsiaTheme="minorHAnsi"/>
          <w:sz w:val="26"/>
          <w:szCs w:val="26"/>
          <w:lang w:val="es-CO"/>
        </w:rPr>
        <w:t>cuya</w:t>
      </w:r>
      <w:r w:rsidR="00C44B4E" w:rsidRPr="00341ED2">
        <w:rPr>
          <w:rFonts w:eastAsiaTheme="minorHAnsi"/>
          <w:sz w:val="26"/>
          <w:szCs w:val="26"/>
          <w:lang w:val="es-CO"/>
        </w:rPr>
        <w:t xml:space="preserve"> vida cambió</w:t>
      </w:r>
      <w:r w:rsidR="00B62EB4" w:rsidRPr="00341ED2">
        <w:rPr>
          <w:rFonts w:eastAsiaTheme="minorHAnsi"/>
          <w:sz w:val="26"/>
          <w:szCs w:val="26"/>
          <w:lang w:val="es-CO"/>
        </w:rPr>
        <w:t xml:space="preserve"> </w:t>
      </w:r>
      <w:r w:rsidR="00C44B4E" w:rsidRPr="00341ED2">
        <w:rPr>
          <w:rFonts w:eastAsiaTheme="minorHAnsi"/>
          <w:sz w:val="26"/>
          <w:szCs w:val="26"/>
          <w:lang w:val="es-CO"/>
        </w:rPr>
        <w:t xml:space="preserve">de forma radical por el padecimiento de su </w:t>
      </w:r>
      <w:r w:rsidRPr="00341ED2">
        <w:rPr>
          <w:rFonts w:eastAsiaTheme="minorHAnsi"/>
          <w:sz w:val="26"/>
          <w:szCs w:val="26"/>
          <w:lang w:val="es-CO"/>
        </w:rPr>
        <w:t>hijo»</w:t>
      </w:r>
      <w:r w:rsidR="00C44B4E" w:rsidRPr="00341ED2">
        <w:rPr>
          <w:rFonts w:eastAsiaTheme="minorHAnsi"/>
          <w:sz w:val="26"/>
          <w:szCs w:val="26"/>
          <w:lang w:val="es-CO"/>
        </w:rPr>
        <w:t>.</w:t>
      </w:r>
    </w:p>
    <w:p w14:paraId="014ADE0E" w14:textId="77777777" w:rsidR="00B92EF3" w:rsidRPr="00341ED2" w:rsidRDefault="00B92EF3" w:rsidP="000F393F">
      <w:pPr>
        <w:pStyle w:val="Prrafodelista"/>
        <w:widowControl w:val="0"/>
        <w:autoSpaceDE w:val="0"/>
        <w:autoSpaceDN w:val="0"/>
        <w:adjustRightInd w:val="0"/>
        <w:spacing w:after="160"/>
        <w:ind w:left="0"/>
        <w:rPr>
          <w:rFonts w:eastAsiaTheme="minorHAnsi"/>
          <w:szCs w:val="28"/>
        </w:rPr>
      </w:pPr>
    </w:p>
    <w:p w14:paraId="694EC878" w14:textId="526CBE74" w:rsidR="004D481D" w:rsidRPr="00341ED2" w:rsidRDefault="0023345B" w:rsidP="007861C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Admisión de la demanda de reparación directa y c</w:t>
      </w:r>
      <w:r w:rsidR="00023751" w:rsidRPr="00341ED2">
        <w:rPr>
          <w:rFonts w:eastAsiaTheme="minorHAnsi"/>
          <w:i/>
          <w:szCs w:val="28"/>
        </w:rPr>
        <w:t>ontestación del Ejército Nacional</w:t>
      </w:r>
      <w:r w:rsidR="00023751" w:rsidRPr="00341ED2">
        <w:rPr>
          <w:rFonts w:eastAsiaTheme="minorHAnsi"/>
          <w:szCs w:val="28"/>
        </w:rPr>
        <w:t xml:space="preserve">. </w:t>
      </w:r>
      <w:r w:rsidRPr="00341ED2">
        <w:rPr>
          <w:rFonts w:eastAsiaTheme="minorHAnsi"/>
          <w:szCs w:val="28"/>
        </w:rPr>
        <w:t xml:space="preserve">El 25 de julio de 2017, el Juzgado Quinto Administrativo Oral de Cúcuta admitió la demanda. </w:t>
      </w:r>
      <w:r w:rsidR="00CF338E" w:rsidRPr="00341ED2">
        <w:rPr>
          <w:rFonts w:eastAsiaTheme="minorHAnsi"/>
          <w:szCs w:val="28"/>
        </w:rPr>
        <w:t>Mediante escrito del 8 de noviembre de 2017, el Ejército Nacional argumentó que no se consolidó la responsabilidad del Estado. Expuso que «para que surja la obligación del Estado de reparar los perjuicios sufridos por los conscriptos debe acreditarse que el daño tuvo alguna relación con el servicio, es decir que se produjo por causa o con ocasión del mismo»</w:t>
      </w:r>
      <w:r w:rsidR="00BB7248" w:rsidRPr="00341ED2">
        <w:rPr>
          <w:rStyle w:val="Refdenotaalpie"/>
          <w:rFonts w:eastAsiaTheme="minorHAnsi"/>
          <w:szCs w:val="28"/>
        </w:rPr>
        <w:footnoteReference w:id="19"/>
      </w:r>
      <w:r w:rsidR="00CF338E" w:rsidRPr="00341ED2">
        <w:rPr>
          <w:rFonts w:eastAsiaTheme="minorHAnsi"/>
          <w:szCs w:val="28"/>
        </w:rPr>
        <w:t xml:space="preserve">. </w:t>
      </w:r>
      <w:r w:rsidR="00BB7248" w:rsidRPr="00341ED2">
        <w:rPr>
          <w:iCs/>
        </w:rPr>
        <w:t xml:space="preserve">No obstante, en </w:t>
      </w:r>
      <w:r w:rsidR="0032555F" w:rsidRPr="00341ED2">
        <w:rPr>
          <w:iCs/>
        </w:rPr>
        <w:t>el</w:t>
      </w:r>
      <w:r w:rsidR="00BB7248" w:rsidRPr="00341ED2">
        <w:rPr>
          <w:iCs/>
        </w:rPr>
        <w:t xml:space="preserve"> caso concreto el Ejército Nacional «no es responsable del daño que se le endilga, pues no hay prueba que demuestre que el mismo le es atribuible»</w:t>
      </w:r>
      <w:r w:rsidR="00BB7248" w:rsidRPr="00341ED2">
        <w:rPr>
          <w:rStyle w:val="Refdenotaalpie"/>
          <w:iCs/>
        </w:rPr>
        <w:footnoteReference w:id="20"/>
      </w:r>
      <w:r w:rsidR="004D481D" w:rsidRPr="00341ED2">
        <w:rPr>
          <w:iCs/>
        </w:rPr>
        <w:t>.</w:t>
      </w:r>
      <w:r w:rsidR="00BB7248" w:rsidRPr="00341ED2">
        <w:rPr>
          <w:iCs/>
        </w:rPr>
        <w:t xml:space="preserve"> </w:t>
      </w:r>
      <w:r w:rsidR="004D481D" w:rsidRPr="00341ED2">
        <w:rPr>
          <w:iCs/>
        </w:rPr>
        <w:t>P</w:t>
      </w:r>
      <w:r w:rsidR="00BB7248" w:rsidRPr="00341ED2">
        <w:rPr>
          <w:iCs/>
        </w:rPr>
        <w:t xml:space="preserve">recisó que «el Ejército Nacional en ningún momento sometió a una actividad riesgosa al soldado </w:t>
      </w:r>
      <w:r w:rsidR="002174CD">
        <w:rPr>
          <w:iCs/>
        </w:rPr>
        <w:t>[</w:t>
      </w:r>
      <w:r w:rsidR="002174CD" w:rsidRPr="002174CD">
        <w:rPr>
          <w:i/>
          <w:iCs/>
        </w:rPr>
        <w:t>OSCAR</w:t>
      </w:r>
      <w:r w:rsidR="002174CD">
        <w:rPr>
          <w:iCs/>
        </w:rPr>
        <w:t>]</w:t>
      </w:r>
      <w:r w:rsidR="00BB7248" w:rsidRPr="00341ED2">
        <w:rPr>
          <w:iCs/>
        </w:rPr>
        <w:t>. Es más no obra prueba del accidente que dicho ex soldado bachiller tuvo durante la prestación del servicio militar»</w:t>
      </w:r>
      <w:r w:rsidR="00BB7248" w:rsidRPr="00341ED2">
        <w:rPr>
          <w:rStyle w:val="Refdenotaalpie"/>
          <w:iCs/>
        </w:rPr>
        <w:footnoteReference w:id="21"/>
      </w:r>
      <w:r w:rsidR="00BB7248" w:rsidRPr="00341ED2">
        <w:rPr>
          <w:iCs/>
        </w:rPr>
        <w:t xml:space="preserve">. Por lo tanto, al no existir claridad sobre la forma en que sucedió el daño, </w:t>
      </w:r>
      <w:r w:rsidR="00B92EF3" w:rsidRPr="00341ED2">
        <w:rPr>
          <w:iCs/>
        </w:rPr>
        <w:t>el Ejército Nacional argumentó que debe considerarse que se trata</w:t>
      </w:r>
      <w:r w:rsidR="00B92EF3" w:rsidRPr="00341ED2">
        <w:rPr>
          <w:rFonts w:eastAsiaTheme="minorHAnsi"/>
          <w:szCs w:val="28"/>
        </w:rPr>
        <w:t xml:space="preserve"> </w:t>
      </w:r>
      <w:r w:rsidR="00BB7248" w:rsidRPr="00341ED2">
        <w:rPr>
          <w:iCs/>
        </w:rPr>
        <w:t>de un</w:t>
      </w:r>
      <w:r w:rsidR="00B92EF3" w:rsidRPr="00341ED2">
        <w:rPr>
          <w:iCs/>
        </w:rPr>
        <w:t xml:space="preserve">a enfermedad </w:t>
      </w:r>
      <w:r w:rsidR="00BB7248" w:rsidRPr="00341ED2">
        <w:rPr>
          <w:iCs/>
        </w:rPr>
        <w:t xml:space="preserve">de origen común </w:t>
      </w:r>
      <w:r w:rsidR="00B92EF3" w:rsidRPr="00341ED2">
        <w:rPr>
          <w:iCs/>
        </w:rPr>
        <w:t xml:space="preserve">frente a la que el Estado no tiene ninguna responsabilidad. </w:t>
      </w:r>
    </w:p>
    <w:p w14:paraId="3778AD50" w14:textId="77777777" w:rsidR="006E04DF" w:rsidRPr="00341ED2" w:rsidRDefault="006E04DF" w:rsidP="000F393F">
      <w:pPr>
        <w:pStyle w:val="Prrafodelista"/>
        <w:widowControl w:val="0"/>
        <w:autoSpaceDE w:val="0"/>
        <w:autoSpaceDN w:val="0"/>
        <w:adjustRightInd w:val="0"/>
        <w:spacing w:after="160"/>
        <w:ind w:left="0"/>
        <w:rPr>
          <w:rFonts w:eastAsiaTheme="minorHAnsi"/>
          <w:szCs w:val="28"/>
        </w:rPr>
      </w:pPr>
    </w:p>
    <w:p w14:paraId="19542BB1" w14:textId="2CC65954" w:rsidR="003127A5" w:rsidRPr="00341ED2" w:rsidRDefault="0023345B" w:rsidP="000F393F">
      <w:pPr>
        <w:pStyle w:val="Prrafodelista"/>
        <w:widowControl w:val="0"/>
        <w:numPr>
          <w:ilvl w:val="1"/>
          <w:numId w:val="15"/>
        </w:numPr>
        <w:autoSpaceDE w:val="0"/>
        <w:autoSpaceDN w:val="0"/>
        <w:adjustRightInd w:val="0"/>
        <w:spacing w:after="160"/>
        <w:rPr>
          <w:rFonts w:eastAsiaTheme="minorHAnsi"/>
          <w:szCs w:val="28"/>
        </w:rPr>
      </w:pPr>
      <w:r w:rsidRPr="00341ED2">
        <w:rPr>
          <w:i/>
          <w:iCs/>
        </w:rPr>
        <w:t>P</w:t>
      </w:r>
      <w:r w:rsidR="00023751" w:rsidRPr="00341ED2">
        <w:rPr>
          <w:i/>
          <w:iCs/>
        </w:rPr>
        <w:t>ráctica de pruebas</w:t>
      </w:r>
      <w:r w:rsidR="00023751" w:rsidRPr="00341ED2">
        <w:rPr>
          <w:iCs/>
        </w:rPr>
        <w:t xml:space="preserve">. </w:t>
      </w:r>
      <w:r w:rsidR="00E71919" w:rsidRPr="00341ED2">
        <w:rPr>
          <w:rFonts w:eastAsiaTheme="minorHAnsi"/>
          <w:szCs w:val="28"/>
        </w:rPr>
        <w:t xml:space="preserve">En la audiencia inicial, celebrada el 20 de marzo de 2019, </w:t>
      </w:r>
      <w:r w:rsidR="003127A5" w:rsidRPr="00341ED2">
        <w:rPr>
          <w:rFonts w:eastAsiaTheme="minorHAnsi"/>
          <w:szCs w:val="28"/>
        </w:rPr>
        <w:t xml:space="preserve">el </w:t>
      </w:r>
      <w:r w:rsidRPr="00341ED2">
        <w:rPr>
          <w:rFonts w:eastAsiaTheme="minorHAnsi"/>
          <w:szCs w:val="28"/>
        </w:rPr>
        <w:t xml:space="preserve">Juzgado Quinto Administrativo Oral de Cúcuta </w:t>
      </w:r>
      <w:r w:rsidR="00E71919" w:rsidRPr="00341ED2">
        <w:rPr>
          <w:rFonts w:eastAsiaTheme="minorHAnsi"/>
          <w:szCs w:val="28"/>
        </w:rPr>
        <w:t xml:space="preserve">ordenó al Ejército Nacional que remitiera copia íntegra y auténtica de los exámenes médicos </w:t>
      </w:r>
      <w:r w:rsidR="007235A4" w:rsidRPr="00341ED2">
        <w:rPr>
          <w:rFonts w:eastAsiaTheme="minorHAnsi"/>
          <w:szCs w:val="28"/>
        </w:rPr>
        <w:t xml:space="preserve">de </w:t>
      </w:r>
      <w:r w:rsidR="00E71919" w:rsidRPr="00341ED2">
        <w:rPr>
          <w:rFonts w:eastAsiaTheme="minorHAnsi"/>
          <w:szCs w:val="28"/>
        </w:rPr>
        <w:t xml:space="preserve">que le fueron practicados a </w:t>
      </w:r>
      <w:r w:rsidR="002174CD" w:rsidRPr="002174CD">
        <w:rPr>
          <w:rFonts w:eastAsiaTheme="minorHAnsi"/>
          <w:i/>
          <w:iCs/>
          <w:szCs w:val="28"/>
        </w:rPr>
        <w:t>Oscar</w:t>
      </w:r>
      <w:r w:rsidR="00E71919" w:rsidRPr="00341ED2">
        <w:rPr>
          <w:rFonts w:eastAsiaTheme="minorHAnsi"/>
          <w:szCs w:val="28"/>
        </w:rPr>
        <w:t xml:space="preserve"> para su incorporación </w:t>
      </w:r>
      <w:r w:rsidR="007235A4" w:rsidRPr="00341ED2">
        <w:rPr>
          <w:rFonts w:eastAsiaTheme="minorHAnsi"/>
          <w:szCs w:val="28"/>
        </w:rPr>
        <w:t xml:space="preserve">como soldado bachiller </w:t>
      </w:r>
      <w:r w:rsidR="00E71919" w:rsidRPr="00341ED2">
        <w:rPr>
          <w:rFonts w:eastAsiaTheme="minorHAnsi"/>
          <w:szCs w:val="28"/>
        </w:rPr>
        <w:t>en diciembre de 2011.</w:t>
      </w:r>
      <w:r w:rsidR="007235A4" w:rsidRPr="00341ED2">
        <w:rPr>
          <w:rFonts w:eastAsiaTheme="minorHAnsi"/>
          <w:szCs w:val="28"/>
        </w:rPr>
        <w:t xml:space="preserve"> </w:t>
      </w:r>
      <w:r w:rsidR="00DB764E" w:rsidRPr="00341ED2">
        <w:rPr>
          <w:rFonts w:eastAsiaTheme="minorHAnsi"/>
          <w:szCs w:val="28"/>
        </w:rPr>
        <w:t>De igual forma</w:t>
      </w:r>
      <w:r w:rsidR="00A07675" w:rsidRPr="00341ED2">
        <w:rPr>
          <w:rFonts w:eastAsiaTheme="minorHAnsi"/>
          <w:szCs w:val="28"/>
        </w:rPr>
        <w:t xml:space="preserve">, el Juzgado ordenó a la Clínica Stella Maris </w:t>
      </w:r>
      <w:r w:rsidR="00682ED3" w:rsidRPr="00341ED2">
        <w:rPr>
          <w:rFonts w:eastAsiaTheme="minorHAnsi"/>
          <w:szCs w:val="28"/>
        </w:rPr>
        <w:t xml:space="preserve">que elabore </w:t>
      </w:r>
      <w:r w:rsidR="00750D0A" w:rsidRPr="00341ED2">
        <w:rPr>
          <w:rFonts w:eastAsiaTheme="minorHAnsi"/>
          <w:szCs w:val="28"/>
        </w:rPr>
        <w:t>un dictamen pericial en el que defin</w:t>
      </w:r>
      <w:r w:rsidR="00DB764E" w:rsidRPr="00341ED2">
        <w:rPr>
          <w:rFonts w:eastAsiaTheme="minorHAnsi"/>
          <w:szCs w:val="28"/>
        </w:rPr>
        <w:t>a</w:t>
      </w:r>
      <w:r w:rsidR="00750D0A" w:rsidRPr="00341ED2">
        <w:rPr>
          <w:rFonts w:eastAsiaTheme="minorHAnsi"/>
          <w:szCs w:val="28"/>
        </w:rPr>
        <w:t xml:space="preserve"> la patología que padece </w:t>
      </w:r>
      <w:r w:rsidR="002174CD" w:rsidRPr="002174CD">
        <w:rPr>
          <w:rFonts w:eastAsiaTheme="minorHAnsi"/>
          <w:i/>
          <w:iCs/>
          <w:szCs w:val="28"/>
        </w:rPr>
        <w:t>Oscar</w:t>
      </w:r>
      <w:r w:rsidR="00DB764E" w:rsidRPr="00341ED2">
        <w:rPr>
          <w:rFonts w:eastAsiaTheme="minorHAnsi"/>
          <w:szCs w:val="28"/>
        </w:rPr>
        <w:t>,</w:t>
      </w:r>
      <w:r w:rsidR="00750D0A" w:rsidRPr="00341ED2">
        <w:rPr>
          <w:rFonts w:eastAsiaTheme="minorHAnsi"/>
          <w:szCs w:val="28"/>
        </w:rPr>
        <w:t xml:space="preserve"> sus secuelas</w:t>
      </w:r>
      <w:r w:rsidR="00DB764E" w:rsidRPr="00341ED2">
        <w:rPr>
          <w:rFonts w:eastAsiaTheme="minorHAnsi"/>
          <w:szCs w:val="28"/>
        </w:rPr>
        <w:t xml:space="preserve"> y el pronóstico médico</w:t>
      </w:r>
      <w:r w:rsidR="00750D0A" w:rsidRPr="00341ED2">
        <w:rPr>
          <w:rFonts w:eastAsiaTheme="minorHAnsi"/>
          <w:szCs w:val="28"/>
        </w:rPr>
        <w:t xml:space="preserve">, </w:t>
      </w:r>
      <w:r w:rsidR="00DB764E" w:rsidRPr="00341ED2">
        <w:rPr>
          <w:rFonts w:eastAsiaTheme="minorHAnsi"/>
          <w:szCs w:val="28"/>
        </w:rPr>
        <w:t xml:space="preserve">así como </w:t>
      </w:r>
      <w:r w:rsidR="00750D0A" w:rsidRPr="00341ED2">
        <w:rPr>
          <w:rFonts w:eastAsiaTheme="minorHAnsi"/>
          <w:szCs w:val="28"/>
        </w:rPr>
        <w:t>si la patología se originó durante el término de conscripción</w:t>
      </w:r>
      <w:r w:rsidR="00DB764E" w:rsidRPr="00341ED2">
        <w:rPr>
          <w:rFonts w:eastAsiaTheme="minorHAnsi"/>
          <w:szCs w:val="28"/>
        </w:rPr>
        <w:t>.</w:t>
      </w:r>
      <w:r w:rsidR="00335B9B" w:rsidRPr="00341ED2">
        <w:rPr>
          <w:rFonts w:eastAsiaTheme="minorHAnsi"/>
          <w:szCs w:val="28"/>
        </w:rPr>
        <w:t xml:space="preserve"> Por último, ordenó</w:t>
      </w:r>
      <w:r w:rsidR="00891215" w:rsidRPr="00341ED2">
        <w:rPr>
          <w:rFonts w:eastAsiaTheme="minorHAnsi"/>
          <w:szCs w:val="28"/>
        </w:rPr>
        <w:t xml:space="preserve"> a la Junta Regional de Calificación de Norte de Santander que valore a </w:t>
      </w:r>
      <w:r w:rsidR="002174CD" w:rsidRPr="002174CD">
        <w:rPr>
          <w:rFonts w:eastAsiaTheme="minorHAnsi"/>
          <w:i/>
          <w:iCs/>
          <w:szCs w:val="28"/>
        </w:rPr>
        <w:t>Oscar</w:t>
      </w:r>
      <w:r w:rsidR="00891215" w:rsidRPr="00341ED2">
        <w:rPr>
          <w:rFonts w:eastAsiaTheme="minorHAnsi"/>
          <w:szCs w:val="28"/>
        </w:rPr>
        <w:t xml:space="preserve"> a efectos de establecer el porcentaje de </w:t>
      </w:r>
      <w:r w:rsidR="007631A9" w:rsidRPr="00341ED2">
        <w:rPr>
          <w:rFonts w:eastAsiaTheme="minorHAnsi"/>
          <w:szCs w:val="28"/>
        </w:rPr>
        <w:t>PCL</w:t>
      </w:r>
      <w:r w:rsidR="00891215" w:rsidRPr="00341ED2">
        <w:rPr>
          <w:rFonts w:eastAsiaTheme="minorHAnsi"/>
          <w:szCs w:val="28"/>
        </w:rPr>
        <w:t>.</w:t>
      </w:r>
    </w:p>
    <w:p w14:paraId="1095EDC0" w14:textId="77777777" w:rsidR="00DB764E" w:rsidRPr="00341ED2" w:rsidRDefault="00DB764E" w:rsidP="000F393F">
      <w:pPr>
        <w:pStyle w:val="Prrafodelista"/>
        <w:widowControl w:val="0"/>
        <w:autoSpaceDE w:val="0"/>
        <w:autoSpaceDN w:val="0"/>
        <w:adjustRightInd w:val="0"/>
        <w:spacing w:after="160"/>
        <w:ind w:left="0"/>
        <w:rPr>
          <w:rFonts w:eastAsiaTheme="minorHAnsi"/>
          <w:szCs w:val="28"/>
        </w:rPr>
      </w:pPr>
    </w:p>
    <w:p w14:paraId="26663361" w14:textId="792D0E9D" w:rsidR="00153470" w:rsidRPr="00341ED2" w:rsidRDefault="007235A4"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Mediante respuesta del 8 de abril de 2019, e</w:t>
      </w:r>
      <w:r w:rsidR="00DB764E" w:rsidRPr="00341ED2">
        <w:rPr>
          <w:rFonts w:eastAsiaTheme="minorHAnsi"/>
          <w:szCs w:val="28"/>
        </w:rPr>
        <w:t xml:space="preserve">l </w:t>
      </w:r>
      <w:r w:rsidR="00153470" w:rsidRPr="00341ED2">
        <w:rPr>
          <w:rFonts w:eastAsiaTheme="minorHAnsi"/>
          <w:szCs w:val="28"/>
        </w:rPr>
        <w:t xml:space="preserve">Distrito Militar No. 35 del </w:t>
      </w:r>
      <w:r w:rsidR="00DB764E" w:rsidRPr="00341ED2">
        <w:rPr>
          <w:rFonts w:eastAsiaTheme="minorHAnsi"/>
          <w:szCs w:val="28"/>
        </w:rPr>
        <w:t xml:space="preserve">Ejército </w:t>
      </w:r>
      <w:r w:rsidRPr="00341ED2">
        <w:rPr>
          <w:rFonts w:eastAsiaTheme="minorHAnsi"/>
          <w:szCs w:val="28"/>
        </w:rPr>
        <w:t xml:space="preserve">Nacional informó que </w:t>
      </w:r>
      <w:proofErr w:type="gramStart"/>
      <w:r w:rsidRPr="00341ED2">
        <w:rPr>
          <w:rFonts w:eastAsiaTheme="minorHAnsi"/>
          <w:szCs w:val="28"/>
        </w:rPr>
        <w:t>«[</w:t>
      </w:r>
      <w:proofErr w:type="gramEnd"/>
      <w:r w:rsidRPr="00341ED2">
        <w:t>u]</w:t>
      </w:r>
      <w:proofErr w:type="spellStart"/>
      <w:r w:rsidRPr="00341ED2">
        <w:t>na</w:t>
      </w:r>
      <w:proofErr w:type="spellEnd"/>
      <w:r w:rsidRPr="00341ED2">
        <w:t xml:space="preserve"> vez revisado el archivo del año 2011 existente</w:t>
      </w:r>
      <w:r w:rsidR="00153470" w:rsidRPr="00341ED2">
        <w:t xml:space="preserve"> en este distrito no se encontró copia de los exámenes médicos practicados para el proceso de incorporación del Sr. </w:t>
      </w:r>
      <w:r w:rsidR="002174CD" w:rsidRPr="002174CD">
        <w:rPr>
          <w:i/>
          <w:iCs/>
        </w:rPr>
        <w:t>Oscar</w:t>
      </w:r>
      <w:r w:rsidR="00153470" w:rsidRPr="00341ED2">
        <w:t>, desconociendo los motivos por los cuales no reposa dicha información en esta dependencia»</w:t>
      </w:r>
      <w:r w:rsidR="00153470" w:rsidRPr="00341ED2">
        <w:rPr>
          <w:rStyle w:val="Refdenotaalpie"/>
        </w:rPr>
        <w:footnoteReference w:id="22"/>
      </w:r>
      <w:r w:rsidR="00153470" w:rsidRPr="00341ED2">
        <w:t>.</w:t>
      </w:r>
    </w:p>
    <w:p w14:paraId="2EEC753C" w14:textId="77777777" w:rsidR="006D4FD4" w:rsidRPr="00341ED2" w:rsidRDefault="006D4FD4" w:rsidP="000F393F">
      <w:pPr>
        <w:pStyle w:val="Prrafodelista"/>
        <w:widowControl w:val="0"/>
        <w:autoSpaceDE w:val="0"/>
        <w:autoSpaceDN w:val="0"/>
        <w:adjustRightInd w:val="0"/>
        <w:spacing w:after="160"/>
        <w:ind w:left="0"/>
        <w:rPr>
          <w:rFonts w:eastAsiaTheme="minorHAnsi"/>
          <w:szCs w:val="28"/>
        </w:rPr>
      </w:pPr>
    </w:p>
    <w:p w14:paraId="23FCBAFA" w14:textId="6380F110" w:rsidR="00654459" w:rsidRPr="00341ED2" w:rsidRDefault="002F47B1"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El 7 de mayo de 2019, la Clínica Stella Maris envió el </w:t>
      </w:r>
      <w:r w:rsidR="008D281E" w:rsidRPr="00341ED2">
        <w:rPr>
          <w:rFonts w:eastAsiaTheme="minorHAnsi"/>
          <w:szCs w:val="28"/>
        </w:rPr>
        <w:t>dictamen pericial.</w:t>
      </w:r>
      <w:r w:rsidR="00B20CAB" w:rsidRPr="00341ED2">
        <w:rPr>
          <w:rFonts w:eastAsiaTheme="minorHAnsi"/>
          <w:szCs w:val="28"/>
        </w:rPr>
        <w:t xml:space="preserve"> </w:t>
      </w:r>
      <w:r w:rsidR="006D4FD4" w:rsidRPr="00341ED2">
        <w:rPr>
          <w:rFonts w:eastAsiaTheme="minorHAnsi"/>
          <w:szCs w:val="28"/>
        </w:rPr>
        <w:t>El 19 de junio de 2019</w:t>
      </w:r>
      <w:r w:rsidR="008D281E" w:rsidRPr="00341ED2">
        <w:rPr>
          <w:rFonts w:eastAsiaTheme="minorHAnsi"/>
          <w:szCs w:val="28"/>
        </w:rPr>
        <w:t xml:space="preserve">, en </w:t>
      </w:r>
      <w:r w:rsidR="00017686" w:rsidRPr="00341ED2">
        <w:rPr>
          <w:rFonts w:eastAsiaTheme="minorHAnsi"/>
          <w:szCs w:val="28"/>
        </w:rPr>
        <w:t xml:space="preserve">la </w:t>
      </w:r>
      <w:r w:rsidR="008D281E" w:rsidRPr="00341ED2">
        <w:rPr>
          <w:rFonts w:eastAsiaTheme="minorHAnsi"/>
          <w:szCs w:val="28"/>
        </w:rPr>
        <w:t xml:space="preserve">audiencia de </w:t>
      </w:r>
      <w:r w:rsidR="00017686" w:rsidRPr="00341ED2">
        <w:rPr>
          <w:rFonts w:eastAsiaTheme="minorHAnsi"/>
          <w:szCs w:val="28"/>
        </w:rPr>
        <w:t xml:space="preserve">práctica de </w:t>
      </w:r>
      <w:r w:rsidR="008D281E" w:rsidRPr="00341ED2">
        <w:rPr>
          <w:rFonts w:eastAsiaTheme="minorHAnsi"/>
          <w:szCs w:val="28"/>
        </w:rPr>
        <w:t xml:space="preserve">pruebas, Manuel </w:t>
      </w:r>
      <w:r w:rsidR="008D281E" w:rsidRPr="00341ED2">
        <w:t xml:space="preserve">Guillermo Serrano Trillo, médico psiquiatra de la Clínica Stella Maris, sustentó oralmente el dictamen pericial ordenado por el </w:t>
      </w:r>
      <w:r w:rsidR="008D281E" w:rsidRPr="00341ED2">
        <w:rPr>
          <w:rFonts w:eastAsiaTheme="minorHAnsi"/>
          <w:szCs w:val="28"/>
        </w:rPr>
        <w:t>Juzgado Quinto Administrativo Oral de Cúcuta.</w:t>
      </w:r>
      <w:r w:rsidR="00B91DCE" w:rsidRPr="00341ED2">
        <w:rPr>
          <w:rFonts w:eastAsiaTheme="minorHAnsi"/>
          <w:szCs w:val="28"/>
        </w:rPr>
        <w:t xml:space="preserve"> </w:t>
      </w:r>
      <w:r w:rsidR="00017686" w:rsidRPr="00341ED2">
        <w:rPr>
          <w:rFonts w:eastAsiaTheme="minorHAnsi"/>
          <w:szCs w:val="28"/>
        </w:rPr>
        <w:t>E</w:t>
      </w:r>
      <w:r w:rsidR="00B91DCE" w:rsidRPr="00341ED2">
        <w:rPr>
          <w:rFonts w:eastAsiaTheme="minorHAnsi"/>
          <w:szCs w:val="28"/>
        </w:rPr>
        <w:t xml:space="preserve">l </w:t>
      </w:r>
      <w:r w:rsidR="004E3537" w:rsidRPr="00341ED2">
        <w:rPr>
          <w:rFonts w:eastAsiaTheme="minorHAnsi"/>
          <w:szCs w:val="28"/>
        </w:rPr>
        <w:t>doctor</w:t>
      </w:r>
      <w:r w:rsidR="00B91DCE" w:rsidRPr="00341ED2">
        <w:rPr>
          <w:rFonts w:eastAsiaTheme="minorHAnsi"/>
          <w:szCs w:val="28"/>
        </w:rPr>
        <w:t xml:space="preserve"> Serrano </w:t>
      </w:r>
      <w:r w:rsidR="00017686" w:rsidRPr="00341ED2">
        <w:rPr>
          <w:rFonts w:eastAsiaTheme="minorHAnsi"/>
          <w:szCs w:val="28"/>
        </w:rPr>
        <w:t>manifestó lo siguiente</w:t>
      </w:r>
      <w:r w:rsidR="00654459" w:rsidRPr="00341ED2">
        <w:rPr>
          <w:rFonts w:eastAsiaTheme="minorHAnsi"/>
          <w:szCs w:val="28"/>
        </w:rPr>
        <w:t>:</w:t>
      </w:r>
    </w:p>
    <w:p w14:paraId="246C0170" w14:textId="77777777" w:rsidR="00A232E4" w:rsidRPr="00341ED2" w:rsidRDefault="00A232E4" w:rsidP="000F393F">
      <w:pPr>
        <w:pStyle w:val="Prrafodelista"/>
        <w:widowControl w:val="0"/>
        <w:autoSpaceDE w:val="0"/>
        <w:autoSpaceDN w:val="0"/>
        <w:adjustRightInd w:val="0"/>
        <w:spacing w:after="160"/>
        <w:ind w:left="0"/>
        <w:rPr>
          <w:rFonts w:eastAsiaTheme="minorHAnsi"/>
          <w:szCs w:val="28"/>
        </w:rPr>
      </w:pPr>
    </w:p>
    <w:p w14:paraId="3585CD56" w14:textId="1D8CD2B6" w:rsidR="00654459" w:rsidRPr="00341ED2" w:rsidRDefault="000D5828"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w:t>
      </w:r>
      <w:r w:rsidR="00A232E4" w:rsidRPr="00341ED2">
        <w:rPr>
          <w:rFonts w:eastAsiaTheme="minorHAnsi"/>
          <w:sz w:val="26"/>
          <w:szCs w:val="26"/>
        </w:rPr>
        <w:t xml:space="preserve">El paciente </w:t>
      </w:r>
      <w:r w:rsidR="002174CD">
        <w:rPr>
          <w:rFonts w:eastAsiaTheme="minorHAnsi"/>
          <w:sz w:val="26"/>
          <w:szCs w:val="26"/>
        </w:rPr>
        <w:t>[</w:t>
      </w:r>
      <w:r w:rsidR="002174CD" w:rsidRPr="002174CD">
        <w:rPr>
          <w:rFonts w:eastAsiaTheme="minorHAnsi"/>
          <w:i/>
          <w:iCs/>
          <w:sz w:val="26"/>
          <w:szCs w:val="26"/>
        </w:rPr>
        <w:t>Oscar</w:t>
      </w:r>
      <w:r w:rsidR="002174CD">
        <w:rPr>
          <w:rFonts w:eastAsiaTheme="minorHAnsi"/>
          <w:sz w:val="26"/>
          <w:szCs w:val="26"/>
        </w:rPr>
        <w:t>]</w:t>
      </w:r>
      <w:r w:rsidR="00A232E4" w:rsidRPr="00341ED2">
        <w:rPr>
          <w:rFonts w:eastAsiaTheme="minorHAnsi"/>
          <w:sz w:val="26"/>
          <w:szCs w:val="26"/>
        </w:rPr>
        <w:t xml:space="preserve"> </w:t>
      </w:r>
      <w:r w:rsidR="00EB6DB3" w:rsidRPr="00341ED2">
        <w:rPr>
          <w:rFonts w:eastAsiaTheme="minorHAnsi"/>
          <w:sz w:val="26"/>
          <w:szCs w:val="26"/>
        </w:rPr>
        <w:t>demostró</w:t>
      </w:r>
      <w:r w:rsidR="00A232E4" w:rsidRPr="00341ED2">
        <w:rPr>
          <w:rFonts w:eastAsiaTheme="minorHAnsi"/>
          <w:sz w:val="26"/>
          <w:szCs w:val="26"/>
        </w:rPr>
        <w:t xml:space="preserve"> poca atención durante la entrevista y dificultades para contestar las preguntas que se le hicieron.</w:t>
      </w:r>
      <w:r w:rsidR="00EB6DB3" w:rsidRPr="00341ED2">
        <w:rPr>
          <w:rFonts w:eastAsiaTheme="minorHAnsi"/>
          <w:sz w:val="26"/>
          <w:szCs w:val="26"/>
        </w:rPr>
        <w:t xml:space="preserve"> Irritable, distraído, retraído</w:t>
      </w:r>
      <w:r w:rsidRPr="00341ED2">
        <w:rPr>
          <w:rFonts w:eastAsiaTheme="minorHAnsi"/>
          <w:sz w:val="26"/>
          <w:szCs w:val="26"/>
        </w:rPr>
        <w:t xml:space="preserve"> […] </w:t>
      </w:r>
      <w:r w:rsidR="00654459" w:rsidRPr="00341ED2">
        <w:rPr>
          <w:rFonts w:eastAsiaTheme="minorHAnsi"/>
          <w:sz w:val="26"/>
          <w:szCs w:val="26"/>
        </w:rPr>
        <w:t>Se observó en el paciente una disminución en sus capacidades de concentración, atención y memoria reciente, así como en la capacidad ejecutiva. De cara a su capacidad laboral, la alteración en su capacidad ejecutiva es particularmente grave, pues tiene dificultades para planear y ejecutar actividades complejas, como la</w:t>
      </w:r>
      <w:r w:rsidR="00F354DC" w:rsidRPr="00341ED2">
        <w:rPr>
          <w:rFonts w:eastAsiaTheme="minorHAnsi"/>
          <w:sz w:val="26"/>
          <w:szCs w:val="26"/>
        </w:rPr>
        <w:t>s</w:t>
      </w:r>
      <w:r w:rsidR="00654459" w:rsidRPr="00341ED2">
        <w:rPr>
          <w:rFonts w:eastAsiaTheme="minorHAnsi"/>
          <w:sz w:val="26"/>
          <w:szCs w:val="26"/>
        </w:rPr>
        <w:t xml:space="preserve"> que requeriría un trabajo normal</w:t>
      </w:r>
      <w:r w:rsidR="00F354DC" w:rsidRPr="00341ED2">
        <w:rPr>
          <w:rFonts w:eastAsiaTheme="minorHAnsi"/>
          <w:sz w:val="26"/>
          <w:szCs w:val="26"/>
        </w:rPr>
        <w:t xml:space="preserve"> […]</w:t>
      </w:r>
      <w:r w:rsidRPr="00341ED2">
        <w:rPr>
          <w:rFonts w:eastAsiaTheme="minorHAnsi"/>
          <w:sz w:val="26"/>
          <w:szCs w:val="26"/>
        </w:rPr>
        <w:t>»</w:t>
      </w:r>
      <w:r w:rsidRPr="00341ED2">
        <w:rPr>
          <w:rStyle w:val="Refdenotaalpie"/>
          <w:rFonts w:eastAsiaTheme="minorHAnsi"/>
          <w:sz w:val="26"/>
          <w:szCs w:val="26"/>
        </w:rPr>
        <w:footnoteReference w:id="23"/>
      </w:r>
    </w:p>
    <w:p w14:paraId="4848F999" w14:textId="77777777" w:rsidR="007A4F98" w:rsidRPr="00341ED2" w:rsidRDefault="007A4F98" w:rsidP="000F393F">
      <w:pPr>
        <w:pStyle w:val="Prrafodelista"/>
        <w:widowControl w:val="0"/>
        <w:autoSpaceDE w:val="0"/>
        <w:autoSpaceDN w:val="0"/>
        <w:adjustRightInd w:val="0"/>
        <w:spacing w:after="160"/>
        <w:ind w:left="0"/>
        <w:rPr>
          <w:rFonts w:eastAsiaTheme="minorHAnsi"/>
          <w:szCs w:val="28"/>
        </w:rPr>
      </w:pPr>
    </w:p>
    <w:p w14:paraId="4E31CAB6" w14:textId="78B3DBAE" w:rsidR="00160A27" w:rsidRPr="00341ED2" w:rsidRDefault="00160A27"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En cuanto al origen de</w:t>
      </w:r>
      <w:r w:rsidR="00F67BB3" w:rsidRPr="00341ED2">
        <w:rPr>
          <w:rFonts w:eastAsiaTheme="minorHAnsi"/>
          <w:szCs w:val="28"/>
        </w:rPr>
        <w:t>l trastorno cognitivo</w:t>
      </w:r>
      <w:r w:rsidRPr="00341ED2">
        <w:rPr>
          <w:rFonts w:eastAsiaTheme="minorHAnsi"/>
          <w:szCs w:val="28"/>
        </w:rPr>
        <w:t>, el Dr. Serrano señaló:</w:t>
      </w:r>
    </w:p>
    <w:p w14:paraId="38A78703" w14:textId="77777777" w:rsidR="00335B9B" w:rsidRPr="00341ED2" w:rsidRDefault="00335B9B" w:rsidP="000F393F">
      <w:pPr>
        <w:pStyle w:val="Prrafodelista"/>
        <w:widowControl w:val="0"/>
        <w:autoSpaceDE w:val="0"/>
        <w:autoSpaceDN w:val="0"/>
        <w:adjustRightInd w:val="0"/>
        <w:spacing w:after="160"/>
        <w:ind w:left="0"/>
        <w:rPr>
          <w:rFonts w:eastAsiaTheme="minorHAnsi"/>
          <w:szCs w:val="28"/>
        </w:rPr>
      </w:pPr>
    </w:p>
    <w:p w14:paraId="0B0E66D6" w14:textId="13ADCD12" w:rsidR="0098719F" w:rsidRPr="00341ED2" w:rsidRDefault="00160A27" w:rsidP="000F393F">
      <w:pPr>
        <w:pStyle w:val="Prrafodelista"/>
        <w:widowControl w:val="0"/>
        <w:autoSpaceDE w:val="0"/>
        <w:autoSpaceDN w:val="0"/>
        <w:adjustRightInd w:val="0"/>
        <w:spacing w:after="160"/>
        <w:ind w:left="567" w:right="567"/>
        <w:rPr>
          <w:rFonts w:eastAsiaTheme="minorHAnsi"/>
          <w:sz w:val="26"/>
          <w:szCs w:val="26"/>
        </w:rPr>
      </w:pPr>
      <w:proofErr w:type="gramStart"/>
      <w:r w:rsidRPr="00341ED2">
        <w:rPr>
          <w:rFonts w:eastAsiaTheme="minorHAnsi"/>
          <w:sz w:val="26"/>
          <w:szCs w:val="26"/>
        </w:rPr>
        <w:t>«</w:t>
      </w:r>
      <w:r w:rsidR="00F354DC" w:rsidRPr="00341ED2">
        <w:rPr>
          <w:rFonts w:eastAsiaTheme="minorHAnsi"/>
          <w:sz w:val="26"/>
          <w:szCs w:val="26"/>
        </w:rPr>
        <w:t>[</w:t>
      </w:r>
      <w:proofErr w:type="gramEnd"/>
      <w:r w:rsidR="00F354DC" w:rsidRPr="00341ED2">
        <w:rPr>
          <w:rFonts w:eastAsiaTheme="minorHAnsi"/>
          <w:sz w:val="26"/>
          <w:szCs w:val="26"/>
        </w:rPr>
        <w:t xml:space="preserve">…] </w:t>
      </w:r>
      <w:r w:rsidRPr="00341ED2">
        <w:rPr>
          <w:rFonts w:eastAsiaTheme="minorHAnsi"/>
          <w:sz w:val="26"/>
          <w:szCs w:val="26"/>
        </w:rPr>
        <w:t>De acuerdo con el análisis de la historia clínica, el paciente comenzó a presentar cambios de conducta de manera posterior a un politraumatismo que sufrió en junio de 2012.</w:t>
      </w:r>
      <w:r w:rsidR="005D5784" w:rsidRPr="00341ED2">
        <w:rPr>
          <w:rFonts w:eastAsiaTheme="minorHAnsi"/>
          <w:sz w:val="26"/>
          <w:szCs w:val="26"/>
        </w:rPr>
        <w:t xml:space="preserve"> A partir de este politraumatismo empieza el trastorno de la conducta</w:t>
      </w:r>
      <w:r w:rsidR="00F354DC" w:rsidRPr="00341ED2">
        <w:rPr>
          <w:rFonts w:eastAsiaTheme="minorHAnsi"/>
          <w:sz w:val="26"/>
          <w:szCs w:val="26"/>
        </w:rPr>
        <w:t xml:space="preserve"> […]</w:t>
      </w:r>
      <w:r w:rsidRPr="00341ED2">
        <w:rPr>
          <w:rFonts w:eastAsiaTheme="minorHAnsi"/>
          <w:sz w:val="26"/>
          <w:szCs w:val="26"/>
        </w:rPr>
        <w:t>»</w:t>
      </w:r>
      <w:r w:rsidRPr="00341ED2">
        <w:rPr>
          <w:rStyle w:val="Refdenotaalpie"/>
          <w:rFonts w:eastAsiaTheme="minorHAnsi"/>
          <w:sz w:val="26"/>
          <w:szCs w:val="26"/>
        </w:rPr>
        <w:footnoteReference w:id="24"/>
      </w:r>
    </w:p>
    <w:p w14:paraId="6FB52CD4" w14:textId="77777777" w:rsidR="0098719F" w:rsidRPr="00341ED2" w:rsidRDefault="0098719F" w:rsidP="000F393F">
      <w:pPr>
        <w:pStyle w:val="Prrafodelista"/>
        <w:widowControl w:val="0"/>
        <w:autoSpaceDE w:val="0"/>
        <w:autoSpaceDN w:val="0"/>
        <w:adjustRightInd w:val="0"/>
        <w:spacing w:after="160"/>
        <w:ind w:left="567" w:right="567"/>
        <w:rPr>
          <w:rFonts w:eastAsiaTheme="minorHAnsi"/>
          <w:sz w:val="26"/>
          <w:szCs w:val="26"/>
        </w:rPr>
      </w:pPr>
    </w:p>
    <w:p w14:paraId="61E9A584" w14:textId="5268E12B" w:rsidR="00F354DC" w:rsidRPr="00341ED2" w:rsidRDefault="00F354DC"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Frente al diagnóstico de la patología, indicó:</w:t>
      </w:r>
    </w:p>
    <w:p w14:paraId="69232811" w14:textId="77777777" w:rsidR="00654459" w:rsidRPr="00341ED2" w:rsidRDefault="00654459" w:rsidP="000F393F">
      <w:pPr>
        <w:pStyle w:val="Prrafodelista"/>
        <w:widowControl w:val="0"/>
        <w:autoSpaceDE w:val="0"/>
        <w:autoSpaceDN w:val="0"/>
        <w:adjustRightInd w:val="0"/>
        <w:spacing w:after="160"/>
        <w:ind w:left="0"/>
        <w:rPr>
          <w:rFonts w:eastAsiaTheme="minorHAnsi"/>
          <w:szCs w:val="28"/>
        </w:rPr>
      </w:pPr>
    </w:p>
    <w:p w14:paraId="0CAE1C19" w14:textId="343E6F12" w:rsidR="00654459" w:rsidRPr="00341ED2" w:rsidRDefault="00F354DC" w:rsidP="000F393F">
      <w:pPr>
        <w:pStyle w:val="Prrafodelista"/>
        <w:widowControl w:val="0"/>
        <w:autoSpaceDE w:val="0"/>
        <w:autoSpaceDN w:val="0"/>
        <w:adjustRightInd w:val="0"/>
        <w:spacing w:after="160"/>
        <w:ind w:left="567" w:right="567"/>
        <w:rPr>
          <w:rFonts w:eastAsiaTheme="minorHAnsi"/>
          <w:sz w:val="26"/>
          <w:szCs w:val="26"/>
        </w:rPr>
      </w:pPr>
      <w:proofErr w:type="gramStart"/>
      <w:r w:rsidRPr="00341ED2">
        <w:rPr>
          <w:rFonts w:eastAsiaTheme="minorHAnsi"/>
          <w:sz w:val="26"/>
          <w:szCs w:val="26"/>
        </w:rPr>
        <w:t>«</w:t>
      </w:r>
      <w:r w:rsidR="00A76C77" w:rsidRPr="00341ED2">
        <w:rPr>
          <w:rFonts w:eastAsiaTheme="minorHAnsi"/>
          <w:sz w:val="26"/>
          <w:szCs w:val="26"/>
        </w:rPr>
        <w:t>[</w:t>
      </w:r>
      <w:proofErr w:type="gramEnd"/>
      <w:r w:rsidR="00A76C77" w:rsidRPr="00341ED2">
        <w:rPr>
          <w:rFonts w:eastAsiaTheme="minorHAnsi"/>
          <w:sz w:val="26"/>
          <w:szCs w:val="26"/>
        </w:rPr>
        <w:t xml:space="preserve">…] </w:t>
      </w:r>
      <w:r w:rsidRPr="00341ED2">
        <w:rPr>
          <w:rFonts w:eastAsiaTheme="minorHAnsi"/>
          <w:sz w:val="26"/>
          <w:szCs w:val="26"/>
        </w:rPr>
        <w:t>E</w:t>
      </w:r>
      <w:r w:rsidR="00654459" w:rsidRPr="00341ED2">
        <w:rPr>
          <w:rFonts w:eastAsiaTheme="minorHAnsi"/>
          <w:sz w:val="26"/>
          <w:szCs w:val="26"/>
        </w:rPr>
        <w:t xml:space="preserve">l paciente tiene un trastorno cognitivo derivado de un politraumatismo que califico de grado moderado a severo por la afectación en la capacidad ejecutiva del paciente. </w:t>
      </w:r>
      <w:r w:rsidR="00A76C77" w:rsidRPr="00341ED2">
        <w:rPr>
          <w:rFonts w:eastAsiaTheme="minorHAnsi"/>
          <w:sz w:val="26"/>
          <w:szCs w:val="26"/>
        </w:rPr>
        <w:t>[…]</w:t>
      </w:r>
      <w:r w:rsidR="00654459" w:rsidRPr="00341ED2">
        <w:rPr>
          <w:rFonts w:eastAsiaTheme="minorHAnsi"/>
          <w:sz w:val="26"/>
          <w:szCs w:val="26"/>
        </w:rPr>
        <w:t xml:space="preserve"> </w:t>
      </w:r>
      <w:r w:rsidR="00A76C77" w:rsidRPr="00341ED2">
        <w:rPr>
          <w:rFonts w:eastAsiaTheme="minorHAnsi"/>
          <w:sz w:val="26"/>
          <w:szCs w:val="26"/>
        </w:rPr>
        <w:t>Son cuadros que se pretensan posteriores al traumatismo y e</w:t>
      </w:r>
      <w:r w:rsidR="00654459" w:rsidRPr="00341ED2">
        <w:rPr>
          <w:rFonts w:eastAsiaTheme="minorHAnsi"/>
          <w:sz w:val="26"/>
          <w:szCs w:val="26"/>
        </w:rPr>
        <w:t>n las resonancias magnéticas y en los TAC que se toma</w:t>
      </w:r>
      <w:r w:rsidR="00A76C77" w:rsidRPr="00341ED2">
        <w:rPr>
          <w:rFonts w:eastAsiaTheme="minorHAnsi"/>
          <w:sz w:val="26"/>
          <w:szCs w:val="26"/>
        </w:rPr>
        <w:t>n</w:t>
      </w:r>
      <w:r w:rsidR="00654459" w:rsidRPr="00341ED2">
        <w:rPr>
          <w:rFonts w:eastAsiaTheme="minorHAnsi"/>
          <w:sz w:val="26"/>
          <w:szCs w:val="26"/>
        </w:rPr>
        <w:t xml:space="preserve"> no hay una alteración clara en la estructura cerebral, pero sí se produce una alteración </w:t>
      </w:r>
      <w:r w:rsidR="00A76C77" w:rsidRPr="00341ED2">
        <w:rPr>
          <w:rFonts w:eastAsiaTheme="minorHAnsi"/>
          <w:sz w:val="26"/>
          <w:szCs w:val="26"/>
        </w:rPr>
        <w:t>marcada</w:t>
      </w:r>
      <w:r w:rsidR="00654459" w:rsidRPr="00341ED2">
        <w:rPr>
          <w:rFonts w:eastAsiaTheme="minorHAnsi"/>
          <w:sz w:val="26"/>
          <w:szCs w:val="26"/>
        </w:rPr>
        <w:t xml:space="preserve"> en </w:t>
      </w:r>
      <w:r w:rsidRPr="00341ED2">
        <w:rPr>
          <w:rFonts w:eastAsiaTheme="minorHAnsi"/>
          <w:sz w:val="26"/>
          <w:szCs w:val="26"/>
        </w:rPr>
        <w:t>la</w:t>
      </w:r>
      <w:r w:rsidR="00654459" w:rsidRPr="00341ED2">
        <w:rPr>
          <w:rFonts w:eastAsiaTheme="minorHAnsi"/>
          <w:sz w:val="26"/>
          <w:szCs w:val="26"/>
        </w:rPr>
        <w:t xml:space="preserve"> conducta</w:t>
      </w:r>
      <w:r w:rsidRPr="00341ED2">
        <w:rPr>
          <w:rFonts w:eastAsiaTheme="minorHAnsi"/>
          <w:sz w:val="26"/>
          <w:szCs w:val="26"/>
        </w:rPr>
        <w:t xml:space="preserve"> del paciente</w:t>
      </w:r>
      <w:r w:rsidR="00A76C77" w:rsidRPr="00341ED2">
        <w:rPr>
          <w:rFonts w:eastAsiaTheme="minorHAnsi"/>
          <w:sz w:val="26"/>
          <w:szCs w:val="26"/>
        </w:rPr>
        <w:t xml:space="preserve"> […]</w:t>
      </w:r>
      <w:r w:rsidR="00654459" w:rsidRPr="00341ED2">
        <w:rPr>
          <w:rFonts w:eastAsiaTheme="minorHAnsi"/>
          <w:sz w:val="26"/>
          <w:szCs w:val="26"/>
        </w:rPr>
        <w:t xml:space="preserve"> En estos casos el paciente ve disminuida la capacidad de memoria, atención y planeación sin que exista una lesión demostrable. Esto plantea una dificultad en cuanto al diagnóstico etiológico puesto que la disminución de la capacidad mental es secundaria al golpe, se deriva del golpe y tiene relación directa con el golpe, pero no se puede demostrar o identificar la lesión estructural en la cabeza</w:t>
      </w:r>
      <w:r w:rsidR="00A76C77" w:rsidRPr="00341ED2">
        <w:rPr>
          <w:rFonts w:eastAsiaTheme="minorHAnsi"/>
          <w:sz w:val="26"/>
          <w:szCs w:val="26"/>
        </w:rPr>
        <w:t xml:space="preserve"> […]</w:t>
      </w:r>
      <w:r w:rsidR="00BA5110" w:rsidRPr="00341ED2">
        <w:rPr>
          <w:rFonts w:eastAsiaTheme="minorHAnsi"/>
          <w:sz w:val="26"/>
          <w:szCs w:val="26"/>
        </w:rPr>
        <w:t xml:space="preserve"> Algunos médicos </w:t>
      </w:r>
      <w:r w:rsidR="00BE04D3" w:rsidRPr="00341ED2">
        <w:rPr>
          <w:rFonts w:eastAsiaTheme="minorHAnsi"/>
          <w:sz w:val="26"/>
          <w:szCs w:val="26"/>
        </w:rPr>
        <w:t xml:space="preserve">dicen que </w:t>
      </w:r>
      <w:r w:rsidR="00BA5110" w:rsidRPr="00341ED2">
        <w:rPr>
          <w:rFonts w:eastAsiaTheme="minorHAnsi"/>
          <w:sz w:val="26"/>
          <w:szCs w:val="26"/>
        </w:rPr>
        <w:t>es</w:t>
      </w:r>
      <w:r w:rsidR="00FE1E71" w:rsidRPr="00341ED2">
        <w:rPr>
          <w:rFonts w:eastAsiaTheme="minorHAnsi"/>
          <w:sz w:val="26"/>
          <w:szCs w:val="26"/>
        </w:rPr>
        <w:t>te</w:t>
      </w:r>
      <w:r w:rsidR="00BA5110" w:rsidRPr="00341ED2">
        <w:rPr>
          <w:rFonts w:eastAsiaTheme="minorHAnsi"/>
          <w:sz w:val="26"/>
          <w:szCs w:val="26"/>
        </w:rPr>
        <w:t xml:space="preserve"> cuadro</w:t>
      </w:r>
      <w:r w:rsidR="00FE1E71" w:rsidRPr="00341ED2">
        <w:rPr>
          <w:rFonts w:eastAsiaTheme="minorHAnsi"/>
          <w:sz w:val="26"/>
          <w:szCs w:val="26"/>
        </w:rPr>
        <w:t xml:space="preserve"> </w:t>
      </w:r>
      <w:r w:rsidR="00BA5110" w:rsidRPr="00341ED2">
        <w:rPr>
          <w:rFonts w:eastAsiaTheme="minorHAnsi"/>
          <w:sz w:val="26"/>
          <w:szCs w:val="26"/>
        </w:rPr>
        <w:t xml:space="preserve">se puede producir por falta de oxigenación </w:t>
      </w:r>
      <w:r w:rsidR="00BE04D3" w:rsidRPr="00341ED2">
        <w:rPr>
          <w:rFonts w:eastAsiaTheme="minorHAnsi"/>
          <w:sz w:val="26"/>
          <w:szCs w:val="26"/>
        </w:rPr>
        <w:t xml:space="preserve">en el cerebro </w:t>
      </w:r>
      <w:r w:rsidR="00DF19DC" w:rsidRPr="00341ED2">
        <w:rPr>
          <w:rFonts w:eastAsiaTheme="minorHAnsi"/>
          <w:sz w:val="26"/>
          <w:szCs w:val="26"/>
        </w:rPr>
        <w:t>como</w:t>
      </w:r>
      <w:r w:rsidR="00D9548F" w:rsidRPr="00341ED2">
        <w:rPr>
          <w:rFonts w:eastAsiaTheme="minorHAnsi"/>
          <w:sz w:val="26"/>
          <w:szCs w:val="26"/>
        </w:rPr>
        <w:t xml:space="preserve"> resultado de</w:t>
      </w:r>
      <w:r w:rsidR="00DF19DC" w:rsidRPr="00341ED2">
        <w:rPr>
          <w:rFonts w:eastAsiaTheme="minorHAnsi"/>
          <w:sz w:val="26"/>
          <w:szCs w:val="26"/>
        </w:rPr>
        <w:t xml:space="preserve"> un</w:t>
      </w:r>
      <w:r w:rsidR="00D9548F" w:rsidRPr="00341ED2">
        <w:rPr>
          <w:rFonts w:eastAsiaTheme="minorHAnsi"/>
          <w:sz w:val="26"/>
          <w:szCs w:val="26"/>
        </w:rPr>
        <w:t xml:space="preserve"> golpe. Hay distintas teorías, pero no hay una determinación clara de la etiología del cuadro […]</w:t>
      </w:r>
      <w:r w:rsidR="00BE04D3" w:rsidRPr="00341ED2">
        <w:rPr>
          <w:rFonts w:eastAsiaTheme="minorHAnsi"/>
          <w:sz w:val="26"/>
          <w:szCs w:val="26"/>
        </w:rPr>
        <w:t xml:space="preserve"> El trastorno tiene relación directa con el trauma, es posterior al trauma, pero no hay una lesión estructural claramente demostrable</w:t>
      </w:r>
      <w:r w:rsidR="00A76C77" w:rsidRPr="00341ED2">
        <w:rPr>
          <w:rFonts w:eastAsiaTheme="minorHAnsi"/>
          <w:sz w:val="26"/>
          <w:szCs w:val="26"/>
        </w:rPr>
        <w:t>»</w:t>
      </w:r>
      <w:r w:rsidR="00A76C77" w:rsidRPr="00341ED2">
        <w:rPr>
          <w:rStyle w:val="Refdenotaalpie"/>
          <w:rFonts w:eastAsiaTheme="minorHAnsi"/>
          <w:sz w:val="26"/>
          <w:szCs w:val="26"/>
        </w:rPr>
        <w:footnoteReference w:id="25"/>
      </w:r>
    </w:p>
    <w:p w14:paraId="433F92F1" w14:textId="77777777" w:rsidR="00654459" w:rsidRPr="00341ED2" w:rsidRDefault="00654459" w:rsidP="000F393F">
      <w:pPr>
        <w:pStyle w:val="Prrafodelista"/>
        <w:widowControl w:val="0"/>
        <w:autoSpaceDE w:val="0"/>
        <w:autoSpaceDN w:val="0"/>
        <w:adjustRightInd w:val="0"/>
        <w:spacing w:after="160"/>
        <w:ind w:left="0"/>
        <w:rPr>
          <w:rFonts w:eastAsiaTheme="minorHAnsi"/>
          <w:szCs w:val="28"/>
        </w:rPr>
      </w:pPr>
    </w:p>
    <w:p w14:paraId="76007519" w14:textId="6E1D8C4F" w:rsidR="00D9548F" w:rsidRPr="00341ED2" w:rsidRDefault="00017686"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Por último, l</w:t>
      </w:r>
      <w:r w:rsidR="002D230D" w:rsidRPr="00341ED2">
        <w:rPr>
          <w:rFonts w:eastAsiaTheme="minorHAnsi"/>
          <w:szCs w:val="28"/>
        </w:rPr>
        <w:t xml:space="preserve">a apoderada del Ejército Nacional le preguntó </w:t>
      </w:r>
      <w:r w:rsidR="00713B30" w:rsidRPr="00341ED2">
        <w:rPr>
          <w:rFonts w:eastAsiaTheme="minorHAnsi"/>
          <w:szCs w:val="28"/>
        </w:rPr>
        <w:t xml:space="preserve">al </w:t>
      </w:r>
      <w:r w:rsidR="004E3537" w:rsidRPr="00341ED2">
        <w:rPr>
          <w:rFonts w:eastAsiaTheme="minorHAnsi"/>
          <w:szCs w:val="28"/>
        </w:rPr>
        <w:t>doctor</w:t>
      </w:r>
      <w:r w:rsidR="00713B30" w:rsidRPr="00341ED2">
        <w:rPr>
          <w:rFonts w:eastAsiaTheme="minorHAnsi"/>
          <w:szCs w:val="28"/>
        </w:rPr>
        <w:t xml:space="preserve"> Serrano </w:t>
      </w:r>
      <w:r w:rsidR="001463B6" w:rsidRPr="00341ED2">
        <w:rPr>
          <w:rFonts w:eastAsiaTheme="minorHAnsi"/>
          <w:szCs w:val="28"/>
        </w:rPr>
        <w:t xml:space="preserve">si </w:t>
      </w:r>
      <w:r w:rsidR="00F67BB3" w:rsidRPr="00341ED2">
        <w:rPr>
          <w:rFonts w:eastAsiaTheme="minorHAnsi"/>
          <w:szCs w:val="28"/>
        </w:rPr>
        <w:t xml:space="preserve">el trastorno cognitivo de </w:t>
      </w:r>
      <w:r w:rsidR="002174CD" w:rsidRPr="002174CD">
        <w:rPr>
          <w:rFonts w:eastAsiaTheme="minorHAnsi"/>
          <w:i/>
          <w:iCs/>
          <w:szCs w:val="28"/>
        </w:rPr>
        <w:t>Oscar</w:t>
      </w:r>
      <w:r w:rsidR="001463B6" w:rsidRPr="00341ED2">
        <w:rPr>
          <w:rFonts w:eastAsiaTheme="minorHAnsi"/>
          <w:szCs w:val="28"/>
        </w:rPr>
        <w:t xml:space="preserve"> </w:t>
      </w:r>
      <w:r w:rsidR="00F67BB3" w:rsidRPr="00341ED2">
        <w:rPr>
          <w:rFonts w:eastAsiaTheme="minorHAnsi"/>
          <w:szCs w:val="28"/>
        </w:rPr>
        <w:t>puede</w:t>
      </w:r>
      <w:r w:rsidR="001463B6" w:rsidRPr="00341ED2">
        <w:rPr>
          <w:rFonts w:eastAsiaTheme="minorHAnsi"/>
          <w:szCs w:val="28"/>
        </w:rPr>
        <w:t xml:space="preserve"> o no mejorar con el tiempo, teniendo en cuenta que se deriva de un </w:t>
      </w:r>
      <w:r w:rsidR="00F67BB3" w:rsidRPr="00341ED2">
        <w:rPr>
          <w:rFonts w:eastAsiaTheme="minorHAnsi"/>
          <w:szCs w:val="28"/>
        </w:rPr>
        <w:t>trauma</w:t>
      </w:r>
      <w:r w:rsidR="001463B6" w:rsidRPr="00341ED2">
        <w:rPr>
          <w:rFonts w:eastAsiaTheme="minorHAnsi"/>
          <w:szCs w:val="28"/>
        </w:rPr>
        <w:t xml:space="preserve"> y no </w:t>
      </w:r>
      <w:r w:rsidR="00F67BB3" w:rsidRPr="00341ED2">
        <w:rPr>
          <w:rFonts w:eastAsiaTheme="minorHAnsi"/>
          <w:szCs w:val="28"/>
        </w:rPr>
        <w:t>de</w:t>
      </w:r>
      <w:r w:rsidR="001463B6" w:rsidRPr="00341ED2">
        <w:rPr>
          <w:rFonts w:eastAsiaTheme="minorHAnsi"/>
          <w:szCs w:val="28"/>
        </w:rPr>
        <w:t xml:space="preserve"> un problema psiquiátrico.</w:t>
      </w:r>
      <w:r w:rsidR="001463B6" w:rsidRPr="00341ED2">
        <w:rPr>
          <w:rStyle w:val="Refdenotaalpie"/>
          <w:rFonts w:eastAsiaTheme="minorHAnsi"/>
          <w:szCs w:val="28"/>
        </w:rPr>
        <w:footnoteReference w:id="26"/>
      </w:r>
      <w:r w:rsidR="00F67BB3" w:rsidRPr="00341ED2">
        <w:rPr>
          <w:rFonts w:eastAsiaTheme="minorHAnsi"/>
          <w:szCs w:val="28"/>
        </w:rPr>
        <w:t>El Dr. Serrano contestó:</w:t>
      </w:r>
    </w:p>
    <w:p w14:paraId="4F42A383" w14:textId="77777777" w:rsidR="00654459" w:rsidRPr="00341ED2" w:rsidRDefault="00654459" w:rsidP="000F393F">
      <w:pPr>
        <w:pStyle w:val="Prrafodelista"/>
        <w:widowControl w:val="0"/>
        <w:autoSpaceDE w:val="0"/>
        <w:autoSpaceDN w:val="0"/>
        <w:adjustRightInd w:val="0"/>
        <w:spacing w:after="160"/>
        <w:ind w:left="0"/>
        <w:rPr>
          <w:rFonts w:eastAsiaTheme="minorHAnsi"/>
          <w:szCs w:val="28"/>
        </w:rPr>
      </w:pPr>
    </w:p>
    <w:p w14:paraId="54F182CA" w14:textId="3A42A05F" w:rsidR="00654459" w:rsidRPr="00341ED2" w:rsidRDefault="004B7B66"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«Con respecto al pronóstico, por lo general es malo y tiende a ser permanente. El deterioro cognitivo no aumenta con el tiempo, los pacientes quedan con un</w:t>
      </w:r>
      <w:r w:rsidR="00E260E3" w:rsidRPr="00341ED2">
        <w:rPr>
          <w:rFonts w:eastAsiaTheme="minorHAnsi"/>
          <w:sz w:val="26"/>
          <w:szCs w:val="26"/>
        </w:rPr>
        <w:t xml:space="preserve">a dificultad permanente </w:t>
      </w:r>
      <w:r w:rsidRPr="00341ED2">
        <w:rPr>
          <w:rFonts w:eastAsiaTheme="minorHAnsi"/>
          <w:sz w:val="26"/>
          <w:szCs w:val="26"/>
        </w:rPr>
        <w:t>en su</w:t>
      </w:r>
      <w:r w:rsidR="00E260E3" w:rsidRPr="00341ED2">
        <w:rPr>
          <w:rFonts w:eastAsiaTheme="minorHAnsi"/>
          <w:sz w:val="26"/>
          <w:szCs w:val="26"/>
        </w:rPr>
        <w:t xml:space="preserve"> capacidad de relacionarse social y laboralmente. Tienden a aislarse. […]</w:t>
      </w:r>
      <w:r w:rsidR="00507BB3" w:rsidRPr="00341ED2">
        <w:rPr>
          <w:rFonts w:eastAsiaTheme="minorHAnsi"/>
          <w:sz w:val="26"/>
          <w:szCs w:val="26"/>
        </w:rPr>
        <w:t>»</w:t>
      </w:r>
      <w:r w:rsidR="004D0FF4" w:rsidRPr="00341ED2">
        <w:rPr>
          <w:rStyle w:val="Refdenotaalpie"/>
          <w:rFonts w:eastAsiaTheme="minorHAnsi"/>
          <w:sz w:val="26"/>
          <w:szCs w:val="26"/>
        </w:rPr>
        <w:footnoteReference w:id="27"/>
      </w:r>
    </w:p>
    <w:p w14:paraId="3FC6A06D" w14:textId="77777777" w:rsidR="00017686" w:rsidRPr="00341ED2" w:rsidRDefault="00017686" w:rsidP="000F393F">
      <w:pPr>
        <w:pStyle w:val="Prrafodelista"/>
        <w:widowControl w:val="0"/>
        <w:autoSpaceDE w:val="0"/>
        <w:autoSpaceDN w:val="0"/>
        <w:adjustRightInd w:val="0"/>
        <w:spacing w:after="160"/>
        <w:ind w:left="0"/>
        <w:rPr>
          <w:rFonts w:eastAsiaTheme="minorHAnsi"/>
          <w:szCs w:val="28"/>
        </w:rPr>
      </w:pPr>
    </w:p>
    <w:p w14:paraId="56F020EC" w14:textId="5CD8960B" w:rsidR="008A6D3A" w:rsidRPr="00341ED2" w:rsidRDefault="006E06C4"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 </w:t>
      </w:r>
      <w:r w:rsidR="00B91DCE" w:rsidRPr="00341ED2">
        <w:rPr>
          <w:rFonts w:eastAsiaTheme="minorHAnsi"/>
          <w:szCs w:val="28"/>
        </w:rPr>
        <w:t xml:space="preserve"> </w:t>
      </w:r>
      <w:r w:rsidR="00DD728F" w:rsidRPr="00341ED2">
        <w:rPr>
          <w:rFonts w:eastAsiaTheme="minorHAnsi"/>
          <w:szCs w:val="28"/>
        </w:rPr>
        <w:t>El 19 de agosto de 2019, l</w:t>
      </w:r>
      <w:r w:rsidR="004E3537" w:rsidRPr="00341ED2">
        <w:rPr>
          <w:rFonts w:eastAsiaTheme="minorHAnsi"/>
          <w:szCs w:val="28"/>
        </w:rPr>
        <w:t xml:space="preserve">a Junta </w:t>
      </w:r>
      <w:r w:rsidR="00DD728F" w:rsidRPr="00341ED2">
        <w:rPr>
          <w:rFonts w:eastAsiaTheme="minorHAnsi"/>
          <w:szCs w:val="28"/>
        </w:rPr>
        <w:t xml:space="preserve">Regional de Calificación de Invalidez de Norte de Santander </w:t>
      </w:r>
      <w:r w:rsidR="006337BC" w:rsidRPr="00341ED2">
        <w:rPr>
          <w:rFonts w:eastAsiaTheme="minorHAnsi"/>
          <w:szCs w:val="28"/>
        </w:rPr>
        <w:t xml:space="preserve">envió al Juzgado Quinto Administrativo Oral de Cúcuta el dictamen </w:t>
      </w:r>
      <w:r w:rsidR="007631A9" w:rsidRPr="00341ED2">
        <w:rPr>
          <w:rFonts w:eastAsiaTheme="minorHAnsi"/>
          <w:szCs w:val="28"/>
        </w:rPr>
        <w:t>de PCL</w:t>
      </w:r>
      <w:r w:rsidR="006337BC" w:rsidRPr="00341ED2">
        <w:rPr>
          <w:rFonts w:eastAsiaTheme="minorHAnsi"/>
          <w:szCs w:val="28"/>
        </w:rPr>
        <w:t xml:space="preserve"> de </w:t>
      </w:r>
      <w:r w:rsidR="002174CD" w:rsidRPr="002174CD">
        <w:rPr>
          <w:rFonts w:eastAsiaTheme="minorHAnsi"/>
          <w:i/>
          <w:iCs/>
          <w:szCs w:val="28"/>
        </w:rPr>
        <w:t>Oscar</w:t>
      </w:r>
      <w:r w:rsidR="006337BC" w:rsidRPr="00341ED2">
        <w:rPr>
          <w:rFonts w:eastAsiaTheme="minorHAnsi"/>
          <w:szCs w:val="28"/>
        </w:rPr>
        <w:t xml:space="preserve">. La Junta calificó a </w:t>
      </w:r>
      <w:r w:rsidR="002174CD" w:rsidRPr="002174CD">
        <w:rPr>
          <w:rFonts w:eastAsiaTheme="minorHAnsi"/>
          <w:i/>
          <w:iCs/>
          <w:szCs w:val="28"/>
        </w:rPr>
        <w:t>Oscar</w:t>
      </w:r>
      <w:r w:rsidR="006337BC" w:rsidRPr="00341ED2">
        <w:rPr>
          <w:rFonts w:eastAsiaTheme="minorHAnsi"/>
          <w:szCs w:val="28"/>
        </w:rPr>
        <w:t xml:space="preserve"> con una </w:t>
      </w:r>
      <w:r w:rsidR="007631A9" w:rsidRPr="00341ED2">
        <w:rPr>
          <w:rFonts w:eastAsiaTheme="minorHAnsi"/>
          <w:szCs w:val="28"/>
        </w:rPr>
        <w:t>PCL</w:t>
      </w:r>
      <w:r w:rsidR="006337BC" w:rsidRPr="00341ED2">
        <w:rPr>
          <w:rFonts w:eastAsiaTheme="minorHAnsi"/>
          <w:szCs w:val="28"/>
        </w:rPr>
        <w:t xml:space="preserve"> del 50.5%</w:t>
      </w:r>
      <w:r w:rsidR="009A7EBB" w:rsidRPr="00341ED2">
        <w:rPr>
          <w:rFonts w:eastAsiaTheme="minorHAnsi"/>
          <w:szCs w:val="28"/>
        </w:rPr>
        <w:t xml:space="preserve"> y</w:t>
      </w:r>
      <w:r w:rsidR="00A73761" w:rsidRPr="00341ED2">
        <w:rPr>
          <w:rFonts w:eastAsiaTheme="minorHAnsi"/>
          <w:szCs w:val="28"/>
        </w:rPr>
        <w:t xml:space="preserve"> </w:t>
      </w:r>
      <w:r w:rsidR="009A7EBB" w:rsidRPr="00341ED2">
        <w:rPr>
          <w:rFonts w:eastAsiaTheme="minorHAnsi"/>
          <w:szCs w:val="28"/>
        </w:rPr>
        <w:t>en las conclusiones</w:t>
      </w:r>
      <w:r w:rsidR="00094E56" w:rsidRPr="00341ED2">
        <w:rPr>
          <w:rFonts w:eastAsiaTheme="minorHAnsi"/>
          <w:szCs w:val="28"/>
        </w:rPr>
        <w:t xml:space="preserve"> señaló</w:t>
      </w:r>
      <w:r w:rsidR="007631A9" w:rsidRPr="00341ED2">
        <w:rPr>
          <w:rFonts w:eastAsiaTheme="minorHAnsi"/>
          <w:szCs w:val="28"/>
        </w:rPr>
        <w:t>: «</w:t>
      </w:r>
      <w:r w:rsidR="006337BC" w:rsidRPr="00341ED2">
        <w:rPr>
          <w:rFonts w:eastAsiaTheme="minorHAnsi"/>
          <w:szCs w:val="28"/>
        </w:rPr>
        <w:t>paciente con amnesia, déficit cognitivo, cefalea y trastorno del comportamiento por supuesto traumatismo cráneo encefálico, no existen en el expediente elementos para poder definir a ciencia cierta el origen de la patología</w:t>
      </w:r>
      <w:r w:rsidR="007631A9" w:rsidRPr="00341ED2">
        <w:rPr>
          <w:rFonts w:eastAsiaTheme="minorHAnsi"/>
          <w:szCs w:val="28"/>
        </w:rPr>
        <w:t>»</w:t>
      </w:r>
      <w:r w:rsidR="004452EC" w:rsidRPr="00341ED2">
        <w:rPr>
          <w:rStyle w:val="Refdenotaalpie"/>
          <w:rFonts w:eastAsiaTheme="minorHAnsi"/>
          <w:szCs w:val="28"/>
        </w:rPr>
        <w:footnoteReference w:id="28"/>
      </w:r>
      <w:r w:rsidR="006337BC" w:rsidRPr="00341ED2">
        <w:rPr>
          <w:rFonts w:eastAsiaTheme="minorHAnsi"/>
          <w:szCs w:val="28"/>
        </w:rPr>
        <w:t>.</w:t>
      </w:r>
      <w:r w:rsidR="007631A9" w:rsidRPr="00341ED2">
        <w:rPr>
          <w:rFonts w:eastAsiaTheme="minorHAnsi"/>
          <w:szCs w:val="28"/>
        </w:rPr>
        <w:t xml:space="preserve"> </w:t>
      </w:r>
      <w:r w:rsidR="004201FC" w:rsidRPr="00341ED2">
        <w:rPr>
          <w:rFonts w:eastAsiaTheme="minorHAnsi"/>
          <w:szCs w:val="28"/>
        </w:rPr>
        <w:t xml:space="preserve">El 23 de octubre de 2019, en </w:t>
      </w:r>
      <w:r w:rsidR="00DD728F" w:rsidRPr="00341ED2">
        <w:rPr>
          <w:rFonts w:eastAsiaTheme="minorHAnsi"/>
          <w:szCs w:val="28"/>
        </w:rPr>
        <w:t xml:space="preserve">la audiencia de práctica de pruebas, </w:t>
      </w:r>
      <w:r w:rsidR="004F7CFD" w:rsidRPr="00341ED2">
        <w:rPr>
          <w:rFonts w:eastAsiaTheme="minorHAnsi"/>
          <w:szCs w:val="28"/>
        </w:rPr>
        <w:t xml:space="preserve">el médico </w:t>
      </w:r>
      <w:r w:rsidR="008A6D3A" w:rsidRPr="00341ED2">
        <w:rPr>
          <w:rFonts w:eastAsiaTheme="minorHAnsi"/>
          <w:szCs w:val="28"/>
        </w:rPr>
        <w:t>especialista en medicina física y rehabilitación</w:t>
      </w:r>
      <w:r w:rsidR="001E3C2B" w:rsidRPr="00341ED2">
        <w:rPr>
          <w:rFonts w:eastAsiaTheme="minorHAnsi"/>
          <w:szCs w:val="28"/>
        </w:rPr>
        <w:t>,</w:t>
      </w:r>
      <w:r w:rsidR="008A6D3A" w:rsidRPr="00341ED2">
        <w:rPr>
          <w:rFonts w:eastAsiaTheme="minorHAnsi"/>
          <w:szCs w:val="28"/>
        </w:rPr>
        <w:t xml:space="preserve"> </w:t>
      </w:r>
      <w:r w:rsidR="007909AB" w:rsidRPr="00341ED2">
        <w:rPr>
          <w:rFonts w:eastAsiaTheme="minorHAnsi"/>
          <w:szCs w:val="28"/>
        </w:rPr>
        <w:t>Ángel Javier Sepúlveda Corzo</w:t>
      </w:r>
      <w:r w:rsidR="001E3C2B" w:rsidRPr="00341ED2">
        <w:rPr>
          <w:rFonts w:eastAsiaTheme="minorHAnsi"/>
          <w:szCs w:val="28"/>
        </w:rPr>
        <w:t>,</w:t>
      </w:r>
      <w:r w:rsidR="004F7CFD" w:rsidRPr="00341ED2">
        <w:rPr>
          <w:rFonts w:eastAsiaTheme="minorHAnsi"/>
          <w:szCs w:val="28"/>
        </w:rPr>
        <w:t xml:space="preserve"> </w:t>
      </w:r>
      <w:r w:rsidR="00DD728F" w:rsidRPr="00341ED2">
        <w:t xml:space="preserve">sustentó oralmente el dictamen </w:t>
      </w:r>
      <w:r w:rsidR="00916532" w:rsidRPr="00341ED2">
        <w:t xml:space="preserve">de PCL </w:t>
      </w:r>
      <w:r w:rsidR="004F7CFD" w:rsidRPr="00341ED2">
        <w:t xml:space="preserve">emitido por la </w:t>
      </w:r>
      <w:r w:rsidR="004F7CFD" w:rsidRPr="00341ED2">
        <w:rPr>
          <w:rFonts w:eastAsiaTheme="minorHAnsi"/>
          <w:szCs w:val="28"/>
        </w:rPr>
        <w:t>Junta Regional de Calificación de Invalidez de Norte de Santander</w:t>
      </w:r>
      <w:r w:rsidR="008A6D3A" w:rsidRPr="00341ED2">
        <w:rPr>
          <w:rFonts w:eastAsiaTheme="minorHAnsi"/>
          <w:szCs w:val="28"/>
        </w:rPr>
        <w:t xml:space="preserve">. </w:t>
      </w:r>
      <w:r w:rsidR="00DD728F" w:rsidRPr="00341ED2">
        <w:rPr>
          <w:rFonts w:eastAsiaTheme="minorHAnsi"/>
          <w:szCs w:val="28"/>
        </w:rPr>
        <w:t xml:space="preserve">El doctor </w:t>
      </w:r>
      <w:r w:rsidR="008A6D3A" w:rsidRPr="00341ED2">
        <w:rPr>
          <w:rFonts w:eastAsiaTheme="minorHAnsi"/>
          <w:szCs w:val="28"/>
        </w:rPr>
        <w:t>Sepúlveda</w:t>
      </w:r>
      <w:r w:rsidR="00DD728F" w:rsidRPr="00341ED2">
        <w:rPr>
          <w:rFonts w:eastAsiaTheme="minorHAnsi"/>
          <w:szCs w:val="28"/>
        </w:rPr>
        <w:t xml:space="preserve"> manifestó lo siguiente:</w:t>
      </w:r>
    </w:p>
    <w:p w14:paraId="4DC5D6E9" w14:textId="77777777" w:rsidR="00DE736B" w:rsidRPr="00341ED2" w:rsidRDefault="00DE736B" w:rsidP="000F393F">
      <w:pPr>
        <w:pStyle w:val="Prrafodelista"/>
        <w:widowControl w:val="0"/>
        <w:autoSpaceDE w:val="0"/>
        <w:autoSpaceDN w:val="0"/>
        <w:adjustRightInd w:val="0"/>
        <w:spacing w:after="160"/>
        <w:ind w:left="0"/>
        <w:rPr>
          <w:rFonts w:eastAsiaTheme="minorHAnsi"/>
          <w:szCs w:val="28"/>
        </w:rPr>
      </w:pPr>
    </w:p>
    <w:p w14:paraId="74920D88" w14:textId="42346CA6" w:rsidR="008A6D3A" w:rsidRPr="00341ED2" w:rsidRDefault="00DE736B"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 xml:space="preserve">«Recibimos un paciente de 27 años con cuadro clínico dado por desorientación, pensamiento pobre, afecto disociado, una conducta motora disminuida, producto de un probable traumatismo craneal en el año 2012 […] </w:t>
      </w:r>
      <w:r w:rsidR="009F190F" w:rsidRPr="00341ED2">
        <w:rPr>
          <w:rFonts w:eastAsiaTheme="minorHAnsi"/>
          <w:sz w:val="26"/>
          <w:szCs w:val="26"/>
        </w:rPr>
        <w:t xml:space="preserve">De acuerdo con el </w:t>
      </w:r>
      <w:r w:rsidR="00F40BAB" w:rsidRPr="00341ED2">
        <w:rPr>
          <w:rFonts w:eastAsiaTheme="minorHAnsi"/>
          <w:sz w:val="26"/>
          <w:szCs w:val="26"/>
        </w:rPr>
        <w:t>Decreto</w:t>
      </w:r>
      <w:r w:rsidR="009F190F" w:rsidRPr="00341ED2">
        <w:rPr>
          <w:rFonts w:eastAsiaTheme="minorHAnsi"/>
          <w:sz w:val="26"/>
          <w:szCs w:val="26"/>
        </w:rPr>
        <w:t xml:space="preserve"> 94</w:t>
      </w:r>
      <w:r w:rsidR="00F40BAB" w:rsidRPr="00341ED2">
        <w:rPr>
          <w:rFonts w:eastAsiaTheme="minorHAnsi"/>
          <w:sz w:val="26"/>
          <w:szCs w:val="26"/>
        </w:rPr>
        <w:t xml:space="preserve"> de 1989</w:t>
      </w:r>
      <w:r w:rsidR="00F40BAB" w:rsidRPr="00341ED2">
        <w:rPr>
          <w:rStyle w:val="Refdenotaalpie"/>
          <w:rFonts w:eastAsiaTheme="minorHAnsi"/>
          <w:sz w:val="26"/>
          <w:szCs w:val="26"/>
        </w:rPr>
        <w:footnoteReference w:id="29"/>
      </w:r>
      <w:r w:rsidR="00F40BAB" w:rsidRPr="00341ED2">
        <w:rPr>
          <w:rFonts w:eastAsiaTheme="minorHAnsi"/>
          <w:sz w:val="26"/>
          <w:szCs w:val="26"/>
        </w:rPr>
        <w:t>, estamos ante un</w:t>
      </w:r>
      <w:r w:rsidR="00C767F9" w:rsidRPr="00341ED2">
        <w:rPr>
          <w:rFonts w:eastAsiaTheme="minorHAnsi"/>
          <w:sz w:val="26"/>
          <w:szCs w:val="26"/>
        </w:rPr>
        <w:t xml:space="preserve"> </w:t>
      </w:r>
      <w:r w:rsidR="00F40BAB" w:rsidRPr="00341ED2">
        <w:rPr>
          <w:rFonts w:eastAsiaTheme="minorHAnsi"/>
          <w:sz w:val="26"/>
          <w:szCs w:val="26"/>
        </w:rPr>
        <w:t>deterioro mental por lesiones cerebrales irreversibles, de grado medio, eso da un índice de lesión que llevado a la tabla</w:t>
      </w:r>
      <w:r w:rsidR="00BD55B5" w:rsidRPr="00341ED2">
        <w:rPr>
          <w:rFonts w:eastAsiaTheme="minorHAnsi"/>
          <w:sz w:val="26"/>
          <w:szCs w:val="26"/>
        </w:rPr>
        <w:t xml:space="preserve"> del Decreto 94</w:t>
      </w:r>
      <w:r w:rsidR="00F40BAB" w:rsidRPr="00341ED2">
        <w:rPr>
          <w:rFonts w:eastAsiaTheme="minorHAnsi"/>
          <w:sz w:val="26"/>
          <w:szCs w:val="26"/>
        </w:rPr>
        <w:t xml:space="preserve"> da un 50.5% de pérdida de capacidad labora</w:t>
      </w:r>
      <w:r w:rsidR="00BD55B5" w:rsidRPr="00341ED2">
        <w:rPr>
          <w:rFonts w:eastAsiaTheme="minorHAnsi"/>
          <w:sz w:val="26"/>
          <w:szCs w:val="26"/>
        </w:rPr>
        <w:t>l […]</w:t>
      </w:r>
      <w:r w:rsidR="00EA6DF7" w:rsidRPr="00341ED2">
        <w:rPr>
          <w:rFonts w:eastAsiaTheme="minorHAnsi"/>
          <w:sz w:val="26"/>
          <w:szCs w:val="26"/>
        </w:rPr>
        <w:t>»</w:t>
      </w:r>
      <w:r w:rsidR="00EA6DF7" w:rsidRPr="00341ED2">
        <w:rPr>
          <w:rStyle w:val="Refdenotaalpie"/>
          <w:rFonts w:eastAsiaTheme="minorHAnsi"/>
          <w:sz w:val="26"/>
          <w:szCs w:val="26"/>
        </w:rPr>
        <w:footnoteReference w:id="30"/>
      </w:r>
    </w:p>
    <w:p w14:paraId="74ED4713" w14:textId="77777777" w:rsidR="008A6D3A" w:rsidRPr="00341ED2" w:rsidRDefault="008A6D3A" w:rsidP="000F393F">
      <w:pPr>
        <w:pStyle w:val="Prrafodelista"/>
        <w:widowControl w:val="0"/>
        <w:autoSpaceDE w:val="0"/>
        <w:autoSpaceDN w:val="0"/>
        <w:adjustRightInd w:val="0"/>
        <w:spacing w:after="160"/>
        <w:ind w:left="0"/>
        <w:rPr>
          <w:rFonts w:eastAsiaTheme="minorHAnsi"/>
          <w:szCs w:val="28"/>
        </w:rPr>
      </w:pPr>
    </w:p>
    <w:p w14:paraId="28603956" w14:textId="13633F27" w:rsidR="0098719F" w:rsidRPr="00341ED2" w:rsidRDefault="0098719F"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En el espacio otorgado para que las partes interroguen al perito, </w:t>
      </w:r>
      <w:r w:rsidR="00D71FCF" w:rsidRPr="00341ED2">
        <w:rPr>
          <w:rFonts w:eastAsiaTheme="minorHAnsi"/>
          <w:szCs w:val="28"/>
        </w:rPr>
        <w:t xml:space="preserve">el apoderado de la señora </w:t>
      </w:r>
      <w:r w:rsidR="00B8660C">
        <w:rPr>
          <w:i/>
          <w:iCs/>
          <w:spacing w:val="-2"/>
          <w:szCs w:val="28"/>
        </w:rPr>
        <w:t>Amalia</w:t>
      </w:r>
      <w:r w:rsidR="00D71FCF" w:rsidRPr="00341ED2">
        <w:t xml:space="preserve"> preguntó al doctor Sepúlveda si la patología que padece </w:t>
      </w:r>
      <w:r w:rsidR="002174CD" w:rsidRPr="002174CD">
        <w:rPr>
          <w:i/>
          <w:iCs/>
        </w:rPr>
        <w:t>Oscar</w:t>
      </w:r>
      <w:r w:rsidR="00D71FCF" w:rsidRPr="00341ED2">
        <w:t xml:space="preserve"> puede agravarse o tiene una tendencia degenerativa.</w:t>
      </w:r>
      <w:r w:rsidR="00D71FCF" w:rsidRPr="00341ED2">
        <w:rPr>
          <w:rFonts w:eastAsiaTheme="minorHAnsi"/>
          <w:szCs w:val="28"/>
        </w:rPr>
        <w:t xml:space="preserve"> </w:t>
      </w:r>
      <w:r w:rsidR="00183373" w:rsidRPr="00341ED2">
        <w:rPr>
          <w:rFonts w:eastAsiaTheme="minorHAnsi"/>
          <w:szCs w:val="28"/>
        </w:rPr>
        <w:t>E</w:t>
      </w:r>
      <w:r w:rsidR="00D71FCF" w:rsidRPr="00341ED2">
        <w:rPr>
          <w:rFonts w:eastAsiaTheme="minorHAnsi"/>
          <w:szCs w:val="28"/>
        </w:rPr>
        <w:t>l perito contestó:</w:t>
      </w:r>
    </w:p>
    <w:p w14:paraId="63764FC0" w14:textId="77777777" w:rsidR="00D71FCF" w:rsidRPr="00341ED2" w:rsidRDefault="00D71FCF" w:rsidP="000F393F">
      <w:pPr>
        <w:pStyle w:val="Prrafodelista"/>
        <w:widowControl w:val="0"/>
        <w:autoSpaceDE w:val="0"/>
        <w:autoSpaceDN w:val="0"/>
        <w:adjustRightInd w:val="0"/>
        <w:spacing w:after="160"/>
        <w:ind w:left="567" w:right="567"/>
        <w:rPr>
          <w:rFonts w:eastAsiaTheme="minorHAnsi"/>
          <w:sz w:val="26"/>
          <w:szCs w:val="26"/>
        </w:rPr>
      </w:pPr>
    </w:p>
    <w:p w14:paraId="75E0FAF5" w14:textId="4979D33F" w:rsidR="00CE34A7" w:rsidRPr="00341ED2" w:rsidRDefault="00614C46"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w:t>
      </w:r>
      <w:r w:rsidR="00D71FCF" w:rsidRPr="00341ED2">
        <w:rPr>
          <w:rFonts w:eastAsiaTheme="minorHAnsi"/>
          <w:sz w:val="26"/>
          <w:szCs w:val="26"/>
        </w:rPr>
        <w:t xml:space="preserve">Es difícil decirlo, pero lo más probable es que no es una enfermedad degenerativa. Degenerativo es algo que empieza leve y se va empeorando con el tiempo. En este caso las diferentes valoraciones psiquiátricas refieren los mismos síntomas. </w:t>
      </w:r>
      <w:r w:rsidR="00183373" w:rsidRPr="00341ED2">
        <w:rPr>
          <w:rFonts w:eastAsiaTheme="minorHAnsi"/>
          <w:sz w:val="26"/>
          <w:szCs w:val="26"/>
        </w:rPr>
        <w:t>[…]</w:t>
      </w:r>
      <w:r w:rsidRPr="00341ED2">
        <w:rPr>
          <w:rFonts w:eastAsiaTheme="minorHAnsi"/>
          <w:sz w:val="26"/>
          <w:szCs w:val="26"/>
        </w:rPr>
        <w:t>»</w:t>
      </w:r>
      <w:r w:rsidRPr="00341ED2">
        <w:rPr>
          <w:rStyle w:val="Refdenotaalpie"/>
          <w:rFonts w:eastAsiaTheme="minorHAnsi"/>
          <w:sz w:val="26"/>
          <w:szCs w:val="26"/>
        </w:rPr>
        <w:footnoteReference w:id="31"/>
      </w:r>
    </w:p>
    <w:p w14:paraId="1241522D" w14:textId="77777777" w:rsidR="00101FD9" w:rsidRPr="00341ED2" w:rsidRDefault="00101FD9" w:rsidP="000F393F">
      <w:pPr>
        <w:pStyle w:val="Prrafodelista"/>
        <w:widowControl w:val="0"/>
        <w:autoSpaceDE w:val="0"/>
        <w:autoSpaceDN w:val="0"/>
        <w:adjustRightInd w:val="0"/>
        <w:spacing w:after="160"/>
        <w:ind w:left="567" w:right="567"/>
        <w:rPr>
          <w:rFonts w:eastAsiaTheme="minorHAnsi"/>
          <w:sz w:val="26"/>
          <w:szCs w:val="26"/>
        </w:rPr>
      </w:pPr>
    </w:p>
    <w:p w14:paraId="4AA9BF47" w14:textId="5CF3718D" w:rsidR="009B0B3F" w:rsidRPr="00341ED2" w:rsidRDefault="00064569" w:rsidP="000F393F">
      <w:pPr>
        <w:pStyle w:val="Prrafodelista"/>
        <w:widowControl w:val="0"/>
        <w:numPr>
          <w:ilvl w:val="1"/>
          <w:numId w:val="15"/>
        </w:numPr>
        <w:autoSpaceDE w:val="0"/>
        <w:autoSpaceDN w:val="0"/>
        <w:adjustRightInd w:val="0"/>
        <w:spacing w:after="160"/>
        <w:rPr>
          <w:rFonts w:eastAsiaTheme="minorHAnsi"/>
          <w:szCs w:val="28"/>
        </w:rPr>
      </w:pPr>
      <w:r w:rsidRPr="00341ED2">
        <w:t xml:space="preserve">Con base en esta respuesta, </w:t>
      </w:r>
      <w:r w:rsidR="00183373" w:rsidRPr="00341ED2">
        <w:rPr>
          <w:rFonts w:eastAsiaTheme="minorHAnsi"/>
          <w:szCs w:val="28"/>
        </w:rPr>
        <w:t>la apoderada del Ejército Nacional le preguntó al doctor Sepúlveda por qué</w:t>
      </w:r>
      <w:r w:rsidR="00E953AF" w:rsidRPr="00341ED2">
        <w:rPr>
          <w:rFonts w:eastAsiaTheme="minorHAnsi"/>
          <w:szCs w:val="28"/>
        </w:rPr>
        <w:t xml:space="preserve"> </w:t>
      </w:r>
      <w:r w:rsidR="00183373" w:rsidRPr="00341ED2">
        <w:rPr>
          <w:rFonts w:eastAsiaTheme="minorHAnsi"/>
          <w:szCs w:val="28"/>
        </w:rPr>
        <w:t>exist</w:t>
      </w:r>
      <w:r w:rsidR="008A3F5A" w:rsidRPr="00341ED2">
        <w:rPr>
          <w:rFonts w:eastAsiaTheme="minorHAnsi"/>
          <w:szCs w:val="28"/>
        </w:rPr>
        <w:t>e</w:t>
      </w:r>
      <w:r w:rsidR="00183373" w:rsidRPr="00341ED2">
        <w:rPr>
          <w:rFonts w:eastAsiaTheme="minorHAnsi"/>
          <w:szCs w:val="28"/>
        </w:rPr>
        <w:t xml:space="preserve"> una diferencia tan marcada entre el dictamen de PCL de la Junta Médica Laboral del Ejército Nacional (11.5%) y el dictamen de PCL de la Junta Regional de Calificación de Invalidez de Norte de Santander (50.5%) si l</w:t>
      </w:r>
      <w:r w:rsidR="004E3164" w:rsidRPr="00341ED2">
        <w:rPr>
          <w:rFonts w:eastAsiaTheme="minorHAnsi"/>
          <w:szCs w:val="28"/>
        </w:rPr>
        <w:t>o</w:t>
      </w:r>
      <w:r w:rsidR="00183373" w:rsidRPr="00341ED2">
        <w:rPr>
          <w:rFonts w:eastAsiaTheme="minorHAnsi"/>
          <w:szCs w:val="28"/>
        </w:rPr>
        <w:t>s dos coincidieron en el diagnóstico</w:t>
      </w:r>
      <w:r w:rsidR="00E953AF" w:rsidRPr="00341ED2">
        <w:rPr>
          <w:rFonts w:eastAsiaTheme="minorHAnsi"/>
          <w:szCs w:val="28"/>
        </w:rPr>
        <w:t xml:space="preserve"> y</w:t>
      </w:r>
      <w:r w:rsidR="00183373" w:rsidRPr="00341ED2">
        <w:rPr>
          <w:rFonts w:eastAsiaTheme="minorHAnsi"/>
          <w:szCs w:val="28"/>
        </w:rPr>
        <w:t xml:space="preserve"> </w:t>
      </w:r>
      <w:r w:rsidR="004E3164" w:rsidRPr="00341ED2">
        <w:rPr>
          <w:rFonts w:eastAsiaTheme="minorHAnsi"/>
          <w:szCs w:val="28"/>
        </w:rPr>
        <w:t xml:space="preserve">si </w:t>
      </w:r>
      <w:r w:rsidR="00183373" w:rsidRPr="00341ED2">
        <w:rPr>
          <w:rFonts w:eastAsiaTheme="minorHAnsi"/>
          <w:szCs w:val="28"/>
        </w:rPr>
        <w:t>la patología</w:t>
      </w:r>
      <w:r w:rsidR="00E953AF" w:rsidRPr="00341ED2">
        <w:rPr>
          <w:rFonts w:eastAsiaTheme="minorHAnsi"/>
          <w:szCs w:val="28"/>
        </w:rPr>
        <w:t xml:space="preserve"> </w:t>
      </w:r>
      <w:r w:rsidR="008A3F5A" w:rsidRPr="00341ED2">
        <w:rPr>
          <w:rFonts w:eastAsiaTheme="minorHAnsi"/>
          <w:szCs w:val="28"/>
        </w:rPr>
        <w:t xml:space="preserve">de </w:t>
      </w:r>
      <w:r w:rsidR="002174CD" w:rsidRPr="002174CD">
        <w:rPr>
          <w:rFonts w:eastAsiaTheme="minorHAnsi"/>
          <w:i/>
          <w:iCs/>
          <w:szCs w:val="28"/>
        </w:rPr>
        <w:t>Oscar</w:t>
      </w:r>
      <w:r w:rsidR="008A3F5A" w:rsidRPr="00341ED2">
        <w:rPr>
          <w:rFonts w:eastAsiaTheme="minorHAnsi"/>
          <w:szCs w:val="28"/>
        </w:rPr>
        <w:t xml:space="preserve"> </w:t>
      </w:r>
      <w:r w:rsidR="00E953AF" w:rsidRPr="00341ED2">
        <w:rPr>
          <w:rFonts w:eastAsiaTheme="minorHAnsi"/>
          <w:szCs w:val="28"/>
        </w:rPr>
        <w:t>no e</w:t>
      </w:r>
      <w:r w:rsidR="008A3F5A" w:rsidRPr="00341ED2">
        <w:rPr>
          <w:rFonts w:eastAsiaTheme="minorHAnsi"/>
          <w:szCs w:val="28"/>
        </w:rPr>
        <w:t>s</w:t>
      </w:r>
      <w:r w:rsidR="00172E4F" w:rsidRPr="00341ED2">
        <w:rPr>
          <w:rFonts w:eastAsiaTheme="minorHAnsi"/>
          <w:szCs w:val="28"/>
        </w:rPr>
        <w:t>, en principio,</w:t>
      </w:r>
      <w:r w:rsidR="00E953AF" w:rsidRPr="00341ED2">
        <w:rPr>
          <w:rFonts w:eastAsiaTheme="minorHAnsi"/>
          <w:szCs w:val="28"/>
        </w:rPr>
        <w:t xml:space="preserve"> degenerativa</w:t>
      </w:r>
      <w:r w:rsidR="00183373" w:rsidRPr="00341ED2">
        <w:rPr>
          <w:rFonts w:eastAsiaTheme="minorHAnsi"/>
          <w:szCs w:val="28"/>
        </w:rPr>
        <w:t>.</w:t>
      </w:r>
      <w:r w:rsidR="00183373" w:rsidRPr="00341ED2">
        <w:rPr>
          <w:rStyle w:val="Refdenotaalpie"/>
          <w:rFonts w:eastAsiaTheme="minorHAnsi"/>
          <w:szCs w:val="28"/>
        </w:rPr>
        <w:footnoteReference w:id="32"/>
      </w:r>
      <w:r w:rsidRPr="00341ED2">
        <w:rPr>
          <w:rFonts w:eastAsiaTheme="minorHAnsi"/>
          <w:szCs w:val="28"/>
        </w:rPr>
        <w:t xml:space="preserve"> </w:t>
      </w:r>
      <w:r w:rsidR="008A3F5A" w:rsidRPr="00341ED2">
        <w:rPr>
          <w:rFonts w:eastAsiaTheme="minorHAnsi"/>
          <w:szCs w:val="28"/>
        </w:rPr>
        <w:t>Al respecto, e</w:t>
      </w:r>
      <w:r w:rsidRPr="00341ED2">
        <w:rPr>
          <w:rFonts w:eastAsiaTheme="minorHAnsi"/>
          <w:szCs w:val="28"/>
        </w:rPr>
        <w:t>l</w:t>
      </w:r>
      <w:r w:rsidR="00A931F0" w:rsidRPr="00341ED2">
        <w:rPr>
          <w:rFonts w:eastAsiaTheme="minorHAnsi"/>
          <w:szCs w:val="28"/>
        </w:rPr>
        <w:t xml:space="preserve"> doctor Sepúlveda </w:t>
      </w:r>
      <w:r w:rsidR="008A3F5A" w:rsidRPr="00341ED2">
        <w:rPr>
          <w:rFonts w:eastAsiaTheme="minorHAnsi"/>
          <w:szCs w:val="28"/>
        </w:rPr>
        <w:t>indicó:</w:t>
      </w:r>
    </w:p>
    <w:p w14:paraId="5623B8F0" w14:textId="77777777" w:rsidR="0001516B" w:rsidRPr="00341ED2" w:rsidRDefault="0001516B" w:rsidP="000F393F">
      <w:pPr>
        <w:pStyle w:val="Prrafodelista"/>
        <w:widowControl w:val="0"/>
        <w:autoSpaceDE w:val="0"/>
        <w:autoSpaceDN w:val="0"/>
        <w:adjustRightInd w:val="0"/>
        <w:spacing w:after="160"/>
        <w:ind w:left="0"/>
        <w:rPr>
          <w:rFonts w:eastAsiaTheme="minorHAnsi"/>
          <w:szCs w:val="28"/>
        </w:rPr>
      </w:pPr>
    </w:p>
    <w:p w14:paraId="08304C0D" w14:textId="0F022BAA" w:rsidR="00A931F0" w:rsidRPr="00341ED2" w:rsidRDefault="00A931F0" w:rsidP="000F393F">
      <w:pPr>
        <w:pStyle w:val="Prrafodelista"/>
        <w:widowControl w:val="0"/>
        <w:tabs>
          <w:tab w:val="left" w:pos="5945"/>
        </w:tabs>
        <w:autoSpaceDE w:val="0"/>
        <w:autoSpaceDN w:val="0"/>
        <w:adjustRightInd w:val="0"/>
        <w:spacing w:after="160"/>
        <w:ind w:left="567" w:right="567"/>
        <w:rPr>
          <w:rFonts w:eastAsiaTheme="minorHAnsi"/>
          <w:sz w:val="26"/>
          <w:szCs w:val="26"/>
        </w:rPr>
      </w:pPr>
      <w:r w:rsidRPr="00341ED2">
        <w:rPr>
          <w:rFonts w:eastAsiaTheme="minorHAnsi"/>
          <w:sz w:val="26"/>
          <w:szCs w:val="26"/>
        </w:rPr>
        <w:t xml:space="preserve">«El análisis que hacemos nosotros en la Junta es bastante minucioso y estricto, </w:t>
      </w:r>
      <w:r w:rsidR="008A3F5A" w:rsidRPr="00341ED2">
        <w:rPr>
          <w:rFonts w:eastAsiaTheme="minorHAnsi"/>
          <w:sz w:val="26"/>
          <w:szCs w:val="26"/>
        </w:rPr>
        <w:t>tenemos</w:t>
      </w:r>
      <w:r w:rsidRPr="00341ED2">
        <w:rPr>
          <w:rFonts w:eastAsiaTheme="minorHAnsi"/>
          <w:sz w:val="26"/>
          <w:szCs w:val="26"/>
        </w:rPr>
        <w:t xml:space="preserve"> experticia suficiente en este tipo de casos como para dar la certeza de que el diagnóstico de pérdida de capacidad laboral del paciente sí corresponde a la realidad</w:t>
      </w:r>
      <w:r w:rsidR="00172E4F" w:rsidRPr="00341ED2">
        <w:rPr>
          <w:rFonts w:eastAsiaTheme="minorHAnsi"/>
          <w:sz w:val="26"/>
          <w:szCs w:val="26"/>
        </w:rPr>
        <w:t>.</w:t>
      </w:r>
      <w:r w:rsidRPr="00341ED2">
        <w:rPr>
          <w:rFonts w:eastAsiaTheme="minorHAnsi"/>
          <w:sz w:val="26"/>
          <w:szCs w:val="26"/>
        </w:rPr>
        <w:t xml:space="preserve"> […] </w:t>
      </w:r>
      <w:r w:rsidR="00C66070" w:rsidRPr="00341ED2">
        <w:rPr>
          <w:rFonts w:eastAsiaTheme="minorHAnsi"/>
          <w:sz w:val="26"/>
          <w:szCs w:val="26"/>
        </w:rPr>
        <w:t xml:space="preserve">Es importante recordar que </w:t>
      </w:r>
      <w:r w:rsidR="0099090A" w:rsidRPr="00341ED2">
        <w:rPr>
          <w:rFonts w:eastAsiaTheme="minorHAnsi"/>
          <w:sz w:val="26"/>
          <w:szCs w:val="26"/>
        </w:rPr>
        <w:t>estas</w:t>
      </w:r>
      <w:r w:rsidRPr="00341ED2">
        <w:rPr>
          <w:rFonts w:eastAsiaTheme="minorHAnsi"/>
          <w:sz w:val="26"/>
          <w:szCs w:val="26"/>
        </w:rPr>
        <w:t xml:space="preserve"> enfermedades deben tener un tiempo suficiente para </w:t>
      </w:r>
      <w:r w:rsidR="00C66070" w:rsidRPr="00341ED2">
        <w:rPr>
          <w:rFonts w:eastAsiaTheme="minorHAnsi"/>
          <w:sz w:val="26"/>
          <w:szCs w:val="26"/>
        </w:rPr>
        <w:t xml:space="preserve">estabilizarse y </w:t>
      </w:r>
      <w:r w:rsidRPr="00341ED2">
        <w:rPr>
          <w:rFonts w:eastAsiaTheme="minorHAnsi"/>
          <w:sz w:val="26"/>
          <w:szCs w:val="26"/>
        </w:rPr>
        <w:t xml:space="preserve">poder establecer </w:t>
      </w:r>
      <w:r w:rsidR="00C66070" w:rsidRPr="00341ED2">
        <w:rPr>
          <w:rFonts w:eastAsiaTheme="minorHAnsi"/>
          <w:sz w:val="26"/>
          <w:szCs w:val="26"/>
        </w:rPr>
        <w:t>su</w:t>
      </w:r>
      <w:r w:rsidRPr="00341ED2">
        <w:rPr>
          <w:rFonts w:eastAsiaTheme="minorHAnsi"/>
          <w:sz w:val="26"/>
          <w:szCs w:val="26"/>
        </w:rPr>
        <w:t xml:space="preserve"> diagnóstico</w:t>
      </w:r>
      <w:r w:rsidR="00C66070" w:rsidRPr="00341ED2">
        <w:rPr>
          <w:rFonts w:eastAsiaTheme="minorHAnsi"/>
          <w:sz w:val="26"/>
          <w:szCs w:val="26"/>
        </w:rPr>
        <w:t xml:space="preserve">. </w:t>
      </w:r>
      <w:r w:rsidRPr="00341ED2">
        <w:rPr>
          <w:rFonts w:eastAsiaTheme="minorHAnsi"/>
          <w:sz w:val="26"/>
          <w:szCs w:val="26"/>
        </w:rPr>
        <w:t>Al inicio son un poco difusas y los manuales de calificación de pérdida de capacidad laboral establecen que debe existir un tiempo suficiente de desarrollo de la patología para no hacer diagnósticos a la ligera ante las crisis y las posibles mejoras de los pacientes.</w:t>
      </w:r>
      <w:r w:rsidR="00C66070" w:rsidRPr="00341ED2">
        <w:rPr>
          <w:rFonts w:eastAsiaTheme="minorHAnsi"/>
          <w:sz w:val="26"/>
          <w:szCs w:val="26"/>
        </w:rPr>
        <w:t xml:space="preserve"> […] Eso seguramente pudo haber influido en la diferencia de</w:t>
      </w:r>
      <w:r w:rsidR="008A3F5A" w:rsidRPr="00341ED2">
        <w:rPr>
          <w:rFonts w:eastAsiaTheme="minorHAnsi"/>
          <w:sz w:val="26"/>
          <w:szCs w:val="26"/>
        </w:rPr>
        <w:t xml:space="preserve"> dictámenes de pérdida de capacidad laboral</w:t>
      </w:r>
      <w:r w:rsidR="00172E4F" w:rsidRPr="00341ED2">
        <w:rPr>
          <w:rFonts w:eastAsiaTheme="minorHAnsi"/>
          <w:sz w:val="26"/>
          <w:szCs w:val="26"/>
        </w:rPr>
        <w:t xml:space="preserve"> […]</w:t>
      </w:r>
      <w:r w:rsidR="00C66070" w:rsidRPr="00341ED2">
        <w:rPr>
          <w:rFonts w:eastAsiaTheme="minorHAnsi"/>
          <w:sz w:val="26"/>
          <w:szCs w:val="26"/>
        </w:rPr>
        <w:t>»</w:t>
      </w:r>
      <w:r w:rsidR="00C66070" w:rsidRPr="00341ED2">
        <w:rPr>
          <w:rStyle w:val="Refdenotaalpie"/>
          <w:rFonts w:eastAsiaTheme="minorHAnsi"/>
          <w:sz w:val="26"/>
          <w:szCs w:val="26"/>
        </w:rPr>
        <w:footnoteReference w:id="33"/>
      </w:r>
    </w:p>
    <w:p w14:paraId="32F056E1" w14:textId="77777777" w:rsidR="00AB62A1" w:rsidRPr="00341ED2" w:rsidRDefault="00AB62A1" w:rsidP="000F393F">
      <w:pPr>
        <w:pStyle w:val="Prrafodelista"/>
        <w:widowControl w:val="0"/>
        <w:autoSpaceDE w:val="0"/>
        <w:autoSpaceDN w:val="0"/>
        <w:adjustRightInd w:val="0"/>
        <w:spacing w:after="160"/>
        <w:ind w:left="0"/>
        <w:rPr>
          <w:rFonts w:eastAsiaTheme="minorHAnsi"/>
          <w:szCs w:val="28"/>
        </w:rPr>
      </w:pPr>
    </w:p>
    <w:p w14:paraId="35C47C45" w14:textId="6FD5881F" w:rsidR="000C6371" w:rsidRPr="00341ED2" w:rsidRDefault="00A10E5B"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Sentencia de primera instancia del proceso de reparación directa</w:t>
      </w:r>
      <w:r w:rsidRPr="00341ED2">
        <w:rPr>
          <w:rFonts w:eastAsiaTheme="minorHAnsi"/>
          <w:szCs w:val="28"/>
        </w:rPr>
        <w:t>.</w:t>
      </w:r>
      <w:r w:rsidR="00FD13C4" w:rsidRPr="00341ED2">
        <w:rPr>
          <w:rFonts w:eastAsiaTheme="minorHAnsi"/>
          <w:szCs w:val="28"/>
        </w:rPr>
        <w:t xml:space="preserve"> El 21 de junio de 2021, el Juzgado Quinto Administrativo Oral de Cúcuta declaró responsable a la Nación – Ministerio de Defensa – Ejército Nacional por los perjuicios causados a los demandantes, con ocasión de la lesión cerebral padecida por el soldado bachiller </w:t>
      </w:r>
      <w:r w:rsidR="002174CD" w:rsidRPr="002174CD">
        <w:rPr>
          <w:rFonts w:eastAsiaTheme="minorHAnsi"/>
          <w:i/>
          <w:iCs/>
          <w:szCs w:val="28"/>
        </w:rPr>
        <w:t>Oscar</w:t>
      </w:r>
      <w:r w:rsidR="00FD13C4" w:rsidRPr="00341ED2">
        <w:rPr>
          <w:rFonts w:eastAsiaTheme="minorHAnsi"/>
          <w:szCs w:val="28"/>
        </w:rPr>
        <w:t xml:space="preserve"> mientras prestaba el servicio militar obligatorio. </w:t>
      </w:r>
    </w:p>
    <w:p w14:paraId="2F2B7AD7" w14:textId="77777777" w:rsidR="000C6371" w:rsidRPr="00341ED2" w:rsidRDefault="000C6371" w:rsidP="000F393F">
      <w:pPr>
        <w:pStyle w:val="Prrafodelista"/>
        <w:widowControl w:val="0"/>
        <w:autoSpaceDE w:val="0"/>
        <w:autoSpaceDN w:val="0"/>
        <w:adjustRightInd w:val="0"/>
        <w:spacing w:after="160"/>
        <w:ind w:left="0"/>
        <w:rPr>
          <w:rFonts w:eastAsiaTheme="minorHAnsi"/>
          <w:iCs/>
          <w:szCs w:val="28"/>
        </w:rPr>
      </w:pPr>
    </w:p>
    <w:p w14:paraId="0B9FF2B6" w14:textId="06BF5EFC" w:rsidR="008A3F5A" w:rsidRPr="00341ED2" w:rsidRDefault="00A05030"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C</w:t>
      </w:r>
      <w:r w:rsidR="000C6371" w:rsidRPr="00341ED2">
        <w:rPr>
          <w:rFonts w:eastAsiaTheme="minorHAnsi"/>
          <w:szCs w:val="28"/>
        </w:rPr>
        <w:t xml:space="preserve">omo cuestión previa a la decisión de fondo, el Juzgado </w:t>
      </w:r>
      <w:r w:rsidR="008254A5" w:rsidRPr="00341ED2">
        <w:rPr>
          <w:rFonts w:eastAsiaTheme="minorHAnsi"/>
          <w:szCs w:val="28"/>
        </w:rPr>
        <w:t>analizó si</w:t>
      </w:r>
      <w:r w:rsidR="0017149F" w:rsidRPr="00341ED2">
        <w:rPr>
          <w:rFonts w:eastAsiaTheme="minorHAnsi"/>
          <w:szCs w:val="28"/>
        </w:rPr>
        <w:t xml:space="preserve"> en el caso concreto</w:t>
      </w:r>
      <w:r w:rsidR="008254A5" w:rsidRPr="00341ED2">
        <w:rPr>
          <w:rFonts w:eastAsiaTheme="minorHAnsi"/>
          <w:szCs w:val="28"/>
        </w:rPr>
        <w:t xml:space="preserve"> </w:t>
      </w:r>
      <w:r w:rsidR="0017149F" w:rsidRPr="00341ED2">
        <w:rPr>
          <w:rFonts w:eastAsiaTheme="minorHAnsi"/>
          <w:szCs w:val="28"/>
        </w:rPr>
        <w:t xml:space="preserve">se </w:t>
      </w:r>
      <w:r w:rsidR="004C5584" w:rsidRPr="00341ED2">
        <w:rPr>
          <w:rFonts w:eastAsiaTheme="minorHAnsi"/>
          <w:szCs w:val="28"/>
        </w:rPr>
        <w:t>configuró</w:t>
      </w:r>
      <w:r w:rsidR="0017149F" w:rsidRPr="00341ED2">
        <w:rPr>
          <w:rFonts w:eastAsiaTheme="minorHAnsi"/>
          <w:szCs w:val="28"/>
        </w:rPr>
        <w:t xml:space="preserve"> </w:t>
      </w:r>
      <w:r w:rsidR="000C6371" w:rsidRPr="00341ED2">
        <w:rPr>
          <w:rFonts w:eastAsiaTheme="minorHAnsi"/>
          <w:szCs w:val="28"/>
        </w:rPr>
        <w:t xml:space="preserve">la caducidad </w:t>
      </w:r>
      <w:r w:rsidR="000B7C47" w:rsidRPr="00341ED2">
        <w:rPr>
          <w:rFonts w:eastAsiaTheme="minorHAnsi"/>
          <w:szCs w:val="28"/>
        </w:rPr>
        <w:t>de la acción</w:t>
      </w:r>
      <w:r w:rsidR="0017149F" w:rsidRPr="00341ED2">
        <w:rPr>
          <w:rFonts w:eastAsiaTheme="minorHAnsi"/>
          <w:szCs w:val="28"/>
        </w:rPr>
        <w:t>.</w:t>
      </w:r>
      <w:r w:rsidR="000C6371" w:rsidRPr="00341ED2">
        <w:rPr>
          <w:rFonts w:eastAsiaTheme="minorHAnsi"/>
          <w:szCs w:val="28"/>
        </w:rPr>
        <w:t xml:space="preserve"> </w:t>
      </w:r>
      <w:r w:rsidR="004C5584" w:rsidRPr="00341ED2">
        <w:rPr>
          <w:rFonts w:eastAsiaTheme="minorHAnsi"/>
          <w:szCs w:val="28"/>
        </w:rPr>
        <w:t>E</w:t>
      </w:r>
      <w:r w:rsidR="0017149F" w:rsidRPr="00341ED2">
        <w:rPr>
          <w:rFonts w:eastAsiaTheme="minorHAnsi"/>
          <w:szCs w:val="28"/>
        </w:rPr>
        <w:t>xpuso que, de acuerdo con el literal i</w:t>
      </w:r>
      <w:r w:rsidR="00B253DB" w:rsidRPr="00341ED2">
        <w:rPr>
          <w:rFonts w:eastAsiaTheme="minorHAnsi"/>
          <w:szCs w:val="28"/>
        </w:rPr>
        <w:t>)</w:t>
      </w:r>
      <w:r w:rsidR="0017149F" w:rsidRPr="00341ED2">
        <w:rPr>
          <w:rFonts w:eastAsiaTheme="minorHAnsi"/>
          <w:szCs w:val="28"/>
        </w:rPr>
        <w:t xml:space="preserve"> del artículo 164 de</w:t>
      </w:r>
      <w:r w:rsidR="00B253DB" w:rsidRPr="00341ED2">
        <w:rPr>
          <w:rFonts w:eastAsiaTheme="minorHAnsi"/>
          <w:szCs w:val="28"/>
        </w:rPr>
        <w:t xml:space="preserve">l </w:t>
      </w:r>
      <w:r w:rsidR="0017149F" w:rsidRPr="00341ED2">
        <w:rPr>
          <w:rFonts w:eastAsiaTheme="minorHAnsi"/>
          <w:szCs w:val="28"/>
        </w:rPr>
        <w:t>Código de Procedimiento Administrativo y de lo Contencioso Administrativo (en adelante CPACA), el término de caducidad de la reparación directa es de dos años «contados a partir del día siguiente al de la ocurrencia de la acción u omisión causante del daño o de cuando el demandante tuvo o debió tener conocimiento del mismo</w:t>
      </w:r>
      <w:r w:rsidR="00160495" w:rsidRPr="00341ED2">
        <w:rPr>
          <w:rFonts w:eastAsiaTheme="minorHAnsi"/>
          <w:szCs w:val="28"/>
        </w:rPr>
        <w:t>,</w:t>
      </w:r>
      <w:r w:rsidR="0017149F" w:rsidRPr="00341ED2">
        <w:rPr>
          <w:rFonts w:eastAsiaTheme="minorHAnsi"/>
          <w:szCs w:val="28"/>
        </w:rPr>
        <w:t xml:space="preserve"> si fue en fecha posterior y siempre que pruebe la imposibilidad de haberlo conocido en la fecha de su ocurrencia».</w:t>
      </w:r>
      <w:r w:rsidR="00474720" w:rsidRPr="00341ED2">
        <w:rPr>
          <w:rFonts w:eastAsiaTheme="minorHAnsi"/>
          <w:szCs w:val="28"/>
        </w:rPr>
        <w:t xml:space="preserve"> De igual forma, citó la </w:t>
      </w:r>
      <w:r w:rsidR="008254A5" w:rsidRPr="00341ED2">
        <w:rPr>
          <w:rFonts w:eastAsiaTheme="minorHAnsi"/>
          <w:szCs w:val="28"/>
        </w:rPr>
        <w:t xml:space="preserve">jurisprudencia de la Sección Tercera del Consejo de Estado frente a la caducidad de la acción de reparación directa cuando </w:t>
      </w:r>
      <w:r w:rsidR="00160495" w:rsidRPr="00341ED2">
        <w:rPr>
          <w:rFonts w:eastAsiaTheme="minorHAnsi"/>
          <w:szCs w:val="28"/>
        </w:rPr>
        <w:t>se trata</w:t>
      </w:r>
      <w:r w:rsidR="008254A5" w:rsidRPr="00341ED2">
        <w:rPr>
          <w:rFonts w:eastAsiaTheme="minorHAnsi"/>
          <w:szCs w:val="28"/>
        </w:rPr>
        <w:t xml:space="preserve"> de lesiones personales y precisó que, en estos casos, el juez</w:t>
      </w:r>
      <w:r w:rsidRPr="00341ED2">
        <w:rPr>
          <w:rFonts w:eastAsiaTheme="minorHAnsi"/>
          <w:szCs w:val="28"/>
        </w:rPr>
        <w:t xml:space="preserve"> debe estudiar las circunstancias particulares del demandante con el fin de establecer el momento en que conoció o debió conocer el daño.</w:t>
      </w:r>
    </w:p>
    <w:p w14:paraId="02A69A0A" w14:textId="77777777" w:rsidR="00AD4060" w:rsidRPr="00341ED2" w:rsidRDefault="00AD4060" w:rsidP="000F393F">
      <w:pPr>
        <w:pStyle w:val="Prrafodelista"/>
        <w:widowControl w:val="0"/>
        <w:autoSpaceDE w:val="0"/>
        <w:autoSpaceDN w:val="0"/>
        <w:adjustRightInd w:val="0"/>
        <w:spacing w:after="160"/>
        <w:ind w:left="0"/>
        <w:rPr>
          <w:rFonts w:eastAsiaTheme="minorHAnsi"/>
          <w:szCs w:val="28"/>
        </w:rPr>
      </w:pPr>
    </w:p>
    <w:p w14:paraId="017874F5" w14:textId="16C1FEA1" w:rsidR="0075638D" w:rsidRPr="00341ED2" w:rsidRDefault="004C5584"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Con base en lo anterior, señaló que,</w:t>
      </w:r>
      <w:r w:rsidR="00474720" w:rsidRPr="00341ED2">
        <w:rPr>
          <w:rFonts w:eastAsiaTheme="minorHAnsi"/>
          <w:szCs w:val="28"/>
        </w:rPr>
        <w:t xml:space="preserve"> </w:t>
      </w:r>
      <w:r w:rsidR="000B7C47" w:rsidRPr="00341ED2">
        <w:rPr>
          <w:rFonts w:eastAsiaTheme="minorHAnsi"/>
          <w:szCs w:val="28"/>
        </w:rPr>
        <w:t xml:space="preserve">si bien el daño alegado por los </w:t>
      </w:r>
      <w:r w:rsidRPr="00341ED2">
        <w:rPr>
          <w:rFonts w:eastAsiaTheme="minorHAnsi"/>
          <w:szCs w:val="28"/>
        </w:rPr>
        <w:t>demandantes</w:t>
      </w:r>
      <w:r w:rsidR="000B7C47" w:rsidRPr="00341ED2">
        <w:rPr>
          <w:rFonts w:eastAsiaTheme="minorHAnsi"/>
          <w:szCs w:val="28"/>
        </w:rPr>
        <w:t xml:space="preserve"> ocurrió a partir de un presunto trauma craneoencefálico, «las consecuencias del mismo </w:t>
      </w:r>
      <w:r w:rsidR="000B7C47" w:rsidRPr="00341ED2">
        <w:rPr>
          <w:rFonts w:eastAsiaTheme="minorHAnsi"/>
          <w:szCs w:val="28"/>
          <w:lang w:val="es-CO"/>
        </w:rPr>
        <w:t>se fueron agravando con el paso del tiempo […] lo que permite inferir que la parte contaba con una expectativa de recuperación con el tratamiento médico, por lo que, en tal época no era tan evidente el trastorno mental que posteriormente le ocasionó una PCL del 50.50%,»</w:t>
      </w:r>
      <w:r w:rsidR="000B7C47" w:rsidRPr="00341ED2">
        <w:rPr>
          <w:rStyle w:val="Refdenotaalpie"/>
          <w:rFonts w:eastAsiaTheme="minorHAnsi"/>
          <w:szCs w:val="28"/>
          <w:lang w:val="es-CO"/>
        </w:rPr>
        <w:footnoteReference w:id="34"/>
      </w:r>
      <w:r w:rsidR="000B7C47" w:rsidRPr="00341ED2">
        <w:rPr>
          <w:rFonts w:eastAsiaTheme="minorHAnsi"/>
          <w:szCs w:val="28"/>
          <w:lang w:val="es-CO"/>
        </w:rPr>
        <w:t>.</w:t>
      </w:r>
      <w:r w:rsidR="00984AD7" w:rsidRPr="00341ED2">
        <w:rPr>
          <w:rFonts w:eastAsiaTheme="minorHAnsi"/>
          <w:szCs w:val="28"/>
          <w:lang w:val="es-CO"/>
        </w:rPr>
        <w:t xml:space="preserve"> Por esta razón, </w:t>
      </w:r>
      <w:r w:rsidR="00984AD7" w:rsidRPr="00341ED2">
        <w:rPr>
          <w:rFonts w:eastAsiaTheme="minorHAnsi"/>
          <w:szCs w:val="28"/>
        </w:rPr>
        <w:t>«</w:t>
      </w:r>
      <w:r w:rsidR="0075638D" w:rsidRPr="00341ED2">
        <w:rPr>
          <w:rFonts w:eastAsiaTheme="minorHAnsi"/>
          <w:szCs w:val="28"/>
          <w:lang w:val="es-CO"/>
        </w:rPr>
        <w:t>no puede contabilizarse el término de caducidad desde el año 2012, sino desde que se conoció con claridad la existencia del daño, a través de la calificación de la Pérdida de Capacidad Laboral por parte del Ejército Nacional, el 21 de noviembre de 2016, pues desde tal fecha se podía comprender con claridad el daño padecido, su irreversibilidad y por ende las consecuencias jurídicas que de él se desprendían</w:t>
      </w:r>
      <w:r w:rsidR="00984AD7" w:rsidRPr="00341ED2">
        <w:rPr>
          <w:rFonts w:eastAsiaTheme="minorHAnsi"/>
          <w:szCs w:val="28"/>
          <w:lang w:val="es-CO"/>
        </w:rPr>
        <w:t>»</w:t>
      </w:r>
      <w:r w:rsidR="00984AD7" w:rsidRPr="00341ED2">
        <w:rPr>
          <w:rStyle w:val="Refdenotaalpie"/>
          <w:rFonts w:eastAsiaTheme="minorHAnsi"/>
          <w:szCs w:val="28"/>
          <w:lang w:val="es-CO"/>
        </w:rPr>
        <w:footnoteReference w:id="35"/>
      </w:r>
      <w:r w:rsidR="0075638D" w:rsidRPr="00341ED2">
        <w:rPr>
          <w:rFonts w:eastAsiaTheme="minorHAnsi"/>
          <w:szCs w:val="28"/>
          <w:lang w:val="es-CO"/>
        </w:rPr>
        <w:t>.</w:t>
      </w:r>
      <w:r w:rsidR="00984AD7" w:rsidRPr="00341ED2">
        <w:rPr>
          <w:rFonts w:eastAsiaTheme="minorHAnsi"/>
          <w:szCs w:val="28"/>
          <w:lang w:val="es-CO"/>
        </w:rPr>
        <w:t xml:space="preserve"> Así las cosas,</w:t>
      </w:r>
      <w:r w:rsidRPr="00341ED2">
        <w:rPr>
          <w:rFonts w:eastAsiaTheme="minorHAnsi"/>
          <w:szCs w:val="28"/>
          <w:lang w:val="es-CO"/>
        </w:rPr>
        <w:t xml:space="preserve"> el Juzgado consideró que </w:t>
      </w:r>
      <w:r w:rsidR="00984AD7" w:rsidRPr="00341ED2">
        <w:rPr>
          <w:rFonts w:eastAsiaTheme="minorHAnsi"/>
          <w:szCs w:val="28"/>
          <w:lang w:val="es-CO"/>
        </w:rPr>
        <w:t>la demanda de reparación directa se</w:t>
      </w:r>
      <w:r w:rsidRPr="00341ED2">
        <w:rPr>
          <w:rFonts w:eastAsiaTheme="minorHAnsi"/>
          <w:szCs w:val="28"/>
          <w:lang w:val="es-CO"/>
        </w:rPr>
        <w:t xml:space="preserve"> presentó</w:t>
      </w:r>
      <w:r w:rsidR="00984AD7" w:rsidRPr="00341ED2">
        <w:rPr>
          <w:rFonts w:eastAsiaTheme="minorHAnsi"/>
          <w:szCs w:val="28"/>
          <w:lang w:val="es-CO"/>
        </w:rPr>
        <w:t xml:space="preserve"> dentro del término de caducidad, comoquiera que fue presentada el 12 de junio de 2017.</w:t>
      </w:r>
    </w:p>
    <w:p w14:paraId="30137C0A" w14:textId="77777777" w:rsidR="00F920B1" w:rsidRPr="00341ED2" w:rsidRDefault="00F920B1" w:rsidP="000F393F">
      <w:pPr>
        <w:pStyle w:val="Prrafodelista"/>
        <w:widowControl w:val="0"/>
        <w:autoSpaceDE w:val="0"/>
        <w:autoSpaceDN w:val="0"/>
        <w:adjustRightInd w:val="0"/>
        <w:spacing w:after="160"/>
        <w:ind w:left="0"/>
        <w:rPr>
          <w:rFonts w:eastAsiaTheme="minorHAnsi"/>
          <w:szCs w:val="28"/>
        </w:rPr>
      </w:pPr>
    </w:p>
    <w:p w14:paraId="3B02CBB1" w14:textId="79E78DA1" w:rsidR="00B01AA3" w:rsidRPr="00341ED2" w:rsidRDefault="004C5584"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En cuanto a la responsabilidad del Ejército Nacional en la lesión sufrida por </w:t>
      </w:r>
      <w:r w:rsidR="002174CD" w:rsidRPr="002174CD">
        <w:rPr>
          <w:rFonts w:eastAsiaTheme="minorHAnsi"/>
          <w:i/>
          <w:iCs/>
          <w:szCs w:val="28"/>
        </w:rPr>
        <w:t>Oscar</w:t>
      </w:r>
      <w:r w:rsidRPr="00341ED2">
        <w:rPr>
          <w:rFonts w:eastAsiaTheme="minorHAnsi"/>
          <w:szCs w:val="28"/>
        </w:rPr>
        <w:t>, el Juzgado</w:t>
      </w:r>
      <w:r w:rsidR="007F56D7" w:rsidRPr="00341ED2">
        <w:rPr>
          <w:rFonts w:eastAsiaTheme="minorHAnsi"/>
          <w:szCs w:val="28"/>
        </w:rPr>
        <w:t xml:space="preserve"> citó </w:t>
      </w:r>
      <w:r w:rsidR="002B0441" w:rsidRPr="00341ED2">
        <w:rPr>
          <w:rFonts w:eastAsiaTheme="minorHAnsi"/>
          <w:szCs w:val="28"/>
        </w:rPr>
        <w:t>la jurisprudencia de la Sección Tercera del Consejo de Estado sobre los daños que s</w:t>
      </w:r>
      <w:r w:rsidR="008430F6" w:rsidRPr="00341ED2">
        <w:rPr>
          <w:rFonts w:eastAsiaTheme="minorHAnsi"/>
          <w:szCs w:val="28"/>
        </w:rPr>
        <w:t>ufren</w:t>
      </w:r>
      <w:r w:rsidR="002B0441" w:rsidRPr="00341ED2">
        <w:rPr>
          <w:rFonts w:eastAsiaTheme="minorHAnsi"/>
          <w:szCs w:val="28"/>
        </w:rPr>
        <w:t xml:space="preserve"> los miembros de la Fuerza Pública cuando están prestando el servicio militar obligatorio</w:t>
      </w:r>
      <w:r w:rsidR="0086756A" w:rsidRPr="00341ED2">
        <w:rPr>
          <w:rFonts w:eastAsiaTheme="minorHAnsi"/>
          <w:szCs w:val="28"/>
        </w:rPr>
        <w:t xml:space="preserve">. Según esta jurisprudencia, «por regla general, el Estado es responsable de los daños causados a los conscriptos </w:t>
      </w:r>
      <w:r w:rsidR="002B0441" w:rsidRPr="00341ED2">
        <w:rPr>
          <w:rFonts w:eastAsiaTheme="minorHAnsi"/>
          <w:szCs w:val="28"/>
        </w:rPr>
        <w:t>salvo que se acredite la configuración de una causal eximente de responsabilidad</w:t>
      </w:r>
      <w:r w:rsidR="0086756A" w:rsidRPr="00341ED2">
        <w:rPr>
          <w:rFonts w:eastAsiaTheme="minorHAnsi"/>
          <w:szCs w:val="28"/>
        </w:rPr>
        <w:t>»</w:t>
      </w:r>
      <w:r w:rsidR="00B76048" w:rsidRPr="00341ED2">
        <w:rPr>
          <w:rStyle w:val="Refdenotaalpie"/>
          <w:rFonts w:eastAsiaTheme="minorHAnsi"/>
          <w:szCs w:val="28"/>
        </w:rPr>
        <w:footnoteReference w:id="36"/>
      </w:r>
      <w:r w:rsidR="002B0441" w:rsidRPr="00341ED2">
        <w:rPr>
          <w:rFonts w:eastAsiaTheme="minorHAnsi"/>
          <w:szCs w:val="28"/>
        </w:rPr>
        <w:t xml:space="preserve">. </w:t>
      </w:r>
      <w:r w:rsidR="00332AF2" w:rsidRPr="00341ED2">
        <w:rPr>
          <w:rFonts w:eastAsiaTheme="minorHAnsi"/>
          <w:szCs w:val="28"/>
        </w:rPr>
        <w:t>C</w:t>
      </w:r>
      <w:r w:rsidR="002B0441" w:rsidRPr="00341ED2">
        <w:rPr>
          <w:rFonts w:eastAsiaTheme="minorHAnsi"/>
          <w:szCs w:val="28"/>
        </w:rPr>
        <w:t xml:space="preserve">on base en </w:t>
      </w:r>
      <w:r w:rsidR="008430F6" w:rsidRPr="00341ED2">
        <w:rPr>
          <w:rFonts w:eastAsiaTheme="minorHAnsi"/>
          <w:szCs w:val="28"/>
        </w:rPr>
        <w:t>ello</w:t>
      </w:r>
      <w:r w:rsidR="00B01AA3" w:rsidRPr="00341ED2">
        <w:rPr>
          <w:rFonts w:eastAsiaTheme="minorHAnsi"/>
          <w:szCs w:val="28"/>
        </w:rPr>
        <w:t>, el Juzgado señaló que</w:t>
      </w:r>
    </w:p>
    <w:p w14:paraId="6A01DF8E" w14:textId="77777777" w:rsidR="00B82365" w:rsidRPr="00341ED2" w:rsidRDefault="00B82365" w:rsidP="000F393F">
      <w:pPr>
        <w:pStyle w:val="Prrafodelista"/>
        <w:widowControl w:val="0"/>
        <w:autoSpaceDE w:val="0"/>
        <w:autoSpaceDN w:val="0"/>
        <w:adjustRightInd w:val="0"/>
        <w:spacing w:after="160"/>
        <w:ind w:left="0"/>
        <w:rPr>
          <w:rFonts w:eastAsiaTheme="minorHAnsi"/>
          <w:szCs w:val="28"/>
        </w:rPr>
      </w:pPr>
    </w:p>
    <w:p w14:paraId="59B4DAE6" w14:textId="59171888" w:rsidR="000C6371" w:rsidRPr="00341ED2" w:rsidRDefault="00B01AA3"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 xml:space="preserve">«si bien </w:t>
      </w:r>
      <w:r w:rsidR="007F56D7" w:rsidRPr="00341ED2">
        <w:rPr>
          <w:rFonts w:eastAsiaTheme="minorHAnsi"/>
          <w:sz w:val="26"/>
          <w:szCs w:val="26"/>
        </w:rPr>
        <w:t>no se logró acreditar de manera fehaciente las circunstancias de tiempo, modo y lugar en que sucedió el posible traumatismo sufrido por el accionante durante la prestación del servicio militar</w:t>
      </w:r>
      <w:r w:rsidRPr="00341ED2">
        <w:rPr>
          <w:rFonts w:eastAsiaTheme="minorHAnsi"/>
          <w:sz w:val="26"/>
          <w:szCs w:val="26"/>
        </w:rPr>
        <w:t xml:space="preserve">, […] </w:t>
      </w:r>
      <w:r w:rsidR="007F56D7" w:rsidRPr="00341ED2">
        <w:rPr>
          <w:rFonts w:eastAsiaTheme="minorHAnsi"/>
          <w:sz w:val="26"/>
          <w:szCs w:val="26"/>
        </w:rPr>
        <w:t>sí se logró establecer, por un lado</w:t>
      </w:r>
      <w:r w:rsidRPr="00341ED2">
        <w:rPr>
          <w:rFonts w:eastAsiaTheme="minorHAnsi"/>
          <w:sz w:val="26"/>
          <w:szCs w:val="26"/>
        </w:rPr>
        <w:t>,</w:t>
      </w:r>
      <w:r w:rsidR="007F56D7" w:rsidRPr="00341ED2">
        <w:rPr>
          <w:rFonts w:eastAsiaTheme="minorHAnsi"/>
          <w:sz w:val="26"/>
          <w:szCs w:val="26"/>
        </w:rPr>
        <w:t xml:space="preserve"> que el soldado ingresó en buenas condiciones de salud psicofísica y</w:t>
      </w:r>
      <w:r w:rsidR="00B82365" w:rsidRPr="00341ED2">
        <w:rPr>
          <w:rFonts w:eastAsiaTheme="minorHAnsi"/>
          <w:sz w:val="26"/>
          <w:szCs w:val="26"/>
        </w:rPr>
        <w:t>, por otro,</w:t>
      </w:r>
      <w:r w:rsidR="007F56D7" w:rsidRPr="00341ED2">
        <w:rPr>
          <w:rFonts w:eastAsiaTheme="minorHAnsi"/>
          <w:sz w:val="26"/>
          <w:szCs w:val="26"/>
        </w:rPr>
        <w:t xml:space="preserve"> al ser retirado del servicio no se encontraba en las mismas condiciones, adicionalmente</w:t>
      </w:r>
      <w:r w:rsidR="008430F6" w:rsidRPr="00341ED2">
        <w:rPr>
          <w:rFonts w:eastAsiaTheme="minorHAnsi"/>
          <w:sz w:val="26"/>
          <w:szCs w:val="26"/>
        </w:rPr>
        <w:t>,</w:t>
      </w:r>
      <w:r w:rsidR="007F56D7" w:rsidRPr="00341ED2">
        <w:rPr>
          <w:rFonts w:eastAsiaTheme="minorHAnsi"/>
          <w:sz w:val="26"/>
          <w:szCs w:val="26"/>
        </w:rPr>
        <w:t xml:space="preserve"> se probó que el cuadro clínico padecido por este inició durante la prestación del servicio militar, circunstancias que bajo el régimen objetivo de responsabilidad implica un rompimiento frente a las cargas públicas.</w:t>
      </w:r>
      <w:r w:rsidRPr="00341ED2">
        <w:rPr>
          <w:rFonts w:eastAsiaTheme="minorHAnsi"/>
          <w:sz w:val="26"/>
          <w:szCs w:val="26"/>
        </w:rPr>
        <w:t>»</w:t>
      </w:r>
      <w:r w:rsidR="00115FDB" w:rsidRPr="00341ED2">
        <w:rPr>
          <w:rStyle w:val="Refdenotaalpie"/>
          <w:rFonts w:eastAsiaTheme="minorHAnsi"/>
          <w:sz w:val="26"/>
          <w:szCs w:val="26"/>
        </w:rPr>
        <w:footnoteReference w:id="37"/>
      </w:r>
    </w:p>
    <w:p w14:paraId="476FF6D3" w14:textId="77777777" w:rsidR="001A7976" w:rsidRPr="00341ED2" w:rsidRDefault="001A7976" w:rsidP="000F393F">
      <w:pPr>
        <w:pStyle w:val="Prrafodelista"/>
        <w:widowControl w:val="0"/>
        <w:autoSpaceDE w:val="0"/>
        <w:autoSpaceDN w:val="0"/>
        <w:adjustRightInd w:val="0"/>
        <w:spacing w:after="160"/>
        <w:ind w:left="0"/>
        <w:rPr>
          <w:rFonts w:eastAsiaTheme="minorHAnsi"/>
          <w:szCs w:val="28"/>
        </w:rPr>
      </w:pPr>
    </w:p>
    <w:p w14:paraId="2AE5CD45" w14:textId="43556E22" w:rsidR="00165529" w:rsidRPr="00341ED2" w:rsidRDefault="00165529"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Por lo anterior, el Juzgado resolvió condenar a la Nación</w:t>
      </w:r>
      <w:r w:rsidR="00332AF2" w:rsidRPr="00341ED2">
        <w:rPr>
          <w:rFonts w:eastAsiaTheme="minorHAnsi"/>
          <w:szCs w:val="28"/>
        </w:rPr>
        <w:t>-</w:t>
      </w:r>
      <w:r w:rsidRPr="00341ED2">
        <w:rPr>
          <w:rFonts w:eastAsiaTheme="minorHAnsi"/>
          <w:szCs w:val="28"/>
        </w:rPr>
        <w:t>Ministerio de Defensa</w:t>
      </w:r>
      <w:r w:rsidR="00332AF2" w:rsidRPr="00341ED2">
        <w:rPr>
          <w:rFonts w:eastAsiaTheme="minorHAnsi"/>
          <w:szCs w:val="28"/>
        </w:rPr>
        <w:t>-</w:t>
      </w:r>
      <w:r w:rsidR="00C44BAE" w:rsidRPr="00341ED2">
        <w:rPr>
          <w:rFonts w:eastAsiaTheme="minorHAnsi"/>
          <w:szCs w:val="28"/>
        </w:rPr>
        <w:t>Ejército Nacional a pagar en total a los demandantes 1.050 salarios mínimos legales mensuales vigentes.</w:t>
      </w:r>
    </w:p>
    <w:p w14:paraId="5090E6E1" w14:textId="77777777" w:rsidR="00CE1CB2" w:rsidRPr="00341ED2" w:rsidRDefault="00CE1CB2" w:rsidP="000F393F">
      <w:pPr>
        <w:pStyle w:val="Prrafodelista"/>
        <w:widowControl w:val="0"/>
        <w:autoSpaceDE w:val="0"/>
        <w:autoSpaceDN w:val="0"/>
        <w:adjustRightInd w:val="0"/>
        <w:spacing w:after="160"/>
        <w:ind w:left="0"/>
        <w:rPr>
          <w:rFonts w:eastAsiaTheme="minorHAnsi"/>
          <w:szCs w:val="28"/>
        </w:rPr>
      </w:pPr>
    </w:p>
    <w:p w14:paraId="120B700E" w14:textId="552E455C" w:rsidR="006C0B6C" w:rsidRPr="00341ED2" w:rsidRDefault="001A7976"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Recurso de a</w:t>
      </w:r>
      <w:r w:rsidR="00A10E5B" w:rsidRPr="00341ED2">
        <w:rPr>
          <w:rFonts w:eastAsiaTheme="minorHAnsi"/>
          <w:i/>
          <w:szCs w:val="28"/>
        </w:rPr>
        <w:t>pelación</w:t>
      </w:r>
      <w:r w:rsidR="00A10E5B" w:rsidRPr="00341ED2">
        <w:rPr>
          <w:rFonts w:eastAsiaTheme="minorHAnsi"/>
          <w:szCs w:val="28"/>
        </w:rPr>
        <w:t>.</w:t>
      </w:r>
      <w:r w:rsidRPr="00341ED2">
        <w:rPr>
          <w:rFonts w:eastAsiaTheme="minorHAnsi"/>
          <w:szCs w:val="28"/>
        </w:rPr>
        <w:t xml:space="preserve"> La apoderada del Ejército Nacional </w:t>
      </w:r>
      <w:r w:rsidR="0099090A" w:rsidRPr="00341ED2">
        <w:rPr>
          <w:rFonts w:eastAsiaTheme="minorHAnsi"/>
          <w:szCs w:val="28"/>
        </w:rPr>
        <w:t>apeló la decisión</w:t>
      </w:r>
      <w:r w:rsidRPr="00341ED2">
        <w:rPr>
          <w:rFonts w:eastAsiaTheme="minorHAnsi"/>
          <w:szCs w:val="28"/>
        </w:rPr>
        <w:t xml:space="preserve"> al considerar que el Juzgado Quinto Administrativo Oral de Cúcuta interpretó de manera errónea el cómputo de los términos de caducidad. A su juicio, </w:t>
      </w:r>
      <w:r w:rsidR="006F4D22" w:rsidRPr="00341ED2">
        <w:rPr>
          <w:rFonts w:eastAsiaTheme="minorHAnsi"/>
          <w:szCs w:val="28"/>
        </w:rPr>
        <w:t xml:space="preserve">el Juzgado no valoró adecuadamente </w:t>
      </w:r>
      <w:r w:rsidR="006C0B6C" w:rsidRPr="00341ED2">
        <w:rPr>
          <w:rFonts w:eastAsiaTheme="minorHAnsi"/>
          <w:szCs w:val="28"/>
        </w:rPr>
        <w:t xml:space="preserve">la </w:t>
      </w:r>
      <w:r w:rsidR="006C0B6C" w:rsidRPr="00341ED2">
        <w:rPr>
          <w:iCs/>
        </w:rPr>
        <w:t xml:space="preserve">hoja de referencia del Dispensario Médico de la Brigada 30, en la que claramente se indica que el 25 de junio de 2012 </w:t>
      </w:r>
      <w:r w:rsidR="002174CD" w:rsidRPr="002174CD">
        <w:rPr>
          <w:i/>
          <w:iCs/>
        </w:rPr>
        <w:t>Oscar</w:t>
      </w:r>
      <w:r w:rsidR="006C0B6C" w:rsidRPr="00341ED2">
        <w:rPr>
          <w:iCs/>
        </w:rPr>
        <w:t xml:space="preserve"> fue atendido por urgencias a causa de un trauma craneoencefálico.</w:t>
      </w:r>
      <w:r w:rsidR="001F32C1" w:rsidRPr="00341ED2">
        <w:rPr>
          <w:iCs/>
        </w:rPr>
        <w:t xml:space="preserve"> Por lo anterior «</w:t>
      </w:r>
      <w:r w:rsidR="001F32C1" w:rsidRPr="00341ED2">
        <w:rPr>
          <w:bCs/>
          <w:szCs w:val="28"/>
          <w:lang w:eastAsia="es-ES"/>
        </w:rPr>
        <w:t>queda claro que los hechos por los cuales pretende la parte actora que se condene a mi representada ocurrieron el 25 de junio del 2012, es decir, hace 9 años aproximadamente, lo cual sin realizar un mayor análisis se puede concluir que el término para</w:t>
      </w:r>
      <w:r w:rsidR="001F32C1" w:rsidRPr="00341ED2">
        <w:rPr>
          <w:rFonts w:eastAsiaTheme="minorHAnsi"/>
          <w:szCs w:val="28"/>
        </w:rPr>
        <w:t xml:space="preserve"> </w:t>
      </w:r>
      <w:r w:rsidR="001F32C1" w:rsidRPr="00341ED2">
        <w:rPr>
          <w:bCs/>
          <w:szCs w:val="28"/>
          <w:lang w:eastAsia="es-ES"/>
        </w:rPr>
        <w:t>interponerse la demanda de reparación directa caducó el 25 de junio del 2014»</w:t>
      </w:r>
      <w:r w:rsidR="001F32C1" w:rsidRPr="00341ED2">
        <w:rPr>
          <w:rStyle w:val="Refdenotaalpie"/>
          <w:iCs/>
        </w:rPr>
        <w:footnoteReference w:id="38"/>
      </w:r>
      <w:r w:rsidR="001F32C1" w:rsidRPr="00341ED2">
        <w:rPr>
          <w:bCs/>
          <w:szCs w:val="28"/>
          <w:lang w:eastAsia="es-ES"/>
        </w:rPr>
        <w:t>.</w:t>
      </w:r>
    </w:p>
    <w:p w14:paraId="35DBB327" w14:textId="77777777" w:rsidR="00115FDB" w:rsidRPr="00341ED2" w:rsidRDefault="00115FDB" w:rsidP="000F393F">
      <w:pPr>
        <w:pStyle w:val="Prrafodelista"/>
        <w:widowControl w:val="0"/>
        <w:autoSpaceDE w:val="0"/>
        <w:autoSpaceDN w:val="0"/>
        <w:adjustRightInd w:val="0"/>
        <w:spacing w:after="160"/>
        <w:ind w:left="0"/>
        <w:rPr>
          <w:rFonts w:eastAsiaTheme="minorHAnsi"/>
          <w:szCs w:val="28"/>
        </w:rPr>
      </w:pPr>
    </w:p>
    <w:p w14:paraId="5BA1A1AC" w14:textId="7AB0B4E0" w:rsidR="00281DCC" w:rsidRPr="00341ED2" w:rsidRDefault="00A10E5B"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Sentencia de segunda instancia del proceso de reparación directa</w:t>
      </w:r>
      <w:r w:rsidRPr="00341ED2">
        <w:rPr>
          <w:rFonts w:eastAsiaTheme="minorHAnsi"/>
          <w:szCs w:val="28"/>
        </w:rPr>
        <w:t>.</w:t>
      </w:r>
      <w:r w:rsidR="004A2AE0" w:rsidRPr="00341ED2">
        <w:rPr>
          <w:rFonts w:eastAsiaTheme="minorHAnsi"/>
          <w:szCs w:val="28"/>
        </w:rPr>
        <w:t xml:space="preserve"> El 11 de agosto de 2022, el Tribunal Administrativo de Norte de Santander</w:t>
      </w:r>
      <w:r w:rsidR="00FC67D8" w:rsidRPr="00341ED2">
        <w:rPr>
          <w:rFonts w:eastAsiaTheme="minorHAnsi"/>
          <w:szCs w:val="28"/>
        </w:rPr>
        <w:t xml:space="preserve"> revocó </w:t>
      </w:r>
      <w:r w:rsidR="00FC67D8" w:rsidRPr="00341ED2">
        <w:t>la sentencia de primera instancia y declaró la caducidad del medio de control de reparación directa.</w:t>
      </w:r>
      <w:r w:rsidR="00697E7B" w:rsidRPr="00341ED2">
        <w:rPr>
          <w:rFonts w:eastAsiaTheme="minorHAnsi"/>
          <w:szCs w:val="28"/>
        </w:rPr>
        <w:t xml:space="preserve"> </w:t>
      </w:r>
      <w:r w:rsidR="003E6C25" w:rsidRPr="00341ED2">
        <w:rPr>
          <w:rFonts w:eastAsiaTheme="minorHAnsi"/>
          <w:szCs w:val="28"/>
        </w:rPr>
        <w:t xml:space="preserve">Luego de reseñar los argumentos de la apoderada del Ejército Nacional, la decisión de juez de primera instancia y las pruebas obrantes en el expediente, el Tribunal explicó </w:t>
      </w:r>
      <w:r w:rsidR="00471D37" w:rsidRPr="00341ED2">
        <w:rPr>
          <w:rFonts w:eastAsiaTheme="minorHAnsi"/>
          <w:szCs w:val="28"/>
          <w:lang w:val="es-CO"/>
        </w:rPr>
        <w:t>que e</w:t>
      </w:r>
      <w:r w:rsidR="006D3224" w:rsidRPr="00341ED2">
        <w:rPr>
          <w:rFonts w:eastAsiaTheme="minorHAnsi"/>
          <w:szCs w:val="28"/>
          <w:lang w:val="es-CO"/>
        </w:rPr>
        <w:t>ra</w:t>
      </w:r>
      <w:r w:rsidR="00471D37" w:rsidRPr="00341ED2">
        <w:rPr>
          <w:rFonts w:eastAsiaTheme="minorHAnsi"/>
          <w:szCs w:val="28"/>
          <w:lang w:val="es-CO"/>
        </w:rPr>
        <w:t xml:space="preserve"> necesario distinguir entre los daños de carácter instantáneo y los de carácter continuado a efectos de contabilizar la caducidad de la acción frente a este tipo de hechos.</w:t>
      </w:r>
      <w:r w:rsidR="00E8384C" w:rsidRPr="00341ED2">
        <w:rPr>
          <w:rFonts w:eastAsiaTheme="minorHAnsi"/>
          <w:szCs w:val="28"/>
          <w:lang w:val="es-CO"/>
        </w:rPr>
        <w:t xml:space="preserve"> </w:t>
      </w:r>
      <w:r w:rsidR="00697E7B" w:rsidRPr="00341ED2">
        <w:rPr>
          <w:rFonts w:eastAsiaTheme="minorHAnsi"/>
          <w:szCs w:val="28"/>
          <w:lang w:val="es-CO"/>
        </w:rPr>
        <w:t xml:space="preserve">Sobre el particular, </w:t>
      </w:r>
      <w:r w:rsidR="00281DCC" w:rsidRPr="00341ED2">
        <w:rPr>
          <w:rFonts w:eastAsiaTheme="minorHAnsi"/>
          <w:szCs w:val="28"/>
          <w:lang w:val="es-CO"/>
        </w:rPr>
        <w:t xml:space="preserve">citó </w:t>
      </w:r>
      <w:r w:rsidR="00850BEC" w:rsidRPr="00341ED2">
        <w:rPr>
          <w:rFonts w:eastAsiaTheme="minorHAnsi"/>
          <w:szCs w:val="28"/>
          <w:lang w:val="es-CO"/>
        </w:rPr>
        <w:t xml:space="preserve">la </w:t>
      </w:r>
      <w:r w:rsidR="00893B60" w:rsidRPr="00341ED2">
        <w:rPr>
          <w:rFonts w:eastAsiaTheme="minorHAnsi"/>
          <w:szCs w:val="28"/>
          <w:lang w:val="es-CO"/>
        </w:rPr>
        <w:t xml:space="preserve">sentencia del 29 de noviembre de 2018, expediente 47308, emitida por la Sección Tercera del Consejo de Estado, la cual estableció que </w:t>
      </w:r>
    </w:p>
    <w:p w14:paraId="5E2346C1" w14:textId="55B55FA3" w:rsidR="003F5120" w:rsidRPr="00341ED2" w:rsidRDefault="003F5120" w:rsidP="000F393F">
      <w:pPr>
        <w:pStyle w:val="Prrafodelista"/>
        <w:widowControl w:val="0"/>
        <w:autoSpaceDE w:val="0"/>
        <w:autoSpaceDN w:val="0"/>
        <w:adjustRightInd w:val="0"/>
        <w:spacing w:after="160"/>
        <w:ind w:left="0"/>
        <w:rPr>
          <w:rFonts w:eastAsiaTheme="minorHAnsi"/>
          <w:szCs w:val="28"/>
        </w:rPr>
      </w:pPr>
    </w:p>
    <w:p w14:paraId="3FA356D5" w14:textId="38C64AAA" w:rsidR="00281DCC" w:rsidRPr="00341ED2" w:rsidRDefault="00281DCC"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w:t>
      </w:r>
      <w:proofErr w:type="gramStart"/>
      <w:r w:rsidRPr="00341ED2">
        <w:rPr>
          <w:rFonts w:eastAsiaTheme="minorHAnsi"/>
          <w:sz w:val="26"/>
          <w:szCs w:val="26"/>
        </w:rPr>
        <w:t>a]</w:t>
      </w:r>
      <w:proofErr w:type="gramEnd"/>
      <w:r w:rsidRPr="00341ED2">
        <w:rPr>
          <w:rFonts w:eastAsiaTheme="minorHAnsi"/>
          <w:sz w:val="26"/>
          <w:szCs w:val="26"/>
        </w:rPr>
        <w:t>l tratarse de casos relacionados con lesiones personales cuya existencia solo se conoce de forma certera y concreta con el discurrir del tiempo y con posterioridad al hecho generador, se hace necesario reiterar la jurisprudencia mayoritaria de esta Sala que indica que, según cada caso, será el juez quien defina si contabiliza la caducidad desde el momento de la ocurrencia del daño o desde cuando el interesado tuvo conocimiento del mismo</w:t>
      </w:r>
      <w:r w:rsidR="00471D37" w:rsidRPr="00341ED2">
        <w:rPr>
          <w:rFonts w:eastAsiaTheme="minorHAnsi"/>
          <w:sz w:val="26"/>
          <w:szCs w:val="26"/>
        </w:rPr>
        <w:t>.</w:t>
      </w:r>
      <w:r w:rsidRPr="00341ED2">
        <w:rPr>
          <w:rFonts w:eastAsiaTheme="minorHAnsi"/>
          <w:sz w:val="26"/>
          <w:szCs w:val="26"/>
        </w:rPr>
        <w:t>»</w:t>
      </w:r>
      <w:r w:rsidR="00471D37" w:rsidRPr="00341ED2">
        <w:rPr>
          <w:rStyle w:val="Refdenotaalpie"/>
          <w:rFonts w:eastAsiaTheme="minorHAnsi"/>
          <w:sz w:val="26"/>
          <w:szCs w:val="26"/>
        </w:rPr>
        <w:footnoteReference w:id="39"/>
      </w:r>
    </w:p>
    <w:p w14:paraId="7DC35BE7" w14:textId="33FC4843" w:rsidR="0099090A" w:rsidRPr="00341ED2" w:rsidRDefault="0099090A" w:rsidP="000F393F">
      <w:pPr>
        <w:pStyle w:val="Prrafodelista"/>
        <w:widowControl w:val="0"/>
        <w:autoSpaceDE w:val="0"/>
        <w:autoSpaceDN w:val="0"/>
        <w:adjustRightInd w:val="0"/>
        <w:spacing w:after="160"/>
        <w:ind w:left="0"/>
        <w:rPr>
          <w:rFonts w:eastAsiaTheme="minorHAnsi"/>
          <w:szCs w:val="28"/>
        </w:rPr>
      </w:pPr>
    </w:p>
    <w:p w14:paraId="67B5A35B" w14:textId="6E03F170" w:rsidR="00336ED2" w:rsidRPr="00341ED2" w:rsidRDefault="00E8384C"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De igual forma, citó la Sentencia </w:t>
      </w:r>
      <w:r w:rsidR="00774F50" w:rsidRPr="00341ED2">
        <w:rPr>
          <w:rFonts w:eastAsiaTheme="minorHAnsi"/>
          <w:szCs w:val="28"/>
        </w:rPr>
        <w:t xml:space="preserve">T-301 de 2019, en la que la Corte Constitucional precisó que el término de caducidad del medio de control de </w:t>
      </w:r>
      <w:r w:rsidR="00336ED2" w:rsidRPr="00341ED2">
        <w:rPr>
          <w:rFonts w:eastAsiaTheme="minorHAnsi"/>
          <w:szCs w:val="28"/>
        </w:rPr>
        <w:t xml:space="preserve">la </w:t>
      </w:r>
      <w:r w:rsidR="00774F50" w:rsidRPr="00341ED2">
        <w:rPr>
          <w:rFonts w:eastAsiaTheme="minorHAnsi"/>
          <w:szCs w:val="28"/>
        </w:rPr>
        <w:t>reparación direct</w:t>
      </w:r>
      <w:r w:rsidR="00336ED2" w:rsidRPr="00341ED2">
        <w:rPr>
          <w:rFonts w:eastAsiaTheme="minorHAnsi"/>
          <w:szCs w:val="28"/>
        </w:rPr>
        <w:t>a</w:t>
      </w:r>
    </w:p>
    <w:p w14:paraId="0BA7F0FD" w14:textId="77777777" w:rsidR="00336ED2" w:rsidRPr="00341ED2" w:rsidRDefault="00336ED2" w:rsidP="000F393F">
      <w:pPr>
        <w:pStyle w:val="Prrafodelista"/>
        <w:widowControl w:val="0"/>
        <w:autoSpaceDE w:val="0"/>
        <w:autoSpaceDN w:val="0"/>
        <w:adjustRightInd w:val="0"/>
        <w:spacing w:after="160"/>
        <w:ind w:left="0"/>
        <w:rPr>
          <w:rFonts w:eastAsiaTheme="minorHAnsi"/>
          <w:szCs w:val="28"/>
        </w:rPr>
      </w:pPr>
    </w:p>
    <w:p w14:paraId="08FC4BF1" w14:textId="1034762B" w:rsidR="00336ED2" w:rsidRPr="00341ED2" w:rsidRDefault="00774F50"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w:t>
      </w:r>
      <w:proofErr w:type="gramStart"/>
      <w:r w:rsidRPr="00341ED2">
        <w:rPr>
          <w:rFonts w:eastAsiaTheme="minorHAnsi"/>
          <w:sz w:val="26"/>
          <w:szCs w:val="26"/>
        </w:rPr>
        <w:t>no</w:t>
      </w:r>
      <w:proofErr w:type="gramEnd"/>
      <w:r w:rsidRPr="00341ED2">
        <w:rPr>
          <w:rFonts w:eastAsiaTheme="minorHAnsi"/>
          <w:sz w:val="26"/>
          <w:szCs w:val="26"/>
        </w:rPr>
        <w:t xml:space="preserve"> puede aplicarse de manera inflexible. […] </w:t>
      </w:r>
      <w:r w:rsidR="00336ED2" w:rsidRPr="00341ED2">
        <w:rPr>
          <w:rFonts w:eastAsiaTheme="minorHAnsi"/>
          <w:sz w:val="26"/>
          <w:szCs w:val="26"/>
        </w:rPr>
        <w:t>Ello sucede, principalmente, en afecciones al derecho a la salud en las que es probable que el afectado conozca o identifique con certeza la configuración o manifestación del daño, su gravedad, magnitud o sus efectos en un momento posterior a aquél en el que se produjo la acción u omisión administrativa, caso en el cual le corresponde al operador judicial efectuar una interpretación razonable del instante a partir del cual debe iniciarse la contabilización del término de la caducidad de la acción, labor que debe ir necesariamente acompañada de un examen crítico y detallado de los elementos probatorios obrantes en el proceso»</w:t>
      </w:r>
      <w:r w:rsidR="00336ED2" w:rsidRPr="00341ED2">
        <w:rPr>
          <w:rStyle w:val="Refdenotaalpie"/>
          <w:rFonts w:eastAsiaTheme="minorHAnsi"/>
          <w:sz w:val="26"/>
          <w:szCs w:val="26"/>
        </w:rPr>
        <w:footnoteReference w:id="40"/>
      </w:r>
    </w:p>
    <w:p w14:paraId="3F168B30" w14:textId="77777777" w:rsidR="00850BEC" w:rsidRPr="00341ED2" w:rsidRDefault="00850BEC" w:rsidP="000F393F">
      <w:pPr>
        <w:pStyle w:val="Prrafodelista"/>
        <w:widowControl w:val="0"/>
        <w:autoSpaceDE w:val="0"/>
        <w:autoSpaceDN w:val="0"/>
        <w:adjustRightInd w:val="0"/>
        <w:spacing w:after="160"/>
        <w:ind w:left="0"/>
        <w:rPr>
          <w:rFonts w:eastAsiaTheme="minorHAnsi"/>
          <w:szCs w:val="28"/>
        </w:rPr>
      </w:pPr>
    </w:p>
    <w:p w14:paraId="09E74B30" w14:textId="0A4AB0AC" w:rsidR="00A76A73" w:rsidRPr="00341ED2" w:rsidRDefault="003E377D"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 xml:space="preserve">Luego de citar la jurisprudencia del Consejo de Estado y de la Corte Constitucional, el Tribunal hizo un recuento de la historia clínica </w:t>
      </w:r>
      <w:r w:rsidR="00C73C3E" w:rsidRPr="00341ED2">
        <w:rPr>
          <w:rFonts w:eastAsiaTheme="minorHAnsi"/>
          <w:szCs w:val="28"/>
        </w:rPr>
        <w:t xml:space="preserve">de </w:t>
      </w:r>
      <w:r w:rsidR="002174CD" w:rsidRPr="002174CD">
        <w:rPr>
          <w:rFonts w:eastAsiaTheme="minorHAnsi"/>
          <w:i/>
          <w:iCs/>
          <w:szCs w:val="28"/>
        </w:rPr>
        <w:t>Oscar</w:t>
      </w:r>
      <w:r w:rsidR="00C73C3E" w:rsidRPr="00341ED2">
        <w:rPr>
          <w:rFonts w:eastAsiaTheme="minorHAnsi"/>
          <w:szCs w:val="28"/>
        </w:rPr>
        <w:t>. En particular,</w:t>
      </w:r>
      <w:r w:rsidR="00332AF2" w:rsidRPr="00341ED2">
        <w:rPr>
          <w:rFonts w:eastAsiaTheme="minorHAnsi"/>
          <w:szCs w:val="28"/>
        </w:rPr>
        <w:t xml:space="preserve"> hizo énfasis en </w:t>
      </w:r>
      <w:r w:rsidR="00332AF2" w:rsidRPr="00341ED2">
        <w:rPr>
          <w:iCs/>
        </w:rPr>
        <w:t>la hoja de referencia del Dispensario Médico de la Brigada 30 y</w:t>
      </w:r>
      <w:r w:rsidR="00C73C3E" w:rsidRPr="00341ED2">
        <w:rPr>
          <w:rFonts w:eastAsiaTheme="minorHAnsi"/>
          <w:szCs w:val="28"/>
        </w:rPr>
        <w:t xml:space="preserve"> señaló que «</w:t>
      </w:r>
      <w:r w:rsidR="00097175" w:rsidRPr="00341ED2">
        <w:rPr>
          <w:rFonts w:eastAsiaTheme="minorHAnsi"/>
          <w:szCs w:val="28"/>
        </w:rPr>
        <w:t xml:space="preserve">está evidenciado en el plenario digital que el 26 de junio </w:t>
      </w:r>
      <w:r w:rsidR="00806FD0" w:rsidRPr="00341ED2">
        <w:rPr>
          <w:rFonts w:eastAsiaTheme="minorHAnsi"/>
          <w:szCs w:val="28"/>
        </w:rPr>
        <w:t xml:space="preserve">de 2012 fue la primera vez que </w:t>
      </w:r>
      <w:r w:rsidR="002174CD" w:rsidRPr="002174CD">
        <w:rPr>
          <w:rFonts w:eastAsiaTheme="minorHAnsi"/>
          <w:i/>
          <w:iCs/>
          <w:szCs w:val="28"/>
        </w:rPr>
        <w:t>Oscar</w:t>
      </w:r>
      <w:r w:rsidR="00806FD0" w:rsidRPr="00341ED2">
        <w:rPr>
          <w:rFonts w:eastAsiaTheme="minorHAnsi"/>
          <w:szCs w:val="28"/>
        </w:rPr>
        <w:t xml:space="preserve"> acudió al servicio de salud por el cuadro clínico “posible trauma craneoencefálico”»</w:t>
      </w:r>
      <w:r w:rsidR="00806FD0" w:rsidRPr="00341ED2">
        <w:rPr>
          <w:rStyle w:val="Refdenotaalpie"/>
          <w:rFonts w:eastAsiaTheme="minorHAnsi"/>
          <w:szCs w:val="28"/>
        </w:rPr>
        <w:footnoteReference w:id="41"/>
      </w:r>
      <w:r w:rsidR="00806FD0" w:rsidRPr="00341ED2">
        <w:rPr>
          <w:rFonts w:eastAsiaTheme="minorHAnsi"/>
          <w:szCs w:val="28"/>
        </w:rPr>
        <w:t>.</w:t>
      </w:r>
      <w:r w:rsidR="00332AF2" w:rsidRPr="00341ED2">
        <w:rPr>
          <w:rFonts w:eastAsiaTheme="minorHAnsi"/>
          <w:szCs w:val="28"/>
        </w:rPr>
        <w:t xml:space="preserve"> Con base en ello, afirmó que</w:t>
      </w:r>
      <w:r w:rsidR="00806FD0" w:rsidRPr="00341ED2">
        <w:rPr>
          <w:rFonts w:eastAsiaTheme="minorHAnsi"/>
          <w:szCs w:val="28"/>
        </w:rPr>
        <w:t>, si bien no existe certeza sobre las circunstancias que rodearon el trauma craneoencefálico, es claro que esta situación, sucedida aproximadamente el 26 de junio de 2012, fue el hecho generador del daño</w:t>
      </w:r>
      <w:r w:rsidR="00492F9D" w:rsidRPr="00341ED2">
        <w:rPr>
          <w:rFonts w:eastAsiaTheme="minorHAnsi"/>
          <w:szCs w:val="28"/>
        </w:rPr>
        <w:t>, «por lo que es claro que el término de caducidad empezó a correr desde el mes de junio del año 2012 y se prolongó hasta el mes de junio de 2014».</w:t>
      </w:r>
      <w:r w:rsidR="00A76A73" w:rsidRPr="00341ED2">
        <w:rPr>
          <w:rFonts w:eastAsiaTheme="minorHAnsi"/>
          <w:szCs w:val="28"/>
        </w:rPr>
        <w:t xml:space="preserve"> A</w:t>
      </w:r>
      <w:r w:rsidR="00332AF2" w:rsidRPr="00341ED2">
        <w:rPr>
          <w:rFonts w:eastAsiaTheme="minorHAnsi"/>
          <w:szCs w:val="28"/>
        </w:rPr>
        <w:t>dicionalmente</w:t>
      </w:r>
      <w:r w:rsidR="00A76A73" w:rsidRPr="00341ED2">
        <w:rPr>
          <w:rFonts w:eastAsiaTheme="minorHAnsi"/>
          <w:szCs w:val="28"/>
        </w:rPr>
        <w:t>, señaló:</w:t>
      </w:r>
    </w:p>
    <w:p w14:paraId="5B79272E" w14:textId="77777777" w:rsidR="00A76A73" w:rsidRPr="00341ED2" w:rsidRDefault="00A76A73" w:rsidP="000F393F">
      <w:pPr>
        <w:pStyle w:val="Prrafodelista"/>
        <w:widowControl w:val="0"/>
        <w:autoSpaceDE w:val="0"/>
        <w:autoSpaceDN w:val="0"/>
        <w:adjustRightInd w:val="0"/>
        <w:spacing w:after="160"/>
        <w:ind w:left="0"/>
        <w:rPr>
          <w:rFonts w:eastAsiaTheme="minorHAnsi"/>
          <w:szCs w:val="28"/>
        </w:rPr>
      </w:pPr>
    </w:p>
    <w:p w14:paraId="22D90177" w14:textId="12C28EC6" w:rsidR="00A76A73" w:rsidRPr="00341ED2" w:rsidRDefault="00A76A73" w:rsidP="000F393F">
      <w:pPr>
        <w:pStyle w:val="Prrafodelista"/>
        <w:widowControl w:val="0"/>
        <w:autoSpaceDE w:val="0"/>
        <w:autoSpaceDN w:val="0"/>
        <w:adjustRightInd w:val="0"/>
        <w:spacing w:after="160"/>
        <w:ind w:left="567" w:right="567"/>
        <w:rPr>
          <w:rFonts w:eastAsiaTheme="minorHAnsi"/>
          <w:sz w:val="26"/>
          <w:szCs w:val="26"/>
        </w:rPr>
      </w:pPr>
      <w:r w:rsidRPr="00341ED2">
        <w:rPr>
          <w:rFonts w:eastAsiaTheme="minorHAnsi"/>
          <w:sz w:val="26"/>
          <w:szCs w:val="26"/>
        </w:rPr>
        <w:t xml:space="preserve">«Es necesario precisar que, al tratarse de un evento de ejecución instantánea virtualmente cognoscible al mismo momento de su acaecimiento, no es posible entender que el conocimiento del hecho solo se tuvo hasta que se calificó la magnitud de los perjuicios ocasionados a partir del trauma craneoencefálico, esto es, cuando se celebró la Junta Médico Laboral. […] A partir de lo anterior, esta Sala concluye que el trauma craneoencefálico fue el hecho originador del daño y que este fue conocido por el señor </w:t>
      </w:r>
      <w:r w:rsidR="002174CD" w:rsidRPr="002174CD">
        <w:rPr>
          <w:rFonts w:eastAsiaTheme="minorHAnsi"/>
          <w:i/>
          <w:iCs/>
          <w:sz w:val="26"/>
          <w:szCs w:val="26"/>
        </w:rPr>
        <w:t>Oscar</w:t>
      </w:r>
      <w:r w:rsidRPr="00341ED2">
        <w:rPr>
          <w:rFonts w:eastAsiaTheme="minorHAnsi"/>
          <w:sz w:val="26"/>
          <w:szCs w:val="26"/>
        </w:rPr>
        <w:t xml:space="preserve"> de manera concomitante en el mes de junio de 2012. Mientras que el Acta de la Junta Médica Laboral expedida el 21 de noviembre de 2016 calificó la magnitud de los perjuicios ocasionados por el trauma</w:t>
      </w:r>
      <w:r w:rsidR="002177C2" w:rsidRPr="00341ED2">
        <w:rPr>
          <w:rFonts w:eastAsiaTheme="minorHAnsi"/>
          <w:sz w:val="26"/>
          <w:szCs w:val="26"/>
        </w:rPr>
        <w:t>.</w:t>
      </w:r>
      <w:r w:rsidRPr="00341ED2">
        <w:rPr>
          <w:rFonts w:eastAsiaTheme="minorHAnsi"/>
          <w:sz w:val="26"/>
          <w:szCs w:val="26"/>
        </w:rPr>
        <w:t>»</w:t>
      </w:r>
      <w:r w:rsidR="002177C2" w:rsidRPr="00341ED2">
        <w:rPr>
          <w:rStyle w:val="Refdenotaalpie"/>
          <w:rFonts w:eastAsiaTheme="minorHAnsi"/>
          <w:sz w:val="26"/>
          <w:szCs w:val="26"/>
        </w:rPr>
        <w:footnoteReference w:id="42"/>
      </w:r>
    </w:p>
    <w:p w14:paraId="61700136" w14:textId="78B3C381" w:rsidR="00826B8F" w:rsidRPr="00341ED2" w:rsidRDefault="00A76A73" w:rsidP="000F393F">
      <w:pPr>
        <w:pStyle w:val="Prrafodelista"/>
        <w:widowControl w:val="0"/>
        <w:autoSpaceDE w:val="0"/>
        <w:autoSpaceDN w:val="0"/>
        <w:adjustRightInd w:val="0"/>
        <w:spacing w:after="160"/>
        <w:ind w:left="0"/>
        <w:rPr>
          <w:rFonts w:eastAsiaTheme="minorHAnsi"/>
          <w:szCs w:val="28"/>
        </w:rPr>
      </w:pPr>
      <w:r w:rsidRPr="00341ED2">
        <w:rPr>
          <w:rFonts w:eastAsiaTheme="minorHAnsi"/>
          <w:szCs w:val="28"/>
        </w:rPr>
        <w:t xml:space="preserve"> </w:t>
      </w:r>
    </w:p>
    <w:p w14:paraId="32E7BB00" w14:textId="320D34F1" w:rsidR="003F5120" w:rsidRPr="00341ED2" w:rsidRDefault="002177C2"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szCs w:val="28"/>
        </w:rPr>
        <w:t>De acuerdo con el Tribunal, el dictamen de PCL emitido por la Junta Médica Laboral del Ejército Nacional en noviembre de 2016 «fijó la capacidad laboral del hecho dañoso, empero, resulta innegable que los demandantes conocían, desde que ocurrió el suceso, del hecho dañoso y de sus consecuencias»</w:t>
      </w:r>
      <w:r w:rsidRPr="00341ED2">
        <w:rPr>
          <w:rStyle w:val="Refdenotaalpie"/>
          <w:rFonts w:eastAsiaTheme="minorHAnsi"/>
          <w:szCs w:val="28"/>
        </w:rPr>
        <w:footnoteReference w:id="43"/>
      </w:r>
      <w:r w:rsidRPr="00341ED2">
        <w:rPr>
          <w:rFonts w:eastAsiaTheme="minorHAnsi"/>
          <w:szCs w:val="28"/>
        </w:rPr>
        <w:t>.</w:t>
      </w:r>
      <w:r w:rsidR="00826B8F" w:rsidRPr="00341ED2">
        <w:rPr>
          <w:rFonts w:eastAsiaTheme="minorHAnsi"/>
          <w:szCs w:val="28"/>
        </w:rPr>
        <w:t xml:space="preserve"> Por lo anterior, concluyó que los demandantes solo presentaron solicitud de conciliación hasta el 22 de febrero de 2017 y radicaron la demanda de reparación directa el 12 de junio de 2017, esto es, casi cinco años después de la ocurrencia del daño. En consecuencia, revocó la decisión proferida en primera instancia por el Juzgado Quinto Administrativo Oral de Cúcuta y, en su lugar, declaró la caducidad de la acción de reparación directa presentada por </w:t>
      </w:r>
      <w:r w:rsidR="00B8660C">
        <w:rPr>
          <w:i/>
          <w:iCs/>
          <w:spacing w:val="-2"/>
          <w:szCs w:val="28"/>
        </w:rPr>
        <w:t>Amalia</w:t>
      </w:r>
      <w:r w:rsidR="009F73EE" w:rsidRPr="00341ED2">
        <w:t xml:space="preserve"> y su núcleo familiar. La decisión </w:t>
      </w:r>
      <w:r w:rsidR="001B0F6C" w:rsidRPr="00341ED2">
        <w:t xml:space="preserve">del Tribunal </w:t>
      </w:r>
      <w:r w:rsidR="009F73EE" w:rsidRPr="00341ED2">
        <w:t>le</w:t>
      </w:r>
      <w:r w:rsidR="001B0F6C" w:rsidRPr="00341ED2">
        <w:t>s</w:t>
      </w:r>
      <w:r w:rsidR="009F73EE" w:rsidRPr="00341ED2">
        <w:t xml:space="preserve"> fue notificada</w:t>
      </w:r>
      <w:r w:rsidR="006D3224" w:rsidRPr="00341ED2">
        <w:t xml:space="preserve"> a los demandantes</w:t>
      </w:r>
      <w:r w:rsidR="009F73EE" w:rsidRPr="00341ED2">
        <w:t xml:space="preserve"> el </w:t>
      </w:r>
      <w:r w:rsidR="001B0F6C" w:rsidRPr="00341ED2">
        <w:t>12 de diciembre de 2022.</w:t>
      </w:r>
      <w:r w:rsidR="001B0F6C" w:rsidRPr="00341ED2">
        <w:rPr>
          <w:rStyle w:val="Refdenotaalpie"/>
        </w:rPr>
        <w:footnoteReference w:id="44"/>
      </w:r>
    </w:p>
    <w:p w14:paraId="7FF2E5A7" w14:textId="77777777" w:rsidR="001B0F6C" w:rsidRPr="00341ED2" w:rsidRDefault="001B0F6C" w:rsidP="000F393F">
      <w:pPr>
        <w:pStyle w:val="Prrafodelista"/>
        <w:widowControl w:val="0"/>
        <w:autoSpaceDE w:val="0"/>
        <w:autoSpaceDN w:val="0"/>
        <w:adjustRightInd w:val="0"/>
        <w:spacing w:after="160"/>
        <w:ind w:left="0"/>
        <w:rPr>
          <w:rFonts w:eastAsiaTheme="minorHAnsi"/>
          <w:szCs w:val="28"/>
        </w:rPr>
      </w:pPr>
    </w:p>
    <w:p w14:paraId="7180DD19" w14:textId="77777777" w:rsidR="00DE464A" w:rsidRPr="00341ED2" w:rsidRDefault="00DE464A" w:rsidP="000F393F">
      <w:pPr>
        <w:pStyle w:val="Prrafodelista"/>
        <w:widowControl w:val="0"/>
        <w:autoSpaceDE w:val="0"/>
        <w:autoSpaceDN w:val="0"/>
        <w:adjustRightInd w:val="0"/>
        <w:spacing w:after="160"/>
        <w:ind w:left="0"/>
        <w:rPr>
          <w:rFonts w:eastAsiaTheme="minorHAnsi"/>
          <w:szCs w:val="28"/>
        </w:rPr>
      </w:pPr>
    </w:p>
    <w:p w14:paraId="04549E5E" w14:textId="4D94DF03" w:rsidR="003F5120" w:rsidRPr="00341ED2" w:rsidRDefault="003F5120" w:rsidP="000F393F">
      <w:pPr>
        <w:pStyle w:val="Prrafodelista"/>
        <w:widowControl w:val="0"/>
        <w:numPr>
          <w:ilvl w:val="0"/>
          <w:numId w:val="15"/>
        </w:numPr>
        <w:autoSpaceDE w:val="0"/>
        <w:autoSpaceDN w:val="0"/>
        <w:adjustRightInd w:val="0"/>
        <w:spacing w:after="160"/>
        <w:rPr>
          <w:rFonts w:eastAsiaTheme="minorHAnsi"/>
          <w:b/>
          <w:szCs w:val="28"/>
        </w:rPr>
      </w:pPr>
      <w:r w:rsidRPr="00341ED2">
        <w:rPr>
          <w:rFonts w:eastAsiaTheme="minorHAnsi"/>
          <w:b/>
          <w:szCs w:val="28"/>
        </w:rPr>
        <w:t>Acción de tutela</w:t>
      </w:r>
      <w:r w:rsidR="008C60FE" w:rsidRPr="00341ED2">
        <w:rPr>
          <w:rFonts w:eastAsiaTheme="minorHAnsi"/>
          <w:b/>
          <w:szCs w:val="28"/>
        </w:rPr>
        <w:t xml:space="preserve"> y contestación</w:t>
      </w:r>
    </w:p>
    <w:p w14:paraId="402FD176" w14:textId="77777777" w:rsidR="00A10E5B" w:rsidRPr="00341ED2" w:rsidRDefault="00A10E5B" w:rsidP="000F393F">
      <w:pPr>
        <w:pStyle w:val="Prrafodelista"/>
        <w:widowControl w:val="0"/>
        <w:autoSpaceDE w:val="0"/>
        <w:autoSpaceDN w:val="0"/>
        <w:adjustRightInd w:val="0"/>
        <w:spacing w:after="160"/>
        <w:ind w:left="360"/>
        <w:rPr>
          <w:rFonts w:eastAsiaTheme="minorHAnsi"/>
          <w:b/>
          <w:szCs w:val="28"/>
        </w:rPr>
      </w:pPr>
    </w:p>
    <w:p w14:paraId="776945B4" w14:textId="153800B2" w:rsidR="007F3365" w:rsidRPr="00341ED2" w:rsidRDefault="00B651FE" w:rsidP="000F393F">
      <w:pPr>
        <w:pStyle w:val="Prrafodelista"/>
        <w:widowControl w:val="0"/>
        <w:numPr>
          <w:ilvl w:val="1"/>
          <w:numId w:val="15"/>
        </w:numPr>
        <w:autoSpaceDE w:val="0"/>
        <w:autoSpaceDN w:val="0"/>
        <w:adjustRightInd w:val="0"/>
        <w:spacing w:after="160"/>
      </w:pPr>
      <w:r w:rsidRPr="00341ED2">
        <w:rPr>
          <w:rFonts w:eastAsiaTheme="minorHAnsi"/>
          <w:bCs/>
          <w:szCs w:val="28"/>
        </w:rPr>
        <w:t>El 13 de abril de 2</w:t>
      </w:r>
      <w:r w:rsidR="0032555F" w:rsidRPr="00341ED2">
        <w:rPr>
          <w:rFonts w:eastAsiaTheme="minorHAnsi"/>
          <w:bCs/>
          <w:szCs w:val="28"/>
        </w:rPr>
        <w:t>0</w:t>
      </w:r>
      <w:r w:rsidRPr="00341ED2">
        <w:rPr>
          <w:rFonts w:eastAsiaTheme="minorHAnsi"/>
          <w:bCs/>
          <w:szCs w:val="28"/>
        </w:rPr>
        <w:t xml:space="preserve">23, la señora </w:t>
      </w:r>
      <w:r w:rsidR="00B8660C">
        <w:rPr>
          <w:i/>
          <w:iCs/>
          <w:spacing w:val="-2"/>
          <w:szCs w:val="28"/>
        </w:rPr>
        <w:t>Amalia</w:t>
      </w:r>
      <w:r w:rsidRPr="00341ED2">
        <w:t xml:space="preserve"> presentó acción de tutela contra el Tribunal Administrativo de Norte de Santander por la vulneración de sus derechos fundamentales al debido proceso y acceso a la administración de justicia. </w:t>
      </w:r>
      <w:r w:rsidR="006D3224" w:rsidRPr="00341ED2">
        <w:t xml:space="preserve">Según </w:t>
      </w:r>
      <w:r w:rsidR="00360105" w:rsidRPr="00341ED2">
        <w:t>la</w:t>
      </w:r>
      <w:r w:rsidR="00267438" w:rsidRPr="00341ED2">
        <w:t xml:space="preserve"> accionante, </w:t>
      </w:r>
      <w:r w:rsidR="007F3365" w:rsidRPr="00341ED2">
        <w:t xml:space="preserve">al declarar la caducidad de la demanda de reparación directa, </w:t>
      </w:r>
      <w:r w:rsidR="006D3224" w:rsidRPr="00341ED2">
        <w:t xml:space="preserve">dicha autoridad judicial </w:t>
      </w:r>
      <w:r w:rsidR="007F3365" w:rsidRPr="00341ED2">
        <w:t>«</w:t>
      </w:r>
      <w:r w:rsidR="00FF623F" w:rsidRPr="00341ED2">
        <w:t xml:space="preserve">incurrió en un defecto fáctico por inadecuada valoración probatoria, así como </w:t>
      </w:r>
      <w:r w:rsidR="007F3365" w:rsidRPr="00341ED2">
        <w:t>en el desconocimiento del precedente jurisprudencial de la Corte Constitucional y en la desatención del precedente del Consejo de Estado»</w:t>
      </w:r>
      <w:r w:rsidR="007F3365" w:rsidRPr="00341ED2">
        <w:rPr>
          <w:rStyle w:val="Refdenotaalpie"/>
        </w:rPr>
        <w:footnoteReference w:id="45"/>
      </w:r>
      <w:r w:rsidR="007F3365" w:rsidRPr="00341ED2">
        <w:t xml:space="preserve">. </w:t>
      </w:r>
    </w:p>
    <w:p w14:paraId="303332E9" w14:textId="77777777" w:rsidR="00FF623F" w:rsidRPr="00341ED2" w:rsidRDefault="00FF623F" w:rsidP="000F393F">
      <w:pPr>
        <w:pStyle w:val="Prrafodelista"/>
        <w:widowControl w:val="0"/>
        <w:autoSpaceDE w:val="0"/>
        <w:autoSpaceDN w:val="0"/>
        <w:adjustRightInd w:val="0"/>
        <w:spacing w:after="160"/>
        <w:ind w:left="0"/>
      </w:pPr>
    </w:p>
    <w:p w14:paraId="47012159" w14:textId="4AEBC311" w:rsidR="000556A9" w:rsidRPr="00341ED2" w:rsidRDefault="00FF623F" w:rsidP="000F393F">
      <w:pPr>
        <w:pStyle w:val="Prrafodelista"/>
        <w:widowControl w:val="0"/>
        <w:numPr>
          <w:ilvl w:val="1"/>
          <w:numId w:val="15"/>
        </w:numPr>
        <w:autoSpaceDE w:val="0"/>
        <w:autoSpaceDN w:val="0"/>
        <w:adjustRightInd w:val="0"/>
        <w:spacing w:after="160"/>
        <w:rPr>
          <w:rFonts w:eastAsiaTheme="minorHAnsi"/>
          <w:b/>
          <w:szCs w:val="28"/>
        </w:rPr>
      </w:pPr>
      <w:r w:rsidRPr="00341ED2">
        <w:t xml:space="preserve">Frente a la configuración del defecto fáctico, la accionante argumentó que el Tribunal </w:t>
      </w:r>
      <w:r w:rsidR="00E53689" w:rsidRPr="00341ED2">
        <w:t>no tuvo en cuenta l</w:t>
      </w:r>
      <w:r w:rsidR="00FB72CA" w:rsidRPr="00341ED2">
        <w:t xml:space="preserve">a </w:t>
      </w:r>
      <w:r w:rsidR="00E53689" w:rsidRPr="00341ED2">
        <w:t>evolución</w:t>
      </w:r>
      <w:r w:rsidR="00360105" w:rsidRPr="00341ED2">
        <w:t xml:space="preserve"> de </w:t>
      </w:r>
      <w:r w:rsidR="00E53689" w:rsidRPr="00341ED2">
        <w:t xml:space="preserve">la enfermedad de su hijo, «desde la primera valoración médica, el 26 de junio de 2012, hasta cuando fue valorado por la Dirección de Sanidad del Ejército mediante acta de Junta Médica Laboral No. 91458 del 21 de </w:t>
      </w:r>
      <w:r w:rsidR="00F526C0" w:rsidRPr="00341ED2">
        <w:t>n</w:t>
      </w:r>
      <w:r w:rsidR="00E53689" w:rsidRPr="00341ED2">
        <w:t>oviembre de 2016, donde se le determinó una pérdida de capacidad laboral del 11.50%»</w:t>
      </w:r>
      <w:r w:rsidR="00E53689" w:rsidRPr="00341ED2">
        <w:rPr>
          <w:rStyle w:val="Refdenotaalpie"/>
        </w:rPr>
        <w:footnoteReference w:id="46"/>
      </w:r>
      <w:r w:rsidR="00E53689" w:rsidRPr="00341ED2">
        <w:t xml:space="preserve">. </w:t>
      </w:r>
      <w:r w:rsidR="00F526C0" w:rsidRPr="00341ED2">
        <w:t xml:space="preserve">Expuso </w:t>
      </w:r>
      <w:r w:rsidR="00943F70" w:rsidRPr="00341ED2">
        <w:t>que,</w:t>
      </w:r>
      <w:r w:rsidR="00F526C0" w:rsidRPr="00341ED2">
        <w:t xml:space="preserve"> si bien es cierto que en junio de 2012 </w:t>
      </w:r>
      <w:r w:rsidR="002174CD" w:rsidRPr="002174CD">
        <w:rPr>
          <w:i/>
          <w:iCs/>
        </w:rPr>
        <w:t>Oscar</w:t>
      </w:r>
      <w:r w:rsidR="00F526C0" w:rsidRPr="00341ED2">
        <w:t xml:space="preserve"> sufrió un trauma craneoencefálico, las consecuencias de este se </w:t>
      </w:r>
      <w:r w:rsidR="00332AF2" w:rsidRPr="00341ED2">
        <w:t>evidenciaron</w:t>
      </w:r>
      <w:r w:rsidR="00F526C0" w:rsidRPr="00341ED2">
        <w:t xml:space="preserve"> </w:t>
      </w:r>
      <w:r w:rsidR="00332AF2" w:rsidRPr="00341ED2">
        <w:t>posteriormente</w:t>
      </w:r>
      <w:r w:rsidR="00F526C0" w:rsidRPr="00341ED2">
        <w:t>.</w:t>
      </w:r>
      <w:r w:rsidR="00943F70" w:rsidRPr="00341ED2">
        <w:t xml:space="preserve"> </w:t>
      </w:r>
      <w:r w:rsidR="006D3224" w:rsidRPr="00341ED2">
        <w:t>L</w:t>
      </w:r>
      <w:r w:rsidR="00943F70" w:rsidRPr="00341ED2">
        <w:t>a accionante</w:t>
      </w:r>
      <w:r w:rsidR="006D3224" w:rsidRPr="00341ED2">
        <w:t xml:space="preserve"> adujo que,</w:t>
      </w:r>
      <w:r w:rsidR="00943F70" w:rsidRPr="00341ED2">
        <w:t xml:space="preserve"> </w:t>
      </w:r>
      <w:r w:rsidR="006D3224" w:rsidRPr="00341ED2">
        <w:t xml:space="preserve">luego del trauma craneoencefálico, </w:t>
      </w:r>
      <w:r w:rsidR="002174CD" w:rsidRPr="002174CD">
        <w:rPr>
          <w:i/>
          <w:iCs/>
        </w:rPr>
        <w:t>Oscar</w:t>
      </w:r>
      <w:r w:rsidR="00943F70" w:rsidRPr="00341ED2">
        <w:t xml:space="preserve"> demostró mejorí</w:t>
      </w:r>
      <w:r w:rsidR="007A4CB6" w:rsidRPr="00341ED2">
        <w:t>as</w:t>
      </w:r>
      <w:r w:rsidR="00943F70" w:rsidRPr="00341ED2">
        <w:t xml:space="preserve"> gracias a los medicamentos que le fueron </w:t>
      </w:r>
      <w:r w:rsidR="007A4CB6" w:rsidRPr="00341ED2">
        <w:t>ordenados</w:t>
      </w:r>
      <w:r w:rsidR="00943F70" w:rsidRPr="00341ED2">
        <w:t xml:space="preserve"> </w:t>
      </w:r>
      <w:r w:rsidR="006D3224" w:rsidRPr="00341ED2">
        <w:t>por los psiquiatras</w:t>
      </w:r>
      <w:r w:rsidR="00943F70" w:rsidRPr="00341ED2">
        <w:t>, «</w:t>
      </w:r>
      <w:r w:rsidR="00F526C0" w:rsidRPr="00341ED2">
        <w:rPr>
          <w:rFonts w:eastAsiaTheme="minorHAnsi"/>
          <w:bCs/>
          <w:szCs w:val="28"/>
        </w:rPr>
        <w:t xml:space="preserve">por lo que en tal época no era tan evidente el trastorno mental que se agudizó y que </w:t>
      </w:r>
      <w:r w:rsidR="00844E4B" w:rsidRPr="00341ED2">
        <w:rPr>
          <w:rFonts w:eastAsiaTheme="minorHAnsi"/>
          <w:bCs/>
          <w:szCs w:val="28"/>
        </w:rPr>
        <w:t>finalmente</w:t>
      </w:r>
      <w:r w:rsidR="00F526C0" w:rsidRPr="00341ED2">
        <w:rPr>
          <w:rFonts w:eastAsiaTheme="minorHAnsi"/>
          <w:bCs/>
          <w:szCs w:val="28"/>
        </w:rPr>
        <w:t xml:space="preserve"> le ocasionó una PCL del 50.50%, tal como se señaló en el Acta No. 1093764029-982 del 20 de agosto de 2019 de la Junta Regional de Calificación de Invalidez de Norte de Santander</w:t>
      </w:r>
      <w:r w:rsidR="00943F70" w:rsidRPr="00341ED2">
        <w:rPr>
          <w:rFonts w:eastAsiaTheme="minorHAnsi"/>
          <w:bCs/>
          <w:szCs w:val="28"/>
        </w:rPr>
        <w:t>»</w:t>
      </w:r>
      <w:r w:rsidR="00943F70" w:rsidRPr="00341ED2">
        <w:rPr>
          <w:rStyle w:val="Refdenotaalpie"/>
          <w:rFonts w:eastAsiaTheme="minorHAnsi"/>
          <w:bCs/>
          <w:szCs w:val="28"/>
        </w:rPr>
        <w:footnoteReference w:id="47"/>
      </w:r>
      <w:r w:rsidR="00F526C0" w:rsidRPr="00341ED2">
        <w:rPr>
          <w:rFonts w:eastAsiaTheme="minorHAnsi"/>
          <w:bCs/>
          <w:szCs w:val="28"/>
        </w:rPr>
        <w:t>.</w:t>
      </w:r>
    </w:p>
    <w:p w14:paraId="6B697893" w14:textId="77777777" w:rsidR="00FB72CA" w:rsidRPr="00341ED2" w:rsidRDefault="00FB72CA" w:rsidP="000F393F">
      <w:pPr>
        <w:pStyle w:val="Prrafodelista"/>
        <w:widowControl w:val="0"/>
        <w:autoSpaceDE w:val="0"/>
        <w:autoSpaceDN w:val="0"/>
        <w:adjustRightInd w:val="0"/>
        <w:spacing w:after="160"/>
        <w:ind w:left="0"/>
        <w:rPr>
          <w:rFonts w:eastAsiaTheme="minorHAnsi"/>
          <w:b/>
          <w:szCs w:val="28"/>
        </w:rPr>
      </w:pPr>
    </w:p>
    <w:p w14:paraId="17C2D9FD" w14:textId="15EE2A5F" w:rsidR="0095584C" w:rsidRPr="00341ED2" w:rsidRDefault="00FB72CA" w:rsidP="000F393F">
      <w:pPr>
        <w:pStyle w:val="Prrafodelista"/>
        <w:widowControl w:val="0"/>
        <w:numPr>
          <w:ilvl w:val="1"/>
          <w:numId w:val="15"/>
        </w:numPr>
        <w:autoSpaceDE w:val="0"/>
        <w:autoSpaceDN w:val="0"/>
        <w:adjustRightInd w:val="0"/>
        <w:spacing w:after="160"/>
        <w:rPr>
          <w:rFonts w:eastAsiaTheme="minorHAnsi"/>
          <w:b/>
          <w:szCs w:val="28"/>
        </w:rPr>
      </w:pPr>
      <w:r w:rsidRPr="00341ED2">
        <w:rPr>
          <w:rFonts w:eastAsiaTheme="minorHAnsi"/>
          <w:bCs/>
          <w:szCs w:val="28"/>
        </w:rPr>
        <w:t>Aunado a lo anterior, la accionante señaló que</w:t>
      </w:r>
      <w:r w:rsidR="007E525C" w:rsidRPr="00341ED2">
        <w:rPr>
          <w:rFonts w:eastAsiaTheme="minorHAnsi"/>
          <w:bCs/>
          <w:szCs w:val="28"/>
        </w:rPr>
        <w:t xml:space="preserve"> </w:t>
      </w:r>
      <w:r w:rsidR="005B0CE8" w:rsidRPr="00341ED2">
        <w:rPr>
          <w:rFonts w:eastAsiaTheme="minorHAnsi"/>
          <w:bCs/>
          <w:szCs w:val="28"/>
        </w:rPr>
        <w:t>la lesión cerebral</w:t>
      </w:r>
      <w:r w:rsidR="007E525C" w:rsidRPr="00341ED2">
        <w:rPr>
          <w:rFonts w:eastAsiaTheme="minorHAnsi"/>
          <w:bCs/>
          <w:szCs w:val="28"/>
        </w:rPr>
        <w:t xml:space="preserve"> que sufrió su hijo no podía ser valorad</w:t>
      </w:r>
      <w:r w:rsidR="005B0CE8" w:rsidRPr="00341ED2">
        <w:rPr>
          <w:rFonts w:eastAsiaTheme="minorHAnsi"/>
          <w:bCs/>
          <w:szCs w:val="28"/>
        </w:rPr>
        <w:t>a</w:t>
      </w:r>
      <w:r w:rsidR="007E525C" w:rsidRPr="00341ED2">
        <w:rPr>
          <w:rFonts w:eastAsiaTheme="minorHAnsi"/>
          <w:bCs/>
          <w:szCs w:val="28"/>
        </w:rPr>
        <w:t xml:space="preserve"> como un daño de ocurrencia </w:t>
      </w:r>
      <w:r w:rsidRPr="00341ED2">
        <w:rPr>
          <w:rFonts w:eastAsiaTheme="minorHAnsi"/>
          <w:bCs/>
          <w:szCs w:val="28"/>
        </w:rPr>
        <w:t>instantánea</w:t>
      </w:r>
      <w:r w:rsidR="005B0CE8" w:rsidRPr="00341ED2">
        <w:rPr>
          <w:rFonts w:eastAsiaTheme="minorHAnsi"/>
          <w:bCs/>
          <w:szCs w:val="28"/>
        </w:rPr>
        <w:t xml:space="preserve"> pues,</w:t>
      </w:r>
      <w:r w:rsidR="007E525C" w:rsidRPr="00341ED2">
        <w:rPr>
          <w:rFonts w:eastAsiaTheme="minorHAnsi"/>
          <w:bCs/>
          <w:szCs w:val="28"/>
        </w:rPr>
        <w:t xml:space="preserve"> aunque el </w:t>
      </w:r>
      <w:r w:rsidR="005B0CE8" w:rsidRPr="00341ED2">
        <w:rPr>
          <w:rFonts w:eastAsiaTheme="minorHAnsi"/>
          <w:bCs/>
          <w:szCs w:val="28"/>
        </w:rPr>
        <w:t xml:space="preserve">supuesto </w:t>
      </w:r>
      <w:r w:rsidR="007E525C" w:rsidRPr="00341ED2">
        <w:rPr>
          <w:rFonts w:eastAsiaTheme="minorHAnsi"/>
          <w:bCs/>
          <w:szCs w:val="28"/>
        </w:rPr>
        <w:t xml:space="preserve">trauma craneoencefálico sucedió en junio de 2012, </w:t>
      </w:r>
      <w:r w:rsidR="005B0CE8" w:rsidRPr="00341ED2">
        <w:rPr>
          <w:rFonts w:eastAsiaTheme="minorHAnsi"/>
          <w:bCs/>
          <w:szCs w:val="28"/>
        </w:rPr>
        <w:t>las consecuencias que se derivaron de este no fueron identificadas inmediatamente.</w:t>
      </w:r>
      <w:r w:rsidR="005B0CE8" w:rsidRPr="00341ED2">
        <w:rPr>
          <w:rFonts w:eastAsiaTheme="minorHAnsi"/>
          <w:b/>
          <w:szCs w:val="28"/>
        </w:rPr>
        <w:t xml:space="preserve"> </w:t>
      </w:r>
      <w:r w:rsidRPr="00341ED2">
        <w:rPr>
          <w:rFonts w:eastAsiaTheme="minorHAnsi"/>
          <w:bCs/>
          <w:szCs w:val="28"/>
        </w:rPr>
        <w:t xml:space="preserve">Con el paso del tiempo, </w:t>
      </w:r>
      <w:r w:rsidR="002174CD" w:rsidRPr="002174CD">
        <w:rPr>
          <w:rFonts w:eastAsiaTheme="minorHAnsi"/>
          <w:bCs/>
          <w:i/>
          <w:iCs/>
          <w:szCs w:val="28"/>
        </w:rPr>
        <w:t>Oscar</w:t>
      </w:r>
      <w:r w:rsidRPr="00341ED2">
        <w:rPr>
          <w:rFonts w:eastAsiaTheme="minorHAnsi"/>
          <w:bCs/>
          <w:szCs w:val="28"/>
        </w:rPr>
        <w:t xml:space="preserve"> empezó a manifestar «amnesia, déficit cognitivo, cefalea y trastorno del comportamiento, afecciones que no le permiten contar con el pleno de sus capacidades mentales […] </w:t>
      </w:r>
      <w:r w:rsidR="00A70FD8" w:rsidRPr="00341ED2">
        <w:rPr>
          <w:rFonts w:eastAsiaTheme="minorHAnsi"/>
          <w:bCs/>
          <w:szCs w:val="28"/>
        </w:rPr>
        <w:t xml:space="preserve">por lo que </w:t>
      </w:r>
      <w:r w:rsidRPr="00341ED2">
        <w:rPr>
          <w:rFonts w:eastAsiaTheme="minorHAnsi"/>
          <w:bCs/>
          <w:szCs w:val="28"/>
        </w:rPr>
        <w:t>no contaba con la certeza plena de un daño de dicha enfermedad</w:t>
      </w:r>
      <w:r w:rsidR="00A70FD8" w:rsidRPr="00341ED2">
        <w:rPr>
          <w:rFonts w:eastAsiaTheme="minorHAnsi"/>
          <w:bCs/>
          <w:szCs w:val="28"/>
        </w:rPr>
        <w:t xml:space="preserve">». La accionante </w:t>
      </w:r>
      <w:r w:rsidR="005B0CE8" w:rsidRPr="00341ED2">
        <w:rPr>
          <w:rFonts w:eastAsiaTheme="minorHAnsi"/>
          <w:bCs/>
          <w:szCs w:val="28"/>
        </w:rPr>
        <w:t>afirmó</w:t>
      </w:r>
      <w:r w:rsidR="00A70FD8" w:rsidRPr="00341ED2">
        <w:rPr>
          <w:rFonts w:eastAsiaTheme="minorHAnsi"/>
          <w:bCs/>
          <w:szCs w:val="28"/>
        </w:rPr>
        <w:t xml:space="preserve"> que solo tuvo </w:t>
      </w:r>
      <w:r w:rsidR="001B6165" w:rsidRPr="00341ED2">
        <w:rPr>
          <w:rFonts w:eastAsiaTheme="minorHAnsi"/>
          <w:bCs/>
          <w:szCs w:val="28"/>
        </w:rPr>
        <w:t xml:space="preserve">plena </w:t>
      </w:r>
      <w:r w:rsidR="00A70FD8" w:rsidRPr="00341ED2">
        <w:rPr>
          <w:rFonts w:eastAsiaTheme="minorHAnsi"/>
          <w:bCs/>
          <w:szCs w:val="28"/>
        </w:rPr>
        <w:t xml:space="preserve">certeza de la enfermedad que padecía </w:t>
      </w:r>
      <w:r w:rsidR="001B6165" w:rsidRPr="00341ED2">
        <w:rPr>
          <w:rFonts w:eastAsiaTheme="minorHAnsi"/>
          <w:bCs/>
          <w:szCs w:val="28"/>
        </w:rPr>
        <w:t>su hijo</w:t>
      </w:r>
      <w:r w:rsidR="005E5E5C" w:rsidRPr="00341ED2">
        <w:rPr>
          <w:rFonts w:eastAsiaTheme="minorHAnsi"/>
          <w:bCs/>
          <w:szCs w:val="28"/>
        </w:rPr>
        <w:t>, así como de</w:t>
      </w:r>
      <w:r w:rsidR="0095584C" w:rsidRPr="00341ED2">
        <w:rPr>
          <w:rFonts w:eastAsiaTheme="minorHAnsi"/>
          <w:bCs/>
          <w:szCs w:val="28"/>
        </w:rPr>
        <w:t xml:space="preserve"> su irreversibilidad</w:t>
      </w:r>
      <w:r w:rsidR="005E5E5C" w:rsidRPr="00341ED2">
        <w:rPr>
          <w:rFonts w:eastAsiaTheme="minorHAnsi"/>
          <w:bCs/>
          <w:szCs w:val="28"/>
        </w:rPr>
        <w:t>,</w:t>
      </w:r>
      <w:r w:rsidR="00A70FD8" w:rsidRPr="00341ED2">
        <w:rPr>
          <w:rFonts w:eastAsiaTheme="minorHAnsi"/>
          <w:bCs/>
          <w:szCs w:val="28"/>
        </w:rPr>
        <w:t xml:space="preserve"> cuando la Junta </w:t>
      </w:r>
      <w:r w:rsidR="001B6165" w:rsidRPr="00341ED2">
        <w:rPr>
          <w:rFonts w:eastAsiaTheme="minorHAnsi"/>
          <w:bCs/>
          <w:szCs w:val="28"/>
        </w:rPr>
        <w:t>Médica Laboral del Ejército emitió el dictamen de PCL.</w:t>
      </w:r>
    </w:p>
    <w:p w14:paraId="197B5E3B" w14:textId="77777777" w:rsidR="0095584C" w:rsidRPr="00341ED2" w:rsidRDefault="0095584C" w:rsidP="000F393F">
      <w:pPr>
        <w:pStyle w:val="Prrafodelista"/>
        <w:widowControl w:val="0"/>
        <w:autoSpaceDE w:val="0"/>
        <w:autoSpaceDN w:val="0"/>
        <w:adjustRightInd w:val="0"/>
        <w:spacing w:after="160"/>
        <w:ind w:left="0"/>
        <w:rPr>
          <w:rFonts w:eastAsiaTheme="minorHAnsi"/>
          <w:bCs/>
          <w:szCs w:val="28"/>
        </w:rPr>
      </w:pPr>
    </w:p>
    <w:p w14:paraId="22E6A4C1" w14:textId="37CDE458" w:rsidR="009F7EC6" w:rsidRPr="00341ED2" w:rsidRDefault="0095584C" w:rsidP="000F393F">
      <w:pPr>
        <w:pStyle w:val="Prrafodelista"/>
        <w:widowControl w:val="0"/>
        <w:numPr>
          <w:ilvl w:val="1"/>
          <w:numId w:val="15"/>
        </w:numPr>
        <w:autoSpaceDE w:val="0"/>
        <w:autoSpaceDN w:val="0"/>
        <w:adjustRightInd w:val="0"/>
        <w:spacing w:after="160"/>
        <w:rPr>
          <w:rFonts w:eastAsiaTheme="minorHAnsi"/>
          <w:bCs/>
          <w:szCs w:val="28"/>
        </w:rPr>
      </w:pPr>
      <w:r w:rsidRPr="00341ED2">
        <w:rPr>
          <w:rFonts w:eastAsiaTheme="minorHAnsi"/>
          <w:bCs/>
          <w:szCs w:val="28"/>
        </w:rPr>
        <w:t>De otro lado, sobre el desconocimiento del precedente jurisprudencial</w:t>
      </w:r>
      <w:r w:rsidR="008F2DE5" w:rsidRPr="00341ED2">
        <w:rPr>
          <w:rFonts w:eastAsiaTheme="minorHAnsi"/>
          <w:bCs/>
          <w:szCs w:val="28"/>
        </w:rPr>
        <w:t>, la accionante sostuvo que «la Corte Constitucional ha manifestado que se desconoce el precedente cuando se desatiende las sentencias T-347/20, T-271/20, SU 659 de 2015, T075 de 2014 y T156 de 2019, [según las cuales] se incurre en un defecto sustantivo por no interpretar las normas con un enfoque Constitucional»</w:t>
      </w:r>
      <w:r w:rsidR="008F2DE5" w:rsidRPr="00341ED2">
        <w:rPr>
          <w:rStyle w:val="Refdenotaalpie"/>
          <w:rFonts w:eastAsiaTheme="minorHAnsi"/>
          <w:bCs/>
          <w:szCs w:val="28"/>
        </w:rPr>
        <w:footnoteReference w:id="48"/>
      </w:r>
      <w:r w:rsidR="008F2DE5" w:rsidRPr="00341ED2">
        <w:rPr>
          <w:rFonts w:eastAsiaTheme="minorHAnsi"/>
          <w:bCs/>
          <w:szCs w:val="28"/>
        </w:rPr>
        <w:t xml:space="preserve">. </w:t>
      </w:r>
      <w:r w:rsidR="00B243BE" w:rsidRPr="00341ED2">
        <w:rPr>
          <w:rFonts w:eastAsiaTheme="minorHAnsi"/>
          <w:bCs/>
          <w:szCs w:val="28"/>
        </w:rPr>
        <w:t xml:space="preserve"> Así mismo, </w:t>
      </w:r>
      <w:r w:rsidR="00974DEE" w:rsidRPr="00341ED2">
        <w:rPr>
          <w:rFonts w:eastAsiaTheme="minorHAnsi"/>
          <w:bCs/>
          <w:szCs w:val="28"/>
        </w:rPr>
        <w:t>citó «</w:t>
      </w:r>
      <w:r w:rsidR="00B243BE" w:rsidRPr="00341ED2">
        <w:rPr>
          <w:rFonts w:eastAsiaTheme="minorHAnsi"/>
          <w:bCs/>
          <w:szCs w:val="28"/>
        </w:rPr>
        <w:t>la sentencia del Consejo de Estado en su subsección B, de fecha 03/08/2016 dentro del radicado 2005170 35352</w:t>
      </w:r>
      <w:r w:rsidR="00974DEE" w:rsidRPr="00341ED2">
        <w:rPr>
          <w:rFonts w:eastAsiaTheme="minorHAnsi"/>
          <w:bCs/>
          <w:szCs w:val="28"/>
        </w:rPr>
        <w:t xml:space="preserve">», </w:t>
      </w:r>
      <w:r w:rsidR="009F7EC6" w:rsidRPr="00341ED2">
        <w:rPr>
          <w:rFonts w:eastAsiaTheme="minorHAnsi"/>
          <w:bCs/>
          <w:szCs w:val="28"/>
        </w:rPr>
        <w:t xml:space="preserve">la cual estableció que </w:t>
      </w:r>
      <w:r w:rsidR="00974DEE" w:rsidRPr="00341ED2">
        <w:rPr>
          <w:rFonts w:eastAsiaTheme="minorHAnsi"/>
          <w:bCs/>
          <w:szCs w:val="28"/>
        </w:rPr>
        <w:t>«</w:t>
      </w:r>
      <w:r w:rsidR="00B243BE" w:rsidRPr="00341ED2">
        <w:rPr>
          <w:rFonts w:eastAsiaTheme="minorHAnsi"/>
          <w:bCs/>
          <w:szCs w:val="28"/>
        </w:rPr>
        <w:t xml:space="preserve">el cómputo del </w:t>
      </w:r>
      <w:r w:rsidR="00974DEE" w:rsidRPr="00341ED2">
        <w:rPr>
          <w:rFonts w:eastAsiaTheme="minorHAnsi"/>
          <w:bCs/>
          <w:szCs w:val="28"/>
        </w:rPr>
        <w:t>término</w:t>
      </w:r>
      <w:r w:rsidR="00B243BE" w:rsidRPr="00341ED2">
        <w:rPr>
          <w:rFonts w:eastAsiaTheme="minorHAnsi"/>
          <w:bCs/>
          <w:szCs w:val="28"/>
        </w:rPr>
        <w:t xml:space="preserve"> de caducidad del medio de control</w:t>
      </w:r>
      <w:r w:rsidR="00974DEE" w:rsidRPr="00341ED2">
        <w:rPr>
          <w:rFonts w:eastAsiaTheme="minorHAnsi"/>
          <w:bCs/>
          <w:szCs w:val="28"/>
        </w:rPr>
        <w:t xml:space="preserve"> </w:t>
      </w:r>
      <w:r w:rsidR="00B243BE" w:rsidRPr="00341ED2">
        <w:rPr>
          <w:rFonts w:eastAsiaTheme="minorHAnsi"/>
          <w:bCs/>
          <w:szCs w:val="28"/>
        </w:rPr>
        <w:t xml:space="preserve">de </w:t>
      </w:r>
      <w:r w:rsidR="00974DEE" w:rsidRPr="00341ED2">
        <w:rPr>
          <w:rFonts w:eastAsiaTheme="minorHAnsi"/>
          <w:bCs/>
          <w:szCs w:val="28"/>
        </w:rPr>
        <w:t>r</w:t>
      </w:r>
      <w:r w:rsidR="00B243BE" w:rsidRPr="00341ED2">
        <w:rPr>
          <w:rFonts w:eastAsiaTheme="minorHAnsi"/>
          <w:bCs/>
          <w:szCs w:val="28"/>
        </w:rPr>
        <w:t xml:space="preserve">eparación </w:t>
      </w:r>
      <w:r w:rsidR="00974DEE" w:rsidRPr="00341ED2">
        <w:rPr>
          <w:rFonts w:eastAsiaTheme="minorHAnsi"/>
          <w:bCs/>
          <w:szCs w:val="28"/>
        </w:rPr>
        <w:t>d</w:t>
      </w:r>
      <w:r w:rsidR="00B243BE" w:rsidRPr="00341ED2">
        <w:rPr>
          <w:rFonts w:eastAsiaTheme="minorHAnsi"/>
          <w:bCs/>
          <w:szCs w:val="28"/>
        </w:rPr>
        <w:t>irecta</w:t>
      </w:r>
      <w:r w:rsidR="00974DEE" w:rsidRPr="00341ED2">
        <w:rPr>
          <w:rFonts w:eastAsiaTheme="minorHAnsi"/>
          <w:bCs/>
          <w:szCs w:val="28"/>
        </w:rPr>
        <w:t xml:space="preserve"> […]</w:t>
      </w:r>
      <w:r w:rsidR="00B243BE" w:rsidRPr="00341ED2">
        <w:rPr>
          <w:rFonts w:eastAsiaTheme="minorHAnsi"/>
          <w:bCs/>
          <w:szCs w:val="28"/>
        </w:rPr>
        <w:t xml:space="preserve"> </w:t>
      </w:r>
      <w:r w:rsidR="009F7EC6" w:rsidRPr="00341ED2">
        <w:rPr>
          <w:rFonts w:eastAsiaTheme="minorHAnsi"/>
          <w:bCs/>
          <w:szCs w:val="28"/>
        </w:rPr>
        <w:t>es a partir del día siguiente de aquel en que la persona interesada tenga conocimiento del hecho dañoso»</w:t>
      </w:r>
      <w:r w:rsidR="009F7EC6" w:rsidRPr="00341ED2">
        <w:rPr>
          <w:rStyle w:val="Refdenotaalpie"/>
          <w:rFonts w:eastAsiaTheme="minorHAnsi"/>
          <w:bCs/>
          <w:szCs w:val="28"/>
        </w:rPr>
        <w:footnoteReference w:id="49"/>
      </w:r>
      <w:r w:rsidR="009F7EC6" w:rsidRPr="00341ED2">
        <w:rPr>
          <w:rFonts w:eastAsiaTheme="minorHAnsi"/>
          <w:bCs/>
          <w:szCs w:val="28"/>
        </w:rPr>
        <w:t xml:space="preserve">. </w:t>
      </w:r>
      <w:r w:rsidR="00974DEE" w:rsidRPr="00341ED2">
        <w:rPr>
          <w:rFonts w:eastAsiaTheme="minorHAnsi"/>
          <w:bCs/>
          <w:szCs w:val="28"/>
        </w:rPr>
        <w:t xml:space="preserve">Por último, </w:t>
      </w:r>
      <w:r w:rsidR="005B0CE8" w:rsidRPr="00341ED2">
        <w:rPr>
          <w:rFonts w:eastAsiaTheme="minorHAnsi"/>
          <w:bCs/>
          <w:szCs w:val="28"/>
        </w:rPr>
        <w:t>transcribió</w:t>
      </w:r>
      <w:r w:rsidR="00974DEE" w:rsidRPr="00341ED2">
        <w:rPr>
          <w:rFonts w:eastAsiaTheme="minorHAnsi"/>
          <w:bCs/>
          <w:szCs w:val="28"/>
        </w:rPr>
        <w:t xml:space="preserve"> varios párrafos de la Sentencia T-347 de 2020 y concluyó </w:t>
      </w:r>
      <w:r w:rsidR="009F7EC6" w:rsidRPr="00341ED2">
        <w:rPr>
          <w:rFonts w:eastAsiaTheme="minorHAnsi"/>
          <w:bCs/>
          <w:szCs w:val="28"/>
        </w:rPr>
        <w:t>que dicho caso era análogo al de su hijo.</w:t>
      </w:r>
    </w:p>
    <w:p w14:paraId="2DAF40F3" w14:textId="77777777" w:rsidR="008C60FE" w:rsidRPr="00341ED2" w:rsidRDefault="008C60FE" w:rsidP="000F393F">
      <w:pPr>
        <w:pStyle w:val="Prrafodelista"/>
        <w:widowControl w:val="0"/>
        <w:autoSpaceDE w:val="0"/>
        <w:autoSpaceDN w:val="0"/>
        <w:adjustRightInd w:val="0"/>
        <w:spacing w:after="160"/>
        <w:ind w:left="0"/>
        <w:rPr>
          <w:rFonts w:eastAsiaTheme="minorHAnsi"/>
          <w:bCs/>
          <w:szCs w:val="28"/>
        </w:rPr>
      </w:pPr>
    </w:p>
    <w:p w14:paraId="147170D4" w14:textId="55412C97" w:rsidR="00300499" w:rsidRPr="00341ED2" w:rsidRDefault="00300499" w:rsidP="00300499">
      <w:pPr>
        <w:pStyle w:val="Prrafodelista"/>
        <w:widowControl w:val="0"/>
        <w:numPr>
          <w:ilvl w:val="1"/>
          <w:numId w:val="15"/>
        </w:numPr>
        <w:autoSpaceDE w:val="0"/>
        <w:autoSpaceDN w:val="0"/>
        <w:adjustRightInd w:val="0"/>
        <w:spacing w:after="160"/>
        <w:rPr>
          <w:rFonts w:eastAsiaTheme="minorHAnsi"/>
          <w:bCs/>
          <w:szCs w:val="28"/>
        </w:rPr>
      </w:pPr>
      <w:r w:rsidRPr="00341ED2">
        <w:rPr>
          <w:rFonts w:eastAsiaTheme="minorHAnsi"/>
          <w:bCs/>
          <w:i/>
          <w:iCs/>
          <w:szCs w:val="28"/>
        </w:rPr>
        <w:t>Contestaciones</w:t>
      </w:r>
      <w:r w:rsidR="00950118" w:rsidRPr="00341ED2">
        <w:rPr>
          <w:rFonts w:eastAsiaTheme="minorHAnsi"/>
          <w:bCs/>
          <w:szCs w:val="28"/>
        </w:rPr>
        <w:t>. El Tribunal Administrativo de Norte de Santander, mediante escrito del 26 de abril de 2023, solicitó que se negara</w:t>
      </w:r>
      <w:r w:rsidR="00AB3EDF" w:rsidRPr="00341ED2">
        <w:rPr>
          <w:rFonts w:eastAsiaTheme="minorHAnsi"/>
          <w:bCs/>
          <w:szCs w:val="28"/>
        </w:rPr>
        <w:t>n</w:t>
      </w:r>
      <w:r w:rsidR="00950118" w:rsidRPr="00341ED2">
        <w:rPr>
          <w:rFonts w:eastAsiaTheme="minorHAnsi"/>
          <w:bCs/>
          <w:szCs w:val="28"/>
        </w:rPr>
        <w:t xml:space="preserve"> las pretensiones de la acción de tutela presentada por la señora </w:t>
      </w:r>
      <w:r w:rsidR="00B8660C">
        <w:rPr>
          <w:i/>
          <w:iCs/>
          <w:spacing w:val="-2"/>
          <w:szCs w:val="28"/>
        </w:rPr>
        <w:t>Amalia</w:t>
      </w:r>
      <w:r w:rsidR="00950118" w:rsidRPr="00341ED2">
        <w:t xml:space="preserve">. </w:t>
      </w:r>
      <w:r w:rsidR="005B0CE8" w:rsidRPr="00341ED2">
        <w:t>A</w:t>
      </w:r>
      <w:r w:rsidR="00950118" w:rsidRPr="00341ED2">
        <w:t xml:space="preserve">dujo que «es claro que la decisión judicial </w:t>
      </w:r>
      <w:r w:rsidR="005B0CE8" w:rsidRPr="00341ED2">
        <w:t xml:space="preserve">del 11 de agosto de 2022 </w:t>
      </w:r>
      <w:r w:rsidR="00950118" w:rsidRPr="00341ED2">
        <w:t xml:space="preserve">que declaró la caducidad de la reparación directa no incurre en los defectos referidos en la acción de tutela, pues en la providencia se valoró de forma razonable todas las circunstancias fácticas </w:t>
      </w:r>
      <w:r w:rsidR="00C968DC" w:rsidRPr="00341ED2">
        <w:t>relevantes en concordancia con las normas y jurisprudencia que rigen la caducidad»</w:t>
      </w:r>
      <w:r w:rsidR="00C968DC" w:rsidRPr="00341ED2">
        <w:rPr>
          <w:rStyle w:val="Refdenotaalpie"/>
        </w:rPr>
        <w:footnoteReference w:id="50"/>
      </w:r>
      <w:r w:rsidR="00C968DC" w:rsidRPr="00341ED2">
        <w:t>.</w:t>
      </w:r>
      <w:r w:rsidR="00F52428" w:rsidRPr="00341ED2">
        <w:t xml:space="preserve"> Adicionalmente, indicó que los motivos para declarar la caducidad de la acción «constituyen una interpretación judicial válida y razonable […] y pretender cambiar decisiones que están en firme a través de la acción de tutela atentaría gravemente contra el principio de seguridad jurídica»</w:t>
      </w:r>
      <w:r w:rsidR="00AB3EDF" w:rsidRPr="00341ED2">
        <w:rPr>
          <w:rStyle w:val="Refdenotaalpie"/>
        </w:rPr>
        <w:footnoteReference w:id="51"/>
      </w:r>
      <w:r w:rsidR="005B0CE8" w:rsidRPr="00341ED2">
        <w:t>.</w:t>
      </w:r>
    </w:p>
    <w:p w14:paraId="7419D5F0" w14:textId="77777777" w:rsidR="00300499" w:rsidRPr="00341ED2" w:rsidRDefault="00300499" w:rsidP="00300499">
      <w:pPr>
        <w:pStyle w:val="Prrafodelista"/>
        <w:widowControl w:val="0"/>
        <w:autoSpaceDE w:val="0"/>
        <w:autoSpaceDN w:val="0"/>
        <w:adjustRightInd w:val="0"/>
        <w:spacing w:after="160"/>
        <w:ind w:left="0"/>
        <w:rPr>
          <w:rFonts w:eastAsiaTheme="minorHAnsi"/>
          <w:bCs/>
          <w:szCs w:val="28"/>
        </w:rPr>
      </w:pPr>
    </w:p>
    <w:p w14:paraId="0ACD880E" w14:textId="6A99D7EB" w:rsidR="00FE3800" w:rsidRPr="00341ED2" w:rsidRDefault="00FE3800" w:rsidP="00FE3800">
      <w:pPr>
        <w:pStyle w:val="Prrafodelista"/>
        <w:widowControl w:val="0"/>
        <w:numPr>
          <w:ilvl w:val="1"/>
          <w:numId w:val="15"/>
        </w:numPr>
        <w:autoSpaceDE w:val="0"/>
        <w:autoSpaceDN w:val="0"/>
        <w:adjustRightInd w:val="0"/>
        <w:spacing w:after="160"/>
        <w:rPr>
          <w:rFonts w:eastAsiaTheme="minorHAnsi"/>
          <w:bCs/>
          <w:szCs w:val="28"/>
        </w:rPr>
      </w:pPr>
      <w:r w:rsidRPr="00341ED2">
        <w:rPr>
          <w:rFonts w:eastAsiaTheme="minorHAnsi"/>
          <w:bCs/>
          <w:szCs w:val="28"/>
        </w:rPr>
        <w:t>El Ministerio de Defensa, mediante escrito del 28 de abril de 2023, solicitó su desvinculación de proceso de tutela «</w:t>
      </w:r>
      <w:bookmarkEnd w:id="7"/>
      <w:r w:rsidRPr="00341ED2">
        <w:rPr>
          <w:rFonts w:eastAsiaTheme="minorHAnsi"/>
          <w:bCs/>
          <w:szCs w:val="28"/>
          <w:lang w:val="es-CO"/>
        </w:rPr>
        <w:t>por cuanto la decisión judicial de decretar la caducidad del medio de control le correspondió al Tribunal Administrativo de Norte de Santander, en cumplimiento de su deber y de las normas existentes en el ordenamiento jurídico, así como el acatamiento de la jurisprudencia emanada por las altas corporaciones en situaciones similares»</w:t>
      </w:r>
      <w:r w:rsidRPr="00341ED2">
        <w:rPr>
          <w:rStyle w:val="Refdenotaalpie"/>
          <w:rFonts w:eastAsiaTheme="minorHAnsi"/>
          <w:bCs/>
          <w:szCs w:val="28"/>
          <w:lang w:val="es-CO"/>
        </w:rPr>
        <w:footnoteReference w:id="52"/>
      </w:r>
      <w:r w:rsidRPr="00341ED2">
        <w:rPr>
          <w:rFonts w:eastAsiaTheme="minorHAnsi"/>
          <w:bCs/>
          <w:szCs w:val="28"/>
          <w:lang w:val="es-CO"/>
        </w:rPr>
        <w:t>. De otro lado, adujo que la autoridad judicial accionada no ha vulnerado ningún derecho fundamental y precisó que la acción de tutela no puede ser una tercera instancia en la que se controvierta una decisión adversa.</w:t>
      </w:r>
    </w:p>
    <w:p w14:paraId="38B7091D" w14:textId="77777777" w:rsidR="00FE3800" w:rsidRPr="00341ED2" w:rsidRDefault="00FE3800" w:rsidP="000F393F">
      <w:pPr>
        <w:pStyle w:val="Prrafodelista"/>
        <w:widowControl w:val="0"/>
        <w:autoSpaceDE w:val="0"/>
        <w:autoSpaceDN w:val="0"/>
        <w:adjustRightInd w:val="0"/>
        <w:spacing w:after="160"/>
        <w:ind w:left="0"/>
        <w:rPr>
          <w:rFonts w:eastAsiaTheme="minorHAnsi"/>
          <w:bCs/>
          <w:szCs w:val="28"/>
        </w:rPr>
      </w:pPr>
    </w:p>
    <w:p w14:paraId="16086AC2" w14:textId="460CB33A" w:rsidR="005B0CE8" w:rsidRPr="00341ED2" w:rsidRDefault="00A10E5B" w:rsidP="000F393F">
      <w:pPr>
        <w:pStyle w:val="Prrafodelista"/>
        <w:widowControl w:val="0"/>
        <w:numPr>
          <w:ilvl w:val="0"/>
          <w:numId w:val="15"/>
        </w:numPr>
        <w:autoSpaceDE w:val="0"/>
        <w:autoSpaceDN w:val="0"/>
        <w:adjustRightInd w:val="0"/>
        <w:rPr>
          <w:rFonts w:eastAsiaTheme="minorHAnsi"/>
          <w:b/>
          <w:szCs w:val="28"/>
        </w:rPr>
      </w:pPr>
      <w:bookmarkStart w:id="8" w:name="_Hlk163222577"/>
      <w:r w:rsidRPr="00341ED2">
        <w:rPr>
          <w:rFonts w:eastAsiaTheme="minorHAnsi"/>
          <w:b/>
          <w:szCs w:val="28"/>
        </w:rPr>
        <w:t>Decisiones judiciales objeto de revisión</w:t>
      </w:r>
    </w:p>
    <w:p w14:paraId="15509763" w14:textId="77777777" w:rsidR="00D41978" w:rsidRPr="00341ED2" w:rsidRDefault="00D41978" w:rsidP="000F393F">
      <w:pPr>
        <w:pStyle w:val="Prrafodelista"/>
        <w:widowControl w:val="0"/>
        <w:autoSpaceDE w:val="0"/>
        <w:autoSpaceDN w:val="0"/>
        <w:adjustRightInd w:val="0"/>
        <w:ind w:left="360"/>
        <w:rPr>
          <w:rFonts w:eastAsiaTheme="minorHAnsi"/>
          <w:b/>
          <w:szCs w:val="28"/>
        </w:rPr>
      </w:pPr>
    </w:p>
    <w:p w14:paraId="7312C41F" w14:textId="58606097" w:rsidR="007861CF" w:rsidRPr="00341ED2" w:rsidRDefault="007861CF" w:rsidP="007861CF">
      <w:pPr>
        <w:pStyle w:val="Prrafodelista"/>
        <w:widowControl w:val="0"/>
        <w:numPr>
          <w:ilvl w:val="1"/>
          <w:numId w:val="15"/>
        </w:numPr>
        <w:autoSpaceDE w:val="0"/>
        <w:autoSpaceDN w:val="0"/>
        <w:adjustRightInd w:val="0"/>
        <w:rPr>
          <w:rFonts w:eastAsiaTheme="minorHAnsi"/>
          <w:szCs w:val="28"/>
        </w:rPr>
      </w:pPr>
      <w:r w:rsidRPr="00341ED2">
        <w:rPr>
          <w:i/>
          <w:iCs/>
          <w:lang w:val="es-CO"/>
        </w:rPr>
        <w:t xml:space="preserve">Admisión de la acción de tutela. </w:t>
      </w:r>
      <w:r w:rsidRPr="00341ED2">
        <w:rPr>
          <w:lang w:val="es-CO"/>
        </w:rPr>
        <w:t xml:space="preserve">Mediante auto </w:t>
      </w:r>
      <w:r w:rsidRPr="00341ED2">
        <w:t xml:space="preserve">del 21 de abril de 2023, la </w:t>
      </w:r>
      <w:r w:rsidRPr="00341ED2">
        <w:rPr>
          <w:lang w:val="es-CO"/>
        </w:rPr>
        <w:t>Subsección A de la Sección Tercera del Consejo de Estado</w:t>
      </w:r>
      <w:r w:rsidRPr="00341ED2">
        <w:t xml:space="preserve"> vinculó a los otros demandantes del proceso de reparación directa y al Ejército Nacional.</w:t>
      </w:r>
    </w:p>
    <w:p w14:paraId="74C7AB1C" w14:textId="77777777" w:rsidR="00FE3800" w:rsidRPr="00341ED2" w:rsidRDefault="00FE3800" w:rsidP="00FE3800">
      <w:pPr>
        <w:pStyle w:val="Prrafodelista"/>
        <w:widowControl w:val="0"/>
        <w:autoSpaceDE w:val="0"/>
        <w:autoSpaceDN w:val="0"/>
        <w:adjustRightInd w:val="0"/>
        <w:ind w:left="0"/>
        <w:rPr>
          <w:rFonts w:eastAsiaTheme="minorHAnsi"/>
          <w:szCs w:val="28"/>
        </w:rPr>
      </w:pPr>
    </w:p>
    <w:p w14:paraId="73FA5CD1" w14:textId="32F506FC" w:rsidR="00332AF2" w:rsidRPr="00341ED2" w:rsidRDefault="00D41978" w:rsidP="000F393F">
      <w:pPr>
        <w:pStyle w:val="Prrafodelista"/>
        <w:widowControl w:val="0"/>
        <w:numPr>
          <w:ilvl w:val="1"/>
          <w:numId w:val="15"/>
        </w:numPr>
        <w:autoSpaceDE w:val="0"/>
        <w:autoSpaceDN w:val="0"/>
        <w:adjustRightInd w:val="0"/>
        <w:rPr>
          <w:rFonts w:eastAsiaTheme="minorHAnsi"/>
          <w:b/>
          <w:szCs w:val="28"/>
        </w:rPr>
      </w:pPr>
      <w:r w:rsidRPr="00341ED2">
        <w:rPr>
          <w:i/>
          <w:iCs/>
          <w:lang w:val="es-CO"/>
        </w:rPr>
        <w:t>Sentencia de tutela de primera instancia</w:t>
      </w:r>
      <w:r w:rsidRPr="00341ED2">
        <w:rPr>
          <w:lang w:val="es-CO"/>
        </w:rPr>
        <w:t>. El 2 de junio de 2023, la Subsección A de la Sección Tercera del Consejo de Estado declaró improcedente la acción de tutela</w:t>
      </w:r>
      <w:r w:rsidR="009E383E" w:rsidRPr="00341ED2">
        <w:rPr>
          <w:lang w:val="es-CO"/>
        </w:rPr>
        <w:t xml:space="preserve"> al considerar </w:t>
      </w:r>
      <w:r w:rsidR="009E383E" w:rsidRPr="00341ED2">
        <w:t xml:space="preserve">que </w:t>
      </w:r>
      <w:r w:rsidR="00BB1A1A" w:rsidRPr="00341ED2">
        <w:t>«</w:t>
      </w:r>
      <w:r w:rsidR="009E383E" w:rsidRPr="00341ED2">
        <w:t>el asunto carece de relevancia constitucional»</w:t>
      </w:r>
      <w:r w:rsidRPr="00341ED2">
        <w:rPr>
          <w:rStyle w:val="Refdenotaalpie"/>
          <w:lang w:val="es-CO"/>
        </w:rPr>
        <w:footnoteReference w:id="53"/>
      </w:r>
      <w:r w:rsidR="009E383E" w:rsidRPr="00341ED2">
        <w:rPr>
          <w:lang w:val="es-CO"/>
        </w:rPr>
        <w:t>.</w:t>
      </w:r>
      <w:r w:rsidR="00BB1A1A" w:rsidRPr="00341ED2">
        <w:rPr>
          <w:lang w:val="es-CO"/>
        </w:rPr>
        <w:t xml:space="preserve"> Frente al defecto fáctico, expuso que «la parte</w:t>
      </w:r>
      <w:r w:rsidR="00BB1A1A" w:rsidRPr="00341ED2">
        <w:rPr>
          <w:rFonts w:eastAsiaTheme="minorHAnsi"/>
          <w:b/>
          <w:szCs w:val="28"/>
        </w:rPr>
        <w:t xml:space="preserve"> </w:t>
      </w:r>
      <w:r w:rsidR="00BB1A1A" w:rsidRPr="00341ED2">
        <w:t>actora pretende convertir el amparo constitucional en una instancia adicional al proceso ordinario, al no estar de acuerdo con la decisión adoptada por el Tribunal Administrativo de Norte de Santander, y, con ello, reabrir y continuar el debate del proceso ordinario</w:t>
      </w:r>
      <w:r w:rsidR="00C919C2" w:rsidRPr="00341ED2">
        <w:t>»</w:t>
      </w:r>
      <w:r w:rsidR="00BB1A1A" w:rsidRPr="00341ED2">
        <w:t>. Respecto del desconocimiento del precedente judicial</w:t>
      </w:r>
      <w:r w:rsidR="00C919C2" w:rsidRPr="00341ED2">
        <w:t xml:space="preserve">, </w:t>
      </w:r>
      <w:r w:rsidR="008F7405" w:rsidRPr="00341ED2">
        <w:t>indicó</w:t>
      </w:r>
      <w:r w:rsidR="00C919C2" w:rsidRPr="00341ED2">
        <w:t xml:space="preserve"> que</w:t>
      </w:r>
      <w:r w:rsidR="00BB1A1A" w:rsidRPr="00341ED2">
        <w:t xml:space="preserve"> </w:t>
      </w:r>
      <w:r w:rsidR="00C919C2" w:rsidRPr="00341ED2">
        <w:t>«</w:t>
      </w:r>
      <w:r w:rsidR="00BB1A1A" w:rsidRPr="00341ED2">
        <w:t>se observa una carencia de carga argumentativa</w:t>
      </w:r>
      <w:r w:rsidR="00C919C2" w:rsidRPr="00341ED2">
        <w:t>»</w:t>
      </w:r>
      <w:r w:rsidR="00C919C2" w:rsidRPr="00341ED2">
        <w:rPr>
          <w:rStyle w:val="Refdenotaalpie"/>
        </w:rPr>
        <w:footnoteReference w:id="54"/>
      </w:r>
      <w:r w:rsidR="00BB1A1A" w:rsidRPr="00341ED2">
        <w:t>.</w:t>
      </w:r>
      <w:r w:rsidR="009866B1" w:rsidRPr="00341ED2">
        <w:t xml:space="preserve"> </w:t>
      </w:r>
      <w:r w:rsidR="00F7058D" w:rsidRPr="00341ED2">
        <w:rPr>
          <w:rFonts w:eastAsiaTheme="minorHAnsi"/>
          <w:b/>
          <w:szCs w:val="28"/>
        </w:rPr>
        <w:t xml:space="preserve"> </w:t>
      </w:r>
    </w:p>
    <w:p w14:paraId="19039C15" w14:textId="77777777" w:rsidR="00332AF2" w:rsidRPr="00341ED2" w:rsidRDefault="00332AF2" w:rsidP="000F393F">
      <w:pPr>
        <w:pStyle w:val="Prrafodelista"/>
        <w:widowControl w:val="0"/>
        <w:autoSpaceDE w:val="0"/>
        <w:autoSpaceDN w:val="0"/>
        <w:adjustRightInd w:val="0"/>
        <w:ind w:left="0"/>
        <w:rPr>
          <w:rFonts w:eastAsiaTheme="minorHAnsi"/>
          <w:b/>
          <w:szCs w:val="28"/>
        </w:rPr>
      </w:pPr>
    </w:p>
    <w:p w14:paraId="027B2124" w14:textId="0A0B70FD" w:rsidR="009866B1" w:rsidRPr="00341ED2" w:rsidRDefault="009866B1" w:rsidP="000F393F">
      <w:pPr>
        <w:pStyle w:val="Prrafodelista"/>
        <w:widowControl w:val="0"/>
        <w:numPr>
          <w:ilvl w:val="1"/>
          <w:numId w:val="15"/>
        </w:numPr>
        <w:autoSpaceDE w:val="0"/>
        <w:autoSpaceDN w:val="0"/>
        <w:adjustRightInd w:val="0"/>
        <w:rPr>
          <w:rFonts w:eastAsiaTheme="minorHAnsi"/>
          <w:b/>
          <w:szCs w:val="28"/>
        </w:rPr>
      </w:pPr>
      <w:r w:rsidRPr="00341ED2">
        <w:t xml:space="preserve">Finalmente, </w:t>
      </w:r>
      <w:r w:rsidR="00332AF2" w:rsidRPr="00341ED2">
        <w:rPr>
          <w:lang w:val="es-CO"/>
        </w:rPr>
        <w:t xml:space="preserve">la Subsección A de la Sección Tercera </w:t>
      </w:r>
      <w:r w:rsidRPr="00341ED2">
        <w:t>señaló</w:t>
      </w:r>
      <w:r w:rsidR="008F7405" w:rsidRPr="00341ED2">
        <w:t>:</w:t>
      </w:r>
    </w:p>
    <w:p w14:paraId="168E79F3" w14:textId="77777777" w:rsidR="009866B1" w:rsidRPr="00341ED2" w:rsidRDefault="009866B1" w:rsidP="000F393F">
      <w:pPr>
        <w:pStyle w:val="Prrafodelista"/>
        <w:widowControl w:val="0"/>
        <w:autoSpaceDE w:val="0"/>
        <w:autoSpaceDN w:val="0"/>
        <w:adjustRightInd w:val="0"/>
        <w:ind w:left="0"/>
      </w:pPr>
    </w:p>
    <w:p w14:paraId="41D8F89E" w14:textId="5ECDC421" w:rsidR="00BB1A1A" w:rsidRPr="00341ED2" w:rsidRDefault="009866B1" w:rsidP="000F393F">
      <w:pPr>
        <w:pStyle w:val="Prrafodelista"/>
        <w:widowControl w:val="0"/>
        <w:autoSpaceDE w:val="0"/>
        <w:autoSpaceDN w:val="0"/>
        <w:adjustRightInd w:val="0"/>
        <w:ind w:left="567" w:right="567"/>
        <w:rPr>
          <w:rFonts w:eastAsiaTheme="minorHAnsi"/>
          <w:b/>
          <w:sz w:val="26"/>
          <w:szCs w:val="26"/>
        </w:rPr>
      </w:pPr>
      <w:r w:rsidRPr="00341ED2">
        <w:rPr>
          <w:sz w:val="26"/>
          <w:szCs w:val="26"/>
        </w:rPr>
        <w:t>«</w:t>
      </w:r>
      <w:r w:rsidR="00C919C2" w:rsidRPr="00341ED2">
        <w:rPr>
          <w:sz w:val="26"/>
          <w:szCs w:val="26"/>
        </w:rPr>
        <w:t>la providencia objetada se basó en la jurisprudencia vigente de esta Corporación sobre el conteo del término de caducidad en casos como el estudiado; en tanto fue el juez de la causa quien, con base en las pruebas obrantes en el expediente, determinó que el mencionado término debía ser contabilizado desde cuando el interesado tuvo conocimiento del daño, es decir, desde la fecha en que acudió por primera vez al servicio médico y le diagnosticaron trauma craneoencefálico</w:t>
      </w:r>
      <w:r w:rsidR="008F7405" w:rsidRPr="00341ED2">
        <w:rPr>
          <w:sz w:val="26"/>
          <w:szCs w:val="26"/>
        </w:rPr>
        <w:t xml:space="preserve"> […] De allí que la decisión de la autoridad judicial accionada de contar el término de caducidad de los 2 años a partir del día siguiente de la fecha en que el señor </w:t>
      </w:r>
      <w:r w:rsidR="00DD3C9A">
        <w:rPr>
          <w:sz w:val="26"/>
          <w:szCs w:val="26"/>
        </w:rPr>
        <w:t>[</w:t>
      </w:r>
      <w:r w:rsidR="00DD3C9A" w:rsidRPr="00DD3C9A">
        <w:rPr>
          <w:i/>
          <w:iCs/>
          <w:sz w:val="26"/>
          <w:szCs w:val="26"/>
        </w:rPr>
        <w:t>Oscar</w:t>
      </w:r>
      <w:r w:rsidR="00DD3C9A">
        <w:rPr>
          <w:sz w:val="26"/>
          <w:szCs w:val="26"/>
        </w:rPr>
        <w:t>]</w:t>
      </w:r>
      <w:r w:rsidR="008F7405" w:rsidRPr="00341ED2">
        <w:rPr>
          <w:sz w:val="26"/>
          <w:szCs w:val="26"/>
        </w:rPr>
        <w:t xml:space="preserve"> tuvo su primer diagnóstico no configura ningún defecto</w:t>
      </w:r>
      <w:r w:rsidRPr="00341ED2">
        <w:rPr>
          <w:sz w:val="26"/>
          <w:szCs w:val="26"/>
        </w:rPr>
        <w:t>»</w:t>
      </w:r>
      <w:r w:rsidRPr="00341ED2">
        <w:rPr>
          <w:rStyle w:val="Refdenotaalpie"/>
          <w:sz w:val="26"/>
          <w:szCs w:val="26"/>
        </w:rPr>
        <w:footnoteReference w:id="55"/>
      </w:r>
    </w:p>
    <w:p w14:paraId="2C1620E1" w14:textId="77777777" w:rsidR="008F7405" w:rsidRPr="00341ED2" w:rsidRDefault="008F7405" w:rsidP="000F393F">
      <w:pPr>
        <w:pStyle w:val="Prrafodelista"/>
        <w:widowControl w:val="0"/>
        <w:autoSpaceDE w:val="0"/>
        <w:autoSpaceDN w:val="0"/>
        <w:adjustRightInd w:val="0"/>
        <w:spacing w:after="160"/>
        <w:ind w:left="0"/>
        <w:rPr>
          <w:rFonts w:eastAsiaTheme="minorHAnsi"/>
          <w:b/>
          <w:szCs w:val="28"/>
        </w:rPr>
      </w:pPr>
    </w:p>
    <w:p w14:paraId="2DE41CDC" w14:textId="1CA05E68" w:rsidR="005811CE" w:rsidRPr="00341ED2" w:rsidRDefault="00A10E5B"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Apelación</w:t>
      </w:r>
      <w:r w:rsidRPr="00341ED2">
        <w:rPr>
          <w:rFonts w:eastAsiaTheme="minorHAnsi"/>
          <w:szCs w:val="28"/>
        </w:rPr>
        <w:t>.</w:t>
      </w:r>
      <w:r w:rsidR="008F7405" w:rsidRPr="00341ED2">
        <w:rPr>
          <w:rFonts w:eastAsiaTheme="minorHAnsi"/>
          <w:szCs w:val="28"/>
        </w:rPr>
        <w:t xml:space="preserve"> </w:t>
      </w:r>
      <w:r w:rsidR="008F7405" w:rsidRPr="00341ED2">
        <w:rPr>
          <w:lang w:val="es-CO"/>
        </w:rPr>
        <w:t xml:space="preserve">La señora </w:t>
      </w:r>
      <w:r w:rsidR="00B8660C">
        <w:rPr>
          <w:i/>
          <w:iCs/>
          <w:spacing w:val="-2"/>
          <w:szCs w:val="28"/>
        </w:rPr>
        <w:t>Amalia</w:t>
      </w:r>
      <w:r w:rsidR="008F7405" w:rsidRPr="00341ED2">
        <w:rPr>
          <w:lang w:val="es-CO"/>
        </w:rPr>
        <w:t xml:space="preserve"> impugnó la sentencia de tutela de primera instancia. En su escrito, </w:t>
      </w:r>
      <w:r w:rsidR="005811CE" w:rsidRPr="00341ED2">
        <w:rPr>
          <w:lang w:val="es-CO"/>
        </w:rPr>
        <w:t>se limitó a señalar «de la manera más respetuosa, dentro del término oportuno, me permito IMPUGNAR el fallo proferido por su despacho de fecha 02 de junio de 2023»</w:t>
      </w:r>
      <w:r w:rsidR="008F7405" w:rsidRPr="00341ED2">
        <w:rPr>
          <w:rStyle w:val="Refdenotaalpie"/>
          <w:lang w:val="es-CO"/>
        </w:rPr>
        <w:footnoteReference w:id="56"/>
      </w:r>
      <w:r w:rsidR="008F7405" w:rsidRPr="00341ED2">
        <w:rPr>
          <w:lang w:val="es-CO"/>
        </w:rPr>
        <w:t xml:space="preserve">. </w:t>
      </w:r>
    </w:p>
    <w:p w14:paraId="0FF257D9" w14:textId="77777777" w:rsidR="00277A54" w:rsidRPr="00341ED2" w:rsidRDefault="00277A54" w:rsidP="000F393F">
      <w:pPr>
        <w:pStyle w:val="Prrafodelista"/>
        <w:widowControl w:val="0"/>
        <w:autoSpaceDE w:val="0"/>
        <w:autoSpaceDN w:val="0"/>
        <w:adjustRightInd w:val="0"/>
        <w:spacing w:after="160"/>
        <w:ind w:left="0"/>
        <w:rPr>
          <w:rFonts w:eastAsiaTheme="minorHAnsi"/>
          <w:szCs w:val="28"/>
        </w:rPr>
      </w:pPr>
    </w:p>
    <w:p w14:paraId="233FC203" w14:textId="2C57114B" w:rsidR="001457AE" w:rsidRPr="00341ED2" w:rsidRDefault="00A10E5B" w:rsidP="000F393F">
      <w:pPr>
        <w:pStyle w:val="Prrafodelista"/>
        <w:widowControl w:val="0"/>
        <w:numPr>
          <w:ilvl w:val="1"/>
          <w:numId w:val="15"/>
        </w:numPr>
        <w:autoSpaceDE w:val="0"/>
        <w:autoSpaceDN w:val="0"/>
        <w:adjustRightInd w:val="0"/>
        <w:spacing w:after="160"/>
        <w:rPr>
          <w:rFonts w:eastAsiaTheme="minorHAnsi"/>
          <w:szCs w:val="28"/>
        </w:rPr>
      </w:pPr>
      <w:r w:rsidRPr="00341ED2">
        <w:rPr>
          <w:rFonts w:eastAsiaTheme="minorHAnsi"/>
          <w:i/>
          <w:szCs w:val="28"/>
        </w:rPr>
        <w:t xml:space="preserve">Sentencia de </w:t>
      </w:r>
      <w:r w:rsidR="00F7058D" w:rsidRPr="00341ED2">
        <w:rPr>
          <w:rFonts w:eastAsiaTheme="minorHAnsi"/>
          <w:i/>
          <w:szCs w:val="28"/>
        </w:rPr>
        <w:t xml:space="preserve">tutela de </w:t>
      </w:r>
      <w:r w:rsidRPr="00341ED2">
        <w:rPr>
          <w:rFonts w:eastAsiaTheme="minorHAnsi"/>
          <w:i/>
          <w:szCs w:val="28"/>
        </w:rPr>
        <w:t>segunda instancia</w:t>
      </w:r>
      <w:r w:rsidRPr="00341ED2">
        <w:rPr>
          <w:rFonts w:eastAsiaTheme="minorHAnsi"/>
          <w:szCs w:val="28"/>
        </w:rPr>
        <w:t xml:space="preserve">. </w:t>
      </w:r>
      <w:r w:rsidR="005811CE" w:rsidRPr="00341ED2">
        <w:rPr>
          <w:lang w:val="es-CO"/>
        </w:rPr>
        <w:t>Por medio de sentencia de 2</w:t>
      </w:r>
      <w:r w:rsidR="003C760D" w:rsidRPr="00341ED2">
        <w:rPr>
          <w:lang w:val="es-CO"/>
        </w:rPr>
        <w:t>4</w:t>
      </w:r>
      <w:r w:rsidR="005811CE" w:rsidRPr="00341ED2">
        <w:rPr>
          <w:lang w:val="es-CO"/>
        </w:rPr>
        <w:t xml:space="preserve"> de </w:t>
      </w:r>
      <w:r w:rsidR="003C760D" w:rsidRPr="00341ED2">
        <w:rPr>
          <w:lang w:val="es-CO"/>
        </w:rPr>
        <w:t>agosto</w:t>
      </w:r>
      <w:r w:rsidR="005811CE" w:rsidRPr="00341ED2">
        <w:rPr>
          <w:lang w:val="es-CO"/>
        </w:rPr>
        <w:t xml:space="preserve"> de 202</w:t>
      </w:r>
      <w:r w:rsidR="003C760D" w:rsidRPr="00341ED2">
        <w:rPr>
          <w:lang w:val="es-CO"/>
        </w:rPr>
        <w:t>3</w:t>
      </w:r>
      <w:r w:rsidR="005811CE" w:rsidRPr="00341ED2">
        <w:rPr>
          <w:lang w:val="es-CO"/>
        </w:rPr>
        <w:t xml:space="preserve">, </w:t>
      </w:r>
      <w:r w:rsidR="003C760D" w:rsidRPr="00341ED2">
        <w:rPr>
          <w:lang w:val="es-CO"/>
        </w:rPr>
        <w:t xml:space="preserve">la Sección Quinta </w:t>
      </w:r>
      <w:r w:rsidR="005811CE" w:rsidRPr="00341ED2">
        <w:rPr>
          <w:lang w:val="es-CO"/>
        </w:rPr>
        <w:t xml:space="preserve">del Consejo de Estado confirmó </w:t>
      </w:r>
      <w:r w:rsidR="0032555F" w:rsidRPr="00341ED2">
        <w:rPr>
          <w:lang w:val="es-CO"/>
        </w:rPr>
        <w:t xml:space="preserve">la </w:t>
      </w:r>
      <w:r w:rsidR="00F7058D" w:rsidRPr="00341ED2">
        <w:rPr>
          <w:lang w:val="es-CO"/>
        </w:rPr>
        <w:t>decisión</w:t>
      </w:r>
      <w:r w:rsidR="005811CE" w:rsidRPr="00341ED2">
        <w:rPr>
          <w:lang w:val="es-CO"/>
        </w:rPr>
        <w:t xml:space="preserve"> de primera instancia. </w:t>
      </w:r>
      <w:r w:rsidR="00277A54" w:rsidRPr="00341ED2">
        <w:rPr>
          <w:lang w:val="es-CO"/>
        </w:rPr>
        <w:t xml:space="preserve">Esto, por cuanto, la accionante </w:t>
      </w:r>
      <w:r w:rsidR="001457AE" w:rsidRPr="00341ED2">
        <w:rPr>
          <w:lang w:val="es-CO"/>
        </w:rPr>
        <w:t>«</w:t>
      </w:r>
      <w:r w:rsidR="00277A54" w:rsidRPr="00341ED2">
        <w:rPr>
          <w:lang w:val="es-CO"/>
        </w:rPr>
        <w:t xml:space="preserve">no expuso los motivos de desacuerdo respecto de la sentencia de tutela proferida por el </w:t>
      </w:r>
      <w:r w:rsidR="00277A54" w:rsidRPr="00341ED2">
        <w:rPr>
          <w:i/>
          <w:iCs/>
          <w:lang w:val="es-CO"/>
        </w:rPr>
        <w:t xml:space="preserve">a quo </w:t>
      </w:r>
      <w:r w:rsidR="00277A54" w:rsidRPr="00341ED2">
        <w:rPr>
          <w:lang w:val="es-CO"/>
        </w:rPr>
        <w:t xml:space="preserve">y simplemente </w:t>
      </w:r>
      <w:r w:rsidR="001457AE" w:rsidRPr="00341ED2">
        <w:rPr>
          <w:lang w:val="es-CO"/>
        </w:rPr>
        <w:t>impugnó</w:t>
      </w:r>
      <w:r w:rsidR="00277A54" w:rsidRPr="00341ED2">
        <w:rPr>
          <w:lang w:val="es-CO"/>
        </w:rPr>
        <w:t xml:space="preserve"> dicha decisión, </w:t>
      </w:r>
      <w:r w:rsidR="001457AE" w:rsidRPr="00341ED2">
        <w:rPr>
          <w:lang w:val="es-CO"/>
        </w:rPr>
        <w:t xml:space="preserve">por lo que </w:t>
      </w:r>
      <w:r w:rsidR="00277A54" w:rsidRPr="00341ED2">
        <w:rPr>
          <w:lang w:val="es-CO"/>
        </w:rPr>
        <w:t>resulta claro que no cumplió con la carga argumentativa que le correspondía y, por ende, no es posible entrar a realizar un nuevo estudio oficioso del caso concreto»</w:t>
      </w:r>
      <w:r w:rsidR="00277A54" w:rsidRPr="00341ED2">
        <w:rPr>
          <w:rStyle w:val="Refdenotaalpie"/>
          <w:lang w:val="es-CO"/>
        </w:rPr>
        <w:footnoteReference w:id="57"/>
      </w:r>
      <w:r w:rsidR="00277A54" w:rsidRPr="00341ED2">
        <w:rPr>
          <w:lang w:val="es-CO"/>
        </w:rPr>
        <w:t>. En consecuencia, resolvió «confirmar el fallo impugnado que declaró la improcedencia de la acción de tutela por no cumplir con el requisito de la relevancia constitucional»</w:t>
      </w:r>
      <w:r w:rsidR="00277A54" w:rsidRPr="00341ED2">
        <w:rPr>
          <w:rStyle w:val="Refdenotaalpie"/>
          <w:lang w:val="es-CO"/>
        </w:rPr>
        <w:footnoteReference w:id="58"/>
      </w:r>
      <w:r w:rsidR="00277A54" w:rsidRPr="00341ED2">
        <w:rPr>
          <w:lang w:val="es-CO"/>
        </w:rPr>
        <w:t>.</w:t>
      </w:r>
    </w:p>
    <w:p w14:paraId="5D588645" w14:textId="77777777" w:rsidR="00300499" w:rsidRPr="00341ED2" w:rsidRDefault="00300499" w:rsidP="00300499">
      <w:pPr>
        <w:pStyle w:val="Prrafodelista"/>
        <w:widowControl w:val="0"/>
        <w:autoSpaceDE w:val="0"/>
        <w:autoSpaceDN w:val="0"/>
        <w:adjustRightInd w:val="0"/>
        <w:spacing w:after="160"/>
        <w:ind w:left="0"/>
        <w:rPr>
          <w:rFonts w:eastAsiaTheme="minorHAnsi"/>
          <w:szCs w:val="28"/>
        </w:rPr>
      </w:pPr>
    </w:p>
    <w:p w14:paraId="30CF085E" w14:textId="6A93C5F9" w:rsidR="00A10E5B" w:rsidRPr="00341ED2" w:rsidRDefault="00A10E5B" w:rsidP="000F393F">
      <w:pPr>
        <w:pStyle w:val="Prrafodelista"/>
        <w:widowControl w:val="0"/>
        <w:numPr>
          <w:ilvl w:val="0"/>
          <w:numId w:val="15"/>
        </w:numPr>
        <w:autoSpaceDE w:val="0"/>
        <w:autoSpaceDN w:val="0"/>
        <w:adjustRightInd w:val="0"/>
        <w:spacing w:after="160"/>
        <w:rPr>
          <w:rFonts w:eastAsiaTheme="minorHAnsi"/>
          <w:b/>
          <w:szCs w:val="28"/>
        </w:rPr>
      </w:pPr>
      <w:bookmarkStart w:id="9" w:name="_Hlk163036148"/>
      <w:bookmarkEnd w:id="8"/>
      <w:r w:rsidRPr="00341ED2">
        <w:rPr>
          <w:rFonts w:eastAsiaTheme="minorHAnsi"/>
          <w:b/>
          <w:szCs w:val="28"/>
        </w:rPr>
        <w:t>Actuaciones en sede de revisión</w:t>
      </w:r>
    </w:p>
    <w:bookmarkEnd w:id="9"/>
    <w:p w14:paraId="136361BE" w14:textId="77777777" w:rsidR="00F7058D" w:rsidRPr="00341ED2" w:rsidRDefault="00F7058D" w:rsidP="000F393F">
      <w:pPr>
        <w:pStyle w:val="Prrafodelista"/>
        <w:widowControl w:val="0"/>
        <w:autoSpaceDE w:val="0"/>
        <w:autoSpaceDN w:val="0"/>
        <w:adjustRightInd w:val="0"/>
        <w:spacing w:after="160"/>
        <w:ind w:left="360"/>
        <w:rPr>
          <w:rFonts w:eastAsiaTheme="minorHAnsi"/>
          <w:b/>
          <w:szCs w:val="28"/>
        </w:rPr>
      </w:pPr>
    </w:p>
    <w:p w14:paraId="3FA90358" w14:textId="2C9399D5" w:rsidR="001020F2" w:rsidRPr="00341ED2" w:rsidRDefault="00C10A7C" w:rsidP="000F393F">
      <w:pPr>
        <w:pStyle w:val="Prrafodelista"/>
        <w:widowControl w:val="0"/>
        <w:numPr>
          <w:ilvl w:val="1"/>
          <w:numId w:val="15"/>
        </w:numPr>
        <w:autoSpaceDE w:val="0"/>
        <w:autoSpaceDN w:val="0"/>
        <w:adjustRightInd w:val="0"/>
        <w:spacing w:after="160"/>
        <w:rPr>
          <w:rFonts w:eastAsiaTheme="minorHAnsi"/>
          <w:b/>
          <w:szCs w:val="28"/>
        </w:rPr>
      </w:pPr>
      <w:r w:rsidRPr="00341ED2">
        <w:rPr>
          <w:szCs w:val="28"/>
          <w:lang w:eastAsia="es-ES"/>
        </w:rPr>
        <w:t xml:space="preserve">Mediante auto del 26 de febrero de 2024, la magistrada sustanciadora ordenó a </w:t>
      </w:r>
      <w:r w:rsidRPr="00341ED2">
        <w:rPr>
          <w:szCs w:val="28"/>
          <w:lang w:val="es-CO"/>
        </w:rPr>
        <w:t xml:space="preserve">la Clínica Stella </w:t>
      </w:r>
      <w:r w:rsidR="00065C2A" w:rsidRPr="00341ED2">
        <w:rPr>
          <w:szCs w:val="28"/>
          <w:lang w:val="es-CO"/>
        </w:rPr>
        <w:t>M</w:t>
      </w:r>
      <w:r w:rsidRPr="00341ED2">
        <w:rPr>
          <w:szCs w:val="28"/>
          <w:lang w:val="es-CO"/>
        </w:rPr>
        <w:t xml:space="preserve">aris y al Hospital Mental </w:t>
      </w:r>
      <w:proofErr w:type="spellStart"/>
      <w:r w:rsidRPr="00341ED2">
        <w:rPr>
          <w:szCs w:val="28"/>
          <w:lang w:val="es-CO"/>
        </w:rPr>
        <w:t>Rudesindo</w:t>
      </w:r>
      <w:proofErr w:type="spellEnd"/>
      <w:r w:rsidRPr="00341ED2">
        <w:rPr>
          <w:szCs w:val="28"/>
          <w:lang w:val="es-CO"/>
        </w:rPr>
        <w:t xml:space="preserve"> Soto</w:t>
      </w:r>
      <w:r w:rsidR="001020F2" w:rsidRPr="00341ED2">
        <w:rPr>
          <w:szCs w:val="28"/>
          <w:lang w:val="es-CO"/>
        </w:rPr>
        <w:t xml:space="preserve"> que enviaran copia </w:t>
      </w:r>
      <w:r w:rsidR="001020F2" w:rsidRPr="00341ED2">
        <w:rPr>
          <w:rFonts w:eastAsia="Calibri"/>
          <w:bCs/>
          <w:iCs/>
          <w:szCs w:val="28"/>
          <w:lang w:val="es-CO" w:eastAsia="es-ES"/>
        </w:rPr>
        <w:t xml:space="preserve">íntegra de la historia clínica del señor </w:t>
      </w:r>
      <w:r w:rsidR="002174CD" w:rsidRPr="002174CD">
        <w:rPr>
          <w:rFonts w:eastAsia="Calibri"/>
          <w:bCs/>
          <w:i/>
          <w:iCs/>
          <w:szCs w:val="28"/>
          <w:lang w:val="es-CO" w:eastAsia="es-ES"/>
        </w:rPr>
        <w:t>Oscar</w:t>
      </w:r>
      <w:r w:rsidR="001020F2" w:rsidRPr="00341ED2">
        <w:rPr>
          <w:rFonts w:eastAsia="Calibri"/>
          <w:bCs/>
          <w:iCs/>
          <w:szCs w:val="28"/>
          <w:lang w:val="es-CO" w:eastAsia="es-ES"/>
        </w:rPr>
        <w:t>. De igual forma, pidió a</w:t>
      </w:r>
      <w:r w:rsidR="004D2C7C" w:rsidRPr="00341ED2">
        <w:rPr>
          <w:rFonts w:eastAsia="Calibri"/>
          <w:bCs/>
          <w:iCs/>
          <w:szCs w:val="28"/>
          <w:lang w:val="es-CO" w:eastAsia="es-ES"/>
        </w:rPr>
        <w:t xml:space="preserve"> la </w:t>
      </w:r>
      <w:r w:rsidR="001020F2" w:rsidRPr="00341ED2">
        <w:rPr>
          <w:rFonts w:eastAsia="Calibri"/>
          <w:bCs/>
          <w:iCs/>
          <w:szCs w:val="28"/>
          <w:lang w:val="es-CO" w:eastAsia="es-ES"/>
        </w:rPr>
        <w:t xml:space="preserve">accionante que informara </w:t>
      </w:r>
      <w:r w:rsidRPr="00341ED2">
        <w:rPr>
          <w:rFonts w:eastAsia="Yu Gothic"/>
          <w:bCs/>
          <w:szCs w:val="28"/>
          <w:lang w:eastAsia="es-ES"/>
        </w:rPr>
        <w:t xml:space="preserve">sobre </w:t>
      </w:r>
      <w:r w:rsidR="004D2C7C" w:rsidRPr="00341ED2">
        <w:rPr>
          <w:rFonts w:eastAsia="Yu Gothic"/>
          <w:bCs/>
          <w:szCs w:val="28"/>
          <w:lang w:eastAsia="es-ES"/>
        </w:rPr>
        <w:t>el</w:t>
      </w:r>
      <w:r w:rsidRPr="00341ED2">
        <w:rPr>
          <w:rFonts w:eastAsia="Yu Gothic"/>
          <w:bCs/>
          <w:szCs w:val="28"/>
          <w:lang w:eastAsia="es-ES"/>
        </w:rPr>
        <w:t xml:space="preserve"> estado de salud actual</w:t>
      </w:r>
      <w:r w:rsidR="004D2C7C" w:rsidRPr="00341ED2">
        <w:rPr>
          <w:rFonts w:eastAsia="Yu Gothic"/>
          <w:bCs/>
          <w:szCs w:val="28"/>
          <w:lang w:eastAsia="es-ES"/>
        </w:rPr>
        <w:t xml:space="preserve"> de su hijo</w:t>
      </w:r>
      <w:r w:rsidR="001020F2" w:rsidRPr="00341ED2">
        <w:rPr>
          <w:rFonts w:eastAsia="Yu Gothic"/>
          <w:bCs/>
          <w:szCs w:val="28"/>
          <w:lang w:eastAsia="es-ES"/>
        </w:rPr>
        <w:t xml:space="preserve">, </w:t>
      </w:r>
      <w:r w:rsidRPr="00341ED2">
        <w:rPr>
          <w:rFonts w:eastAsia="Yu Gothic"/>
          <w:bCs/>
          <w:szCs w:val="28"/>
          <w:lang w:eastAsia="es-ES"/>
        </w:rPr>
        <w:t>su situación económica</w:t>
      </w:r>
      <w:r w:rsidR="001020F2" w:rsidRPr="00341ED2">
        <w:rPr>
          <w:rFonts w:eastAsia="Yu Gothic"/>
          <w:bCs/>
          <w:szCs w:val="28"/>
          <w:lang w:eastAsia="es-ES"/>
        </w:rPr>
        <w:t xml:space="preserve"> y las circunstancias exactas </w:t>
      </w:r>
      <w:r w:rsidR="001020F2" w:rsidRPr="00341ED2">
        <w:rPr>
          <w:spacing w:val="-2"/>
          <w:szCs w:val="28"/>
          <w:lang w:val="es-CO"/>
        </w:rPr>
        <w:t xml:space="preserve">del traumatismo craneoencefálico que sufrió en junio de 2012 mientras prestaba el servicio militar obligatorio. Finalmente, solicitó a </w:t>
      </w:r>
      <w:r w:rsidR="001020F2" w:rsidRPr="00341ED2">
        <w:rPr>
          <w:szCs w:val="28"/>
          <w:lang w:val="es-CO"/>
        </w:rPr>
        <w:t>la Comisión Seccional de Disciplina Judicial de Norte de Santander que</w:t>
      </w:r>
      <w:r w:rsidR="001020F2" w:rsidRPr="00341ED2">
        <w:rPr>
          <w:rFonts w:eastAsia="Calibri"/>
          <w:bCs/>
          <w:iCs/>
          <w:szCs w:val="28"/>
          <w:lang w:val="es-CO" w:eastAsia="es-ES"/>
        </w:rPr>
        <w:t xml:space="preserve"> enviara copia íntegra del proceso de tutela con radicado No. 54-001-11-02-000-2014-00521-00, presentada por </w:t>
      </w:r>
      <w:r w:rsidR="00B8660C">
        <w:rPr>
          <w:i/>
          <w:iCs/>
          <w:spacing w:val="-2"/>
          <w:szCs w:val="28"/>
        </w:rPr>
        <w:t>Amalia</w:t>
      </w:r>
      <w:r w:rsidR="001020F2" w:rsidRPr="00341ED2">
        <w:rPr>
          <w:rFonts w:eastAsia="Calibri"/>
          <w:bCs/>
          <w:iCs/>
          <w:szCs w:val="28"/>
          <w:lang w:val="es-CO" w:eastAsia="es-ES"/>
        </w:rPr>
        <w:t xml:space="preserve">, en calidad de agente oficioso de </w:t>
      </w:r>
      <w:r w:rsidR="002174CD" w:rsidRPr="002174CD">
        <w:rPr>
          <w:rFonts w:eastAsia="Calibri"/>
          <w:bCs/>
          <w:i/>
          <w:iCs/>
          <w:szCs w:val="28"/>
          <w:lang w:val="es-CO" w:eastAsia="es-ES"/>
        </w:rPr>
        <w:t>Oscar</w:t>
      </w:r>
      <w:r w:rsidR="001020F2" w:rsidRPr="00341ED2">
        <w:rPr>
          <w:rFonts w:eastAsia="Calibri"/>
          <w:bCs/>
          <w:iCs/>
          <w:szCs w:val="28"/>
          <w:lang w:val="es-CO" w:eastAsia="es-ES"/>
        </w:rPr>
        <w:t xml:space="preserve">, contra </w:t>
      </w:r>
      <w:r w:rsidR="001020F2" w:rsidRPr="00341ED2">
        <w:rPr>
          <w:szCs w:val="28"/>
          <w:lang w:val="es-CO"/>
        </w:rPr>
        <w:t xml:space="preserve">la </w:t>
      </w:r>
      <w:r w:rsidR="001020F2" w:rsidRPr="00341ED2">
        <w:rPr>
          <w:rFonts w:eastAsia="Calibri"/>
          <w:bCs/>
          <w:iCs/>
          <w:szCs w:val="28"/>
          <w:lang w:val="es-CO" w:eastAsia="es-ES"/>
        </w:rPr>
        <w:t>Dirección de</w:t>
      </w:r>
      <w:r w:rsidR="001020F2" w:rsidRPr="00341ED2">
        <w:rPr>
          <w:szCs w:val="28"/>
          <w:lang w:val="es-CO"/>
        </w:rPr>
        <w:t xml:space="preserve"> </w:t>
      </w:r>
      <w:r w:rsidR="001020F2" w:rsidRPr="00341ED2">
        <w:rPr>
          <w:rFonts w:eastAsia="Calibri"/>
          <w:bCs/>
          <w:iCs/>
          <w:szCs w:val="28"/>
          <w:lang w:val="es-CO" w:eastAsia="es-ES"/>
        </w:rPr>
        <w:t xml:space="preserve">Sanidad Del </w:t>
      </w:r>
      <w:proofErr w:type="gramStart"/>
      <w:r w:rsidR="001020F2" w:rsidRPr="00341ED2">
        <w:rPr>
          <w:rFonts w:eastAsia="Calibri"/>
          <w:bCs/>
          <w:iCs/>
          <w:szCs w:val="28"/>
          <w:lang w:val="es-CO" w:eastAsia="es-ES"/>
        </w:rPr>
        <w:t>Ejercito</w:t>
      </w:r>
      <w:proofErr w:type="gramEnd"/>
      <w:r w:rsidR="001020F2" w:rsidRPr="00341ED2">
        <w:rPr>
          <w:rFonts w:eastAsia="Calibri"/>
          <w:bCs/>
          <w:iCs/>
          <w:szCs w:val="28"/>
          <w:lang w:val="es-CO" w:eastAsia="es-ES"/>
        </w:rPr>
        <w:t xml:space="preserve"> Nacional de Colombia.</w:t>
      </w:r>
    </w:p>
    <w:p w14:paraId="09DAF63C" w14:textId="77777777" w:rsidR="00C10A7C" w:rsidRPr="00341ED2" w:rsidRDefault="00C10A7C" w:rsidP="000F393F">
      <w:pPr>
        <w:pStyle w:val="Prrafodelista"/>
        <w:widowControl w:val="0"/>
        <w:autoSpaceDE w:val="0"/>
        <w:autoSpaceDN w:val="0"/>
        <w:adjustRightInd w:val="0"/>
        <w:ind w:left="0"/>
        <w:rPr>
          <w:szCs w:val="28"/>
          <w:lang w:eastAsia="es-ES"/>
        </w:rPr>
      </w:pPr>
    </w:p>
    <w:p w14:paraId="30250250" w14:textId="77777777" w:rsidR="00C10A7C" w:rsidRPr="00341ED2" w:rsidRDefault="00C10A7C" w:rsidP="000F393F">
      <w:pPr>
        <w:pStyle w:val="Prrafodelista"/>
        <w:widowControl w:val="0"/>
        <w:numPr>
          <w:ilvl w:val="1"/>
          <w:numId w:val="16"/>
        </w:numPr>
        <w:autoSpaceDE w:val="0"/>
        <w:autoSpaceDN w:val="0"/>
        <w:adjustRightInd w:val="0"/>
        <w:rPr>
          <w:szCs w:val="28"/>
          <w:lang w:eastAsia="es-ES"/>
        </w:rPr>
      </w:pPr>
      <w:r w:rsidRPr="00341ED2">
        <w:rPr>
          <w:szCs w:val="28"/>
        </w:rPr>
        <w:t>En el siguiente cuadro se resumen las respuestas recibidas en sede de revisión:</w:t>
      </w:r>
    </w:p>
    <w:p w14:paraId="16D6787A" w14:textId="77777777" w:rsidR="00C10A7C" w:rsidRPr="00341ED2" w:rsidRDefault="00C10A7C" w:rsidP="000F393F">
      <w:pPr>
        <w:rPr>
          <w:szCs w:val="28"/>
        </w:rPr>
      </w:pPr>
    </w:p>
    <w:tbl>
      <w:tblPr>
        <w:tblStyle w:val="PlainTable1"/>
        <w:tblW w:w="5000" w:type="pct"/>
        <w:tblInd w:w="0" w:type="dxa"/>
        <w:tblLook w:val="04A0" w:firstRow="1" w:lastRow="0" w:firstColumn="1" w:lastColumn="0" w:noHBand="0" w:noVBand="1"/>
      </w:tblPr>
      <w:tblGrid>
        <w:gridCol w:w="2466"/>
        <w:gridCol w:w="6588"/>
      </w:tblGrid>
      <w:tr w:rsidR="00E65ED3" w:rsidRPr="00341ED2" w14:paraId="5EF504E3" w14:textId="77777777" w:rsidTr="00CF70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vAlign w:val="center"/>
            <w:hideMark/>
          </w:tcPr>
          <w:p w14:paraId="3CD8A9C0" w14:textId="77777777" w:rsidR="00C10A7C" w:rsidRPr="00341ED2" w:rsidRDefault="00C10A7C" w:rsidP="000F393F">
            <w:pPr>
              <w:jc w:val="center"/>
              <w:rPr>
                <w:sz w:val="24"/>
                <w:szCs w:val="24"/>
                <w:lang w:val="es-CO"/>
              </w:rPr>
            </w:pPr>
            <w:r w:rsidRPr="00341ED2">
              <w:rPr>
                <w:sz w:val="24"/>
                <w:szCs w:val="24"/>
                <w:lang w:val="es-CO"/>
              </w:rPr>
              <w:t>Respuestas al auto de pruebas</w:t>
            </w:r>
          </w:p>
        </w:tc>
      </w:tr>
      <w:tr w:rsidR="00E65ED3" w:rsidRPr="00341ED2" w14:paraId="6DD3B1DA" w14:textId="77777777" w:rsidTr="007B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C96602" w14:textId="4356987D" w:rsidR="00C10A7C" w:rsidRPr="00341ED2" w:rsidRDefault="002174CD" w:rsidP="000F393F">
            <w:pPr>
              <w:jc w:val="center"/>
              <w:rPr>
                <w:iCs/>
                <w:sz w:val="24"/>
                <w:szCs w:val="24"/>
                <w:lang w:val="es-CO"/>
              </w:rPr>
            </w:pPr>
            <w:r w:rsidRPr="002174CD">
              <w:rPr>
                <w:i/>
                <w:iCs/>
                <w:sz w:val="24"/>
                <w:szCs w:val="24"/>
                <w:lang w:val="es-CO"/>
              </w:rPr>
              <w:t>Oscar</w:t>
            </w:r>
          </w:p>
        </w:tc>
        <w:tc>
          <w:tcPr>
            <w:tcW w:w="36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2BED7E" w14:textId="174B44DC" w:rsidR="00D56E72" w:rsidRPr="00341ED2" w:rsidRDefault="004D2C7C"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r w:rsidRPr="00341ED2">
              <w:rPr>
                <w:sz w:val="24"/>
                <w:szCs w:val="24"/>
                <w:lang w:val="es-CO"/>
              </w:rPr>
              <w:t xml:space="preserve">Mediante respuesta del 19 de marzo de 2024, el hijo de la accionante contestó </w:t>
            </w:r>
            <w:r w:rsidR="00FC4033" w:rsidRPr="00341ED2">
              <w:rPr>
                <w:sz w:val="24"/>
                <w:szCs w:val="24"/>
                <w:lang w:val="es-CO"/>
              </w:rPr>
              <w:t>personalmente</w:t>
            </w:r>
            <w:r w:rsidRPr="00341ED2">
              <w:rPr>
                <w:sz w:val="24"/>
                <w:szCs w:val="24"/>
                <w:lang w:val="es-CO"/>
              </w:rPr>
              <w:t xml:space="preserve"> las preguntas </w:t>
            </w:r>
            <w:r w:rsidR="00D56E72" w:rsidRPr="00341ED2">
              <w:rPr>
                <w:sz w:val="24"/>
                <w:szCs w:val="24"/>
                <w:lang w:val="es-CO"/>
              </w:rPr>
              <w:t xml:space="preserve">formuladas por la magistrada sustanciadora. Sobre su situación económica, informó que vive con sus padres y una hermana en una finca ubicada en la zona rural del municipio de </w:t>
            </w:r>
            <w:proofErr w:type="spellStart"/>
            <w:r w:rsidR="00D56E72" w:rsidRPr="00341ED2">
              <w:rPr>
                <w:sz w:val="24"/>
                <w:szCs w:val="24"/>
                <w:lang w:val="es-CO"/>
              </w:rPr>
              <w:t>Tibú</w:t>
            </w:r>
            <w:proofErr w:type="spellEnd"/>
            <w:r w:rsidR="00D56E72" w:rsidRPr="00341ED2">
              <w:rPr>
                <w:sz w:val="24"/>
                <w:szCs w:val="24"/>
                <w:lang w:val="es-CO"/>
              </w:rPr>
              <w:t xml:space="preserve"> (Norte de Santander)</w:t>
            </w:r>
            <w:r w:rsidR="00F74594" w:rsidRPr="00341ED2">
              <w:rPr>
                <w:sz w:val="24"/>
                <w:szCs w:val="24"/>
                <w:lang w:val="es-CO"/>
              </w:rPr>
              <w:t>. Y agregó:</w:t>
            </w:r>
            <w:r w:rsidR="00D56E72" w:rsidRPr="00341ED2">
              <w:rPr>
                <w:sz w:val="24"/>
                <w:szCs w:val="24"/>
                <w:lang w:val="es-CO"/>
              </w:rPr>
              <w:t xml:space="preserve"> «yo estoy en la finca con ellos, solo les ayudo en la siembra de yuca y plátano, y tenemos un cultivito de maracuyá, y en eso me mantienen ocupado, ayudo con lo que me manden a hacer en la finca, ellos son los que hacen mercado y compran las cosas que necesito, me dan comida, pues yo no trabajo en otra cosa que no sea con ellos, no tengo fuente de ingresos, yo solo ayudo en las cosas de la finca y ya»</w:t>
            </w:r>
            <w:r w:rsidR="00D56E72" w:rsidRPr="00341ED2">
              <w:rPr>
                <w:rStyle w:val="Refdenotaalpie"/>
                <w:sz w:val="24"/>
                <w:szCs w:val="24"/>
                <w:lang w:val="es-CO"/>
              </w:rPr>
              <w:footnoteReference w:id="59"/>
            </w:r>
            <w:r w:rsidR="00D56E72" w:rsidRPr="00341ED2">
              <w:rPr>
                <w:sz w:val="24"/>
                <w:szCs w:val="24"/>
                <w:lang w:val="es-CO"/>
              </w:rPr>
              <w:t>.</w:t>
            </w:r>
          </w:p>
          <w:p w14:paraId="668A34CD" w14:textId="77777777" w:rsidR="00F74594" w:rsidRPr="00341ED2" w:rsidRDefault="00F74594"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p>
          <w:p w14:paraId="59891CCC" w14:textId="01A553E6" w:rsidR="009C1126" w:rsidRPr="00341ED2" w:rsidRDefault="00F74594"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r w:rsidRPr="00341ED2">
              <w:rPr>
                <w:sz w:val="24"/>
                <w:szCs w:val="24"/>
                <w:lang w:val="es-CO"/>
              </w:rPr>
              <w:t>En cuanto a su situación de salud, señaló</w:t>
            </w:r>
            <w:r w:rsidR="00FC4033" w:rsidRPr="00341ED2">
              <w:rPr>
                <w:sz w:val="24"/>
                <w:szCs w:val="24"/>
                <w:lang w:val="es-CO"/>
              </w:rPr>
              <w:t>:</w:t>
            </w:r>
            <w:r w:rsidRPr="00341ED2">
              <w:rPr>
                <w:sz w:val="24"/>
                <w:szCs w:val="24"/>
                <w:lang w:val="es-CO"/>
              </w:rPr>
              <w:t xml:space="preserve"> «desde hace rato que no voy al psiquiatra, cuando me dan crisis, mi mamá es la que me da las pastillas que me ha recetado el médico y me pasa, entro en crisis, tomo pastillas, me pasa y vuelvo y entro en crisis […] me cuesta mucho estabilizarme, porque las crisis son muy frecuentes, pero pues ahí voy, y no he vuelto al médico porque es muy difícil la salida de acá, eso representa costos para mi familia y nuestros recursos son bajos señora Magistrada, estamos en el campo y es el único lugar que tenemos para vivir, no hay centros de salud cerca, es una zona retirada, por eso mi mamá tiene las pastillas y ella ya sabe cómo tratarme, y me cuida bien»</w:t>
            </w:r>
            <w:r w:rsidR="004A0267" w:rsidRPr="00341ED2">
              <w:rPr>
                <w:rStyle w:val="Refdenotaalpie"/>
                <w:sz w:val="24"/>
                <w:szCs w:val="24"/>
                <w:lang w:val="es-CO"/>
              </w:rPr>
              <w:footnoteReference w:id="60"/>
            </w:r>
            <w:r w:rsidRPr="00341ED2">
              <w:rPr>
                <w:sz w:val="24"/>
                <w:szCs w:val="24"/>
                <w:lang w:val="es-CO"/>
              </w:rPr>
              <w:t>.</w:t>
            </w:r>
          </w:p>
          <w:p w14:paraId="1694A541" w14:textId="77777777" w:rsidR="000A6956" w:rsidRPr="00341ED2" w:rsidRDefault="000A6956"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p>
          <w:p w14:paraId="15556727" w14:textId="291D60AB" w:rsidR="00C24C01" w:rsidRPr="00341ED2" w:rsidRDefault="004A0267"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r w:rsidRPr="00341ED2">
              <w:rPr>
                <w:sz w:val="24"/>
                <w:szCs w:val="24"/>
                <w:lang w:val="es-CO"/>
              </w:rPr>
              <w:t xml:space="preserve">Sobre </w:t>
            </w:r>
            <w:r w:rsidR="003857B6" w:rsidRPr="00341ED2">
              <w:rPr>
                <w:sz w:val="24"/>
                <w:szCs w:val="24"/>
                <w:lang w:val="es-CO"/>
              </w:rPr>
              <w:t xml:space="preserve">el día que sufrió </w:t>
            </w:r>
            <w:r w:rsidRPr="00341ED2">
              <w:rPr>
                <w:sz w:val="24"/>
                <w:szCs w:val="24"/>
                <w:lang w:val="es-CO"/>
              </w:rPr>
              <w:t xml:space="preserve">el traumatismo craneoencefálico, explicó: «exactamente yo no sé si sufrí un trauma, lo que se, es que </w:t>
            </w:r>
            <w:r w:rsidR="003857B6" w:rsidRPr="00341ED2">
              <w:rPr>
                <w:sz w:val="24"/>
                <w:szCs w:val="24"/>
                <w:lang w:val="es-CO"/>
              </w:rPr>
              <w:t xml:space="preserve">el 26 de junio de 2012 </w:t>
            </w:r>
            <w:r w:rsidRPr="00341ED2">
              <w:rPr>
                <w:sz w:val="24"/>
                <w:szCs w:val="24"/>
                <w:lang w:val="es-CO"/>
              </w:rPr>
              <w:t xml:space="preserve">estamos cerca al Batallón Patrullando, y de repente perdí el conocimiento yo no puedo asegurar que fue un golpe, solo sé que me llevaron los compañeros a Sanidad Militar, de allí pasé a la Clínica Santa Ana de Cúcuta, después estuve en el Hospital Mental </w:t>
            </w:r>
            <w:proofErr w:type="spellStart"/>
            <w:r w:rsidRPr="00341ED2">
              <w:rPr>
                <w:sz w:val="24"/>
                <w:szCs w:val="24"/>
                <w:lang w:val="es-CO"/>
              </w:rPr>
              <w:t>Rudesindo</w:t>
            </w:r>
            <w:proofErr w:type="spellEnd"/>
            <w:r w:rsidRPr="00341ED2">
              <w:rPr>
                <w:sz w:val="24"/>
                <w:szCs w:val="24"/>
                <w:lang w:val="es-CO"/>
              </w:rPr>
              <w:t xml:space="preserve"> Soto y ya posteriormente remitido a la Clínica Stella Maris»</w:t>
            </w:r>
            <w:r w:rsidRPr="00341ED2">
              <w:rPr>
                <w:rStyle w:val="Refdenotaalpie"/>
                <w:sz w:val="24"/>
                <w:szCs w:val="24"/>
                <w:lang w:val="es-CO"/>
              </w:rPr>
              <w:footnoteReference w:id="61"/>
            </w:r>
            <w:r w:rsidRPr="00341ED2">
              <w:rPr>
                <w:sz w:val="24"/>
                <w:szCs w:val="24"/>
                <w:lang w:val="es-CO"/>
              </w:rPr>
              <w:t>.</w:t>
            </w:r>
            <w:r w:rsidR="00C24C01" w:rsidRPr="00341ED2">
              <w:rPr>
                <w:sz w:val="24"/>
                <w:szCs w:val="24"/>
                <w:lang w:val="es-CO"/>
              </w:rPr>
              <w:t xml:space="preserve"> Adicionalmente, indicó: «Señora Magistrada es que yo no sé de las circunstancias concretas sobre el golpe ni la raíz de mi enfermedad, solo me desplomé, lo que pasa es que, al desmallarme, se supone que fue que sufrí un golpe fuerte, pero detalladamente no se más, si fue así, en la Santa Ana el médico determinó que no presentaba evidencia de golpe, ni era notorio algún daño o golpe recibido, por eso fue que mis superiores me trataban mal, por considerar que yo los estaba engañando, que yo me quería era ir del Batallón»</w:t>
            </w:r>
            <w:r w:rsidR="00770236" w:rsidRPr="00341ED2">
              <w:rPr>
                <w:rStyle w:val="Refdenotaalpie"/>
                <w:sz w:val="24"/>
                <w:szCs w:val="24"/>
                <w:lang w:val="es-CO"/>
              </w:rPr>
              <w:footnoteReference w:id="62"/>
            </w:r>
            <w:r w:rsidR="00770236" w:rsidRPr="00341ED2">
              <w:rPr>
                <w:sz w:val="24"/>
                <w:szCs w:val="24"/>
                <w:lang w:val="es-CO"/>
              </w:rPr>
              <w:t>.</w:t>
            </w:r>
            <w:r w:rsidR="00C24C01" w:rsidRPr="00341ED2">
              <w:rPr>
                <w:sz w:val="24"/>
                <w:szCs w:val="24"/>
                <w:lang w:val="es-CO"/>
              </w:rPr>
              <w:t>.</w:t>
            </w:r>
          </w:p>
          <w:p w14:paraId="3F37B6C0" w14:textId="77777777" w:rsidR="00C24C01" w:rsidRPr="00341ED2" w:rsidRDefault="00C24C01"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p>
          <w:p w14:paraId="2B8D7BD0" w14:textId="3886DEC8" w:rsidR="005D47FC" w:rsidRPr="00341ED2" w:rsidRDefault="00C24C01"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r w:rsidRPr="00341ED2">
              <w:rPr>
                <w:sz w:val="24"/>
                <w:szCs w:val="24"/>
                <w:lang w:val="es-CO"/>
              </w:rPr>
              <w:t>Por último, sobre la atención médica, precisó: «Inicialmente yo no sabía nada de la enfermedad que me apareció, primero me decía</w:t>
            </w:r>
            <w:r w:rsidR="003857B6" w:rsidRPr="00341ED2">
              <w:rPr>
                <w:sz w:val="24"/>
                <w:szCs w:val="24"/>
                <w:lang w:val="es-CO"/>
              </w:rPr>
              <w:t>n</w:t>
            </w:r>
            <w:r w:rsidRPr="00341ED2">
              <w:rPr>
                <w:sz w:val="24"/>
                <w:szCs w:val="24"/>
                <w:lang w:val="es-CO"/>
              </w:rPr>
              <w:t xml:space="preserve"> que tenía una cosa, y me recetaban medicina para eso, aparentemente me ayudaba, pero no del todo, pues seguía enfermo, porque después volvía y me agravaba, después me decía que tenía otra cosa, diagnósticos diferentes»</w:t>
            </w:r>
          </w:p>
        </w:tc>
      </w:tr>
      <w:tr w:rsidR="00E65ED3" w:rsidRPr="00341ED2" w14:paraId="750292CA" w14:textId="77777777" w:rsidTr="007B648D">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6D5AE97C" w14:textId="4F9436B4" w:rsidR="005548F7" w:rsidRPr="00341ED2" w:rsidRDefault="005548F7" w:rsidP="000F393F">
            <w:pPr>
              <w:jc w:val="center"/>
              <w:rPr>
                <w:sz w:val="24"/>
                <w:szCs w:val="24"/>
                <w:lang w:val="es-CO"/>
              </w:rPr>
            </w:pPr>
            <w:r w:rsidRPr="00341ED2">
              <w:rPr>
                <w:iCs/>
                <w:sz w:val="24"/>
                <w:szCs w:val="24"/>
                <w:lang w:val="es-CO"/>
              </w:rPr>
              <w:t xml:space="preserve">Clínica Stella Maris de </w:t>
            </w:r>
            <w:r w:rsidRPr="00341ED2">
              <w:rPr>
                <w:sz w:val="24"/>
                <w:szCs w:val="24"/>
                <w:lang w:eastAsia="es-ES"/>
              </w:rPr>
              <w:t>Salud Mental</w:t>
            </w:r>
          </w:p>
        </w:tc>
        <w:tc>
          <w:tcPr>
            <w:tcW w:w="36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53BC2C76" w14:textId="5A5BC800" w:rsidR="005548F7" w:rsidRPr="00341ED2" w:rsidRDefault="005548F7" w:rsidP="000F393F">
            <w:pPr>
              <w:cnfStyle w:val="000000000000" w:firstRow="0" w:lastRow="0" w:firstColumn="0" w:lastColumn="0" w:oddVBand="0" w:evenVBand="0" w:oddHBand="0" w:evenHBand="0" w:firstRowFirstColumn="0" w:firstRowLastColumn="0" w:lastRowFirstColumn="0" w:lastRowLastColumn="0"/>
              <w:rPr>
                <w:sz w:val="24"/>
                <w:szCs w:val="24"/>
                <w:lang w:val="es-CO"/>
              </w:rPr>
            </w:pPr>
            <w:r w:rsidRPr="00341ED2">
              <w:rPr>
                <w:sz w:val="24"/>
                <w:szCs w:val="24"/>
                <w:lang w:val="es-CO"/>
              </w:rPr>
              <w:t xml:space="preserve">Envió la historia clínica de </w:t>
            </w:r>
            <w:r w:rsidR="002174CD" w:rsidRPr="002174CD">
              <w:rPr>
                <w:i/>
                <w:iCs/>
                <w:sz w:val="24"/>
                <w:szCs w:val="24"/>
                <w:lang w:val="es-CO"/>
              </w:rPr>
              <w:t>Oscar</w:t>
            </w:r>
            <w:r w:rsidRPr="00341ED2">
              <w:rPr>
                <w:sz w:val="24"/>
                <w:szCs w:val="24"/>
                <w:lang w:val="es-CO"/>
              </w:rPr>
              <w:t>, la cual fue citada en los hechos del presente fallo</w:t>
            </w:r>
            <w:r w:rsidR="00A70807" w:rsidRPr="00341ED2">
              <w:rPr>
                <w:sz w:val="24"/>
                <w:szCs w:val="24"/>
                <w:lang w:val="es-CO"/>
              </w:rPr>
              <w:t xml:space="preserve"> (ver párrafos 1.4. a 1.7. </w:t>
            </w:r>
            <w:r w:rsidR="00A70807" w:rsidRPr="00341ED2">
              <w:rPr>
                <w:i/>
                <w:iCs/>
                <w:sz w:val="24"/>
                <w:szCs w:val="24"/>
                <w:lang w:val="es-CO"/>
              </w:rPr>
              <w:t>supra</w:t>
            </w:r>
            <w:r w:rsidR="00A70807" w:rsidRPr="00341ED2">
              <w:rPr>
                <w:sz w:val="24"/>
                <w:szCs w:val="24"/>
                <w:lang w:val="es-CO"/>
              </w:rPr>
              <w:t>)</w:t>
            </w:r>
            <w:r w:rsidRPr="00341ED2">
              <w:rPr>
                <w:sz w:val="24"/>
                <w:szCs w:val="24"/>
                <w:lang w:val="es-CO"/>
              </w:rPr>
              <w:t>.</w:t>
            </w:r>
          </w:p>
        </w:tc>
      </w:tr>
      <w:tr w:rsidR="00E65ED3" w:rsidRPr="00341ED2" w14:paraId="6026E112" w14:textId="77777777" w:rsidTr="007B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C64D1C" w14:textId="081FEDE3" w:rsidR="00B746B2" w:rsidRPr="00DD3C9A" w:rsidRDefault="005548F7" w:rsidP="000F393F">
            <w:pPr>
              <w:jc w:val="center"/>
              <w:rPr>
                <w:sz w:val="26"/>
                <w:szCs w:val="26"/>
                <w:lang w:val="es-CO"/>
              </w:rPr>
            </w:pPr>
            <w:r w:rsidRPr="00DD3C9A">
              <w:rPr>
                <w:iCs/>
                <w:sz w:val="26"/>
                <w:szCs w:val="26"/>
                <w:lang w:val="es-CO"/>
              </w:rPr>
              <w:t xml:space="preserve">Hospital Mental </w:t>
            </w:r>
            <w:proofErr w:type="spellStart"/>
            <w:r w:rsidRPr="00DD3C9A">
              <w:rPr>
                <w:iCs/>
                <w:sz w:val="26"/>
                <w:szCs w:val="26"/>
                <w:lang w:val="es-CO"/>
              </w:rPr>
              <w:t>Rudesindo</w:t>
            </w:r>
            <w:proofErr w:type="spellEnd"/>
            <w:r w:rsidRPr="00DD3C9A">
              <w:rPr>
                <w:iCs/>
                <w:sz w:val="26"/>
                <w:szCs w:val="26"/>
                <w:lang w:val="es-CO"/>
              </w:rPr>
              <w:t xml:space="preserve"> Soto</w:t>
            </w:r>
          </w:p>
        </w:tc>
        <w:tc>
          <w:tcPr>
            <w:tcW w:w="36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892396" w14:textId="208A7906" w:rsidR="00B746B2" w:rsidRPr="00341ED2" w:rsidRDefault="005548F7" w:rsidP="000F393F">
            <w:pPr>
              <w:cnfStyle w:val="000000100000" w:firstRow="0" w:lastRow="0" w:firstColumn="0" w:lastColumn="0" w:oddVBand="0" w:evenVBand="0" w:oddHBand="1" w:evenHBand="0" w:firstRowFirstColumn="0" w:firstRowLastColumn="0" w:lastRowFirstColumn="0" w:lastRowLastColumn="0"/>
              <w:rPr>
                <w:sz w:val="24"/>
                <w:szCs w:val="24"/>
                <w:lang w:val="es-CO"/>
              </w:rPr>
            </w:pPr>
            <w:r w:rsidRPr="00341ED2">
              <w:rPr>
                <w:sz w:val="24"/>
                <w:szCs w:val="24"/>
                <w:lang w:val="es-CO"/>
              </w:rPr>
              <w:t>No se pronunció.</w:t>
            </w:r>
          </w:p>
        </w:tc>
      </w:tr>
      <w:tr w:rsidR="00E65ED3" w:rsidRPr="00341ED2" w14:paraId="2695C53C" w14:textId="77777777" w:rsidTr="007B648D">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4683A7FC" w14:textId="276846C3" w:rsidR="00FC4033" w:rsidRPr="00DD3C9A" w:rsidRDefault="00FC4033" w:rsidP="000F393F">
            <w:pPr>
              <w:jc w:val="center"/>
              <w:rPr>
                <w:iCs/>
                <w:sz w:val="26"/>
                <w:szCs w:val="26"/>
                <w:lang w:val="es-CO"/>
              </w:rPr>
            </w:pPr>
            <w:r w:rsidRPr="00DD3C9A">
              <w:rPr>
                <w:sz w:val="26"/>
                <w:szCs w:val="26"/>
                <w:lang w:val="es-CO"/>
              </w:rPr>
              <w:t>Comisión Seccional de Disciplina Judicial de Norte de Santander</w:t>
            </w:r>
          </w:p>
        </w:tc>
        <w:tc>
          <w:tcPr>
            <w:tcW w:w="36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43D03BDF" w14:textId="24ADB2C8" w:rsidR="00FC4033" w:rsidRPr="00341ED2" w:rsidRDefault="003857B6" w:rsidP="000F393F">
            <w:pPr>
              <w:cnfStyle w:val="000000000000" w:firstRow="0" w:lastRow="0" w:firstColumn="0" w:lastColumn="0" w:oddVBand="0" w:evenVBand="0" w:oddHBand="0" w:evenHBand="0" w:firstRowFirstColumn="0" w:firstRowLastColumn="0" w:lastRowFirstColumn="0" w:lastRowLastColumn="0"/>
              <w:rPr>
                <w:sz w:val="24"/>
                <w:szCs w:val="24"/>
                <w:lang w:val="es-CO"/>
              </w:rPr>
            </w:pPr>
            <w:r w:rsidRPr="00341ED2">
              <w:rPr>
                <w:sz w:val="24"/>
                <w:szCs w:val="24"/>
                <w:lang w:val="es-CO"/>
              </w:rPr>
              <w:t>Envió copia del</w:t>
            </w:r>
            <w:r w:rsidRPr="00341ED2">
              <w:t xml:space="preserve"> </w:t>
            </w:r>
            <w:r w:rsidRPr="00341ED2">
              <w:rPr>
                <w:sz w:val="24"/>
                <w:szCs w:val="24"/>
                <w:lang w:val="es-CO"/>
              </w:rPr>
              <w:t>proceso de tutela con radicado No. 54-001-11-02-000-2014-00521-00</w:t>
            </w:r>
            <w:r w:rsidR="00A70807" w:rsidRPr="00341ED2">
              <w:rPr>
                <w:sz w:val="24"/>
                <w:szCs w:val="24"/>
                <w:lang w:val="es-CO"/>
              </w:rPr>
              <w:t xml:space="preserve">, el cual fue citado en los hechos del presente fallo (ver párrafos 1.8. a 1.10. </w:t>
            </w:r>
            <w:r w:rsidR="00A70807" w:rsidRPr="00341ED2">
              <w:rPr>
                <w:i/>
                <w:iCs/>
                <w:sz w:val="24"/>
                <w:szCs w:val="24"/>
                <w:lang w:val="es-CO"/>
              </w:rPr>
              <w:t>supra</w:t>
            </w:r>
            <w:r w:rsidR="00A70807" w:rsidRPr="00341ED2">
              <w:rPr>
                <w:sz w:val="24"/>
                <w:szCs w:val="24"/>
                <w:lang w:val="es-CO"/>
              </w:rPr>
              <w:t>).</w:t>
            </w:r>
          </w:p>
        </w:tc>
      </w:tr>
    </w:tbl>
    <w:p w14:paraId="39692317" w14:textId="77777777" w:rsidR="00217159" w:rsidRPr="00341ED2" w:rsidRDefault="00217159" w:rsidP="000F393F">
      <w:pPr>
        <w:pStyle w:val="Prrafodelista"/>
        <w:ind w:left="0"/>
        <w:rPr>
          <w:lang w:val="es-CO"/>
        </w:rPr>
      </w:pPr>
    </w:p>
    <w:p w14:paraId="068FE8E4" w14:textId="54A2C573" w:rsidR="00906966" w:rsidRPr="00341ED2" w:rsidRDefault="00EA53F2" w:rsidP="000F393F">
      <w:pPr>
        <w:pStyle w:val="Sinespaciado"/>
        <w:outlineLvl w:val="0"/>
        <w:rPr>
          <w:lang w:val="es-CO"/>
        </w:rPr>
      </w:pPr>
      <w:r w:rsidRPr="00341ED2">
        <w:rPr>
          <w:lang w:val="es-CO"/>
        </w:rPr>
        <w:t>CONSIDERACIONES</w:t>
      </w:r>
    </w:p>
    <w:p w14:paraId="074E02FD" w14:textId="77777777" w:rsidR="00D83227" w:rsidRPr="00341ED2" w:rsidRDefault="00D83227" w:rsidP="000F393F">
      <w:pPr>
        <w:rPr>
          <w:lang w:val="es-CO"/>
        </w:rPr>
      </w:pPr>
    </w:p>
    <w:p w14:paraId="7283ABD2" w14:textId="5ACB919E" w:rsidR="00906966" w:rsidRPr="00341ED2" w:rsidRDefault="00003A0A" w:rsidP="000F393F">
      <w:pPr>
        <w:pStyle w:val="Prrafodelista"/>
        <w:widowControl w:val="0"/>
        <w:numPr>
          <w:ilvl w:val="0"/>
          <w:numId w:val="17"/>
        </w:numPr>
        <w:autoSpaceDE w:val="0"/>
        <w:autoSpaceDN w:val="0"/>
        <w:adjustRightInd w:val="0"/>
        <w:spacing w:after="160"/>
        <w:rPr>
          <w:rFonts w:eastAsiaTheme="minorHAnsi"/>
          <w:b/>
          <w:szCs w:val="28"/>
        </w:rPr>
      </w:pPr>
      <w:r w:rsidRPr="00341ED2">
        <w:rPr>
          <w:b/>
          <w:bCs/>
          <w:bdr w:val="none" w:sz="0" w:space="0" w:color="auto" w:frame="1"/>
        </w:rPr>
        <w:t>Competencia</w:t>
      </w:r>
    </w:p>
    <w:p w14:paraId="2E9EC854" w14:textId="77777777" w:rsidR="00906966" w:rsidRPr="00341ED2" w:rsidRDefault="00906966" w:rsidP="000F393F">
      <w:pPr>
        <w:pStyle w:val="Prrafodelista"/>
        <w:shd w:val="clear" w:color="auto" w:fill="FFFFFF"/>
        <w:ind w:left="0" w:right="51"/>
        <w:textAlignment w:val="baseline"/>
        <w:rPr>
          <w:b/>
          <w:bCs/>
          <w:bdr w:val="none" w:sz="0" w:space="0" w:color="auto" w:frame="1"/>
        </w:rPr>
      </w:pPr>
    </w:p>
    <w:p w14:paraId="35DA872C" w14:textId="259A6198" w:rsidR="00906966" w:rsidRPr="00341ED2" w:rsidRDefault="00906966" w:rsidP="000F393F">
      <w:pPr>
        <w:pStyle w:val="Prrafodelista"/>
        <w:shd w:val="clear" w:color="auto" w:fill="FFFFFF"/>
        <w:ind w:left="0" w:right="51"/>
        <w:textAlignment w:val="baseline"/>
        <w:rPr>
          <w:szCs w:val="28"/>
          <w:lang w:val="es-CO" w:eastAsia="es-ES"/>
        </w:rPr>
      </w:pPr>
      <w:r w:rsidRPr="00341ED2">
        <w:rPr>
          <w:szCs w:val="28"/>
          <w:lang w:val="es-CO" w:eastAsia="es-ES"/>
        </w:rPr>
        <w:t>Con fundamento en los artículos 86 y 241, numeral 9º de la Constitución y en el Decreto 2591 de 1991, la Sala Octava de Revisión de Tutelas de la Corte Constitucional es competente para revisar el fallo de tutela adoptado en el proceso de la referencia.</w:t>
      </w:r>
    </w:p>
    <w:p w14:paraId="4B5DE4AE" w14:textId="77777777" w:rsidR="00906966" w:rsidRPr="00341ED2" w:rsidRDefault="00906966" w:rsidP="000F393F">
      <w:pPr>
        <w:pStyle w:val="Prrafodelista"/>
        <w:shd w:val="clear" w:color="auto" w:fill="FFFFFF"/>
        <w:ind w:left="0" w:right="51"/>
        <w:textAlignment w:val="baseline"/>
        <w:rPr>
          <w:szCs w:val="28"/>
          <w:lang w:val="es-CO" w:eastAsia="es-ES"/>
        </w:rPr>
      </w:pPr>
    </w:p>
    <w:p w14:paraId="12055C04" w14:textId="55BE4834" w:rsidR="009427DB" w:rsidRPr="00341ED2" w:rsidRDefault="009427DB" w:rsidP="000F393F">
      <w:pPr>
        <w:pStyle w:val="Prrafodelista"/>
        <w:widowControl w:val="0"/>
        <w:numPr>
          <w:ilvl w:val="0"/>
          <w:numId w:val="17"/>
        </w:numPr>
        <w:autoSpaceDE w:val="0"/>
        <w:autoSpaceDN w:val="0"/>
        <w:adjustRightInd w:val="0"/>
        <w:spacing w:after="160"/>
        <w:rPr>
          <w:rFonts w:eastAsiaTheme="minorHAnsi"/>
          <w:b/>
          <w:bCs/>
          <w:szCs w:val="28"/>
        </w:rPr>
      </w:pPr>
      <w:r w:rsidRPr="00341ED2">
        <w:rPr>
          <w:rFonts w:eastAsiaTheme="minorHAnsi"/>
          <w:b/>
          <w:bCs/>
          <w:szCs w:val="28"/>
        </w:rPr>
        <w:t>Cuestión previa</w:t>
      </w:r>
    </w:p>
    <w:p w14:paraId="3F8D7FE7" w14:textId="2CF130B0" w:rsidR="00045587" w:rsidRPr="00341ED2" w:rsidRDefault="00045587" w:rsidP="00045587">
      <w:pPr>
        <w:pStyle w:val="Prrafodelista"/>
        <w:widowControl w:val="0"/>
        <w:autoSpaceDE w:val="0"/>
        <w:autoSpaceDN w:val="0"/>
        <w:adjustRightInd w:val="0"/>
        <w:spacing w:after="160"/>
        <w:ind w:left="360"/>
        <w:rPr>
          <w:rFonts w:eastAsiaTheme="minorHAnsi"/>
          <w:b/>
          <w:bCs/>
          <w:szCs w:val="28"/>
        </w:rPr>
      </w:pPr>
    </w:p>
    <w:p w14:paraId="6300D756" w14:textId="3F04614B" w:rsidR="00C76360" w:rsidRPr="00341ED2" w:rsidRDefault="00045587" w:rsidP="00C76360">
      <w:pPr>
        <w:pStyle w:val="Prrafodelista"/>
        <w:widowControl w:val="0"/>
        <w:numPr>
          <w:ilvl w:val="1"/>
          <w:numId w:val="17"/>
        </w:numPr>
        <w:autoSpaceDE w:val="0"/>
        <w:autoSpaceDN w:val="0"/>
        <w:adjustRightInd w:val="0"/>
        <w:spacing w:after="160"/>
        <w:rPr>
          <w:rFonts w:eastAsiaTheme="minorHAnsi"/>
          <w:b/>
          <w:bCs/>
          <w:szCs w:val="28"/>
        </w:rPr>
      </w:pPr>
      <w:r w:rsidRPr="00341ED2">
        <w:rPr>
          <w:rFonts w:eastAsiaTheme="minorHAnsi"/>
          <w:szCs w:val="28"/>
        </w:rPr>
        <w:t xml:space="preserve">Antes de plantear el problema jurídico, </w:t>
      </w:r>
      <w:r w:rsidR="00E76D2F" w:rsidRPr="00341ED2">
        <w:rPr>
          <w:rFonts w:eastAsiaTheme="minorHAnsi"/>
          <w:szCs w:val="28"/>
        </w:rPr>
        <w:t xml:space="preserve">es importante </w:t>
      </w:r>
      <w:r w:rsidR="00C76360" w:rsidRPr="00341ED2">
        <w:rPr>
          <w:rFonts w:eastAsiaTheme="minorHAnsi"/>
          <w:szCs w:val="28"/>
        </w:rPr>
        <w:t xml:space="preserve">poner </w:t>
      </w:r>
      <w:r w:rsidR="006A080A" w:rsidRPr="00341ED2">
        <w:rPr>
          <w:rFonts w:eastAsiaTheme="minorHAnsi"/>
          <w:szCs w:val="28"/>
        </w:rPr>
        <w:t>de presente que</w:t>
      </w:r>
      <w:r w:rsidRPr="00341ED2">
        <w:rPr>
          <w:rFonts w:eastAsiaTheme="minorHAnsi"/>
          <w:szCs w:val="28"/>
        </w:rPr>
        <w:t xml:space="preserve"> la Sección Quinta del Consejo de Estado</w:t>
      </w:r>
      <w:r w:rsidR="006A080A" w:rsidRPr="00341ED2">
        <w:rPr>
          <w:rFonts w:eastAsiaTheme="minorHAnsi"/>
          <w:szCs w:val="28"/>
        </w:rPr>
        <w:t>, actuando como juez de tutela de segunda instancia</w:t>
      </w:r>
      <w:r w:rsidR="007D139B" w:rsidRPr="00341ED2">
        <w:rPr>
          <w:rFonts w:eastAsiaTheme="minorHAnsi"/>
          <w:szCs w:val="28"/>
        </w:rPr>
        <w:t>, confirm</w:t>
      </w:r>
      <w:r w:rsidR="00C76360" w:rsidRPr="00341ED2">
        <w:rPr>
          <w:rFonts w:eastAsiaTheme="minorHAnsi"/>
          <w:szCs w:val="28"/>
        </w:rPr>
        <w:t>ó</w:t>
      </w:r>
      <w:r w:rsidR="007D139B" w:rsidRPr="00341ED2">
        <w:rPr>
          <w:rFonts w:eastAsiaTheme="minorHAnsi"/>
          <w:szCs w:val="28"/>
        </w:rPr>
        <w:t xml:space="preserve"> la sentencia de primer grado sin estudiar de fondo el caso porque la señora </w:t>
      </w:r>
      <w:r w:rsidR="00B8660C">
        <w:rPr>
          <w:i/>
          <w:iCs/>
          <w:spacing w:val="-2"/>
          <w:szCs w:val="28"/>
        </w:rPr>
        <w:t>Amalia</w:t>
      </w:r>
      <w:r w:rsidR="007D139B" w:rsidRPr="00341ED2">
        <w:rPr>
          <w:lang w:val="es-CO"/>
        </w:rPr>
        <w:t xml:space="preserve"> </w:t>
      </w:r>
      <w:r w:rsidR="00C76360" w:rsidRPr="00341ED2">
        <w:rPr>
          <w:lang w:val="es-CO"/>
        </w:rPr>
        <w:t>«no cumplió con la carga argumentativa que le correspondía para sustentar el recurso de impugnación»</w:t>
      </w:r>
      <w:r w:rsidR="00C76360" w:rsidRPr="00341ED2">
        <w:rPr>
          <w:rStyle w:val="Refdenotaalpie"/>
          <w:lang w:val="es-CO"/>
        </w:rPr>
        <w:footnoteReference w:id="63"/>
      </w:r>
      <w:r w:rsidR="00C76360" w:rsidRPr="00341ED2">
        <w:rPr>
          <w:lang w:val="es-CO"/>
        </w:rPr>
        <w:t>.</w:t>
      </w:r>
      <w:r w:rsidR="00C76360" w:rsidRPr="00341ED2">
        <w:rPr>
          <w:rFonts w:eastAsiaTheme="minorHAnsi"/>
          <w:b/>
          <w:bCs/>
          <w:szCs w:val="28"/>
        </w:rPr>
        <w:t xml:space="preserve"> </w:t>
      </w:r>
      <w:r w:rsidR="00C76360" w:rsidRPr="00341ED2">
        <w:t>Según esta autoridad judicial, sustentar la impugnación es particularmente exigible cuando se trata de acciones de tutela contra providencia judicial.</w:t>
      </w:r>
    </w:p>
    <w:p w14:paraId="416FE280" w14:textId="77777777" w:rsidR="00C76360" w:rsidRPr="00341ED2" w:rsidRDefault="00C76360" w:rsidP="00C76360">
      <w:pPr>
        <w:pStyle w:val="Prrafodelista"/>
        <w:widowControl w:val="0"/>
        <w:autoSpaceDE w:val="0"/>
        <w:autoSpaceDN w:val="0"/>
        <w:adjustRightInd w:val="0"/>
        <w:spacing w:after="160"/>
        <w:ind w:left="0"/>
        <w:rPr>
          <w:rFonts w:eastAsiaTheme="minorHAnsi"/>
          <w:b/>
          <w:bCs/>
          <w:szCs w:val="28"/>
        </w:rPr>
      </w:pPr>
    </w:p>
    <w:p w14:paraId="4BBF2D68" w14:textId="4C4FCA03" w:rsidR="00D31C70" w:rsidRPr="00341ED2" w:rsidRDefault="00E76D2F" w:rsidP="00D31C70">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szCs w:val="28"/>
        </w:rPr>
        <w:t>Para la Sala, es</w:t>
      </w:r>
      <w:r w:rsidRPr="00341ED2">
        <w:t>ta</w:t>
      </w:r>
      <w:r w:rsidR="0094008A" w:rsidRPr="00341ED2">
        <w:t xml:space="preserve"> visión contradice los principios de informalidad de la acción de tutela y prevalencia del derecho sustancial. </w:t>
      </w:r>
      <w:r w:rsidRPr="00341ED2">
        <w:t>De acuerdo con la jurisprudencia constitucional</w:t>
      </w:r>
      <w:r w:rsidRPr="00341ED2">
        <w:rPr>
          <w:rFonts w:eastAsiaTheme="minorHAnsi"/>
          <w:szCs w:val="28"/>
        </w:rPr>
        <w:t xml:space="preserve">, </w:t>
      </w:r>
      <w:r w:rsidR="00770236" w:rsidRPr="00341ED2">
        <w:rPr>
          <w:rFonts w:eastAsiaTheme="minorHAnsi"/>
          <w:szCs w:val="28"/>
        </w:rPr>
        <w:t xml:space="preserve">para solicitar el amparo de derechos fundamentales </w:t>
      </w:r>
      <w:r w:rsidR="00770236" w:rsidRPr="00341ED2">
        <w:rPr>
          <w:color w:val="000000"/>
          <w:szCs w:val="28"/>
          <w:shd w:val="clear" w:color="auto" w:fill="FFFFFF"/>
        </w:rPr>
        <w:t>no es admisible</w:t>
      </w:r>
      <w:r w:rsidR="005653B5" w:rsidRPr="00341ED2">
        <w:rPr>
          <w:color w:val="000000"/>
          <w:szCs w:val="28"/>
          <w:shd w:val="clear" w:color="auto" w:fill="FFFFFF"/>
        </w:rPr>
        <w:t xml:space="preserve"> </w:t>
      </w:r>
      <w:r w:rsidR="00D457A7" w:rsidRPr="00341ED2">
        <w:rPr>
          <w:color w:val="000000"/>
          <w:szCs w:val="28"/>
          <w:shd w:val="clear" w:color="auto" w:fill="FFFFFF"/>
        </w:rPr>
        <w:t xml:space="preserve">exigir </w:t>
      </w:r>
      <w:r w:rsidRPr="00341ED2">
        <w:rPr>
          <w:color w:val="000000"/>
          <w:szCs w:val="28"/>
          <w:shd w:val="clear" w:color="auto" w:fill="FFFFFF"/>
        </w:rPr>
        <w:t>la</w:t>
      </w:r>
      <w:r w:rsidR="00D457A7" w:rsidRPr="00341ED2">
        <w:rPr>
          <w:color w:val="000000"/>
          <w:szCs w:val="28"/>
          <w:shd w:val="clear" w:color="auto" w:fill="FFFFFF"/>
        </w:rPr>
        <w:t xml:space="preserve"> sustentación del</w:t>
      </w:r>
      <w:r w:rsidRPr="00341ED2">
        <w:rPr>
          <w:color w:val="000000"/>
          <w:szCs w:val="28"/>
          <w:shd w:val="clear" w:color="auto" w:fill="FFFFFF"/>
        </w:rPr>
        <w:t xml:space="preserve"> recurso </w:t>
      </w:r>
      <w:r w:rsidR="00D457A7" w:rsidRPr="00341ED2">
        <w:rPr>
          <w:color w:val="000000"/>
          <w:szCs w:val="28"/>
          <w:shd w:val="clear" w:color="auto" w:fill="FFFFFF"/>
        </w:rPr>
        <w:t>de impugnación.</w:t>
      </w:r>
      <w:r w:rsidR="00770236" w:rsidRPr="00341ED2">
        <w:rPr>
          <w:color w:val="000000"/>
          <w:szCs w:val="28"/>
          <w:shd w:val="clear" w:color="auto" w:fill="FFFFFF"/>
        </w:rPr>
        <w:t xml:space="preserve"> Esto constituye</w:t>
      </w:r>
      <w:r w:rsidR="0094008A" w:rsidRPr="00341ED2">
        <w:t xml:space="preserve"> una exigencia excesivamente rigurosa que es contraria </w:t>
      </w:r>
      <w:r w:rsidR="00D457A7" w:rsidRPr="00341ED2">
        <w:t>a los principios de la acción de tutela</w:t>
      </w:r>
      <w:r w:rsidR="0094008A" w:rsidRPr="00341ED2">
        <w:t xml:space="preserve">. Sobre el particular, la </w:t>
      </w:r>
      <w:r w:rsidR="00D31C70" w:rsidRPr="00341ED2">
        <w:t>Sentencia T-501 de 1992 señaló:</w:t>
      </w:r>
    </w:p>
    <w:p w14:paraId="713FD031" w14:textId="77777777" w:rsidR="00770236" w:rsidRPr="00341ED2" w:rsidRDefault="00770236" w:rsidP="00770236">
      <w:pPr>
        <w:pStyle w:val="Prrafodelista"/>
        <w:widowControl w:val="0"/>
        <w:autoSpaceDE w:val="0"/>
        <w:autoSpaceDN w:val="0"/>
        <w:adjustRightInd w:val="0"/>
        <w:spacing w:after="160"/>
        <w:ind w:left="0"/>
        <w:rPr>
          <w:rFonts w:eastAsiaTheme="minorHAnsi"/>
          <w:szCs w:val="28"/>
        </w:rPr>
      </w:pPr>
    </w:p>
    <w:p w14:paraId="53320BCA" w14:textId="657B510D" w:rsidR="00BF7FC3" w:rsidRPr="00341ED2" w:rsidRDefault="00D31C70" w:rsidP="00C60C9C">
      <w:pPr>
        <w:pStyle w:val="Prrafodelista"/>
        <w:widowControl w:val="0"/>
        <w:autoSpaceDE w:val="0"/>
        <w:autoSpaceDN w:val="0"/>
        <w:adjustRightInd w:val="0"/>
        <w:spacing w:after="160"/>
        <w:ind w:left="567" w:right="567"/>
        <w:rPr>
          <w:sz w:val="26"/>
          <w:szCs w:val="26"/>
        </w:rPr>
      </w:pPr>
      <w:proofErr w:type="gramStart"/>
      <w:r w:rsidRPr="00341ED2">
        <w:rPr>
          <w:sz w:val="26"/>
          <w:szCs w:val="26"/>
        </w:rPr>
        <w:t>«[</w:t>
      </w:r>
      <w:proofErr w:type="gramEnd"/>
      <w:r w:rsidRPr="00341ED2">
        <w:rPr>
          <w:sz w:val="26"/>
          <w:szCs w:val="26"/>
        </w:rPr>
        <w:t>N]</w:t>
      </w:r>
      <w:proofErr w:type="spellStart"/>
      <w:r w:rsidRPr="00341ED2">
        <w:rPr>
          <w:sz w:val="26"/>
          <w:szCs w:val="26"/>
        </w:rPr>
        <w:t>inguna</w:t>
      </w:r>
      <w:proofErr w:type="spellEnd"/>
      <w:r w:rsidRPr="00341ED2">
        <w:rPr>
          <w:sz w:val="26"/>
          <w:szCs w:val="26"/>
        </w:rPr>
        <w:t xml:space="preserve"> norma constitucional ni legal exige que quien impugne sustente la impugnación. La expresión ‘debidamente’, utilizada por el artículo 32 que se acaba de citar, debe entenderse referida al término para impugnar, único requisito de índole formal previsto en el Decreto 2591 de 1991, al lado del relativo a la competencia del juez, establecido por la propia Constitución. Este carácter simple de la impugnación es concordante con la naturaleza preferente y sumaria que la Constitución atribuye a la acción de tutela y con la informalidad que</w:t>
      </w:r>
      <w:r w:rsidR="00BF7FC3" w:rsidRPr="00341ED2">
        <w:rPr>
          <w:sz w:val="26"/>
          <w:szCs w:val="26"/>
        </w:rPr>
        <w:t xml:space="preserve"> </w:t>
      </w:r>
      <w:r w:rsidRPr="00341ED2">
        <w:rPr>
          <w:sz w:val="26"/>
          <w:szCs w:val="26"/>
        </w:rPr>
        <w:t>subraya el artículo 14 del Decreto 2591 […]»</w:t>
      </w:r>
    </w:p>
    <w:p w14:paraId="7DF7FB17" w14:textId="77777777" w:rsidR="00BF7FC3" w:rsidRPr="00341ED2" w:rsidRDefault="00BF7FC3" w:rsidP="00BF7FC3">
      <w:pPr>
        <w:pStyle w:val="Prrafodelista"/>
        <w:widowControl w:val="0"/>
        <w:autoSpaceDE w:val="0"/>
        <w:autoSpaceDN w:val="0"/>
        <w:adjustRightInd w:val="0"/>
        <w:spacing w:after="160"/>
        <w:ind w:left="0"/>
        <w:rPr>
          <w:rFonts w:eastAsiaTheme="minorHAnsi"/>
          <w:szCs w:val="28"/>
        </w:rPr>
      </w:pPr>
    </w:p>
    <w:p w14:paraId="4D0E3FF0" w14:textId="5E6E9205" w:rsidR="00C60C9C" w:rsidRPr="00341ED2" w:rsidRDefault="00C60C9C" w:rsidP="00C60C9C">
      <w:pPr>
        <w:pStyle w:val="Prrafodelista"/>
        <w:widowControl w:val="0"/>
        <w:numPr>
          <w:ilvl w:val="1"/>
          <w:numId w:val="17"/>
        </w:numPr>
        <w:autoSpaceDE w:val="0"/>
        <w:autoSpaceDN w:val="0"/>
        <w:adjustRightInd w:val="0"/>
        <w:spacing w:after="160"/>
      </w:pPr>
      <w:r w:rsidRPr="00341ED2">
        <w:rPr>
          <w:rFonts w:eastAsiaTheme="minorHAnsi"/>
          <w:szCs w:val="28"/>
        </w:rPr>
        <w:t xml:space="preserve">De acuerdo con lo anterior, en caso de que </w:t>
      </w:r>
      <w:r w:rsidR="00770236" w:rsidRPr="00341ED2">
        <w:rPr>
          <w:rFonts w:eastAsiaTheme="minorHAnsi"/>
          <w:szCs w:val="28"/>
        </w:rPr>
        <w:t xml:space="preserve">el </w:t>
      </w:r>
      <w:r w:rsidR="005653B5" w:rsidRPr="00341ED2">
        <w:rPr>
          <w:rFonts w:eastAsiaTheme="minorHAnsi"/>
          <w:szCs w:val="28"/>
        </w:rPr>
        <w:t>recurrente</w:t>
      </w:r>
      <w:r w:rsidRPr="00341ED2">
        <w:rPr>
          <w:rFonts w:eastAsiaTheme="minorHAnsi"/>
          <w:szCs w:val="28"/>
        </w:rPr>
        <w:t xml:space="preserve"> se limite a expresar que impugna o apela la sentencia de primera instancia sin </w:t>
      </w:r>
      <w:r w:rsidR="00770236" w:rsidRPr="00341ED2">
        <w:rPr>
          <w:rFonts w:eastAsiaTheme="minorHAnsi"/>
          <w:szCs w:val="28"/>
        </w:rPr>
        <w:t>manifestar</w:t>
      </w:r>
      <w:r w:rsidRPr="00341ED2">
        <w:rPr>
          <w:rFonts w:eastAsiaTheme="minorHAnsi"/>
          <w:szCs w:val="28"/>
        </w:rPr>
        <w:t xml:space="preserve"> los motivos de su inconformidad, </w:t>
      </w:r>
      <w:r w:rsidR="005653B5" w:rsidRPr="00341ED2">
        <w:rPr>
          <w:rFonts w:eastAsiaTheme="minorHAnsi"/>
          <w:szCs w:val="28"/>
        </w:rPr>
        <w:t>e</w:t>
      </w:r>
      <w:r w:rsidRPr="00341ED2">
        <w:rPr>
          <w:rFonts w:eastAsiaTheme="minorHAnsi"/>
          <w:szCs w:val="28"/>
        </w:rPr>
        <w:t>l</w:t>
      </w:r>
      <w:r w:rsidR="005653B5" w:rsidRPr="00341ED2">
        <w:rPr>
          <w:rFonts w:eastAsiaTheme="minorHAnsi"/>
          <w:szCs w:val="28"/>
        </w:rPr>
        <w:t xml:space="preserve"> juez de tutela</w:t>
      </w:r>
      <w:r w:rsidRPr="00341ED2">
        <w:rPr>
          <w:rFonts w:eastAsiaTheme="minorHAnsi"/>
          <w:szCs w:val="28"/>
        </w:rPr>
        <w:t xml:space="preserve"> debe considerar </w:t>
      </w:r>
      <w:r w:rsidR="005653B5" w:rsidRPr="00341ED2">
        <w:rPr>
          <w:rFonts w:eastAsiaTheme="minorHAnsi"/>
          <w:szCs w:val="28"/>
        </w:rPr>
        <w:t>el escrito</w:t>
      </w:r>
      <w:r w:rsidRPr="00341ED2">
        <w:rPr>
          <w:rFonts w:eastAsiaTheme="minorHAnsi"/>
          <w:szCs w:val="28"/>
        </w:rPr>
        <w:t xml:space="preserve"> inicial y los demás elementos que aparezcan en el expediente para basar en ellos su decisión. </w:t>
      </w:r>
      <w:r w:rsidR="005653B5" w:rsidRPr="00341ED2">
        <w:rPr>
          <w:rFonts w:eastAsiaTheme="minorHAnsi"/>
          <w:szCs w:val="28"/>
        </w:rPr>
        <w:t>En ese sentido</w:t>
      </w:r>
      <w:r w:rsidR="00F57FBA" w:rsidRPr="00341ED2">
        <w:rPr>
          <w:rFonts w:eastAsiaTheme="minorHAnsi"/>
          <w:szCs w:val="28"/>
        </w:rPr>
        <w:t xml:space="preserve">, la </w:t>
      </w:r>
      <w:r w:rsidR="0094008A" w:rsidRPr="00341ED2">
        <w:t xml:space="preserve">Sentencia T-538 de 2017 </w:t>
      </w:r>
      <w:r w:rsidRPr="00341ED2">
        <w:t>precisó que «</w:t>
      </w:r>
      <w:r w:rsidR="00F57FBA" w:rsidRPr="00341ED2">
        <w:t xml:space="preserve">las autoridades judiciales no pueden, bajo ninguna circunstancia, convertir en un requisito </w:t>
      </w:r>
      <w:r w:rsidR="00F57FBA" w:rsidRPr="00341ED2">
        <w:rPr>
          <w:i/>
          <w:iCs/>
        </w:rPr>
        <w:t>sine qua non</w:t>
      </w:r>
      <w:r w:rsidR="00F57FBA" w:rsidRPr="00341ED2">
        <w:t xml:space="preserve"> la obligatoria sustentación de un recurso</w:t>
      </w:r>
      <w:r w:rsidR="00770236" w:rsidRPr="00341ED2">
        <w:t>,</w:t>
      </w:r>
      <w:r w:rsidR="00F57FBA" w:rsidRPr="00341ED2">
        <w:t xml:space="preserve"> que para el caso particular del mecanismo tuitivo de los derechos fundamentales no se exige</w:t>
      </w:r>
      <w:r w:rsidRPr="00341ED2">
        <w:t>»</w:t>
      </w:r>
      <w:r w:rsidR="00F57FBA" w:rsidRPr="00341ED2">
        <w:t>.</w:t>
      </w:r>
    </w:p>
    <w:p w14:paraId="42E9668A" w14:textId="77777777" w:rsidR="00C60C9C" w:rsidRPr="00341ED2" w:rsidRDefault="00C60C9C" w:rsidP="00C60C9C">
      <w:pPr>
        <w:pStyle w:val="Prrafodelista"/>
        <w:widowControl w:val="0"/>
        <w:autoSpaceDE w:val="0"/>
        <w:autoSpaceDN w:val="0"/>
        <w:adjustRightInd w:val="0"/>
        <w:spacing w:after="160"/>
        <w:ind w:left="0"/>
      </w:pPr>
    </w:p>
    <w:p w14:paraId="576C8EAB" w14:textId="1EBF4992" w:rsidR="00C3044D" w:rsidRPr="00341ED2" w:rsidRDefault="00C3044D" w:rsidP="00C60C9C">
      <w:pPr>
        <w:pStyle w:val="Prrafodelista"/>
        <w:widowControl w:val="0"/>
        <w:numPr>
          <w:ilvl w:val="1"/>
          <w:numId w:val="17"/>
        </w:numPr>
        <w:autoSpaceDE w:val="0"/>
        <w:autoSpaceDN w:val="0"/>
        <w:adjustRightInd w:val="0"/>
        <w:spacing w:after="160"/>
      </w:pPr>
      <w:r w:rsidRPr="00341ED2">
        <w:rPr>
          <w:szCs w:val="28"/>
          <w:lang w:val="es-ES_tradnl" w:eastAsia="es-CO"/>
        </w:rPr>
        <w:t xml:space="preserve">De acuerdo con lo expuesto, es claro que </w:t>
      </w:r>
      <w:r w:rsidR="00C60C9C" w:rsidRPr="00341ED2">
        <w:rPr>
          <w:szCs w:val="28"/>
          <w:lang w:val="es-ES_tradnl" w:eastAsia="es-CO"/>
        </w:rPr>
        <w:t>la Sección Quinta del Consejo de Estado desconoció la jurisprudencia de esta Corporación en lo referente al recurso de impugnación cuando de acciones de tutela se trata.</w:t>
      </w:r>
      <w:r w:rsidRPr="00341ED2">
        <w:rPr>
          <w:szCs w:val="28"/>
          <w:lang w:val="es-ES_tradnl" w:eastAsia="es-CO"/>
        </w:rPr>
        <w:t xml:space="preserve"> Por lo anterior, la Sala </w:t>
      </w:r>
      <w:r w:rsidR="00BB5EC7" w:rsidRPr="00341ED2">
        <w:rPr>
          <w:szCs w:val="28"/>
          <w:lang w:val="es-ES_tradnl" w:eastAsia="es-CO"/>
        </w:rPr>
        <w:t xml:space="preserve">desea llamarle la atención </w:t>
      </w:r>
      <w:r w:rsidRPr="00341ED2">
        <w:rPr>
          <w:szCs w:val="28"/>
          <w:lang w:val="es-ES_tradnl" w:eastAsia="es-CO"/>
        </w:rPr>
        <w:t xml:space="preserve">a dicha autoridad judicial para que en el futuro </w:t>
      </w:r>
      <w:r w:rsidRPr="00341ED2">
        <w:t xml:space="preserve">observe debidamente el precedente de la Corte Constitucional sobre la naturaleza de la impugnación en materia de tutela, puesto que exigir una carga argumentativa para impugnar las sentencias de tutela pretermite la segunda instancia y hace nugatorio el derecho </w:t>
      </w:r>
      <w:r w:rsidR="00BB5EC7" w:rsidRPr="00341ED2">
        <w:t>de acceso a la administración de justicia</w:t>
      </w:r>
      <w:r w:rsidRPr="00341ED2">
        <w:t>.</w:t>
      </w:r>
    </w:p>
    <w:p w14:paraId="69DF9A47" w14:textId="77777777" w:rsidR="00C3044D" w:rsidRPr="00341ED2" w:rsidRDefault="00C3044D" w:rsidP="00C60C9C">
      <w:pPr>
        <w:pStyle w:val="Prrafodelista"/>
        <w:widowControl w:val="0"/>
        <w:autoSpaceDE w:val="0"/>
        <w:autoSpaceDN w:val="0"/>
        <w:adjustRightInd w:val="0"/>
        <w:spacing w:after="160"/>
        <w:ind w:left="0"/>
      </w:pPr>
    </w:p>
    <w:p w14:paraId="1A4E3D2C" w14:textId="13968F55" w:rsidR="00E85D69" w:rsidRPr="00341ED2" w:rsidRDefault="00E85D69" w:rsidP="000F393F">
      <w:pPr>
        <w:pStyle w:val="Prrafodelista"/>
        <w:widowControl w:val="0"/>
        <w:numPr>
          <w:ilvl w:val="0"/>
          <w:numId w:val="17"/>
        </w:numPr>
        <w:autoSpaceDE w:val="0"/>
        <w:autoSpaceDN w:val="0"/>
        <w:adjustRightInd w:val="0"/>
        <w:spacing w:after="160"/>
        <w:rPr>
          <w:rFonts w:eastAsiaTheme="minorHAnsi"/>
          <w:b/>
          <w:bCs/>
          <w:szCs w:val="28"/>
        </w:rPr>
      </w:pPr>
      <w:r w:rsidRPr="00341ED2">
        <w:rPr>
          <w:b/>
          <w:bCs/>
          <w:bdr w:val="none" w:sz="0" w:space="0" w:color="auto" w:frame="1"/>
        </w:rPr>
        <w:t>P</w:t>
      </w:r>
      <w:r w:rsidR="00955EA2" w:rsidRPr="00341ED2">
        <w:rPr>
          <w:b/>
          <w:bCs/>
          <w:bdr w:val="none" w:sz="0" w:space="0" w:color="auto" w:frame="1"/>
        </w:rPr>
        <w:t>roblema jurídico y metodología</w:t>
      </w:r>
      <w:r w:rsidRPr="00341ED2">
        <w:rPr>
          <w:b/>
          <w:bCs/>
          <w:bdr w:val="none" w:sz="0" w:space="0" w:color="auto" w:frame="1"/>
        </w:rPr>
        <w:t xml:space="preserve"> de la decisión</w:t>
      </w:r>
    </w:p>
    <w:p w14:paraId="3EBE6F5E" w14:textId="77777777" w:rsidR="00E85D69" w:rsidRPr="00341ED2" w:rsidRDefault="00E85D69" w:rsidP="000F393F">
      <w:pPr>
        <w:pStyle w:val="Prrafodelista"/>
        <w:widowControl w:val="0"/>
        <w:autoSpaceDE w:val="0"/>
        <w:autoSpaceDN w:val="0"/>
        <w:adjustRightInd w:val="0"/>
        <w:spacing w:after="160"/>
        <w:ind w:left="360"/>
        <w:rPr>
          <w:rFonts w:eastAsiaTheme="minorHAnsi"/>
          <w:b/>
          <w:bCs/>
          <w:szCs w:val="28"/>
        </w:rPr>
      </w:pPr>
    </w:p>
    <w:p w14:paraId="3D74CEA4" w14:textId="17D8093E" w:rsidR="007B648D" w:rsidRPr="00341ED2" w:rsidRDefault="00C83F24" w:rsidP="000F393F">
      <w:pPr>
        <w:pStyle w:val="Prrafodelista"/>
        <w:widowControl w:val="0"/>
        <w:numPr>
          <w:ilvl w:val="1"/>
          <w:numId w:val="17"/>
        </w:numPr>
        <w:autoSpaceDE w:val="0"/>
        <w:autoSpaceDN w:val="0"/>
        <w:adjustRightInd w:val="0"/>
        <w:spacing w:after="160"/>
        <w:rPr>
          <w:rFonts w:eastAsiaTheme="minorHAnsi"/>
          <w:b/>
          <w:bCs/>
          <w:szCs w:val="28"/>
        </w:rPr>
      </w:pPr>
      <w:bookmarkStart w:id="10" w:name="_Hlk163204045"/>
      <w:bookmarkStart w:id="11" w:name="_Hlk167442953"/>
      <w:r w:rsidRPr="00341ED2">
        <w:t xml:space="preserve">La Sala Octava de Revisión advierte que el </w:t>
      </w:r>
      <w:r w:rsidR="00EE4543" w:rsidRPr="00341ED2">
        <w:t>presente caso</w:t>
      </w:r>
      <w:r w:rsidRPr="00341ED2">
        <w:t xml:space="preserve"> versa sobre la posible configuración de </w:t>
      </w:r>
      <w:r w:rsidR="007153E6" w:rsidRPr="00341ED2">
        <w:t>defectos específicos en la</w:t>
      </w:r>
      <w:r w:rsidR="00EE4543" w:rsidRPr="00341ED2">
        <w:t xml:space="preserve"> sentencia proferida el 11 de agosto de 2022 por Tribunal Administrativo de Norte de Santander</w:t>
      </w:r>
      <w:r w:rsidR="005C19BB" w:rsidRPr="00341ED2">
        <w:t>. Esta autoridad judicial</w:t>
      </w:r>
      <w:r w:rsidR="00EE4543" w:rsidRPr="00341ED2">
        <w:t xml:space="preserve"> declaró la caducidad del medio de reparación directa promovido por </w:t>
      </w:r>
      <w:r w:rsidR="00B8660C">
        <w:rPr>
          <w:i/>
          <w:iCs/>
          <w:spacing w:val="-2"/>
          <w:szCs w:val="28"/>
        </w:rPr>
        <w:t>Amalia</w:t>
      </w:r>
      <w:r w:rsidR="00EE4543" w:rsidRPr="00341ED2">
        <w:rPr>
          <w:rFonts w:eastAsia="Calibri"/>
          <w:bCs/>
          <w:iCs/>
          <w:szCs w:val="28"/>
          <w:lang w:val="es-CO" w:eastAsia="es-ES"/>
        </w:rPr>
        <w:t xml:space="preserve"> </w:t>
      </w:r>
      <w:r w:rsidR="00D83227" w:rsidRPr="00341ED2">
        <w:rPr>
          <w:rFonts w:eastAsia="Calibri"/>
          <w:bCs/>
          <w:iCs/>
          <w:szCs w:val="28"/>
          <w:lang w:val="es-CO" w:eastAsia="es-ES"/>
        </w:rPr>
        <w:t xml:space="preserve">y otros </w:t>
      </w:r>
      <w:r w:rsidR="00EE4543" w:rsidRPr="00341ED2">
        <w:t xml:space="preserve">en contra de la Nación-Ministerio de Defensa-Ejército Nacional por la lesión cerebral que </w:t>
      </w:r>
      <w:r w:rsidR="002174CD" w:rsidRPr="002174CD">
        <w:rPr>
          <w:i/>
          <w:iCs/>
        </w:rPr>
        <w:t>Oscar</w:t>
      </w:r>
      <w:r w:rsidR="00EE4543" w:rsidRPr="00341ED2">
        <w:t xml:space="preserve"> habría sufrido mientras se encontraba prestando el servicio militar obligatorio. </w:t>
      </w:r>
    </w:p>
    <w:p w14:paraId="332E02E0" w14:textId="77777777" w:rsidR="007B648D" w:rsidRPr="00341ED2" w:rsidRDefault="007B648D" w:rsidP="000F393F">
      <w:pPr>
        <w:pStyle w:val="Prrafodelista"/>
        <w:widowControl w:val="0"/>
        <w:autoSpaceDE w:val="0"/>
        <w:autoSpaceDN w:val="0"/>
        <w:adjustRightInd w:val="0"/>
        <w:spacing w:after="160"/>
        <w:ind w:left="0"/>
        <w:rPr>
          <w:rFonts w:eastAsiaTheme="minorHAnsi"/>
          <w:b/>
          <w:bCs/>
          <w:szCs w:val="28"/>
        </w:rPr>
      </w:pPr>
    </w:p>
    <w:p w14:paraId="26B61374" w14:textId="233331FC" w:rsidR="00D83227" w:rsidRPr="00341ED2" w:rsidRDefault="00C10AEC" w:rsidP="000F393F">
      <w:pPr>
        <w:pStyle w:val="Prrafodelista"/>
        <w:widowControl w:val="0"/>
        <w:numPr>
          <w:ilvl w:val="1"/>
          <w:numId w:val="17"/>
        </w:numPr>
        <w:autoSpaceDE w:val="0"/>
        <w:autoSpaceDN w:val="0"/>
        <w:adjustRightInd w:val="0"/>
        <w:spacing w:after="160"/>
        <w:rPr>
          <w:rFonts w:eastAsiaTheme="minorHAnsi"/>
          <w:b/>
          <w:bCs/>
          <w:szCs w:val="28"/>
        </w:rPr>
      </w:pPr>
      <w:r w:rsidRPr="00341ED2">
        <w:t>En concreto, l</w:t>
      </w:r>
      <w:r w:rsidR="006437B7" w:rsidRPr="00341ED2">
        <w:t xml:space="preserve">a señora </w:t>
      </w:r>
      <w:r w:rsidR="00B8660C">
        <w:rPr>
          <w:i/>
          <w:iCs/>
          <w:spacing w:val="-2"/>
          <w:szCs w:val="28"/>
        </w:rPr>
        <w:t>Amalia</w:t>
      </w:r>
      <w:r w:rsidR="006437B7" w:rsidRPr="00341ED2">
        <w:rPr>
          <w:rFonts w:eastAsia="Calibri"/>
          <w:bCs/>
          <w:iCs/>
          <w:szCs w:val="28"/>
          <w:lang w:val="es-CO" w:eastAsia="es-ES"/>
        </w:rPr>
        <w:t xml:space="preserve"> alegó que el </w:t>
      </w:r>
      <w:r w:rsidR="006437B7" w:rsidRPr="00341ED2">
        <w:t xml:space="preserve">Tribunal Administrativo de Norte de Santander incurrió en los </w:t>
      </w:r>
      <w:r w:rsidR="0033792B" w:rsidRPr="00341ED2">
        <w:t>defectos fáctico</w:t>
      </w:r>
      <w:r w:rsidR="007B648D" w:rsidRPr="00341ED2">
        <w:t xml:space="preserve"> </w:t>
      </w:r>
      <w:r w:rsidR="0033792B" w:rsidRPr="00341ED2">
        <w:t xml:space="preserve">y desconocimiento del precedente al contabilizar el término de la caducidad </w:t>
      </w:r>
      <w:r w:rsidR="008B698A" w:rsidRPr="00341ED2">
        <w:t>de la acción de reparación directa a partir del día en que su hijo sufrió el</w:t>
      </w:r>
      <w:r w:rsidR="00EE5681" w:rsidRPr="00341ED2">
        <w:t xml:space="preserve"> </w:t>
      </w:r>
      <w:r w:rsidR="008B698A" w:rsidRPr="00341ED2">
        <w:t xml:space="preserve">trauma craneoencefálico y no a partir del día en que ella y su familia tuvieron conocimiento del daño cerebral irreversible que este trauma le causó a su hijo. </w:t>
      </w:r>
      <w:bookmarkEnd w:id="10"/>
      <w:r w:rsidR="008B698A" w:rsidRPr="00341ED2">
        <w:t>Frente al defecto fáctico, la accionante citó l</w:t>
      </w:r>
      <w:r w:rsidRPr="00341ED2">
        <w:t xml:space="preserve">a historia clínica de </w:t>
      </w:r>
      <w:r w:rsidR="002174CD" w:rsidRPr="002174CD">
        <w:rPr>
          <w:i/>
          <w:iCs/>
        </w:rPr>
        <w:t>Oscar</w:t>
      </w:r>
      <w:r w:rsidR="00EE5681" w:rsidRPr="00341ED2">
        <w:t xml:space="preserve"> y los dictámenes de PCL emitidos </w:t>
      </w:r>
      <w:r w:rsidRPr="00341ED2">
        <w:t>el</w:t>
      </w:r>
      <w:r w:rsidR="00EE5681" w:rsidRPr="00341ED2">
        <w:t xml:space="preserve"> </w:t>
      </w:r>
      <w:r w:rsidRPr="00341ED2">
        <w:t xml:space="preserve">21 </w:t>
      </w:r>
      <w:r w:rsidR="00EE5681" w:rsidRPr="00341ED2">
        <w:t>noviembre de 2016 por la Junta Médico Laboral del Ejército Nacional y</w:t>
      </w:r>
      <w:r w:rsidRPr="00341ED2">
        <w:t xml:space="preserve"> el</w:t>
      </w:r>
      <w:r w:rsidRPr="00341ED2">
        <w:rPr>
          <w:rFonts w:eastAsiaTheme="minorHAnsi"/>
          <w:b/>
          <w:bCs/>
          <w:szCs w:val="28"/>
        </w:rPr>
        <w:t xml:space="preserve"> </w:t>
      </w:r>
      <w:r w:rsidRPr="00341ED2">
        <w:rPr>
          <w:rFonts w:eastAsiaTheme="minorHAnsi"/>
          <w:bCs/>
          <w:szCs w:val="28"/>
        </w:rPr>
        <w:t>20 de agosto de 2019 por la Junta Regional de Calificación de Invalidez de Norte de Santander. Sobre el desconocimiento del precedente, la accionante citó varias sentencias de la Corte Constitucional</w:t>
      </w:r>
      <w:r w:rsidR="00DC5A1E" w:rsidRPr="00341ED2">
        <w:rPr>
          <w:rFonts w:eastAsiaTheme="minorHAnsi"/>
          <w:bCs/>
          <w:szCs w:val="28"/>
        </w:rPr>
        <w:t xml:space="preserve"> y del Consejo de Estado</w:t>
      </w:r>
      <w:r w:rsidR="00ED5C44" w:rsidRPr="00341ED2">
        <w:rPr>
          <w:rFonts w:eastAsiaTheme="minorHAnsi"/>
          <w:bCs/>
          <w:szCs w:val="28"/>
        </w:rPr>
        <w:t>.</w:t>
      </w:r>
    </w:p>
    <w:p w14:paraId="58180891" w14:textId="77777777" w:rsidR="002213C7" w:rsidRPr="00341ED2" w:rsidRDefault="002213C7" w:rsidP="000F393F">
      <w:pPr>
        <w:pStyle w:val="Prrafodelista"/>
        <w:widowControl w:val="0"/>
        <w:autoSpaceDE w:val="0"/>
        <w:autoSpaceDN w:val="0"/>
        <w:adjustRightInd w:val="0"/>
        <w:spacing w:after="160"/>
        <w:ind w:left="0"/>
        <w:rPr>
          <w:rFonts w:eastAsiaTheme="minorHAnsi"/>
          <w:b/>
          <w:bCs/>
          <w:szCs w:val="28"/>
        </w:rPr>
      </w:pPr>
    </w:p>
    <w:p w14:paraId="634CCEE7" w14:textId="7B92FBFF" w:rsidR="003C397D" w:rsidRPr="00341ED2" w:rsidRDefault="005C19BB" w:rsidP="000F393F">
      <w:pPr>
        <w:pStyle w:val="Prrafodelista"/>
        <w:widowControl w:val="0"/>
        <w:numPr>
          <w:ilvl w:val="1"/>
          <w:numId w:val="17"/>
        </w:numPr>
        <w:autoSpaceDE w:val="0"/>
        <w:autoSpaceDN w:val="0"/>
        <w:adjustRightInd w:val="0"/>
        <w:spacing w:after="160"/>
        <w:rPr>
          <w:rFonts w:eastAsiaTheme="minorHAnsi"/>
          <w:b/>
          <w:bCs/>
          <w:szCs w:val="28"/>
        </w:rPr>
      </w:pPr>
      <w:r w:rsidRPr="00341ED2">
        <w:rPr>
          <w:szCs w:val="28"/>
          <w:lang w:val="es-CO"/>
        </w:rPr>
        <w:t>Por consiguiente, c</w:t>
      </w:r>
      <w:r w:rsidR="001B55DE" w:rsidRPr="00341ED2">
        <w:rPr>
          <w:szCs w:val="28"/>
          <w:lang w:val="es-CO"/>
        </w:rPr>
        <w:t xml:space="preserve">orresponde a la Sala Octava de Revisión resolver los siguientes problemas jurídicos: ¿la solicitud de amparo </w:t>
      </w:r>
      <w:r w:rsidR="00DC5A1E" w:rsidRPr="00341ED2">
        <w:rPr>
          <w:szCs w:val="28"/>
          <w:lang w:val="es-CO"/>
        </w:rPr>
        <w:t xml:space="preserve">presentada por </w:t>
      </w:r>
      <w:r w:rsidR="00B8660C">
        <w:rPr>
          <w:i/>
          <w:iCs/>
          <w:spacing w:val="-2"/>
          <w:szCs w:val="28"/>
        </w:rPr>
        <w:t>Amalia</w:t>
      </w:r>
      <w:r w:rsidR="001B55DE" w:rsidRPr="00341ED2">
        <w:rPr>
          <w:szCs w:val="28"/>
          <w:lang w:val="es-CO"/>
        </w:rPr>
        <w:t xml:space="preserve"> cumple con los requisitos generales de </w:t>
      </w:r>
      <w:proofErr w:type="spellStart"/>
      <w:r w:rsidR="001B55DE" w:rsidRPr="00341ED2">
        <w:rPr>
          <w:szCs w:val="28"/>
          <w:lang w:val="es-CO"/>
        </w:rPr>
        <w:t>procedibilidad</w:t>
      </w:r>
      <w:proofErr w:type="spellEnd"/>
      <w:r w:rsidR="001B55DE" w:rsidRPr="00341ED2">
        <w:rPr>
          <w:szCs w:val="28"/>
          <w:lang w:val="es-CO"/>
        </w:rPr>
        <w:t xml:space="preserve"> de la acción de tutela contra providencias judiciales? De ser así, ¿la sentencia cuestionada incurrió en </w:t>
      </w:r>
      <w:proofErr w:type="gramStart"/>
      <w:r w:rsidR="00ED5C44" w:rsidRPr="00341ED2">
        <w:rPr>
          <w:szCs w:val="28"/>
          <w:lang w:val="es-CO"/>
        </w:rPr>
        <w:t>los</w:t>
      </w:r>
      <w:r w:rsidR="00DC5A1E" w:rsidRPr="00341ED2">
        <w:rPr>
          <w:szCs w:val="28"/>
          <w:lang w:val="es-CO"/>
        </w:rPr>
        <w:t xml:space="preserve"> defecto</w:t>
      </w:r>
      <w:r w:rsidR="00ED5C44" w:rsidRPr="00341ED2">
        <w:rPr>
          <w:szCs w:val="28"/>
          <w:lang w:val="es-CO"/>
        </w:rPr>
        <w:t>s</w:t>
      </w:r>
      <w:r w:rsidR="00DC5A1E" w:rsidRPr="00341ED2">
        <w:rPr>
          <w:szCs w:val="28"/>
          <w:lang w:val="es-CO"/>
        </w:rPr>
        <w:t xml:space="preserve"> fáctico</w:t>
      </w:r>
      <w:proofErr w:type="gramEnd"/>
      <w:r w:rsidR="00ED5C44" w:rsidRPr="00341ED2">
        <w:rPr>
          <w:szCs w:val="28"/>
          <w:lang w:val="es-CO"/>
        </w:rPr>
        <w:t xml:space="preserve"> y desconocimiento del precedente</w:t>
      </w:r>
      <w:r w:rsidR="001B55DE" w:rsidRPr="00341ED2">
        <w:rPr>
          <w:szCs w:val="28"/>
          <w:lang w:val="es-CO"/>
        </w:rPr>
        <w:t>?</w:t>
      </w:r>
    </w:p>
    <w:p w14:paraId="69D3DF54" w14:textId="77777777" w:rsidR="003C397D" w:rsidRPr="00341ED2" w:rsidRDefault="003C397D" w:rsidP="000F393F">
      <w:pPr>
        <w:pStyle w:val="Prrafodelista"/>
        <w:widowControl w:val="0"/>
        <w:autoSpaceDE w:val="0"/>
        <w:autoSpaceDN w:val="0"/>
        <w:adjustRightInd w:val="0"/>
        <w:spacing w:after="160"/>
        <w:ind w:left="0"/>
        <w:rPr>
          <w:rFonts w:eastAsiaTheme="minorHAnsi"/>
          <w:b/>
          <w:bCs/>
          <w:szCs w:val="28"/>
        </w:rPr>
      </w:pPr>
    </w:p>
    <w:p w14:paraId="7829B489" w14:textId="69117FF9" w:rsidR="00B9214B" w:rsidRPr="00341ED2" w:rsidRDefault="005252EE" w:rsidP="000F393F">
      <w:pPr>
        <w:pStyle w:val="Prrafodelista"/>
        <w:widowControl w:val="0"/>
        <w:numPr>
          <w:ilvl w:val="1"/>
          <w:numId w:val="17"/>
        </w:numPr>
        <w:autoSpaceDE w:val="0"/>
        <w:autoSpaceDN w:val="0"/>
        <w:adjustRightInd w:val="0"/>
        <w:spacing w:after="160"/>
        <w:rPr>
          <w:rFonts w:eastAsiaTheme="minorHAnsi"/>
          <w:b/>
          <w:bCs/>
          <w:szCs w:val="28"/>
        </w:rPr>
      </w:pPr>
      <w:r w:rsidRPr="00341ED2">
        <w:rPr>
          <w:szCs w:val="28"/>
          <w:lang w:val="es-CO"/>
        </w:rPr>
        <w:t xml:space="preserve">Para resolver tales problemas, la Sala seguirá la siguiente metodología: </w:t>
      </w:r>
      <w:r w:rsidR="005C19BB" w:rsidRPr="00341ED2">
        <w:rPr>
          <w:szCs w:val="28"/>
          <w:lang w:val="es-CO"/>
        </w:rPr>
        <w:t xml:space="preserve">Primero, </w:t>
      </w:r>
      <w:r w:rsidRPr="00341ED2">
        <w:rPr>
          <w:i/>
          <w:szCs w:val="28"/>
          <w:lang w:val="es-CO"/>
        </w:rPr>
        <w:t>(i)</w:t>
      </w:r>
      <w:r w:rsidRPr="00341ED2">
        <w:rPr>
          <w:szCs w:val="28"/>
          <w:lang w:val="es-CO"/>
        </w:rPr>
        <w:t xml:space="preserve"> verificará el cumplimiento de los requisitos generales de </w:t>
      </w:r>
      <w:proofErr w:type="spellStart"/>
      <w:r w:rsidRPr="00341ED2">
        <w:rPr>
          <w:szCs w:val="28"/>
          <w:lang w:val="es-CO"/>
        </w:rPr>
        <w:t>procedibilidad</w:t>
      </w:r>
      <w:proofErr w:type="spellEnd"/>
      <w:r w:rsidRPr="00341ED2">
        <w:rPr>
          <w:szCs w:val="28"/>
          <w:lang w:val="es-CO"/>
        </w:rPr>
        <w:t xml:space="preserve"> de la acción de tutela</w:t>
      </w:r>
      <w:r w:rsidR="00702F89" w:rsidRPr="00341ED2">
        <w:rPr>
          <w:szCs w:val="28"/>
          <w:shd w:val="clear" w:color="auto" w:fill="FFFFFF"/>
        </w:rPr>
        <w:t>.</w:t>
      </w:r>
      <w:r w:rsidRPr="00341ED2">
        <w:rPr>
          <w:iCs/>
          <w:szCs w:val="28"/>
          <w:lang w:val="es-CO"/>
        </w:rPr>
        <w:t xml:space="preserve"> </w:t>
      </w:r>
      <w:r w:rsidR="00702F89" w:rsidRPr="00341ED2">
        <w:rPr>
          <w:iCs/>
          <w:szCs w:val="28"/>
          <w:lang w:val="es-CO"/>
        </w:rPr>
        <w:t>D</w:t>
      </w:r>
      <w:r w:rsidRPr="00341ED2">
        <w:rPr>
          <w:iCs/>
          <w:szCs w:val="28"/>
          <w:lang w:val="es-CO"/>
        </w:rPr>
        <w:t xml:space="preserve">e </w:t>
      </w:r>
      <w:r w:rsidR="003C397D" w:rsidRPr="00341ED2">
        <w:rPr>
          <w:iCs/>
          <w:szCs w:val="28"/>
          <w:lang w:val="es-CO"/>
        </w:rPr>
        <w:t>encontrarlos cumplidos</w:t>
      </w:r>
      <w:r w:rsidRPr="00341ED2">
        <w:rPr>
          <w:iCs/>
          <w:szCs w:val="28"/>
          <w:lang w:val="es-CO"/>
        </w:rPr>
        <w:t xml:space="preserve">, </w:t>
      </w:r>
      <w:r w:rsidR="000F38AD" w:rsidRPr="00341ED2">
        <w:rPr>
          <w:iCs/>
          <w:szCs w:val="28"/>
          <w:lang w:val="es-CO"/>
        </w:rPr>
        <w:t xml:space="preserve">estudiará </w:t>
      </w:r>
      <w:r w:rsidR="006E3426" w:rsidRPr="00341ED2">
        <w:rPr>
          <w:iCs/>
          <w:szCs w:val="28"/>
          <w:lang w:val="es-CO"/>
        </w:rPr>
        <w:t>(</w:t>
      </w:r>
      <w:r w:rsidR="003C42EA" w:rsidRPr="00341ED2">
        <w:rPr>
          <w:i/>
          <w:szCs w:val="28"/>
          <w:lang w:val="es-CO"/>
        </w:rPr>
        <w:t>ii</w:t>
      </w:r>
      <w:r w:rsidR="006E3426" w:rsidRPr="00341ED2">
        <w:rPr>
          <w:iCs/>
          <w:szCs w:val="28"/>
          <w:lang w:val="es-CO"/>
        </w:rPr>
        <w:t>)</w:t>
      </w:r>
      <w:r w:rsidR="003C42EA" w:rsidRPr="00341ED2">
        <w:rPr>
          <w:iCs/>
          <w:szCs w:val="28"/>
          <w:lang w:val="es-CO"/>
        </w:rPr>
        <w:t xml:space="preserve"> l</w:t>
      </w:r>
      <w:r w:rsidR="006E3426" w:rsidRPr="00341ED2">
        <w:rPr>
          <w:iCs/>
          <w:szCs w:val="28"/>
        </w:rPr>
        <w:t xml:space="preserve">os requisitos especiales de </w:t>
      </w:r>
      <w:proofErr w:type="spellStart"/>
      <w:r w:rsidR="006E3426" w:rsidRPr="00341ED2">
        <w:rPr>
          <w:iCs/>
          <w:szCs w:val="28"/>
        </w:rPr>
        <w:t>procedibilidad</w:t>
      </w:r>
      <w:proofErr w:type="spellEnd"/>
      <w:r w:rsidR="006E3426" w:rsidRPr="00341ED2">
        <w:rPr>
          <w:iCs/>
          <w:szCs w:val="28"/>
        </w:rPr>
        <w:t xml:space="preserve"> de la acción de tutela contra providencias judiciales</w:t>
      </w:r>
      <w:r w:rsidR="005C19BB" w:rsidRPr="00341ED2">
        <w:rPr>
          <w:iCs/>
          <w:szCs w:val="28"/>
        </w:rPr>
        <w:t xml:space="preserve">, con énfasis en </w:t>
      </w:r>
      <w:r w:rsidR="00ED5C44" w:rsidRPr="00341ED2">
        <w:rPr>
          <w:iCs/>
          <w:szCs w:val="28"/>
        </w:rPr>
        <w:t xml:space="preserve">los </w:t>
      </w:r>
      <w:r w:rsidR="005C19BB" w:rsidRPr="00341ED2">
        <w:rPr>
          <w:iCs/>
          <w:szCs w:val="28"/>
        </w:rPr>
        <w:t>defecto</w:t>
      </w:r>
      <w:r w:rsidR="00ED5C44" w:rsidRPr="00341ED2">
        <w:rPr>
          <w:iCs/>
          <w:szCs w:val="28"/>
        </w:rPr>
        <w:t>s</w:t>
      </w:r>
      <w:r w:rsidR="005C19BB" w:rsidRPr="00341ED2">
        <w:rPr>
          <w:iCs/>
          <w:szCs w:val="28"/>
        </w:rPr>
        <w:t xml:space="preserve"> fáctico</w:t>
      </w:r>
      <w:r w:rsidR="00ED5C44" w:rsidRPr="00341ED2">
        <w:rPr>
          <w:iCs/>
          <w:szCs w:val="28"/>
        </w:rPr>
        <w:t xml:space="preserve"> y desconocimiento del precedente jurisprudencial</w:t>
      </w:r>
      <w:r w:rsidR="005C19BB" w:rsidRPr="00341ED2">
        <w:rPr>
          <w:iCs/>
          <w:szCs w:val="28"/>
        </w:rPr>
        <w:t>,</w:t>
      </w:r>
      <w:r w:rsidR="003C42EA" w:rsidRPr="00341ED2">
        <w:rPr>
          <w:iCs/>
          <w:szCs w:val="28"/>
        </w:rPr>
        <w:t xml:space="preserve"> y (</w:t>
      </w:r>
      <w:r w:rsidR="003C42EA" w:rsidRPr="00341ED2">
        <w:rPr>
          <w:i/>
          <w:szCs w:val="28"/>
        </w:rPr>
        <w:t>iii</w:t>
      </w:r>
      <w:r w:rsidR="003C42EA" w:rsidRPr="00341ED2">
        <w:rPr>
          <w:iCs/>
          <w:szCs w:val="28"/>
        </w:rPr>
        <w:t xml:space="preserve">) </w:t>
      </w:r>
      <w:r w:rsidR="003C42EA" w:rsidRPr="00341ED2">
        <w:rPr>
          <w:iCs/>
          <w:szCs w:val="28"/>
          <w:lang w:val="es-CO"/>
        </w:rPr>
        <w:t>la jurisprudencia de</w:t>
      </w:r>
      <w:r w:rsidR="005C19BB" w:rsidRPr="00341ED2">
        <w:rPr>
          <w:iCs/>
          <w:szCs w:val="28"/>
          <w:lang w:val="es-CO"/>
        </w:rPr>
        <w:t>l Consejo de Estado y</w:t>
      </w:r>
      <w:r w:rsidR="003C42EA" w:rsidRPr="00341ED2">
        <w:rPr>
          <w:iCs/>
          <w:szCs w:val="28"/>
          <w:lang w:val="es-CO"/>
        </w:rPr>
        <w:t xml:space="preserve"> la Corte Constitucional sobre el cómputo del término de caducidad del medio de control de reparación directa en los casos de lesiones </w:t>
      </w:r>
      <w:r w:rsidR="001F450A" w:rsidRPr="00341ED2">
        <w:t>a la integridad psicofísica de las personas</w:t>
      </w:r>
      <w:r w:rsidR="003C42EA" w:rsidRPr="00341ED2">
        <w:rPr>
          <w:iCs/>
          <w:szCs w:val="28"/>
          <w:lang w:val="es-CO"/>
        </w:rPr>
        <w:t>. Finalmente, (</w:t>
      </w:r>
      <w:r w:rsidR="003C42EA" w:rsidRPr="00341ED2">
        <w:rPr>
          <w:i/>
          <w:szCs w:val="28"/>
          <w:lang w:val="es-CO"/>
        </w:rPr>
        <w:t>iv</w:t>
      </w:r>
      <w:r w:rsidR="003C42EA" w:rsidRPr="00341ED2">
        <w:rPr>
          <w:iCs/>
          <w:szCs w:val="28"/>
          <w:lang w:val="es-CO"/>
        </w:rPr>
        <w:t xml:space="preserve">) </w:t>
      </w:r>
      <w:r w:rsidRPr="00341ED2">
        <w:rPr>
          <w:iCs/>
          <w:szCs w:val="28"/>
          <w:lang w:val="es-CO"/>
        </w:rPr>
        <w:t xml:space="preserve">analizará </w:t>
      </w:r>
      <w:r w:rsidR="00B9214B" w:rsidRPr="00341ED2">
        <w:rPr>
          <w:rFonts w:eastAsiaTheme="minorHAnsi"/>
          <w:szCs w:val="28"/>
        </w:rPr>
        <w:t>si se presentó un defecto fáctico por la aplicación de las normas de caducidad y, de ser necesario, si se presentó un desconocimiento del precedente jurisprudencial.</w:t>
      </w:r>
    </w:p>
    <w:bookmarkEnd w:id="11"/>
    <w:p w14:paraId="503DC3AB" w14:textId="77777777" w:rsidR="00FD5D52" w:rsidRPr="00341ED2" w:rsidRDefault="00FD5D52" w:rsidP="00FD5D52">
      <w:pPr>
        <w:pStyle w:val="Prrafodelista"/>
        <w:widowControl w:val="0"/>
        <w:autoSpaceDE w:val="0"/>
        <w:autoSpaceDN w:val="0"/>
        <w:adjustRightInd w:val="0"/>
        <w:spacing w:after="160"/>
        <w:ind w:left="0"/>
        <w:rPr>
          <w:rFonts w:eastAsiaTheme="minorHAnsi"/>
          <w:b/>
          <w:bCs/>
          <w:szCs w:val="28"/>
        </w:rPr>
      </w:pPr>
    </w:p>
    <w:p w14:paraId="28D07E8B" w14:textId="43BD367C" w:rsidR="001E1903" w:rsidRPr="00341ED2" w:rsidRDefault="002B5941" w:rsidP="000F393F">
      <w:pPr>
        <w:pStyle w:val="Prrafodelista"/>
        <w:widowControl w:val="0"/>
        <w:numPr>
          <w:ilvl w:val="0"/>
          <w:numId w:val="17"/>
        </w:numPr>
        <w:autoSpaceDE w:val="0"/>
        <w:autoSpaceDN w:val="0"/>
        <w:adjustRightInd w:val="0"/>
        <w:rPr>
          <w:rFonts w:eastAsiaTheme="minorHAnsi"/>
          <w:b/>
          <w:bCs/>
          <w:szCs w:val="28"/>
        </w:rPr>
      </w:pPr>
      <w:r w:rsidRPr="00341ED2">
        <w:rPr>
          <w:rFonts w:eastAsiaTheme="minorHAnsi"/>
          <w:b/>
          <w:bCs/>
          <w:szCs w:val="28"/>
        </w:rPr>
        <w:t>Análisis de lo</w:t>
      </w:r>
      <w:r w:rsidR="00453929" w:rsidRPr="00341ED2">
        <w:rPr>
          <w:rFonts w:eastAsiaTheme="minorHAnsi"/>
          <w:b/>
          <w:bCs/>
          <w:szCs w:val="28"/>
        </w:rPr>
        <w:t xml:space="preserve">s requisitos generales de </w:t>
      </w:r>
      <w:proofErr w:type="spellStart"/>
      <w:r w:rsidR="00453929" w:rsidRPr="00341ED2">
        <w:rPr>
          <w:rFonts w:eastAsiaTheme="minorHAnsi"/>
          <w:b/>
          <w:bCs/>
          <w:szCs w:val="28"/>
        </w:rPr>
        <w:t>procedibilidad</w:t>
      </w:r>
      <w:proofErr w:type="spellEnd"/>
      <w:r w:rsidR="00453929" w:rsidRPr="00341ED2">
        <w:rPr>
          <w:rFonts w:eastAsiaTheme="minorHAnsi"/>
          <w:b/>
          <w:bCs/>
          <w:szCs w:val="28"/>
        </w:rPr>
        <w:t xml:space="preserve"> de la acción de tutela contra providencias judiciales</w:t>
      </w:r>
    </w:p>
    <w:p w14:paraId="660F1336" w14:textId="77777777" w:rsidR="001E1903" w:rsidRPr="00341ED2" w:rsidRDefault="001E1903" w:rsidP="000F393F">
      <w:pPr>
        <w:widowControl w:val="0"/>
        <w:autoSpaceDE w:val="0"/>
        <w:autoSpaceDN w:val="0"/>
        <w:adjustRightInd w:val="0"/>
        <w:rPr>
          <w:rFonts w:eastAsiaTheme="minorHAnsi"/>
          <w:b/>
          <w:bCs/>
          <w:szCs w:val="28"/>
        </w:rPr>
      </w:pPr>
    </w:p>
    <w:p w14:paraId="635BF597" w14:textId="037E677D" w:rsidR="00F46AC7" w:rsidRPr="00341ED2" w:rsidRDefault="001E1903" w:rsidP="000F393F">
      <w:pPr>
        <w:pStyle w:val="Prrafodelista"/>
        <w:widowControl w:val="0"/>
        <w:numPr>
          <w:ilvl w:val="1"/>
          <w:numId w:val="17"/>
        </w:numPr>
        <w:autoSpaceDE w:val="0"/>
        <w:autoSpaceDN w:val="0"/>
        <w:adjustRightInd w:val="0"/>
        <w:rPr>
          <w:rFonts w:eastAsiaTheme="minorHAnsi"/>
          <w:b/>
          <w:bCs/>
          <w:szCs w:val="28"/>
        </w:rPr>
      </w:pPr>
      <w:r w:rsidRPr="00341ED2">
        <w:rPr>
          <w:rFonts w:eastAsiaTheme="minorHAnsi"/>
          <w:szCs w:val="28"/>
          <w:lang w:val="es-CO"/>
        </w:rPr>
        <w:t>Corresponde</w:t>
      </w:r>
      <w:r w:rsidR="00247B0D" w:rsidRPr="00341ED2">
        <w:rPr>
          <w:rFonts w:eastAsiaTheme="minorHAnsi"/>
          <w:szCs w:val="28"/>
          <w:lang w:val="es-CO"/>
        </w:rPr>
        <w:t xml:space="preserve"> </w:t>
      </w:r>
      <w:r w:rsidRPr="00341ED2">
        <w:rPr>
          <w:rFonts w:eastAsiaTheme="minorHAnsi"/>
          <w:szCs w:val="28"/>
          <w:lang w:val="es-CO"/>
        </w:rPr>
        <w:t>a la Sala analizar si la acción de amparo de la referencia cumple los requisitos de carácter general que habilitan la interposición de la tutela contra providencias judiciales</w:t>
      </w:r>
      <w:r w:rsidR="00F46AC7" w:rsidRPr="00341ED2">
        <w:rPr>
          <w:rFonts w:eastAsiaTheme="minorHAnsi"/>
          <w:szCs w:val="28"/>
          <w:lang w:val="es-CO"/>
        </w:rPr>
        <w:t>. Estos</w:t>
      </w:r>
      <w:r w:rsidR="00247B0D" w:rsidRPr="00341ED2">
        <w:rPr>
          <w:rFonts w:eastAsiaTheme="minorHAnsi"/>
          <w:szCs w:val="28"/>
          <w:lang w:val="es-CO"/>
        </w:rPr>
        <w:t xml:space="preserve"> </w:t>
      </w:r>
      <w:r w:rsidR="00F46AC7" w:rsidRPr="00341ED2">
        <w:rPr>
          <w:rFonts w:eastAsiaTheme="minorHAnsi"/>
          <w:szCs w:val="28"/>
          <w:lang w:val="es-CO"/>
        </w:rPr>
        <w:t>requisitos</w:t>
      </w:r>
      <w:r w:rsidRPr="00341ED2">
        <w:rPr>
          <w:rFonts w:eastAsiaTheme="minorHAnsi"/>
          <w:szCs w:val="28"/>
          <w:lang w:val="es-CO"/>
        </w:rPr>
        <w:t xml:space="preserve"> fueron unificados en la sentencia C-590 de 2005</w:t>
      </w:r>
      <w:r w:rsidR="008F14EC" w:rsidRPr="00341ED2">
        <w:rPr>
          <w:rStyle w:val="Refdenotaalpie"/>
          <w:rFonts w:eastAsiaTheme="minorHAnsi"/>
          <w:szCs w:val="28"/>
          <w:lang w:val="es-CO"/>
        </w:rPr>
        <w:footnoteReference w:id="64"/>
      </w:r>
      <w:r w:rsidR="00247B0D" w:rsidRPr="00341ED2">
        <w:rPr>
          <w:rFonts w:eastAsiaTheme="minorHAnsi"/>
          <w:szCs w:val="28"/>
          <w:lang w:val="es-CO"/>
        </w:rPr>
        <w:t xml:space="preserve"> y son</w:t>
      </w:r>
      <w:r w:rsidRPr="00341ED2">
        <w:rPr>
          <w:rFonts w:eastAsiaTheme="minorHAnsi"/>
          <w:szCs w:val="28"/>
          <w:lang w:val="es-CO"/>
        </w:rPr>
        <w:t>: (</w:t>
      </w:r>
      <w:r w:rsidRPr="00341ED2">
        <w:rPr>
          <w:rFonts w:eastAsiaTheme="minorHAnsi"/>
          <w:i/>
          <w:iCs/>
          <w:szCs w:val="28"/>
          <w:lang w:val="es-CO"/>
        </w:rPr>
        <w:t>i</w:t>
      </w:r>
      <w:r w:rsidRPr="00341ED2">
        <w:rPr>
          <w:rFonts w:eastAsiaTheme="minorHAnsi"/>
          <w:szCs w:val="28"/>
          <w:lang w:val="es-CO"/>
        </w:rPr>
        <w:t>) legitimación por activa y por pasiva</w:t>
      </w:r>
      <w:r w:rsidR="00B911A6" w:rsidRPr="00341ED2">
        <w:rPr>
          <w:rStyle w:val="Refdenotaalpie"/>
          <w:rFonts w:eastAsiaTheme="minorHAnsi"/>
          <w:szCs w:val="28"/>
          <w:lang w:val="es-CO"/>
        </w:rPr>
        <w:footnoteReference w:id="65"/>
      </w:r>
      <w:r w:rsidRPr="00341ED2">
        <w:rPr>
          <w:rFonts w:eastAsiaTheme="minorHAnsi"/>
          <w:szCs w:val="28"/>
          <w:lang w:val="es-CO"/>
        </w:rPr>
        <w:t>, (</w:t>
      </w:r>
      <w:r w:rsidRPr="00341ED2">
        <w:rPr>
          <w:rFonts w:eastAsiaTheme="minorHAnsi"/>
          <w:i/>
          <w:iCs/>
          <w:szCs w:val="28"/>
          <w:lang w:val="es-CO"/>
        </w:rPr>
        <w:t>ii</w:t>
      </w:r>
      <w:r w:rsidRPr="00341ED2">
        <w:rPr>
          <w:rFonts w:eastAsiaTheme="minorHAnsi"/>
          <w:szCs w:val="28"/>
          <w:lang w:val="es-CO"/>
        </w:rPr>
        <w:t>) la relevancia constitucional del asunto, (</w:t>
      </w:r>
      <w:r w:rsidRPr="00341ED2">
        <w:rPr>
          <w:rFonts w:eastAsiaTheme="minorHAnsi"/>
          <w:i/>
          <w:iCs/>
          <w:szCs w:val="28"/>
          <w:lang w:val="es-CO"/>
        </w:rPr>
        <w:t>iii</w:t>
      </w:r>
      <w:r w:rsidRPr="00341ED2">
        <w:rPr>
          <w:rFonts w:eastAsiaTheme="minorHAnsi"/>
          <w:szCs w:val="28"/>
          <w:lang w:val="es-CO"/>
        </w:rPr>
        <w:t>) el agotamiento de los recursos ordinarios y extraordinarios de defensa, (</w:t>
      </w:r>
      <w:r w:rsidRPr="00341ED2">
        <w:rPr>
          <w:rFonts w:eastAsiaTheme="minorHAnsi"/>
          <w:i/>
          <w:iCs/>
          <w:szCs w:val="28"/>
          <w:lang w:val="es-CO"/>
        </w:rPr>
        <w:t>iv</w:t>
      </w:r>
      <w:r w:rsidRPr="00341ED2">
        <w:rPr>
          <w:rFonts w:eastAsiaTheme="minorHAnsi"/>
          <w:szCs w:val="28"/>
          <w:lang w:val="es-CO"/>
        </w:rPr>
        <w:t>) la observancia del presupuesto de inmediatez, (</w:t>
      </w:r>
      <w:r w:rsidRPr="00341ED2">
        <w:rPr>
          <w:rFonts w:eastAsiaTheme="minorHAnsi"/>
          <w:i/>
          <w:iCs/>
          <w:szCs w:val="28"/>
          <w:lang w:val="es-CO"/>
        </w:rPr>
        <w:t>v</w:t>
      </w:r>
      <w:r w:rsidRPr="00341ED2">
        <w:rPr>
          <w:rFonts w:eastAsiaTheme="minorHAnsi"/>
          <w:szCs w:val="28"/>
          <w:lang w:val="es-CO"/>
        </w:rPr>
        <w:t>) la incidencia en la decisión cuando se alegue una irregularidad procesal, (</w:t>
      </w:r>
      <w:r w:rsidRPr="00341ED2">
        <w:rPr>
          <w:rFonts w:eastAsiaTheme="minorHAnsi"/>
          <w:i/>
          <w:iCs/>
          <w:szCs w:val="28"/>
          <w:lang w:val="es-CO"/>
        </w:rPr>
        <w:t>vi</w:t>
      </w:r>
      <w:r w:rsidRPr="00341ED2">
        <w:rPr>
          <w:rFonts w:eastAsiaTheme="minorHAnsi"/>
          <w:szCs w:val="28"/>
          <w:lang w:val="es-CO"/>
        </w:rPr>
        <w:t>) que el actor hubiere identificado los hechos que dieron origen a la violación y que, de haber sido posible, se hubiere alegado oportunamente tal cuestión en las instancias y (</w:t>
      </w:r>
      <w:r w:rsidRPr="00341ED2">
        <w:rPr>
          <w:rFonts w:eastAsiaTheme="minorHAnsi"/>
          <w:i/>
          <w:iCs/>
          <w:szCs w:val="28"/>
          <w:lang w:val="es-CO"/>
        </w:rPr>
        <w:t>vii</w:t>
      </w:r>
      <w:r w:rsidRPr="00341ED2">
        <w:rPr>
          <w:rFonts w:eastAsiaTheme="minorHAnsi"/>
          <w:szCs w:val="28"/>
          <w:lang w:val="es-CO"/>
        </w:rPr>
        <w:t>) que la sentencia impugnada no sea de tutela.</w:t>
      </w:r>
    </w:p>
    <w:p w14:paraId="2E6942FC" w14:textId="77777777" w:rsidR="00D51C65" w:rsidRPr="00341ED2" w:rsidRDefault="00D51C65" w:rsidP="000F393F">
      <w:pPr>
        <w:pStyle w:val="Prrafodelista"/>
        <w:widowControl w:val="0"/>
        <w:autoSpaceDE w:val="0"/>
        <w:autoSpaceDN w:val="0"/>
        <w:adjustRightInd w:val="0"/>
        <w:ind w:left="0"/>
        <w:rPr>
          <w:rFonts w:eastAsiaTheme="minorHAnsi"/>
          <w:b/>
          <w:bCs/>
          <w:szCs w:val="28"/>
        </w:rPr>
      </w:pPr>
    </w:p>
    <w:p w14:paraId="2BBE8ACF" w14:textId="439D0524" w:rsidR="00D51C65" w:rsidRPr="00341ED2" w:rsidRDefault="00F46AC7" w:rsidP="000F393F">
      <w:pPr>
        <w:pStyle w:val="Prrafodelista"/>
        <w:widowControl w:val="0"/>
        <w:numPr>
          <w:ilvl w:val="1"/>
          <w:numId w:val="17"/>
        </w:numPr>
        <w:autoSpaceDE w:val="0"/>
        <w:autoSpaceDN w:val="0"/>
        <w:adjustRightInd w:val="0"/>
        <w:rPr>
          <w:rFonts w:eastAsiaTheme="minorHAnsi"/>
          <w:b/>
          <w:bCs/>
          <w:szCs w:val="28"/>
        </w:rPr>
      </w:pPr>
      <w:r w:rsidRPr="00341ED2">
        <w:rPr>
          <w:rFonts w:eastAsiaTheme="minorHAnsi"/>
          <w:i/>
          <w:iCs/>
          <w:szCs w:val="28"/>
        </w:rPr>
        <w:t>Legitimación en la causa por activa y por pasiva</w:t>
      </w:r>
      <w:r w:rsidRPr="00341ED2">
        <w:rPr>
          <w:rFonts w:eastAsiaTheme="minorHAnsi"/>
          <w:szCs w:val="28"/>
        </w:rPr>
        <w:t>.</w:t>
      </w:r>
      <w:r w:rsidR="00D51C65" w:rsidRPr="00341ED2">
        <w:rPr>
          <w:rFonts w:eastAsiaTheme="minorHAnsi"/>
          <w:szCs w:val="28"/>
        </w:rPr>
        <w:t xml:space="preserve"> De acuerdo con el artículo 86 de la Constitución Política, la acción de tutela es un mecanismo preferente y sumario que tiene toda persona para solicitar, de manera directa o por quien actúe legítimamente a su nombre, la protección de sus derechos fundamentales. Por su parte, el artículo 10 del Decreto 2591 de 1991, que se refiere a la legitimación e interés, dispone que la acción de tutela «podrá ser ejercida, en todo momento y lugar, por cualquiera persona vulnerada o amenazada en uno de sus derechos fundamentales». A su vez, el artículo 13 del Decreto 2591 de 1991 establece que la acción de amparo debe dirigirse «contra la autoridad pública o el representante del órgano que presuntamente violó o amenazó el derecho fundamental».</w:t>
      </w:r>
    </w:p>
    <w:p w14:paraId="5C86FF5E" w14:textId="77777777" w:rsidR="00D51C65" w:rsidRPr="00341ED2" w:rsidRDefault="00D51C65" w:rsidP="000F393F">
      <w:pPr>
        <w:pStyle w:val="Prrafodelista"/>
        <w:widowControl w:val="0"/>
        <w:autoSpaceDE w:val="0"/>
        <w:autoSpaceDN w:val="0"/>
        <w:adjustRightInd w:val="0"/>
        <w:ind w:left="0"/>
        <w:rPr>
          <w:rFonts w:eastAsiaTheme="minorHAnsi"/>
          <w:b/>
          <w:bCs/>
          <w:szCs w:val="28"/>
        </w:rPr>
      </w:pPr>
    </w:p>
    <w:p w14:paraId="69F69F92" w14:textId="66E62AD0" w:rsidR="00217159" w:rsidRPr="00355E6F" w:rsidRDefault="00241ED7" w:rsidP="000F393F">
      <w:pPr>
        <w:pStyle w:val="Prrafodelista"/>
        <w:widowControl w:val="0"/>
        <w:numPr>
          <w:ilvl w:val="1"/>
          <w:numId w:val="17"/>
        </w:numPr>
        <w:autoSpaceDE w:val="0"/>
        <w:autoSpaceDN w:val="0"/>
        <w:adjustRightInd w:val="0"/>
        <w:rPr>
          <w:rFonts w:eastAsiaTheme="minorHAnsi"/>
          <w:b/>
          <w:bCs/>
          <w:szCs w:val="28"/>
        </w:rPr>
      </w:pPr>
      <w:r w:rsidRPr="00341ED2">
        <w:rPr>
          <w:rFonts w:eastAsiaTheme="minorHAnsi"/>
          <w:szCs w:val="28"/>
          <w:lang w:val="es-CO"/>
        </w:rPr>
        <w:t>En el asunto bajo examen se acredita el requisito de legitimación en la causa tanto por activa como por pasiva. La solicitud de tutela fue presentada por</w:t>
      </w:r>
      <w:r w:rsidRPr="00341ED2">
        <w:rPr>
          <w:rFonts w:eastAsiaTheme="minorHAnsi"/>
          <w:b/>
          <w:bCs/>
          <w:szCs w:val="28"/>
        </w:rPr>
        <w:t xml:space="preserve"> </w:t>
      </w:r>
      <w:r w:rsidR="00B8660C">
        <w:rPr>
          <w:i/>
          <w:iCs/>
          <w:spacing w:val="-2"/>
          <w:szCs w:val="28"/>
        </w:rPr>
        <w:t>Amalia</w:t>
      </w:r>
      <w:r w:rsidRPr="00341ED2">
        <w:rPr>
          <w:rFonts w:eastAsia="Calibri"/>
          <w:bCs/>
          <w:iCs/>
          <w:szCs w:val="28"/>
          <w:lang w:val="es-CO" w:eastAsia="es-ES"/>
        </w:rPr>
        <w:t xml:space="preserve">, quien actuó como demandante en </w:t>
      </w:r>
      <w:r w:rsidRPr="00341ED2">
        <w:rPr>
          <w:rFonts w:eastAsiaTheme="minorHAnsi"/>
          <w:szCs w:val="28"/>
          <w:lang w:val="es-CO"/>
        </w:rPr>
        <w:t>el proceso de reparación directa que culminó con la sentencia que se cuestiona en esta oportunidad.</w:t>
      </w:r>
      <w:r w:rsidR="004E2674" w:rsidRPr="00341ED2">
        <w:rPr>
          <w:rFonts w:eastAsiaTheme="minorHAnsi"/>
          <w:szCs w:val="28"/>
          <w:lang w:val="es-CO"/>
        </w:rPr>
        <w:t xml:space="preserve"> De igual, forma, la legitimación por pasiva se extiende a los otros demandantes del proceso de reparación directa, quienes fueron vinculados al trámite de tutela por el juez de primera instancia.</w:t>
      </w:r>
      <w:r w:rsidRPr="00341ED2">
        <w:rPr>
          <w:rFonts w:eastAsiaTheme="minorHAnsi"/>
          <w:szCs w:val="28"/>
          <w:lang w:val="es-CO"/>
        </w:rPr>
        <w:t xml:space="preserve"> Así mismo, la tutela se interpuso en contra del Tribunal Administrativo de Norte de Santander, autoridad que profirió la providencia judicial cuestionada y, por lo tanto, de quien se predica la presunta vulneración de derechos fundamentales.</w:t>
      </w:r>
    </w:p>
    <w:p w14:paraId="657B7259" w14:textId="77777777" w:rsidR="00355E6F" w:rsidRPr="00341ED2" w:rsidRDefault="00355E6F" w:rsidP="00355E6F">
      <w:pPr>
        <w:pStyle w:val="Prrafodelista"/>
        <w:widowControl w:val="0"/>
        <w:autoSpaceDE w:val="0"/>
        <w:autoSpaceDN w:val="0"/>
        <w:adjustRightInd w:val="0"/>
        <w:ind w:left="0"/>
        <w:rPr>
          <w:rFonts w:eastAsiaTheme="minorHAnsi"/>
          <w:b/>
          <w:bCs/>
          <w:szCs w:val="28"/>
        </w:rPr>
      </w:pPr>
    </w:p>
    <w:p w14:paraId="38520B99" w14:textId="3F3D9A11" w:rsidR="00B25CC0" w:rsidRPr="00341ED2" w:rsidRDefault="00241ED7" w:rsidP="00B25CC0">
      <w:pPr>
        <w:pStyle w:val="Prrafodelista"/>
        <w:widowControl w:val="0"/>
        <w:numPr>
          <w:ilvl w:val="1"/>
          <w:numId w:val="17"/>
        </w:numPr>
        <w:autoSpaceDE w:val="0"/>
        <w:autoSpaceDN w:val="0"/>
        <w:adjustRightInd w:val="0"/>
        <w:rPr>
          <w:rFonts w:eastAsiaTheme="minorHAnsi"/>
          <w:i/>
          <w:iCs/>
          <w:szCs w:val="28"/>
        </w:rPr>
      </w:pPr>
      <w:r w:rsidRPr="00341ED2">
        <w:rPr>
          <w:rFonts w:eastAsiaTheme="minorHAnsi"/>
          <w:i/>
          <w:iCs/>
          <w:szCs w:val="28"/>
        </w:rPr>
        <w:t>Relevancia constitucional</w:t>
      </w:r>
      <w:r w:rsidRPr="00341ED2">
        <w:rPr>
          <w:rFonts w:eastAsiaTheme="minorHAnsi"/>
          <w:szCs w:val="28"/>
        </w:rPr>
        <w:t>.</w:t>
      </w:r>
      <w:r w:rsidRPr="00341ED2">
        <w:rPr>
          <w:rFonts w:eastAsiaTheme="minorHAnsi"/>
          <w:i/>
          <w:iCs/>
          <w:szCs w:val="28"/>
        </w:rPr>
        <w:t xml:space="preserve"> </w:t>
      </w:r>
      <w:r w:rsidRPr="00341ED2">
        <w:rPr>
          <w:szCs w:val="28"/>
          <w:shd w:val="clear" w:color="auto" w:fill="FFFFFF"/>
        </w:rPr>
        <w:t>La Sala advierte que el presente caso versa sobre un asunto de relevancia constitucional</w:t>
      </w:r>
      <w:r w:rsidR="00333851" w:rsidRPr="00341ED2">
        <w:rPr>
          <w:szCs w:val="28"/>
          <w:shd w:val="clear" w:color="auto" w:fill="FFFFFF"/>
        </w:rPr>
        <w:t xml:space="preserve"> </w:t>
      </w:r>
      <w:r w:rsidRPr="00341ED2">
        <w:rPr>
          <w:szCs w:val="28"/>
          <w:shd w:val="clear" w:color="auto" w:fill="FFFFFF"/>
        </w:rPr>
        <w:t xml:space="preserve">y no meramente </w:t>
      </w:r>
      <w:proofErr w:type="gramStart"/>
      <w:r w:rsidRPr="00341ED2">
        <w:rPr>
          <w:szCs w:val="28"/>
          <w:shd w:val="clear" w:color="auto" w:fill="FFFFFF"/>
        </w:rPr>
        <w:t>económico</w:t>
      </w:r>
      <w:proofErr w:type="gramEnd"/>
      <w:r w:rsidRPr="00341ED2">
        <w:rPr>
          <w:szCs w:val="28"/>
          <w:shd w:val="clear" w:color="auto" w:fill="FFFFFF"/>
        </w:rPr>
        <w:t xml:space="preserve"> o legal ni tampoco pretende reabrir un debate jurídico concluido en el proceso ordinario.</w:t>
      </w:r>
      <w:r w:rsidRPr="00341ED2">
        <w:rPr>
          <w:rStyle w:val="Refdenotaalpie"/>
          <w:szCs w:val="28"/>
          <w:shd w:val="clear" w:color="auto" w:fill="FFFFFF"/>
        </w:rPr>
        <w:footnoteReference w:id="66"/>
      </w:r>
      <w:r w:rsidR="00325967" w:rsidRPr="00341ED2">
        <w:rPr>
          <w:szCs w:val="28"/>
          <w:shd w:val="clear" w:color="auto" w:fill="FFFFFF"/>
        </w:rPr>
        <w:t xml:space="preserve"> En efecto, este caso involucra la protección de </w:t>
      </w:r>
      <w:r w:rsidR="00052188" w:rsidRPr="00341ED2">
        <w:rPr>
          <w:szCs w:val="28"/>
          <w:shd w:val="clear" w:color="auto" w:fill="FFFFFF"/>
        </w:rPr>
        <w:t xml:space="preserve">los </w:t>
      </w:r>
      <w:r w:rsidR="00325967" w:rsidRPr="00341ED2">
        <w:rPr>
          <w:szCs w:val="28"/>
          <w:shd w:val="clear" w:color="auto" w:fill="FFFFFF"/>
        </w:rPr>
        <w:t>derechos fundamentales de</w:t>
      </w:r>
      <w:r w:rsidR="00052188" w:rsidRPr="00341ED2">
        <w:rPr>
          <w:szCs w:val="28"/>
          <w:shd w:val="clear" w:color="auto" w:fill="FFFFFF"/>
        </w:rPr>
        <w:t xml:space="preserve"> una mujer cuyo hijo</w:t>
      </w:r>
      <w:r w:rsidR="00325967" w:rsidRPr="00341ED2">
        <w:rPr>
          <w:szCs w:val="28"/>
          <w:shd w:val="clear" w:color="auto" w:fill="FFFFFF"/>
        </w:rPr>
        <w:t xml:space="preserve"> sufrió un daño cerebral irreversible mientras prestaba el servicio militar obligatorio</w:t>
      </w:r>
      <w:r w:rsidR="00052188" w:rsidRPr="00341ED2">
        <w:rPr>
          <w:szCs w:val="28"/>
          <w:shd w:val="clear" w:color="auto" w:fill="FFFFFF"/>
        </w:rPr>
        <w:t xml:space="preserve">. Más allá de la pretensión de la accionante de recibir el pago de la indemnización judicial por la lesión sufrida por su hijo, este asunto involucra una discusión sobre la presunta </w:t>
      </w:r>
      <w:r w:rsidR="00B911A6" w:rsidRPr="00341ED2">
        <w:rPr>
          <w:szCs w:val="28"/>
          <w:shd w:val="clear" w:color="auto" w:fill="FFFFFF"/>
        </w:rPr>
        <w:t>violación</w:t>
      </w:r>
      <w:r w:rsidR="00052188" w:rsidRPr="00341ED2">
        <w:rPr>
          <w:szCs w:val="28"/>
          <w:shd w:val="clear" w:color="auto" w:fill="FFFFFF"/>
        </w:rPr>
        <w:t xml:space="preserve"> de</w:t>
      </w:r>
      <w:r w:rsidR="00B911A6" w:rsidRPr="00341ED2">
        <w:rPr>
          <w:szCs w:val="28"/>
          <w:shd w:val="clear" w:color="auto" w:fill="FFFFFF"/>
        </w:rPr>
        <w:t>l</w:t>
      </w:r>
      <w:r w:rsidR="006C31B7" w:rsidRPr="00341ED2">
        <w:rPr>
          <w:szCs w:val="28"/>
          <w:shd w:val="clear" w:color="auto" w:fill="FFFFFF"/>
        </w:rPr>
        <w:t xml:space="preserve"> derecho fundamental de</w:t>
      </w:r>
      <w:r w:rsidR="00052188" w:rsidRPr="00341ED2">
        <w:rPr>
          <w:szCs w:val="28"/>
          <w:shd w:val="clear" w:color="auto" w:fill="FFFFFF"/>
        </w:rPr>
        <w:t xml:space="preserve"> acceso a la administración de justicia </w:t>
      </w:r>
      <w:r w:rsidR="006C31B7" w:rsidRPr="00341ED2">
        <w:rPr>
          <w:szCs w:val="28"/>
          <w:shd w:val="clear" w:color="auto" w:fill="FFFFFF"/>
        </w:rPr>
        <w:t>derivada de</w:t>
      </w:r>
      <w:r w:rsidR="00052188" w:rsidRPr="00341ED2">
        <w:rPr>
          <w:szCs w:val="28"/>
          <w:shd w:val="clear" w:color="auto" w:fill="FFFFFF"/>
        </w:rPr>
        <w:t xml:space="preserve"> un</w:t>
      </w:r>
      <w:r w:rsidR="006C31B7" w:rsidRPr="00341ED2">
        <w:rPr>
          <w:szCs w:val="28"/>
          <w:shd w:val="clear" w:color="auto" w:fill="FFFFFF"/>
        </w:rPr>
        <w:t>a</w:t>
      </w:r>
      <w:r w:rsidR="00052188" w:rsidRPr="00341ED2">
        <w:rPr>
          <w:szCs w:val="28"/>
          <w:shd w:val="clear" w:color="auto" w:fill="FFFFFF"/>
        </w:rPr>
        <w:t xml:space="preserve"> </w:t>
      </w:r>
      <w:r w:rsidR="003C23E5" w:rsidRPr="00341ED2">
        <w:rPr>
          <w:szCs w:val="28"/>
          <w:shd w:val="clear" w:color="auto" w:fill="FFFFFF"/>
        </w:rPr>
        <w:t>indebida</w:t>
      </w:r>
      <w:r w:rsidR="00B25CC0" w:rsidRPr="00341ED2">
        <w:rPr>
          <w:szCs w:val="28"/>
          <w:shd w:val="clear" w:color="auto" w:fill="FFFFFF"/>
        </w:rPr>
        <w:t xml:space="preserve"> </w:t>
      </w:r>
      <w:r w:rsidR="006C31B7" w:rsidRPr="00341ED2">
        <w:rPr>
          <w:szCs w:val="28"/>
          <w:shd w:val="clear" w:color="auto" w:fill="FFFFFF"/>
        </w:rPr>
        <w:t>valoración probatoria</w:t>
      </w:r>
      <w:r w:rsidR="00052188" w:rsidRPr="00341ED2">
        <w:rPr>
          <w:szCs w:val="28"/>
          <w:shd w:val="clear" w:color="auto" w:fill="FFFFFF"/>
        </w:rPr>
        <w:t>. Esto tiene implicaciones constitucionales en la garantía de</w:t>
      </w:r>
      <w:r w:rsidR="00E14708" w:rsidRPr="00341ED2">
        <w:rPr>
          <w:szCs w:val="28"/>
          <w:shd w:val="clear" w:color="auto" w:fill="FFFFFF"/>
        </w:rPr>
        <w:t xml:space="preserve"> los derechos fundamentales </w:t>
      </w:r>
      <w:r w:rsidR="00052188" w:rsidRPr="00341ED2">
        <w:rPr>
          <w:szCs w:val="28"/>
          <w:shd w:val="clear" w:color="auto" w:fill="FFFFFF"/>
        </w:rPr>
        <w:t>de la accionante, su familia y, en particular, de su hijo</w:t>
      </w:r>
      <w:r w:rsidR="00E14708" w:rsidRPr="00341ED2">
        <w:rPr>
          <w:szCs w:val="28"/>
          <w:shd w:val="clear" w:color="auto" w:fill="FFFFFF"/>
        </w:rPr>
        <w:t>, quien depende de ella</w:t>
      </w:r>
      <w:r w:rsidR="00B911A6" w:rsidRPr="00341ED2">
        <w:rPr>
          <w:szCs w:val="28"/>
          <w:shd w:val="clear" w:color="auto" w:fill="FFFFFF"/>
        </w:rPr>
        <w:t xml:space="preserve">. Por lo anterior, la discusión que plantea la acción de tutela no es </w:t>
      </w:r>
      <w:r w:rsidR="00B25CC0" w:rsidRPr="00341ED2">
        <w:rPr>
          <w:szCs w:val="28"/>
          <w:shd w:val="clear" w:color="auto" w:fill="FFFFFF"/>
        </w:rPr>
        <w:t>solo</w:t>
      </w:r>
      <w:r w:rsidR="00B911A6" w:rsidRPr="00341ED2">
        <w:rPr>
          <w:szCs w:val="28"/>
          <w:shd w:val="clear" w:color="auto" w:fill="FFFFFF"/>
        </w:rPr>
        <w:t xml:space="preserve"> legal </w:t>
      </w:r>
      <w:r w:rsidR="00B911A6" w:rsidRPr="00341ED2">
        <w:rPr>
          <w:rFonts w:eastAsiaTheme="minorHAnsi"/>
          <w:szCs w:val="28"/>
          <w:lang w:val="es-CO"/>
        </w:rPr>
        <w:t>ni pretende reabrir un debate jurídico cerrado por el juez contencioso administrativo.</w:t>
      </w:r>
      <w:r w:rsidR="00217159" w:rsidRPr="00341ED2">
        <w:rPr>
          <w:rStyle w:val="Refdenotaalpie"/>
          <w:rFonts w:eastAsiaTheme="minorHAnsi"/>
          <w:szCs w:val="28"/>
          <w:lang w:val="es-CO"/>
        </w:rPr>
        <w:footnoteReference w:id="67"/>
      </w:r>
    </w:p>
    <w:p w14:paraId="4B429EBE" w14:textId="77777777" w:rsidR="00217159" w:rsidRPr="00341ED2" w:rsidRDefault="00217159" w:rsidP="00217159">
      <w:pPr>
        <w:pStyle w:val="Prrafodelista"/>
        <w:widowControl w:val="0"/>
        <w:autoSpaceDE w:val="0"/>
        <w:autoSpaceDN w:val="0"/>
        <w:adjustRightInd w:val="0"/>
        <w:ind w:left="0"/>
        <w:rPr>
          <w:rFonts w:eastAsiaTheme="minorHAnsi"/>
          <w:i/>
          <w:iCs/>
          <w:szCs w:val="28"/>
        </w:rPr>
      </w:pPr>
    </w:p>
    <w:p w14:paraId="7C792915" w14:textId="3EB0FA29" w:rsidR="00B911A6" w:rsidRPr="00341ED2" w:rsidRDefault="00B911A6"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i/>
          <w:iCs/>
          <w:szCs w:val="28"/>
        </w:rPr>
        <w:t>Subsidiariedad</w:t>
      </w:r>
      <w:r w:rsidRPr="00341ED2">
        <w:rPr>
          <w:rFonts w:eastAsiaTheme="minorHAnsi"/>
          <w:szCs w:val="28"/>
        </w:rPr>
        <w:t>.</w:t>
      </w:r>
      <w:r w:rsidR="00A0227C" w:rsidRPr="00341ED2">
        <w:rPr>
          <w:rFonts w:eastAsiaTheme="minorHAnsi"/>
          <w:szCs w:val="28"/>
        </w:rPr>
        <w:t xml:space="preserve"> </w:t>
      </w:r>
      <w:r w:rsidRPr="00341ED2">
        <w:rPr>
          <w:rFonts w:eastAsiaTheme="minorHAnsi"/>
          <w:szCs w:val="28"/>
          <w:lang w:val="es-CO"/>
        </w:rPr>
        <w:t xml:space="preserve">Los artículos 86 de la Carta Política y 6 del Decreto 2591 de 1991 señalan que la acción de tutela solo procede cuando el afectado no disponga de otro medio de defensa judicial, o cuando se utilice como un mecanismo transitorio para evitar la ocurrencia de un perjuicio irremediable. Sin embargo, esta Corporación ha establecido que </w:t>
      </w:r>
      <w:r w:rsidR="005B10AE" w:rsidRPr="00341ED2">
        <w:rPr>
          <w:rFonts w:eastAsiaTheme="minorHAnsi"/>
          <w:szCs w:val="28"/>
          <w:lang w:val="es-CO"/>
        </w:rPr>
        <w:t>«</w:t>
      </w:r>
      <w:r w:rsidRPr="00341ED2">
        <w:rPr>
          <w:rFonts w:eastAsiaTheme="minorHAnsi"/>
          <w:szCs w:val="28"/>
          <w:lang w:val="es-CO"/>
        </w:rPr>
        <w:t>un medio judicial únicamente excluye la acción de tutela cuando sirve en efecto y con suficiente aptitud a la salvaguarda del derecho fundamental invocado</w:t>
      </w:r>
      <w:r w:rsidR="005B10AE" w:rsidRPr="00341ED2">
        <w:rPr>
          <w:rFonts w:eastAsiaTheme="minorHAnsi"/>
          <w:szCs w:val="28"/>
          <w:lang w:val="es-CO"/>
        </w:rPr>
        <w:t>»</w:t>
      </w:r>
      <w:r w:rsidR="005B10AE" w:rsidRPr="00341ED2">
        <w:rPr>
          <w:rStyle w:val="Refdenotaalpie"/>
          <w:rFonts w:eastAsiaTheme="minorHAnsi"/>
          <w:szCs w:val="28"/>
          <w:lang w:val="es-CO"/>
        </w:rPr>
        <w:footnoteReference w:id="68"/>
      </w:r>
      <w:r w:rsidR="005B10AE" w:rsidRPr="00341ED2">
        <w:rPr>
          <w:rFonts w:eastAsiaTheme="minorHAnsi"/>
          <w:szCs w:val="28"/>
          <w:lang w:val="es-CO"/>
        </w:rPr>
        <w:t>.</w:t>
      </w:r>
    </w:p>
    <w:p w14:paraId="283B3739" w14:textId="77777777" w:rsidR="00260074" w:rsidRPr="00341ED2" w:rsidRDefault="00260074" w:rsidP="000F393F">
      <w:pPr>
        <w:pStyle w:val="Prrafodelista"/>
        <w:widowControl w:val="0"/>
        <w:autoSpaceDE w:val="0"/>
        <w:autoSpaceDN w:val="0"/>
        <w:adjustRightInd w:val="0"/>
        <w:ind w:left="0"/>
        <w:rPr>
          <w:rFonts w:eastAsiaTheme="minorHAnsi"/>
          <w:szCs w:val="28"/>
        </w:rPr>
      </w:pPr>
    </w:p>
    <w:p w14:paraId="69229CF3" w14:textId="18C945A4" w:rsidR="00E04C36" w:rsidRPr="00341ED2" w:rsidRDefault="00260074" w:rsidP="000F393F">
      <w:pPr>
        <w:pStyle w:val="Prrafodelista"/>
        <w:widowControl w:val="0"/>
        <w:numPr>
          <w:ilvl w:val="1"/>
          <w:numId w:val="17"/>
        </w:numPr>
        <w:autoSpaceDE w:val="0"/>
        <w:autoSpaceDN w:val="0"/>
        <w:adjustRightInd w:val="0"/>
        <w:rPr>
          <w:rFonts w:eastAsiaTheme="minorHAnsi"/>
          <w:szCs w:val="28"/>
        </w:rPr>
      </w:pPr>
      <w:r w:rsidRPr="00341ED2">
        <w:rPr>
          <w:szCs w:val="28"/>
          <w:shd w:val="clear" w:color="auto" w:fill="FFFFFF"/>
        </w:rPr>
        <w:t>En el presente caso, la Sala encuentra acreditado el requisito de subsidiariedad, pues</w:t>
      </w:r>
      <w:r w:rsidR="00B60BD9" w:rsidRPr="00341ED2">
        <w:rPr>
          <w:szCs w:val="28"/>
          <w:shd w:val="clear" w:color="auto" w:fill="FFFFFF"/>
        </w:rPr>
        <w:t xml:space="preserve"> la accionante no contaba con otro mecanismo idóneo y eficaz para controvertir </w:t>
      </w:r>
      <w:r w:rsidRPr="00341ED2">
        <w:rPr>
          <w:szCs w:val="28"/>
          <w:shd w:val="clear" w:color="auto" w:fill="FFFFFF"/>
        </w:rPr>
        <w:t xml:space="preserve">la decisión judicial </w:t>
      </w:r>
      <w:r w:rsidR="00B13B81" w:rsidRPr="00341ED2">
        <w:rPr>
          <w:szCs w:val="28"/>
          <w:shd w:val="clear" w:color="auto" w:fill="FFFFFF"/>
        </w:rPr>
        <w:t>del 11 de agosto de 2022 proferida por el Tribunal Administrativo de Norte de Santander. De un lado, al tratarse de una sentencia de segunda instancia, los recursos ordinarios de reposición y apelación son improcedentes, de conformidad con lo previsto en el artículo 243A, numerales 1 y 4, del CPACA.</w:t>
      </w:r>
      <w:r w:rsidR="00B13B81" w:rsidRPr="00341ED2">
        <w:rPr>
          <w:rStyle w:val="Refdenotaalpie"/>
          <w:szCs w:val="28"/>
          <w:shd w:val="clear" w:color="auto" w:fill="FFFFFF"/>
        </w:rPr>
        <w:footnoteReference w:id="69"/>
      </w:r>
      <w:r w:rsidR="00E04C36" w:rsidRPr="00341ED2">
        <w:rPr>
          <w:szCs w:val="28"/>
          <w:shd w:val="clear" w:color="auto" w:fill="FFFFFF"/>
        </w:rPr>
        <w:t xml:space="preserve"> De otro lado, los recursos extraordinarios de revisión y de unificación de jurisprudencia no son idóneos y eficaces para proteger los derechos fundamentales que </w:t>
      </w:r>
      <w:proofErr w:type="gramStart"/>
      <w:r w:rsidR="00E04C36" w:rsidRPr="00341ED2">
        <w:rPr>
          <w:szCs w:val="28"/>
          <w:shd w:val="clear" w:color="auto" w:fill="FFFFFF"/>
        </w:rPr>
        <w:t>la accionante estima vulnerados</w:t>
      </w:r>
      <w:proofErr w:type="gramEnd"/>
      <w:r w:rsidR="00E04C36" w:rsidRPr="00341ED2">
        <w:rPr>
          <w:szCs w:val="28"/>
          <w:shd w:val="clear" w:color="auto" w:fill="FFFFFF"/>
        </w:rPr>
        <w:t>.</w:t>
      </w:r>
    </w:p>
    <w:p w14:paraId="5823F957" w14:textId="77777777" w:rsidR="00E04C36" w:rsidRPr="00341ED2" w:rsidRDefault="00E04C36" w:rsidP="000F393F">
      <w:pPr>
        <w:pStyle w:val="Prrafodelista"/>
        <w:widowControl w:val="0"/>
        <w:autoSpaceDE w:val="0"/>
        <w:autoSpaceDN w:val="0"/>
        <w:adjustRightInd w:val="0"/>
        <w:ind w:left="0"/>
        <w:rPr>
          <w:rFonts w:eastAsiaTheme="minorHAnsi"/>
          <w:szCs w:val="28"/>
        </w:rPr>
      </w:pPr>
    </w:p>
    <w:p w14:paraId="4430767B" w14:textId="0514A98B" w:rsidR="00260074" w:rsidRPr="00341ED2" w:rsidRDefault="00B60BD9"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Sobre el recurso extraordinario de revisión, esta Corporación ha explicado que las causales de procedencia de este recurso «versan sobre hechos nuevos y externos al proceso que aparecen con posterioridad a la sentencia»</w:t>
      </w:r>
      <w:r w:rsidRPr="00341ED2">
        <w:rPr>
          <w:rStyle w:val="Refdenotaalpie"/>
          <w:rFonts w:eastAsiaTheme="minorHAnsi"/>
          <w:szCs w:val="28"/>
        </w:rPr>
        <w:footnoteReference w:id="70"/>
      </w:r>
      <w:r w:rsidRPr="00341ED2">
        <w:rPr>
          <w:rFonts w:eastAsiaTheme="minorHAnsi"/>
          <w:szCs w:val="28"/>
        </w:rPr>
        <w:t xml:space="preserve">. Por lo que la acción de tutela desplazará el recurso extraordinario de revisión </w:t>
      </w:r>
      <w:r w:rsidR="00BB69C0" w:rsidRPr="00341ED2">
        <w:rPr>
          <w:rFonts w:eastAsiaTheme="minorHAnsi"/>
          <w:szCs w:val="28"/>
        </w:rPr>
        <w:t>«</w:t>
      </w:r>
      <w:r w:rsidRPr="00341ED2">
        <w:rPr>
          <w:rFonts w:eastAsiaTheme="minorHAnsi"/>
          <w:szCs w:val="28"/>
        </w:rPr>
        <w:t>siempre que (</w:t>
      </w:r>
      <w:r w:rsidRPr="00341ED2">
        <w:rPr>
          <w:rFonts w:eastAsiaTheme="minorHAnsi"/>
          <w:i/>
          <w:iCs/>
          <w:szCs w:val="28"/>
        </w:rPr>
        <w:t>i</w:t>
      </w:r>
      <w:r w:rsidRPr="00341ED2">
        <w:rPr>
          <w:rFonts w:eastAsiaTheme="minorHAnsi"/>
          <w:szCs w:val="28"/>
        </w:rPr>
        <w:t>) el derecho fundamental cuya protección se solicita no sea susceptible de ser protegido de manera integral dentro del trámite del recurso; y (</w:t>
      </w:r>
      <w:r w:rsidRPr="00341ED2">
        <w:rPr>
          <w:rFonts w:eastAsiaTheme="minorHAnsi"/>
          <w:i/>
          <w:iCs/>
          <w:szCs w:val="28"/>
        </w:rPr>
        <w:t>ii</w:t>
      </w:r>
      <w:r w:rsidRPr="00341ED2">
        <w:rPr>
          <w:rFonts w:eastAsiaTheme="minorHAnsi"/>
          <w:szCs w:val="28"/>
        </w:rPr>
        <w:t>) las causales de revisión no se encuadren dentro de los hechos denunciados por el accionante»</w:t>
      </w:r>
      <w:r w:rsidR="00BB69C0" w:rsidRPr="00341ED2">
        <w:rPr>
          <w:rStyle w:val="Refdenotaalpie"/>
          <w:rFonts w:eastAsiaTheme="minorHAnsi"/>
          <w:szCs w:val="28"/>
        </w:rPr>
        <w:footnoteReference w:id="71"/>
      </w:r>
      <w:r w:rsidR="00BB69C0" w:rsidRPr="00341ED2">
        <w:rPr>
          <w:rFonts w:eastAsiaTheme="minorHAnsi"/>
          <w:szCs w:val="28"/>
        </w:rPr>
        <w:t>.</w:t>
      </w:r>
    </w:p>
    <w:p w14:paraId="25DBF678" w14:textId="77777777" w:rsidR="00634673" w:rsidRPr="00341ED2" w:rsidRDefault="00634673" w:rsidP="000F393F">
      <w:pPr>
        <w:pStyle w:val="Prrafodelista"/>
        <w:widowControl w:val="0"/>
        <w:autoSpaceDE w:val="0"/>
        <w:autoSpaceDN w:val="0"/>
        <w:adjustRightInd w:val="0"/>
        <w:ind w:left="0"/>
        <w:rPr>
          <w:rFonts w:eastAsiaTheme="minorHAnsi"/>
          <w:szCs w:val="28"/>
        </w:rPr>
      </w:pPr>
    </w:p>
    <w:p w14:paraId="13E2042D" w14:textId="6E1423D0" w:rsidR="00241ED7" w:rsidRPr="00341ED2" w:rsidRDefault="00634673"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 xml:space="preserve">En cuanto al recurso extraordinario de unificación de jurisprudencia, el artículo 256 del CPACA establece que este procede </w:t>
      </w:r>
      <w:r w:rsidRPr="00341ED2">
        <w:rPr>
          <w:szCs w:val="28"/>
        </w:rPr>
        <w:t xml:space="preserve">«cuando la sentencia impugnada contraríe o se oponga a una sentencia de unificación del Consejo de Estado», siempre que se promueva «contra las sentencias dictadas en única y en segunda instancia por los tribunales administrativos, tanto para los procesos que se rigen por el Decreto 01 de 1984 como para aquellos que se tramitan por la Ley 1437 de 2011». </w:t>
      </w:r>
    </w:p>
    <w:p w14:paraId="1D3795E9" w14:textId="77777777" w:rsidR="00634673" w:rsidRPr="00341ED2" w:rsidRDefault="00634673" w:rsidP="000F393F">
      <w:pPr>
        <w:pStyle w:val="Prrafodelista"/>
        <w:widowControl w:val="0"/>
        <w:autoSpaceDE w:val="0"/>
        <w:autoSpaceDN w:val="0"/>
        <w:adjustRightInd w:val="0"/>
        <w:ind w:left="0"/>
        <w:rPr>
          <w:rFonts w:eastAsiaTheme="minorHAnsi"/>
          <w:szCs w:val="28"/>
        </w:rPr>
      </w:pPr>
    </w:p>
    <w:p w14:paraId="670D2D56" w14:textId="653A3111" w:rsidR="00634673" w:rsidRPr="00341ED2" w:rsidRDefault="00634673"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 xml:space="preserve">De acuerdo con lo anterior, los recursos </w:t>
      </w:r>
      <w:r w:rsidRPr="00341ED2">
        <w:rPr>
          <w:rFonts w:eastAsiaTheme="minorHAnsi"/>
          <w:szCs w:val="28"/>
          <w:lang w:val="es-CO"/>
        </w:rPr>
        <w:t>extraordinarios de revisión y de unificación de jurisprudencia no son idóneos y eficaces para corregir el defecto fáctico por</w:t>
      </w:r>
      <w:r w:rsidR="00E14708" w:rsidRPr="00341ED2">
        <w:rPr>
          <w:rFonts w:eastAsiaTheme="minorHAnsi"/>
          <w:szCs w:val="28"/>
          <w:lang w:val="es-CO"/>
        </w:rPr>
        <w:t xml:space="preserve"> </w:t>
      </w:r>
      <w:r w:rsidR="003C23E5" w:rsidRPr="00341ED2">
        <w:rPr>
          <w:rFonts w:eastAsiaTheme="minorHAnsi"/>
          <w:szCs w:val="28"/>
          <w:lang w:val="es-CO"/>
        </w:rPr>
        <w:t>indebida</w:t>
      </w:r>
      <w:r w:rsidR="00E14708" w:rsidRPr="00341ED2">
        <w:rPr>
          <w:rFonts w:eastAsiaTheme="minorHAnsi"/>
          <w:szCs w:val="28"/>
          <w:lang w:val="es-CO"/>
        </w:rPr>
        <w:t xml:space="preserve"> </w:t>
      </w:r>
      <w:r w:rsidRPr="00341ED2">
        <w:rPr>
          <w:rFonts w:eastAsiaTheme="minorHAnsi"/>
          <w:szCs w:val="28"/>
          <w:lang w:val="es-CO"/>
        </w:rPr>
        <w:t>valoración probatoria en que presuntamente incurrió el Tribunal Administrativo de Norte de Santander.</w:t>
      </w:r>
      <w:r w:rsidR="000A5B7C" w:rsidRPr="00341ED2">
        <w:rPr>
          <w:rFonts w:eastAsiaTheme="minorHAnsi"/>
          <w:szCs w:val="28"/>
          <w:lang w:val="es-CO"/>
        </w:rPr>
        <w:t xml:space="preserve"> </w:t>
      </w:r>
      <w:r w:rsidRPr="00341ED2">
        <w:rPr>
          <w:rFonts w:eastAsiaTheme="minorHAnsi"/>
          <w:szCs w:val="28"/>
          <w:lang w:val="es-CO"/>
        </w:rPr>
        <w:t>Esto, porque (</w:t>
      </w:r>
      <w:r w:rsidRPr="00341ED2">
        <w:rPr>
          <w:rFonts w:eastAsiaTheme="minorHAnsi"/>
          <w:i/>
          <w:iCs/>
          <w:szCs w:val="28"/>
          <w:lang w:val="es-CO"/>
        </w:rPr>
        <w:t>i</w:t>
      </w:r>
      <w:r w:rsidRPr="00341ED2">
        <w:rPr>
          <w:rFonts w:eastAsiaTheme="minorHAnsi"/>
          <w:szCs w:val="28"/>
          <w:lang w:val="es-CO"/>
        </w:rPr>
        <w:t xml:space="preserve">) las causales de procedencia del recurso de revisión no se encuadran en los defectos alegados por </w:t>
      </w:r>
      <w:r w:rsidR="000A5B7C" w:rsidRPr="00341ED2">
        <w:rPr>
          <w:rFonts w:eastAsiaTheme="minorHAnsi"/>
          <w:szCs w:val="28"/>
          <w:lang w:val="es-CO"/>
        </w:rPr>
        <w:t>la</w:t>
      </w:r>
      <w:r w:rsidRPr="00341ED2">
        <w:rPr>
          <w:rFonts w:eastAsiaTheme="minorHAnsi"/>
          <w:szCs w:val="28"/>
          <w:lang w:val="es-CO"/>
        </w:rPr>
        <w:t xml:space="preserve"> accionante</w:t>
      </w:r>
      <w:r w:rsidR="00FC11F2" w:rsidRPr="00341ED2">
        <w:rPr>
          <w:rFonts w:eastAsiaTheme="minorHAnsi"/>
          <w:szCs w:val="28"/>
          <w:lang w:val="es-CO"/>
        </w:rPr>
        <w:t xml:space="preserve"> en tanto</w:t>
      </w:r>
      <w:r w:rsidRPr="00341ED2">
        <w:rPr>
          <w:rFonts w:eastAsiaTheme="minorHAnsi"/>
          <w:szCs w:val="28"/>
          <w:lang w:val="es-CO"/>
        </w:rPr>
        <w:t xml:space="preserve"> no tienen fundamento en circunstancias no conocidas en el momento de adoptar la decisión o acaecidas con posterioridad a la decisión</w:t>
      </w:r>
      <w:r w:rsidR="00A944C9" w:rsidRPr="00341ED2">
        <w:rPr>
          <w:rFonts w:eastAsiaTheme="minorHAnsi"/>
          <w:szCs w:val="28"/>
          <w:lang w:val="es-CO"/>
        </w:rPr>
        <w:t>, como lo exige la jurisprudencia</w:t>
      </w:r>
      <w:r w:rsidR="00FC11F2" w:rsidRPr="00341ED2">
        <w:rPr>
          <w:rStyle w:val="Refdenotaalpie"/>
          <w:rFonts w:eastAsiaTheme="minorHAnsi"/>
          <w:szCs w:val="28"/>
          <w:lang w:val="es-CO"/>
        </w:rPr>
        <w:footnoteReference w:id="72"/>
      </w:r>
      <w:r w:rsidRPr="00341ED2">
        <w:rPr>
          <w:rFonts w:eastAsiaTheme="minorHAnsi"/>
          <w:szCs w:val="28"/>
          <w:lang w:val="es-CO"/>
        </w:rPr>
        <w:t>; y (</w:t>
      </w:r>
      <w:r w:rsidRPr="00341ED2">
        <w:rPr>
          <w:rFonts w:eastAsiaTheme="minorHAnsi"/>
          <w:i/>
          <w:iCs/>
          <w:szCs w:val="28"/>
          <w:lang w:val="es-CO"/>
        </w:rPr>
        <w:t>ii</w:t>
      </w:r>
      <w:r w:rsidRPr="00341ED2">
        <w:rPr>
          <w:rFonts w:eastAsiaTheme="minorHAnsi"/>
          <w:szCs w:val="28"/>
          <w:lang w:val="es-CO"/>
        </w:rPr>
        <w:t>)</w:t>
      </w:r>
      <w:r w:rsidR="000A5B7C" w:rsidRPr="00341ED2">
        <w:rPr>
          <w:rFonts w:eastAsiaTheme="minorHAnsi"/>
          <w:szCs w:val="28"/>
          <w:lang w:val="es-CO"/>
        </w:rPr>
        <w:t>, aunque</w:t>
      </w:r>
      <w:r w:rsidRPr="00341ED2">
        <w:rPr>
          <w:rFonts w:eastAsiaTheme="minorHAnsi"/>
          <w:szCs w:val="28"/>
          <w:lang w:val="es-CO"/>
        </w:rPr>
        <w:t xml:space="preserve"> </w:t>
      </w:r>
      <w:r w:rsidR="000A5B7C" w:rsidRPr="00341ED2">
        <w:rPr>
          <w:rFonts w:eastAsiaTheme="minorHAnsi"/>
          <w:szCs w:val="28"/>
          <w:lang w:val="es-CO"/>
        </w:rPr>
        <w:t>la</w:t>
      </w:r>
      <w:r w:rsidRPr="00341ED2">
        <w:rPr>
          <w:rFonts w:eastAsiaTheme="minorHAnsi"/>
          <w:szCs w:val="28"/>
          <w:lang w:val="es-CO"/>
        </w:rPr>
        <w:t xml:space="preserve"> accionante acusa la providencia cuestionada de desconocer </w:t>
      </w:r>
      <w:r w:rsidR="000A5B7C" w:rsidRPr="00341ED2">
        <w:rPr>
          <w:rFonts w:eastAsiaTheme="minorHAnsi"/>
          <w:szCs w:val="28"/>
          <w:lang w:val="es-CO"/>
        </w:rPr>
        <w:t xml:space="preserve">el precedente, no la acusa directamente de desconocer una </w:t>
      </w:r>
      <w:r w:rsidRPr="00341ED2">
        <w:rPr>
          <w:rFonts w:eastAsiaTheme="minorHAnsi"/>
          <w:szCs w:val="28"/>
          <w:lang w:val="es-CO"/>
        </w:rPr>
        <w:t>sentencia de unificación del Consejo de Estado.</w:t>
      </w:r>
    </w:p>
    <w:p w14:paraId="6B07800A" w14:textId="77777777" w:rsidR="00FC11F2" w:rsidRPr="00341ED2" w:rsidRDefault="00FC11F2" w:rsidP="000F393F">
      <w:pPr>
        <w:pStyle w:val="Prrafodelista"/>
        <w:widowControl w:val="0"/>
        <w:autoSpaceDE w:val="0"/>
        <w:autoSpaceDN w:val="0"/>
        <w:adjustRightInd w:val="0"/>
        <w:ind w:left="0"/>
        <w:rPr>
          <w:rFonts w:eastAsiaTheme="minorHAnsi"/>
          <w:szCs w:val="28"/>
        </w:rPr>
      </w:pPr>
    </w:p>
    <w:p w14:paraId="052F4FB8" w14:textId="77777777" w:rsidR="00023EB3" w:rsidRPr="00341ED2" w:rsidRDefault="009A5BD3"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i/>
          <w:iCs/>
          <w:szCs w:val="28"/>
        </w:rPr>
        <w:t>Inmediatez</w:t>
      </w:r>
      <w:r w:rsidRPr="00341ED2">
        <w:rPr>
          <w:rFonts w:eastAsiaTheme="minorHAnsi"/>
          <w:szCs w:val="28"/>
        </w:rPr>
        <w:t xml:space="preserve">. La jurisprudencia constitucional destaca que la acción de tutela debe interponerse en un término prudencial contado a partir de la acción u omisión que amenaza o genera una afectación a los derechos fundamentales. Sobre el particular, la </w:t>
      </w:r>
      <w:r w:rsidR="000423DB" w:rsidRPr="00341ED2">
        <w:rPr>
          <w:rFonts w:eastAsiaTheme="minorHAnsi"/>
          <w:szCs w:val="28"/>
        </w:rPr>
        <w:t xml:space="preserve">Sala Plena </w:t>
      </w:r>
      <w:r w:rsidRPr="00341ED2">
        <w:rPr>
          <w:rFonts w:eastAsiaTheme="minorHAnsi"/>
          <w:szCs w:val="28"/>
        </w:rPr>
        <w:t xml:space="preserve">estimó que </w:t>
      </w:r>
      <w:r w:rsidR="002C0D4A" w:rsidRPr="00341ED2">
        <w:rPr>
          <w:rFonts w:eastAsiaTheme="minorHAnsi"/>
          <w:szCs w:val="28"/>
        </w:rPr>
        <w:t>«</w:t>
      </w:r>
      <w:r w:rsidRPr="00341ED2">
        <w:rPr>
          <w:rFonts w:eastAsiaTheme="minorHAnsi"/>
          <w:szCs w:val="28"/>
        </w:rPr>
        <w:t>la inexistencia de un término de caducidad no puede significar que la acción de tutela no deba interponerse dentro de un plazo razonable. La razonabilidad de este plazo está determinada por la finalidad misma de la tutela, que debe ser ponderada en cada caso concreto</w:t>
      </w:r>
      <w:r w:rsidR="002C0D4A" w:rsidRPr="00341ED2">
        <w:rPr>
          <w:rFonts w:eastAsiaTheme="minorHAnsi"/>
          <w:szCs w:val="28"/>
        </w:rPr>
        <w:t>»</w:t>
      </w:r>
      <w:r w:rsidR="000423DB" w:rsidRPr="00341ED2">
        <w:rPr>
          <w:rStyle w:val="Refdenotaalpie"/>
          <w:rFonts w:eastAsiaTheme="minorHAnsi"/>
          <w:szCs w:val="28"/>
        </w:rPr>
        <w:footnoteReference w:id="73"/>
      </w:r>
      <w:r w:rsidRPr="00341ED2">
        <w:rPr>
          <w:rFonts w:eastAsiaTheme="minorHAnsi"/>
          <w:szCs w:val="28"/>
        </w:rPr>
        <w:t>.</w:t>
      </w:r>
    </w:p>
    <w:p w14:paraId="60FBAE76" w14:textId="77777777" w:rsidR="00023EB3" w:rsidRPr="00341ED2" w:rsidRDefault="00023EB3" w:rsidP="000F393F">
      <w:pPr>
        <w:pStyle w:val="Prrafodelista"/>
        <w:widowControl w:val="0"/>
        <w:autoSpaceDE w:val="0"/>
        <w:autoSpaceDN w:val="0"/>
        <w:adjustRightInd w:val="0"/>
        <w:ind w:left="0"/>
        <w:rPr>
          <w:rFonts w:eastAsiaTheme="minorHAnsi"/>
          <w:szCs w:val="28"/>
        </w:rPr>
      </w:pPr>
    </w:p>
    <w:p w14:paraId="6260F216" w14:textId="092F9630" w:rsidR="005748B0" w:rsidRPr="00341ED2" w:rsidRDefault="009A5BD3"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 xml:space="preserve">En el caso analizado, la decisión judicial cuestionada se profirió el </w:t>
      </w:r>
      <w:r w:rsidR="00023EB3" w:rsidRPr="00341ED2">
        <w:rPr>
          <w:rFonts w:eastAsiaTheme="minorHAnsi"/>
          <w:szCs w:val="28"/>
        </w:rPr>
        <w:t>11</w:t>
      </w:r>
      <w:r w:rsidRPr="00341ED2">
        <w:rPr>
          <w:rFonts w:eastAsiaTheme="minorHAnsi"/>
          <w:szCs w:val="28"/>
        </w:rPr>
        <w:t xml:space="preserve"> de </w:t>
      </w:r>
      <w:r w:rsidR="00023EB3" w:rsidRPr="00341ED2">
        <w:rPr>
          <w:rFonts w:eastAsiaTheme="minorHAnsi"/>
          <w:szCs w:val="28"/>
        </w:rPr>
        <w:t>agosto</w:t>
      </w:r>
      <w:r w:rsidRPr="00341ED2">
        <w:rPr>
          <w:rFonts w:eastAsiaTheme="minorHAnsi"/>
          <w:szCs w:val="28"/>
        </w:rPr>
        <w:t xml:space="preserve"> de 202</w:t>
      </w:r>
      <w:r w:rsidR="00023EB3" w:rsidRPr="00341ED2">
        <w:rPr>
          <w:rFonts w:eastAsiaTheme="minorHAnsi"/>
          <w:szCs w:val="28"/>
        </w:rPr>
        <w:t xml:space="preserve">2 y fue notificada a la señora </w:t>
      </w:r>
      <w:r w:rsidR="00B8660C">
        <w:rPr>
          <w:i/>
          <w:iCs/>
          <w:spacing w:val="-2"/>
          <w:szCs w:val="28"/>
        </w:rPr>
        <w:t>Amalia</w:t>
      </w:r>
      <w:r w:rsidR="00B8660C" w:rsidRPr="00341ED2">
        <w:rPr>
          <w:rFonts w:eastAsiaTheme="minorHAnsi"/>
          <w:szCs w:val="28"/>
        </w:rPr>
        <w:t xml:space="preserve"> </w:t>
      </w:r>
      <w:r w:rsidR="00023EB3" w:rsidRPr="00341ED2">
        <w:rPr>
          <w:rFonts w:eastAsiaTheme="minorHAnsi"/>
          <w:szCs w:val="28"/>
        </w:rPr>
        <w:t>el 12 de diciembre del mismo año. A su turno, la accionante presentó la solicitud de amparo el 13 de abril de 2023, esto es, cuatro meses después de haber sido notificada de la decisión del Tribunal Administrativo de Norte de Santander, lo que, a juicio de la Sala, constituye un plazo razonable.</w:t>
      </w:r>
    </w:p>
    <w:p w14:paraId="1CEB5930" w14:textId="77777777" w:rsidR="005748B0" w:rsidRPr="00341ED2" w:rsidRDefault="005748B0" w:rsidP="000F393F">
      <w:pPr>
        <w:pStyle w:val="Prrafodelista"/>
        <w:widowControl w:val="0"/>
        <w:autoSpaceDE w:val="0"/>
        <w:autoSpaceDN w:val="0"/>
        <w:adjustRightInd w:val="0"/>
        <w:ind w:left="0"/>
        <w:rPr>
          <w:rFonts w:eastAsiaTheme="minorHAnsi"/>
          <w:szCs w:val="28"/>
        </w:rPr>
      </w:pPr>
    </w:p>
    <w:p w14:paraId="4215F0BE" w14:textId="6FF200AA" w:rsidR="005748B0" w:rsidRPr="00341ED2" w:rsidRDefault="005748B0" w:rsidP="000F393F">
      <w:pPr>
        <w:pStyle w:val="Prrafodelista"/>
        <w:widowControl w:val="0"/>
        <w:numPr>
          <w:ilvl w:val="1"/>
          <w:numId w:val="17"/>
        </w:numPr>
        <w:autoSpaceDE w:val="0"/>
        <w:autoSpaceDN w:val="0"/>
        <w:adjustRightInd w:val="0"/>
        <w:rPr>
          <w:rFonts w:eastAsiaTheme="minorHAnsi"/>
          <w:szCs w:val="28"/>
        </w:rPr>
      </w:pPr>
      <w:r w:rsidRPr="00341ED2">
        <w:rPr>
          <w:rFonts w:eastAsiaTheme="minorHAnsi"/>
          <w:i/>
          <w:iCs/>
          <w:lang w:val="es-CO"/>
        </w:rPr>
        <w:t xml:space="preserve">La solicitud de amparo cumple con los demás requisitos de </w:t>
      </w:r>
      <w:proofErr w:type="spellStart"/>
      <w:r w:rsidRPr="00341ED2">
        <w:rPr>
          <w:rFonts w:eastAsiaTheme="minorHAnsi"/>
          <w:i/>
          <w:iCs/>
          <w:lang w:val="es-CO"/>
        </w:rPr>
        <w:t>procedibilidad</w:t>
      </w:r>
      <w:proofErr w:type="spellEnd"/>
      <w:r w:rsidRPr="00341ED2">
        <w:rPr>
          <w:rFonts w:eastAsiaTheme="minorHAnsi"/>
          <w:i/>
          <w:iCs/>
          <w:lang w:val="es-CO"/>
        </w:rPr>
        <w:t xml:space="preserve"> de la acción de tutela contra providencia</w:t>
      </w:r>
      <w:r w:rsidRPr="00341ED2">
        <w:rPr>
          <w:rFonts w:eastAsiaTheme="minorHAnsi"/>
          <w:i/>
          <w:iCs/>
        </w:rPr>
        <w:t>s</w:t>
      </w:r>
      <w:r w:rsidRPr="00341ED2">
        <w:rPr>
          <w:rFonts w:eastAsiaTheme="minorHAnsi"/>
          <w:i/>
          <w:iCs/>
          <w:lang w:val="es-CO"/>
        </w:rPr>
        <w:t xml:space="preserve"> judicial</w:t>
      </w:r>
      <w:r w:rsidRPr="00341ED2">
        <w:rPr>
          <w:rFonts w:eastAsiaTheme="minorHAnsi"/>
          <w:i/>
          <w:iCs/>
        </w:rPr>
        <w:t>es</w:t>
      </w:r>
      <w:r w:rsidRPr="00341ED2">
        <w:rPr>
          <w:rFonts w:eastAsiaTheme="minorHAnsi"/>
          <w:lang w:val="es-CO"/>
        </w:rPr>
        <w:t>. E</w:t>
      </w:r>
      <w:r w:rsidRPr="00341ED2">
        <w:rPr>
          <w:rFonts w:eastAsiaTheme="minorHAnsi"/>
        </w:rPr>
        <w:t>n efecto, la</w:t>
      </w:r>
      <w:r w:rsidRPr="00341ED2">
        <w:rPr>
          <w:rFonts w:eastAsiaTheme="minorHAnsi"/>
          <w:lang w:val="es-CO"/>
        </w:rPr>
        <w:t xml:space="preserve"> accionante </w:t>
      </w:r>
      <w:r w:rsidRPr="00341ED2">
        <w:rPr>
          <w:rFonts w:eastAsiaTheme="minorHAnsi"/>
          <w:i/>
          <w:iCs/>
          <w:lang w:val="es-CO"/>
        </w:rPr>
        <w:t>identificó de forma razonable</w:t>
      </w:r>
      <w:r w:rsidRPr="00341ED2">
        <w:rPr>
          <w:rFonts w:eastAsiaTheme="minorHAnsi"/>
          <w:lang w:val="es-CO"/>
        </w:rPr>
        <w:t xml:space="preserve"> las irregularidades de las providencias cuestionadas que, en su criterio, fueron trascendentales en la violación de sus derechos fundamentales. De igual forma, la solicitud de amparo </w:t>
      </w:r>
      <w:r w:rsidRPr="00341ED2">
        <w:rPr>
          <w:rFonts w:eastAsiaTheme="minorHAnsi"/>
          <w:i/>
          <w:iCs/>
          <w:lang w:val="es-CO"/>
        </w:rPr>
        <w:t>no se dirige en contra de una sentencia de tutela</w:t>
      </w:r>
      <w:r w:rsidRPr="00341ED2">
        <w:rPr>
          <w:rFonts w:eastAsiaTheme="minorHAnsi"/>
          <w:lang w:val="es-CO"/>
        </w:rPr>
        <w:t>.</w:t>
      </w:r>
    </w:p>
    <w:p w14:paraId="3C701586" w14:textId="77777777" w:rsidR="005748B0" w:rsidRPr="00341ED2" w:rsidRDefault="005748B0" w:rsidP="000F393F">
      <w:pPr>
        <w:pStyle w:val="Prrafodelista"/>
        <w:widowControl w:val="0"/>
        <w:autoSpaceDE w:val="0"/>
        <w:autoSpaceDN w:val="0"/>
        <w:adjustRightInd w:val="0"/>
        <w:ind w:left="0"/>
        <w:rPr>
          <w:rFonts w:eastAsiaTheme="minorHAnsi"/>
          <w:szCs w:val="28"/>
        </w:rPr>
      </w:pPr>
    </w:p>
    <w:p w14:paraId="7D28BFDA" w14:textId="0BCEB0D8" w:rsidR="0016784C" w:rsidRPr="00341ED2" w:rsidRDefault="005748B0" w:rsidP="000F393F">
      <w:pPr>
        <w:pStyle w:val="Prrafodelista"/>
        <w:widowControl w:val="0"/>
        <w:numPr>
          <w:ilvl w:val="1"/>
          <w:numId w:val="17"/>
        </w:numPr>
        <w:autoSpaceDE w:val="0"/>
        <w:autoSpaceDN w:val="0"/>
        <w:adjustRightInd w:val="0"/>
        <w:rPr>
          <w:rFonts w:eastAsiaTheme="minorHAnsi"/>
          <w:szCs w:val="28"/>
        </w:rPr>
      </w:pPr>
      <w:r w:rsidRPr="00341ED2">
        <w:rPr>
          <w:szCs w:val="28"/>
          <w:shd w:val="clear" w:color="auto" w:fill="FFFFFF"/>
        </w:rPr>
        <w:t xml:space="preserve">Así las cosas, la Sala concluye que </w:t>
      </w:r>
      <w:r w:rsidR="0086077A" w:rsidRPr="00341ED2">
        <w:rPr>
          <w:szCs w:val="28"/>
          <w:shd w:val="clear" w:color="auto" w:fill="FFFFFF"/>
        </w:rPr>
        <w:t>el presente asunto</w:t>
      </w:r>
      <w:r w:rsidR="00750C66" w:rsidRPr="00341ED2">
        <w:rPr>
          <w:szCs w:val="28"/>
          <w:shd w:val="clear" w:color="auto" w:fill="FFFFFF"/>
        </w:rPr>
        <w:t xml:space="preserve"> </w:t>
      </w:r>
      <w:r w:rsidRPr="00341ED2">
        <w:rPr>
          <w:szCs w:val="28"/>
          <w:shd w:val="clear" w:color="auto" w:fill="FFFFFF"/>
        </w:rPr>
        <w:t xml:space="preserve">satisface los requisitos generales de </w:t>
      </w:r>
      <w:proofErr w:type="spellStart"/>
      <w:r w:rsidRPr="00341ED2">
        <w:rPr>
          <w:szCs w:val="28"/>
          <w:shd w:val="clear" w:color="auto" w:fill="FFFFFF"/>
        </w:rPr>
        <w:t>procedibilidad</w:t>
      </w:r>
      <w:proofErr w:type="spellEnd"/>
      <w:r w:rsidRPr="00341ED2">
        <w:rPr>
          <w:szCs w:val="28"/>
          <w:shd w:val="clear" w:color="auto" w:fill="FFFFFF"/>
        </w:rPr>
        <w:t xml:space="preserve"> de las acciones de tutela en contra de providencias judiciales</w:t>
      </w:r>
      <w:r w:rsidR="0086077A" w:rsidRPr="00341ED2">
        <w:rPr>
          <w:szCs w:val="28"/>
          <w:shd w:val="clear" w:color="auto" w:fill="FFFFFF"/>
        </w:rPr>
        <w:t>.</w:t>
      </w:r>
    </w:p>
    <w:p w14:paraId="34C3BA0D" w14:textId="77777777" w:rsidR="00214733" w:rsidRPr="00341ED2" w:rsidRDefault="00214733" w:rsidP="00214733">
      <w:pPr>
        <w:pStyle w:val="Prrafodelista"/>
        <w:widowControl w:val="0"/>
        <w:autoSpaceDE w:val="0"/>
        <w:autoSpaceDN w:val="0"/>
        <w:adjustRightInd w:val="0"/>
        <w:ind w:left="0"/>
        <w:rPr>
          <w:rFonts w:eastAsiaTheme="minorHAnsi"/>
          <w:szCs w:val="28"/>
        </w:rPr>
      </w:pPr>
    </w:p>
    <w:p w14:paraId="3227C374" w14:textId="6550E803" w:rsidR="005C6AF4" w:rsidRPr="00341ED2" w:rsidRDefault="00BF7BEC" w:rsidP="000F393F">
      <w:pPr>
        <w:pStyle w:val="Prrafodelista"/>
        <w:widowControl w:val="0"/>
        <w:numPr>
          <w:ilvl w:val="0"/>
          <w:numId w:val="17"/>
        </w:numPr>
        <w:autoSpaceDE w:val="0"/>
        <w:autoSpaceDN w:val="0"/>
        <w:adjustRightInd w:val="0"/>
        <w:spacing w:after="160"/>
        <w:rPr>
          <w:rFonts w:eastAsiaTheme="minorHAnsi"/>
          <w:b/>
          <w:bCs/>
          <w:szCs w:val="28"/>
        </w:rPr>
      </w:pPr>
      <w:r w:rsidRPr="00341ED2">
        <w:rPr>
          <w:b/>
          <w:bCs/>
          <w:szCs w:val="28"/>
          <w:shd w:val="clear" w:color="auto" w:fill="FFFFFF"/>
        </w:rPr>
        <w:t>Los requisitos </w:t>
      </w:r>
      <w:bookmarkStart w:id="12" w:name="_Hlk516508798"/>
      <w:r w:rsidRPr="00341ED2">
        <w:rPr>
          <w:b/>
          <w:bCs/>
          <w:szCs w:val="28"/>
        </w:rPr>
        <w:t xml:space="preserve">especiales de </w:t>
      </w:r>
      <w:proofErr w:type="spellStart"/>
      <w:r w:rsidRPr="00341ED2">
        <w:rPr>
          <w:b/>
          <w:bCs/>
          <w:szCs w:val="28"/>
        </w:rPr>
        <w:t>procedibilidad</w:t>
      </w:r>
      <w:proofErr w:type="spellEnd"/>
      <w:r w:rsidRPr="00341ED2">
        <w:rPr>
          <w:b/>
          <w:bCs/>
          <w:szCs w:val="28"/>
        </w:rPr>
        <w:t xml:space="preserve"> de la acción de tutela contra providencias judiciales</w:t>
      </w:r>
      <w:bookmarkEnd w:id="12"/>
    </w:p>
    <w:p w14:paraId="47FB3585" w14:textId="77777777" w:rsidR="00BF7BEC" w:rsidRPr="00341ED2" w:rsidRDefault="00BF7BEC" w:rsidP="000F393F">
      <w:pPr>
        <w:pStyle w:val="Prrafodelista"/>
        <w:widowControl w:val="0"/>
        <w:autoSpaceDE w:val="0"/>
        <w:autoSpaceDN w:val="0"/>
        <w:adjustRightInd w:val="0"/>
        <w:spacing w:after="160"/>
        <w:ind w:left="360"/>
        <w:rPr>
          <w:rFonts w:eastAsiaTheme="minorHAnsi"/>
          <w:b/>
          <w:bCs/>
          <w:szCs w:val="28"/>
        </w:rPr>
      </w:pPr>
    </w:p>
    <w:p w14:paraId="3618F656" w14:textId="2CCBEFC2" w:rsidR="005845D0" w:rsidRPr="00341ED2" w:rsidRDefault="005845D0" w:rsidP="000F393F">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szCs w:val="28"/>
        </w:rPr>
        <w:t xml:space="preserve">En la sentencia C-590 de 2005, esta Corporación estableció que la procedencia de la acción de tutela contra providencias judiciales está supeditada al cumplimiento de todos los requisitos de carácter general, como se explicó anteriormente, y la acreditación de al menos una de las causales o de los requisitos especiales de </w:t>
      </w:r>
      <w:proofErr w:type="spellStart"/>
      <w:r w:rsidRPr="00341ED2">
        <w:rPr>
          <w:rFonts w:eastAsiaTheme="minorHAnsi"/>
          <w:szCs w:val="28"/>
        </w:rPr>
        <w:t>procedibilidad</w:t>
      </w:r>
      <w:proofErr w:type="spellEnd"/>
      <w:r w:rsidRPr="00341ED2">
        <w:rPr>
          <w:rFonts w:eastAsiaTheme="minorHAnsi"/>
          <w:szCs w:val="28"/>
        </w:rPr>
        <w:t xml:space="preserve"> que se exponen a continuación:</w:t>
      </w:r>
    </w:p>
    <w:p w14:paraId="637F340E" w14:textId="77777777" w:rsidR="0086077A" w:rsidRPr="00341ED2" w:rsidRDefault="0086077A" w:rsidP="000F393F">
      <w:pPr>
        <w:pStyle w:val="Prrafodelista"/>
        <w:widowControl w:val="0"/>
        <w:autoSpaceDE w:val="0"/>
        <w:autoSpaceDN w:val="0"/>
        <w:adjustRightInd w:val="0"/>
        <w:spacing w:after="160"/>
        <w:ind w:left="0"/>
        <w:rPr>
          <w:rFonts w:eastAsiaTheme="minorHAnsi"/>
          <w:szCs w:val="28"/>
        </w:rPr>
      </w:pPr>
    </w:p>
    <w:p w14:paraId="45958027" w14:textId="0F9BFA28"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«a. Defecto orgánico, que se presenta cuando el funcionario judicial que profirió la providencia impugnada, carece, absolutamente, de competencia para ello.</w:t>
      </w:r>
    </w:p>
    <w:p w14:paraId="1C84CCE7"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2CDD3562" w14:textId="16FEA9B9"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b. Defecto procedimental absoluto, que se origina cuando el juez actuó completamente al margen del procedimiento establecido.</w:t>
      </w:r>
    </w:p>
    <w:p w14:paraId="249B09F3"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48DA21DF" w14:textId="47D14426"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c. Defecto fáctico, que surge cuando el juez carece del apoyo probatorio que permita la aplicación del supuesto legal en el que se sustenta la decisión.</w:t>
      </w:r>
    </w:p>
    <w:p w14:paraId="515F5F18"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35475A47" w14:textId="50F0BDFB"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d. Defecto material o sustantivo, como son los casos en que se decide con base en normas inexistentes o inconstitucionales o que presentan una evidente y grosera contradicción entre los fundamentos y la decisión.</w:t>
      </w:r>
    </w:p>
    <w:p w14:paraId="4882D65B"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4F8549F3" w14:textId="6B8BB45B"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f. Error inducido, que se presenta cuando el juez o tribunal fue víctima de un engaño por parte de terceros y ese engaño lo condujo a la toma de una decisión que afecta derechos fundamentales.</w:t>
      </w:r>
    </w:p>
    <w:p w14:paraId="456E2AFC"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36AB63B2" w14:textId="28D13E4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g. Decisión sin motivación, que implica el incumplimiento de los servidores judiciales de dar cuenta de los fundamentos fácticos y jurídicos de sus decisiones en el entendido que precisamente en esa motivación reposa la legitimidad de su órbita funcional.</w:t>
      </w:r>
    </w:p>
    <w:p w14:paraId="362EC7D6"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612D2E9B"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4C7DBB00" w14:textId="77777777" w:rsidR="005845D0" w:rsidRPr="00341ED2" w:rsidRDefault="005845D0" w:rsidP="000F393F">
      <w:pPr>
        <w:pStyle w:val="Prrafodelista"/>
        <w:widowControl w:val="0"/>
        <w:autoSpaceDE w:val="0"/>
        <w:autoSpaceDN w:val="0"/>
        <w:adjustRightInd w:val="0"/>
        <w:spacing w:after="160"/>
        <w:ind w:left="567" w:right="567"/>
        <w:rPr>
          <w:rFonts w:eastAsiaTheme="minorHAnsi"/>
          <w:sz w:val="26"/>
          <w:szCs w:val="26"/>
          <w:lang w:val="es-CO"/>
        </w:rPr>
      </w:pPr>
    </w:p>
    <w:p w14:paraId="2E4BB152" w14:textId="23C994B6" w:rsidR="007B0EAD" w:rsidRPr="00341ED2" w:rsidRDefault="005845D0" w:rsidP="007B0EAD">
      <w:pPr>
        <w:pStyle w:val="Prrafodelista"/>
        <w:widowControl w:val="0"/>
        <w:autoSpaceDE w:val="0"/>
        <w:autoSpaceDN w:val="0"/>
        <w:adjustRightInd w:val="0"/>
        <w:spacing w:after="160"/>
        <w:ind w:left="567" w:right="567"/>
        <w:rPr>
          <w:rFonts w:eastAsiaTheme="minorHAnsi"/>
          <w:sz w:val="26"/>
          <w:szCs w:val="26"/>
          <w:lang w:val="es-CO"/>
        </w:rPr>
      </w:pPr>
      <w:r w:rsidRPr="00341ED2">
        <w:rPr>
          <w:rFonts w:eastAsiaTheme="minorHAnsi"/>
          <w:sz w:val="26"/>
          <w:szCs w:val="26"/>
          <w:lang w:val="es-CO"/>
        </w:rPr>
        <w:t>i. Violación directa de la Constitución.»</w:t>
      </w:r>
    </w:p>
    <w:p w14:paraId="429D9A0F" w14:textId="77777777" w:rsidR="007B0EAD" w:rsidRPr="00341ED2" w:rsidRDefault="007B0EAD" w:rsidP="007B0EAD">
      <w:pPr>
        <w:pStyle w:val="Prrafodelista"/>
        <w:widowControl w:val="0"/>
        <w:autoSpaceDE w:val="0"/>
        <w:autoSpaceDN w:val="0"/>
        <w:adjustRightInd w:val="0"/>
        <w:spacing w:after="160"/>
        <w:ind w:left="567" w:right="567"/>
        <w:rPr>
          <w:rFonts w:eastAsiaTheme="minorHAnsi"/>
          <w:sz w:val="26"/>
          <w:szCs w:val="26"/>
          <w:lang w:val="es-CO"/>
        </w:rPr>
      </w:pPr>
    </w:p>
    <w:p w14:paraId="41F091D0" w14:textId="2DE939F6" w:rsidR="000F393F" w:rsidRPr="00341ED2" w:rsidRDefault="00F962FA" w:rsidP="000F393F">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szCs w:val="28"/>
        </w:rPr>
        <w:t>A</w:t>
      </w:r>
      <w:r w:rsidR="000F393F" w:rsidRPr="00341ED2">
        <w:rPr>
          <w:rFonts w:eastAsiaTheme="minorHAnsi"/>
          <w:szCs w:val="28"/>
        </w:rPr>
        <w:t xml:space="preserve"> continuación, se hará una breve caracterización del defecto fáctico como causal especial de procedencia de las acciones de tutela contra providencias judiciales.</w:t>
      </w:r>
      <w:r w:rsidR="00AD127E" w:rsidRPr="00341ED2">
        <w:rPr>
          <w:rFonts w:eastAsiaTheme="minorHAnsi"/>
          <w:szCs w:val="28"/>
          <w:lang w:val="es-CO"/>
        </w:rPr>
        <w:t xml:space="preserve"> </w:t>
      </w:r>
    </w:p>
    <w:p w14:paraId="61ACEDE8" w14:textId="77777777" w:rsidR="000F393F" w:rsidRPr="00341ED2" w:rsidRDefault="000F393F" w:rsidP="000F393F">
      <w:pPr>
        <w:pStyle w:val="Prrafodelista"/>
        <w:widowControl w:val="0"/>
        <w:autoSpaceDE w:val="0"/>
        <w:autoSpaceDN w:val="0"/>
        <w:adjustRightInd w:val="0"/>
        <w:spacing w:after="160"/>
        <w:ind w:left="0"/>
        <w:rPr>
          <w:rFonts w:eastAsiaTheme="minorHAnsi"/>
          <w:szCs w:val="28"/>
        </w:rPr>
      </w:pPr>
    </w:p>
    <w:p w14:paraId="61D89DED" w14:textId="19822D91" w:rsidR="00A961B6" w:rsidRPr="00341ED2" w:rsidRDefault="000F393F" w:rsidP="000F393F">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i/>
          <w:iCs/>
          <w:lang w:val="es-CO"/>
        </w:rPr>
        <w:t>Defecto fáctico</w:t>
      </w:r>
      <w:r w:rsidRPr="00341ED2">
        <w:rPr>
          <w:rFonts w:eastAsiaTheme="minorHAnsi"/>
          <w:lang w:val="es-CO"/>
        </w:rPr>
        <w:t>. De acuerdo con la jurisprudencia constitucional, este defecto se configura cuando la autoridad judicial incurre en «un yerro ostensible, flagrante y manifiesto en el decreto y práctica de pruebas, así como en su valoración, que tenga incidencia directa en la decisión adoptada»</w:t>
      </w:r>
      <w:r w:rsidR="009E3439" w:rsidRPr="00341ED2">
        <w:rPr>
          <w:rStyle w:val="Refdenotaalpie"/>
          <w:rFonts w:eastAsiaTheme="minorHAnsi"/>
          <w:lang w:val="es-CO"/>
        </w:rPr>
        <w:footnoteReference w:id="74"/>
      </w:r>
      <w:r w:rsidRPr="00341ED2">
        <w:rPr>
          <w:rFonts w:eastAsiaTheme="minorHAnsi"/>
          <w:lang w:val="es-CO"/>
        </w:rPr>
        <w:t xml:space="preserve">. En este sentido, la Corte Constitucional ha identificado dos dimensiones del defecto fáctico: </w:t>
      </w:r>
      <w:r w:rsidR="009E3439" w:rsidRPr="00341ED2">
        <w:rPr>
          <w:rFonts w:eastAsiaTheme="minorHAnsi"/>
          <w:lang w:val="es-CO"/>
        </w:rPr>
        <w:t>(</w:t>
      </w:r>
      <w:r w:rsidR="009E3439" w:rsidRPr="00341ED2">
        <w:rPr>
          <w:rFonts w:eastAsiaTheme="minorHAnsi"/>
          <w:i/>
          <w:iCs/>
          <w:lang w:val="es-CO"/>
        </w:rPr>
        <w:t>i</w:t>
      </w:r>
      <w:r w:rsidR="009E3439" w:rsidRPr="00341ED2">
        <w:rPr>
          <w:rFonts w:eastAsiaTheme="minorHAnsi"/>
          <w:lang w:val="es-CO"/>
        </w:rPr>
        <w:t xml:space="preserve">) </w:t>
      </w:r>
      <w:r w:rsidRPr="00341ED2">
        <w:rPr>
          <w:rFonts w:eastAsiaTheme="minorHAnsi"/>
          <w:lang w:val="es-CO"/>
        </w:rPr>
        <w:t>la dimensión negativa</w:t>
      </w:r>
      <w:r w:rsidR="009E3439" w:rsidRPr="00341ED2">
        <w:rPr>
          <w:rFonts w:eastAsiaTheme="minorHAnsi"/>
          <w:lang w:val="es-CO"/>
        </w:rPr>
        <w:t>, la cual</w:t>
      </w:r>
      <w:r w:rsidRPr="00341ED2">
        <w:rPr>
          <w:rFonts w:eastAsiaTheme="minorHAnsi"/>
          <w:lang w:val="es-CO"/>
        </w:rPr>
        <w:t xml:space="preserve"> «se concreta cuando el funcionario judicial niega la prueba o la valora de manera arbitraria, irracional y caprichosa, o cuando omite su valoración y sin razón da por no probado el hecho»</w:t>
      </w:r>
      <w:r w:rsidR="009E3439" w:rsidRPr="00341ED2">
        <w:rPr>
          <w:rStyle w:val="Refdenotaalpie"/>
          <w:rFonts w:eastAsiaTheme="minorHAnsi"/>
          <w:lang w:val="es-CO"/>
        </w:rPr>
        <w:footnoteReference w:id="75"/>
      </w:r>
      <w:r w:rsidRPr="00341ED2">
        <w:rPr>
          <w:rFonts w:eastAsiaTheme="minorHAnsi"/>
          <w:lang w:val="es-CO"/>
        </w:rPr>
        <w:t xml:space="preserve">; y </w:t>
      </w:r>
      <w:r w:rsidR="009E3439" w:rsidRPr="00341ED2">
        <w:rPr>
          <w:rFonts w:eastAsiaTheme="minorHAnsi"/>
          <w:lang w:val="es-CO"/>
        </w:rPr>
        <w:t>(</w:t>
      </w:r>
      <w:r w:rsidR="009E3439" w:rsidRPr="00341ED2">
        <w:rPr>
          <w:rFonts w:eastAsiaTheme="minorHAnsi"/>
          <w:i/>
          <w:iCs/>
          <w:lang w:val="es-CO"/>
        </w:rPr>
        <w:t>ii</w:t>
      </w:r>
      <w:r w:rsidR="009E3439" w:rsidRPr="00341ED2">
        <w:rPr>
          <w:rFonts w:eastAsiaTheme="minorHAnsi"/>
          <w:lang w:val="es-CO"/>
        </w:rPr>
        <w:t xml:space="preserve">) </w:t>
      </w:r>
      <w:r w:rsidRPr="00341ED2">
        <w:rPr>
          <w:rFonts w:eastAsiaTheme="minorHAnsi"/>
          <w:lang w:val="es-CO"/>
        </w:rPr>
        <w:t>la dimensión positiva, que tiene lugar «cuando se presenta una indebida apreciación probatoria, que puede tener ocurrencia a partir de la consideración y valoración a la que el juez somete un elemento probatorio cuya ilegitimidad impide incluirlo en el proceso»</w:t>
      </w:r>
      <w:r w:rsidR="009E3439" w:rsidRPr="00341ED2">
        <w:rPr>
          <w:rStyle w:val="Refdenotaalpie"/>
          <w:rFonts w:eastAsiaTheme="minorHAnsi"/>
          <w:lang w:val="es-CO"/>
        </w:rPr>
        <w:footnoteReference w:id="76"/>
      </w:r>
      <w:r w:rsidR="00A961B6" w:rsidRPr="00341ED2">
        <w:rPr>
          <w:rFonts w:eastAsiaTheme="minorHAnsi"/>
          <w:szCs w:val="28"/>
        </w:rPr>
        <w:t>.</w:t>
      </w:r>
    </w:p>
    <w:p w14:paraId="0BBAD4CB" w14:textId="77777777" w:rsidR="00A961B6" w:rsidRPr="00341ED2" w:rsidRDefault="00A961B6" w:rsidP="00A961B6">
      <w:pPr>
        <w:pStyle w:val="Prrafodelista"/>
        <w:widowControl w:val="0"/>
        <w:autoSpaceDE w:val="0"/>
        <w:autoSpaceDN w:val="0"/>
        <w:adjustRightInd w:val="0"/>
        <w:spacing w:after="160"/>
        <w:ind w:left="0"/>
        <w:rPr>
          <w:rFonts w:eastAsiaTheme="minorHAnsi"/>
          <w:szCs w:val="28"/>
        </w:rPr>
      </w:pPr>
    </w:p>
    <w:p w14:paraId="19E05516" w14:textId="61C75E13" w:rsidR="00E9677F" w:rsidRPr="00341ED2" w:rsidRDefault="000F393F" w:rsidP="00E9677F">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lang w:val="es-CO"/>
        </w:rPr>
        <w:t>Así</w:t>
      </w:r>
      <w:r w:rsidR="00A961B6" w:rsidRPr="00341ED2">
        <w:rPr>
          <w:rFonts w:eastAsiaTheme="minorHAnsi"/>
          <w:lang w:val="es-CO"/>
        </w:rPr>
        <w:t xml:space="preserve"> las cosas</w:t>
      </w:r>
      <w:r w:rsidRPr="00341ED2">
        <w:rPr>
          <w:rFonts w:eastAsiaTheme="minorHAnsi"/>
          <w:lang w:val="es-CO"/>
        </w:rPr>
        <w:t xml:space="preserve">, uno de los supuestos en los que se configura el defecto fáctico en su dimensión negativa es la indebida valoración de los elementos probatorios aportados al proceso, </w:t>
      </w:r>
      <w:r w:rsidR="003C23E5" w:rsidRPr="00341ED2">
        <w:rPr>
          <w:rFonts w:eastAsiaTheme="minorHAnsi"/>
          <w:lang w:val="es-CO"/>
        </w:rPr>
        <w:t>eso puede suceder por omitir su valoración integral</w:t>
      </w:r>
      <w:r w:rsidR="00A961B6" w:rsidRPr="00341ED2">
        <w:rPr>
          <w:rFonts w:eastAsiaTheme="minorHAnsi"/>
          <w:lang w:val="es-CO"/>
        </w:rPr>
        <w:t xml:space="preserve"> o </w:t>
      </w:r>
      <w:r w:rsidR="003C23E5" w:rsidRPr="00341ED2">
        <w:rPr>
          <w:rFonts w:eastAsiaTheme="minorHAnsi"/>
          <w:lang w:val="es-CO"/>
        </w:rPr>
        <w:t xml:space="preserve">por </w:t>
      </w:r>
      <w:r w:rsidRPr="00341ED2">
        <w:rPr>
          <w:rFonts w:eastAsiaTheme="minorHAnsi"/>
          <w:lang w:val="es-CO"/>
        </w:rPr>
        <w:t>d</w:t>
      </w:r>
      <w:r w:rsidR="003C23E5" w:rsidRPr="00341ED2">
        <w:rPr>
          <w:rFonts w:eastAsiaTheme="minorHAnsi"/>
          <w:lang w:val="es-CO"/>
        </w:rPr>
        <w:t>arles</w:t>
      </w:r>
      <w:r w:rsidRPr="00341ED2">
        <w:rPr>
          <w:rFonts w:eastAsiaTheme="minorHAnsi"/>
          <w:lang w:val="es-CO"/>
        </w:rPr>
        <w:t xml:space="preserve"> </w:t>
      </w:r>
      <w:r w:rsidR="00A961B6" w:rsidRPr="00341ED2">
        <w:rPr>
          <w:rFonts w:eastAsiaTheme="minorHAnsi"/>
          <w:lang w:val="es-CO"/>
        </w:rPr>
        <w:t xml:space="preserve">un </w:t>
      </w:r>
      <w:r w:rsidRPr="00341ED2">
        <w:rPr>
          <w:rFonts w:eastAsiaTheme="minorHAnsi"/>
          <w:lang w:val="es-CO"/>
        </w:rPr>
        <w:t>alcance que en realidad no tienen. Al respecto, la Corte ha considerado que existe indebida valoración probatoria</w:t>
      </w:r>
      <w:r w:rsidR="00361872" w:rsidRPr="00341ED2">
        <w:rPr>
          <w:rFonts w:eastAsiaTheme="minorHAnsi"/>
          <w:lang w:val="es-CO"/>
        </w:rPr>
        <w:t xml:space="preserve"> en su dimensión negativa cuando</w:t>
      </w:r>
      <w:r w:rsidR="00E9677F" w:rsidRPr="00341ED2">
        <w:rPr>
          <w:rFonts w:eastAsiaTheme="minorHAnsi"/>
          <w:lang w:val="es-CO"/>
        </w:rPr>
        <w:t>, por ejemplo,</w:t>
      </w:r>
      <w:r w:rsidR="00361872" w:rsidRPr="00341ED2">
        <w:rPr>
          <w:rFonts w:eastAsiaTheme="minorHAnsi"/>
          <w:lang w:val="es-CO"/>
        </w:rPr>
        <w:t xml:space="preserve"> el juez: </w:t>
      </w:r>
      <w:proofErr w:type="gramStart"/>
      <w:r w:rsidR="00E9677F" w:rsidRPr="00341ED2">
        <w:rPr>
          <w:rFonts w:eastAsiaTheme="minorHAnsi"/>
          <w:lang w:val="es-CO"/>
        </w:rPr>
        <w:t>«</w:t>
      </w:r>
      <w:r w:rsidR="00361872" w:rsidRPr="00341ED2">
        <w:rPr>
          <w:rFonts w:eastAsiaTheme="minorHAnsi"/>
          <w:lang w:val="es-CO"/>
        </w:rPr>
        <w:t>(</w:t>
      </w:r>
      <w:proofErr w:type="gramEnd"/>
      <w:r w:rsidR="00361872" w:rsidRPr="00341ED2">
        <w:rPr>
          <w:rFonts w:eastAsiaTheme="minorHAnsi"/>
          <w:lang w:val="es-CO"/>
        </w:rPr>
        <w:t xml:space="preserve">i) ignora o no valora, injustificadamente, una realidad probatoria determinante en el desenlace del proceso; (ii) decide sin el apoyo probatorio que permita la aplicación del supuesto legal en el que se sustenta la decisión; </w:t>
      </w:r>
      <w:r w:rsidR="003C23E5" w:rsidRPr="00341ED2">
        <w:rPr>
          <w:rFonts w:eastAsiaTheme="minorHAnsi"/>
          <w:lang w:val="es-CO"/>
        </w:rPr>
        <w:t xml:space="preserve">o </w:t>
      </w:r>
      <w:r w:rsidR="00361872" w:rsidRPr="00341ED2">
        <w:rPr>
          <w:rFonts w:eastAsiaTheme="minorHAnsi"/>
          <w:lang w:val="es-CO"/>
        </w:rPr>
        <w:t>(iii) no decreta pruebas de oficio en los procedimientos en que está legal y constitucionalmente obligado a hacerlo</w:t>
      </w:r>
      <w:r w:rsidR="00E9677F" w:rsidRPr="00341ED2">
        <w:rPr>
          <w:rFonts w:eastAsiaTheme="minorHAnsi"/>
          <w:lang w:val="es-CO"/>
        </w:rPr>
        <w:t>»</w:t>
      </w:r>
      <w:r w:rsidR="00E9677F" w:rsidRPr="00341ED2">
        <w:rPr>
          <w:rStyle w:val="Refdenotaalpie"/>
          <w:rFonts w:eastAsiaTheme="minorHAnsi"/>
          <w:lang w:val="es-CO"/>
        </w:rPr>
        <w:footnoteReference w:id="77"/>
      </w:r>
      <w:r w:rsidR="00E9677F" w:rsidRPr="00341ED2">
        <w:rPr>
          <w:rFonts w:eastAsiaTheme="minorHAnsi"/>
          <w:lang w:val="es-CO"/>
        </w:rPr>
        <w:t>.</w:t>
      </w:r>
    </w:p>
    <w:p w14:paraId="6F988EE0" w14:textId="77777777" w:rsidR="00E9677F" w:rsidRPr="00341ED2" w:rsidRDefault="00E9677F" w:rsidP="00E9677F">
      <w:pPr>
        <w:pStyle w:val="Prrafodelista"/>
        <w:widowControl w:val="0"/>
        <w:autoSpaceDE w:val="0"/>
        <w:autoSpaceDN w:val="0"/>
        <w:adjustRightInd w:val="0"/>
        <w:spacing w:after="160"/>
        <w:ind w:left="0"/>
        <w:rPr>
          <w:rFonts w:eastAsiaTheme="minorHAnsi"/>
          <w:szCs w:val="28"/>
        </w:rPr>
      </w:pPr>
    </w:p>
    <w:p w14:paraId="671E9FBA" w14:textId="1C67BF98" w:rsidR="00526CCA" w:rsidRPr="00341ED2" w:rsidRDefault="001F450A" w:rsidP="00A961B6">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szCs w:val="28"/>
        </w:rPr>
        <w:t>Con todo</w:t>
      </w:r>
      <w:r w:rsidR="00E9677F" w:rsidRPr="00341ED2">
        <w:rPr>
          <w:rFonts w:eastAsiaTheme="minorHAnsi"/>
          <w:lang w:val="es-CO"/>
        </w:rPr>
        <w:t>, esta Corporación ha precisado que las diferencias en la apreciación de las pruebas no constituyen</w:t>
      </w:r>
      <w:r w:rsidR="00526CCA" w:rsidRPr="00341ED2">
        <w:rPr>
          <w:rFonts w:eastAsiaTheme="minorHAnsi"/>
          <w:lang w:val="es-CO"/>
        </w:rPr>
        <w:t xml:space="preserve"> por sí mismo un</w:t>
      </w:r>
      <w:r w:rsidR="00E9677F" w:rsidRPr="00341ED2">
        <w:rPr>
          <w:rFonts w:eastAsiaTheme="minorHAnsi"/>
          <w:lang w:val="es-CO"/>
        </w:rPr>
        <w:t xml:space="preserve"> defecto fáctico, pues «precisamente la práctica judicial demanda que los jueces adopten posturas en circunstancias en las que se le presentan dos interpretaciones de los hechos, diversas pero razonables»</w:t>
      </w:r>
      <w:r w:rsidR="00526CCA" w:rsidRPr="00341ED2">
        <w:rPr>
          <w:rStyle w:val="Refdenotaalpie"/>
          <w:rFonts w:eastAsiaTheme="minorHAnsi"/>
          <w:lang w:val="es-CO"/>
        </w:rPr>
        <w:footnoteReference w:id="78"/>
      </w:r>
      <w:r w:rsidR="00E9677F" w:rsidRPr="00341ED2">
        <w:rPr>
          <w:rFonts w:eastAsiaTheme="minorHAnsi"/>
          <w:lang w:val="es-CO"/>
        </w:rPr>
        <w:t xml:space="preserve">. En </w:t>
      </w:r>
      <w:r w:rsidRPr="00341ED2">
        <w:rPr>
          <w:rFonts w:eastAsiaTheme="minorHAnsi"/>
          <w:lang w:val="es-CO"/>
        </w:rPr>
        <w:t>tales</w:t>
      </w:r>
      <w:r w:rsidR="00E9677F" w:rsidRPr="00341ED2">
        <w:rPr>
          <w:rFonts w:eastAsiaTheme="minorHAnsi"/>
          <w:lang w:val="es-CO"/>
        </w:rPr>
        <w:t xml:space="preserve"> casos, el juez natural «es autónomo, su actuación se presume de buena fe y puede valorar los elementos materiales probatorios y decantarse por el que le resulte convincente</w:t>
      </w:r>
      <w:r w:rsidR="00526CCA" w:rsidRPr="00341ED2">
        <w:rPr>
          <w:rFonts w:eastAsiaTheme="minorHAnsi"/>
          <w:lang w:val="es-CO"/>
        </w:rPr>
        <w:t>»</w:t>
      </w:r>
      <w:r w:rsidR="00526CCA" w:rsidRPr="00341ED2">
        <w:rPr>
          <w:rStyle w:val="Refdenotaalpie"/>
          <w:rFonts w:eastAsiaTheme="minorHAnsi"/>
          <w:lang w:val="es-CO"/>
        </w:rPr>
        <w:footnoteReference w:id="79"/>
      </w:r>
      <w:r w:rsidR="00526CCA" w:rsidRPr="00341ED2">
        <w:rPr>
          <w:rFonts w:eastAsiaTheme="minorHAnsi"/>
          <w:lang w:val="es-CO"/>
        </w:rPr>
        <w:t>.</w:t>
      </w:r>
    </w:p>
    <w:p w14:paraId="71D808B1" w14:textId="77777777" w:rsidR="003C23E5" w:rsidRPr="00341ED2" w:rsidRDefault="003C23E5" w:rsidP="003C23E5">
      <w:pPr>
        <w:pStyle w:val="Prrafodelista"/>
        <w:widowControl w:val="0"/>
        <w:autoSpaceDE w:val="0"/>
        <w:autoSpaceDN w:val="0"/>
        <w:adjustRightInd w:val="0"/>
        <w:spacing w:after="160"/>
        <w:ind w:left="0"/>
        <w:rPr>
          <w:rFonts w:eastAsiaTheme="minorHAnsi"/>
          <w:szCs w:val="28"/>
        </w:rPr>
      </w:pPr>
    </w:p>
    <w:p w14:paraId="02D0BA5F" w14:textId="52FCD49D" w:rsidR="000F393F" w:rsidRPr="00341ED2" w:rsidRDefault="00526CCA" w:rsidP="001F450A">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lang w:val="es-CO"/>
        </w:rPr>
        <w:t xml:space="preserve">Por </w:t>
      </w:r>
      <w:r w:rsidR="003C23E5" w:rsidRPr="00341ED2">
        <w:rPr>
          <w:rFonts w:eastAsiaTheme="minorHAnsi"/>
          <w:lang w:val="es-CO"/>
        </w:rPr>
        <w:t>ello</w:t>
      </w:r>
      <w:r w:rsidRPr="00341ED2">
        <w:rPr>
          <w:rFonts w:eastAsiaTheme="minorHAnsi"/>
          <w:lang w:val="es-CO"/>
        </w:rPr>
        <w:t xml:space="preserve">, la intervención del juez de tutela ante una posible valoración defectuosa del material probatorio se permite cuando el error es </w:t>
      </w:r>
      <w:r w:rsidR="00BE3FB0" w:rsidRPr="00341ED2">
        <w:rPr>
          <w:rFonts w:eastAsiaTheme="minorHAnsi"/>
          <w:lang w:val="es-CO"/>
        </w:rPr>
        <w:t>«</w:t>
      </w:r>
      <w:r w:rsidRPr="00341ED2">
        <w:rPr>
          <w:rFonts w:eastAsiaTheme="minorHAnsi"/>
          <w:lang w:val="es-CO"/>
        </w:rPr>
        <w:t>ostensible, flagrante, manifiesto y es determinante en la decisión adoptada</w:t>
      </w:r>
      <w:r w:rsidR="001F450A" w:rsidRPr="00341ED2">
        <w:rPr>
          <w:rFonts w:eastAsiaTheme="minorHAnsi"/>
          <w:lang w:val="es-CO"/>
        </w:rPr>
        <w:t>, en tanto</w:t>
      </w:r>
      <w:r w:rsidRPr="00341ED2">
        <w:rPr>
          <w:rFonts w:eastAsiaTheme="minorHAnsi"/>
          <w:lang w:val="es-CO"/>
        </w:rPr>
        <w:t xml:space="preserve"> este </w:t>
      </w:r>
      <w:r w:rsidR="001F450A" w:rsidRPr="00341ED2">
        <w:rPr>
          <w:rFonts w:eastAsiaTheme="minorHAnsi"/>
          <w:lang w:val="es-CO"/>
        </w:rPr>
        <w:t xml:space="preserve">es </w:t>
      </w:r>
      <w:r w:rsidRPr="00341ED2">
        <w:rPr>
          <w:rFonts w:eastAsiaTheme="minorHAnsi"/>
          <w:lang w:val="es-CO"/>
        </w:rPr>
        <w:t>el único evento que desborda el marco de autonomía de los jueces para formarse libremente su convencimiento»</w:t>
      </w:r>
      <w:r w:rsidRPr="00341ED2">
        <w:rPr>
          <w:rStyle w:val="Refdenotaalpie"/>
          <w:rFonts w:eastAsiaTheme="minorHAnsi"/>
          <w:lang w:val="es-CO"/>
        </w:rPr>
        <w:footnoteReference w:id="80"/>
      </w:r>
      <w:r w:rsidRPr="00341ED2">
        <w:rPr>
          <w:rFonts w:eastAsiaTheme="minorHAnsi"/>
          <w:lang w:val="es-CO"/>
        </w:rPr>
        <w:t xml:space="preserve">. En este supuesto, la configuración del defecto requiere que la providencia judicial se adopte sin «respaldo probatorio o </w:t>
      </w:r>
      <w:r w:rsidR="007B0EAD" w:rsidRPr="00341ED2">
        <w:rPr>
          <w:rFonts w:eastAsiaTheme="minorHAnsi"/>
          <w:lang w:val="es-CO"/>
        </w:rPr>
        <w:t>cuando</w:t>
      </w:r>
      <w:r w:rsidRPr="00341ED2">
        <w:rPr>
          <w:rFonts w:eastAsiaTheme="minorHAnsi"/>
          <w:lang w:val="es-CO"/>
        </w:rPr>
        <w:t xml:space="preserve"> </w:t>
      </w:r>
      <w:r w:rsidR="007B0EAD" w:rsidRPr="00341ED2">
        <w:rPr>
          <w:rFonts w:eastAsiaTheme="minorHAnsi"/>
          <w:lang w:val="es-CO"/>
        </w:rPr>
        <w:t xml:space="preserve">se </w:t>
      </w:r>
      <w:r w:rsidRPr="00341ED2">
        <w:rPr>
          <w:rFonts w:eastAsiaTheme="minorHAnsi"/>
          <w:lang w:val="es-CO"/>
        </w:rPr>
        <w:t>ha dejado de valorar una prueba que resultaba determinante para la solución del problema jurídico sometido a su consideración»</w:t>
      </w:r>
      <w:r w:rsidRPr="00341ED2">
        <w:rPr>
          <w:rStyle w:val="Refdenotaalpie"/>
          <w:rFonts w:eastAsiaTheme="minorHAnsi"/>
          <w:lang w:val="es-CO"/>
        </w:rPr>
        <w:footnoteReference w:id="81"/>
      </w:r>
      <w:r w:rsidRPr="00341ED2">
        <w:rPr>
          <w:rFonts w:eastAsiaTheme="minorHAnsi"/>
          <w:lang w:val="es-CO"/>
        </w:rPr>
        <w:t>.</w:t>
      </w:r>
    </w:p>
    <w:p w14:paraId="722B9070" w14:textId="77777777" w:rsidR="00214733" w:rsidRPr="00341ED2" w:rsidRDefault="00214733" w:rsidP="00214733">
      <w:pPr>
        <w:pStyle w:val="Prrafodelista"/>
        <w:widowControl w:val="0"/>
        <w:autoSpaceDE w:val="0"/>
        <w:autoSpaceDN w:val="0"/>
        <w:adjustRightInd w:val="0"/>
        <w:spacing w:after="160"/>
        <w:ind w:left="0"/>
        <w:rPr>
          <w:rFonts w:eastAsiaTheme="minorHAnsi"/>
          <w:szCs w:val="28"/>
        </w:rPr>
      </w:pPr>
    </w:p>
    <w:p w14:paraId="1D180D86" w14:textId="77777777" w:rsidR="00696C54" w:rsidRPr="00341ED2" w:rsidRDefault="00214733" w:rsidP="00696C54">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i/>
          <w:iCs/>
          <w:szCs w:val="28"/>
        </w:rPr>
        <w:t>Defecto por desconocimiento del precedente</w:t>
      </w:r>
      <w:r w:rsidRPr="00341ED2">
        <w:rPr>
          <w:rFonts w:eastAsiaTheme="minorHAnsi"/>
          <w:szCs w:val="28"/>
        </w:rPr>
        <w:t>.</w:t>
      </w:r>
      <w:r w:rsidR="00210B88" w:rsidRPr="00341ED2">
        <w:rPr>
          <w:rStyle w:val="Refdenotaalpie"/>
          <w:lang w:val="es-CO"/>
        </w:rPr>
        <w:footnoteReference w:id="82"/>
      </w:r>
      <w:r w:rsidR="00210B88" w:rsidRPr="00341ED2">
        <w:rPr>
          <w:rFonts w:eastAsiaTheme="minorHAnsi"/>
          <w:szCs w:val="28"/>
        </w:rPr>
        <w:t xml:space="preserve"> </w:t>
      </w:r>
      <w:r w:rsidR="00210B88" w:rsidRPr="00341ED2">
        <w:rPr>
          <w:color w:val="000000" w:themeColor="text1"/>
          <w:szCs w:val="28"/>
        </w:rPr>
        <w:t>En términos generales, el defecto sustantivo por desconocimiento del precedente judicial se configura cuando, por vía judicial, se ha establecido una regla para solucionar un asunto determinado y esta es inobservada por el juez al resolver un asunto similar</w:t>
      </w:r>
      <w:r w:rsidR="00210B88" w:rsidRPr="00341ED2">
        <w:rPr>
          <w:color w:val="000000" w:themeColor="text1"/>
          <w:szCs w:val="28"/>
          <w:vertAlign w:val="superscript"/>
        </w:rPr>
        <w:footnoteReference w:id="83"/>
      </w:r>
      <w:r w:rsidR="00210B88" w:rsidRPr="00341ED2">
        <w:rPr>
          <w:color w:val="000000" w:themeColor="text1"/>
          <w:szCs w:val="28"/>
        </w:rPr>
        <w:t>. La jurisprudencia constitucional ha definido el precedente judicial como la sentencia o el conjunto de sentencias que resulta relevante para la solución de un nuevo caso sometido a examen porque «contiene un pronunciamiento sobre un problema jurídico basado en hechos similares, desde un punto de vista jurídicamente relevante, al que debe resolver el juez»</w:t>
      </w:r>
      <w:r w:rsidR="00210B88" w:rsidRPr="00341ED2">
        <w:rPr>
          <w:color w:val="000000" w:themeColor="text1"/>
          <w:szCs w:val="28"/>
          <w:vertAlign w:val="superscript"/>
        </w:rPr>
        <w:footnoteReference w:id="84"/>
      </w:r>
      <w:r w:rsidR="00210B88" w:rsidRPr="00341ED2">
        <w:rPr>
          <w:color w:val="000000" w:themeColor="text1"/>
          <w:szCs w:val="28"/>
        </w:rPr>
        <w:t xml:space="preserve">. </w:t>
      </w:r>
    </w:p>
    <w:p w14:paraId="208868CF" w14:textId="77777777" w:rsidR="00696C54" w:rsidRPr="00341ED2" w:rsidRDefault="00696C54" w:rsidP="00696C54">
      <w:pPr>
        <w:pStyle w:val="Prrafodelista"/>
        <w:widowControl w:val="0"/>
        <w:autoSpaceDE w:val="0"/>
        <w:autoSpaceDN w:val="0"/>
        <w:adjustRightInd w:val="0"/>
        <w:spacing w:after="160"/>
        <w:ind w:left="0"/>
        <w:rPr>
          <w:rFonts w:eastAsiaTheme="minorHAnsi"/>
          <w:szCs w:val="28"/>
        </w:rPr>
      </w:pPr>
    </w:p>
    <w:p w14:paraId="735D6F22" w14:textId="77777777" w:rsidR="00696C54" w:rsidRPr="00341ED2" w:rsidRDefault="00696C54" w:rsidP="00696C54">
      <w:pPr>
        <w:pStyle w:val="Prrafodelista"/>
        <w:widowControl w:val="0"/>
        <w:numPr>
          <w:ilvl w:val="1"/>
          <w:numId w:val="17"/>
        </w:numPr>
        <w:autoSpaceDE w:val="0"/>
        <w:autoSpaceDN w:val="0"/>
        <w:adjustRightInd w:val="0"/>
        <w:spacing w:after="160"/>
        <w:rPr>
          <w:rFonts w:eastAsiaTheme="minorHAnsi"/>
          <w:szCs w:val="28"/>
        </w:rPr>
      </w:pPr>
      <w:r w:rsidRPr="00341ED2">
        <w:rPr>
          <w:color w:val="000000" w:themeColor="text1"/>
          <w:szCs w:val="28"/>
        </w:rPr>
        <w:t xml:space="preserve">Ahora, </w:t>
      </w:r>
      <w:r w:rsidR="00210B88" w:rsidRPr="00341ED2">
        <w:rPr>
          <w:color w:val="000000" w:themeColor="text1"/>
          <w:szCs w:val="28"/>
        </w:rPr>
        <w:t>para determinar si una providencia judicial desconoció el precedente, es necesario (i) determinar la existencia de un precedente o grupo de precedentes aplicable y distinguir las reglas de decisión contenidas en ellos, (ii) constatar que la providencia judicial cuestionada debió tener en cuenta ese precedente o grupo de precedentes para no incurrir en un desconocimiento del principio de igualdad y (iii) verificar si existieron razones fundadas para apartarse del precedente, por ejemplo, la necesidad de adoptar una decisión distinta con el fin de lograr una interpretación más armónica con los principios constitucionales y más favorable a la vigencia y efectividad de los derechos fundamentales</w:t>
      </w:r>
      <w:r w:rsidR="00210B88" w:rsidRPr="00341ED2">
        <w:rPr>
          <w:color w:val="000000" w:themeColor="text1"/>
          <w:szCs w:val="28"/>
          <w:vertAlign w:val="superscript"/>
        </w:rPr>
        <w:footnoteReference w:id="85"/>
      </w:r>
      <w:r w:rsidR="00210B88" w:rsidRPr="00341ED2">
        <w:rPr>
          <w:color w:val="000000" w:themeColor="text1"/>
          <w:szCs w:val="28"/>
        </w:rPr>
        <w:t>.</w:t>
      </w:r>
    </w:p>
    <w:p w14:paraId="7E8E8F9C" w14:textId="77777777" w:rsidR="00696C54" w:rsidRPr="00341ED2" w:rsidRDefault="00696C54" w:rsidP="00696C54">
      <w:pPr>
        <w:pStyle w:val="Prrafodelista"/>
        <w:widowControl w:val="0"/>
        <w:autoSpaceDE w:val="0"/>
        <w:autoSpaceDN w:val="0"/>
        <w:adjustRightInd w:val="0"/>
        <w:spacing w:after="160"/>
        <w:ind w:left="0"/>
        <w:rPr>
          <w:rFonts w:eastAsiaTheme="minorHAnsi"/>
          <w:szCs w:val="28"/>
        </w:rPr>
      </w:pPr>
    </w:p>
    <w:p w14:paraId="27F3EEA3" w14:textId="77777777" w:rsidR="00696C54" w:rsidRPr="00341ED2" w:rsidRDefault="00696C54" w:rsidP="00696C54">
      <w:pPr>
        <w:pStyle w:val="Prrafodelista"/>
        <w:widowControl w:val="0"/>
        <w:numPr>
          <w:ilvl w:val="1"/>
          <w:numId w:val="17"/>
        </w:numPr>
        <w:autoSpaceDE w:val="0"/>
        <w:autoSpaceDN w:val="0"/>
        <w:adjustRightInd w:val="0"/>
        <w:spacing w:after="160"/>
        <w:rPr>
          <w:rFonts w:eastAsiaTheme="minorHAnsi"/>
          <w:szCs w:val="28"/>
        </w:rPr>
      </w:pPr>
      <w:r w:rsidRPr="00341ED2">
        <w:rPr>
          <w:rFonts w:eastAsiaTheme="minorHAnsi"/>
          <w:szCs w:val="28"/>
        </w:rPr>
        <w:t>En</w:t>
      </w:r>
      <w:r w:rsidR="00210B88" w:rsidRPr="00341ED2">
        <w:rPr>
          <w:color w:val="000000" w:themeColor="text1"/>
          <w:szCs w:val="28"/>
        </w:rPr>
        <w:t xml:space="preserve"> efecto, tal como lo ha sostenido esta Corte, los jueces pueden apartarse válidamente del precedente siempre y cuando, al hacerlo, observen los deberes de </w:t>
      </w:r>
      <w:r w:rsidR="00210B88" w:rsidRPr="00341ED2">
        <w:rPr>
          <w:i/>
          <w:iCs/>
          <w:color w:val="000000" w:themeColor="text1"/>
          <w:szCs w:val="28"/>
        </w:rPr>
        <w:t>transparencia</w:t>
      </w:r>
      <w:r w:rsidR="00210B88" w:rsidRPr="00341ED2">
        <w:rPr>
          <w:color w:val="000000" w:themeColor="text1"/>
          <w:szCs w:val="28"/>
        </w:rPr>
        <w:t xml:space="preserve"> y </w:t>
      </w:r>
      <w:r w:rsidR="00210B88" w:rsidRPr="00341ED2">
        <w:rPr>
          <w:i/>
          <w:iCs/>
          <w:color w:val="000000" w:themeColor="text1"/>
          <w:szCs w:val="28"/>
        </w:rPr>
        <w:t>suficiencia</w:t>
      </w:r>
      <w:r w:rsidR="00210B88" w:rsidRPr="00341ED2">
        <w:rPr>
          <w:color w:val="000000" w:themeColor="text1"/>
          <w:szCs w:val="28"/>
        </w:rPr>
        <w:t xml:space="preserve">. El primero exige que el juez enuncie las reglas conforme a las cuales se han resuelto casos similares (es decir, que reconozca expresamente el precedente), pues </w:t>
      </w:r>
      <w:r w:rsidRPr="00341ED2">
        <w:rPr>
          <w:color w:val="000000" w:themeColor="text1"/>
          <w:szCs w:val="28"/>
        </w:rPr>
        <w:t>«</w:t>
      </w:r>
      <w:r w:rsidR="00210B88" w:rsidRPr="00341ED2">
        <w:rPr>
          <w:color w:val="000000" w:themeColor="text1"/>
          <w:szCs w:val="28"/>
        </w:rPr>
        <w:t>solo puede admitirse una revisión de un precedente si se es consciente de su existencia</w:t>
      </w:r>
      <w:r w:rsidRPr="00341ED2">
        <w:rPr>
          <w:color w:val="000000" w:themeColor="text1"/>
          <w:szCs w:val="28"/>
        </w:rPr>
        <w:t>»</w:t>
      </w:r>
      <w:r w:rsidR="00210B88" w:rsidRPr="00341ED2">
        <w:rPr>
          <w:color w:val="000000" w:themeColor="text1"/>
          <w:szCs w:val="28"/>
          <w:vertAlign w:val="superscript"/>
        </w:rPr>
        <w:footnoteReference w:id="86"/>
      </w:r>
      <w:r w:rsidR="00210B88" w:rsidRPr="00341ED2">
        <w:rPr>
          <w:color w:val="000000" w:themeColor="text1"/>
          <w:szCs w:val="28"/>
        </w:rPr>
        <w:t xml:space="preserve">. El segundo requiere exponer </w:t>
      </w:r>
      <w:r w:rsidR="00210B88" w:rsidRPr="00341ED2">
        <w:rPr>
          <w:color w:val="000000" w:themeColor="text1"/>
          <w:szCs w:val="28"/>
          <w:shd w:val="clear" w:color="auto" w:fill="FFFFFF"/>
        </w:rPr>
        <w:t>razones suficientes y válidas a la luz del ordenamiento jurídico y los supuestos fácticos del nuevo caso que justifiquen el cambio jurisprudencial</w:t>
      </w:r>
      <w:r w:rsidR="00210B88" w:rsidRPr="00341ED2">
        <w:rPr>
          <w:color w:val="000000" w:themeColor="text1"/>
          <w:szCs w:val="28"/>
          <w:vertAlign w:val="superscript"/>
        </w:rPr>
        <w:footnoteReference w:id="87"/>
      </w:r>
      <w:r w:rsidR="00210B88" w:rsidRPr="00341ED2">
        <w:rPr>
          <w:color w:val="000000" w:themeColor="text1"/>
          <w:szCs w:val="28"/>
          <w:shd w:val="clear" w:color="auto" w:fill="FFFFFF"/>
        </w:rPr>
        <w:t xml:space="preserve"> o una decisión diferente</w:t>
      </w:r>
      <w:r w:rsidR="00210B88" w:rsidRPr="00341ED2">
        <w:rPr>
          <w:color w:val="000000" w:themeColor="text1"/>
          <w:szCs w:val="28"/>
        </w:rPr>
        <w:t>, lo cual implica demostrar que el precedente no es válido, correcto o suficiente para resolver el asunto sometido a examen judicial</w:t>
      </w:r>
      <w:r w:rsidRPr="00341ED2">
        <w:rPr>
          <w:color w:val="000000" w:themeColor="text1"/>
          <w:szCs w:val="28"/>
        </w:rPr>
        <w:t>.</w:t>
      </w:r>
      <w:r w:rsidR="00210B88" w:rsidRPr="00341ED2">
        <w:rPr>
          <w:color w:val="000000" w:themeColor="text1"/>
          <w:szCs w:val="28"/>
          <w:vertAlign w:val="superscript"/>
        </w:rPr>
        <w:footnoteReference w:id="88"/>
      </w:r>
      <w:r w:rsidR="00210B88" w:rsidRPr="00341ED2">
        <w:rPr>
          <w:color w:val="000000" w:themeColor="text1"/>
          <w:szCs w:val="28"/>
        </w:rPr>
        <w:t xml:space="preserve"> Cumplidos estos requisitos, se entienden garantizados tanto el derecho a la igualdad de trato ante las autoridades como la autonomía e independencia de los operadores judiciales.</w:t>
      </w:r>
    </w:p>
    <w:p w14:paraId="01E4D2DF" w14:textId="77777777" w:rsidR="00696C54" w:rsidRPr="00341ED2" w:rsidRDefault="00696C54" w:rsidP="00696C54">
      <w:pPr>
        <w:pStyle w:val="Prrafodelista"/>
        <w:widowControl w:val="0"/>
        <w:autoSpaceDE w:val="0"/>
        <w:autoSpaceDN w:val="0"/>
        <w:adjustRightInd w:val="0"/>
        <w:spacing w:after="160"/>
        <w:ind w:left="0"/>
        <w:rPr>
          <w:rFonts w:eastAsiaTheme="minorHAnsi"/>
          <w:szCs w:val="28"/>
        </w:rPr>
      </w:pPr>
    </w:p>
    <w:p w14:paraId="198B9D18" w14:textId="3935AB5F" w:rsidR="00210B88" w:rsidRPr="00341ED2" w:rsidRDefault="00210B88" w:rsidP="00696C54">
      <w:pPr>
        <w:pStyle w:val="Prrafodelista"/>
        <w:widowControl w:val="0"/>
        <w:numPr>
          <w:ilvl w:val="1"/>
          <w:numId w:val="17"/>
        </w:numPr>
        <w:autoSpaceDE w:val="0"/>
        <w:autoSpaceDN w:val="0"/>
        <w:adjustRightInd w:val="0"/>
        <w:spacing w:after="160"/>
        <w:rPr>
          <w:rFonts w:eastAsiaTheme="minorHAnsi"/>
          <w:szCs w:val="28"/>
        </w:rPr>
      </w:pPr>
      <w:r w:rsidRPr="00341ED2">
        <w:rPr>
          <w:color w:val="000000" w:themeColor="text1"/>
          <w:szCs w:val="28"/>
        </w:rPr>
        <w:t>En suma, el respeto por el precedente judicial exige que ningún juez (individual o colegiado) falle un caso sin determinar si él mismo o el tribunal del cual hace parte ha establecido una regla de decisión en relación con casos similares o si existen reglas interpretativas fijadas por autoridades judiciales funcionalmente superiores, encargadas de la unificación de la jurisprudencia. En particular, cuando las altas cortes se han pronunciado sobre determinado asunto, el juez debe aplicar la regla fijada por ellas, pues, en estos casos, la autonomía judicial se restringe a los criterios unificadores de dichos jueces colegiados. En caso de que el juez decida adoptar un cambio de postura y no lo justifique de manera expresa, la consecuencia no es otra distinta a la vulneración de los derechos fundamentales a la igualdad y el debido proceso.</w:t>
      </w:r>
    </w:p>
    <w:p w14:paraId="6E577FF9" w14:textId="77777777" w:rsidR="00214733" w:rsidRPr="00341ED2" w:rsidRDefault="00214733" w:rsidP="000F393F">
      <w:pPr>
        <w:pStyle w:val="Prrafodelista"/>
        <w:widowControl w:val="0"/>
        <w:autoSpaceDE w:val="0"/>
        <w:autoSpaceDN w:val="0"/>
        <w:adjustRightInd w:val="0"/>
        <w:spacing w:after="160"/>
        <w:ind w:left="0"/>
        <w:rPr>
          <w:rFonts w:eastAsiaTheme="minorHAnsi"/>
          <w:b/>
          <w:bCs/>
          <w:szCs w:val="28"/>
        </w:rPr>
      </w:pPr>
    </w:p>
    <w:p w14:paraId="25330CC2" w14:textId="1196552C" w:rsidR="00C17788" w:rsidRPr="00341ED2" w:rsidRDefault="00940E88" w:rsidP="007B0EAD">
      <w:pPr>
        <w:pStyle w:val="Prrafodelista"/>
        <w:widowControl w:val="0"/>
        <w:numPr>
          <w:ilvl w:val="0"/>
          <w:numId w:val="17"/>
        </w:numPr>
        <w:autoSpaceDE w:val="0"/>
        <w:autoSpaceDN w:val="0"/>
        <w:adjustRightInd w:val="0"/>
        <w:spacing w:after="160"/>
        <w:rPr>
          <w:rFonts w:eastAsiaTheme="minorHAnsi"/>
          <w:b/>
          <w:bCs/>
          <w:szCs w:val="28"/>
        </w:rPr>
      </w:pPr>
      <w:r w:rsidRPr="00341ED2">
        <w:rPr>
          <w:b/>
          <w:bCs/>
          <w:lang w:val="es-CO"/>
        </w:rPr>
        <w:t xml:space="preserve">La caducidad del medio de control de reparación directa en los casos de lesiones </w:t>
      </w:r>
      <w:r w:rsidR="001F450A" w:rsidRPr="00341ED2">
        <w:rPr>
          <w:b/>
          <w:bCs/>
        </w:rPr>
        <w:t>a la integridad psicofísica de las personas</w:t>
      </w:r>
      <w:r w:rsidRPr="00341ED2">
        <w:rPr>
          <w:b/>
          <w:bCs/>
          <w:lang w:val="es-CO"/>
        </w:rPr>
        <w:t>. Reiteración de jurisprudencia</w:t>
      </w:r>
      <w:r w:rsidR="001F450A" w:rsidRPr="00341ED2">
        <w:rPr>
          <w:rStyle w:val="Refdenotaalpie"/>
          <w:b/>
          <w:bCs/>
          <w:lang w:val="es-CO"/>
        </w:rPr>
        <w:footnoteReference w:id="89"/>
      </w:r>
    </w:p>
    <w:p w14:paraId="05293B40" w14:textId="77777777" w:rsidR="007B0EAD" w:rsidRPr="00341ED2" w:rsidRDefault="007B0EAD" w:rsidP="007B0EAD">
      <w:pPr>
        <w:pStyle w:val="Prrafodelista"/>
        <w:widowControl w:val="0"/>
        <w:autoSpaceDE w:val="0"/>
        <w:autoSpaceDN w:val="0"/>
        <w:adjustRightInd w:val="0"/>
        <w:spacing w:after="160"/>
        <w:ind w:left="360"/>
        <w:rPr>
          <w:rFonts w:eastAsiaTheme="minorHAnsi"/>
          <w:b/>
          <w:bCs/>
          <w:szCs w:val="28"/>
        </w:rPr>
      </w:pPr>
    </w:p>
    <w:p w14:paraId="42B4B2E7" w14:textId="5D444677" w:rsidR="00B253DB" w:rsidRPr="00341ED2" w:rsidRDefault="00B253DB" w:rsidP="007B0EAD">
      <w:pPr>
        <w:pStyle w:val="Prrafodelista"/>
        <w:widowControl w:val="0"/>
        <w:numPr>
          <w:ilvl w:val="1"/>
          <w:numId w:val="17"/>
        </w:numPr>
        <w:autoSpaceDE w:val="0"/>
        <w:autoSpaceDN w:val="0"/>
        <w:adjustRightInd w:val="0"/>
        <w:spacing w:after="160"/>
        <w:rPr>
          <w:rFonts w:eastAsiaTheme="minorHAnsi"/>
          <w:b/>
          <w:bCs/>
          <w:szCs w:val="28"/>
        </w:rPr>
      </w:pPr>
      <w:r w:rsidRPr="00341ED2">
        <w:rPr>
          <w:szCs w:val="28"/>
          <w:lang w:eastAsia="es-ES"/>
        </w:rPr>
        <w:t xml:space="preserve">El literal i) del artículo 164 del CPACA establece que </w:t>
      </w:r>
      <w:proofErr w:type="gramStart"/>
      <w:r w:rsidRPr="00341ED2">
        <w:rPr>
          <w:szCs w:val="28"/>
          <w:lang w:eastAsia="es-ES"/>
        </w:rPr>
        <w:t>«[</w:t>
      </w:r>
      <w:proofErr w:type="gramEnd"/>
      <w:r w:rsidRPr="00341ED2">
        <w:rPr>
          <w:szCs w:val="28"/>
          <w:lang w:eastAsia="es-ES"/>
        </w:rPr>
        <w:t>c]</w:t>
      </w:r>
      <w:proofErr w:type="spellStart"/>
      <w:r w:rsidRPr="00341ED2">
        <w:rPr>
          <w:szCs w:val="28"/>
          <w:lang w:eastAsia="es-ES"/>
        </w:rPr>
        <w:t>uando</w:t>
      </w:r>
      <w:proofErr w:type="spellEnd"/>
      <w:r w:rsidRPr="00341ED2">
        <w:rPr>
          <w:szCs w:val="28"/>
          <w:lang w:eastAsia="es-ES"/>
        </w:rPr>
        <w:t xml:space="preserve">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r w:rsidR="00C17788" w:rsidRPr="00341ED2">
        <w:rPr>
          <w:rFonts w:eastAsiaTheme="minorHAnsi"/>
          <w:b/>
          <w:bCs/>
          <w:szCs w:val="28"/>
        </w:rPr>
        <w:t xml:space="preserve"> </w:t>
      </w:r>
      <w:r w:rsidRPr="00341ED2">
        <w:rPr>
          <w:szCs w:val="28"/>
          <w:lang w:eastAsia="es-ES"/>
        </w:rPr>
        <w:t>La interpretación y aplicación de esta norma ha sido objeto de análisis por parte de la Sección Tercera del Consejo de Estado y de la Corte Constitucional</w:t>
      </w:r>
      <w:r w:rsidR="00C17788" w:rsidRPr="00341ED2">
        <w:rPr>
          <w:szCs w:val="28"/>
          <w:lang w:eastAsia="es-ES"/>
        </w:rPr>
        <w:t>.</w:t>
      </w:r>
    </w:p>
    <w:p w14:paraId="5823BE03" w14:textId="77777777" w:rsidR="000C157F" w:rsidRPr="00341ED2" w:rsidRDefault="000C157F" w:rsidP="007B0EAD">
      <w:pPr>
        <w:pStyle w:val="Prrafodelista"/>
        <w:widowControl w:val="0"/>
        <w:autoSpaceDE w:val="0"/>
        <w:autoSpaceDN w:val="0"/>
        <w:adjustRightInd w:val="0"/>
        <w:spacing w:after="160"/>
        <w:ind w:left="0"/>
        <w:rPr>
          <w:rFonts w:eastAsiaTheme="minorHAnsi"/>
          <w:b/>
          <w:bCs/>
          <w:szCs w:val="28"/>
        </w:rPr>
      </w:pPr>
    </w:p>
    <w:p w14:paraId="3CA7B86B" w14:textId="20285C4F" w:rsidR="007B0EAD" w:rsidRPr="00341ED2" w:rsidRDefault="000C157F" w:rsidP="007B0EAD">
      <w:pPr>
        <w:pStyle w:val="Prrafodelista"/>
        <w:widowControl w:val="0"/>
        <w:numPr>
          <w:ilvl w:val="1"/>
          <w:numId w:val="17"/>
        </w:numPr>
        <w:autoSpaceDE w:val="0"/>
        <w:autoSpaceDN w:val="0"/>
        <w:adjustRightInd w:val="0"/>
        <w:rPr>
          <w:rFonts w:eastAsiaTheme="minorHAnsi"/>
          <w:b/>
          <w:bCs/>
          <w:szCs w:val="28"/>
        </w:rPr>
      </w:pPr>
      <w:r w:rsidRPr="00341ED2">
        <w:rPr>
          <w:szCs w:val="28"/>
          <w:lang w:eastAsia="es-ES"/>
        </w:rPr>
        <w:t>Mediante sentencia de</w:t>
      </w:r>
      <w:r w:rsidR="003609AE" w:rsidRPr="00341ED2">
        <w:rPr>
          <w:szCs w:val="28"/>
          <w:lang w:eastAsia="es-ES"/>
        </w:rPr>
        <w:t>l</w:t>
      </w:r>
      <w:r w:rsidRPr="00341ED2">
        <w:rPr>
          <w:szCs w:val="28"/>
          <w:lang w:eastAsia="es-ES"/>
        </w:rPr>
        <w:t xml:space="preserve"> 29 de noviembre de 2018, la Sala Plena de la Sección Tercera del Consejo de Estado unificó su jurisprudencia sobre el cómputo del término de demandas de reparación directa formuladas como consecuencia de lesiones sufridas por una persona. Luego de presentar las distintas posturas que hasta el momento había sostenido el Consejo de Estado sobre la materia, la Sección Tercera se decantó por la siguiente posición:</w:t>
      </w:r>
    </w:p>
    <w:p w14:paraId="586BEC08" w14:textId="77777777" w:rsidR="007B0EAD" w:rsidRPr="00341ED2" w:rsidRDefault="007B0EAD" w:rsidP="007B0EAD">
      <w:pPr>
        <w:pStyle w:val="Prrafodelista"/>
        <w:widowControl w:val="0"/>
        <w:autoSpaceDE w:val="0"/>
        <w:autoSpaceDN w:val="0"/>
        <w:adjustRightInd w:val="0"/>
        <w:ind w:left="0"/>
        <w:rPr>
          <w:szCs w:val="28"/>
          <w:lang w:eastAsia="es-ES"/>
        </w:rPr>
      </w:pPr>
    </w:p>
    <w:p w14:paraId="6CB83625" w14:textId="25A3E620" w:rsidR="007B0EAD" w:rsidRPr="00341ED2" w:rsidRDefault="000C157F" w:rsidP="007B0EAD">
      <w:pPr>
        <w:pStyle w:val="Prrafodelista"/>
        <w:widowControl w:val="0"/>
        <w:autoSpaceDE w:val="0"/>
        <w:autoSpaceDN w:val="0"/>
        <w:adjustRightInd w:val="0"/>
        <w:ind w:left="567" w:right="567"/>
        <w:rPr>
          <w:sz w:val="26"/>
          <w:szCs w:val="26"/>
          <w:lang w:eastAsia="es-ES"/>
        </w:rPr>
      </w:pPr>
      <w:proofErr w:type="gramStart"/>
      <w:r w:rsidRPr="00341ED2">
        <w:rPr>
          <w:sz w:val="26"/>
          <w:szCs w:val="26"/>
          <w:lang w:eastAsia="es-ES"/>
        </w:rPr>
        <w:t>«[</w:t>
      </w:r>
      <w:proofErr w:type="gramEnd"/>
      <w:r w:rsidRPr="00341ED2">
        <w:rPr>
          <w:sz w:val="26"/>
          <w:szCs w:val="26"/>
          <w:lang w:eastAsia="es-ES"/>
        </w:rPr>
        <w:t>R]</w:t>
      </w:r>
      <w:proofErr w:type="spellStart"/>
      <w:r w:rsidRPr="00341ED2">
        <w:rPr>
          <w:sz w:val="26"/>
          <w:szCs w:val="26"/>
          <w:lang w:eastAsia="es-ES"/>
        </w:rPr>
        <w:t>especto</w:t>
      </w:r>
      <w:proofErr w:type="spellEnd"/>
      <w:r w:rsidRPr="00341ED2">
        <w:rPr>
          <w:sz w:val="26"/>
          <w:szCs w:val="26"/>
          <w:lang w:eastAsia="es-ES"/>
        </w:rPr>
        <w:t xml:space="preserve"> de los hechos que generan efectos perjudiciales inmediatos e inmodificables en la integridad psicofísica de las personas, aquellos cuyas consecuencias se vislumbran al instante, con rapidez, y dejan secuelas permanentes, la contabilización del término de caducidad se inicia desde el día siguiente al acaecimiento del hecho, al tenor del numeral 8 del artículo 136 del Código Contencioso Administrativo y el literal i del artículo 164 de la Ley 1437 de 2011.</w:t>
      </w:r>
    </w:p>
    <w:p w14:paraId="48943CD2" w14:textId="77777777" w:rsidR="003609AE" w:rsidRPr="00341ED2" w:rsidRDefault="003609AE" w:rsidP="003609AE">
      <w:pPr>
        <w:widowControl w:val="0"/>
        <w:autoSpaceDE w:val="0"/>
        <w:autoSpaceDN w:val="0"/>
        <w:adjustRightInd w:val="0"/>
        <w:ind w:right="567"/>
        <w:rPr>
          <w:rFonts w:eastAsiaTheme="minorHAnsi"/>
          <w:b/>
          <w:bCs/>
          <w:sz w:val="26"/>
          <w:szCs w:val="26"/>
        </w:rPr>
      </w:pPr>
    </w:p>
    <w:p w14:paraId="1E3F0DC8" w14:textId="7A8C2018" w:rsidR="007B0EAD" w:rsidRPr="00341ED2" w:rsidRDefault="000C157F" w:rsidP="007B0EAD">
      <w:pPr>
        <w:pStyle w:val="Prrafodelista"/>
        <w:widowControl w:val="0"/>
        <w:autoSpaceDE w:val="0"/>
        <w:autoSpaceDN w:val="0"/>
        <w:adjustRightInd w:val="0"/>
        <w:ind w:left="567" w:right="567"/>
        <w:rPr>
          <w:rFonts w:eastAsiaTheme="minorHAnsi"/>
          <w:b/>
          <w:bCs/>
          <w:sz w:val="26"/>
          <w:szCs w:val="26"/>
        </w:rPr>
      </w:pPr>
      <w:r w:rsidRPr="00341ED2">
        <w:rPr>
          <w:sz w:val="26"/>
          <w:szCs w:val="26"/>
          <w:lang w:eastAsia="es-ES"/>
        </w:rPr>
        <w:t>Por el contrario, al tratarse de casos relacionados con lesiones personales cuya existencia sólo se conoce de forma certera y concreta con el discurrir del tiempo y con posterioridad al hecho generador, se hace necesario reiterar la jurisprudencia mayoritaria de esta Sala que indica que, según cada caso, será el juez quien defina si contabiliza la caducidad desde el momento de la ocurrencia del daño o desde cuando el interesado tuvo conocimiento del mismo; es decir, que impone unas consideraciones especiales que deberán ser tenidas en cuenta por el instructor del caso.»</w:t>
      </w:r>
      <w:r w:rsidRPr="00341ED2">
        <w:rPr>
          <w:rStyle w:val="Refdenotaalpie"/>
          <w:sz w:val="26"/>
          <w:szCs w:val="26"/>
          <w:lang w:eastAsia="es-ES"/>
        </w:rPr>
        <w:footnoteReference w:id="90"/>
      </w:r>
    </w:p>
    <w:p w14:paraId="4E42FA60" w14:textId="77777777" w:rsidR="007B0EAD" w:rsidRPr="00341ED2" w:rsidRDefault="007B0EAD" w:rsidP="007B0EAD">
      <w:pPr>
        <w:pStyle w:val="Prrafodelista"/>
        <w:widowControl w:val="0"/>
        <w:autoSpaceDE w:val="0"/>
        <w:autoSpaceDN w:val="0"/>
        <w:adjustRightInd w:val="0"/>
        <w:ind w:left="0"/>
        <w:rPr>
          <w:rFonts w:eastAsiaTheme="minorHAnsi"/>
          <w:b/>
          <w:bCs/>
          <w:szCs w:val="28"/>
        </w:rPr>
      </w:pPr>
    </w:p>
    <w:p w14:paraId="4BFE2034" w14:textId="4D970630" w:rsidR="00BE3FB0" w:rsidRPr="00341ED2" w:rsidRDefault="007B0EAD" w:rsidP="000C157F">
      <w:pPr>
        <w:pStyle w:val="Prrafodelista"/>
        <w:widowControl w:val="0"/>
        <w:numPr>
          <w:ilvl w:val="1"/>
          <w:numId w:val="17"/>
        </w:numPr>
        <w:autoSpaceDE w:val="0"/>
        <w:autoSpaceDN w:val="0"/>
        <w:adjustRightInd w:val="0"/>
        <w:rPr>
          <w:rFonts w:eastAsiaTheme="minorHAnsi"/>
          <w:b/>
          <w:bCs/>
          <w:szCs w:val="28"/>
        </w:rPr>
      </w:pPr>
      <w:r w:rsidRPr="00341ED2">
        <w:rPr>
          <w:szCs w:val="28"/>
          <w:lang w:eastAsia="es-ES"/>
        </w:rPr>
        <w:t xml:space="preserve">En </w:t>
      </w:r>
      <w:r w:rsidR="00AC340D" w:rsidRPr="00341ED2">
        <w:rPr>
          <w:szCs w:val="28"/>
          <w:lang w:eastAsia="es-ES"/>
        </w:rPr>
        <w:t>la</w:t>
      </w:r>
      <w:r w:rsidRPr="00341ED2">
        <w:rPr>
          <w:szCs w:val="28"/>
          <w:lang w:eastAsia="es-ES"/>
        </w:rPr>
        <w:t xml:space="preserve"> sentencia</w:t>
      </w:r>
      <w:r w:rsidR="007905CE" w:rsidRPr="00341ED2">
        <w:rPr>
          <w:szCs w:val="28"/>
          <w:lang w:eastAsia="es-ES"/>
        </w:rPr>
        <w:t xml:space="preserve"> de unificación</w:t>
      </w:r>
      <w:r w:rsidR="00BE3FB0" w:rsidRPr="00341ED2">
        <w:rPr>
          <w:szCs w:val="28"/>
          <w:lang w:eastAsia="es-ES"/>
        </w:rPr>
        <w:t xml:space="preserve">, </w:t>
      </w:r>
      <w:r w:rsidR="007905CE" w:rsidRPr="00341ED2">
        <w:rPr>
          <w:szCs w:val="28"/>
          <w:lang w:eastAsia="es-ES"/>
        </w:rPr>
        <w:t xml:space="preserve">el Consejo de Estado </w:t>
      </w:r>
      <w:r w:rsidR="000C157F" w:rsidRPr="00341ED2">
        <w:rPr>
          <w:szCs w:val="28"/>
          <w:lang w:eastAsia="es-ES"/>
        </w:rPr>
        <w:t xml:space="preserve">diferenció </w:t>
      </w:r>
      <w:r w:rsidR="00BE3FB0" w:rsidRPr="00341ED2">
        <w:rPr>
          <w:szCs w:val="28"/>
          <w:lang w:eastAsia="es-ES"/>
        </w:rPr>
        <w:t>los</w:t>
      </w:r>
      <w:r w:rsidR="000C157F" w:rsidRPr="00341ED2">
        <w:rPr>
          <w:szCs w:val="28"/>
          <w:lang w:eastAsia="es-ES"/>
        </w:rPr>
        <w:t xml:space="preserve"> supuestos</w:t>
      </w:r>
      <w:r w:rsidR="00BE3FB0" w:rsidRPr="00341ED2">
        <w:rPr>
          <w:szCs w:val="28"/>
          <w:lang w:eastAsia="es-ES"/>
        </w:rPr>
        <w:t xml:space="preserve"> del literal i) del artículo 164 del CPACA</w:t>
      </w:r>
      <w:r w:rsidR="000C157F" w:rsidRPr="00341ED2">
        <w:rPr>
          <w:szCs w:val="28"/>
          <w:lang w:eastAsia="es-ES"/>
        </w:rPr>
        <w:t>. El primero</w:t>
      </w:r>
      <w:r w:rsidRPr="00341ED2">
        <w:rPr>
          <w:szCs w:val="28"/>
          <w:lang w:eastAsia="es-ES"/>
        </w:rPr>
        <w:t>,</w:t>
      </w:r>
      <w:r w:rsidR="000C157F" w:rsidRPr="00341ED2">
        <w:rPr>
          <w:szCs w:val="28"/>
          <w:lang w:eastAsia="es-ES"/>
        </w:rPr>
        <w:t xml:space="preserve"> corresponde a casos en los que los hechos que motivan la demanda de reparación directa generan «efectos perjudiciales inmediatos e inmodificables en la integridad psicofísica de las personas», en los que «las consecuencias se vislumbran al instante, con rapidez, y dejan secuelas permanentes». En este tipo de casos, el término de caducidad debe contarse «desde el día siguiente al acontecimiento del hecho». </w:t>
      </w:r>
    </w:p>
    <w:p w14:paraId="29ABF12B" w14:textId="77777777" w:rsidR="00BE3FB0" w:rsidRPr="00341ED2" w:rsidRDefault="00BE3FB0" w:rsidP="00BE3FB0">
      <w:pPr>
        <w:pStyle w:val="Prrafodelista"/>
        <w:widowControl w:val="0"/>
        <w:autoSpaceDE w:val="0"/>
        <w:autoSpaceDN w:val="0"/>
        <w:adjustRightInd w:val="0"/>
        <w:ind w:left="0"/>
        <w:rPr>
          <w:rFonts w:eastAsiaTheme="minorHAnsi"/>
          <w:b/>
          <w:bCs/>
          <w:szCs w:val="28"/>
        </w:rPr>
      </w:pPr>
    </w:p>
    <w:p w14:paraId="4A7BE3FB" w14:textId="1ACCEDC5" w:rsidR="0094672F" w:rsidRPr="00341ED2" w:rsidRDefault="000C157F" w:rsidP="0094672F">
      <w:pPr>
        <w:pStyle w:val="Prrafodelista"/>
        <w:widowControl w:val="0"/>
        <w:numPr>
          <w:ilvl w:val="1"/>
          <w:numId w:val="17"/>
        </w:numPr>
        <w:autoSpaceDE w:val="0"/>
        <w:autoSpaceDN w:val="0"/>
        <w:adjustRightInd w:val="0"/>
        <w:rPr>
          <w:rFonts w:eastAsiaTheme="minorHAnsi"/>
          <w:b/>
          <w:bCs/>
          <w:szCs w:val="28"/>
        </w:rPr>
      </w:pPr>
      <w:bookmarkStart w:id="13" w:name="_Hlk163139583"/>
      <w:r w:rsidRPr="00341ED2">
        <w:rPr>
          <w:szCs w:val="28"/>
          <w:lang w:eastAsia="es-ES"/>
        </w:rPr>
        <w:t>El segundo</w:t>
      </w:r>
      <w:r w:rsidR="007905CE" w:rsidRPr="00341ED2">
        <w:rPr>
          <w:szCs w:val="28"/>
          <w:lang w:eastAsia="es-ES"/>
        </w:rPr>
        <w:t>,</w:t>
      </w:r>
      <w:r w:rsidRPr="00341ED2">
        <w:rPr>
          <w:szCs w:val="28"/>
          <w:lang w:eastAsia="es-ES"/>
        </w:rPr>
        <w:t xml:space="preserve"> se trata de casos en los que la lesión a la integridad psicofísica «solo se conoce de forma certera y concreta con el discurrir del tiempo y con posterioridad al hecho generador». </w:t>
      </w:r>
      <w:r w:rsidR="007905CE" w:rsidRPr="00341ED2">
        <w:rPr>
          <w:szCs w:val="28"/>
          <w:lang w:eastAsia="es-ES"/>
        </w:rPr>
        <w:t>Sobre ello</w:t>
      </w:r>
      <w:r w:rsidR="00BE3FB0" w:rsidRPr="00341ED2">
        <w:rPr>
          <w:szCs w:val="28"/>
          <w:lang w:eastAsia="es-ES"/>
        </w:rPr>
        <w:t>,</w:t>
      </w:r>
      <w:r w:rsidRPr="00341ED2">
        <w:rPr>
          <w:szCs w:val="28"/>
          <w:lang w:eastAsia="es-ES"/>
        </w:rPr>
        <w:t xml:space="preserve"> precisó que, «según cada caso, será el juez quien defina si contabiliza la caducidad desde el momento de la ocurrencia del daño o desde cuando el interesado tuvo conocimiento del mismo; es decir, que impone unas consideraciones especiales que deberán ser tenidas en cuenta por el instructor del caso».  </w:t>
      </w:r>
    </w:p>
    <w:p w14:paraId="32283B3A" w14:textId="77777777" w:rsidR="0094672F" w:rsidRPr="00341ED2" w:rsidRDefault="0094672F" w:rsidP="0094672F">
      <w:pPr>
        <w:pStyle w:val="Prrafodelista"/>
        <w:widowControl w:val="0"/>
        <w:autoSpaceDE w:val="0"/>
        <w:autoSpaceDN w:val="0"/>
        <w:adjustRightInd w:val="0"/>
        <w:ind w:left="0"/>
        <w:rPr>
          <w:rFonts w:eastAsiaTheme="minorHAnsi"/>
          <w:b/>
          <w:bCs/>
          <w:szCs w:val="28"/>
        </w:rPr>
      </w:pPr>
    </w:p>
    <w:p w14:paraId="2543B94B" w14:textId="1FB8EFB1" w:rsidR="0094672F" w:rsidRPr="00355E6F" w:rsidRDefault="008630CB" w:rsidP="0094672F">
      <w:pPr>
        <w:pStyle w:val="Prrafodelista"/>
        <w:widowControl w:val="0"/>
        <w:numPr>
          <w:ilvl w:val="1"/>
          <w:numId w:val="17"/>
        </w:numPr>
        <w:autoSpaceDE w:val="0"/>
        <w:autoSpaceDN w:val="0"/>
        <w:adjustRightInd w:val="0"/>
        <w:rPr>
          <w:rFonts w:eastAsiaTheme="minorHAnsi"/>
          <w:b/>
          <w:bCs/>
          <w:szCs w:val="28"/>
        </w:rPr>
      </w:pPr>
      <w:r w:rsidRPr="00341ED2">
        <w:rPr>
          <w:rFonts w:eastAsiaTheme="minorHAnsi"/>
          <w:szCs w:val="28"/>
        </w:rPr>
        <w:t>Ahora bien,</w:t>
      </w:r>
      <w:r w:rsidR="0094672F" w:rsidRPr="00341ED2">
        <w:rPr>
          <w:rFonts w:eastAsiaTheme="minorHAnsi"/>
          <w:szCs w:val="28"/>
        </w:rPr>
        <w:t xml:space="preserve"> el Consejo de Estado h</w:t>
      </w:r>
      <w:r w:rsidRPr="00341ED2">
        <w:rPr>
          <w:rFonts w:eastAsiaTheme="minorHAnsi"/>
          <w:szCs w:val="28"/>
        </w:rPr>
        <w:t>a aceptado</w:t>
      </w:r>
      <w:r w:rsidR="0094672F" w:rsidRPr="00341ED2">
        <w:rPr>
          <w:rFonts w:eastAsiaTheme="minorHAnsi"/>
          <w:szCs w:val="28"/>
        </w:rPr>
        <w:t xml:space="preserve"> que existen casos en los que «las disminuciones de salud no son conocidas desde el momento de ocurrencia, sino que la consciencia que tiene el lesionado de su existencia advienen con posterioridad, como, por ejemplo, cuando el conocimiento de la afectación sólo se adquiere con el reporte diagnóstico que así la haga saber y no desde el instante en que el paciente contrajo la enfermedad»</w:t>
      </w:r>
      <w:r w:rsidR="0094672F" w:rsidRPr="00341ED2">
        <w:rPr>
          <w:rStyle w:val="Refdenotaalpie"/>
          <w:iCs/>
          <w:szCs w:val="28"/>
          <w:lang w:eastAsia="es-ES"/>
        </w:rPr>
        <w:footnoteReference w:id="91"/>
      </w:r>
      <w:r w:rsidR="0094672F" w:rsidRPr="00341ED2">
        <w:rPr>
          <w:rFonts w:eastAsiaTheme="minorHAnsi"/>
          <w:szCs w:val="28"/>
        </w:rPr>
        <w:t>. De tal suerte que «si existe prueba de un diagnóstico previo y concreto de la condición en la salud del paciente, de ahí que los dictámenes proferidos por las juntas de calificación de invalidez o evaluaciones médicas posteriores al diagnóstico definitivo no resulten relevantes para el cómputo de la caducidad de la acción»</w:t>
      </w:r>
      <w:r w:rsidR="0094672F" w:rsidRPr="00341ED2">
        <w:rPr>
          <w:rStyle w:val="Refdenotaalpie"/>
          <w:iCs/>
          <w:szCs w:val="28"/>
          <w:lang w:eastAsia="es-ES"/>
        </w:rPr>
        <w:footnoteReference w:id="92"/>
      </w:r>
      <w:r w:rsidR="0094672F" w:rsidRPr="00341ED2">
        <w:rPr>
          <w:rFonts w:eastAsiaTheme="minorHAnsi"/>
          <w:szCs w:val="28"/>
        </w:rPr>
        <w:t>.</w:t>
      </w:r>
      <w:bookmarkEnd w:id="13"/>
    </w:p>
    <w:p w14:paraId="37FB0291" w14:textId="77777777" w:rsidR="00355E6F" w:rsidRPr="00341ED2" w:rsidRDefault="00355E6F" w:rsidP="00355E6F">
      <w:pPr>
        <w:pStyle w:val="Prrafodelista"/>
        <w:widowControl w:val="0"/>
        <w:autoSpaceDE w:val="0"/>
        <w:autoSpaceDN w:val="0"/>
        <w:adjustRightInd w:val="0"/>
        <w:ind w:left="0"/>
        <w:rPr>
          <w:rFonts w:eastAsiaTheme="minorHAnsi"/>
          <w:b/>
          <w:bCs/>
          <w:szCs w:val="28"/>
        </w:rPr>
      </w:pPr>
    </w:p>
    <w:p w14:paraId="0DD33E38" w14:textId="1E21977D" w:rsidR="0094672F" w:rsidRPr="00341ED2" w:rsidRDefault="0094672F" w:rsidP="0094672F">
      <w:pPr>
        <w:pStyle w:val="Prrafodelista"/>
        <w:widowControl w:val="0"/>
        <w:numPr>
          <w:ilvl w:val="1"/>
          <w:numId w:val="17"/>
        </w:numPr>
        <w:autoSpaceDE w:val="0"/>
        <w:autoSpaceDN w:val="0"/>
        <w:adjustRightInd w:val="0"/>
        <w:rPr>
          <w:rFonts w:eastAsiaTheme="minorHAnsi"/>
          <w:b/>
          <w:bCs/>
          <w:szCs w:val="28"/>
        </w:rPr>
      </w:pPr>
      <w:r w:rsidRPr="00341ED2">
        <w:rPr>
          <w:szCs w:val="28"/>
          <w:lang w:eastAsia="es-ES"/>
        </w:rPr>
        <w:t>Es decir, el Consejo de Estado ha utilizado como punto de partida del cómputo del término de caducidad el diagnóstico médico que le permite al ciudadano conocer con certeza el daño que ha sufrido</w:t>
      </w:r>
      <w:r w:rsidRPr="00341ED2">
        <w:rPr>
          <w:rStyle w:val="Refdenotaalpie"/>
          <w:szCs w:val="28"/>
          <w:lang w:eastAsia="es-ES"/>
        </w:rPr>
        <w:footnoteReference w:id="93"/>
      </w:r>
      <w:r w:rsidRPr="00341ED2">
        <w:rPr>
          <w:szCs w:val="28"/>
          <w:lang w:eastAsia="es-ES"/>
        </w:rPr>
        <w:t>, pero ha desestimado que dicho término inicie a contarse «a partir del momento en el que se le dictaminó la pérdida de su capacidad laboral, porque el demandante fue consciente de las lesiones que sufrió desde el diagnóstico»</w:t>
      </w:r>
      <w:r w:rsidRPr="00341ED2">
        <w:rPr>
          <w:rStyle w:val="Refdenotaalpie"/>
          <w:szCs w:val="28"/>
          <w:lang w:eastAsia="es-ES"/>
        </w:rPr>
        <w:footnoteReference w:id="94"/>
      </w:r>
      <w:r w:rsidRPr="00341ED2">
        <w:rPr>
          <w:szCs w:val="28"/>
          <w:lang w:eastAsia="es-ES"/>
        </w:rPr>
        <w:t>.</w:t>
      </w:r>
    </w:p>
    <w:p w14:paraId="55CBFDC4" w14:textId="77777777" w:rsidR="0094672F" w:rsidRPr="00341ED2" w:rsidRDefault="0094672F" w:rsidP="00BE3FB0">
      <w:pPr>
        <w:pStyle w:val="Prrafodelista"/>
        <w:widowControl w:val="0"/>
        <w:autoSpaceDE w:val="0"/>
        <w:autoSpaceDN w:val="0"/>
        <w:adjustRightInd w:val="0"/>
        <w:ind w:left="0"/>
        <w:rPr>
          <w:rFonts w:eastAsiaTheme="minorHAnsi"/>
          <w:b/>
          <w:bCs/>
          <w:szCs w:val="28"/>
        </w:rPr>
      </w:pPr>
    </w:p>
    <w:p w14:paraId="6F57674C" w14:textId="1AF8F139" w:rsidR="00F37152" w:rsidRPr="00341ED2" w:rsidRDefault="00F37152" w:rsidP="005E7634">
      <w:pPr>
        <w:pStyle w:val="Prrafodelista"/>
        <w:widowControl w:val="0"/>
        <w:numPr>
          <w:ilvl w:val="1"/>
          <w:numId w:val="17"/>
        </w:numPr>
        <w:autoSpaceDE w:val="0"/>
        <w:autoSpaceDN w:val="0"/>
        <w:adjustRightInd w:val="0"/>
        <w:rPr>
          <w:rFonts w:eastAsiaTheme="minorHAnsi"/>
          <w:b/>
          <w:bCs/>
          <w:szCs w:val="28"/>
        </w:rPr>
      </w:pPr>
      <w:r w:rsidRPr="00341ED2">
        <w:rPr>
          <w:rFonts w:eastAsiaTheme="minorHAnsi"/>
          <w:szCs w:val="28"/>
        </w:rPr>
        <w:t>L</w:t>
      </w:r>
      <w:r w:rsidR="001260B3" w:rsidRPr="00341ED2">
        <w:rPr>
          <w:rFonts w:eastAsiaTheme="minorHAnsi"/>
          <w:szCs w:val="28"/>
        </w:rPr>
        <w:t>a Corte Constitucional</w:t>
      </w:r>
      <w:r w:rsidR="00B83B73" w:rsidRPr="00341ED2">
        <w:rPr>
          <w:rFonts w:eastAsiaTheme="minorHAnsi"/>
          <w:szCs w:val="28"/>
        </w:rPr>
        <w:t>, por su parte,</w:t>
      </w:r>
      <w:r w:rsidR="001260B3" w:rsidRPr="00341ED2">
        <w:rPr>
          <w:rFonts w:eastAsiaTheme="minorHAnsi"/>
          <w:szCs w:val="28"/>
        </w:rPr>
        <w:t xml:space="preserve"> ha reiterado</w:t>
      </w:r>
      <w:r w:rsidR="00B83B73" w:rsidRPr="00341ED2">
        <w:rPr>
          <w:rFonts w:eastAsiaTheme="minorHAnsi"/>
          <w:szCs w:val="28"/>
        </w:rPr>
        <w:t xml:space="preserve"> en términos generales </w:t>
      </w:r>
      <w:r w:rsidR="001260B3" w:rsidRPr="00341ED2">
        <w:rPr>
          <w:rFonts w:eastAsiaTheme="minorHAnsi"/>
          <w:szCs w:val="28"/>
        </w:rPr>
        <w:t>la posición de la Sección Tercera del Consejo de Estado</w:t>
      </w:r>
      <w:r w:rsidR="009168EA" w:rsidRPr="00341ED2">
        <w:rPr>
          <w:rFonts w:eastAsiaTheme="minorHAnsi"/>
          <w:szCs w:val="28"/>
        </w:rPr>
        <w:t>; no obstante,</w:t>
      </w:r>
      <w:r w:rsidR="005E7634" w:rsidRPr="00341ED2">
        <w:rPr>
          <w:rFonts w:eastAsiaTheme="minorHAnsi"/>
          <w:szCs w:val="28"/>
        </w:rPr>
        <w:t xml:space="preserve"> ha </w:t>
      </w:r>
      <w:r w:rsidR="009168EA" w:rsidRPr="00341ED2">
        <w:rPr>
          <w:rFonts w:eastAsiaTheme="minorHAnsi"/>
          <w:szCs w:val="28"/>
        </w:rPr>
        <w:t>precisado</w:t>
      </w:r>
      <w:r w:rsidR="005E7634" w:rsidRPr="00341ED2">
        <w:rPr>
          <w:rFonts w:eastAsiaTheme="minorHAnsi"/>
          <w:szCs w:val="28"/>
        </w:rPr>
        <w:t xml:space="preserve"> que el cómputo de la caducidad de </w:t>
      </w:r>
      <w:r w:rsidR="001260B3" w:rsidRPr="00341ED2">
        <w:rPr>
          <w:szCs w:val="28"/>
          <w:lang w:val="es-CO" w:eastAsia="es-ES"/>
        </w:rPr>
        <w:t>la acción de reparación directa</w:t>
      </w:r>
      <w:r w:rsidR="00F22359" w:rsidRPr="00341ED2">
        <w:rPr>
          <w:szCs w:val="28"/>
          <w:lang w:val="es-CO" w:eastAsia="es-ES"/>
        </w:rPr>
        <w:t xml:space="preserve"> </w:t>
      </w:r>
      <w:r w:rsidR="005E7634" w:rsidRPr="00341ED2">
        <w:rPr>
          <w:szCs w:val="28"/>
          <w:lang w:val="es-CO" w:eastAsia="es-ES"/>
        </w:rPr>
        <w:t>debe hacerse</w:t>
      </w:r>
      <w:r w:rsidR="00F22359" w:rsidRPr="00341ED2">
        <w:rPr>
          <w:szCs w:val="28"/>
          <w:lang w:val="es-CO" w:eastAsia="es-ES"/>
        </w:rPr>
        <w:t xml:space="preserve"> </w:t>
      </w:r>
      <w:r w:rsidR="005E7634" w:rsidRPr="00341ED2">
        <w:rPr>
          <w:szCs w:val="28"/>
          <w:lang w:val="es-CO" w:eastAsia="es-ES"/>
        </w:rPr>
        <w:t xml:space="preserve">desde </w:t>
      </w:r>
      <w:r w:rsidR="00F22359" w:rsidRPr="00341ED2">
        <w:rPr>
          <w:szCs w:val="28"/>
          <w:lang w:val="es-CO" w:eastAsia="es-ES"/>
        </w:rPr>
        <w:t>una perspectiva constitucional</w:t>
      </w:r>
      <w:r w:rsidR="001260B3" w:rsidRPr="00341ED2">
        <w:rPr>
          <w:szCs w:val="28"/>
          <w:lang w:val="es-CO" w:eastAsia="es-ES"/>
        </w:rPr>
        <w:t>,</w:t>
      </w:r>
      <w:r w:rsidR="00F22359" w:rsidRPr="00341ED2">
        <w:rPr>
          <w:szCs w:val="28"/>
          <w:lang w:val="es-CO" w:eastAsia="es-ES"/>
        </w:rPr>
        <w:t xml:space="preserve"> de manera que no se utilice para obstaculizar el acceso a la administración de justici</w:t>
      </w:r>
      <w:r w:rsidR="009C0EF1" w:rsidRPr="00341ED2">
        <w:rPr>
          <w:szCs w:val="28"/>
          <w:lang w:val="es-CO" w:eastAsia="es-ES"/>
        </w:rPr>
        <w:t>a</w:t>
      </w:r>
      <w:r w:rsidR="00B269B9" w:rsidRPr="00341ED2">
        <w:rPr>
          <w:szCs w:val="28"/>
          <w:lang w:val="es-CO" w:eastAsia="es-ES"/>
        </w:rPr>
        <w:t>.</w:t>
      </w:r>
      <w:r w:rsidR="00334373" w:rsidRPr="00341ED2">
        <w:rPr>
          <w:rStyle w:val="Refdenotaalpie"/>
          <w:szCs w:val="28"/>
          <w:lang w:val="es-CO" w:eastAsia="es-ES"/>
        </w:rPr>
        <w:footnoteReference w:id="95"/>
      </w:r>
      <w:r w:rsidR="00447AAC" w:rsidRPr="00341ED2">
        <w:rPr>
          <w:szCs w:val="28"/>
          <w:lang w:val="es-CO" w:eastAsia="es-ES"/>
        </w:rPr>
        <w:t xml:space="preserve"> </w:t>
      </w:r>
      <w:r w:rsidR="00B269B9" w:rsidRPr="00341ED2">
        <w:rPr>
          <w:szCs w:val="28"/>
          <w:lang w:val="es-CO" w:eastAsia="es-ES"/>
        </w:rPr>
        <w:t>En ese sentido, l</w:t>
      </w:r>
      <w:r w:rsidR="00447AAC" w:rsidRPr="00341ED2">
        <w:rPr>
          <w:szCs w:val="28"/>
          <w:lang w:val="es-CO" w:eastAsia="es-ES"/>
        </w:rPr>
        <w:t>a jurisprudencia constitucional h</w:t>
      </w:r>
      <w:r w:rsidR="005E7634" w:rsidRPr="00341ED2">
        <w:rPr>
          <w:szCs w:val="28"/>
          <w:lang w:val="es-CO" w:eastAsia="es-ES"/>
        </w:rPr>
        <w:t xml:space="preserve">a aceptado </w:t>
      </w:r>
      <w:r w:rsidR="009168EA" w:rsidRPr="00341ED2">
        <w:rPr>
          <w:szCs w:val="28"/>
          <w:lang w:val="es-CO" w:eastAsia="es-ES"/>
        </w:rPr>
        <w:t>la flexibilización</w:t>
      </w:r>
      <w:r w:rsidR="00447AAC" w:rsidRPr="00341ED2">
        <w:t xml:space="preserve"> </w:t>
      </w:r>
      <w:r w:rsidR="009168EA" w:rsidRPr="00341ED2">
        <w:t>d</w:t>
      </w:r>
      <w:r w:rsidR="00447AAC" w:rsidRPr="00341ED2">
        <w:t>el cómputo del término de caducidad en aras de asegurar la primacía de los derechos fundamentales al debido proceso y al acceso a la administración de justicia</w:t>
      </w:r>
      <w:r w:rsidR="00630F51" w:rsidRPr="00341ED2">
        <w:t>.</w:t>
      </w:r>
      <w:r w:rsidR="00B269B9" w:rsidRPr="00341ED2">
        <w:rPr>
          <w:szCs w:val="28"/>
          <w:lang w:eastAsia="es-ES"/>
        </w:rPr>
        <w:t xml:space="preserve"> </w:t>
      </w:r>
    </w:p>
    <w:p w14:paraId="681DA50A" w14:textId="77777777" w:rsidR="00701F6D" w:rsidRPr="00341ED2" w:rsidRDefault="00701F6D" w:rsidP="00F37152">
      <w:pPr>
        <w:pStyle w:val="Prrafodelista"/>
        <w:widowControl w:val="0"/>
        <w:autoSpaceDE w:val="0"/>
        <w:autoSpaceDN w:val="0"/>
        <w:adjustRightInd w:val="0"/>
        <w:ind w:left="0"/>
        <w:rPr>
          <w:rFonts w:eastAsiaTheme="minorHAnsi"/>
          <w:b/>
          <w:bCs/>
          <w:szCs w:val="28"/>
        </w:rPr>
      </w:pPr>
    </w:p>
    <w:p w14:paraId="6A448311" w14:textId="0D526177" w:rsidR="00D04912" w:rsidRPr="00341ED2" w:rsidRDefault="00B269B9" w:rsidP="00701F6D">
      <w:pPr>
        <w:pStyle w:val="Prrafodelista"/>
        <w:widowControl w:val="0"/>
        <w:numPr>
          <w:ilvl w:val="1"/>
          <w:numId w:val="17"/>
        </w:numPr>
        <w:autoSpaceDE w:val="0"/>
        <w:autoSpaceDN w:val="0"/>
        <w:adjustRightInd w:val="0"/>
        <w:rPr>
          <w:rStyle w:val="FontStyle30"/>
          <w:rFonts w:eastAsiaTheme="minorHAnsi"/>
          <w:b/>
          <w:bCs/>
          <w:sz w:val="28"/>
          <w:szCs w:val="28"/>
        </w:rPr>
      </w:pPr>
      <w:r w:rsidRPr="00341ED2">
        <w:rPr>
          <w:szCs w:val="28"/>
          <w:lang w:eastAsia="es-ES"/>
        </w:rPr>
        <w:t xml:space="preserve">Al respecto, </w:t>
      </w:r>
      <w:r w:rsidR="00BA0F3B" w:rsidRPr="00341ED2">
        <w:rPr>
          <w:szCs w:val="28"/>
          <w:lang w:eastAsia="es-ES"/>
        </w:rPr>
        <w:t>e</w:t>
      </w:r>
      <w:r w:rsidRPr="00341ED2">
        <w:rPr>
          <w:szCs w:val="28"/>
          <w:lang w:eastAsia="es-ES"/>
        </w:rPr>
        <w:t xml:space="preserve">n </w:t>
      </w:r>
      <w:r w:rsidR="00E653A0" w:rsidRPr="00341ED2">
        <w:rPr>
          <w:szCs w:val="28"/>
          <w:lang w:val="es-CO" w:eastAsia="es-ES"/>
        </w:rPr>
        <w:t>la Sentencia SU-659 de 2015</w:t>
      </w:r>
      <w:r w:rsidR="00F37152" w:rsidRPr="00341ED2">
        <w:rPr>
          <w:szCs w:val="28"/>
          <w:lang w:val="es-CO" w:eastAsia="es-ES"/>
        </w:rPr>
        <w:t>, la Sala Plena</w:t>
      </w:r>
      <w:r w:rsidR="00E41AE0" w:rsidRPr="00341ED2">
        <w:rPr>
          <w:szCs w:val="28"/>
          <w:lang w:val="es-CO" w:eastAsia="es-ES"/>
        </w:rPr>
        <w:t xml:space="preserve"> sostuvo</w:t>
      </w:r>
      <w:r w:rsidR="00483893" w:rsidRPr="00341ED2">
        <w:rPr>
          <w:szCs w:val="28"/>
          <w:lang w:val="es-CO" w:eastAsia="es-ES"/>
        </w:rPr>
        <w:t xml:space="preserve"> inicialmente</w:t>
      </w:r>
      <w:r w:rsidR="00E41AE0" w:rsidRPr="00341ED2">
        <w:rPr>
          <w:szCs w:val="28"/>
          <w:lang w:val="es-CO" w:eastAsia="es-ES"/>
        </w:rPr>
        <w:t xml:space="preserve"> que la regla </w:t>
      </w:r>
      <w:r w:rsidRPr="00341ED2">
        <w:rPr>
          <w:szCs w:val="28"/>
          <w:lang w:val="es-CO" w:eastAsia="es-ES"/>
        </w:rPr>
        <w:t xml:space="preserve">de caducidad </w:t>
      </w:r>
      <w:r w:rsidR="00E41AE0" w:rsidRPr="00341ED2">
        <w:rPr>
          <w:szCs w:val="28"/>
          <w:lang w:val="es-CO" w:eastAsia="es-ES"/>
        </w:rPr>
        <w:t xml:space="preserve">prevista </w:t>
      </w:r>
      <w:r w:rsidR="00B83B73" w:rsidRPr="00341ED2">
        <w:rPr>
          <w:szCs w:val="28"/>
          <w:lang w:val="es-CO" w:eastAsia="es-ES"/>
        </w:rPr>
        <w:t>en</w:t>
      </w:r>
      <w:r w:rsidR="005F4F7F" w:rsidRPr="00341ED2">
        <w:rPr>
          <w:szCs w:val="28"/>
          <w:lang w:val="es-CO" w:eastAsia="es-ES"/>
        </w:rPr>
        <w:t xml:space="preserve"> el </w:t>
      </w:r>
      <w:r w:rsidR="00E41AE0" w:rsidRPr="00341ED2">
        <w:rPr>
          <w:szCs w:val="28"/>
          <w:lang w:val="es-CO" w:eastAsia="es-ES"/>
        </w:rPr>
        <w:t>entonces</w:t>
      </w:r>
      <w:r w:rsidR="005F4F7F" w:rsidRPr="00341ED2">
        <w:rPr>
          <w:szCs w:val="28"/>
          <w:lang w:val="es-CO" w:eastAsia="es-ES"/>
        </w:rPr>
        <w:t xml:space="preserve"> vigente</w:t>
      </w:r>
      <w:r w:rsidR="00E41AE0" w:rsidRPr="00341ED2">
        <w:rPr>
          <w:szCs w:val="28"/>
          <w:lang w:val="es-CO" w:eastAsia="es-ES"/>
        </w:rPr>
        <w:t xml:space="preserve"> artículo 136.8 del Código Contencioso Administrativo</w:t>
      </w:r>
      <w:r w:rsidR="005F4F7F" w:rsidRPr="00341ED2">
        <w:rPr>
          <w:szCs w:val="28"/>
          <w:lang w:val="es-CO" w:eastAsia="es-ES"/>
        </w:rPr>
        <w:t xml:space="preserve"> «no es absoluta, ni el punto de inicio inmodificable</w:t>
      </w:r>
      <w:r w:rsidR="00B20AD6" w:rsidRPr="00341ED2">
        <w:rPr>
          <w:szCs w:val="28"/>
          <w:lang w:val="es-CO" w:eastAsia="es-ES"/>
        </w:rPr>
        <w:t xml:space="preserve">, porque admite excepciones basadas en el reconocimiento de situaciones particulares frente a las </w:t>
      </w:r>
      <w:r w:rsidR="008B3973" w:rsidRPr="00341ED2">
        <w:rPr>
          <w:rStyle w:val="FontStyle30"/>
          <w:sz w:val="28"/>
          <w:szCs w:val="28"/>
          <w:lang w:val="es-ES_tradnl" w:eastAsia="es-ES_tradnl"/>
        </w:rPr>
        <w:t>cuales es necesario que, aplicando el artículo 228 de la Constitución, la judicatura garantice el derecho de acceso a la administración de justicia y el debido proceso</w:t>
      </w:r>
      <w:r w:rsidR="005F4F7F" w:rsidRPr="00341ED2">
        <w:rPr>
          <w:szCs w:val="28"/>
          <w:lang w:val="es-CO" w:eastAsia="es-ES"/>
        </w:rPr>
        <w:t>»</w:t>
      </w:r>
      <w:r w:rsidR="008B3973" w:rsidRPr="00341ED2">
        <w:rPr>
          <w:szCs w:val="28"/>
          <w:lang w:val="es-CO" w:eastAsia="es-ES"/>
        </w:rPr>
        <w:t>.</w:t>
      </w:r>
      <w:r w:rsidR="00807AEF" w:rsidRPr="00341ED2">
        <w:rPr>
          <w:rFonts w:eastAsiaTheme="minorHAnsi"/>
          <w:b/>
          <w:bCs/>
          <w:szCs w:val="28"/>
          <w:lang w:val="es-CO"/>
        </w:rPr>
        <w:t xml:space="preserve"> </w:t>
      </w:r>
      <w:r w:rsidR="009168EA" w:rsidRPr="00341ED2">
        <w:rPr>
          <w:rStyle w:val="FontStyle30"/>
          <w:sz w:val="28"/>
          <w:szCs w:val="28"/>
          <w:lang w:val="es-CO" w:eastAsia="es-ES_tradnl"/>
        </w:rPr>
        <w:t>L</w:t>
      </w:r>
      <w:r w:rsidR="00B83B73" w:rsidRPr="00341ED2">
        <w:rPr>
          <w:rStyle w:val="FontStyle30"/>
          <w:sz w:val="28"/>
          <w:szCs w:val="28"/>
          <w:lang w:val="es-ES_tradnl" w:eastAsia="es-ES_tradnl"/>
        </w:rPr>
        <w:t xml:space="preserve">a Sala Plena advirtió que </w:t>
      </w:r>
      <w:r w:rsidR="00AB797E" w:rsidRPr="00341ED2">
        <w:rPr>
          <w:rStyle w:val="FontStyle30"/>
          <w:sz w:val="28"/>
          <w:szCs w:val="28"/>
          <w:lang w:val="es-ES_tradnl" w:eastAsia="es-ES_tradnl"/>
        </w:rPr>
        <w:t xml:space="preserve">el juez </w:t>
      </w:r>
      <w:r w:rsidR="009168EA" w:rsidRPr="00341ED2">
        <w:rPr>
          <w:rStyle w:val="FontStyle30"/>
          <w:sz w:val="28"/>
          <w:szCs w:val="28"/>
          <w:lang w:val="es-ES_tradnl" w:eastAsia="es-ES_tradnl"/>
        </w:rPr>
        <w:t xml:space="preserve">competente </w:t>
      </w:r>
      <w:r w:rsidR="00AB797E" w:rsidRPr="00341ED2">
        <w:rPr>
          <w:rStyle w:val="FontStyle30"/>
          <w:sz w:val="28"/>
          <w:szCs w:val="28"/>
          <w:lang w:val="es-ES_tradnl" w:eastAsia="es-ES_tradnl"/>
        </w:rPr>
        <w:t>debe valorar el cómputo del término de caducidad teniendo en cuenta:</w:t>
      </w:r>
    </w:p>
    <w:p w14:paraId="657DC084" w14:textId="77777777" w:rsidR="00AB797E" w:rsidRPr="00341ED2" w:rsidRDefault="00AB797E" w:rsidP="00A93E95">
      <w:pPr>
        <w:pStyle w:val="Prrafodelista"/>
        <w:ind w:left="567" w:right="567"/>
        <w:rPr>
          <w:sz w:val="26"/>
          <w:szCs w:val="26"/>
          <w:lang w:val="es-CO" w:eastAsia="es-ES"/>
        </w:rPr>
      </w:pPr>
    </w:p>
    <w:p w14:paraId="0237A103" w14:textId="77777777" w:rsidR="00355E6F" w:rsidRDefault="00234D60" w:rsidP="00355E6F">
      <w:pPr>
        <w:shd w:val="clear" w:color="auto" w:fill="FFFFFF"/>
        <w:ind w:left="567" w:right="567"/>
        <w:textAlignment w:val="baseline"/>
        <w:rPr>
          <w:rStyle w:val="FontStyle30"/>
          <w:szCs w:val="26"/>
          <w:lang w:val="es-ES_tradnl" w:eastAsia="es-ES_tradnl"/>
        </w:rPr>
      </w:pPr>
      <w:proofErr w:type="gramStart"/>
      <w:r w:rsidRPr="00341ED2">
        <w:rPr>
          <w:rStyle w:val="FontStyle29"/>
          <w:b w:val="0"/>
          <w:bCs/>
          <w:szCs w:val="26"/>
          <w:lang w:val="es-ES_tradnl" w:eastAsia="es-ES_tradnl"/>
        </w:rPr>
        <w:t>«</w:t>
      </w:r>
      <w:r w:rsidR="00F31867" w:rsidRPr="00341ED2">
        <w:rPr>
          <w:rStyle w:val="FontStyle29"/>
          <w:b w:val="0"/>
          <w:bCs/>
          <w:szCs w:val="26"/>
          <w:lang w:val="es-ES_tradnl" w:eastAsia="es-ES_tradnl"/>
        </w:rPr>
        <w:t>[</w:t>
      </w:r>
      <w:proofErr w:type="gramEnd"/>
      <w:r w:rsidR="00F31867" w:rsidRPr="00341ED2">
        <w:rPr>
          <w:rStyle w:val="FontStyle29"/>
          <w:b w:val="0"/>
          <w:bCs/>
          <w:szCs w:val="26"/>
          <w:lang w:val="es-ES_tradnl" w:eastAsia="es-ES_tradnl"/>
        </w:rPr>
        <w:t>L]</w:t>
      </w:r>
      <w:r w:rsidR="00F31867" w:rsidRPr="00341ED2">
        <w:rPr>
          <w:rStyle w:val="FontStyle30"/>
          <w:szCs w:val="26"/>
          <w:lang w:val="es-ES_tradnl" w:eastAsia="es-ES_tradnl"/>
        </w:rPr>
        <w:t>a oportunidad en que se conozca el daño, porque hay eventos en los cuales el perjuicio se manifiesta en un momento posterior</w:t>
      </w:r>
      <w:r w:rsidR="00A93E95" w:rsidRPr="00341ED2">
        <w:rPr>
          <w:rStyle w:val="FontStyle30"/>
          <w:szCs w:val="26"/>
          <w:lang w:val="es-ES_tradnl" w:eastAsia="es-ES_tradnl"/>
        </w:rPr>
        <w:t>; [y]</w:t>
      </w:r>
      <w:r w:rsidR="0037038C" w:rsidRPr="00341ED2">
        <w:rPr>
          <w:rStyle w:val="FontStyle30"/>
          <w:szCs w:val="26"/>
          <w:lang w:val="es-ES_tradnl" w:eastAsia="es-ES_tradnl"/>
        </w:rPr>
        <w:t xml:space="preserve"> </w:t>
      </w:r>
    </w:p>
    <w:p w14:paraId="4DED27D2" w14:textId="77777777" w:rsidR="00355E6F" w:rsidRDefault="00355E6F" w:rsidP="00355E6F">
      <w:pPr>
        <w:shd w:val="clear" w:color="auto" w:fill="FFFFFF"/>
        <w:ind w:left="567" w:right="567"/>
        <w:textAlignment w:val="baseline"/>
        <w:rPr>
          <w:rStyle w:val="FontStyle30"/>
          <w:szCs w:val="26"/>
          <w:lang w:val="es-ES_tradnl" w:eastAsia="es-ES_tradnl"/>
        </w:rPr>
      </w:pPr>
    </w:p>
    <w:p w14:paraId="433059A1" w14:textId="2B288E70" w:rsidR="00B63E20" w:rsidRPr="00341ED2" w:rsidRDefault="00B63E20" w:rsidP="00355E6F">
      <w:pPr>
        <w:shd w:val="clear" w:color="auto" w:fill="FFFFFF"/>
        <w:ind w:left="567" w:right="567"/>
        <w:textAlignment w:val="baseline"/>
        <w:rPr>
          <w:sz w:val="26"/>
          <w:szCs w:val="26"/>
          <w:lang w:val="es-ES_tradnl" w:eastAsia="es-ES_tradnl"/>
        </w:rPr>
      </w:pPr>
      <w:r w:rsidRPr="00341ED2">
        <w:rPr>
          <w:rStyle w:val="FontStyle30"/>
          <w:szCs w:val="26"/>
          <w:lang w:val="es-ES_tradnl" w:eastAsia="es-ES_tradnl"/>
        </w:rPr>
        <w:t>[L]a fecha en el cual se configura o consolida el daño, porque en algunos casos la ocurrencia del hecho, la omisión u operación administrativa no coinciden con la consolidación del daño o se trata de daños permanentes, de tracto sucesivo o que se agravan con el tiempo</w:t>
      </w:r>
      <w:r w:rsidR="00123728" w:rsidRPr="00341ED2">
        <w:rPr>
          <w:rStyle w:val="FontStyle30"/>
          <w:szCs w:val="26"/>
          <w:lang w:val="es-ES_tradnl" w:eastAsia="es-ES_tradnl"/>
        </w:rPr>
        <w:t>.</w:t>
      </w:r>
      <w:r w:rsidRPr="00341ED2">
        <w:rPr>
          <w:rStyle w:val="FontStyle30"/>
          <w:szCs w:val="26"/>
          <w:lang w:val="es-ES_tradnl" w:eastAsia="es-ES_tradnl"/>
        </w:rPr>
        <w:t>»</w:t>
      </w:r>
    </w:p>
    <w:p w14:paraId="42C42E22" w14:textId="77777777" w:rsidR="001B502D" w:rsidRPr="00341ED2" w:rsidRDefault="001B502D" w:rsidP="00A93E95">
      <w:pPr>
        <w:pStyle w:val="Prrafodelista"/>
        <w:widowControl w:val="0"/>
        <w:autoSpaceDE w:val="0"/>
        <w:autoSpaceDN w:val="0"/>
        <w:adjustRightInd w:val="0"/>
        <w:ind w:left="0"/>
        <w:rPr>
          <w:rStyle w:val="FontStyle30"/>
          <w:rFonts w:eastAsiaTheme="minorHAnsi"/>
          <w:b/>
          <w:bCs/>
          <w:sz w:val="28"/>
          <w:szCs w:val="28"/>
        </w:rPr>
      </w:pPr>
    </w:p>
    <w:p w14:paraId="29468990" w14:textId="14D02608" w:rsidR="00483893" w:rsidRPr="00341ED2" w:rsidRDefault="00483893" w:rsidP="00483893">
      <w:pPr>
        <w:pStyle w:val="Prrafodelista"/>
        <w:widowControl w:val="0"/>
        <w:numPr>
          <w:ilvl w:val="1"/>
          <w:numId w:val="17"/>
        </w:numPr>
        <w:autoSpaceDE w:val="0"/>
        <w:autoSpaceDN w:val="0"/>
        <w:adjustRightInd w:val="0"/>
        <w:rPr>
          <w:rFonts w:eastAsiaTheme="minorHAnsi"/>
          <w:b/>
          <w:bCs/>
          <w:szCs w:val="28"/>
        </w:rPr>
      </w:pPr>
      <w:r w:rsidRPr="00341ED2">
        <w:rPr>
          <w:rFonts w:eastAsiaTheme="minorHAnsi"/>
          <w:szCs w:val="28"/>
        </w:rPr>
        <w:t xml:space="preserve">Posteriormente, mediante la Sentencia SU-216 de 2022, la Sala Plena precisó que «una aplicación estricta de la ley no puede suponer la configuración de un defecto sustantivo, ya que, por el contrario, ello materializa postulados del debido proceso y suprime la arbitrariedad. Sin embargo, ello de ninguna manera podría autorizar la desatención de la Constitución». Así las cosas, si bien la aplicación estricta del término de caducidad </w:t>
      </w:r>
      <w:r w:rsidR="00A66766" w:rsidRPr="00341ED2">
        <w:rPr>
          <w:rFonts w:eastAsiaTheme="minorHAnsi"/>
          <w:szCs w:val="28"/>
        </w:rPr>
        <w:t xml:space="preserve">de la reparación directa </w:t>
      </w:r>
      <w:r w:rsidRPr="00341ED2">
        <w:rPr>
          <w:rFonts w:eastAsiaTheme="minorHAnsi"/>
          <w:szCs w:val="28"/>
        </w:rPr>
        <w:t xml:space="preserve">no </w:t>
      </w:r>
      <w:r w:rsidR="00A66766" w:rsidRPr="00341ED2">
        <w:rPr>
          <w:rFonts w:eastAsiaTheme="minorHAnsi"/>
          <w:szCs w:val="28"/>
        </w:rPr>
        <w:t>puede ser alegado</w:t>
      </w:r>
      <w:r w:rsidRPr="00341ED2">
        <w:rPr>
          <w:rFonts w:eastAsiaTheme="minorHAnsi"/>
          <w:szCs w:val="28"/>
        </w:rPr>
        <w:t xml:space="preserve"> por sí mismo </w:t>
      </w:r>
      <w:r w:rsidR="00A66766" w:rsidRPr="00341ED2">
        <w:rPr>
          <w:rFonts w:eastAsiaTheme="minorHAnsi"/>
          <w:szCs w:val="28"/>
        </w:rPr>
        <w:t xml:space="preserve">como </w:t>
      </w:r>
      <w:r w:rsidRPr="00341ED2">
        <w:rPr>
          <w:rFonts w:eastAsiaTheme="minorHAnsi"/>
          <w:szCs w:val="28"/>
        </w:rPr>
        <w:t xml:space="preserve">un defecto sustantivo, </w:t>
      </w:r>
      <w:r w:rsidR="00A66766" w:rsidRPr="00341ED2">
        <w:rPr>
          <w:rFonts w:eastAsiaTheme="minorHAnsi"/>
          <w:szCs w:val="28"/>
        </w:rPr>
        <w:t>la Sala Plena aclaró que esto no autoriza al juez administrativo a desconocer el enfoque constitucional, por lo que en cada caso se debe estudiar si dicha aplicación puede constituir una violación directa de la Constitución.</w:t>
      </w:r>
    </w:p>
    <w:p w14:paraId="6CE1B4BF" w14:textId="77777777" w:rsidR="004E2674" w:rsidRPr="00341ED2" w:rsidRDefault="004E2674" w:rsidP="004E2674">
      <w:pPr>
        <w:pStyle w:val="Prrafodelista"/>
        <w:widowControl w:val="0"/>
        <w:autoSpaceDE w:val="0"/>
        <w:autoSpaceDN w:val="0"/>
        <w:adjustRightInd w:val="0"/>
        <w:ind w:left="0"/>
        <w:rPr>
          <w:rFonts w:eastAsiaTheme="minorHAnsi"/>
          <w:b/>
          <w:bCs/>
          <w:szCs w:val="28"/>
        </w:rPr>
      </w:pPr>
    </w:p>
    <w:p w14:paraId="7EE7108D" w14:textId="6D465ADB" w:rsidR="004E2674" w:rsidRPr="00341ED2" w:rsidRDefault="004E2674" w:rsidP="004E2674">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 xml:space="preserve">De igual forma, en la Sentencia SU-216 de 2022, la Corte aclaró </w:t>
      </w:r>
      <w:r w:rsidR="00A761F4" w:rsidRPr="00341ED2">
        <w:rPr>
          <w:rFonts w:eastAsiaTheme="minorHAnsi"/>
          <w:szCs w:val="28"/>
        </w:rPr>
        <w:t xml:space="preserve">que </w:t>
      </w:r>
      <w:r w:rsidRPr="00341ED2">
        <w:rPr>
          <w:rFonts w:eastAsiaTheme="minorHAnsi"/>
          <w:szCs w:val="28"/>
        </w:rPr>
        <w:t xml:space="preserve">lo relevante para efectos de contar el término de la caducidad es el conocimiento del daño y no el conocimiento sobre su magnitud. Las dudas sobre la magnitud </w:t>
      </w:r>
      <w:r w:rsidR="00A761F4" w:rsidRPr="00341ED2">
        <w:rPr>
          <w:rFonts w:eastAsiaTheme="minorHAnsi"/>
          <w:szCs w:val="28"/>
        </w:rPr>
        <w:t xml:space="preserve">o alcance </w:t>
      </w:r>
      <w:r w:rsidRPr="00341ED2">
        <w:rPr>
          <w:rFonts w:eastAsiaTheme="minorHAnsi"/>
          <w:szCs w:val="28"/>
        </w:rPr>
        <w:t xml:space="preserve">del daño no son relevantes para </w:t>
      </w:r>
      <w:r w:rsidR="00A761F4" w:rsidRPr="00341ED2">
        <w:rPr>
          <w:rFonts w:eastAsiaTheme="minorHAnsi"/>
          <w:szCs w:val="28"/>
        </w:rPr>
        <w:t>determinar</w:t>
      </w:r>
      <w:r w:rsidRPr="00341ED2">
        <w:rPr>
          <w:rFonts w:eastAsiaTheme="minorHAnsi"/>
          <w:szCs w:val="28"/>
        </w:rPr>
        <w:t xml:space="preserve"> desde qué momento se </w:t>
      </w:r>
      <w:r w:rsidR="00A761F4" w:rsidRPr="00341ED2">
        <w:rPr>
          <w:rFonts w:eastAsiaTheme="minorHAnsi"/>
          <w:szCs w:val="28"/>
        </w:rPr>
        <w:t>debe contar</w:t>
      </w:r>
      <w:r w:rsidRPr="00341ED2">
        <w:rPr>
          <w:rFonts w:eastAsiaTheme="minorHAnsi"/>
          <w:szCs w:val="28"/>
        </w:rPr>
        <w:t xml:space="preserve"> el término de caducidad</w:t>
      </w:r>
      <w:r w:rsidR="007C3FE0" w:rsidRPr="00341ED2">
        <w:rPr>
          <w:rFonts w:eastAsiaTheme="minorHAnsi"/>
          <w:szCs w:val="28"/>
        </w:rPr>
        <w:t>. Lo que importa es el conocimiento d</w:t>
      </w:r>
      <w:r w:rsidR="00DE464A" w:rsidRPr="00341ED2">
        <w:rPr>
          <w:rFonts w:eastAsiaTheme="minorHAnsi"/>
          <w:szCs w:val="28"/>
        </w:rPr>
        <w:t xml:space="preserve">el </w:t>
      </w:r>
      <w:r w:rsidR="007C3FE0" w:rsidRPr="00341ED2">
        <w:rPr>
          <w:rFonts w:eastAsiaTheme="minorHAnsi"/>
          <w:szCs w:val="28"/>
        </w:rPr>
        <w:t>daño,</w:t>
      </w:r>
      <w:r w:rsidRPr="00341ED2">
        <w:rPr>
          <w:rFonts w:eastAsiaTheme="minorHAnsi"/>
          <w:szCs w:val="28"/>
        </w:rPr>
        <w:t xml:space="preserve"> pues </w:t>
      </w:r>
      <w:r w:rsidR="007C3FE0" w:rsidRPr="00341ED2">
        <w:rPr>
          <w:rFonts w:eastAsiaTheme="minorHAnsi"/>
          <w:szCs w:val="28"/>
        </w:rPr>
        <w:t>la magnitud</w:t>
      </w:r>
      <w:r w:rsidRPr="00341ED2">
        <w:rPr>
          <w:rFonts w:eastAsiaTheme="minorHAnsi"/>
          <w:szCs w:val="28"/>
        </w:rPr>
        <w:t xml:space="preserve"> de</w:t>
      </w:r>
      <w:r w:rsidR="007C3FE0" w:rsidRPr="00341ED2">
        <w:rPr>
          <w:rFonts w:eastAsiaTheme="minorHAnsi"/>
          <w:szCs w:val="28"/>
        </w:rPr>
        <w:t xml:space="preserve"> este</w:t>
      </w:r>
      <w:r w:rsidRPr="00341ED2">
        <w:rPr>
          <w:rFonts w:eastAsiaTheme="minorHAnsi"/>
          <w:szCs w:val="28"/>
        </w:rPr>
        <w:t xml:space="preserve"> se puede definir con posterioridad a la sentencia de reparación directa en el marco de un incidente de liquidación de perjuicios.</w:t>
      </w:r>
    </w:p>
    <w:p w14:paraId="31EF70FC" w14:textId="77777777" w:rsidR="004E2674" w:rsidRPr="00341ED2" w:rsidRDefault="004E2674" w:rsidP="00483893">
      <w:pPr>
        <w:pStyle w:val="Prrafodelista"/>
        <w:widowControl w:val="0"/>
        <w:autoSpaceDE w:val="0"/>
        <w:autoSpaceDN w:val="0"/>
        <w:adjustRightInd w:val="0"/>
        <w:ind w:left="0"/>
        <w:rPr>
          <w:rFonts w:eastAsiaTheme="minorHAnsi"/>
          <w:b/>
          <w:bCs/>
          <w:szCs w:val="28"/>
        </w:rPr>
      </w:pPr>
    </w:p>
    <w:p w14:paraId="6B0A958A" w14:textId="1FC83990" w:rsidR="00F466E6" w:rsidRPr="00355E6F" w:rsidRDefault="00A93E95" w:rsidP="00F466E6">
      <w:pPr>
        <w:pStyle w:val="Prrafodelista"/>
        <w:widowControl w:val="0"/>
        <w:numPr>
          <w:ilvl w:val="1"/>
          <w:numId w:val="17"/>
        </w:numPr>
        <w:autoSpaceDE w:val="0"/>
        <w:autoSpaceDN w:val="0"/>
        <w:adjustRightInd w:val="0"/>
        <w:rPr>
          <w:rFonts w:eastAsiaTheme="minorHAnsi"/>
          <w:b/>
          <w:bCs/>
          <w:szCs w:val="28"/>
        </w:rPr>
      </w:pPr>
      <w:r w:rsidRPr="00341ED2">
        <w:rPr>
          <w:szCs w:val="28"/>
          <w:lang w:val="es-CO" w:eastAsia="es-ES"/>
        </w:rPr>
        <w:t>Estos</w:t>
      </w:r>
      <w:r w:rsidR="005C4F77" w:rsidRPr="00341ED2">
        <w:rPr>
          <w:szCs w:val="28"/>
          <w:lang w:val="es-CO" w:eastAsia="es-ES"/>
        </w:rPr>
        <w:t xml:space="preserve"> criterios han sido utilizados por las Salas de Revisión de la Corte Constitucional al</w:t>
      </w:r>
      <w:r w:rsidR="00100D3A" w:rsidRPr="00341ED2">
        <w:rPr>
          <w:szCs w:val="28"/>
          <w:lang w:val="es-CO" w:eastAsia="es-ES"/>
        </w:rPr>
        <w:t xml:space="preserve"> resolver casos de acciones de tutela presentadas en contra de decisiones judiciales que declararon la caducidad de la acción de reparación directa en</w:t>
      </w:r>
      <w:r w:rsidR="005C4F77" w:rsidRPr="00341ED2">
        <w:rPr>
          <w:szCs w:val="28"/>
          <w:lang w:val="es-CO" w:eastAsia="es-ES"/>
        </w:rPr>
        <w:t xml:space="preserve"> casos de</w:t>
      </w:r>
      <w:r w:rsidR="00100D3A" w:rsidRPr="00341ED2">
        <w:rPr>
          <w:szCs w:val="28"/>
          <w:lang w:val="es-CO" w:eastAsia="es-ES"/>
        </w:rPr>
        <w:t xml:space="preserve"> lesiones corporales</w:t>
      </w:r>
      <w:r w:rsidR="005C4F77" w:rsidRPr="00341ED2">
        <w:rPr>
          <w:szCs w:val="28"/>
          <w:lang w:val="es-CO" w:eastAsia="es-ES"/>
        </w:rPr>
        <w:t>.</w:t>
      </w:r>
      <w:r w:rsidR="005C4F77" w:rsidRPr="00341ED2">
        <w:rPr>
          <w:rStyle w:val="Refdenotaalpie"/>
          <w:szCs w:val="28"/>
          <w:lang w:val="es-CO" w:eastAsia="es-ES"/>
        </w:rPr>
        <w:footnoteReference w:id="96"/>
      </w:r>
      <w:r w:rsidR="005C4F77" w:rsidRPr="00341ED2">
        <w:rPr>
          <w:szCs w:val="28"/>
          <w:lang w:val="es-CO" w:eastAsia="es-ES"/>
        </w:rPr>
        <w:t xml:space="preserve"> La Corte </w:t>
      </w:r>
      <w:r w:rsidR="000C3B18" w:rsidRPr="00341ED2">
        <w:rPr>
          <w:szCs w:val="28"/>
          <w:lang w:eastAsia="es-ES"/>
        </w:rPr>
        <w:t>se ha preocupado por revisar con detenimiento las particularidades de cada caso a fin de determinar el momento en que el demandante tuvo conocimiento de la certeza del daño cuya reparación reclama</w:t>
      </w:r>
      <w:r w:rsidR="005C4F77" w:rsidRPr="00341ED2">
        <w:rPr>
          <w:szCs w:val="28"/>
          <w:lang w:val="es-CO" w:eastAsia="es-ES"/>
        </w:rPr>
        <w:t>.</w:t>
      </w:r>
      <w:r w:rsidR="00100D3A" w:rsidRPr="00341ED2">
        <w:rPr>
          <w:rStyle w:val="Refdenotaalpie"/>
          <w:szCs w:val="28"/>
          <w:lang w:val="es-CO" w:eastAsia="es-ES"/>
        </w:rPr>
        <w:footnoteReference w:id="97"/>
      </w:r>
      <w:r w:rsidR="00100D3A" w:rsidRPr="00341ED2">
        <w:rPr>
          <w:szCs w:val="28"/>
          <w:lang w:val="es-CO" w:eastAsia="es-ES"/>
        </w:rPr>
        <w:t xml:space="preserve"> </w:t>
      </w:r>
      <w:r w:rsidR="001E0E04" w:rsidRPr="00341ED2">
        <w:rPr>
          <w:szCs w:val="28"/>
          <w:lang w:val="es-CO" w:eastAsia="es-ES"/>
        </w:rPr>
        <w:t xml:space="preserve">Este conocimiento cierto del daño implica, por ejemplo, </w:t>
      </w:r>
      <w:r w:rsidR="00AE024D" w:rsidRPr="00341ED2">
        <w:rPr>
          <w:szCs w:val="28"/>
          <w:lang w:val="es-CO" w:eastAsia="es-ES"/>
        </w:rPr>
        <w:t>saber</w:t>
      </w:r>
      <w:r w:rsidR="001E0E04" w:rsidRPr="00341ED2">
        <w:rPr>
          <w:szCs w:val="28"/>
          <w:lang w:val="es-CO" w:eastAsia="es-ES"/>
        </w:rPr>
        <w:t xml:space="preserve"> si es temporal o permanente</w:t>
      </w:r>
      <w:r w:rsidR="005C4F77" w:rsidRPr="00341ED2">
        <w:rPr>
          <w:szCs w:val="28"/>
          <w:lang w:val="es-CO" w:eastAsia="es-ES"/>
        </w:rPr>
        <w:t>, así como</w:t>
      </w:r>
      <w:r w:rsidR="001E0E04" w:rsidRPr="00341ED2">
        <w:rPr>
          <w:szCs w:val="28"/>
          <w:lang w:val="es-CO" w:eastAsia="es-ES"/>
        </w:rPr>
        <w:t xml:space="preserve"> su gravedad</w:t>
      </w:r>
      <w:r w:rsidR="00D84BC9" w:rsidRPr="00341ED2">
        <w:rPr>
          <w:szCs w:val="28"/>
          <w:lang w:val="es-CO" w:eastAsia="es-ES"/>
        </w:rPr>
        <w:t>.</w:t>
      </w:r>
      <w:r w:rsidR="001E0E04" w:rsidRPr="00341ED2">
        <w:rPr>
          <w:rStyle w:val="Refdenotaalpie"/>
          <w:szCs w:val="28"/>
          <w:lang w:val="es-CO" w:eastAsia="es-ES"/>
        </w:rPr>
        <w:footnoteReference w:id="98"/>
      </w:r>
      <w:r w:rsidR="001E0E04" w:rsidRPr="00341ED2">
        <w:rPr>
          <w:szCs w:val="28"/>
          <w:lang w:val="es-CO" w:eastAsia="es-ES"/>
        </w:rPr>
        <w:t xml:space="preserve"> De ahí que en</w:t>
      </w:r>
      <w:r w:rsidR="001B502D" w:rsidRPr="00341ED2">
        <w:rPr>
          <w:szCs w:val="28"/>
          <w:lang w:val="es-CO" w:eastAsia="es-ES"/>
        </w:rPr>
        <w:t xml:space="preserve"> algunos casos</w:t>
      </w:r>
      <w:r w:rsidR="001E0E04" w:rsidRPr="00341ED2">
        <w:rPr>
          <w:szCs w:val="28"/>
          <w:lang w:val="es-CO" w:eastAsia="es-ES"/>
        </w:rPr>
        <w:t xml:space="preserve"> la Corte </w:t>
      </w:r>
      <w:r w:rsidR="001B502D" w:rsidRPr="00341ED2">
        <w:rPr>
          <w:szCs w:val="28"/>
          <w:lang w:val="es-CO" w:eastAsia="es-ES"/>
        </w:rPr>
        <w:t>ha</w:t>
      </w:r>
      <w:r w:rsidR="009427F7" w:rsidRPr="00341ED2">
        <w:rPr>
          <w:szCs w:val="28"/>
          <w:lang w:val="es-CO" w:eastAsia="es-ES"/>
        </w:rPr>
        <w:t xml:space="preserve"> </w:t>
      </w:r>
      <w:r w:rsidR="001E0E04" w:rsidRPr="00341ED2">
        <w:rPr>
          <w:szCs w:val="28"/>
          <w:lang w:val="es-CO" w:eastAsia="es-ES"/>
        </w:rPr>
        <w:t>concluido que</w:t>
      </w:r>
      <w:r w:rsidR="009427F7" w:rsidRPr="00341ED2">
        <w:rPr>
          <w:szCs w:val="28"/>
          <w:lang w:val="es-CO" w:eastAsia="es-ES"/>
        </w:rPr>
        <w:t xml:space="preserve"> no e</w:t>
      </w:r>
      <w:r w:rsidR="001B502D" w:rsidRPr="00341ED2">
        <w:rPr>
          <w:szCs w:val="28"/>
          <w:lang w:val="es-CO" w:eastAsia="es-ES"/>
        </w:rPr>
        <w:t xml:space="preserve">s </w:t>
      </w:r>
      <w:r w:rsidR="009427F7" w:rsidRPr="00341ED2">
        <w:rPr>
          <w:szCs w:val="28"/>
          <w:lang w:val="es-CO" w:eastAsia="es-ES"/>
        </w:rPr>
        <w:t>admisible tener como punto de partida para</w:t>
      </w:r>
      <w:r w:rsidR="001E0E04" w:rsidRPr="00341ED2">
        <w:rPr>
          <w:szCs w:val="28"/>
          <w:lang w:val="es-CO" w:eastAsia="es-ES"/>
        </w:rPr>
        <w:t xml:space="preserve"> el término de caducidad la notificación del dictamen de la pérdida de capacidad laboral</w:t>
      </w:r>
      <w:r w:rsidR="009427F7" w:rsidRPr="00341ED2">
        <w:rPr>
          <w:szCs w:val="28"/>
          <w:lang w:val="es-CO" w:eastAsia="es-ES"/>
        </w:rPr>
        <w:t>, mientras que en otr</w:t>
      </w:r>
      <w:r w:rsidR="001B502D" w:rsidRPr="00341ED2">
        <w:rPr>
          <w:szCs w:val="28"/>
          <w:lang w:val="es-CO" w:eastAsia="es-ES"/>
        </w:rPr>
        <w:t>o</w:t>
      </w:r>
      <w:r w:rsidR="009427F7" w:rsidRPr="00341ED2">
        <w:rPr>
          <w:szCs w:val="28"/>
          <w:lang w:val="es-CO" w:eastAsia="es-ES"/>
        </w:rPr>
        <w:t>s sí</w:t>
      </w:r>
      <w:r w:rsidR="000C3B18" w:rsidRPr="00341ED2">
        <w:rPr>
          <w:szCs w:val="28"/>
          <w:lang w:val="es-CO" w:eastAsia="es-ES"/>
        </w:rPr>
        <w:t>.</w:t>
      </w:r>
      <w:r w:rsidR="001E0E04" w:rsidRPr="00341ED2">
        <w:rPr>
          <w:rStyle w:val="Refdenotaalpie"/>
          <w:szCs w:val="28"/>
          <w:lang w:val="es-CO" w:eastAsia="es-ES"/>
        </w:rPr>
        <w:footnoteReference w:id="99"/>
      </w:r>
      <w:r w:rsidR="001E0E04" w:rsidRPr="00341ED2">
        <w:rPr>
          <w:szCs w:val="28"/>
          <w:lang w:val="es-CO" w:eastAsia="es-ES"/>
        </w:rPr>
        <w:t xml:space="preserve"> </w:t>
      </w:r>
    </w:p>
    <w:p w14:paraId="6BA6D48C" w14:textId="77777777" w:rsidR="00355E6F" w:rsidRPr="00341ED2" w:rsidRDefault="00355E6F" w:rsidP="00355E6F">
      <w:pPr>
        <w:pStyle w:val="Prrafodelista"/>
        <w:widowControl w:val="0"/>
        <w:autoSpaceDE w:val="0"/>
        <w:autoSpaceDN w:val="0"/>
        <w:adjustRightInd w:val="0"/>
        <w:ind w:left="0"/>
        <w:rPr>
          <w:rFonts w:eastAsiaTheme="minorHAnsi"/>
          <w:b/>
          <w:bCs/>
          <w:szCs w:val="28"/>
        </w:rPr>
      </w:pPr>
    </w:p>
    <w:p w14:paraId="627CEA2D" w14:textId="129BE701" w:rsidR="0037038C" w:rsidRPr="00341ED2" w:rsidRDefault="00100D3A" w:rsidP="009168EA">
      <w:pPr>
        <w:pStyle w:val="Prrafodelista"/>
        <w:widowControl w:val="0"/>
        <w:numPr>
          <w:ilvl w:val="1"/>
          <w:numId w:val="17"/>
        </w:numPr>
        <w:autoSpaceDE w:val="0"/>
        <w:autoSpaceDN w:val="0"/>
        <w:adjustRightInd w:val="0"/>
        <w:rPr>
          <w:rFonts w:eastAsiaTheme="minorHAnsi"/>
          <w:b/>
          <w:bCs/>
          <w:szCs w:val="28"/>
        </w:rPr>
      </w:pPr>
      <w:r w:rsidRPr="00341ED2">
        <w:rPr>
          <w:szCs w:val="28"/>
          <w:lang w:val="es-CO" w:eastAsia="es-ES"/>
        </w:rPr>
        <w:t xml:space="preserve">Es decir, en lugar de </w:t>
      </w:r>
      <w:r w:rsidR="00AC340D" w:rsidRPr="00341ED2">
        <w:rPr>
          <w:szCs w:val="28"/>
          <w:lang w:val="es-CO" w:eastAsia="es-ES"/>
        </w:rPr>
        <w:t>fijar</w:t>
      </w:r>
      <w:r w:rsidR="00F466E6" w:rsidRPr="00341ED2">
        <w:rPr>
          <w:szCs w:val="28"/>
          <w:lang w:val="es-CO" w:eastAsia="es-ES"/>
        </w:rPr>
        <w:t xml:space="preserve"> </w:t>
      </w:r>
      <w:r w:rsidR="00A96351" w:rsidRPr="00341ED2">
        <w:rPr>
          <w:szCs w:val="28"/>
          <w:lang w:val="es-CO" w:eastAsia="es-ES"/>
        </w:rPr>
        <w:t>el</w:t>
      </w:r>
      <w:r w:rsidR="00F466E6" w:rsidRPr="00341ED2">
        <w:rPr>
          <w:szCs w:val="28"/>
          <w:lang w:val="es-CO" w:eastAsia="es-ES"/>
        </w:rPr>
        <w:t xml:space="preserve"> conocimiento</w:t>
      </w:r>
      <w:r w:rsidR="00A96351" w:rsidRPr="00341ED2">
        <w:rPr>
          <w:szCs w:val="28"/>
          <w:lang w:val="es-CO" w:eastAsia="es-ES"/>
        </w:rPr>
        <w:t xml:space="preserve"> </w:t>
      </w:r>
      <w:r w:rsidR="00F466E6" w:rsidRPr="00341ED2">
        <w:rPr>
          <w:szCs w:val="28"/>
          <w:lang w:val="es-CO" w:eastAsia="es-ES"/>
        </w:rPr>
        <w:t xml:space="preserve">del </w:t>
      </w:r>
      <w:r w:rsidR="00A96351" w:rsidRPr="00341ED2">
        <w:rPr>
          <w:szCs w:val="28"/>
          <w:lang w:val="es-CO" w:eastAsia="es-ES"/>
        </w:rPr>
        <w:t xml:space="preserve">daño </w:t>
      </w:r>
      <w:r w:rsidR="009168EA" w:rsidRPr="00341ED2">
        <w:rPr>
          <w:szCs w:val="28"/>
          <w:lang w:val="es-CO" w:eastAsia="es-ES"/>
        </w:rPr>
        <w:t>en</w:t>
      </w:r>
      <w:r w:rsidR="00A96351" w:rsidRPr="00341ED2">
        <w:rPr>
          <w:szCs w:val="28"/>
          <w:lang w:val="es-CO" w:eastAsia="es-ES"/>
        </w:rPr>
        <w:t xml:space="preserve"> el diagnóstico médico</w:t>
      </w:r>
      <w:r w:rsidR="009168EA" w:rsidRPr="00341ED2">
        <w:rPr>
          <w:szCs w:val="28"/>
          <w:lang w:val="es-CO" w:eastAsia="es-ES"/>
        </w:rPr>
        <w:t xml:space="preserve">, para la Corte, </w:t>
      </w:r>
      <w:r w:rsidR="00A96351" w:rsidRPr="00341ED2">
        <w:rPr>
          <w:szCs w:val="28"/>
          <w:lang w:val="es-CO" w:eastAsia="es-ES"/>
        </w:rPr>
        <w:t xml:space="preserve">el </w:t>
      </w:r>
      <w:r w:rsidR="000C3B18" w:rsidRPr="00341ED2">
        <w:rPr>
          <w:szCs w:val="28"/>
          <w:lang w:val="es-CO" w:eastAsia="es-ES"/>
        </w:rPr>
        <w:t>punto de partida para el cómputo de la caducidad</w:t>
      </w:r>
      <w:r w:rsidR="009168EA" w:rsidRPr="00341ED2">
        <w:rPr>
          <w:szCs w:val="28"/>
          <w:lang w:val="es-CO" w:eastAsia="es-ES"/>
        </w:rPr>
        <w:t xml:space="preserve"> debe ser analizado </w:t>
      </w:r>
      <w:r w:rsidR="00F466E6" w:rsidRPr="00341ED2">
        <w:rPr>
          <w:szCs w:val="28"/>
          <w:lang w:val="es-CO" w:eastAsia="es-ES"/>
        </w:rPr>
        <w:t>en cada caso de acuerdo con el material probatorio</w:t>
      </w:r>
      <w:r w:rsidR="009168EA" w:rsidRPr="00341ED2">
        <w:rPr>
          <w:szCs w:val="28"/>
          <w:lang w:val="es-CO" w:eastAsia="es-ES"/>
        </w:rPr>
        <w:t xml:space="preserve"> </w:t>
      </w:r>
      <w:r w:rsidR="0070629B" w:rsidRPr="00341ED2">
        <w:rPr>
          <w:szCs w:val="28"/>
          <w:lang w:val="es-CO" w:eastAsia="es-ES"/>
        </w:rPr>
        <w:t xml:space="preserve">para identificar el momento </w:t>
      </w:r>
      <w:r w:rsidR="00F466E6" w:rsidRPr="00341ED2">
        <w:rPr>
          <w:szCs w:val="28"/>
          <w:lang w:val="es-CO" w:eastAsia="es-ES"/>
        </w:rPr>
        <w:t xml:space="preserve">preciso </w:t>
      </w:r>
      <w:r w:rsidR="0070629B" w:rsidRPr="00341ED2">
        <w:rPr>
          <w:szCs w:val="28"/>
          <w:lang w:val="es-CO" w:eastAsia="es-ES"/>
        </w:rPr>
        <w:t>en el que el afectado conoció de manera cierta</w:t>
      </w:r>
      <w:r w:rsidR="001B502D" w:rsidRPr="00341ED2">
        <w:rPr>
          <w:szCs w:val="28"/>
          <w:lang w:val="es-CO" w:eastAsia="es-ES"/>
        </w:rPr>
        <w:t xml:space="preserve"> </w:t>
      </w:r>
      <w:r w:rsidR="0070629B" w:rsidRPr="00341ED2">
        <w:rPr>
          <w:szCs w:val="28"/>
          <w:lang w:val="es-CO" w:eastAsia="es-ES"/>
        </w:rPr>
        <w:t>el daño.</w:t>
      </w:r>
      <w:r w:rsidR="000C3B18" w:rsidRPr="00341ED2">
        <w:rPr>
          <w:szCs w:val="28"/>
          <w:lang w:val="es-CO" w:eastAsia="es-ES"/>
        </w:rPr>
        <w:t xml:space="preserve"> </w:t>
      </w:r>
    </w:p>
    <w:p w14:paraId="2F487F2D" w14:textId="77777777" w:rsidR="00AC340D" w:rsidRPr="00341ED2" w:rsidRDefault="00AC340D" w:rsidP="00AC340D">
      <w:pPr>
        <w:pStyle w:val="Prrafodelista"/>
        <w:widowControl w:val="0"/>
        <w:autoSpaceDE w:val="0"/>
        <w:autoSpaceDN w:val="0"/>
        <w:adjustRightInd w:val="0"/>
        <w:ind w:left="0"/>
        <w:rPr>
          <w:rFonts w:eastAsiaTheme="minorHAnsi"/>
          <w:b/>
          <w:bCs/>
          <w:szCs w:val="28"/>
        </w:rPr>
      </w:pPr>
    </w:p>
    <w:p w14:paraId="0E79F3A5" w14:textId="099D1EB1" w:rsidR="00AC340D" w:rsidRPr="00341ED2" w:rsidRDefault="00AC340D" w:rsidP="00AC340D">
      <w:pPr>
        <w:pStyle w:val="Prrafodelista"/>
        <w:widowControl w:val="0"/>
        <w:numPr>
          <w:ilvl w:val="1"/>
          <w:numId w:val="17"/>
        </w:numPr>
        <w:autoSpaceDE w:val="0"/>
        <w:autoSpaceDN w:val="0"/>
        <w:adjustRightInd w:val="0"/>
        <w:rPr>
          <w:rFonts w:eastAsiaTheme="minorHAnsi"/>
          <w:b/>
          <w:bCs/>
          <w:szCs w:val="28"/>
        </w:rPr>
      </w:pPr>
      <w:r w:rsidRPr="00341ED2">
        <w:rPr>
          <w:szCs w:val="28"/>
          <w:lang w:val="es-CO" w:eastAsia="es-ES"/>
        </w:rPr>
        <w:t xml:space="preserve">En </w:t>
      </w:r>
      <w:r w:rsidR="00D70311" w:rsidRPr="00341ED2">
        <w:rPr>
          <w:szCs w:val="28"/>
          <w:lang w:val="es-CO" w:eastAsia="es-ES"/>
        </w:rPr>
        <w:t xml:space="preserve">ese </w:t>
      </w:r>
      <w:r w:rsidRPr="00341ED2">
        <w:rPr>
          <w:szCs w:val="28"/>
          <w:lang w:val="es-CO" w:eastAsia="es-ES"/>
        </w:rPr>
        <w:t>sentido, la Corte Constitucional ha sostenido que</w:t>
      </w:r>
      <w:r w:rsidRPr="00341ED2">
        <w:rPr>
          <w:szCs w:val="28"/>
          <w:lang w:eastAsia="es-ES"/>
        </w:rPr>
        <w:t xml:space="preserve"> las</w:t>
      </w:r>
      <w:r w:rsidRPr="00341ED2">
        <w:rPr>
          <w:szCs w:val="28"/>
          <w:lang w:val="es-CO" w:eastAsia="es-ES"/>
        </w:rPr>
        <w:t xml:space="preserve"> autoridades judiciales deben «valorar </w:t>
      </w:r>
      <w:r w:rsidRPr="00341ED2">
        <w:rPr>
          <w:szCs w:val="28"/>
          <w:lang w:eastAsia="es-ES"/>
        </w:rPr>
        <w:t>todos los elementos que reposan en el expediente a efecto de determinar el momento a partir del cual debe contabilizarse el término de la caducidad de la acción de reparación directa»</w:t>
      </w:r>
      <w:r w:rsidR="00F466E6" w:rsidRPr="00341ED2">
        <w:rPr>
          <w:szCs w:val="28"/>
          <w:lang w:eastAsia="es-ES"/>
        </w:rPr>
        <w:t>. Lo anterior,</w:t>
      </w:r>
      <w:r w:rsidRPr="00341ED2">
        <w:rPr>
          <w:szCs w:val="28"/>
          <w:lang w:eastAsia="es-ES"/>
        </w:rPr>
        <w:t xml:space="preserve"> porque es posible que la víctima haya sufrido una lesión evidente, pero </w:t>
      </w:r>
      <w:r w:rsidR="00F466E6" w:rsidRPr="00341ED2">
        <w:rPr>
          <w:szCs w:val="28"/>
          <w:lang w:eastAsia="es-ES"/>
        </w:rPr>
        <w:t>que,</w:t>
      </w:r>
      <w:r w:rsidRPr="00341ED2">
        <w:rPr>
          <w:szCs w:val="28"/>
          <w:lang w:eastAsia="es-ES"/>
        </w:rPr>
        <w:t xml:space="preserve"> con posterioridad, por la actuación de un tercero especializado, se tenga certeza de la configuración del daño «otorgándole a los afectados el convencimiento necesario para solicitar una reclamación»</w:t>
      </w:r>
      <w:r w:rsidRPr="00341ED2">
        <w:rPr>
          <w:rStyle w:val="Refdenotaalpie"/>
          <w:szCs w:val="28"/>
          <w:lang w:eastAsia="es-ES"/>
        </w:rPr>
        <w:footnoteReference w:id="100"/>
      </w:r>
      <w:r w:rsidRPr="00341ED2">
        <w:rPr>
          <w:szCs w:val="28"/>
          <w:lang w:eastAsia="es-ES"/>
        </w:rPr>
        <w:t>.</w:t>
      </w:r>
    </w:p>
    <w:p w14:paraId="48247A0E" w14:textId="77777777" w:rsidR="00A96351" w:rsidRPr="00341ED2" w:rsidRDefault="00A96351" w:rsidP="00A96351">
      <w:pPr>
        <w:pStyle w:val="Prrafodelista"/>
        <w:widowControl w:val="0"/>
        <w:autoSpaceDE w:val="0"/>
        <w:autoSpaceDN w:val="0"/>
        <w:adjustRightInd w:val="0"/>
        <w:ind w:left="0"/>
        <w:rPr>
          <w:rFonts w:eastAsiaTheme="minorHAnsi"/>
          <w:b/>
          <w:bCs/>
          <w:szCs w:val="28"/>
        </w:rPr>
      </w:pPr>
    </w:p>
    <w:p w14:paraId="3A6B4753" w14:textId="58B94E1F" w:rsidR="00A96351" w:rsidRPr="00341ED2" w:rsidRDefault="00A96351" w:rsidP="00A96351">
      <w:pPr>
        <w:pStyle w:val="Prrafodelista"/>
        <w:widowControl w:val="0"/>
        <w:numPr>
          <w:ilvl w:val="1"/>
          <w:numId w:val="17"/>
        </w:numPr>
        <w:autoSpaceDE w:val="0"/>
        <w:autoSpaceDN w:val="0"/>
        <w:adjustRightInd w:val="0"/>
        <w:rPr>
          <w:rFonts w:eastAsiaTheme="minorHAnsi"/>
          <w:b/>
          <w:bCs/>
          <w:szCs w:val="28"/>
        </w:rPr>
      </w:pPr>
      <w:r w:rsidRPr="00341ED2">
        <w:rPr>
          <w:szCs w:val="28"/>
          <w:lang w:val="es-CO" w:eastAsia="es-ES"/>
        </w:rPr>
        <w:t xml:space="preserve">Para la Corte Constitucional, el análisis sobre el cómputo del término de caducidad de la acción de reparación directa </w:t>
      </w:r>
      <w:r w:rsidR="00F466E6" w:rsidRPr="00341ED2">
        <w:rPr>
          <w:szCs w:val="28"/>
          <w:lang w:val="es-CO" w:eastAsia="es-ES"/>
        </w:rPr>
        <w:t xml:space="preserve">debe ser un equilibrio </w:t>
      </w:r>
      <w:r w:rsidRPr="00341ED2">
        <w:rPr>
          <w:szCs w:val="28"/>
          <w:lang w:val="es-CO" w:eastAsia="es-ES"/>
        </w:rPr>
        <w:t xml:space="preserve">entre la seguridad jurídica que brinda la existencia de un término de caducidad para presentar las demandas de reparación directa, de un lado, y el acceso a la administración de justicia por parte de las víctimas que alegan haber sufrido daños antijurídicos imputables al Estado, de otro lado. </w:t>
      </w:r>
    </w:p>
    <w:p w14:paraId="0F17641D" w14:textId="77777777" w:rsidR="00C71AFC" w:rsidRPr="00341ED2" w:rsidRDefault="00C71AFC" w:rsidP="0037038C">
      <w:pPr>
        <w:pStyle w:val="Prrafodelista"/>
        <w:widowControl w:val="0"/>
        <w:autoSpaceDE w:val="0"/>
        <w:autoSpaceDN w:val="0"/>
        <w:adjustRightInd w:val="0"/>
        <w:ind w:left="0"/>
        <w:rPr>
          <w:rFonts w:eastAsiaTheme="minorHAnsi"/>
          <w:b/>
          <w:bCs/>
          <w:szCs w:val="28"/>
        </w:rPr>
      </w:pPr>
    </w:p>
    <w:p w14:paraId="303E3B86" w14:textId="77777777" w:rsidR="00C71AFC" w:rsidRPr="00341ED2" w:rsidRDefault="001951BF" w:rsidP="005E26BC">
      <w:pPr>
        <w:pStyle w:val="Prrafodelista"/>
        <w:widowControl w:val="0"/>
        <w:numPr>
          <w:ilvl w:val="1"/>
          <w:numId w:val="17"/>
        </w:numPr>
        <w:autoSpaceDE w:val="0"/>
        <w:autoSpaceDN w:val="0"/>
        <w:adjustRightInd w:val="0"/>
        <w:rPr>
          <w:rFonts w:eastAsiaTheme="minorHAnsi"/>
          <w:b/>
          <w:bCs/>
          <w:szCs w:val="28"/>
        </w:rPr>
      </w:pPr>
      <w:r w:rsidRPr="00341ED2">
        <w:rPr>
          <w:szCs w:val="28"/>
          <w:lang w:eastAsia="es-ES"/>
        </w:rPr>
        <w:t>En síntesis</w:t>
      </w:r>
      <w:r w:rsidR="00EF2FDF" w:rsidRPr="00341ED2">
        <w:rPr>
          <w:szCs w:val="28"/>
          <w:lang w:val="es-CO" w:eastAsia="es-ES"/>
        </w:rPr>
        <w:t>, tanto el Consejo de Estado como la Corte Constitucional coinciden en</w:t>
      </w:r>
      <w:r w:rsidR="00D639D7" w:rsidRPr="00341ED2">
        <w:rPr>
          <w:szCs w:val="28"/>
          <w:lang w:val="es-CO" w:eastAsia="es-ES"/>
        </w:rPr>
        <w:t xml:space="preserve"> </w:t>
      </w:r>
      <w:r w:rsidR="00774BC7" w:rsidRPr="00341ED2">
        <w:rPr>
          <w:szCs w:val="28"/>
          <w:lang w:val="es-CO" w:eastAsia="es-ES"/>
        </w:rPr>
        <w:t xml:space="preserve">que </w:t>
      </w:r>
      <w:r w:rsidR="00D639D7" w:rsidRPr="00341ED2">
        <w:rPr>
          <w:szCs w:val="28"/>
          <w:lang w:val="es-CO" w:eastAsia="es-ES"/>
        </w:rPr>
        <w:t>existen dos supuestos para contabilizar la caducidad de la acción de reparación directa: (</w:t>
      </w:r>
      <w:r w:rsidR="00D639D7" w:rsidRPr="00341ED2">
        <w:rPr>
          <w:i/>
          <w:iCs/>
          <w:szCs w:val="28"/>
          <w:lang w:val="es-CO" w:eastAsia="es-ES"/>
        </w:rPr>
        <w:t>i</w:t>
      </w:r>
      <w:r w:rsidR="00D639D7" w:rsidRPr="00341ED2">
        <w:rPr>
          <w:szCs w:val="28"/>
          <w:lang w:val="es-CO" w:eastAsia="es-ES"/>
        </w:rPr>
        <w:t xml:space="preserve">) a partir del día siguiente de </w:t>
      </w:r>
      <w:r w:rsidR="00D639D7" w:rsidRPr="00341ED2">
        <w:rPr>
          <w:szCs w:val="28"/>
          <w:lang w:eastAsia="es-ES"/>
        </w:rPr>
        <w:t>la acción u omisión que causó el daño o, (</w:t>
      </w:r>
      <w:r w:rsidR="00D639D7" w:rsidRPr="00341ED2">
        <w:rPr>
          <w:i/>
          <w:iCs/>
          <w:szCs w:val="28"/>
          <w:lang w:eastAsia="es-ES"/>
        </w:rPr>
        <w:t>ii</w:t>
      </w:r>
      <w:r w:rsidR="00D639D7" w:rsidRPr="00341ED2">
        <w:rPr>
          <w:szCs w:val="28"/>
          <w:lang w:eastAsia="es-ES"/>
        </w:rPr>
        <w:t>) cuando este momento no coincida con el conocimiento del daño (o deber de conocerlo) por parte del demandante, en cada caso el juez deberá valorar el material probatorio a fin de determinar el momento en que el demandante tuvo certeza de la configuración del daño.</w:t>
      </w:r>
      <w:r w:rsidR="00A96351" w:rsidRPr="00341ED2">
        <w:rPr>
          <w:szCs w:val="28"/>
          <w:lang w:eastAsia="es-ES"/>
        </w:rPr>
        <w:t xml:space="preserve"> </w:t>
      </w:r>
    </w:p>
    <w:p w14:paraId="303B4FF9" w14:textId="77777777" w:rsidR="00C71AFC" w:rsidRPr="00341ED2" w:rsidRDefault="00C71AFC" w:rsidP="00C71AFC">
      <w:pPr>
        <w:pStyle w:val="Prrafodelista"/>
        <w:widowControl w:val="0"/>
        <w:autoSpaceDE w:val="0"/>
        <w:autoSpaceDN w:val="0"/>
        <w:adjustRightInd w:val="0"/>
        <w:ind w:left="0"/>
        <w:rPr>
          <w:rFonts w:eastAsiaTheme="minorHAnsi"/>
          <w:b/>
          <w:bCs/>
          <w:szCs w:val="28"/>
        </w:rPr>
      </w:pPr>
    </w:p>
    <w:p w14:paraId="722B3D2E" w14:textId="00A98793" w:rsidR="003E53ED" w:rsidRPr="00341ED2" w:rsidRDefault="00A96351" w:rsidP="00C71AFC">
      <w:pPr>
        <w:pStyle w:val="Prrafodelista"/>
        <w:widowControl w:val="0"/>
        <w:numPr>
          <w:ilvl w:val="1"/>
          <w:numId w:val="17"/>
        </w:numPr>
        <w:autoSpaceDE w:val="0"/>
        <w:autoSpaceDN w:val="0"/>
        <w:adjustRightInd w:val="0"/>
        <w:rPr>
          <w:rFonts w:eastAsiaTheme="minorHAnsi"/>
          <w:b/>
          <w:bCs/>
          <w:szCs w:val="28"/>
        </w:rPr>
      </w:pPr>
      <w:r w:rsidRPr="00341ED2">
        <w:rPr>
          <w:szCs w:val="28"/>
          <w:lang w:eastAsia="es-ES"/>
        </w:rPr>
        <w:t xml:space="preserve">No obstante, </w:t>
      </w:r>
      <w:r w:rsidR="000157ED" w:rsidRPr="00341ED2">
        <w:rPr>
          <w:szCs w:val="28"/>
          <w:lang w:eastAsia="es-ES"/>
        </w:rPr>
        <w:t xml:space="preserve">frente al segundo supuesto, </w:t>
      </w:r>
      <w:r w:rsidR="00C71AFC" w:rsidRPr="00341ED2">
        <w:rPr>
          <w:szCs w:val="28"/>
          <w:lang w:eastAsia="es-ES"/>
        </w:rPr>
        <w:t xml:space="preserve">las altas cortes </w:t>
      </w:r>
      <w:r w:rsidRPr="00341ED2">
        <w:rPr>
          <w:szCs w:val="28"/>
          <w:lang w:eastAsia="es-ES"/>
        </w:rPr>
        <w:t xml:space="preserve">difieren en </w:t>
      </w:r>
      <w:r w:rsidR="003E53ED" w:rsidRPr="00341ED2">
        <w:rPr>
          <w:szCs w:val="28"/>
          <w:lang w:eastAsia="es-ES"/>
        </w:rPr>
        <w:t xml:space="preserve">usar como </w:t>
      </w:r>
      <w:r w:rsidR="003E53ED" w:rsidRPr="00341ED2">
        <w:rPr>
          <w:szCs w:val="28"/>
          <w:lang w:val="es-CO" w:eastAsia="es-ES"/>
        </w:rPr>
        <w:t xml:space="preserve">punto de partida para contabilizar el término de caducidad la notificación del dictamen de la pérdida de capacidad laboral. Para el Consejo de Estado, </w:t>
      </w:r>
      <w:r w:rsidR="00C71AFC" w:rsidRPr="00341ED2">
        <w:rPr>
          <w:szCs w:val="28"/>
          <w:lang w:val="es-CO" w:eastAsia="es-ES"/>
        </w:rPr>
        <w:t>«la notificación del dictamen proferido por una junta de calificación de invalidez no puede constituirse</w:t>
      </w:r>
      <w:r w:rsidR="003E53ED" w:rsidRPr="00341ED2">
        <w:rPr>
          <w:rFonts w:eastAsiaTheme="minorHAnsi"/>
          <w:szCs w:val="28"/>
        </w:rPr>
        <w:t>, en ningún caso, como parámetro para contabilizar el término de caducidad». Esto, por cuanto</w:t>
      </w:r>
      <w:r w:rsidR="00C71AFC" w:rsidRPr="00341ED2">
        <w:rPr>
          <w:rFonts w:eastAsiaTheme="minorHAnsi"/>
          <w:szCs w:val="28"/>
        </w:rPr>
        <w:t xml:space="preserve"> dicho dictamen</w:t>
      </w:r>
      <w:r w:rsidR="003E53ED" w:rsidRPr="00341ED2">
        <w:rPr>
          <w:rFonts w:eastAsiaTheme="minorHAnsi"/>
          <w:szCs w:val="28"/>
        </w:rPr>
        <w:t xml:space="preserve"> «no comporta un diagnóstico de la enfermedad o de la lesión padecida por una persona», sino que «se limita a calificar una situación preexistente con base en las pruebas aportadas, entre las cuales se destaca la historia clínica del interesado».</w:t>
      </w:r>
    </w:p>
    <w:p w14:paraId="6969D86D" w14:textId="77777777" w:rsidR="00C71AFC" w:rsidRPr="00341ED2" w:rsidRDefault="00C71AFC" w:rsidP="00C71AFC">
      <w:pPr>
        <w:pStyle w:val="Prrafodelista"/>
        <w:widowControl w:val="0"/>
        <w:autoSpaceDE w:val="0"/>
        <w:autoSpaceDN w:val="0"/>
        <w:adjustRightInd w:val="0"/>
        <w:ind w:left="0"/>
        <w:rPr>
          <w:rFonts w:eastAsiaTheme="minorHAnsi"/>
          <w:b/>
          <w:bCs/>
          <w:szCs w:val="28"/>
        </w:rPr>
      </w:pPr>
    </w:p>
    <w:p w14:paraId="38C6B514" w14:textId="33E44C4B" w:rsidR="009936EB" w:rsidRPr="00341ED2" w:rsidRDefault="00C71AFC" w:rsidP="009936EB">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 xml:space="preserve">Por su parte, la Corte Constitucional </w:t>
      </w:r>
      <w:r w:rsidRPr="00341ED2">
        <w:rPr>
          <w:szCs w:val="28"/>
          <w:lang w:eastAsia="es-ES"/>
        </w:rPr>
        <w:t>ha flexibilizado el cómputo del término de caducidad de la acción de reparación directa en el sentido de evitar imponer un momento específico y único a partir del que deba contabilizarse la caducidad</w:t>
      </w:r>
      <w:r w:rsidR="009936EB" w:rsidRPr="00341ED2">
        <w:rPr>
          <w:szCs w:val="28"/>
          <w:lang w:eastAsia="es-ES"/>
        </w:rPr>
        <w:t xml:space="preserve">. </w:t>
      </w:r>
      <w:r w:rsidRPr="00341ED2">
        <w:rPr>
          <w:szCs w:val="28"/>
          <w:lang w:eastAsia="es-ES"/>
        </w:rPr>
        <w:t>En consecuencia, el juez debe analizar las particularidades de cada caso y valorar en conjunto el acervo probatorio para identificar el momento en el que el demandante tuvo certeza del daño cuya reparación reclama.</w:t>
      </w:r>
      <w:r w:rsidR="009936EB" w:rsidRPr="00341ED2">
        <w:rPr>
          <w:szCs w:val="28"/>
          <w:lang w:eastAsia="es-ES"/>
        </w:rPr>
        <w:t xml:space="preserve"> </w:t>
      </w:r>
    </w:p>
    <w:p w14:paraId="19359772" w14:textId="77777777" w:rsidR="009936EB" w:rsidRPr="00341ED2" w:rsidRDefault="009936EB" w:rsidP="009936EB">
      <w:pPr>
        <w:pStyle w:val="Prrafodelista"/>
        <w:widowControl w:val="0"/>
        <w:autoSpaceDE w:val="0"/>
        <w:autoSpaceDN w:val="0"/>
        <w:adjustRightInd w:val="0"/>
        <w:ind w:left="0"/>
        <w:rPr>
          <w:rFonts w:eastAsiaTheme="minorHAnsi"/>
          <w:szCs w:val="28"/>
        </w:rPr>
      </w:pPr>
    </w:p>
    <w:p w14:paraId="32198BDD" w14:textId="4531ACE2" w:rsidR="00EA5017" w:rsidRPr="00341ED2" w:rsidRDefault="00344178" w:rsidP="009936EB">
      <w:pPr>
        <w:pStyle w:val="Prrafodelista"/>
        <w:widowControl w:val="0"/>
        <w:numPr>
          <w:ilvl w:val="1"/>
          <w:numId w:val="17"/>
        </w:numPr>
        <w:autoSpaceDE w:val="0"/>
        <w:autoSpaceDN w:val="0"/>
        <w:adjustRightInd w:val="0"/>
        <w:rPr>
          <w:rFonts w:eastAsiaTheme="minorHAnsi"/>
          <w:szCs w:val="28"/>
        </w:rPr>
      </w:pPr>
      <w:r w:rsidRPr="00341ED2">
        <w:rPr>
          <w:szCs w:val="28"/>
          <w:lang w:val="es-CO" w:eastAsia="es-ES"/>
        </w:rPr>
        <w:t xml:space="preserve">Con fundamento en las anteriores consideraciones, la Sala procede a analizar si en el presente caso las autoridades judiciales accionadas incurrieron en </w:t>
      </w:r>
      <w:r w:rsidR="00EC4376" w:rsidRPr="00341ED2">
        <w:rPr>
          <w:szCs w:val="28"/>
          <w:lang w:val="es-CO" w:eastAsia="es-ES"/>
        </w:rPr>
        <w:t>el</w:t>
      </w:r>
      <w:r w:rsidRPr="00341ED2">
        <w:rPr>
          <w:szCs w:val="28"/>
          <w:lang w:val="es-CO" w:eastAsia="es-ES"/>
        </w:rPr>
        <w:t xml:space="preserve"> defecto endilgado por </w:t>
      </w:r>
      <w:r w:rsidR="00EC4376" w:rsidRPr="00341ED2">
        <w:rPr>
          <w:szCs w:val="28"/>
          <w:lang w:val="es-CO" w:eastAsia="es-ES"/>
        </w:rPr>
        <w:t>la</w:t>
      </w:r>
      <w:r w:rsidRPr="00341ED2">
        <w:rPr>
          <w:szCs w:val="28"/>
          <w:lang w:val="es-CO" w:eastAsia="es-ES"/>
        </w:rPr>
        <w:t xml:space="preserve"> accionante.</w:t>
      </w:r>
    </w:p>
    <w:p w14:paraId="5CD2283D" w14:textId="77777777" w:rsidR="000B5B8D" w:rsidRPr="00341ED2" w:rsidRDefault="000B5B8D" w:rsidP="000B5B8D">
      <w:pPr>
        <w:pStyle w:val="Prrafodelista"/>
        <w:shd w:val="clear" w:color="auto" w:fill="FFFFFF"/>
        <w:ind w:left="0" w:right="51"/>
        <w:textAlignment w:val="baseline"/>
        <w:rPr>
          <w:szCs w:val="28"/>
          <w:lang w:val="es-CO" w:eastAsia="es-ES"/>
        </w:rPr>
      </w:pPr>
    </w:p>
    <w:p w14:paraId="5CDA9ED1" w14:textId="55432A89" w:rsidR="009936EB" w:rsidRPr="00341ED2" w:rsidRDefault="009936EB" w:rsidP="009936EB">
      <w:pPr>
        <w:pStyle w:val="Prrafodelista"/>
        <w:widowControl w:val="0"/>
        <w:numPr>
          <w:ilvl w:val="0"/>
          <w:numId w:val="17"/>
        </w:numPr>
        <w:autoSpaceDE w:val="0"/>
        <w:autoSpaceDN w:val="0"/>
        <w:adjustRightInd w:val="0"/>
        <w:rPr>
          <w:rFonts w:eastAsiaTheme="minorHAnsi"/>
          <w:b/>
          <w:bCs/>
          <w:szCs w:val="28"/>
        </w:rPr>
      </w:pPr>
      <w:r w:rsidRPr="00341ED2">
        <w:rPr>
          <w:rFonts w:eastAsiaTheme="minorHAnsi"/>
          <w:b/>
          <w:bCs/>
          <w:szCs w:val="28"/>
        </w:rPr>
        <w:t xml:space="preserve">Análisis </w:t>
      </w:r>
      <w:r w:rsidR="00EC4376" w:rsidRPr="00341ED2">
        <w:rPr>
          <w:rFonts w:eastAsiaTheme="minorHAnsi"/>
          <w:b/>
          <w:bCs/>
          <w:szCs w:val="28"/>
        </w:rPr>
        <w:t xml:space="preserve">del </w:t>
      </w:r>
      <w:r w:rsidRPr="00341ED2">
        <w:rPr>
          <w:rFonts w:eastAsiaTheme="minorHAnsi"/>
          <w:b/>
          <w:bCs/>
          <w:szCs w:val="28"/>
        </w:rPr>
        <w:t>caso concreto</w:t>
      </w:r>
    </w:p>
    <w:p w14:paraId="6C230335" w14:textId="77777777" w:rsidR="00701F6D" w:rsidRPr="00341ED2" w:rsidRDefault="00701F6D" w:rsidP="00D76B21">
      <w:pPr>
        <w:widowControl w:val="0"/>
        <w:autoSpaceDE w:val="0"/>
        <w:autoSpaceDN w:val="0"/>
        <w:adjustRightInd w:val="0"/>
        <w:rPr>
          <w:rFonts w:eastAsiaTheme="minorHAnsi"/>
          <w:b/>
          <w:bCs/>
          <w:szCs w:val="28"/>
        </w:rPr>
      </w:pPr>
    </w:p>
    <w:p w14:paraId="5FFB82EB" w14:textId="270C004D" w:rsidR="00662D48" w:rsidRPr="00341ED2" w:rsidRDefault="00EC4376" w:rsidP="00662D48">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 xml:space="preserve">La señora </w:t>
      </w:r>
      <w:r w:rsidR="00B8660C">
        <w:rPr>
          <w:i/>
          <w:iCs/>
          <w:spacing w:val="-2"/>
          <w:szCs w:val="28"/>
        </w:rPr>
        <w:t>Amalia</w:t>
      </w:r>
      <w:r w:rsidRPr="00341ED2">
        <w:rPr>
          <w:rFonts w:eastAsiaTheme="minorHAnsi"/>
          <w:szCs w:val="28"/>
        </w:rPr>
        <w:t xml:space="preserve"> </w:t>
      </w:r>
      <w:r w:rsidR="009F37CA" w:rsidRPr="00341ED2">
        <w:rPr>
          <w:rFonts w:eastAsiaTheme="minorHAnsi"/>
          <w:szCs w:val="28"/>
        </w:rPr>
        <w:t>presentó acción de tutela contra el Tribunal Administrativo de Norte de Santander por la presunta vulneración de sus derechos fundamentales al debido proceso y acceso a la administración de justicia</w:t>
      </w:r>
      <w:r w:rsidR="00C14026" w:rsidRPr="00341ED2">
        <w:rPr>
          <w:rFonts w:eastAsiaTheme="minorHAnsi"/>
          <w:szCs w:val="28"/>
        </w:rPr>
        <w:t xml:space="preserve">. La accionante </w:t>
      </w:r>
      <w:r w:rsidR="005F05FF" w:rsidRPr="00341ED2">
        <w:rPr>
          <w:rFonts w:eastAsiaTheme="minorHAnsi"/>
          <w:szCs w:val="28"/>
        </w:rPr>
        <w:t xml:space="preserve">alegó que la autoridad judicial incurrió en un defecto fáctico por indebida valoración del material probatorio al declarar la caducidad de la acción de reparación directa que presentó contra la Nación-Ministerio de Defensa-Ejército Nacional. En </w:t>
      </w:r>
      <w:r w:rsidR="00353B85" w:rsidRPr="00341ED2">
        <w:rPr>
          <w:rFonts w:eastAsiaTheme="minorHAnsi"/>
          <w:szCs w:val="28"/>
        </w:rPr>
        <w:t>concreto</w:t>
      </w:r>
      <w:r w:rsidR="005F05FF" w:rsidRPr="00341ED2">
        <w:rPr>
          <w:rFonts w:eastAsiaTheme="minorHAnsi"/>
          <w:szCs w:val="28"/>
        </w:rPr>
        <w:t xml:space="preserve">, sostuvo que el Tribunal se equivocó al concluir que el término de caducidad debía contarse </w:t>
      </w:r>
      <w:r w:rsidR="00D76B21" w:rsidRPr="00341ED2">
        <w:rPr>
          <w:rFonts w:eastAsiaTheme="minorHAnsi"/>
          <w:szCs w:val="28"/>
        </w:rPr>
        <w:t>a partir</w:t>
      </w:r>
      <w:r w:rsidR="005F05FF" w:rsidRPr="00341ED2">
        <w:rPr>
          <w:rFonts w:eastAsiaTheme="minorHAnsi"/>
          <w:szCs w:val="28"/>
        </w:rPr>
        <w:t xml:space="preserve"> </w:t>
      </w:r>
      <w:r w:rsidR="00D76B21" w:rsidRPr="00341ED2">
        <w:rPr>
          <w:rFonts w:eastAsiaTheme="minorHAnsi"/>
          <w:szCs w:val="28"/>
        </w:rPr>
        <w:t>del 27 de junio de 2012, esto es, el día</w:t>
      </w:r>
      <w:r w:rsidR="005F05FF" w:rsidRPr="00341ED2">
        <w:rPr>
          <w:rFonts w:eastAsiaTheme="minorHAnsi"/>
          <w:szCs w:val="28"/>
        </w:rPr>
        <w:t xml:space="preserve"> siguiente </w:t>
      </w:r>
      <w:r w:rsidR="00D76B21" w:rsidRPr="00341ED2">
        <w:rPr>
          <w:rFonts w:eastAsiaTheme="minorHAnsi"/>
          <w:szCs w:val="28"/>
        </w:rPr>
        <w:t>de</w:t>
      </w:r>
      <w:r w:rsidR="005F05FF" w:rsidRPr="00341ED2">
        <w:rPr>
          <w:rFonts w:eastAsiaTheme="minorHAnsi"/>
          <w:szCs w:val="28"/>
        </w:rPr>
        <w:t xml:space="preserve"> la</w:t>
      </w:r>
      <w:r w:rsidR="00D76B21" w:rsidRPr="00341ED2">
        <w:rPr>
          <w:rFonts w:eastAsiaTheme="minorHAnsi"/>
          <w:szCs w:val="28"/>
        </w:rPr>
        <w:t xml:space="preserve"> primera</w:t>
      </w:r>
      <w:r w:rsidR="005F05FF" w:rsidRPr="00341ED2">
        <w:rPr>
          <w:rFonts w:eastAsiaTheme="minorHAnsi"/>
          <w:szCs w:val="28"/>
        </w:rPr>
        <w:t xml:space="preserve"> atención médica</w:t>
      </w:r>
      <w:r w:rsidR="00D76B21" w:rsidRPr="00341ED2">
        <w:rPr>
          <w:rFonts w:eastAsiaTheme="minorHAnsi"/>
          <w:szCs w:val="28"/>
        </w:rPr>
        <w:t xml:space="preserve"> que recibió </w:t>
      </w:r>
      <w:r w:rsidR="005F05FF" w:rsidRPr="00341ED2">
        <w:rPr>
          <w:rFonts w:eastAsiaTheme="minorHAnsi"/>
          <w:szCs w:val="28"/>
        </w:rPr>
        <w:t xml:space="preserve">su hijo </w:t>
      </w:r>
      <w:r w:rsidR="002174CD" w:rsidRPr="002174CD">
        <w:rPr>
          <w:rFonts w:eastAsiaTheme="minorHAnsi"/>
          <w:i/>
          <w:iCs/>
          <w:szCs w:val="28"/>
        </w:rPr>
        <w:t>Oscar</w:t>
      </w:r>
      <w:r w:rsidR="00D76B21" w:rsidRPr="00341ED2">
        <w:rPr>
          <w:rFonts w:eastAsiaTheme="minorHAnsi"/>
          <w:szCs w:val="28"/>
        </w:rPr>
        <w:t xml:space="preserve"> luego sufrir el supuesto trauma craneoencefálico. A </w:t>
      </w:r>
      <w:r w:rsidR="00353B85" w:rsidRPr="00341ED2">
        <w:rPr>
          <w:rFonts w:eastAsiaTheme="minorHAnsi"/>
          <w:szCs w:val="28"/>
        </w:rPr>
        <w:t xml:space="preserve">su </w:t>
      </w:r>
      <w:r w:rsidR="00D76B21" w:rsidRPr="00341ED2">
        <w:rPr>
          <w:rFonts w:eastAsiaTheme="minorHAnsi"/>
          <w:szCs w:val="28"/>
        </w:rPr>
        <w:t xml:space="preserve">juicio, si bien su hijo aparentemente sufrió un golpe en la cabeza en junio de 2012, las consecuencias de este golpe y </w:t>
      </w:r>
      <w:r w:rsidR="005165F3" w:rsidRPr="00341ED2">
        <w:rPr>
          <w:rFonts w:eastAsiaTheme="minorHAnsi"/>
          <w:szCs w:val="28"/>
        </w:rPr>
        <w:t>el</w:t>
      </w:r>
      <w:r w:rsidR="00D76B21" w:rsidRPr="00341ED2">
        <w:rPr>
          <w:rFonts w:eastAsiaTheme="minorHAnsi"/>
          <w:szCs w:val="28"/>
        </w:rPr>
        <w:t xml:space="preserve"> verdader</w:t>
      </w:r>
      <w:r w:rsidR="005165F3" w:rsidRPr="00341ED2">
        <w:rPr>
          <w:rFonts w:eastAsiaTheme="minorHAnsi"/>
          <w:szCs w:val="28"/>
        </w:rPr>
        <w:t>o</w:t>
      </w:r>
      <w:r w:rsidR="00D76B21" w:rsidRPr="00341ED2">
        <w:rPr>
          <w:rFonts w:eastAsiaTheme="minorHAnsi"/>
          <w:szCs w:val="28"/>
        </w:rPr>
        <w:t xml:space="preserve"> </w:t>
      </w:r>
      <w:r w:rsidR="005165F3" w:rsidRPr="00341ED2">
        <w:rPr>
          <w:rFonts w:eastAsiaTheme="minorHAnsi"/>
          <w:szCs w:val="28"/>
        </w:rPr>
        <w:t>conocimiento</w:t>
      </w:r>
      <w:r w:rsidR="00D76B21" w:rsidRPr="00341ED2">
        <w:rPr>
          <w:rFonts w:eastAsiaTheme="minorHAnsi"/>
          <w:szCs w:val="28"/>
        </w:rPr>
        <w:t xml:space="preserve"> del daño no fueron plenamente </w:t>
      </w:r>
      <w:r w:rsidR="005165F3" w:rsidRPr="00341ED2">
        <w:rPr>
          <w:rFonts w:eastAsiaTheme="minorHAnsi"/>
          <w:szCs w:val="28"/>
        </w:rPr>
        <w:t>identificados</w:t>
      </w:r>
      <w:r w:rsidR="00D76B21" w:rsidRPr="00341ED2">
        <w:rPr>
          <w:rFonts w:eastAsiaTheme="minorHAnsi"/>
          <w:szCs w:val="28"/>
        </w:rPr>
        <w:t xml:space="preserve"> hasta el dictamen de PCL emitido el 21 de noviembre de 2016 por la Junta Médica Laboral</w:t>
      </w:r>
      <w:r w:rsidR="00EE66CA" w:rsidRPr="00341ED2">
        <w:rPr>
          <w:rFonts w:eastAsiaTheme="minorHAnsi"/>
          <w:szCs w:val="28"/>
        </w:rPr>
        <w:t xml:space="preserve"> del Ejército Nacional</w:t>
      </w:r>
      <w:r w:rsidR="00D76B21" w:rsidRPr="00341ED2">
        <w:rPr>
          <w:rFonts w:eastAsiaTheme="minorHAnsi"/>
          <w:szCs w:val="28"/>
        </w:rPr>
        <w:t>.</w:t>
      </w:r>
    </w:p>
    <w:p w14:paraId="5F661A77" w14:textId="77777777" w:rsidR="004256F7" w:rsidRPr="00341ED2" w:rsidRDefault="004256F7" w:rsidP="004256F7">
      <w:pPr>
        <w:pStyle w:val="Prrafodelista"/>
        <w:widowControl w:val="0"/>
        <w:autoSpaceDE w:val="0"/>
        <w:autoSpaceDN w:val="0"/>
        <w:adjustRightInd w:val="0"/>
        <w:ind w:left="0"/>
        <w:rPr>
          <w:rFonts w:eastAsiaTheme="minorHAnsi"/>
          <w:szCs w:val="28"/>
        </w:rPr>
      </w:pPr>
    </w:p>
    <w:p w14:paraId="5632F3D1" w14:textId="56689734" w:rsidR="00EE66CA" w:rsidRPr="00341ED2" w:rsidRDefault="004256F7" w:rsidP="00662D48">
      <w:pPr>
        <w:pStyle w:val="Prrafodelista"/>
        <w:widowControl w:val="0"/>
        <w:numPr>
          <w:ilvl w:val="1"/>
          <w:numId w:val="17"/>
        </w:numPr>
        <w:autoSpaceDE w:val="0"/>
        <w:autoSpaceDN w:val="0"/>
        <w:adjustRightInd w:val="0"/>
        <w:rPr>
          <w:rFonts w:eastAsiaTheme="minorHAnsi"/>
          <w:szCs w:val="28"/>
        </w:rPr>
      </w:pPr>
      <w:r w:rsidRPr="00341ED2">
        <w:rPr>
          <w:rFonts w:eastAsiaTheme="minorHAnsi"/>
          <w:szCs w:val="28"/>
        </w:rPr>
        <w:t>Para resolver este asunto, la Sala Octava de Revisión</w:t>
      </w:r>
      <w:r w:rsidR="00845658" w:rsidRPr="00341ED2">
        <w:rPr>
          <w:rFonts w:eastAsiaTheme="minorHAnsi"/>
          <w:szCs w:val="28"/>
        </w:rPr>
        <w:t xml:space="preserve"> tendrá en cuenta: (</w:t>
      </w:r>
      <w:r w:rsidR="00845658" w:rsidRPr="00341ED2">
        <w:rPr>
          <w:rFonts w:eastAsiaTheme="minorHAnsi"/>
          <w:i/>
          <w:iCs/>
          <w:szCs w:val="28"/>
        </w:rPr>
        <w:t>i</w:t>
      </w:r>
      <w:r w:rsidR="00845658" w:rsidRPr="00341ED2">
        <w:rPr>
          <w:rFonts w:eastAsiaTheme="minorHAnsi"/>
          <w:szCs w:val="28"/>
        </w:rPr>
        <w:t>) el literal i) del artículo 164 del CPACA, (</w:t>
      </w:r>
      <w:r w:rsidR="00845658" w:rsidRPr="00341ED2">
        <w:rPr>
          <w:rFonts w:eastAsiaTheme="minorHAnsi"/>
          <w:i/>
          <w:iCs/>
          <w:szCs w:val="28"/>
        </w:rPr>
        <w:t>ii</w:t>
      </w:r>
      <w:r w:rsidR="00845658" w:rsidRPr="00341ED2">
        <w:rPr>
          <w:rFonts w:eastAsiaTheme="minorHAnsi"/>
          <w:szCs w:val="28"/>
        </w:rPr>
        <w:t>) la posición unificada por la Sección Tercera del Consejo de Estado en la sentencia del 29 de noviembre de 2018 y (</w:t>
      </w:r>
      <w:r w:rsidR="00845658" w:rsidRPr="00341ED2">
        <w:rPr>
          <w:rFonts w:eastAsiaTheme="minorHAnsi"/>
          <w:i/>
          <w:iCs/>
          <w:szCs w:val="28"/>
        </w:rPr>
        <w:t>iii</w:t>
      </w:r>
      <w:r w:rsidR="00845658" w:rsidRPr="00341ED2">
        <w:rPr>
          <w:rFonts w:eastAsiaTheme="minorHAnsi"/>
          <w:szCs w:val="28"/>
        </w:rPr>
        <w:t xml:space="preserve">) la jurisprudencia de la Corte Constitucional sobre la flexibilización del cómputo del término de caducidad con el fin de garantizar un equilibrio entre la seguridad jurídica y el acceso a la administración de justicia. </w:t>
      </w:r>
      <w:r w:rsidRPr="00341ED2">
        <w:rPr>
          <w:rFonts w:eastAsiaTheme="minorHAnsi"/>
          <w:szCs w:val="28"/>
        </w:rPr>
        <w:t>Conforme a estas tres premisas jurídicas, la caducidad debe contarse desde el momento en que el demandante tuvo conocimiento del daño que debe ser identificado por el juez a partir de la valoración del acervo probatorio.</w:t>
      </w:r>
    </w:p>
    <w:p w14:paraId="22C6E7C5" w14:textId="77777777" w:rsidR="00AD2477" w:rsidRPr="00341ED2" w:rsidRDefault="00AD2477" w:rsidP="000B5B8D">
      <w:pPr>
        <w:pStyle w:val="Prrafodelista"/>
        <w:widowControl w:val="0"/>
        <w:autoSpaceDE w:val="0"/>
        <w:autoSpaceDN w:val="0"/>
        <w:adjustRightInd w:val="0"/>
        <w:ind w:left="0"/>
        <w:rPr>
          <w:rFonts w:eastAsiaTheme="minorHAnsi"/>
          <w:szCs w:val="28"/>
        </w:rPr>
      </w:pPr>
    </w:p>
    <w:p w14:paraId="6DC43F67" w14:textId="0DE10553" w:rsidR="00C94C7F" w:rsidRPr="00341ED2" w:rsidRDefault="005165F3" w:rsidP="009A1DEF">
      <w:pPr>
        <w:pStyle w:val="Prrafodelista"/>
        <w:widowControl w:val="0"/>
        <w:numPr>
          <w:ilvl w:val="1"/>
          <w:numId w:val="17"/>
        </w:numPr>
        <w:autoSpaceDE w:val="0"/>
        <w:autoSpaceDN w:val="0"/>
        <w:adjustRightInd w:val="0"/>
        <w:rPr>
          <w:rFonts w:eastAsiaTheme="minorHAnsi"/>
          <w:szCs w:val="28"/>
        </w:rPr>
      </w:pPr>
      <w:r w:rsidRPr="00341ED2">
        <w:rPr>
          <w:szCs w:val="28"/>
          <w:lang w:val="es-CO" w:eastAsia="es-ES"/>
        </w:rPr>
        <w:t>Ahora bien, p</w:t>
      </w:r>
      <w:r w:rsidR="00824E89" w:rsidRPr="00341ED2">
        <w:rPr>
          <w:szCs w:val="28"/>
          <w:lang w:val="es-CO" w:eastAsia="es-ES"/>
        </w:rPr>
        <w:t xml:space="preserve">ara determinar </w:t>
      </w:r>
      <w:r w:rsidR="009D5715" w:rsidRPr="00341ED2">
        <w:rPr>
          <w:szCs w:val="28"/>
          <w:lang w:val="es-CO" w:eastAsia="es-ES"/>
        </w:rPr>
        <w:t xml:space="preserve">el punto de partida del término de caducidad, </w:t>
      </w:r>
      <w:r w:rsidRPr="00341ED2">
        <w:rPr>
          <w:szCs w:val="28"/>
          <w:lang w:val="es-CO" w:eastAsia="es-ES"/>
        </w:rPr>
        <w:t xml:space="preserve">la Sala debe comenzar por </w:t>
      </w:r>
      <w:r w:rsidR="00824E89" w:rsidRPr="00341ED2">
        <w:rPr>
          <w:szCs w:val="28"/>
          <w:lang w:val="es-CO" w:eastAsia="es-ES"/>
        </w:rPr>
        <w:t>analizar las pruebas obrantes en el expediente</w:t>
      </w:r>
      <w:r w:rsidR="005D2903" w:rsidRPr="00341ED2">
        <w:rPr>
          <w:szCs w:val="28"/>
          <w:lang w:val="es-CO" w:eastAsia="es-ES"/>
        </w:rPr>
        <w:t>.</w:t>
      </w:r>
      <w:r w:rsidR="005D2903" w:rsidRPr="00341ED2">
        <w:rPr>
          <w:rFonts w:eastAsiaTheme="minorHAnsi"/>
          <w:szCs w:val="28"/>
        </w:rPr>
        <w:t xml:space="preserve"> </w:t>
      </w:r>
      <w:r w:rsidR="00F70540" w:rsidRPr="00341ED2">
        <w:rPr>
          <w:szCs w:val="28"/>
          <w:lang w:val="es-CO" w:eastAsia="es-ES"/>
        </w:rPr>
        <w:t xml:space="preserve">Así, </w:t>
      </w:r>
      <w:r w:rsidR="00A10122" w:rsidRPr="00341ED2">
        <w:rPr>
          <w:szCs w:val="28"/>
          <w:lang w:val="es-CO" w:eastAsia="es-ES"/>
        </w:rPr>
        <w:t>debido</w:t>
      </w:r>
      <w:r w:rsidR="00F70540" w:rsidRPr="00341ED2">
        <w:rPr>
          <w:szCs w:val="28"/>
          <w:lang w:val="es-CO" w:eastAsia="es-ES"/>
        </w:rPr>
        <w:t xml:space="preserve"> a</w:t>
      </w:r>
      <w:r w:rsidR="00A10122" w:rsidRPr="00341ED2">
        <w:rPr>
          <w:szCs w:val="28"/>
          <w:lang w:val="es-CO" w:eastAsia="es-ES"/>
        </w:rPr>
        <w:t xml:space="preserve"> </w:t>
      </w:r>
      <w:r w:rsidR="00213385" w:rsidRPr="00341ED2">
        <w:rPr>
          <w:szCs w:val="28"/>
          <w:lang w:val="es-CO" w:eastAsia="es-ES"/>
        </w:rPr>
        <w:t xml:space="preserve">la naturaleza de la lesión </w:t>
      </w:r>
      <w:r w:rsidR="00394C48" w:rsidRPr="00341ED2">
        <w:rPr>
          <w:szCs w:val="28"/>
          <w:lang w:val="es-CO" w:eastAsia="es-ES"/>
        </w:rPr>
        <w:t xml:space="preserve">que sufrió </w:t>
      </w:r>
      <w:r w:rsidR="002174CD" w:rsidRPr="002174CD">
        <w:rPr>
          <w:i/>
          <w:iCs/>
          <w:szCs w:val="28"/>
          <w:lang w:val="es-CO" w:eastAsia="es-ES"/>
        </w:rPr>
        <w:t>Oscar</w:t>
      </w:r>
      <w:r w:rsidR="00394C48" w:rsidRPr="00341ED2">
        <w:rPr>
          <w:szCs w:val="28"/>
          <w:lang w:val="es-CO" w:eastAsia="es-ES"/>
        </w:rPr>
        <w:t xml:space="preserve"> </w:t>
      </w:r>
      <w:r w:rsidR="00213385" w:rsidRPr="00341ED2">
        <w:rPr>
          <w:szCs w:val="28"/>
          <w:lang w:val="es-CO" w:eastAsia="es-ES"/>
        </w:rPr>
        <w:t xml:space="preserve">y la manera en que </w:t>
      </w:r>
      <w:r w:rsidR="00C94C7F" w:rsidRPr="00341ED2">
        <w:rPr>
          <w:szCs w:val="28"/>
          <w:lang w:val="es-CO" w:eastAsia="es-ES"/>
        </w:rPr>
        <w:t xml:space="preserve">esta </w:t>
      </w:r>
      <w:r w:rsidR="00213385" w:rsidRPr="00341ED2">
        <w:rPr>
          <w:szCs w:val="28"/>
          <w:lang w:val="es-CO" w:eastAsia="es-ES"/>
        </w:rPr>
        <w:t>evolucionó</w:t>
      </w:r>
      <w:r w:rsidR="00E678C3" w:rsidRPr="00341ED2">
        <w:rPr>
          <w:szCs w:val="28"/>
          <w:lang w:val="es-CO" w:eastAsia="es-ES"/>
        </w:rPr>
        <w:t xml:space="preserve">, </w:t>
      </w:r>
      <w:r w:rsidR="00C94C7F" w:rsidRPr="00341ED2">
        <w:rPr>
          <w:szCs w:val="28"/>
          <w:lang w:val="es-CO" w:eastAsia="es-ES"/>
        </w:rPr>
        <w:t xml:space="preserve">es importante repasar de manera </w:t>
      </w:r>
      <w:r w:rsidR="00631A73" w:rsidRPr="00341ED2">
        <w:rPr>
          <w:szCs w:val="28"/>
          <w:lang w:val="es-CO" w:eastAsia="es-ES"/>
        </w:rPr>
        <w:t>cronológica</w:t>
      </w:r>
      <w:r w:rsidR="00C94C7F" w:rsidRPr="00341ED2">
        <w:rPr>
          <w:szCs w:val="28"/>
          <w:lang w:val="es-CO" w:eastAsia="es-ES"/>
        </w:rPr>
        <w:t xml:space="preserve"> </w:t>
      </w:r>
      <w:r w:rsidR="00394C48" w:rsidRPr="00341ED2">
        <w:rPr>
          <w:szCs w:val="28"/>
          <w:lang w:val="es-CO" w:eastAsia="es-ES"/>
        </w:rPr>
        <w:t>los conceptos médicos</w:t>
      </w:r>
      <w:r w:rsidR="009A1DEF" w:rsidRPr="00341ED2">
        <w:rPr>
          <w:szCs w:val="28"/>
          <w:lang w:val="es-CO" w:eastAsia="es-ES"/>
        </w:rPr>
        <w:t xml:space="preserve"> </w:t>
      </w:r>
      <w:r w:rsidR="00394C48" w:rsidRPr="00341ED2">
        <w:rPr>
          <w:szCs w:val="28"/>
          <w:lang w:val="es-CO" w:eastAsia="es-ES"/>
        </w:rPr>
        <w:t>en los</w:t>
      </w:r>
      <w:r w:rsidR="009A1DEF" w:rsidRPr="00341ED2">
        <w:rPr>
          <w:szCs w:val="28"/>
          <w:lang w:val="es-CO" w:eastAsia="es-ES"/>
        </w:rPr>
        <w:t xml:space="preserve"> que se </w:t>
      </w:r>
      <w:r w:rsidR="00F91FF0" w:rsidRPr="00341ED2">
        <w:rPr>
          <w:szCs w:val="28"/>
          <w:lang w:val="es-CO" w:eastAsia="es-ES"/>
        </w:rPr>
        <w:t xml:space="preserve">valoró </w:t>
      </w:r>
      <w:r w:rsidR="003A1C93" w:rsidRPr="00341ED2">
        <w:rPr>
          <w:szCs w:val="28"/>
          <w:lang w:val="es-CO" w:eastAsia="es-ES"/>
        </w:rPr>
        <w:t>su</w:t>
      </w:r>
      <w:r w:rsidR="00F91FF0" w:rsidRPr="00341ED2">
        <w:rPr>
          <w:szCs w:val="28"/>
          <w:lang w:val="es-CO" w:eastAsia="es-ES"/>
        </w:rPr>
        <w:t xml:space="preserve"> situación de salud</w:t>
      </w:r>
      <w:r w:rsidR="00C94C7F" w:rsidRPr="00341ED2">
        <w:rPr>
          <w:szCs w:val="28"/>
          <w:lang w:val="es-CO" w:eastAsia="es-ES"/>
        </w:rPr>
        <w:t xml:space="preserve">. </w:t>
      </w:r>
      <w:r w:rsidR="00631A73" w:rsidRPr="00341ED2">
        <w:rPr>
          <w:szCs w:val="28"/>
          <w:lang w:val="es-CO" w:eastAsia="es-ES"/>
        </w:rPr>
        <w:t>Estas pruebas</w:t>
      </w:r>
      <w:r w:rsidR="00C94C7F" w:rsidRPr="00341ED2">
        <w:rPr>
          <w:szCs w:val="28"/>
          <w:lang w:val="es-CO" w:eastAsia="es-ES"/>
        </w:rPr>
        <w:t xml:space="preserve"> se sintetiza</w:t>
      </w:r>
      <w:r w:rsidR="00631A73" w:rsidRPr="00341ED2">
        <w:rPr>
          <w:szCs w:val="28"/>
          <w:lang w:val="es-CO" w:eastAsia="es-ES"/>
        </w:rPr>
        <w:t>n</w:t>
      </w:r>
      <w:r w:rsidR="00C94C7F" w:rsidRPr="00341ED2">
        <w:rPr>
          <w:szCs w:val="28"/>
          <w:lang w:val="es-CO" w:eastAsia="es-ES"/>
        </w:rPr>
        <w:t xml:space="preserve"> en el siguiente cuadro:</w:t>
      </w:r>
    </w:p>
    <w:p w14:paraId="1CC135C6" w14:textId="77777777" w:rsidR="00C94C7F" w:rsidRPr="00341ED2" w:rsidRDefault="00C94C7F" w:rsidP="00C94C7F">
      <w:pPr>
        <w:pStyle w:val="Prrafodelista"/>
        <w:rPr>
          <w:szCs w:val="28"/>
          <w:lang w:val="es-CO" w:eastAsia="es-ES"/>
        </w:rPr>
      </w:pPr>
    </w:p>
    <w:tbl>
      <w:tblPr>
        <w:tblStyle w:val="Tablaconcuadrcula"/>
        <w:tblW w:w="0" w:type="auto"/>
        <w:tblLook w:val="04A0" w:firstRow="1" w:lastRow="0" w:firstColumn="1" w:lastColumn="0" w:noHBand="0" w:noVBand="1"/>
      </w:tblPr>
      <w:tblGrid>
        <w:gridCol w:w="2263"/>
        <w:gridCol w:w="1985"/>
        <w:gridCol w:w="4580"/>
      </w:tblGrid>
      <w:tr w:rsidR="00E65ED3" w:rsidRPr="00341ED2" w14:paraId="7C7B76D8" w14:textId="77777777" w:rsidTr="00CF7011">
        <w:tc>
          <w:tcPr>
            <w:tcW w:w="2263" w:type="dxa"/>
          </w:tcPr>
          <w:p w14:paraId="3B38C160" w14:textId="0BDE7CC6" w:rsidR="00C94C7F" w:rsidRPr="00341ED2" w:rsidRDefault="009A1DEF" w:rsidP="009A1DEF">
            <w:pPr>
              <w:pStyle w:val="Prrafodelista"/>
              <w:ind w:left="0" w:right="51"/>
              <w:jc w:val="center"/>
              <w:textAlignment w:val="baseline"/>
              <w:rPr>
                <w:b/>
                <w:bCs/>
                <w:sz w:val="24"/>
                <w:szCs w:val="24"/>
                <w:lang w:val="es-CO" w:eastAsia="es-ES"/>
              </w:rPr>
            </w:pPr>
            <w:r w:rsidRPr="00341ED2">
              <w:rPr>
                <w:b/>
                <w:bCs/>
                <w:sz w:val="24"/>
                <w:szCs w:val="24"/>
                <w:lang w:val="es-CO" w:eastAsia="es-ES"/>
              </w:rPr>
              <w:t>Prueba</w:t>
            </w:r>
          </w:p>
        </w:tc>
        <w:tc>
          <w:tcPr>
            <w:tcW w:w="1985" w:type="dxa"/>
          </w:tcPr>
          <w:p w14:paraId="0B5F4E8E" w14:textId="77777777" w:rsidR="00C94C7F" w:rsidRPr="00341ED2" w:rsidRDefault="00C94C7F" w:rsidP="00CF7011">
            <w:pPr>
              <w:pStyle w:val="Prrafodelista"/>
              <w:ind w:left="0" w:right="51"/>
              <w:jc w:val="center"/>
              <w:textAlignment w:val="baseline"/>
              <w:rPr>
                <w:b/>
                <w:bCs/>
                <w:sz w:val="24"/>
                <w:szCs w:val="24"/>
                <w:lang w:val="es-CO" w:eastAsia="es-ES"/>
              </w:rPr>
            </w:pPr>
            <w:r w:rsidRPr="00341ED2">
              <w:rPr>
                <w:b/>
                <w:bCs/>
                <w:sz w:val="24"/>
                <w:szCs w:val="24"/>
                <w:lang w:val="es-CO" w:eastAsia="es-ES"/>
              </w:rPr>
              <w:t>Fecha</w:t>
            </w:r>
          </w:p>
        </w:tc>
        <w:tc>
          <w:tcPr>
            <w:tcW w:w="4580" w:type="dxa"/>
          </w:tcPr>
          <w:p w14:paraId="6255466C" w14:textId="77777777" w:rsidR="00C94C7F" w:rsidRPr="00341ED2" w:rsidRDefault="00C94C7F" w:rsidP="00CF7011">
            <w:pPr>
              <w:pStyle w:val="Prrafodelista"/>
              <w:ind w:left="0" w:right="51"/>
              <w:jc w:val="center"/>
              <w:textAlignment w:val="baseline"/>
              <w:rPr>
                <w:b/>
                <w:bCs/>
                <w:sz w:val="24"/>
                <w:szCs w:val="24"/>
                <w:lang w:val="es-CO" w:eastAsia="es-ES"/>
              </w:rPr>
            </w:pPr>
            <w:r w:rsidRPr="00341ED2">
              <w:rPr>
                <w:b/>
                <w:bCs/>
                <w:sz w:val="24"/>
                <w:szCs w:val="24"/>
                <w:lang w:val="es-CO" w:eastAsia="es-ES"/>
              </w:rPr>
              <w:t>Valoración</w:t>
            </w:r>
          </w:p>
        </w:tc>
      </w:tr>
      <w:tr w:rsidR="00E65ED3" w:rsidRPr="00341ED2" w14:paraId="7C4D0DFD" w14:textId="77777777" w:rsidTr="00CF7011">
        <w:tc>
          <w:tcPr>
            <w:tcW w:w="2263" w:type="dxa"/>
          </w:tcPr>
          <w:p w14:paraId="278B45F7" w14:textId="1F043B3B" w:rsidR="00C94C7F" w:rsidRPr="00341ED2" w:rsidRDefault="009A1DEF" w:rsidP="00CF7011">
            <w:pPr>
              <w:pStyle w:val="Prrafodelista"/>
              <w:ind w:left="0" w:right="51"/>
              <w:textAlignment w:val="baseline"/>
              <w:rPr>
                <w:sz w:val="24"/>
                <w:szCs w:val="24"/>
                <w:lang w:val="es-CO" w:eastAsia="es-ES"/>
              </w:rPr>
            </w:pPr>
            <w:r w:rsidRPr="00341ED2">
              <w:rPr>
                <w:iCs/>
                <w:sz w:val="24"/>
                <w:szCs w:val="24"/>
              </w:rPr>
              <w:t>Hoja de referencia del Dispensario Médico de la Brigada 30</w:t>
            </w:r>
            <w:r w:rsidR="00CE299E" w:rsidRPr="00341ED2">
              <w:rPr>
                <w:iCs/>
                <w:sz w:val="24"/>
                <w:szCs w:val="24"/>
              </w:rPr>
              <w:t xml:space="preserve">. </w:t>
            </w:r>
          </w:p>
        </w:tc>
        <w:tc>
          <w:tcPr>
            <w:tcW w:w="1985" w:type="dxa"/>
          </w:tcPr>
          <w:p w14:paraId="2507D432" w14:textId="07CF9284" w:rsidR="00C94C7F" w:rsidRPr="00341ED2" w:rsidRDefault="009A1DEF" w:rsidP="00A30ACB">
            <w:pPr>
              <w:pStyle w:val="Prrafodelista"/>
              <w:ind w:left="0" w:right="51"/>
              <w:jc w:val="center"/>
              <w:textAlignment w:val="baseline"/>
              <w:rPr>
                <w:sz w:val="24"/>
                <w:szCs w:val="24"/>
                <w:lang w:val="es-CO" w:eastAsia="es-ES"/>
              </w:rPr>
            </w:pPr>
            <w:r w:rsidRPr="00341ED2">
              <w:rPr>
                <w:sz w:val="24"/>
                <w:szCs w:val="24"/>
                <w:lang w:val="es-CO" w:eastAsia="es-ES"/>
              </w:rPr>
              <w:t>2</w:t>
            </w:r>
            <w:r w:rsidR="00CE299E" w:rsidRPr="00341ED2">
              <w:rPr>
                <w:sz w:val="24"/>
                <w:szCs w:val="24"/>
                <w:lang w:val="es-CO" w:eastAsia="es-ES"/>
              </w:rPr>
              <w:t>5</w:t>
            </w:r>
            <w:r w:rsidRPr="00341ED2">
              <w:rPr>
                <w:sz w:val="24"/>
                <w:szCs w:val="24"/>
                <w:lang w:val="es-CO" w:eastAsia="es-ES"/>
              </w:rPr>
              <w:t xml:space="preserve"> de junio de 2012</w:t>
            </w:r>
          </w:p>
        </w:tc>
        <w:tc>
          <w:tcPr>
            <w:tcW w:w="4580" w:type="dxa"/>
          </w:tcPr>
          <w:p w14:paraId="3864563C" w14:textId="7C900BDD" w:rsidR="009A1DEF" w:rsidRPr="00341ED2" w:rsidRDefault="00CE299E" w:rsidP="00CF7011">
            <w:pPr>
              <w:pStyle w:val="Prrafodelista"/>
              <w:ind w:left="0" w:right="51"/>
              <w:textAlignment w:val="baseline"/>
              <w:rPr>
                <w:sz w:val="24"/>
                <w:szCs w:val="24"/>
                <w:lang w:eastAsia="es-ES"/>
              </w:rPr>
            </w:pPr>
            <w:r w:rsidRPr="00341ED2">
              <w:rPr>
                <w:sz w:val="24"/>
                <w:szCs w:val="24"/>
              </w:rPr>
              <w:t xml:space="preserve">Atención de urgencias en el </w:t>
            </w:r>
            <w:r w:rsidRPr="00341ED2">
              <w:rPr>
                <w:sz w:val="24"/>
                <w:szCs w:val="24"/>
                <w:lang w:eastAsia="es-ES"/>
              </w:rPr>
              <w:t xml:space="preserve">Hospital Mental </w:t>
            </w:r>
            <w:proofErr w:type="spellStart"/>
            <w:r w:rsidRPr="00341ED2">
              <w:rPr>
                <w:sz w:val="24"/>
                <w:szCs w:val="24"/>
                <w:lang w:eastAsia="es-ES"/>
              </w:rPr>
              <w:t>Rudesindo</w:t>
            </w:r>
            <w:proofErr w:type="spellEnd"/>
            <w:r w:rsidRPr="00341ED2">
              <w:rPr>
                <w:sz w:val="24"/>
                <w:szCs w:val="24"/>
                <w:lang w:eastAsia="es-ES"/>
              </w:rPr>
              <w:t xml:space="preserve"> Soto de Cúcuta. En la casilla del diagnóstico se lee: </w:t>
            </w:r>
            <w:r w:rsidRPr="00341ED2">
              <w:rPr>
                <w:iCs/>
                <w:sz w:val="24"/>
                <w:szCs w:val="24"/>
              </w:rPr>
              <w:t xml:space="preserve">«Paciente con reporte de trauma craneoencefálico, según refiere, sin embargo, en valoración en Clínica Santa Ana no se encontraron signos de golpes. Negativo para SPA. Lenguaje comprometido, movimientos estereotipados en manos, dificultad motora. </w:t>
            </w:r>
            <w:r w:rsidRPr="00341ED2">
              <w:rPr>
                <w:b/>
                <w:bCs/>
                <w:iCs/>
                <w:sz w:val="24"/>
                <w:szCs w:val="24"/>
              </w:rPr>
              <w:t>¿Somatización?</w:t>
            </w:r>
            <w:r w:rsidRPr="00341ED2">
              <w:rPr>
                <w:iCs/>
                <w:sz w:val="24"/>
                <w:szCs w:val="24"/>
              </w:rPr>
              <w:t>»</w:t>
            </w:r>
            <w:r w:rsidRPr="00341ED2">
              <w:rPr>
                <w:rStyle w:val="Refdenotaalpie"/>
                <w:iCs/>
                <w:sz w:val="24"/>
                <w:szCs w:val="24"/>
              </w:rPr>
              <w:footnoteReference w:id="101"/>
            </w:r>
            <w:r w:rsidRPr="00341ED2">
              <w:rPr>
                <w:iCs/>
                <w:sz w:val="24"/>
                <w:szCs w:val="24"/>
              </w:rPr>
              <w:t>.</w:t>
            </w:r>
          </w:p>
        </w:tc>
      </w:tr>
      <w:tr w:rsidR="00E65ED3" w:rsidRPr="00341ED2" w14:paraId="48C1BE22" w14:textId="77777777" w:rsidTr="00CF7011">
        <w:tc>
          <w:tcPr>
            <w:tcW w:w="2263" w:type="dxa"/>
          </w:tcPr>
          <w:p w14:paraId="331EAD14" w14:textId="22487E4E" w:rsidR="00C94C7F" w:rsidRPr="00341ED2" w:rsidRDefault="00CE299E" w:rsidP="00CF7011">
            <w:pPr>
              <w:pStyle w:val="Prrafodelista"/>
              <w:ind w:left="0" w:right="51"/>
              <w:textAlignment w:val="baseline"/>
              <w:rPr>
                <w:sz w:val="24"/>
                <w:szCs w:val="24"/>
                <w:lang w:val="es-CO" w:eastAsia="es-ES"/>
              </w:rPr>
            </w:pPr>
            <w:proofErr w:type="spellStart"/>
            <w:r w:rsidRPr="00341ED2">
              <w:rPr>
                <w:sz w:val="24"/>
                <w:szCs w:val="24"/>
                <w:lang w:val="es-CO" w:eastAsia="es-ES"/>
              </w:rPr>
              <w:t>Epicrisis</w:t>
            </w:r>
            <w:proofErr w:type="spellEnd"/>
            <w:r w:rsidRPr="00341ED2">
              <w:rPr>
                <w:sz w:val="24"/>
                <w:szCs w:val="24"/>
                <w:lang w:val="es-CO" w:eastAsia="es-ES"/>
              </w:rPr>
              <w:t xml:space="preserve"> elaborada por la psiquiatra Andrea Camperos del </w:t>
            </w:r>
            <w:r w:rsidRPr="00341ED2">
              <w:rPr>
                <w:sz w:val="24"/>
                <w:szCs w:val="24"/>
                <w:lang w:eastAsia="es-ES"/>
              </w:rPr>
              <w:t xml:space="preserve">Hospital Mental </w:t>
            </w:r>
            <w:proofErr w:type="spellStart"/>
            <w:r w:rsidRPr="00341ED2">
              <w:rPr>
                <w:sz w:val="24"/>
                <w:szCs w:val="24"/>
                <w:lang w:eastAsia="es-ES"/>
              </w:rPr>
              <w:t>Rudesindo</w:t>
            </w:r>
            <w:proofErr w:type="spellEnd"/>
            <w:r w:rsidRPr="00341ED2">
              <w:rPr>
                <w:sz w:val="24"/>
                <w:szCs w:val="24"/>
                <w:lang w:eastAsia="es-ES"/>
              </w:rPr>
              <w:t xml:space="preserve"> Soto de Cúcuta</w:t>
            </w:r>
          </w:p>
        </w:tc>
        <w:tc>
          <w:tcPr>
            <w:tcW w:w="1985" w:type="dxa"/>
          </w:tcPr>
          <w:p w14:paraId="3AE2B002" w14:textId="146B8BA4" w:rsidR="00C94C7F" w:rsidRPr="00341ED2" w:rsidRDefault="00CE299E" w:rsidP="00A30ACB">
            <w:pPr>
              <w:pStyle w:val="Prrafodelista"/>
              <w:ind w:left="0" w:right="51"/>
              <w:jc w:val="center"/>
              <w:textAlignment w:val="baseline"/>
              <w:rPr>
                <w:sz w:val="24"/>
                <w:szCs w:val="24"/>
                <w:lang w:val="es-CO" w:eastAsia="es-ES"/>
              </w:rPr>
            </w:pPr>
            <w:r w:rsidRPr="00341ED2">
              <w:rPr>
                <w:sz w:val="24"/>
                <w:szCs w:val="24"/>
                <w:lang w:val="es-CO" w:eastAsia="es-ES"/>
              </w:rPr>
              <w:t>2</w:t>
            </w:r>
            <w:r w:rsidR="00125FA8" w:rsidRPr="00341ED2">
              <w:rPr>
                <w:sz w:val="24"/>
                <w:szCs w:val="24"/>
                <w:lang w:val="es-CO" w:eastAsia="es-ES"/>
              </w:rPr>
              <w:t>6</w:t>
            </w:r>
            <w:r w:rsidRPr="00341ED2">
              <w:rPr>
                <w:sz w:val="24"/>
                <w:szCs w:val="24"/>
                <w:lang w:val="es-CO" w:eastAsia="es-ES"/>
              </w:rPr>
              <w:t xml:space="preserve"> de junio de 2012</w:t>
            </w:r>
          </w:p>
        </w:tc>
        <w:tc>
          <w:tcPr>
            <w:tcW w:w="4580" w:type="dxa"/>
          </w:tcPr>
          <w:p w14:paraId="25870B1A" w14:textId="626981E0" w:rsidR="00070278" w:rsidRPr="00341ED2" w:rsidRDefault="00CE299E" w:rsidP="00CF7011">
            <w:pPr>
              <w:pStyle w:val="Prrafodelista"/>
              <w:ind w:left="0" w:right="51"/>
              <w:textAlignment w:val="baseline"/>
              <w:rPr>
                <w:sz w:val="24"/>
                <w:szCs w:val="24"/>
                <w:lang w:eastAsia="es-ES"/>
              </w:rPr>
            </w:pPr>
            <w:r w:rsidRPr="00341ED2">
              <w:rPr>
                <w:sz w:val="24"/>
                <w:szCs w:val="24"/>
                <w:lang w:val="es-CO" w:eastAsia="es-ES"/>
              </w:rPr>
              <w:t xml:space="preserve">Consulta médica con psiquiatra. </w:t>
            </w:r>
            <w:r w:rsidR="00AD38F6" w:rsidRPr="00341ED2">
              <w:rPr>
                <w:sz w:val="24"/>
                <w:szCs w:val="24"/>
                <w:lang w:val="es-CO" w:eastAsia="es-ES"/>
              </w:rPr>
              <w:t xml:space="preserve"> En la casilla de antecedentes se lee: </w:t>
            </w:r>
            <w:r w:rsidR="00AD38F6" w:rsidRPr="00341ED2">
              <w:rPr>
                <w:sz w:val="24"/>
                <w:szCs w:val="24"/>
                <w:lang w:eastAsia="es-ES"/>
              </w:rPr>
              <w:t xml:space="preserve">«Trauma craneoencefálico. Valorado por neurología y dado de alta, con exámenes toxicológicos negativos». En la casilla de diagnóstico se lee: </w:t>
            </w:r>
            <w:r w:rsidR="00AD38F6" w:rsidRPr="00341ED2">
              <w:rPr>
                <w:b/>
                <w:bCs/>
                <w:sz w:val="24"/>
                <w:szCs w:val="24"/>
                <w:lang w:eastAsia="es-ES"/>
              </w:rPr>
              <w:t>¿</w:t>
            </w:r>
            <w:proofErr w:type="spellStart"/>
            <w:r w:rsidR="00AD38F6" w:rsidRPr="00341ED2">
              <w:rPr>
                <w:b/>
                <w:bCs/>
                <w:sz w:val="24"/>
                <w:szCs w:val="24"/>
                <w:lang w:eastAsia="es-ES"/>
              </w:rPr>
              <w:t>Tx</w:t>
            </w:r>
            <w:proofErr w:type="spellEnd"/>
            <w:r w:rsidR="00AD38F6" w:rsidRPr="00341ED2">
              <w:rPr>
                <w:b/>
                <w:bCs/>
                <w:sz w:val="24"/>
                <w:szCs w:val="24"/>
                <w:lang w:eastAsia="es-ES"/>
              </w:rPr>
              <w:t xml:space="preserve"> [Trastorno] </w:t>
            </w:r>
            <w:proofErr w:type="spellStart"/>
            <w:r w:rsidR="00AD38F6" w:rsidRPr="00341ED2">
              <w:rPr>
                <w:b/>
                <w:bCs/>
                <w:sz w:val="24"/>
                <w:szCs w:val="24"/>
                <w:lang w:eastAsia="es-ES"/>
              </w:rPr>
              <w:t>disociativo</w:t>
            </w:r>
            <w:proofErr w:type="spellEnd"/>
            <w:r w:rsidR="00AD38F6" w:rsidRPr="00341ED2">
              <w:rPr>
                <w:b/>
                <w:bCs/>
                <w:sz w:val="24"/>
                <w:szCs w:val="24"/>
                <w:lang w:eastAsia="es-ES"/>
              </w:rPr>
              <w:t>?</w:t>
            </w:r>
            <w:r w:rsidR="00AD38F6" w:rsidRPr="00341ED2">
              <w:rPr>
                <w:sz w:val="24"/>
                <w:szCs w:val="24"/>
                <w:lang w:eastAsia="es-ES"/>
              </w:rPr>
              <w:t>»</w:t>
            </w:r>
            <w:r w:rsidR="00AD38F6" w:rsidRPr="00341ED2">
              <w:rPr>
                <w:rStyle w:val="Refdenotaalpie"/>
                <w:sz w:val="24"/>
                <w:szCs w:val="24"/>
                <w:lang w:eastAsia="es-ES"/>
              </w:rPr>
              <w:t xml:space="preserve"> </w:t>
            </w:r>
            <w:r w:rsidR="00AD38F6" w:rsidRPr="00341ED2">
              <w:rPr>
                <w:rStyle w:val="Refdenotaalpie"/>
                <w:sz w:val="24"/>
                <w:szCs w:val="24"/>
                <w:lang w:eastAsia="es-ES"/>
              </w:rPr>
              <w:footnoteReference w:id="102"/>
            </w:r>
            <w:r w:rsidR="00AD38F6" w:rsidRPr="00341ED2">
              <w:rPr>
                <w:sz w:val="24"/>
                <w:szCs w:val="24"/>
                <w:lang w:eastAsia="es-ES"/>
              </w:rPr>
              <w:t>.</w:t>
            </w:r>
          </w:p>
        </w:tc>
      </w:tr>
      <w:tr w:rsidR="00E65ED3" w:rsidRPr="00341ED2" w14:paraId="326E588F" w14:textId="77777777" w:rsidTr="00CF7011">
        <w:tc>
          <w:tcPr>
            <w:tcW w:w="2263" w:type="dxa"/>
          </w:tcPr>
          <w:p w14:paraId="4BA80873" w14:textId="5707C9FE" w:rsidR="00C94C7F" w:rsidRPr="00341ED2" w:rsidRDefault="00070278" w:rsidP="00CF7011">
            <w:pPr>
              <w:pStyle w:val="Prrafodelista"/>
              <w:ind w:left="0" w:right="51"/>
              <w:textAlignment w:val="baseline"/>
              <w:rPr>
                <w:sz w:val="24"/>
                <w:szCs w:val="24"/>
                <w:lang w:val="es-CO" w:eastAsia="es-ES"/>
              </w:rPr>
            </w:pPr>
            <w:r w:rsidRPr="00341ED2">
              <w:rPr>
                <w:sz w:val="24"/>
                <w:szCs w:val="24"/>
                <w:lang w:val="es-CO" w:eastAsia="es-ES"/>
              </w:rPr>
              <w:t xml:space="preserve">Historia clínica de atención en la </w:t>
            </w:r>
            <w:r w:rsidRPr="00341ED2">
              <w:rPr>
                <w:bCs/>
                <w:sz w:val="24"/>
                <w:szCs w:val="24"/>
                <w:lang w:eastAsia="es-ES"/>
              </w:rPr>
              <w:t>Clínica Stella Maris de Salud Mental de Cúcuta</w:t>
            </w:r>
          </w:p>
        </w:tc>
        <w:tc>
          <w:tcPr>
            <w:tcW w:w="1985" w:type="dxa"/>
          </w:tcPr>
          <w:p w14:paraId="0859056A" w14:textId="5E47E349" w:rsidR="00C94C7F" w:rsidRPr="00341ED2" w:rsidRDefault="00070278" w:rsidP="00A30ACB">
            <w:pPr>
              <w:pStyle w:val="Prrafodelista"/>
              <w:ind w:left="0" w:right="51"/>
              <w:jc w:val="center"/>
              <w:textAlignment w:val="baseline"/>
              <w:rPr>
                <w:sz w:val="24"/>
                <w:szCs w:val="24"/>
                <w:lang w:val="es-CO" w:eastAsia="es-ES"/>
              </w:rPr>
            </w:pPr>
            <w:r w:rsidRPr="00341ED2">
              <w:rPr>
                <w:sz w:val="24"/>
                <w:szCs w:val="24"/>
                <w:lang w:val="es-CO" w:eastAsia="es-ES"/>
              </w:rPr>
              <w:t>30 de octubre de 2012</w:t>
            </w:r>
          </w:p>
        </w:tc>
        <w:tc>
          <w:tcPr>
            <w:tcW w:w="4580" w:type="dxa"/>
          </w:tcPr>
          <w:p w14:paraId="5A315A9E" w14:textId="7F348E06" w:rsidR="00C94C7F" w:rsidRPr="00341ED2" w:rsidRDefault="00631A73" w:rsidP="00CF7011">
            <w:pPr>
              <w:pStyle w:val="Prrafodelista"/>
              <w:ind w:left="0" w:right="51"/>
              <w:textAlignment w:val="baseline"/>
              <w:rPr>
                <w:sz w:val="24"/>
                <w:szCs w:val="24"/>
                <w:lang w:eastAsia="es-ES"/>
              </w:rPr>
            </w:pPr>
            <w:r w:rsidRPr="00341ED2">
              <w:rPr>
                <w:sz w:val="24"/>
                <w:szCs w:val="24"/>
                <w:lang w:val="es-CO" w:eastAsia="es-ES"/>
              </w:rPr>
              <w:t>Remitido por el Ejército Nacional a consulta médica por cambios en la conducta</w:t>
            </w:r>
            <w:r w:rsidR="00070278" w:rsidRPr="00341ED2">
              <w:rPr>
                <w:sz w:val="24"/>
                <w:szCs w:val="24"/>
                <w:lang w:val="es-CO" w:eastAsia="es-ES"/>
              </w:rPr>
              <w:t>. En la casilla evolución de la enfermedad se lee: «</w:t>
            </w:r>
            <w:r w:rsidR="00070278" w:rsidRPr="00341ED2">
              <w:rPr>
                <w:sz w:val="24"/>
                <w:szCs w:val="24"/>
              </w:rPr>
              <w:t>S</w:t>
            </w:r>
            <w:r w:rsidR="00070278" w:rsidRPr="00341ED2">
              <w:rPr>
                <w:bCs/>
                <w:sz w:val="24"/>
                <w:szCs w:val="24"/>
                <w:lang w:eastAsia="es-ES"/>
              </w:rPr>
              <w:t xml:space="preserve">oldado Activo. </w:t>
            </w:r>
            <w:r w:rsidR="00070278" w:rsidRPr="00341ED2">
              <w:rPr>
                <w:iCs/>
                <w:sz w:val="24"/>
                <w:szCs w:val="24"/>
              </w:rPr>
              <w:t>Hace 3 meses sufrió trauma craneano tras lo cual presentó rigidez a nivel de manos y dificultad en la articulación de la palabra […] dificultad por burlas en el Batallón, agredió por ello a un compañero». En la casilla de diagnóstico se lee: «</w:t>
            </w:r>
            <w:r w:rsidR="00070278" w:rsidRPr="00341ED2">
              <w:rPr>
                <w:b/>
                <w:bCs/>
                <w:sz w:val="24"/>
                <w:szCs w:val="24"/>
                <w:lang w:eastAsia="es-ES"/>
              </w:rPr>
              <w:t>Trastorno de Estrés Postraumático</w:t>
            </w:r>
            <w:r w:rsidR="00070278" w:rsidRPr="00341ED2">
              <w:rPr>
                <w:sz w:val="24"/>
                <w:szCs w:val="24"/>
                <w:lang w:eastAsia="es-ES"/>
              </w:rPr>
              <w:t>»</w:t>
            </w:r>
            <w:r w:rsidR="00070278" w:rsidRPr="00341ED2">
              <w:rPr>
                <w:rStyle w:val="Refdenotaalpie"/>
                <w:sz w:val="24"/>
                <w:szCs w:val="24"/>
                <w:lang w:eastAsia="es-ES"/>
              </w:rPr>
              <w:footnoteReference w:id="103"/>
            </w:r>
            <w:r w:rsidR="00070278" w:rsidRPr="00341ED2">
              <w:rPr>
                <w:sz w:val="24"/>
                <w:szCs w:val="24"/>
                <w:lang w:eastAsia="es-ES"/>
              </w:rPr>
              <w:t>.</w:t>
            </w:r>
          </w:p>
        </w:tc>
      </w:tr>
      <w:tr w:rsidR="00E65ED3" w:rsidRPr="00341ED2" w14:paraId="76183CBC" w14:textId="77777777" w:rsidTr="00CF7011">
        <w:tc>
          <w:tcPr>
            <w:tcW w:w="2263" w:type="dxa"/>
          </w:tcPr>
          <w:p w14:paraId="4E4834C6" w14:textId="6BDBA678" w:rsidR="00C94C7F" w:rsidRPr="00341ED2" w:rsidRDefault="00070278" w:rsidP="00CF7011">
            <w:pPr>
              <w:pStyle w:val="Prrafodelista"/>
              <w:ind w:left="0" w:right="51"/>
              <w:textAlignment w:val="baseline"/>
              <w:rPr>
                <w:sz w:val="24"/>
                <w:szCs w:val="24"/>
                <w:lang w:val="es-CO" w:eastAsia="es-ES"/>
              </w:rPr>
            </w:pPr>
            <w:r w:rsidRPr="00341ED2">
              <w:rPr>
                <w:sz w:val="24"/>
                <w:szCs w:val="24"/>
                <w:lang w:val="es-CO" w:eastAsia="es-ES"/>
              </w:rPr>
              <w:t xml:space="preserve">Historia clínica de atención en la </w:t>
            </w:r>
            <w:r w:rsidRPr="00341ED2">
              <w:rPr>
                <w:bCs/>
                <w:sz w:val="24"/>
                <w:szCs w:val="24"/>
                <w:lang w:eastAsia="es-ES"/>
              </w:rPr>
              <w:t>Clínica Stella Maris de Salud Mental de Cúcuta</w:t>
            </w:r>
          </w:p>
        </w:tc>
        <w:tc>
          <w:tcPr>
            <w:tcW w:w="1985" w:type="dxa"/>
          </w:tcPr>
          <w:p w14:paraId="431D6D11" w14:textId="48E4DAEA" w:rsidR="00C94C7F" w:rsidRPr="00341ED2" w:rsidRDefault="00070278" w:rsidP="00A30ACB">
            <w:pPr>
              <w:pStyle w:val="Prrafodelista"/>
              <w:ind w:left="0" w:right="51"/>
              <w:jc w:val="center"/>
              <w:textAlignment w:val="baseline"/>
              <w:rPr>
                <w:sz w:val="24"/>
                <w:szCs w:val="24"/>
                <w:lang w:val="es-CO" w:eastAsia="es-ES"/>
              </w:rPr>
            </w:pPr>
            <w:r w:rsidRPr="00341ED2">
              <w:rPr>
                <w:sz w:val="24"/>
                <w:szCs w:val="24"/>
                <w:lang w:val="es-CO" w:eastAsia="es-ES"/>
              </w:rPr>
              <w:t>28 de noviembre de 2012</w:t>
            </w:r>
          </w:p>
        </w:tc>
        <w:tc>
          <w:tcPr>
            <w:tcW w:w="4580" w:type="dxa"/>
          </w:tcPr>
          <w:p w14:paraId="5AEDF68C" w14:textId="560E73AE" w:rsidR="00C94C7F" w:rsidRPr="00341ED2" w:rsidRDefault="00B8162E" w:rsidP="00CF7011">
            <w:pPr>
              <w:pStyle w:val="Prrafodelista"/>
              <w:ind w:left="0" w:right="51"/>
              <w:textAlignment w:val="baseline"/>
              <w:rPr>
                <w:sz w:val="24"/>
                <w:szCs w:val="24"/>
                <w:lang w:val="es-CO" w:eastAsia="es-ES"/>
              </w:rPr>
            </w:pPr>
            <w:r w:rsidRPr="00341ED2">
              <w:rPr>
                <w:sz w:val="24"/>
                <w:szCs w:val="24"/>
                <w:lang w:val="es-CO" w:eastAsia="es-ES"/>
              </w:rPr>
              <w:t xml:space="preserve">Consulta médica con psiquiatra. En la casilla sobre evolución de los síntomas se lee «persiste cefalea e impulsividad». En la casilla de plan de manejo se lee: «se formula </w:t>
            </w:r>
            <w:proofErr w:type="spellStart"/>
            <w:r w:rsidRPr="00341ED2">
              <w:rPr>
                <w:sz w:val="24"/>
                <w:szCs w:val="24"/>
                <w:lang w:val="es-CO" w:eastAsia="es-ES"/>
              </w:rPr>
              <w:t>acido</w:t>
            </w:r>
            <w:proofErr w:type="spellEnd"/>
            <w:r w:rsidRPr="00341ED2">
              <w:rPr>
                <w:sz w:val="24"/>
                <w:szCs w:val="24"/>
                <w:lang w:val="es-CO" w:eastAsia="es-ES"/>
              </w:rPr>
              <w:t xml:space="preserve"> </w:t>
            </w:r>
            <w:proofErr w:type="spellStart"/>
            <w:r w:rsidRPr="00341ED2">
              <w:rPr>
                <w:sz w:val="24"/>
                <w:szCs w:val="24"/>
                <w:lang w:val="es-CO" w:eastAsia="es-ES"/>
              </w:rPr>
              <w:t>valproico</w:t>
            </w:r>
            <w:proofErr w:type="spellEnd"/>
            <w:r w:rsidRPr="00341ED2">
              <w:rPr>
                <w:sz w:val="24"/>
                <w:szCs w:val="24"/>
                <w:lang w:val="es-CO" w:eastAsia="es-ES"/>
              </w:rPr>
              <w:t xml:space="preserve"> 250 mg»</w:t>
            </w:r>
            <w:r w:rsidRPr="00341ED2">
              <w:rPr>
                <w:rStyle w:val="Refdenotaalpie"/>
                <w:sz w:val="24"/>
                <w:szCs w:val="24"/>
              </w:rPr>
              <w:footnoteReference w:id="104"/>
            </w:r>
            <w:r w:rsidRPr="00341ED2">
              <w:rPr>
                <w:sz w:val="24"/>
                <w:szCs w:val="24"/>
                <w:lang w:val="es-CO" w:eastAsia="es-ES"/>
              </w:rPr>
              <w:t>.</w:t>
            </w:r>
            <w:r w:rsidR="00F91FF0" w:rsidRPr="00341ED2">
              <w:rPr>
                <w:sz w:val="24"/>
                <w:szCs w:val="24"/>
                <w:lang w:val="es-CO" w:eastAsia="es-ES"/>
              </w:rPr>
              <w:t xml:space="preserve"> La casilla de diagnóstico está vacía. </w:t>
            </w:r>
          </w:p>
        </w:tc>
      </w:tr>
      <w:tr w:rsidR="00E65ED3" w:rsidRPr="00341ED2" w14:paraId="3C72F6D9" w14:textId="77777777" w:rsidTr="00CF7011">
        <w:tc>
          <w:tcPr>
            <w:tcW w:w="2263" w:type="dxa"/>
          </w:tcPr>
          <w:p w14:paraId="45351E00" w14:textId="433CEFA1" w:rsidR="00C94C7F" w:rsidRPr="00341ED2" w:rsidRDefault="00B8162E" w:rsidP="00CF7011">
            <w:pPr>
              <w:pStyle w:val="Prrafodelista"/>
              <w:ind w:left="0" w:right="51"/>
              <w:textAlignment w:val="baseline"/>
              <w:rPr>
                <w:sz w:val="24"/>
                <w:szCs w:val="24"/>
                <w:lang w:val="es-CO" w:eastAsia="es-ES"/>
              </w:rPr>
            </w:pPr>
            <w:r w:rsidRPr="00341ED2">
              <w:rPr>
                <w:iCs/>
                <w:sz w:val="24"/>
                <w:szCs w:val="24"/>
              </w:rPr>
              <w:t xml:space="preserve">Examen médico de </w:t>
            </w:r>
            <w:r w:rsidRPr="00341ED2">
              <w:rPr>
                <w:sz w:val="24"/>
                <w:szCs w:val="24"/>
              </w:rPr>
              <w:t xml:space="preserve">evacuación </w:t>
            </w:r>
            <w:r w:rsidR="00522D57" w:rsidRPr="00341ED2">
              <w:rPr>
                <w:sz w:val="24"/>
                <w:szCs w:val="24"/>
              </w:rPr>
              <w:t>del Ejército Nacional</w:t>
            </w:r>
          </w:p>
        </w:tc>
        <w:tc>
          <w:tcPr>
            <w:tcW w:w="1985" w:type="dxa"/>
          </w:tcPr>
          <w:p w14:paraId="21CCB414" w14:textId="4DBEE3DE" w:rsidR="00C94C7F" w:rsidRPr="00341ED2" w:rsidRDefault="00842D01" w:rsidP="00A30ACB">
            <w:pPr>
              <w:pStyle w:val="Prrafodelista"/>
              <w:ind w:left="0" w:right="51"/>
              <w:jc w:val="center"/>
              <w:textAlignment w:val="baseline"/>
              <w:rPr>
                <w:sz w:val="24"/>
                <w:szCs w:val="24"/>
                <w:lang w:val="es-CO" w:eastAsia="es-ES"/>
              </w:rPr>
            </w:pPr>
            <w:r w:rsidRPr="00341ED2">
              <w:rPr>
                <w:sz w:val="24"/>
                <w:szCs w:val="24"/>
                <w:lang w:val="es-CO" w:eastAsia="es-ES"/>
              </w:rPr>
              <w:t>30</w:t>
            </w:r>
            <w:r w:rsidR="00522D57" w:rsidRPr="00341ED2">
              <w:rPr>
                <w:sz w:val="24"/>
                <w:szCs w:val="24"/>
                <w:lang w:val="es-CO" w:eastAsia="es-ES"/>
              </w:rPr>
              <w:t xml:space="preserve"> de noviembre de 2012</w:t>
            </w:r>
          </w:p>
        </w:tc>
        <w:tc>
          <w:tcPr>
            <w:tcW w:w="4580" w:type="dxa"/>
          </w:tcPr>
          <w:p w14:paraId="45252115" w14:textId="6124C86F" w:rsidR="00522D57" w:rsidRPr="00341ED2" w:rsidRDefault="00F91FF0" w:rsidP="00CF7011">
            <w:pPr>
              <w:pStyle w:val="Prrafodelista"/>
              <w:ind w:left="0" w:right="51"/>
              <w:textAlignment w:val="baseline"/>
              <w:rPr>
                <w:sz w:val="24"/>
                <w:szCs w:val="24"/>
                <w:lang w:val="es-CO" w:eastAsia="es-ES"/>
              </w:rPr>
            </w:pPr>
            <w:r w:rsidRPr="00341ED2">
              <w:rPr>
                <w:sz w:val="24"/>
                <w:szCs w:val="24"/>
                <w:lang w:val="es-CO" w:eastAsia="es-ES"/>
              </w:rPr>
              <w:t>En la casilla de descripción del diagnóstico se lee: «</w:t>
            </w:r>
            <w:r w:rsidRPr="00341ED2">
              <w:rPr>
                <w:b/>
                <w:bCs/>
                <w:iCs/>
                <w:sz w:val="24"/>
                <w:szCs w:val="24"/>
              </w:rPr>
              <w:t>trastorno de adaptación</w:t>
            </w:r>
            <w:r w:rsidRPr="00341ED2">
              <w:rPr>
                <w:iCs/>
                <w:sz w:val="24"/>
                <w:szCs w:val="24"/>
              </w:rPr>
              <w:t>»</w:t>
            </w:r>
            <w:r w:rsidRPr="00341ED2">
              <w:rPr>
                <w:rStyle w:val="Refdenotaalpie"/>
                <w:iCs/>
                <w:sz w:val="24"/>
                <w:szCs w:val="24"/>
              </w:rPr>
              <w:footnoteReference w:id="105"/>
            </w:r>
            <w:r w:rsidRPr="00341ED2">
              <w:rPr>
                <w:iCs/>
                <w:sz w:val="24"/>
                <w:szCs w:val="24"/>
              </w:rPr>
              <w:t>.</w:t>
            </w:r>
          </w:p>
        </w:tc>
      </w:tr>
      <w:tr w:rsidR="00E65ED3" w:rsidRPr="00341ED2" w14:paraId="41B461D0" w14:textId="77777777" w:rsidTr="00CF7011">
        <w:tc>
          <w:tcPr>
            <w:tcW w:w="2263" w:type="dxa"/>
          </w:tcPr>
          <w:p w14:paraId="0CAD171C" w14:textId="08B3F250" w:rsidR="00522D57" w:rsidRPr="00341ED2" w:rsidRDefault="00F91FF0" w:rsidP="00CF7011">
            <w:pPr>
              <w:pStyle w:val="Prrafodelista"/>
              <w:ind w:left="0" w:right="51"/>
              <w:textAlignment w:val="baseline"/>
              <w:rPr>
                <w:iCs/>
                <w:sz w:val="24"/>
                <w:szCs w:val="24"/>
              </w:rPr>
            </w:pPr>
            <w:r w:rsidRPr="00341ED2">
              <w:rPr>
                <w:sz w:val="24"/>
                <w:szCs w:val="24"/>
                <w:lang w:val="es-CO" w:eastAsia="es-ES"/>
              </w:rPr>
              <w:t xml:space="preserve">Historia clínica de atención en la </w:t>
            </w:r>
            <w:r w:rsidRPr="00341ED2">
              <w:rPr>
                <w:bCs/>
                <w:sz w:val="24"/>
                <w:szCs w:val="24"/>
                <w:lang w:eastAsia="es-ES"/>
              </w:rPr>
              <w:t xml:space="preserve">Clínica Stella Maris de Salud Mental de </w:t>
            </w:r>
            <w:r w:rsidR="001C3157" w:rsidRPr="00341ED2">
              <w:rPr>
                <w:bCs/>
                <w:sz w:val="24"/>
                <w:szCs w:val="24"/>
                <w:lang w:eastAsia="es-ES"/>
              </w:rPr>
              <w:t>Cúcuta</w:t>
            </w:r>
          </w:p>
        </w:tc>
        <w:tc>
          <w:tcPr>
            <w:tcW w:w="1985" w:type="dxa"/>
          </w:tcPr>
          <w:p w14:paraId="675C50AE" w14:textId="04D9B921" w:rsidR="00522D57" w:rsidRPr="00341ED2" w:rsidRDefault="00297D21" w:rsidP="00A30ACB">
            <w:pPr>
              <w:pStyle w:val="Prrafodelista"/>
              <w:ind w:left="0" w:right="51"/>
              <w:jc w:val="center"/>
              <w:textAlignment w:val="baseline"/>
              <w:rPr>
                <w:sz w:val="24"/>
                <w:szCs w:val="24"/>
                <w:lang w:val="es-CO" w:eastAsia="es-ES"/>
              </w:rPr>
            </w:pPr>
            <w:r w:rsidRPr="00341ED2">
              <w:rPr>
                <w:sz w:val="24"/>
                <w:szCs w:val="24"/>
              </w:rPr>
              <w:t xml:space="preserve">28 de </w:t>
            </w:r>
            <w:r w:rsidR="001C3157" w:rsidRPr="00341ED2">
              <w:rPr>
                <w:sz w:val="24"/>
                <w:szCs w:val="24"/>
              </w:rPr>
              <w:t>enero de 2013</w:t>
            </w:r>
          </w:p>
        </w:tc>
        <w:tc>
          <w:tcPr>
            <w:tcW w:w="4580" w:type="dxa"/>
          </w:tcPr>
          <w:p w14:paraId="5B90164D" w14:textId="7D482664" w:rsidR="00297D21" w:rsidRPr="00341ED2" w:rsidRDefault="00EC4982" w:rsidP="00CF7011">
            <w:pPr>
              <w:pStyle w:val="Prrafodelista"/>
              <w:ind w:left="0" w:right="51"/>
              <w:textAlignment w:val="baseline"/>
              <w:rPr>
                <w:sz w:val="24"/>
                <w:szCs w:val="24"/>
                <w:lang w:val="es-CO" w:eastAsia="es-ES"/>
              </w:rPr>
            </w:pPr>
            <w:r w:rsidRPr="00341ED2">
              <w:rPr>
                <w:sz w:val="24"/>
                <w:szCs w:val="24"/>
                <w:lang w:val="es-CO" w:eastAsia="es-ES"/>
              </w:rPr>
              <w:t>En la casilla de evolución de los síntomas se lee:</w:t>
            </w:r>
            <w:r w:rsidR="00297D21" w:rsidRPr="00341ED2">
              <w:rPr>
                <w:sz w:val="24"/>
                <w:szCs w:val="24"/>
                <w:lang w:val="es-CO" w:eastAsia="es-ES"/>
              </w:rPr>
              <w:t xml:space="preserve"> «P</w:t>
            </w:r>
            <w:r w:rsidR="001C3157" w:rsidRPr="00341ED2">
              <w:rPr>
                <w:sz w:val="24"/>
                <w:szCs w:val="24"/>
                <w:lang w:val="es-CO" w:eastAsia="es-ES"/>
              </w:rPr>
              <w:t>erdió cita de diciembre. P</w:t>
            </w:r>
            <w:r w:rsidR="00297D21" w:rsidRPr="00341ED2">
              <w:rPr>
                <w:sz w:val="24"/>
                <w:szCs w:val="24"/>
                <w:lang w:val="es-CO" w:eastAsia="es-ES"/>
              </w:rPr>
              <w:t>ersiste cefalea e impulsividad</w:t>
            </w:r>
            <w:r w:rsidR="001C3157" w:rsidRPr="00341ED2">
              <w:rPr>
                <w:sz w:val="24"/>
                <w:szCs w:val="24"/>
                <w:lang w:val="es-CO" w:eastAsia="es-ES"/>
              </w:rPr>
              <w:t>, no recibe medicación actual. Mantiene tranquilo y compensado, sin otras alteraciones</w:t>
            </w:r>
            <w:r w:rsidR="00297D21" w:rsidRPr="00341ED2">
              <w:rPr>
                <w:sz w:val="24"/>
                <w:szCs w:val="24"/>
                <w:lang w:val="es-CO" w:eastAsia="es-ES"/>
              </w:rPr>
              <w:t>»</w:t>
            </w:r>
            <w:r w:rsidR="000F7EE2" w:rsidRPr="00341ED2">
              <w:rPr>
                <w:rStyle w:val="Refdenotaalpie"/>
                <w:sz w:val="24"/>
                <w:szCs w:val="24"/>
              </w:rPr>
              <w:footnoteReference w:id="106"/>
            </w:r>
            <w:r w:rsidR="001C3157" w:rsidRPr="00341ED2">
              <w:rPr>
                <w:sz w:val="24"/>
                <w:szCs w:val="24"/>
                <w:lang w:val="es-CO" w:eastAsia="es-ES"/>
              </w:rPr>
              <w:t>.</w:t>
            </w:r>
            <w:r w:rsidRPr="00341ED2">
              <w:rPr>
                <w:sz w:val="24"/>
                <w:szCs w:val="24"/>
              </w:rPr>
              <w:t xml:space="preserve"> L</w:t>
            </w:r>
            <w:r w:rsidR="000F7EE2" w:rsidRPr="00341ED2">
              <w:rPr>
                <w:sz w:val="24"/>
                <w:szCs w:val="24"/>
                <w:lang w:val="es-CO" w:eastAsia="es-ES"/>
              </w:rPr>
              <w:t>a casilla de diagnóstico está vacía</w:t>
            </w:r>
            <w:r w:rsidR="001C3157" w:rsidRPr="00341ED2">
              <w:rPr>
                <w:sz w:val="24"/>
                <w:szCs w:val="24"/>
                <w:lang w:val="es-CO" w:eastAsia="es-ES"/>
              </w:rPr>
              <w:t>.</w:t>
            </w:r>
          </w:p>
        </w:tc>
      </w:tr>
      <w:tr w:rsidR="001C3157" w:rsidRPr="00341ED2" w14:paraId="2BC6F4B1" w14:textId="77777777" w:rsidTr="00CF7011">
        <w:tc>
          <w:tcPr>
            <w:tcW w:w="2263" w:type="dxa"/>
          </w:tcPr>
          <w:p w14:paraId="70DE74F6" w14:textId="17D90FAD" w:rsidR="001C3157" w:rsidRPr="00341ED2" w:rsidRDefault="001C3157" w:rsidP="00CF7011">
            <w:pPr>
              <w:pStyle w:val="Prrafodelista"/>
              <w:ind w:left="0" w:right="51"/>
              <w:textAlignment w:val="baseline"/>
              <w:rPr>
                <w:sz w:val="24"/>
                <w:szCs w:val="24"/>
                <w:lang w:val="es-CO" w:eastAsia="es-ES"/>
              </w:rPr>
            </w:pPr>
            <w:r w:rsidRPr="00341ED2">
              <w:rPr>
                <w:sz w:val="24"/>
                <w:szCs w:val="24"/>
                <w:lang w:val="es-CO" w:eastAsia="es-ES"/>
              </w:rPr>
              <w:t xml:space="preserve">Historia clínica de atención en la </w:t>
            </w:r>
            <w:r w:rsidRPr="00341ED2">
              <w:rPr>
                <w:bCs/>
                <w:sz w:val="24"/>
                <w:szCs w:val="24"/>
                <w:lang w:eastAsia="es-ES"/>
              </w:rPr>
              <w:t>Clínica Stella Maris de Salud Mental de Cúcuta</w:t>
            </w:r>
          </w:p>
        </w:tc>
        <w:tc>
          <w:tcPr>
            <w:tcW w:w="1985" w:type="dxa"/>
          </w:tcPr>
          <w:p w14:paraId="213A0578" w14:textId="69C40FC7" w:rsidR="001C3157" w:rsidRPr="00341ED2" w:rsidRDefault="001C3157" w:rsidP="00A30ACB">
            <w:pPr>
              <w:pStyle w:val="Prrafodelista"/>
              <w:ind w:left="0" w:right="51"/>
              <w:jc w:val="center"/>
              <w:textAlignment w:val="baseline"/>
              <w:rPr>
                <w:sz w:val="24"/>
                <w:szCs w:val="24"/>
              </w:rPr>
            </w:pPr>
            <w:r w:rsidRPr="00341ED2">
              <w:rPr>
                <w:sz w:val="24"/>
                <w:szCs w:val="24"/>
              </w:rPr>
              <w:t>18 de marzo de 2013</w:t>
            </w:r>
          </w:p>
        </w:tc>
        <w:tc>
          <w:tcPr>
            <w:tcW w:w="4580" w:type="dxa"/>
          </w:tcPr>
          <w:p w14:paraId="49F08910" w14:textId="12DDDBA5" w:rsidR="001C3157" w:rsidRPr="00341ED2" w:rsidRDefault="001C3157" w:rsidP="00CF7011">
            <w:pPr>
              <w:pStyle w:val="Prrafodelista"/>
              <w:ind w:left="0" w:right="51"/>
              <w:textAlignment w:val="baseline"/>
              <w:rPr>
                <w:sz w:val="24"/>
                <w:szCs w:val="24"/>
                <w:lang w:val="es-CO" w:eastAsia="es-ES"/>
              </w:rPr>
            </w:pPr>
            <w:r w:rsidRPr="00341ED2">
              <w:rPr>
                <w:sz w:val="24"/>
                <w:szCs w:val="24"/>
                <w:lang w:val="es-CO" w:eastAsia="es-ES"/>
              </w:rPr>
              <w:t>En la casilla de evolución de los síntomas se lee: «</w:t>
            </w:r>
            <w:r w:rsidR="00C36880" w:rsidRPr="00341ED2">
              <w:rPr>
                <w:sz w:val="24"/>
                <w:szCs w:val="24"/>
                <w:lang w:val="es-CO" w:eastAsia="es-ES"/>
              </w:rPr>
              <w:t>Manifiesta sentirse bien mientras recibe medicación, cuando se le acaban las medicinas siente recaída en cefalea, ha padecido insomnio. Algo intranquilo y ansiosos, algo irritable»</w:t>
            </w:r>
            <w:r w:rsidR="00C36880" w:rsidRPr="00341ED2">
              <w:rPr>
                <w:rStyle w:val="Refdenotaalpie"/>
                <w:sz w:val="24"/>
                <w:szCs w:val="24"/>
                <w:lang w:val="es-CO" w:eastAsia="es-ES"/>
              </w:rPr>
              <w:footnoteReference w:id="107"/>
            </w:r>
            <w:r w:rsidR="00C36880" w:rsidRPr="00341ED2">
              <w:rPr>
                <w:sz w:val="24"/>
                <w:szCs w:val="24"/>
                <w:lang w:val="es-CO" w:eastAsia="es-ES"/>
              </w:rPr>
              <w:t xml:space="preserve">. </w:t>
            </w:r>
            <w:r w:rsidRPr="00341ED2">
              <w:rPr>
                <w:sz w:val="24"/>
                <w:szCs w:val="24"/>
              </w:rPr>
              <w:t>L</w:t>
            </w:r>
            <w:r w:rsidRPr="00341ED2">
              <w:rPr>
                <w:sz w:val="24"/>
                <w:szCs w:val="24"/>
                <w:lang w:val="es-CO" w:eastAsia="es-ES"/>
              </w:rPr>
              <w:t>a casilla de diagnóstico está vacía.</w:t>
            </w:r>
          </w:p>
        </w:tc>
      </w:tr>
      <w:tr w:rsidR="00E65ED3" w:rsidRPr="00341ED2" w14:paraId="31ED52A3" w14:textId="77777777" w:rsidTr="00CF7011">
        <w:tc>
          <w:tcPr>
            <w:tcW w:w="2263" w:type="dxa"/>
          </w:tcPr>
          <w:p w14:paraId="362EE34F" w14:textId="7D3B1A70" w:rsidR="001C3157" w:rsidRPr="00341ED2" w:rsidRDefault="001C3157" w:rsidP="00CF7011">
            <w:pPr>
              <w:pStyle w:val="Prrafodelista"/>
              <w:ind w:left="0" w:right="51"/>
              <w:textAlignment w:val="baseline"/>
              <w:rPr>
                <w:sz w:val="24"/>
                <w:szCs w:val="24"/>
                <w:lang w:val="es-CO" w:eastAsia="es-ES"/>
              </w:rPr>
            </w:pPr>
            <w:r w:rsidRPr="00341ED2">
              <w:rPr>
                <w:sz w:val="24"/>
                <w:szCs w:val="24"/>
                <w:lang w:val="es-CO" w:eastAsia="es-ES"/>
              </w:rPr>
              <w:t xml:space="preserve">Historia clínica de atención en la </w:t>
            </w:r>
            <w:r w:rsidRPr="00341ED2">
              <w:rPr>
                <w:bCs/>
                <w:sz w:val="24"/>
                <w:szCs w:val="24"/>
                <w:lang w:eastAsia="es-ES"/>
              </w:rPr>
              <w:t>Clínica Stella Maris de Salud Mental de Cúcuta</w:t>
            </w:r>
          </w:p>
        </w:tc>
        <w:tc>
          <w:tcPr>
            <w:tcW w:w="1985" w:type="dxa"/>
          </w:tcPr>
          <w:p w14:paraId="3FD32F7B" w14:textId="7C569B9A" w:rsidR="001C3157" w:rsidRPr="00341ED2" w:rsidRDefault="001C3157" w:rsidP="00A30ACB">
            <w:pPr>
              <w:pStyle w:val="Prrafodelista"/>
              <w:ind w:left="0" w:right="51"/>
              <w:jc w:val="center"/>
              <w:textAlignment w:val="baseline"/>
              <w:rPr>
                <w:sz w:val="24"/>
                <w:szCs w:val="24"/>
              </w:rPr>
            </w:pPr>
            <w:r w:rsidRPr="00341ED2">
              <w:rPr>
                <w:sz w:val="24"/>
                <w:szCs w:val="24"/>
              </w:rPr>
              <w:t>15 de abril de 2013</w:t>
            </w:r>
          </w:p>
        </w:tc>
        <w:tc>
          <w:tcPr>
            <w:tcW w:w="4580" w:type="dxa"/>
          </w:tcPr>
          <w:p w14:paraId="23D15D19" w14:textId="661BA8D7" w:rsidR="001C3157" w:rsidRPr="00341ED2" w:rsidRDefault="001C3157" w:rsidP="00CF7011">
            <w:pPr>
              <w:pStyle w:val="Prrafodelista"/>
              <w:ind w:left="0" w:right="51"/>
              <w:textAlignment w:val="baseline"/>
              <w:rPr>
                <w:sz w:val="24"/>
                <w:szCs w:val="24"/>
                <w:lang w:eastAsia="es-ES"/>
              </w:rPr>
            </w:pPr>
            <w:r w:rsidRPr="00341ED2">
              <w:rPr>
                <w:sz w:val="24"/>
                <w:szCs w:val="24"/>
                <w:lang w:val="es-CO" w:eastAsia="es-ES"/>
              </w:rPr>
              <w:t>En la casilla de evolución de los síntomas se lee: «</w:t>
            </w:r>
            <w:r w:rsidR="00C36880" w:rsidRPr="00341ED2">
              <w:rPr>
                <w:sz w:val="24"/>
                <w:szCs w:val="24"/>
                <w:lang w:val="es-CO" w:eastAsia="es-ES"/>
              </w:rPr>
              <w:t>Refiere mejoría en su estado anímico sin otros cambios importantes. Tranquilo y estable</w:t>
            </w:r>
            <w:r w:rsidRPr="00341ED2">
              <w:rPr>
                <w:sz w:val="24"/>
                <w:szCs w:val="24"/>
                <w:lang w:val="es-CO" w:eastAsia="es-ES"/>
              </w:rPr>
              <w:t xml:space="preserve">». </w:t>
            </w:r>
            <w:r w:rsidRPr="00341ED2">
              <w:rPr>
                <w:sz w:val="24"/>
                <w:szCs w:val="24"/>
                <w:lang w:eastAsia="es-ES"/>
              </w:rPr>
              <w:t>E</w:t>
            </w:r>
            <w:r w:rsidRPr="00341ED2">
              <w:rPr>
                <w:sz w:val="24"/>
                <w:szCs w:val="24"/>
              </w:rPr>
              <w:t xml:space="preserve">l psiquiatra </w:t>
            </w:r>
            <w:r w:rsidR="00C36880" w:rsidRPr="00341ED2">
              <w:rPr>
                <w:sz w:val="24"/>
                <w:szCs w:val="24"/>
              </w:rPr>
              <w:t xml:space="preserve">le </w:t>
            </w:r>
            <w:r w:rsidRPr="00341ED2">
              <w:rPr>
                <w:sz w:val="24"/>
                <w:szCs w:val="24"/>
              </w:rPr>
              <w:t>recomienda al paciente «acudir a terapia ocupacional para iniciar su reincorporación social»</w:t>
            </w:r>
            <w:r w:rsidRPr="00341ED2">
              <w:rPr>
                <w:rStyle w:val="Refdenotaalpie"/>
                <w:sz w:val="24"/>
                <w:szCs w:val="24"/>
              </w:rPr>
              <w:footnoteReference w:id="108"/>
            </w:r>
            <w:r w:rsidRPr="00341ED2">
              <w:rPr>
                <w:sz w:val="24"/>
                <w:szCs w:val="24"/>
              </w:rPr>
              <w:t>.</w:t>
            </w:r>
            <w:r w:rsidR="00C36880" w:rsidRPr="00341ED2">
              <w:rPr>
                <w:sz w:val="24"/>
                <w:szCs w:val="24"/>
              </w:rPr>
              <w:t xml:space="preserve"> L</w:t>
            </w:r>
            <w:r w:rsidR="00C36880" w:rsidRPr="00341ED2">
              <w:rPr>
                <w:sz w:val="24"/>
                <w:szCs w:val="24"/>
                <w:lang w:val="es-CO" w:eastAsia="es-ES"/>
              </w:rPr>
              <w:t>a casilla de diagnóstico está vacía.</w:t>
            </w:r>
          </w:p>
        </w:tc>
      </w:tr>
      <w:tr w:rsidR="001C3157" w:rsidRPr="00341ED2" w14:paraId="7818BDE9" w14:textId="77777777" w:rsidTr="00CF7011">
        <w:tc>
          <w:tcPr>
            <w:tcW w:w="2263" w:type="dxa"/>
          </w:tcPr>
          <w:p w14:paraId="7706094A" w14:textId="5F723C89" w:rsidR="001C3157" w:rsidRPr="00341ED2" w:rsidRDefault="001C3157" w:rsidP="00CF7011">
            <w:pPr>
              <w:pStyle w:val="Prrafodelista"/>
              <w:ind w:left="0" w:right="51"/>
              <w:textAlignment w:val="baseline"/>
              <w:rPr>
                <w:sz w:val="24"/>
                <w:szCs w:val="24"/>
                <w:lang w:val="es-CO" w:eastAsia="es-ES"/>
              </w:rPr>
            </w:pPr>
            <w:r w:rsidRPr="00341ED2">
              <w:rPr>
                <w:sz w:val="24"/>
                <w:szCs w:val="24"/>
                <w:lang w:val="es-CO" w:eastAsia="es-ES"/>
              </w:rPr>
              <w:t xml:space="preserve">Historia clínica de atención en la </w:t>
            </w:r>
            <w:r w:rsidRPr="00341ED2">
              <w:rPr>
                <w:bCs/>
                <w:sz w:val="24"/>
                <w:szCs w:val="24"/>
                <w:lang w:eastAsia="es-ES"/>
              </w:rPr>
              <w:t>Clínica Stella Maris de Salud Mental de Cúcuta</w:t>
            </w:r>
          </w:p>
        </w:tc>
        <w:tc>
          <w:tcPr>
            <w:tcW w:w="1985" w:type="dxa"/>
          </w:tcPr>
          <w:p w14:paraId="3D9F44DC" w14:textId="5B9B35AB" w:rsidR="001C3157" w:rsidRPr="00341ED2" w:rsidRDefault="001C3157" w:rsidP="00A30ACB">
            <w:pPr>
              <w:pStyle w:val="Prrafodelista"/>
              <w:ind w:left="0" w:right="51"/>
              <w:jc w:val="center"/>
              <w:textAlignment w:val="baseline"/>
              <w:rPr>
                <w:sz w:val="24"/>
                <w:szCs w:val="24"/>
              </w:rPr>
            </w:pPr>
            <w:r w:rsidRPr="00341ED2">
              <w:rPr>
                <w:sz w:val="24"/>
                <w:szCs w:val="24"/>
              </w:rPr>
              <w:t>4 de octubre de 2013</w:t>
            </w:r>
          </w:p>
        </w:tc>
        <w:tc>
          <w:tcPr>
            <w:tcW w:w="4580" w:type="dxa"/>
          </w:tcPr>
          <w:p w14:paraId="222171D5" w14:textId="709934A8" w:rsidR="001C3157" w:rsidRPr="00341ED2" w:rsidRDefault="001C3157" w:rsidP="00CF7011">
            <w:pPr>
              <w:pStyle w:val="Prrafodelista"/>
              <w:ind w:left="0" w:right="51"/>
              <w:textAlignment w:val="baseline"/>
              <w:rPr>
                <w:sz w:val="24"/>
                <w:szCs w:val="24"/>
                <w:lang w:val="es-CO" w:eastAsia="es-ES"/>
              </w:rPr>
            </w:pPr>
            <w:r w:rsidRPr="00341ED2">
              <w:rPr>
                <w:sz w:val="24"/>
                <w:szCs w:val="24"/>
                <w:lang w:val="es-CO" w:eastAsia="es-ES"/>
              </w:rPr>
              <w:t>En las casillas de evolución de los síntomas se lee: «</w:t>
            </w:r>
            <w:r w:rsidR="00C36880" w:rsidRPr="00341ED2">
              <w:rPr>
                <w:sz w:val="24"/>
                <w:szCs w:val="24"/>
                <w:lang w:val="es-CO" w:eastAsia="es-ES"/>
              </w:rPr>
              <w:t>No había vuelto por haberle descontinuado el servicio por parte del Batallón</w:t>
            </w:r>
            <w:r w:rsidR="00842D01" w:rsidRPr="00341ED2">
              <w:rPr>
                <w:sz w:val="24"/>
                <w:szCs w:val="24"/>
                <w:lang w:val="es-CO" w:eastAsia="es-ES"/>
              </w:rPr>
              <w:t xml:space="preserve">. </w:t>
            </w:r>
            <w:r w:rsidRPr="00341ED2">
              <w:rPr>
                <w:sz w:val="24"/>
                <w:szCs w:val="24"/>
                <w:lang w:val="es-CO" w:eastAsia="es-ES"/>
              </w:rPr>
              <w:t>Se queja de insomnio y cefalea, algo intranquilo</w:t>
            </w:r>
            <w:r w:rsidR="00842D01" w:rsidRPr="00341ED2">
              <w:rPr>
                <w:sz w:val="24"/>
                <w:szCs w:val="24"/>
                <w:lang w:val="es-CO" w:eastAsia="es-ES"/>
              </w:rPr>
              <w:t>. Plan de manejo: se ajusta formulación</w:t>
            </w:r>
            <w:r w:rsidRPr="00341ED2">
              <w:rPr>
                <w:sz w:val="24"/>
                <w:szCs w:val="24"/>
                <w:lang w:val="es-CO" w:eastAsia="es-ES"/>
              </w:rPr>
              <w:t>»</w:t>
            </w:r>
            <w:r w:rsidR="00842D01" w:rsidRPr="00341ED2">
              <w:rPr>
                <w:rStyle w:val="Refdenotaalpie"/>
                <w:sz w:val="24"/>
                <w:szCs w:val="24"/>
                <w:lang w:val="es-CO" w:eastAsia="es-ES"/>
              </w:rPr>
              <w:footnoteReference w:id="109"/>
            </w:r>
            <w:r w:rsidRPr="00341ED2">
              <w:rPr>
                <w:sz w:val="24"/>
                <w:szCs w:val="24"/>
                <w:lang w:val="es-CO" w:eastAsia="es-ES"/>
              </w:rPr>
              <w:t>.</w:t>
            </w:r>
            <w:r w:rsidR="00842D01" w:rsidRPr="00341ED2">
              <w:rPr>
                <w:sz w:val="24"/>
                <w:szCs w:val="24"/>
              </w:rPr>
              <w:t xml:space="preserve"> L</w:t>
            </w:r>
            <w:r w:rsidR="00842D01" w:rsidRPr="00341ED2">
              <w:rPr>
                <w:sz w:val="24"/>
                <w:szCs w:val="24"/>
                <w:lang w:val="es-CO" w:eastAsia="es-ES"/>
              </w:rPr>
              <w:t>a casilla de diagnóstico está vacía.</w:t>
            </w:r>
          </w:p>
        </w:tc>
      </w:tr>
      <w:tr w:rsidR="00E65ED3" w:rsidRPr="00341ED2" w14:paraId="31E959AE" w14:textId="77777777" w:rsidTr="00CF7011">
        <w:tc>
          <w:tcPr>
            <w:tcW w:w="2263" w:type="dxa"/>
          </w:tcPr>
          <w:p w14:paraId="7978DD7E" w14:textId="556F5D92" w:rsidR="00522D57" w:rsidRPr="00341ED2" w:rsidRDefault="00A30ACB" w:rsidP="00A30ACB">
            <w:pPr>
              <w:rPr>
                <w:sz w:val="24"/>
                <w:szCs w:val="24"/>
              </w:rPr>
            </w:pPr>
            <w:r w:rsidRPr="00341ED2">
              <w:rPr>
                <w:sz w:val="24"/>
                <w:szCs w:val="24"/>
              </w:rPr>
              <w:t>Acta de Junta Médica Laboral del Ejército Nacional No. 91458</w:t>
            </w:r>
          </w:p>
        </w:tc>
        <w:tc>
          <w:tcPr>
            <w:tcW w:w="1985" w:type="dxa"/>
          </w:tcPr>
          <w:p w14:paraId="2CD62941" w14:textId="3FA7AF5D" w:rsidR="00522D57" w:rsidRPr="00341ED2" w:rsidRDefault="00A30ACB" w:rsidP="00A30ACB">
            <w:pPr>
              <w:pStyle w:val="Prrafodelista"/>
              <w:ind w:left="0" w:right="51"/>
              <w:jc w:val="center"/>
              <w:textAlignment w:val="baseline"/>
              <w:rPr>
                <w:sz w:val="24"/>
                <w:szCs w:val="24"/>
                <w:lang w:eastAsia="es-ES"/>
              </w:rPr>
            </w:pPr>
            <w:r w:rsidRPr="00341ED2">
              <w:rPr>
                <w:sz w:val="24"/>
                <w:szCs w:val="24"/>
                <w:lang w:eastAsia="es-ES"/>
              </w:rPr>
              <w:t>21 de noviembre de 2016</w:t>
            </w:r>
          </w:p>
        </w:tc>
        <w:tc>
          <w:tcPr>
            <w:tcW w:w="4580" w:type="dxa"/>
          </w:tcPr>
          <w:p w14:paraId="2EF96D78" w14:textId="7BF14571" w:rsidR="00A30ACB" w:rsidRPr="00341ED2" w:rsidRDefault="006963B6" w:rsidP="00CF7011">
            <w:pPr>
              <w:pStyle w:val="Prrafodelista"/>
              <w:ind w:left="0" w:right="51"/>
              <w:textAlignment w:val="baseline"/>
              <w:rPr>
                <w:sz w:val="24"/>
                <w:szCs w:val="24"/>
                <w:lang w:val="es-CO" w:eastAsia="es-ES"/>
              </w:rPr>
            </w:pPr>
            <w:r w:rsidRPr="00341ED2">
              <w:rPr>
                <w:sz w:val="24"/>
                <w:szCs w:val="24"/>
                <w:lang w:val="es-CO" w:eastAsia="es-ES"/>
              </w:rPr>
              <w:t>Después de resumir los conceptos de neuropsicología, neurología y psiquiatría, e</w:t>
            </w:r>
            <w:r w:rsidR="00A30ACB" w:rsidRPr="00341ED2">
              <w:rPr>
                <w:sz w:val="24"/>
                <w:szCs w:val="24"/>
                <w:lang w:val="es-CO" w:eastAsia="es-ES"/>
              </w:rPr>
              <w:t>n la casilla de diagnóstico positivo de las lesiones o afecciones se lee: «</w:t>
            </w:r>
            <w:r w:rsidR="00A30ACB" w:rsidRPr="00341ED2">
              <w:rPr>
                <w:rFonts w:eastAsiaTheme="minorHAnsi"/>
                <w:b/>
                <w:bCs/>
                <w:sz w:val="24"/>
                <w:szCs w:val="24"/>
              </w:rPr>
              <w:t>trauma craneoencefálico que deja como secuela síndrome mental orgánico</w:t>
            </w:r>
            <w:r w:rsidR="00A30ACB" w:rsidRPr="00341ED2">
              <w:rPr>
                <w:rFonts w:eastAsiaTheme="minorHAnsi"/>
                <w:sz w:val="24"/>
                <w:szCs w:val="24"/>
              </w:rPr>
              <w:t xml:space="preserve"> </w:t>
            </w:r>
            <w:r w:rsidR="00A30ACB" w:rsidRPr="00341ED2">
              <w:rPr>
                <w:rFonts w:eastAsiaTheme="minorHAnsi"/>
                <w:b/>
                <w:bCs/>
                <w:sz w:val="24"/>
                <w:szCs w:val="24"/>
              </w:rPr>
              <w:t xml:space="preserve">(trastorno </w:t>
            </w:r>
            <w:proofErr w:type="spellStart"/>
            <w:r w:rsidR="00A30ACB" w:rsidRPr="00341ED2">
              <w:rPr>
                <w:rFonts w:eastAsiaTheme="minorHAnsi"/>
                <w:b/>
                <w:bCs/>
                <w:sz w:val="24"/>
                <w:szCs w:val="24"/>
              </w:rPr>
              <w:t>neurocognitivo</w:t>
            </w:r>
            <w:proofErr w:type="spellEnd"/>
            <w:r w:rsidR="00A30ACB" w:rsidRPr="00341ED2">
              <w:rPr>
                <w:rFonts w:eastAsiaTheme="minorHAnsi"/>
                <w:b/>
                <w:bCs/>
                <w:sz w:val="24"/>
                <w:szCs w:val="24"/>
              </w:rPr>
              <w:t>, amnesia parcial, cefalea y trastorno del comportamiento secundario a lesión cerebral)</w:t>
            </w:r>
            <w:r w:rsidR="00A30ACB" w:rsidRPr="00341ED2">
              <w:rPr>
                <w:rFonts w:eastAsiaTheme="minorHAnsi"/>
                <w:sz w:val="24"/>
                <w:szCs w:val="24"/>
              </w:rPr>
              <w:t>»</w:t>
            </w:r>
            <w:r w:rsidR="00A30ACB" w:rsidRPr="00341ED2">
              <w:rPr>
                <w:rStyle w:val="Refdenotaalpie"/>
                <w:rFonts w:eastAsiaTheme="minorHAnsi"/>
                <w:sz w:val="24"/>
                <w:szCs w:val="24"/>
              </w:rPr>
              <w:footnoteReference w:id="110"/>
            </w:r>
          </w:p>
        </w:tc>
      </w:tr>
      <w:tr w:rsidR="00E65ED3" w:rsidRPr="00341ED2" w14:paraId="57A99BFE" w14:textId="77777777" w:rsidTr="00CF7011">
        <w:tc>
          <w:tcPr>
            <w:tcW w:w="2263" w:type="dxa"/>
          </w:tcPr>
          <w:p w14:paraId="2174C2F8" w14:textId="73D39DB2" w:rsidR="00C94C7F" w:rsidRPr="00341ED2" w:rsidRDefault="001A0F89" w:rsidP="00CF7011">
            <w:pPr>
              <w:pStyle w:val="Prrafodelista"/>
              <w:ind w:left="0" w:right="51"/>
              <w:textAlignment w:val="baseline"/>
              <w:rPr>
                <w:sz w:val="24"/>
                <w:szCs w:val="24"/>
                <w:lang w:val="es-CO" w:eastAsia="es-ES"/>
              </w:rPr>
            </w:pPr>
            <w:r w:rsidRPr="00341ED2">
              <w:rPr>
                <w:sz w:val="24"/>
                <w:szCs w:val="24"/>
              </w:rPr>
              <w:t>Peritaje psiquiátrico forense elaborado por el médico psiquiatra Manuel Serrano Trillos de Clínica Stella Maris</w:t>
            </w:r>
          </w:p>
        </w:tc>
        <w:tc>
          <w:tcPr>
            <w:tcW w:w="1985" w:type="dxa"/>
          </w:tcPr>
          <w:p w14:paraId="1768594C" w14:textId="30010F4B" w:rsidR="00C94C7F" w:rsidRPr="00341ED2" w:rsidRDefault="001A0F89" w:rsidP="001A0F89">
            <w:pPr>
              <w:pStyle w:val="Prrafodelista"/>
              <w:ind w:left="0" w:right="51"/>
              <w:jc w:val="center"/>
              <w:textAlignment w:val="baseline"/>
              <w:rPr>
                <w:sz w:val="24"/>
                <w:szCs w:val="24"/>
                <w:lang w:val="es-CO" w:eastAsia="es-ES"/>
              </w:rPr>
            </w:pPr>
            <w:r w:rsidRPr="00341ED2">
              <w:rPr>
                <w:sz w:val="24"/>
                <w:szCs w:val="24"/>
                <w:lang w:val="es-CO" w:eastAsia="es-ES"/>
              </w:rPr>
              <w:t>7 de mayo de 2019</w:t>
            </w:r>
          </w:p>
        </w:tc>
        <w:tc>
          <w:tcPr>
            <w:tcW w:w="4580" w:type="dxa"/>
          </w:tcPr>
          <w:p w14:paraId="19366ABD" w14:textId="1B657FE2" w:rsidR="001A0F89" w:rsidRPr="00341ED2" w:rsidRDefault="001A0F89" w:rsidP="001A0F89">
            <w:pPr>
              <w:pStyle w:val="Prrafodelista"/>
              <w:ind w:left="0" w:right="51"/>
              <w:textAlignment w:val="baseline"/>
              <w:rPr>
                <w:sz w:val="24"/>
                <w:szCs w:val="24"/>
                <w:lang w:val="es-CO" w:eastAsia="es-ES"/>
              </w:rPr>
            </w:pPr>
            <w:r w:rsidRPr="00341ED2">
              <w:rPr>
                <w:sz w:val="24"/>
                <w:szCs w:val="24"/>
                <w:lang w:val="es-CO" w:eastAsia="es-ES"/>
              </w:rPr>
              <w:t>En la casilla del diagnóstico se lee: «</w:t>
            </w:r>
            <w:r w:rsidRPr="00341ED2">
              <w:rPr>
                <w:b/>
                <w:bCs/>
                <w:sz w:val="24"/>
                <w:szCs w:val="24"/>
                <w:lang w:val="es-CO" w:eastAsia="es-ES"/>
              </w:rPr>
              <w:t>Trastorno Cognitivo moderado a severo […] Secuelas politraumatismo</w:t>
            </w:r>
            <w:r w:rsidRPr="00341ED2">
              <w:rPr>
                <w:sz w:val="24"/>
                <w:szCs w:val="24"/>
                <w:lang w:val="es-CO" w:eastAsia="es-ES"/>
              </w:rPr>
              <w:t>»</w:t>
            </w:r>
            <w:r w:rsidR="000A1F73" w:rsidRPr="00341ED2">
              <w:rPr>
                <w:rStyle w:val="Refdenotaalpie"/>
                <w:sz w:val="24"/>
                <w:szCs w:val="24"/>
                <w:lang w:val="es-CO" w:eastAsia="es-ES"/>
              </w:rPr>
              <w:footnoteReference w:id="111"/>
            </w:r>
            <w:r w:rsidRPr="00341ED2">
              <w:rPr>
                <w:sz w:val="24"/>
                <w:szCs w:val="24"/>
                <w:lang w:val="es-CO" w:eastAsia="es-ES"/>
              </w:rPr>
              <w:t>.</w:t>
            </w:r>
          </w:p>
        </w:tc>
      </w:tr>
      <w:tr w:rsidR="00E65ED3" w:rsidRPr="00341ED2" w14:paraId="21E1790F" w14:textId="77777777" w:rsidTr="00CF7011">
        <w:tc>
          <w:tcPr>
            <w:tcW w:w="2263" w:type="dxa"/>
          </w:tcPr>
          <w:p w14:paraId="20D2361E" w14:textId="71B1AF65" w:rsidR="00C94C7F" w:rsidRPr="00341ED2" w:rsidRDefault="000A1F73" w:rsidP="000A1F73">
            <w:pPr>
              <w:pStyle w:val="Prrafodelista"/>
              <w:ind w:left="0" w:right="51"/>
              <w:textAlignment w:val="baseline"/>
              <w:rPr>
                <w:sz w:val="24"/>
                <w:szCs w:val="24"/>
                <w:lang w:val="es-CO" w:eastAsia="es-ES"/>
              </w:rPr>
            </w:pPr>
            <w:r w:rsidRPr="00341ED2">
              <w:rPr>
                <w:sz w:val="24"/>
                <w:szCs w:val="24"/>
                <w:lang w:val="es-CO" w:eastAsia="es-ES"/>
              </w:rPr>
              <w:t xml:space="preserve">Dictamen de Pérdida de Capacidad Laboral elaborado por la </w:t>
            </w:r>
            <w:r w:rsidRPr="00341ED2">
              <w:rPr>
                <w:rFonts w:eastAsiaTheme="minorHAnsi"/>
                <w:sz w:val="24"/>
                <w:szCs w:val="24"/>
              </w:rPr>
              <w:t>Junta Regional de Calificación de Invalidez de Norte de Santander</w:t>
            </w:r>
          </w:p>
        </w:tc>
        <w:tc>
          <w:tcPr>
            <w:tcW w:w="1985" w:type="dxa"/>
          </w:tcPr>
          <w:p w14:paraId="3B72E461" w14:textId="6B02D0A3" w:rsidR="00C94C7F" w:rsidRPr="00341ED2" w:rsidRDefault="000A1F73" w:rsidP="000A1F73">
            <w:pPr>
              <w:pStyle w:val="Prrafodelista"/>
              <w:ind w:left="0" w:right="51"/>
              <w:jc w:val="center"/>
              <w:textAlignment w:val="baseline"/>
              <w:rPr>
                <w:sz w:val="24"/>
                <w:szCs w:val="24"/>
                <w:lang w:val="es-CO" w:eastAsia="es-ES"/>
              </w:rPr>
            </w:pPr>
            <w:r w:rsidRPr="00341ED2">
              <w:rPr>
                <w:sz w:val="24"/>
                <w:szCs w:val="24"/>
                <w:lang w:val="es-CO" w:eastAsia="es-ES"/>
              </w:rPr>
              <w:t>20 de agosto de 2019</w:t>
            </w:r>
          </w:p>
        </w:tc>
        <w:tc>
          <w:tcPr>
            <w:tcW w:w="4580" w:type="dxa"/>
          </w:tcPr>
          <w:p w14:paraId="41B04204" w14:textId="4D50D070" w:rsidR="000A1F73" w:rsidRPr="00341ED2" w:rsidRDefault="000A1F73" w:rsidP="000A1F73">
            <w:pPr>
              <w:pStyle w:val="Prrafodelista"/>
              <w:ind w:left="0" w:right="51"/>
              <w:textAlignment w:val="baseline"/>
              <w:rPr>
                <w:sz w:val="24"/>
                <w:szCs w:val="24"/>
                <w:lang w:val="es-CO" w:eastAsia="es-ES"/>
              </w:rPr>
            </w:pPr>
            <w:r w:rsidRPr="00341ED2">
              <w:rPr>
                <w:sz w:val="24"/>
                <w:szCs w:val="24"/>
                <w:lang w:val="es-CO" w:eastAsia="es-ES"/>
              </w:rPr>
              <w:t>En la casilla de las conclusiones se lee: «</w:t>
            </w:r>
            <w:r w:rsidRPr="00341ED2">
              <w:rPr>
                <w:b/>
                <w:bCs/>
                <w:sz w:val="24"/>
                <w:szCs w:val="24"/>
                <w:lang w:val="es-CO" w:eastAsia="es-ES"/>
              </w:rPr>
              <w:t>Paciente con déficit cognitivo, cefalea y trastorno del comportamiento por supuesto traumatismo cráneo encefálico</w:t>
            </w:r>
            <w:r w:rsidRPr="00341ED2">
              <w:rPr>
                <w:sz w:val="24"/>
                <w:szCs w:val="24"/>
                <w:lang w:val="es-CO" w:eastAsia="es-ES"/>
              </w:rPr>
              <w:t>»</w:t>
            </w:r>
            <w:r w:rsidR="00670B08" w:rsidRPr="00341ED2">
              <w:rPr>
                <w:rStyle w:val="Refdenotaalpie"/>
                <w:rFonts w:eastAsiaTheme="minorHAnsi"/>
                <w:sz w:val="24"/>
                <w:szCs w:val="24"/>
              </w:rPr>
              <w:footnoteReference w:id="112"/>
            </w:r>
            <w:r w:rsidRPr="00341ED2">
              <w:rPr>
                <w:sz w:val="24"/>
                <w:szCs w:val="24"/>
                <w:lang w:val="es-CO" w:eastAsia="es-ES"/>
              </w:rPr>
              <w:t>.</w:t>
            </w:r>
          </w:p>
        </w:tc>
      </w:tr>
    </w:tbl>
    <w:p w14:paraId="0AC42729" w14:textId="77777777" w:rsidR="00EE66CA" w:rsidRPr="00341ED2" w:rsidRDefault="00EE66CA" w:rsidP="00EE66CA">
      <w:pPr>
        <w:pStyle w:val="Prrafodelista"/>
        <w:widowControl w:val="0"/>
        <w:autoSpaceDE w:val="0"/>
        <w:autoSpaceDN w:val="0"/>
        <w:adjustRightInd w:val="0"/>
        <w:ind w:left="0"/>
        <w:rPr>
          <w:rFonts w:eastAsiaTheme="minorHAnsi"/>
          <w:szCs w:val="28"/>
        </w:rPr>
      </w:pPr>
    </w:p>
    <w:p w14:paraId="039F1DBE" w14:textId="1A594AF0" w:rsidR="001B1336" w:rsidRPr="00341ED2" w:rsidRDefault="001B1336" w:rsidP="00F079C9">
      <w:pPr>
        <w:pStyle w:val="Prrafodelista"/>
        <w:widowControl w:val="0"/>
        <w:numPr>
          <w:ilvl w:val="1"/>
          <w:numId w:val="17"/>
        </w:numPr>
        <w:autoSpaceDE w:val="0"/>
        <w:autoSpaceDN w:val="0"/>
        <w:adjustRightInd w:val="0"/>
        <w:rPr>
          <w:szCs w:val="28"/>
        </w:rPr>
      </w:pPr>
      <w:r w:rsidRPr="00341ED2">
        <w:rPr>
          <w:szCs w:val="28"/>
          <w:lang w:val="es-CO" w:eastAsia="es-ES"/>
        </w:rPr>
        <w:t>En el caso concreto, la discusión judicial sobre el cómputo de la caducidad de la acción de reparación directa giró sobre dos momentos clave: (</w:t>
      </w:r>
      <w:r w:rsidRPr="00341ED2">
        <w:rPr>
          <w:i/>
          <w:iCs/>
          <w:szCs w:val="28"/>
          <w:lang w:val="es-CO" w:eastAsia="es-ES"/>
        </w:rPr>
        <w:t>i</w:t>
      </w:r>
      <w:r w:rsidRPr="00341ED2">
        <w:rPr>
          <w:szCs w:val="28"/>
          <w:lang w:val="es-CO" w:eastAsia="es-ES"/>
        </w:rPr>
        <w:t xml:space="preserve">) la primera atención en salud del 25 de junio de 2012 en la Hospital Mental </w:t>
      </w:r>
      <w:proofErr w:type="spellStart"/>
      <w:r w:rsidRPr="00341ED2">
        <w:rPr>
          <w:szCs w:val="28"/>
          <w:lang w:val="es-CO" w:eastAsia="es-ES"/>
        </w:rPr>
        <w:t>Rudesindo</w:t>
      </w:r>
      <w:proofErr w:type="spellEnd"/>
      <w:r w:rsidRPr="00341ED2">
        <w:rPr>
          <w:szCs w:val="28"/>
          <w:lang w:val="es-CO" w:eastAsia="es-ES"/>
        </w:rPr>
        <w:t xml:space="preserve"> Soto de Cúcuta y (</w:t>
      </w:r>
      <w:r w:rsidRPr="00341ED2">
        <w:rPr>
          <w:i/>
          <w:iCs/>
          <w:szCs w:val="28"/>
          <w:lang w:val="es-CO" w:eastAsia="es-ES"/>
        </w:rPr>
        <w:t>ii</w:t>
      </w:r>
      <w:r w:rsidRPr="00341ED2">
        <w:rPr>
          <w:szCs w:val="28"/>
          <w:lang w:val="es-CO" w:eastAsia="es-ES"/>
        </w:rPr>
        <w:t xml:space="preserve">) el dictamen de PCL emitido el 21 de noviembre de 2016 por la </w:t>
      </w:r>
      <w:r w:rsidRPr="00341ED2">
        <w:rPr>
          <w:szCs w:val="28"/>
        </w:rPr>
        <w:t>Junta Médica Laboral del Ejército Nacional. Por esta razón, la</w:t>
      </w:r>
      <w:r w:rsidR="00126D90" w:rsidRPr="00341ED2">
        <w:rPr>
          <w:szCs w:val="28"/>
          <w:lang w:val="es-CO" w:eastAsia="es-ES"/>
        </w:rPr>
        <w:t xml:space="preserve"> </w:t>
      </w:r>
      <w:r w:rsidR="008C75DC" w:rsidRPr="00341ED2">
        <w:rPr>
          <w:szCs w:val="28"/>
          <w:lang w:val="es-CO" w:eastAsia="es-ES"/>
        </w:rPr>
        <w:t>determinación de la configuración del defecto fáctico por indebida valoración</w:t>
      </w:r>
      <w:r w:rsidRPr="00341ED2">
        <w:rPr>
          <w:szCs w:val="28"/>
          <w:lang w:val="es-CO" w:eastAsia="es-ES"/>
        </w:rPr>
        <w:t xml:space="preserve"> probatoria </w:t>
      </w:r>
      <w:r w:rsidR="00EB09B8" w:rsidRPr="00341ED2">
        <w:rPr>
          <w:szCs w:val="28"/>
          <w:lang w:val="es-CO" w:eastAsia="es-ES"/>
        </w:rPr>
        <w:t>debe circunscribirse a la valoración de</w:t>
      </w:r>
      <w:r w:rsidRPr="00341ED2">
        <w:rPr>
          <w:szCs w:val="28"/>
          <w:lang w:val="es-CO" w:eastAsia="es-ES"/>
        </w:rPr>
        <w:t xml:space="preserve"> estos momentos.</w:t>
      </w:r>
    </w:p>
    <w:p w14:paraId="64F7CAE2" w14:textId="77777777" w:rsidR="00A80DF6" w:rsidRPr="00341ED2" w:rsidRDefault="00A80DF6" w:rsidP="00B91225">
      <w:pPr>
        <w:pStyle w:val="Prrafodelista"/>
        <w:widowControl w:val="0"/>
        <w:autoSpaceDE w:val="0"/>
        <w:autoSpaceDN w:val="0"/>
        <w:adjustRightInd w:val="0"/>
        <w:ind w:left="0"/>
        <w:rPr>
          <w:szCs w:val="28"/>
        </w:rPr>
      </w:pPr>
    </w:p>
    <w:p w14:paraId="67607C9C" w14:textId="2835F695" w:rsidR="006E1782" w:rsidRPr="00341ED2" w:rsidRDefault="00B91225" w:rsidP="006E1782">
      <w:pPr>
        <w:pStyle w:val="Prrafodelista"/>
        <w:widowControl w:val="0"/>
        <w:numPr>
          <w:ilvl w:val="1"/>
          <w:numId w:val="17"/>
        </w:numPr>
        <w:autoSpaceDE w:val="0"/>
        <w:autoSpaceDN w:val="0"/>
        <w:adjustRightInd w:val="0"/>
        <w:rPr>
          <w:szCs w:val="28"/>
        </w:rPr>
      </w:pPr>
      <w:r w:rsidRPr="00341ED2">
        <w:rPr>
          <w:szCs w:val="28"/>
        </w:rPr>
        <w:t xml:space="preserve">La Sala concuerda con el </w:t>
      </w:r>
      <w:r w:rsidRPr="00341ED2">
        <w:rPr>
          <w:rFonts w:eastAsiaTheme="minorHAnsi"/>
          <w:szCs w:val="28"/>
        </w:rPr>
        <w:t xml:space="preserve">Juzgado Quinto Administrativo Oral de Cúcuta al considerar que no puede contabilizarse el término de la caducidad </w:t>
      </w:r>
      <w:r w:rsidR="00643D85" w:rsidRPr="00341ED2">
        <w:rPr>
          <w:rFonts w:eastAsiaTheme="minorHAnsi"/>
          <w:szCs w:val="28"/>
        </w:rPr>
        <w:t xml:space="preserve">de la demanda de reparación directa </w:t>
      </w:r>
      <w:r w:rsidRPr="00341ED2">
        <w:rPr>
          <w:rFonts w:eastAsiaTheme="minorHAnsi"/>
          <w:szCs w:val="28"/>
        </w:rPr>
        <w:t xml:space="preserve">a partir de </w:t>
      </w:r>
      <w:r w:rsidR="00125FA8" w:rsidRPr="00341ED2">
        <w:rPr>
          <w:rFonts w:eastAsiaTheme="minorHAnsi"/>
          <w:szCs w:val="28"/>
        </w:rPr>
        <w:t xml:space="preserve">la </w:t>
      </w:r>
      <w:r w:rsidR="00643D85" w:rsidRPr="00341ED2">
        <w:rPr>
          <w:rFonts w:eastAsiaTheme="minorHAnsi"/>
          <w:szCs w:val="28"/>
        </w:rPr>
        <w:t>primera</w:t>
      </w:r>
      <w:r w:rsidRPr="00341ED2">
        <w:rPr>
          <w:rFonts w:eastAsiaTheme="minorHAnsi"/>
          <w:szCs w:val="28"/>
        </w:rPr>
        <w:t xml:space="preserve"> </w:t>
      </w:r>
      <w:r w:rsidR="00643D85" w:rsidRPr="00341ED2">
        <w:rPr>
          <w:rFonts w:eastAsiaTheme="minorHAnsi"/>
          <w:szCs w:val="28"/>
        </w:rPr>
        <w:t>valoración médica de</w:t>
      </w:r>
      <w:r w:rsidRPr="00341ED2">
        <w:rPr>
          <w:rFonts w:eastAsiaTheme="minorHAnsi"/>
          <w:szCs w:val="28"/>
        </w:rPr>
        <w:t xml:space="preserve"> </w:t>
      </w:r>
      <w:r w:rsidR="002174CD" w:rsidRPr="002174CD">
        <w:rPr>
          <w:rFonts w:eastAsiaTheme="minorHAnsi"/>
          <w:i/>
          <w:iCs/>
          <w:szCs w:val="28"/>
        </w:rPr>
        <w:t>Oscar</w:t>
      </w:r>
      <w:r w:rsidRPr="00341ED2">
        <w:rPr>
          <w:rFonts w:eastAsiaTheme="minorHAnsi"/>
          <w:szCs w:val="28"/>
        </w:rPr>
        <w:t xml:space="preserve"> el 25 de junio de 2012</w:t>
      </w:r>
      <w:r w:rsidRPr="00341ED2">
        <w:rPr>
          <w:szCs w:val="28"/>
          <w:lang w:val="es-CO" w:eastAsia="es-ES"/>
        </w:rPr>
        <w:t xml:space="preserve">. </w:t>
      </w:r>
      <w:r w:rsidR="00175D2D" w:rsidRPr="00341ED2">
        <w:rPr>
          <w:szCs w:val="28"/>
          <w:lang w:val="es-CO" w:eastAsia="es-ES"/>
        </w:rPr>
        <w:t xml:space="preserve">En efecto, este dictamen </w:t>
      </w:r>
      <w:r w:rsidR="001B1336" w:rsidRPr="00341ED2">
        <w:rPr>
          <w:szCs w:val="28"/>
          <w:lang w:val="es-CO" w:eastAsia="es-ES"/>
        </w:rPr>
        <w:t xml:space="preserve">médico </w:t>
      </w:r>
      <w:r w:rsidR="00175D2D" w:rsidRPr="00341ED2">
        <w:rPr>
          <w:szCs w:val="28"/>
          <w:lang w:val="es-CO" w:eastAsia="es-ES"/>
        </w:rPr>
        <w:t>no puede ser tenido como punto de partida debido a que no aport</w:t>
      </w:r>
      <w:r w:rsidR="00643D85" w:rsidRPr="00341ED2">
        <w:rPr>
          <w:szCs w:val="28"/>
          <w:lang w:val="es-CO" w:eastAsia="es-ES"/>
        </w:rPr>
        <w:t>ó</w:t>
      </w:r>
      <w:r w:rsidR="00175D2D" w:rsidRPr="00341ED2">
        <w:rPr>
          <w:szCs w:val="28"/>
          <w:lang w:val="es-CO" w:eastAsia="es-ES"/>
        </w:rPr>
        <w:t xml:space="preserve"> información relevante sobre el conocimiento cierto y concreto del daño sufrido por el hijo de la accionante.</w:t>
      </w:r>
      <w:r w:rsidR="00175D2D" w:rsidRPr="00341ED2">
        <w:rPr>
          <w:szCs w:val="28"/>
        </w:rPr>
        <w:t xml:space="preserve"> </w:t>
      </w:r>
      <w:r w:rsidR="001B1336" w:rsidRPr="00341ED2">
        <w:rPr>
          <w:szCs w:val="28"/>
        </w:rPr>
        <w:t>El</w:t>
      </w:r>
      <w:r w:rsidR="00643D85" w:rsidRPr="00341ED2">
        <w:rPr>
          <w:szCs w:val="28"/>
        </w:rPr>
        <w:t xml:space="preserve"> dictame</w:t>
      </w:r>
      <w:r w:rsidR="001B1336" w:rsidRPr="00341ED2">
        <w:rPr>
          <w:szCs w:val="28"/>
        </w:rPr>
        <w:t>n</w:t>
      </w:r>
      <w:r w:rsidR="00175D2D" w:rsidRPr="00341ED2">
        <w:rPr>
          <w:szCs w:val="28"/>
        </w:rPr>
        <w:t xml:space="preserve"> es tan poco precis</w:t>
      </w:r>
      <w:r w:rsidR="00643D85" w:rsidRPr="00341ED2">
        <w:rPr>
          <w:szCs w:val="28"/>
        </w:rPr>
        <w:t>o</w:t>
      </w:r>
      <w:r w:rsidR="00175D2D" w:rsidRPr="00341ED2">
        <w:rPr>
          <w:szCs w:val="28"/>
        </w:rPr>
        <w:t xml:space="preserve"> que el </w:t>
      </w:r>
      <w:r w:rsidR="00643D85" w:rsidRPr="00341ED2">
        <w:rPr>
          <w:szCs w:val="28"/>
        </w:rPr>
        <w:t>especialista</w:t>
      </w:r>
      <w:r w:rsidR="00175D2D" w:rsidRPr="00341ED2">
        <w:rPr>
          <w:szCs w:val="28"/>
        </w:rPr>
        <w:t xml:space="preserve"> que valoró a </w:t>
      </w:r>
      <w:r w:rsidR="002174CD" w:rsidRPr="002174CD">
        <w:rPr>
          <w:i/>
          <w:iCs/>
          <w:szCs w:val="28"/>
        </w:rPr>
        <w:t>Oscar</w:t>
      </w:r>
      <w:r w:rsidR="00175D2D" w:rsidRPr="00341ED2">
        <w:rPr>
          <w:szCs w:val="28"/>
        </w:rPr>
        <w:t xml:space="preserve"> puso en duda la existencia de un trauma craneoencefálico y se preguntó si los síntomas que presentaba el joven (lenguaje comprometido, dificultad motora, dolor de cabeza, etc.) eran una somatización.</w:t>
      </w:r>
      <w:r w:rsidR="001B1336" w:rsidRPr="00341ED2">
        <w:rPr>
          <w:szCs w:val="28"/>
        </w:rPr>
        <w:t xml:space="preserve"> </w:t>
      </w:r>
    </w:p>
    <w:p w14:paraId="21FED13F" w14:textId="77777777" w:rsidR="00643D85" w:rsidRPr="00341ED2" w:rsidRDefault="00643D85" w:rsidP="00643D85">
      <w:pPr>
        <w:pStyle w:val="Prrafodelista"/>
        <w:widowControl w:val="0"/>
        <w:autoSpaceDE w:val="0"/>
        <w:autoSpaceDN w:val="0"/>
        <w:adjustRightInd w:val="0"/>
        <w:ind w:left="0"/>
        <w:rPr>
          <w:szCs w:val="28"/>
        </w:rPr>
      </w:pPr>
    </w:p>
    <w:p w14:paraId="44B7E6A2" w14:textId="7386E3D1" w:rsidR="00EA4F8A" w:rsidRPr="00341ED2" w:rsidRDefault="00643D85" w:rsidP="00EA4F8A">
      <w:pPr>
        <w:pStyle w:val="Prrafodelista"/>
        <w:widowControl w:val="0"/>
        <w:numPr>
          <w:ilvl w:val="1"/>
          <w:numId w:val="17"/>
        </w:numPr>
        <w:autoSpaceDE w:val="0"/>
        <w:autoSpaceDN w:val="0"/>
        <w:adjustRightInd w:val="0"/>
        <w:rPr>
          <w:szCs w:val="28"/>
        </w:rPr>
      </w:pPr>
      <w:r w:rsidRPr="00341ED2">
        <w:rPr>
          <w:szCs w:val="28"/>
        </w:rPr>
        <w:t xml:space="preserve">Lo mismo sucede con los diagnósticos médicos posteriores. </w:t>
      </w:r>
      <w:r w:rsidR="00125FA8" w:rsidRPr="00341ED2">
        <w:rPr>
          <w:szCs w:val="28"/>
        </w:rPr>
        <w:t xml:space="preserve">El 26 de junio de 2012, la psiquiatra Andrea Camperos valoró a </w:t>
      </w:r>
      <w:r w:rsidR="002174CD" w:rsidRPr="002174CD">
        <w:rPr>
          <w:i/>
          <w:iCs/>
          <w:szCs w:val="28"/>
        </w:rPr>
        <w:t>Oscar</w:t>
      </w:r>
      <w:r w:rsidR="00125FA8" w:rsidRPr="00341ED2">
        <w:rPr>
          <w:szCs w:val="28"/>
        </w:rPr>
        <w:t xml:space="preserve"> </w:t>
      </w:r>
      <w:r w:rsidR="00FB3D76" w:rsidRPr="00341ED2">
        <w:rPr>
          <w:szCs w:val="28"/>
        </w:rPr>
        <w:t xml:space="preserve">y dudó acerca de si este sufría un trastorno </w:t>
      </w:r>
      <w:proofErr w:type="spellStart"/>
      <w:r w:rsidR="00FB3D76" w:rsidRPr="00341ED2">
        <w:rPr>
          <w:szCs w:val="28"/>
        </w:rPr>
        <w:t>disociativo</w:t>
      </w:r>
      <w:proofErr w:type="spellEnd"/>
      <w:r w:rsidR="00FB3D76" w:rsidRPr="00341ED2">
        <w:rPr>
          <w:szCs w:val="28"/>
        </w:rPr>
        <w:t>. Luego, el 30 de octubre</w:t>
      </w:r>
      <w:r w:rsidR="00EA4F8A" w:rsidRPr="00341ED2">
        <w:rPr>
          <w:szCs w:val="28"/>
        </w:rPr>
        <w:t xml:space="preserve"> de 2012</w:t>
      </w:r>
      <w:r w:rsidR="00FB3D76" w:rsidRPr="00341ED2">
        <w:rPr>
          <w:szCs w:val="28"/>
        </w:rPr>
        <w:t xml:space="preserve"> </w:t>
      </w:r>
      <w:r w:rsidR="002174CD" w:rsidRPr="002174CD">
        <w:rPr>
          <w:i/>
          <w:iCs/>
          <w:szCs w:val="28"/>
        </w:rPr>
        <w:t>Oscar</w:t>
      </w:r>
      <w:r w:rsidR="00FB3D76" w:rsidRPr="00341ED2">
        <w:rPr>
          <w:szCs w:val="28"/>
        </w:rPr>
        <w:t xml:space="preserve"> fue valorado por otro psiquiatra en la </w:t>
      </w:r>
      <w:r w:rsidR="00FB3D76" w:rsidRPr="00341ED2">
        <w:rPr>
          <w:bCs/>
          <w:szCs w:val="28"/>
          <w:lang w:eastAsia="es-ES"/>
        </w:rPr>
        <w:t>Clínica Stella Maris de Salud Mental de Cúcuta</w:t>
      </w:r>
      <w:r w:rsidR="009E7F8E" w:rsidRPr="00341ED2">
        <w:rPr>
          <w:bCs/>
          <w:szCs w:val="28"/>
          <w:lang w:eastAsia="es-ES"/>
        </w:rPr>
        <w:t>, quien</w:t>
      </w:r>
      <w:r w:rsidR="003A1C93" w:rsidRPr="00341ED2">
        <w:rPr>
          <w:bCs/>
          <w:szCs w:val="28"/>
          <w:lang w:eastAsia="es-ES"/>
        </w:rPr>
        <w:t xml:space="preserve"> </w:t>
      </w:r>
      <w:r w:rsidR="00FB3D76" w:rsidRPr="00341ED2">
        <w:rPr>
          <w:bCs/>
          <w:szCs w:val="28"/>
          <w:lang w:eastAsia="es-ES"/>
        </w:rPr>
        <w:t xml:space="preserve">diagnosticó al joven </w:t>
      </w:r>
      <w:r w:rsidR="003A1C93" w:rsidRPr="00341ED2">
        <w:rPr>
          <w:bCs/>
          <w:szCs w:val="28"/>
          <w:lang w:eastAsia="es-ES"/>
        </w:rPr>
        <w:t>con un</w:t>
      </w:r>
      <w:r w:rsidR="00FB3D76" w:rsidRPr="00341ED2">
        <w:rPr>
          <w:bCs/>
          <w:szCs w:val="28"/>
          <w:lang w:eastAsia="es-ES"/>
        </w:rPr>
        <w:t xml:space="preserve"> trastorno de estrés postraumático. Finalmente,</w:t>
      </w:r>
      <w:r w:rsidR="00903BA8" w:rsidRPr="00341ED2">
        <w:rPr>
          <w:bCs/>
          <w:szCs w:val="28"/>
          <w:lang w:eastAsia="es-ES"/>
        </w:rPr>
        <w:t xml:space="preserve"> </w:t>
      </w:r>
      <w:r w:rsidR="00FB3D76" w:rsidRPr="00341ED2">
        <w:rPr>
          <w:bCs/>
          <w:szCs w:val="28"/>
          <w:lang w:eastAsia="es-ES"/>
        </w:rPr>
        <w:t xml:space="preserve">en el examen de evacuación realizado el 30 de noviembre de 2012, </w:t>
      </w:r>
      <w:r w:rsidR="00903BA8" w:rsidRPr="00341ED2">
        <w:rPr>
          <w:bCs/>
          <w:szCs w:val="28"/>
          <w:lang w:eastAsia="es-ES"/>
        </w:rPr>
        <w:t xml:space="preserve">los médicos del Ejército Nacional </w:t>
      </w:r>
      <w:r w:rsidR="00FB3D76" w:rsidRPr="00341ED2">
        <w:rPr>
          <w:bCs/>
          <w:szCs w:val="28"/>
          <w:lang w:eastAsia="es-ES"/>
        </w:rPr>
        <w:t>diagnostic</w:t>
      </w:r>
      <w:r w:rsidR="00903BA8" w:rsidRPr="00341ED2">
        <w:rPr>
          <w:bCs/>
          <w:szCs w:val="28"/>
          <w:lang w:eastAsia="es-ES"/>
        </w:rPr>
        <w:t>aron</w:t>
      </w:r>
      <w:r w:rsidR="00FB3D76" w:rsidRPr="00341ED2">
        <w:rPr>
          <w:bCs/>
          <w:szCs w:val="28"/>
          <w:lang w:eastAsia="es-ES"/>
        </w:rPr>
        <w:t xml:space="preserve"> a </w:t>
      </w:r>
      <w:r w:rsidR="002174CD" w:rsidRPr="002174CD">
        <w:rPr>
          <w:bCs/>
          <w:i/>
          <w:iCs/>
          <w:szCs w:val="28"/>
          <w:lang w:eastAsia="es-ES"/>
        </w:rPr>
        <w:t>Oscar</w:t>
      </w:r>
      <w:r w:rsidR="00FB3D76" w:rsidRPr="00341ED2">
        <w:rPr>
          <w:bCs/>
          <w:szCs w:val="28"/>
          <w:lang w:eastAsia="es-ES"/>
        </w:rPr>
        <w:t xml:space="preserve"> con trastorno de adaptación.</w:t>
      </w:r>
      <w:r w:rsidR="00903BA8" w:rsidRPr="00341ED2">
        <w:rPr>
          <w:bCs/>
          <w:szCs w:val="28"/>
          <w:lang w:eastAsia="es-ES"/>
        </w:rPr>
        <w:t xml:space="preserve"> </w:t>
      </w:r>
      <w:r w:rsidR="00AA6775" w:rsidRPr="00341ED2">
        <w:rPr>
          <w:bCs/>
          <w:szCs w:val="28"/>
          <w:lang w:eastAsia="es-ES"/>
        </w:rPr>
        <w:t xml:space="preserve">Todos </w:t>
      </w:r>
      <w:r w:rsidR="00EA4F8A" w:rsidRPr="00341ED2">
        <w:rPr>
          <w:bCs/>
          <w:szCs w:val="28"/>
          <w:lang w:eastAsia="es-ES"/>
        </w:rPr>
        <w:t>estos</w:t>
      </w:r>
      <w:r w:rsidR="00AA6775" w:rsidRPr="00341ED2">
        <w:rPr>
          <w:bCs/>
          <w:szCs w:val="28"/>
          <w:lang w:eastAsia="es-ES"/>
        </w:rPr>
        <w:t xml:space="preserve"> diagnósticos evidencian confusión</w:t>
      </w:r>
      <w:r w:rsidR="00EA4F8A" w:rsidRPr="00341ED2">
        <w:rPr>
          <w:bCs/>
          <w:szCs w:val="28"/>
          <w:lang w:eastAsia="es-ES"/>
        </w:rPr>
        <w:t xml:space="preserve"> </w:t>
      </w:r>
      <w:r w:rsidR="00AA6775" w:rsidRPr="00341ED2">
        <w:rPr>
          <w:bCs/>
          <w:szCs w:val="28"/>
          <w:lang w:eastAsia="es-ES"/>
        </w:rPr>
        <w:t>acerca de la patología que padec</w:t>
      </w:r>
      <w:r w:rsidR="009E7F8E" w:rsidRPr="00341ED2">
        <w:rPr>
          <w:bCs/>
          <w:szCs w:val="28"/>
          <w:lang w:eastAsia="es-ES"/>
        </w:rPr>
        <w:t>e</w:t>
      </w:r>
      <w:r w:rsidR="00AA6775" w:rsidRPr="00341ED2">
        <w:rPr>
          <w:bCs/>
          <w:szCs w:val="28"/>
          <w:lang w:eastAsia="es-ES"/>
        </w:rPr>
        <w:t xml:space="preserve"> </w:t>
      </w:r>
      <w:r w:rsidR="002174CD" w:rsidRPr="002174CD">
        <w:rPr>
          <w:bCs/>
          <w:i/>
          <w:iCs/>
          <w:szCs w:val="28"/>
          <w:lang w:eastAsia="es-ES"/>
        </w:rPr>
        <w:t>Oscar</w:t>
      </w:r>
      <w:r w:rsidR="00AA6775" w:rsidRPr="00341ED2">
        <w:rPr>
          <w:bCs/>
          <w:szCs w:val="28"/>
          <w:lang w:eastAsia="es-ES"/>
        </w:rPr>
        <w:t>.</w:t>
      </w:r>
    </w:p>
    <w:p w14:paraId="6279FA4C" w14:textId="77777777" w:rsidR="00A80DF6" w:rsidRPr="00341ED2" w:rsidRDefault="00A80DF6" w:rsidP="00A80DF6">
      <w:pPr>
        <w:pStyle w:val="Prrafodelista"/>
        <w:widowControl w:val="0"/>
        <w:autoSpaceDE w:val="0"/>
        <w:autoSpaceDN w:val="0"/>
        <w:adjustRightInd w:val="0"/>
        <w:ind w:left="0"/>
        <w:rPr>
          <w:szCs w:val="28"/>
        </w:rPr>
      </w:pPr>
    </w:p>
    <w:p w14:paraId="17C2BC65" w14:textId="34CB74D7" w:rsidR="00A80DF6" w:rsidRPr="00341ED2" w:rsidRDefault="00A80DF6" w:rsidP="006E1782">
      <w:pPr>
        <w:pStyle w:val="Prrafodelista"/>
        <w:widowControl w:val="0"/>
        <w:numPr>
          <w:ilvl w:val="1"/>
          <w:numId w:val="17"/>
        </w:numPr>
        <w:autoSpaceDE w:val="0"/>
        <w:autoSpaceDN w:val="0"/>
        <w:adjustRightInd w:val="0"/>
        <w:rPr>
          <w:szCs w:val="28"/>
        </w:rPr>
      </w:pPr>
      <w:r w:rsidRPr="00341ED2">
        <w:rPr>
          <w:szCs w:val="28"/>
        </w:rPr>
        <w:t>Solo cuando la Junta Médica Laboral del Ejército Nacional valoró a</w:t>
      </w:r>
      <w:r w:rsidR="00BF4F10" w:rsidRPr="00341ED2">
        <w:rPr>
          <w:szCs w:val="28"/>
        </w:rPr>
        <w:t>l hijo de la accionante</w:t>
      </w:r>
      <w:r w:rsidRPr="00341ED2">
        <w:rPr>
          <w:szCs w:val="28"/>
        </w:rPr>
        <w:t xml:space="preserve"> se supo que este padecía un </w:t>
      </w:r>
      <w:r w:rsidRPr="00341ED2">
        <w:rPr>
          <w:rFonts w:eastAsiaTheme="minorHAnsi"/>
          <w:szCs w:val="28"/>
        </w:rPr>
        <w:t xml:space="preserve">trastorno </w:t>
      </w:r>
      <w:proofErr w:type="spellStart"/>
      <w:r w:rsidRPr="00341ED2">
        <w:rPr>
          <w:rFonts w:eastAsiaTheme="minorHAnsi"/>
          <w:szCs w:val="28"/>
        </w:rPr>
        <w:t>neurocognitivo</w:t>
      </w:r>
      <w:proofErr w:type="spellEnd"/>
      <w:r w:rsidRPr="00341ED2">
        <w:rPr>
          <w:rFonts w:eastAsiaTheme="minorHAnsi"/>
          <w:szCs w:val="28"/>
        </w:rPr>
        <w:t xml:space="preserve"> derivado de un trauma craneoencefálico. Este diagnóstico luego </w:t>
      </w:r>
      <w:r w:rsidR="006E1782" w:rsidRPr="00341ED2">
        <w:rPr>
          <w:rFonts w:eastAsiaTheme="minorHAnsi"/>
          <w:szCs w:val="28"/>
        </w:rPr>
        <w:t xml:space="preserve">fue </w:t>
      </w:r>
      <w:r w:rsidRPr="00341ED2">
        <w:rPr>
          <w:rFonts w:eastAsiaTheme="minorHAnsi"/>
          <w:szCs w:val="28"/>
        </w:rPr>
        <w:t>confirmado por un perito psiquiatra y por la Junta Regional de Calificación de Invalidez de Norte de Santander durante la práctica de pruebas que ordenó el Juzgado Quinto Administrativo Oral de Cúcuta en la primera instancia del proceso de reparación directa.</w:t>
      </w:r>
      <w:r w:rsidRPr="00341ED2">
        <w:rPr>
          <w:szCs w:val="28"/>
        </w:rPr>
        <w:t xml:space="preserve"> </w:t>
      </w:r>
      <w:r w:rsidR="003A1C93" w:rsidRPr="00341ED2">
        <w:rPr>
          <w:szCs w:val="28"/>
        </w:rPr>
        <w:t>Así las cosas, es claro que l</w:t>
      </w:r>
      <w:r w:rsidR="006E1782" w:rsidRPr="00341ED2">
        <w:rPr>
          <w:szCs w:val="28"/>
        </w:rPr>
        <w:t xml:space="preserve">os </w:t>
      </w:r>
      <w:r w:rsidR="009E7F8E" w:rsidRPr="00341ED2">
        <w:rPr>
          <w:szCs w:val="28"/>
        </w:rPr>
        <w:t xml:space="preserve">conceptos </w:t>
      </w:r>
      <w:r w:rsidR="006E1782" w:rsidRPr="00341ED2">
        <w:rPr>
          <w:szCs w:val="28"/>
        </w:rPr>
        <w:t xml:space="preserve">médicos en neuropsicología, neurología y psiquiatría que fundamentaron el dictamen de PCL </w:t>
      </w:r>
      <w:r w:rsidR="00BF4F10" w:rsidRPr="00341ED2">
        <w:rPr>
          <w:szCs w:val="28"/>
        </w:rPr>
        <w:t xml:space="preserve">de la Junta Médica Laboral del Ejército Nacional fueron los que determinaron </w:t>
      </w:r>
      <w:r w:rsidR="003A1C93" w:rsidRPr="00341ED2">
        <w:rPr>
          <w:szCs w:val="28"/>
        </w:rPr>
        <w:t xml:space="preserve">por primera vez </w:t>
      </w:r>
      <w:r w:rsidR="00BF4F10" w:rsidRPr="00341ED2">
        <w:rPr>
          <w:szCs w:val="28"/>
        </w:rPr>
        <w:t xml:space="preserve">de manera cierta y concreta </w:t>
      </w:r>
      <w:r w:rsidR="006E1782" w:rsidRPr="00341ED2">
        <w:rPr>
          <w:szCs w:val="28"/>
          <w:lang w:val="es-CO" w:eastAsia="es-ES"/>
        </w:rPr>
        <w:t xml:space="preserve">el tipo de </w:t>
      </w:r>
      <w:r w:rsidR="00BF4F10" w:rsidRPr="00341ED2">
        <w:rPr>
          <w:szCs w:val="28"/>
          <w:lang w:val="es-CO" w:eastAsia="es-ES"/>
        </w:rPr>
        <w:t xml:space="preserve">trastorno que sufría </w:t>
      </w:r>
      <w:r w:rsidR="002174CD" w:rsidRPr="002174CD">
        <w:rPr>
          <w:i/>
          <w:iCs/>
          <w:szCs w:val="28"/>
          <w:lang w:val="es-CO" w:eastAsia="es-ES"/>
        </w:rPr>
        <w:t>Oscar</w:t>
      </w:r>
      <w:r w:rsidR="00BF4F10" w:rsidRPr="00341ED2">
        <w:rPr>
          <w:szCs w:val="28"/>
          <w:lang w:val="es-CO" w:eastAsia="es-ES"/>
        </w:rPr>
        <w:t>, así como sus características.</w:t>
      </w:r>
    </w:p>
    <w:p w14:paraId="7405A61E" w14:textId="77777777" w:rsidR="00A80DF6" w:rsidRPr="00341ED2" w:rsidRDefault="00A80DF6" w:rsidP="00EA4F8A">
      <w:pPr>
        <w:pStyle w:val="Prrafodelista"/>
        <w:widowControl w:val="0"/>
        <w:autoSpaceDE w:val="0"/>
        <w:autoSpaceDN w:val="0"/>
        <w:adjustRightInd w:val="0"/>
        <w:ind w:left="0"/>
        <w:rPr>
          <w:szCs w:val="28"/>
        </w:rPr>
      </w:pPr>
    </w:p>
    <w:p w14:paraId="55A22FEB" w14:textId="5F87F752" w:rsidR="00EA4F8A" w:rsidRPr="00341ED2" w:rsidRDefault="00EA4F8A" w:rsidP="00EA4F8A">
      <w:pPr>
        <w:pStyle w:val="Prrafodelista"/>
        <w:widowControl w:val="0"/>
        <w:numPr>
          <w:ilvl w:val="1"/>
          <w:numId w:val="17"/>
        </w:numPr>
        <w:autoSpaceDE w:val="0"/>
        <w:autoSpaceDN w:val="0"/>
        <w:adjustRightInd w:val="0"/>
        <w:rPr>
          <w:szCs w:val="28"/>
        </w:rPr>
      </w:pPr>
      <w:r w:rsidRPr="00341ED2">
        <w:rPr>
          <w:szCs w:val="28"/>
        </w:rPr>
        <w:t xml:space="preserve">Como puede observarse, </w:t>
      </w:r>
      <w:r w:rsidR="003A1C93" w:rsidRPr="00341ED2">
        <w:rPr>
          <w:szCs w:val="28"/>
          <w:lang w:val="es-CO" w:eastAsia="es-ES"/>
        </w:rPr>
        <w:t>entre</w:t>
      </w:r>
      <w:r w:rsidRPr="00341ED2">
        <w:rPr>
          <w:szCs w:val="28"/>
          <w:lang w:val="es-CO" w:eastAsia="es-ES"/>
        </w:rPr>
        <w:t xml:space="preserve"> el 25 de junio </w:t>
      </w:r>
      <w:r w:rsidR="003A1C93" w:rsidRPr="00341ED2">
        <w:rPr>
          <w:szCs w:val="28"/>
          <w:lang w:val="es-CO" w:eastAsia="es-ES"/>
        </w:rPr>
        <w:t>y el 30</w:t>
      </w:r>
      <w:r w:rsidRPr="00341ED2">
        <w:rPr>
          <w:szCs w:val="28"/>
          <w:lang w:val="es-CO" w:eastAsia="es-ES"/>
        </w:rPr>
        <w:t xml:space="preserve"> </w:t>
      </w:r>
      <w:r w:rsidR="003A1C93" w:rsidRPr="00341ED2">
        <w:rPr>
          <w:szCs w:val="28"/>
          <w:lang w:val="es-CO" w:eastAsia="es-ES"/>
        </w:rPr>
        <w:t xml:space="preserve">de noviembre </w:t>
      </w:r>
      <w:r w:rsidRPr="00341ED2">
        <w:rPr>
          <w:szCs w:val="28"/>
          <w:lang w:val="es-CO" w:eastAsia="es-ES"/>
        </w:rPr>
        <w:t>de agosto de 20</w:t>
      </w:r>
      <w:r w:rsidR="003A1C93" w:rsidRPr="00341ED2">
        <w:rPr>
          <w:szCs w:val="28"/>
          <w:lang w:val="es-CO" w:eastAsia="es-ES"/>
        </w:rPr>
        <w:t>12</w:t>
      </w:r>
      <w:r w:rsidRPr="00341ED2">
        <w:rPr>
          <w:szCs w:val="28"/>
          <w:lang w:val="es-CO" w:eastAsia="es-ES"/>
        </w:rPr>
        <w:t xml:space="preserve">, </w:t>
      </w:r>
      <w:r w:rsidR="002174CD" w:rsidRPr="002174CD">
        <w:rPr>
          <w:i/>
          <w:iCs/>
          <w:szCs w:val="28"/>
          <w:lang w:val="es-CO" w:eastAsia="es-ES"/>
        </w:rPr>
        <w:t>Oscar</w:t>
      </w:r>
      <w:r w:rsidRPr="00341ED2">
        <w:rPr>
          <w:szCs w:val="28"/>
          <w:lang w:val="es-CO" w:eastAsia="es-ES"/>
        </w:rPr>
        <w:t xml:space="preserve"> tuvo diferentes </w:t>
      </w:r>
      <w:r w:rsidR="009E7F8E" w:rsidRPr="00341ED2">
        <w:rPr>
          <w:szCs w:val="28"/>
          <w:lang w:val="es-CO" w:eastAsia="es-ES"/>
        </w:rPr>
        <w:t>diagnósticos</w:t>
      </w:r>
      <w:r w:rsidRPr="00341ED2">
        <w:rPr>
          <w:szCs w:val="28"/>
          <w:lang w:val="es-CO" w:eastAsia="es-ES"/>
        </w:rPr>
        <w:t>. Los especialistas que lo atendieron sometieron al joven a diversos exámenes y emitiero</w:t>
      </w:r>
      <w:r w:rsidR="00344F0E" w:rsidRPr="00341ED2">
        <w:rPr>
          <w:szCs w:val="28"/>
          <w:lang w:val="es-CO" w:eastAsia="es-ES"/>
        </w:rPr>
        <w:t>n conceptos discordantes</w:t>
      </w:r>
      <w:r w:rsidRPr="00341ED2">
        <w:rPr>
          <w:szCs w:val="28"/>
          <w:lang w:val="es-CO" w:eastAsia="es-ES"/>
        </w:rPr>
        <w:t xml:space="preserve"> sobre el tipo de lesión. </w:t>
      </w:r>
      <w:r w:rsidR="009E7F8E" w:rsidRPr="00341ED2">
        <w:rPr>
          <w:szCs w:val="28"/>
          <w:lang w:val="es-CO" w:eastAsia="es-ES"/>
        </w:rPr>
        <w:t>Únicamente</w:t>
      </w:r>
      <w:r w:rsidRPr="00341ED2">
        <w:rPr>
          <w:szCs w:val="28"/>
          <w:lang w:val="es-CO" w:eastAsia="es-ES"/>
        </w:rPr>
        <w:t xml:space="preserve"> hasta el 21 de noviembre de 2016</w:t>
      </w:r>
      <w:r w:rsidR="00CE554D" w:rsidRPr="00341ED2">
        <w:rPr>
          <w:szCs w:val="28"/>
          <w:lang w:val="es-CO" w:eastAsia="es-ES"/>
        </w:rPr>
        <w:t>,</w:t>
      </w:r>
      <w:r w:rsidRPr="00341ED2">
        <w:rPr>
          <w:szCs w:val="28"/>
          <w:lang w:val="es-CO" w:eastAsia="es-ES"/>
        </w:rPr>
        <w:t xml:space="preserve"> con la valoración de la </w:t>
      </w:r>
      <w:r w:rsidRPr="00341ED2">
        <w:t xml:space="preserve">Junta Médica Laboral del Ejército Nacional, </w:t>
      </w:r>
      <w:r w:rsidR="00A80DF6" w:rsidRPr="00341ED2">
        <w:t>se estabilizó el diagnóstico</w:t>
      </w:r>
      <w:r w:rsidR="00CE554D" w:rsidRPr="00341ED2">
        <w:t xml:space="preserve"> de la patología</w:t>
      </w:r>
      <w:r w:rsidRPr="00341ED2">
        <w:rPr>
          <w:szCs w:val="28"/>
        </w:rPr>
        <w:t xml:space="preserve">. Antes de este dictamen, los médicos que valoraron a </w:t>
      </w:r>
      <w:r w:rsidR="002174CD" w:rsidRPr="002174CD">
        <w:rPr>
          <w:i/>
          <w:iCs/>
          <w:szCs w:val="28"/>
        </w:rPr>
        <w:t>Oscar</w:t>
      </w:r>
      <w:r w:rsidRPr="00341ED2">
        <w:rPr>
          <w:szCs w:val="28"/>
        </w:rPr>
        <w:t xml:space="preserve"> </w:t>
      </w:r>
      <w:r w:rsidR="003A1C93" w:rsidRPr="00341ED2">
        <w:rPr>
          <w:szCs w:val="28"/>
        </w:rPr>
        <w:t>no coincidieron</w:t>
      </w:r>
      <w:r w:rsidR="009E7F8E" w:rsidRPr="00341ED2">
        <w:rPr>
          <w:szCs w:val="28"/>
        </w:rPr>
        <w:t xml:space="preserve"> </w:t>
      </w:r>
      <w:r w:rsidR="003A1C93" w:rsidRPr="00341ED2">
        <w:rPr>
          <w:szCs w:val="28"/>
        </w:rPr>
        <w:t xml:space="preserve">en </w:t>
      </w:r>
      <w:r w:rsidR="00CA0E32" w:rsidRPr="00341ED2">
        <w:rPr>
          <w:szCs w:val="28"/>
        </w:rPr>
        <w:t xml:space="preserve">sus </w:t>
      </w:r>
      <w:r w:rsidR="00EF0E3F">
        <w:rPr>
          <w:szCs w:val="28"/>
        </w:rPr>
        <w:t>dictámenes</w:t>
      </w:r>
      <w:r w:rsidR="003A1C93" w:rsidRPr="00341ED2">
        <w:rPr>
          <w:szCs w:val="28"/>
        </w:rPr>
        <w:t>.</w:t>
      </w:r>
    </w:p>
    <w:p w14:paraId="59218A65" w14:textId="77777777" w:rsidR="00BF4F10" w:rsidRPr="00341ED2" w:rsidRDefault="00BF4F10" w:rsidP="006E1782">
      <w:pPr>
        <w:pStyle w:val="Prrafodelista"/>
        <w:widowControl w:val="0"/>
        <w:autoSpaceDE w:val="0"/>
        <w:autoSpaceDN w:val="0"/>
        <w:adjustRightInd w:val="0"/>
        <w:ind w:left="0"/>
        <w:rPr>
          <w:szCs w:val="28"/>
        </w:rPr>
      </w:pPr>
    </w:p>
    <w:p w14:paraId="515C0674" w14:textId="16203FFF" w:rsidR="00CE554D" w:rsidRPr="00341ED2" w:rsidRDefault="00CA0E32" w:rsidP="008F10EE">
      <w:pPr>
        <w:pStyle w:val="Prrafodelista"/>
        <w:widowControl w:val="0"/>
        <w:numPr>
          <w:ilvl w:val="1"/>
          <w:numId w:val="17"/>
        </w:numPr>
        <w:autoSpaceDE w:val="0"/>
        <w:autoSpaceDN w:val="0"/>
        <w:adjustRightInd w:val="0"/>
        <w:rPr>
          <w:szCs w:val="28"/>
        </w:rPr>
      </w:pPr>
      <w:r w:rsidRPr="00341ED2">
        <w:rPr>
          <w:szCs w:val="28"/>
        </w:rPr>
        <w:t>De acuerdo con lo expuesto,</w:t>
      </w:r>
      <w:r w:rsidR="00BF4F10" w:rsidRPr="00341ED2">
        <w:rPr>
          <w:szCs w:val="28"/>
        </w:rPr>
        <w:t xml:space="preserve"> </w:t>
      </w:r>
      <w:r w:rsidRPr="00341ED2">
        <w:rPr>
          <w:szCs w:val="28"/>
        </w:rPr>
        <w:t xml:space="preserve">la Sala considera que </w:t>
      </w:r>
      <w:r w:rsidR="00BF4F10" w:rsidRPr="00341ED2">
        <w:rPr>
          <w:szCs w:val="28"/>
        </w:rPr>
        <w:t xml:space="preserve">el Tribunal Administrativo de Norte de Santander incurrió en un defecto fáctico </w:t>
      </w:r>
      <w:r w:rsidR="00AA74E5" w:rsidRPr="00341ED2">
        <w:rPr>
          <w:szCs w:val="28"/>
        </w:rPr>
        <w:t>por</w:t>
      </w:r>
      <w:r w:rsidR="00F52C00" w:rsidRPr="00341ED2">
        <w:rPr>
          <w:szCs w:val="28"/>
        </w:rPr>
        <w:t xml:space="preserve"> no valorar adecuadamente el material probatorio disponible en el expediente y por omitir </w:t>
      </w:r>
      <w:r w:rsidR="00AA74E5" w:rsidRPr="00341ED2">
        <w:rPr>
          <w:szCs w:val="28"/>
        </w:rPr>
        <w:t>valorar</w:t>
      </w:r>
      <w:r w:rsidR="00F52C00" w:rsidRPr="00341ED2">
        <w:rPr>
          <w:szCs w:val="28"/>
        </w:rPr>
        <w:t xml:space="preserve"> el dictamen pericial elaborado por el médico psiquiatra </w:t>
      </w:r>
      <w:r w:rsidR="00F52C00" w:rsidRPr="00341ED2">
        <w:rPr>
          <w:szCs w:val="28"/>
          <w:lang w:val="es-CO" w:eastAsia="es-ES"/>
        </w:rPr>
        <w:t>Manuel Serrano Trillos de la Clínica Stella Maris y el dictamen de PCL de la Junta Regional de Calificación de Invalidez de Norte de Santander, así como la sustentación de estos dictámenes hecha</w:t>
      </w:r>
      <w:r w:rsidR="00A56674" w:rsidRPr="00341ED2">
        <w:rPr>
          <w:szCs w:val="28"/>
          <w:lang w:val="es-CO" w:eastAsia="es-ES"/>
        </w:rPr>
        <w:t xml:space="preserve"> en primera instancia</w:t>
      </w:r>
      <w:r w:rsidR="00F52C00" w:rsidRPr="00341ED2">
        <w:rPr>
          <w:szCs w:val="28"/>
          <w:lang w:val="es-CO" w:eastAsia="es-ES"/>
        </w:rPr>
        <w:t xml:space="preserve"> durante la etapa probatoria del proceso de reparación directa</w:t>
      </w:r>
      <w:r w:rsidR="00A56674" w:rsidRPr="00341ED2">
        <w:rPr>
          <w:szCs w:val="28"/>
          <w:lang w:val="es-CO" w:eastAsia="es-ES"/>
        </w:rPr>
        <w:t>.</w:t>
      </w:r>
      <w:r w:rsidR="00CE554D" w:rsidRPr="00341ED2">
        <w:rPr>
          <w:szCs w:val="28"/>
          <w:lang w:val="es-CO" w:eastAsia="es-ES"/>
        </w:rPr>
        <w:t xml:space="preserve"> Estos errores fueron ostensibles, flagrantes y manifiestos y </w:t>
      </w:r>
      <w:r w:rsidR="00344F0E" w:rsidRPr="00341ED2">
        <w:rPr>
          <w:szCs w:val="28"/>
          <w:lang w:val="es-CO" w:eastAsia="es-ES"/>
        </w:rPr>
        <w:t>determinaron</w:t>
      </w:r>
      <w:r w:rsidR="00CE554D" w:rsidRPr="00341ED2">
        <w:rPr>
          <w:szCs w:val="28"/>
          <w:lang w:val="es-CO" w:eastAsia="es-ES"/>
        </w:rPr>
        <w:t xml:space="preserve"> su decisión de declarar la caducidad de la demanda de reparación directa presentada por </w:t>
      </w:r>
      <w:r w:rsidR="00B8660C">
        <w:rPr>
          <w:i/>
          <w:iCs/>
          <w:spacing w:val="-2"/>
          <w:szCs w:val="28"/>
        </w:rPr>
        <w:t>Amalia</w:t>
      </w:r>
      <w:r w:rsidR="00CE554D" w:rsidRPr="00341ED2">
        <w:rPr>
          <w:szCs w:val="28"/>
          <w:lang w:val="es-CO" w:eastAsia="es-ES"/>
        </w:rPr>
        <w:t xml:space="preserve"> contra la Nación-Ministerio de Defensa-Ejército Nacional.</w:t>
      </w:r>
    </w:p>
    <w:p w14:paraId="0B6905F8" w14:textId="77777777" w:rsidR="00344F0E" w:rsidRPr="00341ED2" w:rsidRDefault="00344F0E" w:rsidP="00CE554D">
      <w:pPr>
        <w:pStyle w:val="Prrafodelista"/>
        <w:widowControl w:val="0"/>
        <w:autoSpaceDE w:val="0"/>
        <w:autoSpaceDN w:val="0"/>
        <w:adjustRightInd w:val="0"/>
        <w:ind w:left="0"/>
        <w:rPr>
          <w:szCs w:val="28"/>
        </w:rPr>
      </w:pPr>
    </w:p>
    <w:p w14:paraId="2EC1CBF9" w14:textId="54DCA4DD" w:rsidR="008F10EE" w:rsidRPr="00341ED2" w:rsidRDefault="00A56674" w:rsidP="008F10EE">
      <w:pPr>
        <w:pStyle w:val="Prrafodelista"/>
        <w:widowControl w:val="0"/>
        <w:numPr>
          <w:ilvl w:val="1"/>
          <w:numId w:val="17"/>
        </w:numPr>
        <w:autoSpaceDE w:val="0"/>
        <w:autoSpaceDN w:val="0"/>
        <w:adjustRightInd w:val="0"/>
        <w:rPr>
          <w:szCs w:val="28"/>
        </w:rPr>
      </w:pPr>
      <w:r w:rsidRPr="00341ED2">
        <w:rPr>
          <w:szCs w:val="28"/>
          <w:lang w:val="es-CO" w:eastAsia="es-ES"/>
        </w:rPr>
        <w:t>E</w:t>
      </w:r>
      <w:r w:rsidR="00CA0E32" w:rsidRPr="00341ED2">
        <w:rPr>
          <w:szCs w:val="28"/>
          <w:lang w:val="es-CO" w:eastAsia="es-ES"/>
        </w:rPr>
        <w:t>n la sentencia del 11 de agosto de 2022,</w:t>
      </w:r>
      <w:r w:rsidRPr="00341ED2">
        <w:rPr>
          <w:szCs w:val="28"/>
          <w:lang w:val="es-CO" w:eastAsia="es-ES"/>
        </w:rPr>
        <w:t xml:space="preserve"> </w:t>
      </w:r>
      <w:r w:rsidR="00CA0E32" w:rsidRPr="00341ED2">
        <w:rPr>
          <w:szCs w:val="28"/>
          <w:lang w:val="es-CO" w:eastAsia="es-ES"/>
        </w:rPr>
        <w:t xml:space="preserve">el </w:t>
      </w:r>
      <w:r w:rsidRPr="00341ED2">
        <w:rPr>
          <w:szCs w:val="28"/>
          <w:lang w:val="es-CO" w:eastAsia="es-ES"/>
        </w:rPr>
        <w:t xml:space="preserve">Tribunal </w:t>
      </w:r>
      <w:r w:rsidR="008F10EE" w:rsidRPr="00341ED2">
        <w:rPr>
          <w:szCs w:val="28"/>
          <w:lang w:val="es-CO" w:eastAsia="es-ES"/>
        </w:rPr>
        <w:t>afirmó que, aunque no exist</w:t>
      </w:r>
      <w:r w:rsidR="00CA0E32" w:rsidRPr="00341ED2">
        <w:rPr>
          <w:szCs w:val="28"/>
          <w:lang w:val="es-CO" w:eastAsia="es-ES"/>
        </w:rPr>
        <w:t>ía</w:t>
      </w:r>
      <w:r w:rsidR="008F10EE" w:rsidRPr="00341ED2">
        <w:rPr>
          <w:szCs w:val="28"/>
          <w:lang w:val="es-CO" w:eastAsia="es-ES"/>
        </w:rPr>
        <w:t xml:space="preserve"> certeza sobre los hechos, el 25 de junio de 2012 </w:t>
      </w:r>
      <w:r w:rsidR="002174CD" w:rsidRPr="002174CD">
        <w:rPr>
          <w:i/>
          <w:iCs/>
          <w:szCs w:val="28"/>
          <w:lang w:val="es-CO" w:eastAsia="es-ES"/>
        </w:rPr>
        <w:t>Oscar</w:t>
      </w:r>
      <w:r w:rsidR="008F10EE" w:rsidRPr="00341ED2">
        <w:rPr>
          <w:szCs w:val="28"/>
          <w:lang w:val="es-CO" w:eastAsia="es-ES"/>
        </w:rPr>
        <w:t xml:space="preserve"> fue atendido por un posible trauma craneoencefálico y esta situación es «un evento de ejecución instantánea virtualmente cognoscible al mismo momento de su acaecimiento», por lo que «no es posible entender que el conocimiento del hecho solo se tuvo hasta que se calificó la magnitud de los perjuicios ocasionados a partir del trauma craneoencefálico»</w:t>
      </w:r>
      <w:r w:rsidR="004E3FB1" w:rsidRPr="00341ED2">
        <w:rPr>
          <w:rStyle w:val="Refdenotaalpie"/>
          <w:szCs w:val="28"/>
          <w:lang w:val="es-CO" w:eastAsia="es-ES"/>
        </w:rPr>
        <w:footnoteReference w:id="113"/>
      </w:r>
      <w:r w:rsidR="008F10EE" w:rsidRPr="00341ED2">
        <w:rPr>
          <w:szCs w:val="28"/>
          <w:lang w:val="es-CO" w:eastAsia="es-ES"/>
        </w:rPr>
        <w:t>.</w:t>
      </w:r>
    </w:p>
    <w:p w14:paraId="1A698B4E" w14:textId="77777777" w:rsidR="00CE554D" w:rsidRPr="00341ED2" w:rsidRDefault="00CE554D" w:rsidP="00CE554D">
      <w:pPr>
        <w:pStyle w:val="Prrafodelista"/>
        <w:widowControl w:val="0"/>
        <w:autoSpaceDE w:val="0"/>
        <w:autoSpaceDN w:val="0"/>
        <w:adjustRightInd w:val="0"/>
        <w:ind w:left="0"/>
        <w:rPr>
          <w:szCs w:val="28"/>
        </w:rPr>
      </w:pPr>
    </w:p>
    <w:p w14:paraId="174267CF" w14:textId="6245FCBC" w:rsidR="00CE554D" w:rsidRPr="00341ED2" w:rsidRDefault="00CE554D" w:rsidP="005A0B5C">
      <w:pPr>
        <w:pStyle w:val="Prrafodelista"/>
        <w:widowControl w:val="0"/>
        <w:numPr>
          <w:ilvl w:val="1"/>
          <w:numId w:val="17"/>
        </w:numPr>
        <w:autoSpaceDE w:val="0"/>
        <w:autoSpaceDN w:val="0"/>
        <w:adjustRightInd w:val="0"/>
        <w:rPr>
          <w:szCs w:val="28"/>
        </w:rPr>
      </w:pPr>
      <w:r w:rsidRPr="00341ED2">
        <w:rPr>
          <w:szCs w:val="28"/>
        </w:rPr>
        <w:t>No obstante</w:t>
      </w:r>
      <w:r w:rsidR="00344F0E" w:rsidRPr="00341ED2">
        <w:rPr>
          <w:szCs w:val="28"/>
        </w:rPr>
        <w:t>, para la Sala es claro que el Tribunal confundió el hecho generador –el posible trauma craneoencefálico– con el daño</w:t>
      </w:r>
      <w:r w:rsidRPr="00341ED2">
        <w:rPr>
          <w:szCs w:val="28"/>
        </w:rPr>
        <w:t xml:space="preserve"> </w:t>
      </w:r>
      <w:r w:rsidR="00344F0E" w:rsidRPr="00341ED2">
        <w:rPr>
          <w:szCs w:val="28"/>
        </w:rPr>
        <w:t xml:space="preserve">–el trastorno cognitivo–. Si bien es cierto que en junio de 2012 </w:t>
      </w:r>
      <w:r w:rsidR="002174CD" w:rsidRPr="002174CD">
        <w:rPr>
          <w:i/>
          <w:iCs/>
          <w:szCs w:val="28"/>
        </w:rPr>
        <w:t>Oscar</w:t>
      </w:r>
      <w:r w:rsidR="00344F0E" w:rsidRPr="00341ED2">
        <w:rPr>
          <w:szCs w:val="28"/>
        </w:rPr>
        <w:t xml:space="preserve"> </w:t>
      </w:r>
      <w:r w:rsidR="005A0B5C" w:rsidRPr="00341ED2">
        <w:rPr>
          <w:szCs w:val="28"/>
        </w:rPr>
        <w:t xml:space="preserve">fue atendido en urgencias por un presunto golpe en la cabeza, solo hasta noviembre de 2016 </w:t>
      </w:r>
      <w:r w:rsidR="00344F0E" w:rsidRPr="00341ED2">
        <w:rPr>
          <w:szCs w:val="28"/>
        </w:rPr>
        <w:t xml:space="preserve">él y su madre tuvieron </w:t>
      </w:r>
      <w:r w:rsidR="005A0B5C" w:rsidRPr="00341ED2">
        <w:rPr>
          <w:szCs w:val="28"/>
        </w:rPr>
        <w:t>conocimiento</w:t>
      </w:r>
      <w:r w:rsidR="00344F0E" w:rsidRPr="00341ED2">
        <w:rPr>
          <w:szCs w:val="28"/>
        </w:rPr>
        <w:t xml:space="preserve"> de la existencia de un daño cerebral irreversible.</w:t>
      </w:r>
      <w:r w:rsidR="005A0B5C" w:rsidRPr="00341ED2">
        <w:rPr>
          <w:szCs w:val="28"/>
        </w:rPr>
        <w:t xml:space="preserve"> Entre 2012 y 2016</w:t>
      </w:r>
      <w:r w:rsidR="00CA0E32" w:rsidRPr="00341ED2">
        <w:rPr>
          <w:szCs w:val="28"/>
        </w:rPr>
        <w:t>,</w:t>
      </w:r>
      <w:r w:rsidR="005A0B5C" w:rsidRPr="00341ED2">
        <w:rPr>
          <w:szCs w:val="28"/>
        </w:rPr>
        <w:t xml:space="preserve"> </w:t>
      </w:r>
      <w:r w:rsidR="002174CD" w:rsidRPr="002174CD">
        <w:rPr>
          <w:i/>
          <w:iCs/>
          <w:szCs w:val="28"/>
        </w:rPr>
        <w:t>Oscar</w:t>
      </w:r>
      <w:r w:rsidR="005A0B5C" w:rsidRPr="00341ED2">
        <w:rPr>
          <w:szCs w:val="28"/>
        </w:rPr>
        <w:t xml:space="preserve"> recibió atención médica de los síntomas que se derivaron del presunto trauma, pero n</w:t>
      </w:r>
      <w:r w:rsidR="00032135" w:rsidRPr="00341ED2">
        <w:rPr>
          <w:szCs w:val="28"/>
        </w:rPr>
        <w:t>o</w:t>
      </w:r>
      <w:r w:rsidR="005A0B5C" w:rsidRPr="00341ED2">
        <w:rPr>
          <w:szCs w:val="28"/>
        </w:rPr>
        <w:t xml:space="preserve"> </w:t>
      </w:r>
      <w:r w:rsidR="00CA0E32" w:rsidRPr="00341ED2">
        <w:rPr>
          <w:szCs w:val="28"/>
        </w:rPr>
        <w:t>tuvo</w:t>
      </w:r>
      <w:r w:rsidR="005A0B5C" w:rsidRPr="00341ED2">
        <w:rPr>
          <w:szCs w:val="28"/>
        </w:rPr>
        <w:t xml:space="preserve"> claridad </w:t>
      </w:r>
      <w:r w:rsidR="00CA0E32" w:rsidRPr="00341ED2">
        <w:rPr>
          <w:szCs w:val="28"/>
        </w:rPr>
        <w:t xml:space="preserve">inmediata </w:t>
      </w:r>
      <w:r w:rsidR="005A0B5C" w:rsidRPr="00341ED2">
        <w:rPr>
          <w:szCs w:val="28"/>
        </w:rPr>
        <w:t>de que estos síntomas</w:t>
      </w:r>
      <w:r w:rsidR="00CA0E32" w:rsidRPr="00341ED2">
        <w:rPr>
          <w:szCs w:val="28"/>
        </w:rPr>
        <w:t xml:space="preserve"> –</w:t>
      </w:r>
      <w:r w:rsidR="004E3FB1" w:rsidRPr="00341ED2">
        <w:rPr>
          <w:szCs w:val="28"/>
        </w:rPr>
        <w:t>que en ocasiones mejoraban</w:t>
      </w:r>
      <w:r w:rsidR="00CA0E32" w:rsidRPr="00341ED2">
        <w:rPr>
          <w:szCs w:val="28"/>
        </w:rPr>
        <w:t>–</w:t>
      </w:r>
      <w:r w:rsidR="005A0B5C" w:rsidRPr="00341ED2">
        <w:rPr>
          <w:szCs w:val="28"/>
        </w:rPr>
        <w:t xml:space="preserve"> eran la manifestación de una lesión cerebral</w:t>
      </w:r>
      <w:r w:rsidR="004E3FB1" w:rsidRPr="00341ED2">
        <w:rPr>
          <w:szCs w:val="28"/>
        </w:rPr>
        <w:t xml:space="preserve"> irreversible</w:t>
      </w:r>
      <w:r w:rsidR="005A0B5C" w:rsidRPr="00341ED2">
        <w:rPr>
          <w:szCs w:val="28"/>
        </w:rPr>
        <w:t xml:space="preserve">. </w:t>
      </w:r>
      <w:r w:rsidR="009D60F0" w:rsidRPr="00341ED2">
        <w:rPr>
          <w:szCs w:val="28"/>
        </w:rPr>
        <w:t>El Tribunal omitió considerar de manera cuidados</w:t>
      </w:r>
      <w:r w:rsidR="004F5C74">
        <w:rPr>
          <w:szCs w:val="28"/>
        </w:rPr>
        <w:t>a</w:t>
      </w:r>
      <w:r w:rsidR="009D60F0" w:rsidRPr="00341ED2">
        <w:rPr>
          <w:szCs w:val="28"/>
        </w:rPr>
        <w:t xml:space="preserve"> y detallada las pruebas obrantes en el expediente y consideró </w:t>
      </w:r>
      <w:r w:rsidR="004F5C74">
        <w:rPr>
          <w:szCs w:val="28"/>
        </w:rPr>
        <w:t>erradamente</w:t>
      </w:r>
      <w:r w:rsidR="009D60F0" w:rsidRPr="00341ED2">
        <w:rPr>
          <w:szCs w:val="28"/>
        </w:rPr>
        <w:t xml:space="preserve"> que el trauma craneoencefálico era el daño</w:t>
      </w:r>
      <w:r w:rsidR="004E3FB1" w:rsidRPr="00341ED2">
        <w:rPr>
          <w:szCs w:val="28"/>
        </w:rPr>
        <w:t xml:space="preserve"> en sí mismo</w:t>
      </w:r>
      <w:r w:rsidR="009D60F0" w:rsidRPr="00341ED2">
        <w:rPr>
          <w:szCs w:val="28"/>
        </w:rPr>
        <w:t xml:space="preserve">. En realidad, se reitera, el hecho generador del daño fue el trauma craneoencefálico y el daño fue la lesión cerebral permanente que este trauma le causó a </w:t>
      </w:r>
      <w:r w:rsidR="002174CD" w:rsidRPr="002174CD">
        <w:rPr>
          <w:i/>
          <w:iCs/>
          <w:szCs w:val="28"/>
        </w:rPr>
        <w:t>Oscar</w:t>
      </w:r>
      <w:r w:rsidR="009D60F0" w:rsidRPr="00341ED2">
        <w:rPr>
          <w:szCs w:val="28"/>
        </w:rPr>
        <w:t>.</w:t>
      </w:r>
    </w:p>
    <w:p w14:paraId="3D64457A" w14:textId="77777777" w:rsidR="00C971A2" w:rsidRPr="00341ED2" w:rsidRDefault="00C971A2" w:rsidP="009D60F0">
      <w:pPr>
        <w:pStyle w:val="Prrafodelista"/>
        <w:widowControl w:val="0"/>
        <w:autoSpaceDE w:val="0"/>
        <w:autoSpaceDN w:val="0"/>
        <w:adjustRightInd w:val="0"/>
        <w:ind w:left="0"/>
        <w:rPr>
          <w:szCs w:val="28"/>
        </w:rPr>
      </w:pPr>
    </w:p>
    <w:p w14:paraId="128931A0" w14:textId="70EECDB6" w:rsidR="00E23494" w:rsidRPr="00341ED2" w:rsidRDefault="009D60F0" w:rsidP="00A56ADA">
      <w:pPr>
        <w:pStyle w:val="Prrafodelista"/>
        <w:widowControl w:val="0"/>
        <w:numPr>
          <w:ilvl w:val="1"/>
          <w:numId w:val="17"/>
        </w:numPr>
        <w:autoSpaceDE w:val="0"/>
        <w:autoSpaceDN w:val="0"/>
        <w:adjustRightInd w:val="0"/>
        <w:rPr>
          <w:szCs w:val="28"/>
        </w:rPr>
      </w:pPr>
      <w:r w:rsidRPr="00341ED2">
        <w:rPr>
          <w:szCs w:val="28"/>
        </w:rPr>
        <w:t>Sobre este punto</w:t>
      </w:r>
      <w:r w:rsidR="00517C40" w:rsidRPr="00341ED2">
        <w:rPr>
          <w:szCs w:val="28"/>
        </w:rPr>
        <w:t>,</w:t>
      </w:r>
      <w:r w:rsidRPr="00341ED2">
        <w:rPr>
          <w:szCs w:val="28"/>
        </w:rPr>
        <w:t xml:space="preserve"> es importante traer a colación lo dicho por los peritos en la primera instancia del proceso de reparación directa, lo cual no fue tenido en cuenta por el Tribunal en su decisión</w:t>
      </w:r>
      <w:r w:rsidR="00CA0E32" w:rsidRPr="00341ED2">
        <w:rPr>
          <w:szCs w:val="28"/>
        </w:rPr>
        <w:t xml:space="preserve"> de declarar la caducidad de la acción</w:t>
      </w:r>
      <w:r w:rsidRPr="00341ED2">
        <w:rPr>
          <w:szCs w:val="28"/>
        </w:rPr>
        <w:t>.</w:t>
      </w:r>
      <w:r w:rsidR="00E23494" w:rsidRPr="00341ED2">
        <w:rPr>
          <w:szCs w:val="28"/>
        </w:rPr>
        <w:t xml:space="preserve"> L</w:t>
      </w:r>
      <w:r w:rsidR="00C971A2" w:rsidRPr="00341ED2">
        <w:rPr>
          <w:szCs w:val="28"/>
        </w:rPr>
        <w:t xml:space="preserve">os dos médicos psiquiatras </w:t>
      </w:r>
      <w:r w:rsidR="00CA0E32" w:rsidRPr="00341ED2">
        <w:rPr>
          <w:szCs w:val="28"/>
        </w:rPr>
        <w:t>señalaron</w:t>
      </w:r>
      <w:r w:rsidR="00C971A2" w:rsidRPr="00341ED2">
        <w:rPr>
          <w:szCs w:val="28"/>
        </w:rPr>
        <w:t xml:space="preserve"> que los trastornos cognitivos derivados de un trauma craneoencefálico son difíciles de diagnosticar porque, en ocasiones, «</w:t>
      </w:r>
      <w:r w:rsidR="00C971A2" w:rsidRPr="00341ED2">
        <w:rPr>
          <w:szCs w:val="28"/>
          <w:lang w:val="es-CO" w:eastAsia="es-ES"/>
        </w:rPr>
        <w:t>en las resonancias magnéticas y en los TAC que se toman no hay una alteración clara en la estructura cerebral, pero sí se produce una alteración marcada en la conducta del paciente». Es decir, es posible que el paciente «vea disminuida la capacidad de memoria, atención y planeación sin que exista una lesión demostrable»</w:t>
      </w:r>
      <w:r w:rsidR="00C971A2" w:rsidRPr="00341ED2">
        <w:rPr>
          <w:rStyle w:val="Refdenotaalpie"/>
          <w:rFonts w:eastAsiaTheme="minorHAnsi"/>
          <w:szCs w:val="28"/>
        </w:rPr>
        <w:footnoteReference w:id="114"/>
      </w:r>
      <w:r w:rsidR="00C971A2" w:rsidRPr="00341ED2">
        <w:rPr>
          <w:szCs w:val="28"/>
          <w:lang w:val="es-CO" w:eastAsia="es-ES"/>
        </w:rPr>
        <w:t xml:space="preserve">. </w:t>
      </w:r>
      <w:r w:rsidR="00A56ADA" w:rsidRPr="00341ED2">
        <w:rPr>
          <w:szCs w:val="28"/>
          <w:lang w:val="es-CO" w:eastAsia="es-ES"/>
        </w:rPr>
        <w:t>Así mismo, precisaron que las lesiones cerebrales «</w:t>
      </w:r>
      <w:r w:rsidR="00C971A2" w:rsidRPr="00341ED2">
        <w:rPr>
          <w:szCs w:val="28"/>
          <w:lang w:val="es-CO" w:eastAsia="es-ES"/>
        </w:rPr>
        <w:t>deben tener un tiempo suficiente para estabilizarse y poder establecer su diagnóstico</w:t>
      </w:r>
      <w:r w:rsidR="00A56ADA" w:rsidRPr="00341ED2">
        <w:rPr>
          <w:szCs w:val="28"/>
          <w:lang w:val="es-CO" w:eastAsia="es-ES"/>
        </w:rPr>
        <w:t>»</w:t>
      </w:r>
      <w:r w:rsidR="00C971A2" w:rsidRPr="00341ED2">
        <w:rPr>
          <w:szCs w:val="28"/>
          <w:lang w:val="es-CO" w:eastAsia="es-ES"/>
        </w:rPr>
        <w:t>.</w:t>
      </w:r>
      <w:r w:rsidR="00A56ADA" w:rsidRPr="00341ED2">
        <w:rPr>
          <w:szCs w:val="28"/>
          <w:lang w:val="es-CO" w:eastAsia="es-ES"/>
        </w:rPr>
        <w:t xml:space="preserve"> Incluso, «</w:t>
      </w:r>
      <w:r w:rsidR="00C971A2" w:rsidRPr="00341ED2">
        <w:rPr>
          <w:szCs w:val="28"/>
          <w:lang w:val="es-CO" w:eastAsia="es-ES"/>
        </w:rPr>
        <w:t>los manuales de calificación de pérdida de capacidad laboral establecen que debe existir un tiempo suficiente de desarrollo de la patología para no hacer diagnósticos a la ligera ante las crisis y las posibles mejoras de los pacientes</w:t>
      </w:r>
      <w:r w:rsidR="00A56ADA" w:rsidRPr="00341ED2">
        <w:rPr>
          <w:szCs w:val="28"/>
          <w:lang w:val="es-CO" w:eastAsia="es-ES"/>
        </w:rPr>
        <w:t>»</w:t>
      </w:r>
      <w:r w:rsidR="00A56ADA" w:rsidRPr="00341ED2">
        <w:rPr>
          <w:rStyle w:val="Refdenotaalpie"/>
          <w:rFonts w:eastAsiaTheme="minorHAnsi"/>
          <w:szCs w:val="28"/>
        </w:rPr>
        <w:footnoteReference w:id="115"/>
      </w:r>
      <w:r w:rsidR="00A56ADA" w:rsidRPr="00341ED2">
        <w:rPr>
          <w:szCs w:val="28"/>
          <w:lang w:val="es-CO" w:eastAsia="es-ES"/>
        </w:rPr>
        <w:t>.</w:t>
      </w:r>
    </w:p>
    <w:p w14:paraId="53A1FE5C" w14:textId="77777777" w:rsidR="00E5045E" w:rsidRPr="00341ED2" w:rsidRDefault="00E5045E" w:rsidP="00E5045E">
      <w:pPr>
        <w:pStyle w:val="Prrafodelista"/>
        <w:widowControl w:val="0"/>
        <w:autoSpaceDE w:val="0"/>
        <w:autoSpaceDN w:val="0"/>
        <w:adjustRightInd w:val="0"/>
        <w:ind w:left="0"/>
        <w:rPr>
          <w:szCs w:val="28"/>
        </w:rPr>
      </w:pPr>
    </w:p>
    <w:p w14:paraId="15AC79DA" w14:textId="33DDF5E2" w:rsidR="003501F8" w:rsidRPr="00341ED2" w:rsidRDefault="00862A62" w:rsidP="000F1FCD">
      <w:pPr>
        <w:pStyle w:val="Prrafodelista"/>
        <w:widowControl w:val="0"/>
        <w:numPr>
          <w:ilvl w:val="1"/>
          <w:numId w:val="17"/>
        </w:numPr>
        <w:autoSpaceDE w:val="0"/>
        <w:autoSpaceDN w:val="0"/>
        <w:adjustRightInd w:val="0"/>
        <w:rPr>
          <w:szCs w:val="28"/>
        </w:rPr>
      </w:pPr>
      <w:r w:rsidRPr="00341ED2">
        <w:rPr>
          <w:szCs w:val="28"/>
          <w:lang w:val="es-CO" w:eastAsia="es-ES"/>
        </w:rPr>
        <w:t>Así las cosas</w:t>
      </w:r>
      <w:r w:rsidR="00671F99" w:rsidRPr="00341ED2">
        <w:rPr>
          <w:szCs w:val="28"/>
          <w:lang w:val="es-CO" w:eastAsia="es-ES"/>
        </w:rPr>
        <w:t xml:space="preserve">, la Sala concluye </w:t>
      </w:r>
      <w:r w:rsidR="003501F8" w:rsidRPr="00341ED2">
        <w:rPr>
          <w:szCs w:val="28"/>
          <w:lang w:val="es-CO" w:eastAsia="es-ES"/>
        </w:rPr>
        <w:t xml:space="preserve">en el presente caso </w:t>
      </w:r>
      <w:r w:rsidR="003872E8" w:rsidRPr="00341ED2">
        <w:rPr>
          <w:szCs w:val="28"/>
          <w:lang w:val="es-CO" w:eastAsia="es-ES"/>
        </w:rPr>
        <w:t xml:space="preserve">la consolidación del daño no coincidió con </w:t>
      </w:r>
      <w:r w:rsidR="002B1D07" w:rsidRPr="00341ED2">
        <w:rPr>
          <w:szCs w:val="28"/>
          <w:lang w:val="es-CO" w:eastAsia="es-ES"/>
        </w:rPr>
        <w:t xml:space="preserve">el presunto trauma craneoencefálico que sufrió </w:t>
      </w:r>
      <w:r w:rsidR="002174CD" w:rsidRPr="002174CD">
        <w:rPr>
          <w:i/>
          <w:iCs/>
          <w:szCs w:val="28"/>
          <w:lang w:val="es-CO" w:eastAsia="es-ES"/>
        </w:rPr>
        <w:t>Oscar</w:t>
      </w:r>
      <w:r w:rsidR="003872E8" w:rsidRPr="00341ED2">
        <w:rPr>
          <w:szCs w:val="28"/>
          <w:lang w:val="es-CO" w:eastAsia="es-ES"/>
        </w:rPr>
        <w:t xml:space="preserve">. Por el contrario, </w:t>
      </w:r>
      <w:r w:rsidR="00CA0E32" w:rsidRPr="00341ED2">
        <w:rPr>
          <w:szCs w:val="28"/>
          <w:lang w:val="es-CO" w:eastAsia="es-ES"/>
        </w:rPr>
        <w:t>si bien</w:t>
      </w:r>
      <w:r w:rsidR="003872E8" w:rsidRPr="00341ED2">
        <w:rPr>
          <w:szCs w:val="28"/>
          <w:lang w:val="es-CO" w:eastAsia="es-ES"/>
        </w:rPr>
        <w:t xml:space="preserve"> desde el </w:t>
      </w:r>
      <w:r w:rsidR="002B1D07" w:rsidRPr="00341ED2">
        <w:rPr>
          <w:szCs w:val="28"/>
          <w:lang w:val="es-CO" w:eastAsia="es-ES"/>
        </w:rPr>
        <w:t>25</w:t>
      </w:r>
      <w:r w:rsidR="003872E8" w:rsidRPr="00341ED2">
        <w:rPr>
          <w:szCs w:val="28"/>
          <w:lang w:val="es-CO" w:eastAsia="es-ES"/>
        </w:rPr>
        <w:t xml:space="preserve"> de </w:t>
      </w:r>
      <w:r w:rsidR="002B1D07" w:rsidRPr="00341ED2">
        <w:rPr>
          <w:szCs w:val="28"/>
          <w:lang w:val="es-CO" w:eastAsia="es-ES"/>
        </w:rPr>
        <w:t>junio</w:t>
      </w:r>
      <w:r w:rsidR="003872E8" w:rsidRPr="00341ED2">
        <w:rPr>
          <w:szCs w:val="28"/>
          <w:lang w:val="es-CO" w:eastAsia="es-ES"/>
        </w:rPr>
        <w:t xml:space="preserve"> de </w:t>
      </w:r>
      <w:r w:rsidR="002B1D07" w:rsidRPr="00341ED2">
        <w:rPr>
          <w:szCs w:val="28"/>
          <w:lang w:val="es-CO" w:eastAsia="es-ES"/>
        </w:rPr>
        <w:t>2012</w:t>
      </w:r>
      <w:r w:rsidR="003872E8" w:rsidRPr="00341ED2">
        <w:rPr>
          <w:szCs w:val="28"/>
          <w:lang w:val="es-CO" w:eastAsia="es-ES"/>
        </w:rPr>
        <w:t xml:space="preserve"> fue evi</w:t>
      </w:r>
      <w:r w:rsidR="00111773" w:rsidRPr="00341ED2">
        <w:rPr>
          <w:szCs w:val="28"/>
          <w:lang w:val="es-CO" w:eastAsia="es-ES"/>
        </w:rPr>
        <w:t>dent</w:t>
      </w:r>
      <w:r w:rsidR="003872E8" w:rsidRPr="00341ED2">
        <w:rPr>
          <w:szCs w:val="28"/>
          <w:lang w:val="es-CO" w:eastAsia="es-ES"/>
        </w:rPr>
        <w:t xml:space="preserve">e que el </w:t>
      </w:r>
      <w:r w:rsidR="002B1D07" w:rsidRPr="00341ED2">
        <w:rPr>
          <w:szCs w:val="28"/>
          <w:lang w:val="es-CO" w:eastAsia="es-ES"/>
        </w:rPr>
        <w:t>joven sufrió una lesión en la cabeza que afectó su comportamiento</w:t>
      </w:r>
      <w:r w:rsidR="00111773" w:rsidRPr="00341ED2">
        <w:rPr>
          <w:szCs w:val="28"/>
          <w:lang w:val="es-CO" w:eastAsia="es-ES"/>
        </w:rPr>
        <w:t xml:space="preserve">, tanto </w:t>
      </w:r>
      <w:r w:rsidR="002B1D07" w:rsidRPr="00341ED2">
        <w:rPr>
          <w:szCs w:val="28"/>
          <w:lang w:val="es-CO" w:eastAsia="es-ES"/>
        </w:rPr>
        <w:t>su madre</w:t>
      </w:r>
      <w:r w:rsidR="00111773" w:rsidRPr="00341ED2">
        <w:rPr>
          <w:szCs w:val="28"/>
          <w:lang w:val="es-CO" w:eastAsia="es-ES"/>
        </w:rPr>
        <w:t xml:space="preserve"> como los médicos que lo atendieron</w:t>
      </w:r>
      <w:r w:rsidR="003872E8" w:rsidRPr="00341ED2">
        <w:rPr>
          <w:szCs w:val="28"/>
          <w:lang w:val="es-CO" w:eastAsia="es-ES"/>
        </w:rPr>
        <w:t xml:space="preserve"> desconocía</w:t>
      </w:r>
      <w:r w:rsidR="00111773" w:rsidRPr="00341ED2">
        <w:rPr>
          <w:szCs w:val="28"/>
          <w:lang w:val="es-CO" w:eastAsia="es-ES"/>
        </w:rPr>
        <w:t>n</w:t>
      </w:r>
      <w:r w:rsidR="003872E8" w:rsidRPr="00341ED2">
        <w:rPr>
          <w:szCs w:val="28"/>
          <w:lang w:val="es-CO" w:eastAsia="es-ES"/>
        </w:rPr>
        <w:t xml:space="preserve"> qué tipo de lesión era y sus características</w:t>
      </w:r>
      <w:r w:rsidR="002B1D07" w:rsidRPr="00341ED2">
        <w:rPr>
          <w:szCs w:val="28"/>
          <w:lang w:val="es-CO" w:eastAsia="es-ES"/>
        </w:rPr>
        <w:t>.</w:t>
      </w:r>
      <w:r w:rsidR="003872E8" w:rsidRPr="00341ED2">
        <w:rPr>
          <w:szCs w:val="28"/>
          <w:lang w:val="es-CO" w:eastAsia="es-ES"/>
        </w:rPr>
        <w:t xml:space="preserve"> </w:t>
      </w:r>
      <w:r w:rsidR="002B1D07" w:rsidRPr="00341ED2">
        <w:rPr>
          <w:szCs w:val="28"/>
          <w:lang w:val="es-CO" w:eastAsia="es-ES"/>
        </w:rPr>
        <w:t>E</w:t>
      </w:r>
      <w:r w:rsidR="003872E8" w:rsidRPr="00341ED2">
        <w:rPr>
          <w:szCs w:val="28"/>
          <w:lang w:val="es-CO" w:eastAsia="es-ES"/>
        </w:rPr>
        <w:t>sto solo fue posible conocerlo luego de</w:t>
      </w:r>
      <w:r w:rsidR="002B1D07" w:rsidRPr="00341ED2">
        <w:rPr>
          <w:szCs w:val="28"/>
          <w:lang w:val="es-CO" w:eastAsia="es-ES"/>
        </w:rPr>
        <w:t xml:space="preserve"> que la lesión cerebral se estabilizara y</w:t>
      </w:r>
      <w:r w:rsidR="003872E8" w:rsidRPr="00341ED2">
        <w:rPr>
          <w:szCs w:val="28"/>
          <w:lang w:val="es-CO" w:eastAsia="es-ES"/>
        </w:rPr>
        <w:t xml:space="preserve"> </w:t>
      </w:r>
      <w:r w:rsidR="002B1D07" w:rsidRPr="00341ED2">
        <w:rPr>
          <w:szCs w:val="28"/>
          <w:lang w:val="es-CO" w:eastAsia="es-ES"/>
        </w:rPr>
        <w:t xml:space="preserve">fuera adecuadamente </w:t>
      </w:r>
      <w:r w:rsidR="000F1FCD" w:rsidRPr="00341ED2">
        <w:rPr>
          <w:szCs w:val="28"/>
          <w:lang w:val="es-CO" w:eastAsia="es-ES"/>
        </w:rPr>
        <w:t>identificada</w:t>
      </w:r>
      <w:r w:rsidR="002B1D07" w:rsidRPr="00341ED2">
        <w:rPr>
          <w:szCs w:val="28"/>
          <w:lang w:val="es-CO" w:eastAsia="es-ES"/>
        </w:rPr>
        <w:t xml:space="preserve"> </w:t>
      </w:r>
      <w:r w:rsidR="000F1FCD" w:rsidRPr="00341ED2">
        <w:rPr>
          <w:szCs w:val="28"/>
          <w:lang w:val="es-CO" w:eastAsia="es-ES"/>
        </w:rPr>
        <w:t>en</w:t>
      </w:r>
      <w:r w:rsidR="002B1D07" w:rsidRPr="00341ED2">
        <w:rPr>
          <w:szCs w:val="28"/>
          <w:lang w:val="es-CO" w:eastAsia="es-ES"/>
        </w:rPr>
        <w:t xml:space="preserve"> los conceptos </w:t>
      </w:r>
      <w:r w:rsidR="000F1FCD" w:rsidRPr="00341ED2">
        <w:rPr>
          <w:szCs w:val="28"/>
          <w:lang w:val="es-CO" w:eastAsia="es-ES"/>
        </w:rPr>
        <w:t xml:space="preserve">de neuropsicología, neurología y psiquiatría que fundamentaron el dictamen de PCL de la Junta Médica Laboral del Ejército Nacional. </w:t>
      </w:r>
      <w:r w:rsidR="00550EB3" w:rsidRPr="00341ED2">
        <w:rPr>
          <w:szCs w:val="28"/>
          <w:lang w:val="es-CO" w:eastAsia="es-ES"/>
        </w:rPr>
        <w:t xml:space="preserve">Por lo tanto, resulta desproporcionado </w:t>
      </w:r>
      <w:r w:rsidR="000F1FCD" w:rsidRPr="00341ED2">
        <w:rPr>
          <w:szCs w:val="28"/>
          <w:lang w:val="es-CO" w:eastAsia="es-ES"/>
        </w:rPr>
        <w:t>asumir</w:t>
      </w:r>
      <w:r w:rsidR="00550EB3" w:rsidRPr="00341ED2">
        <w:rPr>
          <w:szCs w:val="28"/>
          <w:lang w:val="es-CO" w:eastAsia="es-ES"/>
        </w:rPr>
        <w:t xml:space="preserve"> que </w:t>
      </w:r>
      <w:r w:rsidR="000F1FCD" w:rsidRPr="00341ED2">
        <w:rPr>
          <w:szCs w:val="28"/>
          <w:lang w:val="es-CO" w:eastAsia="es-ES"/>
        </w:rPr>
        <w:t>a</w:t>
      </w:r>
      <w:r w:rsidR="00550EB3" w:rsidRPr="00341ED2">
        <w:rPr>
          <w:szCs w:val="28"/>
          <w:lang w:val="es-CO" w:eastAsia="es-ES"/>
        </w:rPr>
        <w:t xml:space="preserve">l accionante conocía </w:t>
      </w:r>
      <w:r w:rsidR="00FE40CA" w:rsidRPr="00341ED2">
        <w:rPr>
          <w:szCs w:val="28"/>
          <w:lang w:val="es-CO" w:eastAsia="es-ES"/>
        </w:rPr>
        <w:t xml:space="preserve">o debía conocer </w:t>
      </w:r>
      <w:r w:rsidR="00550EB3" w:rsidRPr="00341ED2">
        <w:rPr>
          <w:szCs w:val="28"/>
          <w:lang w:val="es-CO" w:eastAsia="es-ES"/>
        </w:rPr>
        <w:t xml:space="preserve">de manera cierta y concreta el daño sufrido </w:t>
      </w:r>
      <w:r w:rsidR="000F1FCD" w:rsidRPr="00341ED2">
        <w:rPr>
          <w:szCs w:val="28"/>
          <w:lang w:val="es-CO" w:eastAsia="es-ES"/>
        </w:rPr>
        <w:t xml:space="preserve">por su hijo </w:t>
      </w:r>
      <w:r w:rsidR="006506F0" w:rsidRPr="00341ED2">
        <w:rPr>
          <w:szCs w:val="28"/>
          <w:lang w:val="es-CO" w:eastAsia="es-ES"/>
        </w:rPr>
        <w:t>desde el primer día</w:t>
      </w:r>
      <w:r w:rsidR="000F1FCD" w:rsidRPr="00341ED2">
        <w:rPr>
          <w:szCs w:val="28"/>
          <w:lang w:val="es-CO" w:eastAsia="es-ES"/>
        </w:rPr>
        <w:t>,</w:t>
      </w:r>
      <w:r w:rsidR="006506F0" w:rsidRPr="00341ED2">
        <w:rPr>
          <w:szCs w:val="28"/>
          <w:lang w:val="es-CO" w:eastAsia="es-ES"/>
        </w:rPr>
        <w:t xml:space="preserve"> cuando el personal médico necesitó de varios exámenes y valoraciones para llegar a una conclusión definitiva.</w:t>
      </w:r>
    </w:p>
    <w:p w14:paraId="7189AD17" w14:textId="77777777" w:rsidR="000F1FCD" w:rsidRPr="00341ED2" w:rsidRDefault="000F1FCD" w:rsidP="000F1FCD">
      <w:pPr>
        <w:pStyle w:val="Prrafodelista"/>
        <w:widowControl w:val="0"/>
        <w:autoSpaceDE w:val="0"/>
        <w:autoSpaceDN w:val="0"/>
        <w:adjustRightInd w:val="0"/>
        <w:ind w:left="0"/>
        <w:rPr>
          <w:szCs w:val="28"/>
        </w:rPr>
      </w:pPr>
    </w:p>
    <w:p w14:paraId="0F3BDA4C" w14:textId="1DBE4266" w:rsidR="00D77144" w:rsidRPr="00341ED2" w:rsidRDefault="00D92768" w:rsidP="00D77144">
      <w:pPr>
        <w:pStyle w:val="Prrafodelista"/>
        <w:widowControl w:val="0"/>
        <w:numPr>
          <w:ilvl w:val="1"/>
          <w:numId w:val="17"/>
        </w:numPr>
        <w:autoSpaceDE w:val="0"/>
        <w:autoSpaceDN w:val="0"/>
        <w:adjustRightInd w:val="0"/>
        <w:rPr>
          <w:szCs w:val="28"/>
        </w:rPr>
      </w:pPr>
      <w:r w:rsidRPr="00341ED2">
        <w:rPr>
          <w:szCs w:val="28"/>
          <w:lang w:val="es-CO" w:eastAsia="es-ES"/>
        </w:rPr>
        <w:t>En criterio de la Sala,</w:t>
      </w:r>
      <w:r w:rsidR="00862A62" w:rsidRPr="00341ED2">
        <w:rPr>
          <w:szCs w:val="28"/>
          <w:lang w:val="es-CO" w:eastAsia="es-ES"/>
        </w:rPr>
        <w:t xml:space="preserve"> </w:t>
      </w:r>
      <w:r w:rsidR="00BA1AF6" w:rsidRPr="00341ED2">
        <w:rPr>
          <w:szCs w:val="28"/>
          <w:lang w:val="es-CO" w:eastAsia="es-ES"/>
        </w:rPr>
        <w:t xml:space="preserve">el cómputo del término de caducidad ha debido iniciar el </w:t>
      </w:r>
      <w:r w:rsidR="000F1FCD" w:rsidRPr="00341ED2">
        <w:rPr>
          <w:szCs w:val="28"/>
          <w:lang w:val="es-CO" w:eastAsia="es-ES"/>
        </w:rPr>
        <w:t>21</w:t>
      </w:r>
      <w:r w:rsidR="00BA1AF6" w:rsidRPr="00341ED2">
        <w:rPr>
          <w:szCs w:val="28"/>
          <w:lang w:val="es-CO" w:eastAsia="es-ES"/>
        </w:rPr>
        <w:t xml:space="preserve"> de </w:t>
      </w:r>
      <w:r w:rsidR="000F1FCD" w:rsidRPr="00341ED2">
        <w:rPr>
          <w:szCs w:val="28"/>
          <w:lang w:val="es-CO" w:eastAsia="es-ES"/>
        </w:rPr>
        <w:t>noviembre</w:t>
      </w:r>
      <w:r w:rsidR="00BA1AF6" w:rsidRPr="00341ED2">
        <w:rPr>
          <w:szCs w:val="28"/>
          <w:lang w:val="es-CO" w:eastAsia="es-ES"/>
        </w:rPr>
        <w:t xml:space="preserve"> de 201</w:t>
      </w:r>
      <w:r w:rsidR="000F1FCD" w:rsidRPr="00341ED2">
        <w:rPr>
          <w:szCs w:val="28"/>
          <w:lang w:val="es-CO" w:eastAsia="es-ES"/>
        </w:rPr>
        <w:t>6</w:t>
      </w:r>
      <w:r w:rsidR="00BA1AF6" w:rsidRPr="00341ED2">
        <w:rPr>
          <w:szCs w:val="28"/>
          <w:lang w:val="es-CO" w:eastAsia="es-ES"/>
        </w:rPr>
        <w:t xml:space="preserve">. </w:t>
      </w:r>
      <w:r w:rsidR="00A24425" w:rsidRPr="00341ED2">
        <w:rPr>
          <w:szCs w:val="28"/>
          <w:lang w:val="es-CO" w:eastAsia="es-ES"/>
        </w:rPr>
        <w:t>Sobre el particular, es importante resaltar que</w:t>
      </w:r>
      <w:r w:rsidR="00C14388" w:rsidRPr="00341ED2">
        <w:rPr>
          <w:szCs w:val="28"/>
          <w:lang w:val="es-CO" w:eastAsia="es-ES"/>
        </w:rPr>
        <w:t xml:space="preserve"> de esta manera</w:t>
      </w:r>
      <w:r w:rsidR="00A24425" w:rsidRPr="00341ED2">
        <w:rPr>
          <w:szCs w:val="28"/>
          <w:lang w:val="es-CO" w:eastAsia="es-ES"/>
        </w:rPr>
        <w:t xml:space="preserve"> no se está usando como referencia el momento en el que el accionante conoció la magnitud del daño</w:t>
      </w:r>
      <w:r w:rsidR="00CB170A" w:rsidRPr="00341ED2">
        <w:rPr>
          <w:szCs w:val="28"/>
          <w:lang w:val="es-CO" w:eastAsia="es-ES"/>
        </w:rPr>
        <w:t>, como equivocadamente lo entendi</w:t>
      </w:r>
      <w:r w:rsidR="000F1FCD" w:rsidRPr="00341ED2">
        <w:rPr>
          <w:szCs w:val="28"/>
          <w:lang w:val="es-CO" w:eastAsia="es-ES"/>
        </w:rPr>
        <w:t xml:space="preserve">ó </w:t>
      </w:r>
      <w:r w:rsidR="00A50F4F" w:rsidRPr="00341ED2">
        <w:rPr>
          <w:szCs w:val="28"/>
          <w:lang w:val="es-CO" w:eastAsia="es-ES"/>
        </w:rPr>
        <w:t>la autoridad judicial accionada</w:t>
      </w:r>
      <w:r w:rsidR="00CB170A" w:rsidRPr="00341ED2">
        <w:rPr>
          <w:szCs w:val="28"/>
          <w:lang w:val="es-CO" w:eastAsia="es-ES"/>
        </w:rPr>
        <w:t xml:space="preserve">. Esto es así, debido a que </w:t>
      </w:r>
      <w:r w:rsidR="002B4D7B" w:rsidRPr="00341ED2">
        <w:rPr>
          <w:szCs w:val="28"/>
          <w:lang w:val="es-CO" w:eastAsia="es-ES"/>
        </w:rPr>
        <w:t>antes de ese momento no existía un diagnóstico final que le permitiera a</w:t>
      </w:r>
      <w:r w:rsidR="000F1FCD" w:rsidRPr="00341ED2">
        <w:rPr>
          <w:szCs w:val="28"/>
          <w:lang w:val="es-CO" w:eastAsia="es-ES"/>
        </w:rPr>
        <w:t xml:space="preserve"> </w:t>
      </w:r>
      <w:r w:rsidR="002B4D7B" w:rsidRPr="00341ED2">
        <w:rPr>
          <w:szCs w:val="28"/>
          <w:lang w:val="es-CO" w:eastAsia="es-ES"/>
        </w:rPr>
        <w:t>l</w:t>
      </w:r>
      <w:r w:rsidR="000F1FCD" w:rsidRPr="00341ED2">
        <w:rPr>
          <w:szCs w:val="28"/>
          <w:lang w:val="es-CO" w:eastAsia="es-ES"/>
        </w:rPr>
        <w:t>a</w:t>
      </w:r>
      <w:r w:rsidR="002B4D7B" w:rsidRPr="00341ED2">
        <w:rPr>
          <w:szCs w:val="28"/>
          <w:lang w:val="es-CO" w:eastAsia="es-ES"/>
        </w:rPr>
        <w:t xml:space="preserve"> accionante tener certeza sobre la lesión </w:t>
      </w:r>
      <w:r w:rsidR="000F1FCD" w:rsidRPr="00341ED2">
        <w:rPr>
          <w:szCs w:val="28"/>
          <w:lang w:val="es-CO" w:eastAsia="es-ES"/>
        </w:rPr>
        <w:t>de su hijo.</w:t>
      </w:r>
      <w:r w:rsidR="00D77144" w:rsidRPr="00341ED2">
        <w:rPr>
          <w:szCs w:val="28"/>
          <w:lang w:val="es-CO" w:eastAsia="es-ES"/>
        </w:rPr>
        <w:t xml:space="preserve"> Sobre el particular, es importante destacar que en el presente caso es procedente flexibilizar el cómputo de la caducidad en la manera en que ha sido sostenido por la jurisprudencia de la Corte Constitucional en asuntos de demandas de reparación directa originadas en daños por lesiones psicofísicas. </w:t>
      </w:r>
    </w:p>
    <w:p w14:paraId="3E2429D3" w14:textId="77777777" w:rsidR="00D77144" w:rsidRPr="00341ED2" w:rsidRDefault="00D77144" w:rsidP="000F1FCD">
      <w:pPr>
        <w:pStyle w:val="Prrafodelista"/>
        <w:widowControl w:val="0"/>
        <w:autoSpaceDE w:val="0"/>
        <w:autoSpaceDN w:val="0"/>
        <w:adjustRightInd w:val="0"/>
        <w:ind w:left="0"/>
        <w:rPr>
          <w:szCs w:val="28"/>
        </w:rPr>
      </w:pPr>
    </w:p>
    <w:p w14:paraId="240059C7" w14:textId="3D7D8C79" w:rsidR="00920B7B" w:rsidRPr="00341ED2" w:rsidRDefault="00D92768" w:rsidP="00997786">
      <w:pPr>
        <w:pStyle w:val="Prrafodelista"/>
        <w:widowControl w:val="0"/>
        <w:numPr>
          <w:ilvl w:val="1"/>
          <w:numId w:val="17"/>
        </w:numPr>
        <w:autoSpaceDE w:val="0"/>
        <w:autoSpaceDN w:val="0"/>
        <w:adjustRightInd w:val="0"/>
        <w:rPr>
          <w:szCs w:val="28"/>
        </w:rPr>
      </w:pPr>
      <w:r w:rsidRPr="00341ED2">
        <w:rPr>
          <w:szCs w:val="28"/>
          <w:lang w:val="es-CO" w:eastAsia="es-ES"/>
        </w:rPr>
        <w:t xml:space="preserve">En </w:t>
      </w:r>
      <w:r w:rsidR="00CA0E32" w:rsidRPr="00341ED2">
        <w:rPr>
          <w:szCs w:val="28"/>
          <w:lang w:val="es-CO" w:eastAsia="es-ES"/>
        </w:rPr>
        <w:t>conclusión</w:t>
      </w:r>
      <w:r w:rsidRPr="00341ED2">
        <w:rPr>
          <w:szCs w:val="28"/>
          <w:lang w:val="es-CO" w:eastAsia="es-ES"/>
        </w:rPr>
        <w:t xml:space="preserve">, </w:t>
      </w:r>
      <w:r w:rsidR="000B75D7" w:rsidRPr="00341ED2">
        <w:rPr>
          <w:szCs w:val="28"/>
          <w:lang w:val="es-CO" w:eastAsia="es-ES"/>
        </w:rPr>
        <w:t xml:space="preserve">la Sala encuentra que </w:t>
      </w:r>
      <w:r w:rsidR="000F1FCD" w:rsidRPr="00341ED2">
        <w:rPr>
          <w:szCs w:val="28"/>
          <w:lang w:val="es-CO" w:eastAsia="es-ES"/>
        </w:rPr>
        <w:t xml:space="preserve">el Tribunal Administrativo de Norte de Santander </w:t>
      </w:r>
      <w:r w:rsidR="000B75D7" w:rsidRPr="00341ED2">
        <w:rPr>
          <w:szCs w:val="28"/>
          <w:lang w:val="es-CO" w:eastAsia="es-ES"/>
        </w:rPr>
        <w:t>incurri</w:t>
      </w:r>
      <w:r w:rsidR="00A50F4F" w:rsidRPr="00341ED2">
        <w:rPr>
          <w:szCs w:val="28"/>
          <w:lang w:val="es-CO" w:eastAsia="es-ES"/>
        </w:rPr>
        <w:t>ó</w:t>
      </w:r>
      <w:r w:rsidR="000B75D7" w:rsidRPr="00341ED2">
        <w:rPr>
          <w:szCs w:val="28"/>
          <w:lang w:val="es-CO" w:eastAsia="es-ES"/>
        </w:rPr>
        <w:t xml:space="preserve"> en </w:t>
      </w:r>
      <w:r w:rsidR="00A50F4F" w:rsidRPr="00341ED2">
        <w:rPr>
          <w:szCs w:val="28"/>
          <w:lang w:val="es-CO" w:eastAsia="es-ES"/>
        </w:rPr>
        <w:t xml:space="preserve">el </w:t>
      </w:r>
      <w:r w:rsidR="000B75D7" w:rsidRPr="00341ED2">
        <w:rPr>
          <w:szCs w:val="28"/>
          <w:lang w:val="es-CO" w:eastAsia="es-ES"/>
        </w:rPr>
        <w:t>defecto fáctico por indebida valoración de las pruebas en tanto desconoci</w:t>
      </w:r>
      <w:r w:rsidR="00A50F4F" w:rsidRPr="00341ED2">
        <w:rPr>
          <w:szCs w:val="28"/>
          <w:lang w:val="es-CO" w:eastAsia="es-ES"/>
        </w:rPr>
        <w:t>ó</w:t>
      </w:r>
      <w:r w:rsidR="000B75D7" w:rsidRPr="00341ED2">
        <w:rPr>
          <w:szCs w:val="28"/>
          <w:lang w:val="es-CO" w:eastAsia="es-ES"/>
        </w:rPr>
        <w:t xml:space="preserve"> </w:t>
      </w:r>
      <w:r w:rsidR="002607A2" w:rsidRPr="00341ED2">
        <w:rPr>
          <w:szCs w:val="28"/>
          <w:lang w:val="es-CO" w:eastAsia="es-ES"/>
        </w:rPr>
        <w:t>que</w:t>
      </w:r>
      <w:r w:rsidR="00A50F4F" w:rsidRPr="00341ED2">
        <w:rPr>
          <w:szCs w:val="28"/>
          <w:lang w:val="es-CO" w:eastAsia="es-ES"/>
        </w:rPr>
        <w:t>, aunque</w:t>
      </w:r>
      <w:r w:rsidR="004678C6" w:rsidRPr="00341ED2">
        <w:rPr>
          <w:szCs w:val="28"/>
          <w:lang w:val="es-CO" w:eastAsia="es-ES"/>
        </w:rPr>
        <w:t xml:space="preserve"> </w:t>
      </w:r>
      <w:r w:rsidR="002607A2" w:rsidRPr="00341ED2">
        <w:rPr>
          <w:szCs w:val="28"/>
          <w:lang w:val="es-CO" w:eastAsia="es-ES"/>
        </w:rPr>
        <w:t xml:space="preserve">la lesión </w:t>
      </w:r>
      <w:r w:rsidR="00A50F4F" w:rsidRPr="00341ED2">
        <w:rPr>
          <w:szCs w:val="28"/>
          <w:lang w:val="es-CO" w:eastAsia="es-ES"/>
        </w:rPr>
        <w:t xml:space="preserve">en la cabeza y el cambio de comportamiento de </w:t>
      </w:r>
      <w:r w:rsidR="002174CD" w:rsidRPr="002174CD">
        <w:rPr>
          <w:i/>
          <w:iCs/>
          <w:szCs w:val="28"/>
          <w:lang w:val="es-CO" w:eastAsia="es-ES"/>
        </w:rPr>
        <w:t>Oscar</w:t>
      </w:r>
      <w:r w:rsidR="00A50F4F" w:rsidRPr="00341ED2">
        <w:rPr>
          <w:szCs w:val="28"/>
          <w:lang w:val="es-CO" w:eastAsia="es-ES"/>
        </w:rPr>
        <w:t xml:space="preserve"> fue evidente </w:t>
      </w:r>
      <w:r w:rsidR="002607A2" w:rsidRPr="00341ED2">
        <w:rPr>
          <w:szCs w:val="28"/>
          <w:lang w:val="es-CO" w:eastAsia="es-ES"/>
        </w:rPr>
        <w:t xml:space="preserve">desde el </w:t>
      </w:r>
      <w:r w:rsidR="00A50F4F" w:rsidRPr="00341ED2">
        <w:rPr>
          <w:szCs w:val="28"/>
          <w:lang w:val="es-CO" w:eastAsia="es-ES"/>
        </w:rPr>
        <w:t>25</w:t>
      </w:r>
      <w:r w:rsidR="002607A2" w:rsidRPr="00341ED2">
        <w:rPr>
          <w:szCs w:val="28"/>
          <w:lang w:val="es-CO" w:eastAsia="es-ES"/>
        </w:rPr>
        <w:t xml:space="preserve"> de </w:t>
      </w:r>
      <w:r w:rsidR="00A50F4F" w:rsidRPr="00341ED2">
        <w:rPr>
          <w:szCs w:val="28"/>
          <w:lang w:val="es-CO" w:eastAsia="es-ES"/>
        </w:rPr>
        <w:t>junio</w:t>
      </w:r>
      <w:r w:rsidR="002607A2" w:rsidRPr="00341ED2">
        <w:rPr>
          <w:szCs w:val="28"/>
          <w:lang w:val="es-CO" w:eastAsia="es-ES"/>
        </w:rPr>
        <w:t xml:space="preserve"> de 201</w:t>
      </w:r>
      <w:r w:rsidR="00A50F4F" w:rsidRPr="00341ED2">
        <w:rPr>
          <w:szCs w:val="28"/>
          <w:lang w:val="es-CO" w:eastAsia="es-ES"/>
        </w:rPr>
        <w:t>2, esto</w:t>
      </w:r>
      <w:r w:rsidR="002607A2" w:rsidRPr="00341ED2">
        <w:rPr>
          <w:szCs w:val="28"/>
          <w:lang w:val="es-CO" w:eastAsia="es-ES"/>
        </w:rPr>
        <w:t xml:space="preserve"> no </w:t>
      </w:r>
      <w:r w:rsidR="0020287D" w:rsidRPr="00341ED2">
        <w:rPr>
          <w:szCs w:val="28"/>
          <w:lang w:val="es-CO" w:eastAsia="es-ES"/>
        </w:rPr>
        <w:t xml:space="preserve">se tradujo, en este caso, en el conocimiento cierto del daño sufrido. </w:t>
      </w:r>
      <w:r w:rsidR="00A50F4F" w:rsidRPr="00341ED2">
        <w:rPr>
          <w:szCs w:val="28"/>
          <w:lang w:val="es-CO" w:eastAsia="es-ES"/>
        </w:rPr>
        <w:t xml:space="preserve">El Tribunal no llegó a esta conclusión porque no advirtió la incertidumbre a la que hicieron referencia los médicos psiquiatras durante la </w:t>
      </w:r>
      <w:r w:rsidR="00920B7B" w:rsidRPr="00341ED2">
        <w:rPr>
          <w:szCs w:val="28"/>
          <w:lang w:val="es-CO" w:eastAsia="es-ES"/>
        </w:rPr>
        <w:t>discusión probatoria impulsada en primera instancia por el Juzgado Quinto Administrativo Oral de Cúcuta.</w:t>
      </w:r>
      <w:r w:rsidR="00997786" w:rsidRPr="00341ED2">
        <w:rPr>
          <w:szCs w:val="28"/>
          <w:lang w:val="es-CO"/>
        </w:rPr>
        <w:t xml:space="preserve"> </w:t>
      </w:r>
      <w:r w:rsidR="001374DF" w:rsidRPr="00341ED2">
        <w:rPr>
          <w:szCs w:val="28"/>
          <w:lang w:val="es-CO" w:eastAsia="es-ES"/>
        </w:rPr>
        <w:t xml:space="preserve">En tales términos, </w:t>
      </w:r>
      <w:r w:rsidR="00D43CDB" w:rsidRPr="00341ED2">
        <w:rPr>
          <w:szCs w:val="28"/>
          <w:lang w:val="es-CO" w:eastAsia="es-ES"/>
        </w:rPr>
        <w:t xml:space="preserve">el defecto fáctico advertido tiene incidencia directa en la determinación de la caducidad de la demanda de reparación directa promovida por </w:t>
      </w:r>
      <w:r w:rsidR="00B8660C">
        <w:rPr>
          <w:i/>
          <w:iCs/>
          <w:spacing w:val="-2"/>
          <w:szCs w:val="28"/>
        </w:rPr>
        <w:t>Amalia</w:t>
      </w:r>
      <w:r w:rsidR="00D43CDB" w:rsidRPr="00341ED2">
        <w:rPr>
          <w:szCs w:val="28"/>
          <w:lang w:val="es-CO" w:eastAsia="es-ES"/>
        </w:rPr>
        <w:t xml:space="preserve">. </w:t>
      </w:r>
    </w:p>
    <w:p w14:paraId="00B49838" w14:textId="77777777" w:rsidR="00E5045E" w:rsidRPr="00341ED2" w:rsidRDefault="00E5045E" w:rsidP="00E5045E">
      <w:pPr>
        <w:pStyle w:val="Prrafodelista"/>
        <w:widowControl w:val="0"/>
        <w:autoSpaceDE w:val="0"/>
        <w:autoSpaceDN w:val="0"/>
        <w:adjustRightInd w:val="0"/>
        <w:ind w:left="0"/>
        <w:rPr>
          <w:szCs w:val="28"/>
        </w:rPr>
      </w:pPr>
    </w:p>
    <w:p w14:paraId="57932AD4" w14:textId="64DB2616" w:rsidR="00E5045E" w:rsidRPr="00341ED2" w:rsidRDefault="00E5045E" w:rsidP="00FF1EAD">
      <w:pPr>
        <w:pStyle w:val="Prrafodelista"/>
        <w:widowControl w:val="0"/>
        <w:numPr>
          <w:ilvl w:val="1"/>
          <w:numId w:val="17"/>
        </w:numPr>
        <w:autoSpaceDE w:val="0"/>
        <w:autoSpaceDN w:val="0"/>
        <w:adjustRightInd w:val="0"/>
        <w:rPr>
          <w:szCs w:val="28"/>
        </w:rPr>
      </w:pPr>
      <w:r w:rsidRPr="00341ED2">
        <w:rPr>
          <w:color w:val="000000"/>
          <w:szCs w:val="28"/>
          <w:shd w:val="clear" w:color="auto" w:fill="FFFFFF"/>
        </w:rPr>
        <w:t xml:space="preserve">Teniendo en cuenta lo anterior, por sustracción de materia, la sala no se pronunciará respecto del defecto por desconocimiento del precedente judicial. Habría que agregar que los argumentos esgrimidos por la accionante para fundamentar el referido defecto coinciden con los argumentos sobre </w:t>
      </w:r>
      <w:r w:rsidR="007C3FE0" w:rsidRPr="00341ED2">
        <w:rPr>
          <w:color w:val="000000"/>
          <w:szCs w:val="28"/>
          <w:shd w:val="clear" w:color="auto" w:fill="FFFFFF"/>
        </w:rPr>
        <w:t>la</w:t>
      </w:r>
      <w:r w:rsidRPr="00341ED2">
        <w:rPr>
          <w:color w:val="000000"/>
          <w:szCs w:val="28"/>
          <w:shd w:val="clear" w:color="auto" w:fill="FFFFFF"/>
        </w:rPr>
        <w:t xml:space="preserve"> indebid</w:t>
      </w:r>
      <w:r w:rsidR="007C3FE0" w:rsidRPr="00341ED2">
        <w:rPr>
          <w:color w:val="000000"/>
          <w:szCs w:val="28"/>
          <w:shd w:val="clear" w:color="auto" w:fill="FFFFFF"/>
        </w:rPr>
        <w:t>a valoración probatoria por parte del Tribunal Administrativo de Norte de Santander</w:t>
      </w:r>
      <w:r w:rsidRPr="00341ED2">
        <w:rPr>
          <w:color w:val="000000"/>
          <w:szCs w:val="28"/>
          <w:shd w:val="clear" w:color="auto" w:fill="FFFFFF"/>
        </w:rPr>
        <w:t xml:space="preserve">, </w:t>
      </w:r>
      <w:r w:rsidR="007C3FE0" w:rsidRPr="00341ED2">
        <w:rPr>
          <w:color w:val="000000"/>
          <w:szCs w:val="28"/>
          <w:shd w:val="clear" w:color="auto" w:fill="FFFFFF"/>
        </w:rPr>
        <w:t>la cual</w:t>
      </w:r>
      <w:r w:rsidRPr="00341ED2">
        <w:rPr>
          <w:color w:val="000000"/>
          <w:szCs w:val="28"/>
          <w:shd w:val="clear" w:color="auto" w:fill="FFFFFF"/>
        </w:rPr>
        <w:t xml:space="preserve"> ya se analiz</w:t>
      </w:r>
      <w:r w:rsidR="007C3FE0" w:rsidRPr="00341ED2">
        <w:rPr>
          <w:color w:val="000000"/>
          <w:szCs w:val="28"/>
          <w:shd w:val="clear" w:color="auto" w:fill="FFFFFF"/>
        </w:rPr>
        <w:t>ó</w:t>
      </w:r>
      <w:r w:rsidRPr="00341ED2">
        <w:rPr>
          <w:color w:val="000000"/>
          <w:szCs w:val="28"/>
          <w:shd w:val="clear" w:color="auto" w:fill="FFFFFF"/>
        </w:rPr>
        <w:t>.</w:t>
      </w:r>
    </w:p>
    <w:p w14:paraId="7FA786A0" w14:textId="77777777" w:rsidR="00E5045E" w:rsidRPr="00341ED2" w:rsidRDefault="00E5045E" w:rsidP="00FF1EAD">
      <w:pPr>
        <w:widowControl w:val="0"/>
        <w:autoSpaceDE w:val="0"/>
        <w:autoSpaceDN w:val="0"/>
        <w:adjustRightInd w:val="0"/>
        <w:rPr>
          <w:szCs w:val="28"/>
        </w:rPr>
      </w:pPr>
    </w:p>
    <w:p w14:paraId="0D4F8250" w14:textId="6E7E0F4A" w:rsidR="003268B3" w:rsidRPr="00341ED2" w:rsidRDefault="00997786" w:rsidP="00FF1EAD">
      <w:pPr>
        <w:pStyle w:val="Prrafodelista"/>
        <w:widowControl w:val="0"/>
        <w:numPr>
          <w:ilvl w:val="1"/>
          <w:numId w:val="17"/>
        </w:numPr>
        <w:autoSpaceDE w:val="0"/>
        <w:autoSpaceDN w:val="0"/>
        <w:adjustRightInd w:val="0"/>
        <w:rPr>
          <w:szCs w:val="28"/>
        </w:rPr>
      </w:pPr>
      <w:r w:rsidRPr="00341ED2">
        <w:rPr>
          <w:szCs w:val="28"/>
          <w:lang w:val="es-CO" w:eastAsia="es-ES"/>
        </w:rPr>
        <w:t>Como consecuencia de lo anterior</w:t>
      </w:r>
      <w:r w:rsidR="009A7376" w:rsidRPr="00341ED2">
        <w:rPr>
          <w:szCs w:val="28"/>
          <w:lang w:val="es-CO" w:eastAsia="es-ES"/>
        </w:rPr>
        <w:t>, al haberse acreditado la configuración de defecto fáctico</w:t>
      </w:r>
      <w:r w:rsidR="00E66834" w:rsidRPr="00341ED2">
        <w:rPr>
          <w:szCs w:val="28"/>
          <w:lang w:val="es-CO" w:eastAsia="es-ES"/>
        </w:rPr>
        <w:t xml:space="preserve">, la Sala dejará sin efecto la providencia </w:t>
      </w:r>
      <w:r w:rsidRPr="00341ED2">
        <w:rPr>
          <w:szCs w:val="28"/>
          <w:lang w:val="es-CO" w:eastAsia="es-ES"/>
        </w:rPr>
        <w:t>11 de agosto de 2022 de Tribunal Administrativo de Norte de Santander</w:t>
      </w:r>
      <w:r w:rsidR="00373624" w:rsidRPr="00341ED2">
        <w:t xml:space="preserve">, mediante la cual </w:t>
      </w:r>
      <w:r w:rsidRPr="00341ED2">
        <w:rPr>
          <w:szCs w:val="28"/>
          <w:lang w:val="es-CO" w:eastAsia="es-ES"/>
        </w:rPr>
        <w:t>revocó la sentencia del 21 de junio de 2021</w:t>
      </w:r>
      <w:r w:rsidRPr="00341ED2">
        <w:rPr>
          <w:szCs w:val="28"/>
        </w:rPr>
        <w:t xml:space="preserve"> del </w:t>
      </w:r>
      <w:r w:rsidRPr="00341ED2">
        <w:rPr>
          <w:szCs w:val="28"/>
          <w:lang w:val="es-CO" w:eastAsia="es-ES"/>
        </w:rPr>
        <w:t xml:space="preserve">Juzgado Quinto Administrativo Oral de Cúcuta y </w:t>
      </w:r>
      <w:r w:rsidR="00E66834" w:rsidRPr="00341ED2">
        <w:t>declaró la caducidad del medio de control de reparación direct</w:t>
      </w:r>
      <w:r w:rsidR="002D7910" w:rsidRPr="00341ED2">
        <w:t xml:space="preserve">a promovido por </w:t>
      </w:r>
      <w:r w:rsidRPr="00341ED2">
        <w:t>la</w:t>
      </w:r>
      <w:r w:rsidR="002D7910" w:rsidRPr="00341ED2">
        <w:t xml:space="preserve"> accionante en contra de la Nación-Ministerio de Defensa-</w:t>
      </w:r>
      <w:r w:rsidRPr="00341ED2">
        <w:t>Ejército Nacional</w:t>
      </w:r>
      <w:r w:rsidR="00AE4F1C" w:rsidRPr="00341ED2">
        <w:t>.</w:t>
      </w:r>
      <w:r w:rsidRPr="00341ED2">
        <w:rPr>
          <w:szCs w:val="28"/>
          <w:lang w:val="es-CO" w:eastAsia="es-ES"/>
        </w:rPr>
        <w:t xml:space="preserve"> </w:t>
      </w:r>
      <w:r w:rsidR="00FF1EAD" w:rsidRPr="00341ED2">
        <w:rPr>
          <w:szCs w:val="28"/>
          <w:lang w:val="es-CO" w:eastAsia="es-ES"/>
        </w:rPr>
        <w:t xml:space="preserve">En consecuencia, </w:t>
      </w:r>
      <w:r w:rsidR="00413910" w:rsidRPr="00341ED2">
        <w:rPr>
          <w:szCs w:val="28"/>
          <w:lang w:val="es-CO" w:eastAsia="es-ES"/>
        </w:rPr>
        <w:t xml:space="preserve">ordenará </w:t>
      </w:r>
      <w:r w:rsidRPr="00341ED2">
        <w:rPr>
          <w:szCs w:val="28"/>
          <w:lang w:val="es-CO" w:eastAsia="es-ES"/>
        </w:rPr>
        <w:t xml:space="preserve">al Tribunal Administrativo de Norte de Santander </w:t>
      </w:r>
      <w:r w:rsidR="00D45AAD" w:rsidRPr="00341ED2">
        <w:rPr>
          <w:szCs w:val="28"/>
          <w:lang w:val="es-CO" w:eastAsia="es-ES"/>
        </w:rPr>
        <w:t xml:space="preserve">que, en el término de veinte (20) días contados a partir de la notificación de esta sentencia, </w:t>
      </w:r>
      <w:r w:rsidRPr="00341ED2">
        <w:rPr>
          <w:szCs w:val="28"/>
          <w:lang w:val="es-CO" w:eastAsia="es-ES"/>
        </w:rPr>
        <w:t xml:space="preserve">emita una nueva decisión </w:t>
      </w:r>
      <w:r w:rsidR="00D028CD" w:rsidRPr="00341ED2">
        <w:rPr>
          <w:szCs w:val="28"/>
          <w:lang w:val="es-CO" w:eastAsia="es-ES"/>
        </w:rPr>
        <w:t xml:space="preserve">teniendo en cuenta las consideraciones </w:t>
      </w:r>
      <w:r w:rsidR="00012387" w:rsidRPr="00341ED2">
        <w:rPr>
          <w:szCs w:val="28"/>
          <w:lang w:val="es-CO" w:eastAsia="es-ES"/>
        </w:rPr>
        <w:t>de la presente sentencia</w:t>
      </w:r>
      <w:r w:rsidR="00057099" w:rsidRPr="00341ED2">
        <w:rPr>
          <w:szCs w:val="28"/>
          <w:lang w:val="es-CO" w:eastAsia="es-ES"/>
        </w:rPr>
        <w:t>.</w:t>
      </w:r>
    </w:p>
    <w:p w14:paraId="4ECCADF2" w14:textId="77777777" w:rsidR="007C3FE0" w:rsidRPr="00341ED2" w:rsidRDefault="007C3FE0" w:rsidP="007C3FE0">
      <w:pPr>
        <w:pStyle w:val="Prrafodelista"/>
        <w:widowControl w:val="0"/>
        <w:autoSpaceDE w:val="0"/>
        <w:autoSpaceDN w:val="0"/>
        <w:adjustRightInd w:val="0"/>
        <w:ind w:left="0"/>
        <w:rPr>
          <w:szCs w:val="28"/>
        </w:rPr>
      </w:pPr>
    </w:p>
    <w:p w14:paraId="2E7B2DB9" w14:textId="226B53DA" w:rsidR="007C3FE0" w:rsidRPr="00341ED2" w:rsidRDefault="001848BE" w:rsidP="007C3FE0">
      <w:pPr>
        <w:pStyle w:val="Sinespaciado"/>
        <w:rPr>
          <w:lang w:val="es-CO"/>
        </w:rPr>
      </w:pPr>
      <w:r w:rsidRPr="00341ED2">
        <w:rPr>
          <w:lang w:val="es-CO"/>
        </w:rPr>
        <w:t>DECISIÓN</w:t>
      </w:r>
    </w:p>
    <w:p w14:paraId="6A093C26" w14:textId="77777777" w:rsidR="007C3FE0" w:rsidRPr="00341ED2" w:rsidRDefault="007C3FE0" w:rsidP="007C3FE0">
      <w:pPr>
        <w:pStyle w:val="Sinespaciado"/>
        <w:numPr>
          <w:ilvl w:val="0"/>
          <w:numId w:val="0"/>
        </w:numPr>
        <w:ind w:left="1080"/>
        <w:rPr>
          <w:lang w:val="es-CO"/>
        </w:rPr>
      </w:pPr>
    </w:p>
    <w:p w14:paraId="7661632C" w14:textId="77777777" w:rsidR="002000DC" w:rsidRPr="00341ED2" w:rsidRDefault="007C3FE0" w:rsidP="002000DC">
      <w:pPr>
        <w:shd w:val="clear" w:color="auto" w:fill="FFFFFF"/>
        <w:textAlignment w:val="baseline"/>
        <w:rPr>
          <w:szCs w:val="28"/>
          <w:lang w:val="es-CO" w:eastAsia="es-CO"/>
        </w:rPr>
      </w:pPr>
      <w:r w:rsidRPr="00341ED2">
        <w:rPr>
          <w:szCs w:val="28"/>
          <w:bdr w:val="none" w:sz="0" w:space="0" w:color="auto" w:frame="1"/>
          <w:lang w:eastAsia="es-CO"/>
        </w:rPr>
        <w:t>En mérito de lo expuesto, la Corte Constitucional, administrando justicia, en nombre del pueblo y por mandato de la Constitución,</w:t>
      </w:r>
    </w:p>
    <w:p w14:paraId="162080C4" w14:textId="4F6BD1ED" w:rsidR="007C3FE0" w:rsidRPr="00341ED2" w:rsidRDefault="007C3FE0" w:rsidP="002000DC">
      <w:pPr>
        <w:shd w:val="clear" w:color="auto" w:fill="FFFFFF"/>
        <w:textAlignment w:val="baseline"/>
        <w:rPr>
          <w:szCs w:val="28"/>
          <w:lang w:val="es-CO" w:eastAsia="es-CO"/>
        </w:rPr>
      </w:pPr>
      <w:r w:rsidRPr="00341ED2">
        <w:rPr>
          <w:b/>
          <w:bCs/>
          <w:szCs w:val="28"/>
          <w:bdr w:val="none" w:sz="0" w:space="0" w:color="auto" w:frame="1"/>
          <w:lang w:eastAsia="es-CO"/>
        </w:rPr>
        <w:t>  </w:t>
      </w:r>
    </w:p>
    <w:p w14:paraId="77F898F8" w14:textId="77777777" w:rsidR="007C3FE0" w:rsidRPr="00341ED2" w:rsidRDefault="007C3FE0" w:rsidP="007C3FE0">
      <w:pPr>
        <w:shd w:val="clear" w:color="auto" w:fill="FFFFFF"/>
        <w:jc w:val="center"/>
        <w:textAlignment w:val="baseline"/>
        <w:rPr>
          <w:b/>
          <w:bCs/>
          <w:szCs w:val="28"/>
          <w:bdr w:val="none" w:sz="0" w:space="0" w:color="auto" w:frame="1"/>
          <w:lang w:eastAsia="es-CO"/>
        </w:rPr>
      </w:pPr>
      <w:r w:rsidRPr="00341ED2">
        <w:rPr>
          <w:b/>
          <w:bCs/>
          <w:szCs w:val="28"/>
          <w:bdr w:val="none" w:sz="0" w:space="0" w:color="auto" w:frame="1"/>
          <w:lang w:eastAsia="es-CO"/>
        </w:rPr>
        <w:t>RESUELVE:</w:t>
      </w:r>
    </w:p>
    <w:p w14:paraId="1068B9C0" w14:textId="77777777" w:rsidR="007C3FE0" w:rsidRPr="00341ED2" w:rsidRDefault="007C3FE0" w:rsidP="000F393F">
      <w:pPr>
        <w:pStyle w:val="Prrafodelista"/>
        <w:shd w:val="clear" w:color="auto" w:fill="FFFFFF"/>
        <w:tabs>
          <w:tab w:val="left" w:pos="851"/>
        </w:tabs>
        <w:ind w:left="0" w:right="51"/>
        <w:textAlignment w:val="baseline"/>
        <w:rPr>
          <w:szCs w:val="28"/>
          <w:lang w:val="es-CO" w:eastAsia="es-ES"/>
        </w:rPr>
      </w:pPr>
    </w:p>
    <w:p w14:paraId="2AF2DB23" w14:textId="7C6F29D4" w:rsidR="00A0036F" w:rsidRPr="00341ED2" w:rsidRDefault="00FF1EAD" w:rsidP="000F393F">
      <w:pPr>
        <w:pStyle w:val="Prrafodelista"/>
        <w:shd w:val="clear" w:color="auto" w:fill="FFFFFF"/>
        <w:tabs>
          <w:tab w:val="left" w:pos="851"/>
        </w:tabs>
        <w:ind w:left="0" w:right="51"/>
        <w:textAlignment w:val="baseline"/>
        <w:rPr>
          <w:szCs w:val="28"/>
          <w:lang w:val="es-CO" w:eastAsia="es-ES"/>
        </w:rPr>
      </w:pPr>
      <w:r w:rsidRPr="00341ED2">
        <w:rPr>
          <w:b/>
          <w:bCs/>
          <w:szCs w:val="28"/>
          <w:lang w:val="es-CO" w:eastAsia="es-ES"/>
        </w:rPr>
        <w:t>PRIMERO</w:t>
      </w:r>
      <w:r w:rsidR="006818B5" w:rsidRPr="00341ED2">
        <w:rPr>
          <w:b/>
          <w:bCs/>
          <w:szCs w:val="28"/>
          <w:lang w:val="es-CO" w:eastAsia="es-ES"/>
        </w:rPr>
        <w:t>. REVOCAR</w:t>
      </w:r>
      <w:r w:rsidR="006818B5" w:rsidRPr="00341ED2">
        <w:rPr>
          <w:szCs w:val="28"/>
          <w:lang w:val="es-CO" w:eastAsia="es-ES"/>
        </w:rPr>
        <w:t xml:space="preserve"> </w:t>
      </w:r>
      <w:r w:rsidR="007B6278" w:rsidRPr="00341ED2">
        <w:rPr>
          <w:szCs w:val="28"/>
          <w:lang w:val="es-CO" w:eastAsia="es-ES"/>
        </w:rPr>
        <w:t xml:space="preserve">la sentencia del </w:t>
      </w:r>
      <w:r w:rsidR="007B6278" w:rsidRPr="00341ED2">
        <w:rPr>
          <w:lang w:val="es-CO"/>
        </w:rPr>
        <w:t>24 de agosto de 2023 de la Sección Quinta del Consejo de Estado</w:t>
      </w:r>
      <w:r w:rsidR="007B6278" w:rsidRPr="00341ED2">
        <w:rPr>
          <w:szCs w:val="28"/>
          <w:lang w:val="es-CO" w:eastAsia="es-ES"/>
        </w:rPr>
        <w:t xml:space="preserve"> </w:t>
      </w:r>
      <w:r w:rsidR="006818B5" w:rsidRPr="00341ED2">
        <w:rPr>
          <w:szCs w:val="28"/>
          <w:lang w:val="es-CO" w:eastAsia="es-ES"/>
        </w:rPr>
        <w:t xml:space="preserve">que confirmó la sentencia del </w:t>
      </w:r>
      <w:r w:rsidR="007B6278" w:rsidRPr="00341ED2">
        <w:rPr>
          <w:lang w:val="es-CO"/>
        </w:rPr>
        <w:t>2 de junio de 2023</w:t>
      </w:r>
      <w:r w:rsidR="006818B5" w:rsidRPr="00341ED2">
        <w:rPr>
          <w:szCs w:val="28"/>
          <w:lang w:val="es-CO" w:eastAsia="es-ES"/>
        </w:rPr>
        <w:t>, por medio de la cual la</w:t>
      </w:r>
      <w:r w:rsidR="007B6278" w:rsidRPr="00341ED2">
        <w:rPr>
          <w:lang w:val="es-CO"/>
        </w:rPr>
        <w:t xml:space="preserve"> Subsección A de la Sección Tercera del Consejo de Estado</w:t>
      </w:r>
      <w:r w:rsidR="00A0036F" w:rsidRPr="00341ED2">
        <w:rPr>
          <w:lang w:val="es-CO"/>
        </w:rPr>
        <w:t>,</w:t>
      </w:r>
      <w:r w:rsidR="007B6278" w:rsidRPr="00341ED2">
        <w:rPr>
          <w:lang w:val="es-CO"/>
        </w:rPr>
        <w:t xml:space="preserve"> que</w:t>
      </w:r>
      <w:r w:rsidR="007B6278" w:rsidRPr="00341ED2">
        <w:rPr>
          <w:szCs w:val="28"/>
          <w:lang w:val="es-CO" w:eastAsia="es-ES"/>
        </w:rPr>
        <w:t xml:space="preserve"> declaró improcedente la acción de tutela presentada por </w:t>
      </w:r>
      <w:r w:rsidR="00B8660C">
        <w:rPr>
          <w:i/>
          <w:iCs/>
          <w:spacing w:val="-2"/>
          <w:szCs w:val="28"/>
        </w:rPr>
        <w:t>Amalia</w:t>
      </w:r>
      <w:r w:rsidR="007B6278" w:rsidRPr="00341ED2">
        <w:rPr>
          <w:szCs w:val="28"/>
          <w:lang w:val="es-CO" w:eastAsia="es-ES"/>
        </w:rPr>
        <w:t xml:space="preserve"> contra el Tribunal Administrativo de Norte de Santander.</w:t>
      </w:r>
      <w:r w:rsidR="00A0036F" w:rsidRPr="00341ED2">
        <w:rPr>
          <w:szCs w:val="28"/>
          <w:lang w:val="es-CO" w:eastAsia="es-ES"/>
        </w:rPr>
        <w:t xml:space="preserve"> En su lugar, </w:t>
      </w:r>
      <w:r w:rsidR="00A0036F" w:rsidRPr="00341ED2">
        <w:rPr>
          <w:b/>
          <w:bCs/>
          <w:szCs w:val="28"/>
          <w:lang w:val="es-CO" w:eastAsia="es-ES"/>
        </w:rPr>
        <w:t>TUTELAR</w:t>
      </w:r>
      <w:r w:rsidR="00A0036F" w:rsidRPr="00341ED2">
        <w:rPr>
          <w:szCs w:val="28"/>
          <w:lang w:val="es-CO" w:eastAsia="es-ES"/>
        </w:rPr>
        <w:t xml:space="preserve"> los derechos de la accionante al debido proceso y al acceso a la administración de justicia, por las razones expuestas en esta providencia.</w:t>
      </w:r>
    </w:p>
    <w:p w14:paraId="17ED4526" w14:textId="77777777" w:rsidR="00A0036F" w:rsidRPr="00341ED2" w:rsidRDefault="00A0036F" w:rsidP="000F393F">
      <w:pPr>
        <w:pStyle w:val="Prrafodelista"/>
        <w:shd w:val="clear" w:color="auto" w:fill="FFFFFF"/>
        <w:tabs>
          <w:tab w:val="left" w:pos="851"/>
        </w:tabs>
        <w:ind w:left="0" w:right="51"/>
        <w:textAlignment w:val="baseline"/>
        <w:rPr>
          <w:szCs w:val="28"/>
          <w:lang w:val="es-CO" w:eastAsia="es-ES"/>
        </w:rPr>
      </w:pPr>
    </w:p>
    <w:p w14:paraId="1AE106C3" w14:textId="78C19381" w:rsidR="00A0036F" w:rsidRPr="00341ED2" w:rsidRDefault="00A0036F" w:rsidP="000F393F">
      <w:pPr>
        <w:pStyle w:val="Prrafodelista"/>
        <w:shd w:val="clear" w:color="auto" w:fill="FFFFFF"/>
        <w:tabs>
          <w:tab w:val="left" w:pos="851"/>
        </w:tabs>
        <w:ind w:left="0" w:right="51"/>
        <w:textAlignment w:val="baseline"/>
      </w:pPr>
      <w:r w:rsidRPr="00341ED2">
        <w:rPr>
          <w:b/>
          <w:bCs/>
          <w:szCs w:val="28"/>
          <w:lang w:val="es-CO" w:eastAsia="es-ES"/>
        </w:rPr>
        <w:t>SEGUNDO</w:t>
      </w:r>
      <w:r w:rsidR="006818B5" w:rsidRPr="00341ED2">
        <w:rPr>
          <w:b/>
          <w:bCs/>
          <w:szCs w:val="28"/>
          <w:lang w:val="es-CO" w:eastAsia="es-ES"/>
        </w:rPr>
        <w:t>. DEJAR SIN EFECTO</w:t>
      </w:r>
      <w:r w:rsidR="006818B5" w:rsidRPr="00341ED2">
        <w:rPr>
          <w:szCs w:val="28"/>
          <w:lang w:val="es-CO" w:eastAsia="es-ES"/>
        </w:rPr>
        <w:t xml:space="preserve"> la </w:t>
      </w:r>
      <w:r w:rsidRPr="00341ED2">
        <w:rPr>
          <w:szCs w:val="28"/>
          <w:lang w:val="es-CO" w:eastAsia="es-ES"/>
        </w:rPr>
        <w:t>sentencia</w:t>
      </w:r>
      <w:r w:rsidR="006818B5" w:rsidRPr="00341ED2">
        <w:rPr>
          <w:szCs w:val="28"/>
          <w:lang w:val="es-CO" w:eastAsia="es-ES"/>
        </w:rPr>
        <w:t xml:space="preserve"> del </w:t>
      </w:r>
      <w:r w:rsidRPr="00341ED2">
        <w:rPr>
          <w:lang w:val="es-CO"/>
        </w:rPr>
        <w:t>11</w:t>
      </w:r>
      <w:r w:rsidRPr="00341ED2">
        <w:t xml:space="preserve"> de agosto de 2022 expedida por el Tribunal Administrativo de Norte de Santander</w:t>
      </w:r>
      <w:r w:rsidR="006818B5" w:rsidRPr="00341ED2">
        <w:t xml:space="preserve">, mediante la cual </w:t>
      </w:r>
      <w:r w:rsidRPr="00341ED2">
        <w:rPr>
          <w:szCs w:val="28"/>
          <w:lang w:val="es-CO" w:eastAsia="es-ES"/>
        </w:rPr>
        <w:t>revocó la sentencia del 21 de junio de 2021</w:t>
      </w:r>
      <w:r w:rsidRPr="00341ED2">
        <w:rPr>
          <w:szCs w:val="28"/>
        </w:rPr>
        <w:t xml:space="preserve"> del </w:t>
      </w:r>
      <w:r w:rsidRPr="00341ED2">
        <w:rPr>
          <w:szCs w:val="28"/>
          <w:lang w:val="es-CO" w:eastAsia="es-ES"/>
        </w:rPr>
        <w:t xml:space="preserve">Juzgado Quinto Administrativo Oral de Cúcuta y </w:t>
      </w:r>
      <w:r w:rsidRPr="00341ED2">
        <w:t xml:space="preserve">declaró la caducidad del medio de control de reparación directa promovido por </w:t>
      </w:r>
      <w:r w:rsidR="00B8660C">
        <w:rPr>
          <w:i/>
          <w:iCs/>
          <w:spacing w:val="-2"/>
          <w:szCs w:val="28"/>
        </w:rPr>
        <w:t>Amalia</w:t>
      </w:r>
      <w:r w:rsidRPr="00341ED2">
        <w:rPr>
          <w:szCs w:val="28"/>
          <w:lang w:val="es-CO" w:eastAsia="es-ES"/>
        </w:rPr>
        <w:t xml:space="preserve"> </w:t>
      </w:r>
      <w:r w:rsidRPr="00341ED2">
        <w:t>en contra de la Nación-Ministerio de Defensa-Ejército Nacional.</w:t>
      </w:r>
    </w:p>
    <w:p w14:paraId="558F38E5" w14:textId="77777777" w:rsidR="006818B5" w:rsidRPr="00341ED2" w:rsidRDefault="006818B5" w:rsidP="000F393F">
      <w:pPr>
        <w:pStyle w:val="Prrafodelista"/>
        <w:shd w:val="clear" w:color="auto" w:fill="FFFFFF"/>
        <w:tabs>
          <w:tab w:val="left" w:pos="851"/>
        </w:tabs>
        <w:ind w:left="0" w:right="51"/>
        <w:textAlignment w:val="baseline"/>
      </w:pPr>
    </w:p>
    <w:p w14:paraId="0D1B30CA" w14:textId="136882E2" w:rsidR="00A47656" w:rsidRPr="00341ED2" w:rsidRDefault="00A0036F" w:rsidP="000F393F">
      <w:pPr>
        <w:pStyle w:val="Prrafodelista"/>
        <w:shd w:val="clear" w:color="auto" w:fill="FFFFFF"/>
        <w:tabs>
          <w:tab w:val="left" w:pos="851"/>
        </w:tabs>
        <w:ind w:left="0" w:right="51"/>
        <w:textAlignment w:val="baseline"/>
        <w:rPr>
          <w:szCs w:val="28"/>
          <w:lang w:val="es-CO" w:eastAsia="es-ES"/>
        </w:rPr>
      </w:pPr>
      <w:r w:rsidRPr="00341ED2">
        <w:rPr>
          <w:b/>
          <w:bCs/>
        </w:rPr>
        <w:t>TERCERO.</w:t>
      </w:r>
      <w:r w:rsidR="006818B5" w:rsidRPr="00341ED2">
        <w:rPr>
          <w:b/>
          <w:bCs/>
        </w:rPr>
        <w:t xml:space="preserve"> ORDENAR </w:t>
      </w:r>
      <w:r w:rsidRPr="00341ED2">
        <w:t xml:space="preserve">al Tribunal Administrativo de Norte de Santander </w:t>
      </w:r>
      <w:r w:rsidR="006818B5" w:rsidRPr="00341ED2">
        <w:t>que</w:t>
      </w:r>
      <w:r w:rsidRPr="00341ED2">
        <w:t xml:space="preserve">, </w:t>
      </w:r>
      <w:r w:rsidR="006818B5" w:rsidRPr="00341ED2">
        <w:rPr>
          <w:szCs w:val="28"/>
          <w:lang w:val="es-CO" w:eastAsia="es-ES"/>
        </w:rPr>
        <w:t xml:space="preserve">en el término de veinte (20) días contados a partir de la notificación de esta sentencia, </w:t>
      </w:r>
      <w:r w:rsidRPr="00341ED2">
        <w:rPr>
          <w:szCs w:val="28"/>
          <w:lang w:val="es-CO" w:eastAsia="es-ES"/>
        </w:rPr>
        <w:t>emita una nueva decisión teniendo en cuenta las consideraciones de la presente sentencia sobre la caducidad de la acción de reparación directa.</w:t>
      </w:r>
    </w:p>
    <w:p w14:paraId="488D3393" w14:textId="77777777" w:rsidR="00A0036F" w:rsidRPr="00341ED2" w:rsidRDefault="00A0036F" w:rsidP="000F393F">
      <w:pPr>
        <w:pStyle w:val="Prrafodelista"/>
        <w:shd w:val="clear" w:color="auto" w:fill="FFFFFF"/>
        <w:tabs>
          <w:tab w:val="left" w:pos="851"/>
        </w:tabs>
        <w:ind w:left="0" w:right="51"/>
        <w:textAlignment w:val="baseline"/>
        <w:rPr>
          <w:szCs w:val="28"/>
          <w:lang w:val="es-CO" w:eastAsia="es-ES"/>
        </w:rPr>
      </w:pPr>
    </w:p>
    <w:p w14:paraId="0A313144" w14:textId="1C09B3E1" w:rsidR="00A47656" w:rsidRPr="00341ED2" w:rsidRDefault="00A0036F" w:rsidP="000F393F">
      <w:pPr>
        <w:pStyle w:val="Prrafodelista"/>
        <w:shd w:val="clear" w:color="auto" w:fill="FFFFFF"/>
        <w:tabs>
          <w:tab w:val="left" w:pos="851"/>
        </w:tabs>
        <w:ind w:left="0" w:right="51"/>
        <w:textAlignment w:val="baseline"/>
        <w:rPr>
          <w:szCs w:val="28"/>
          <w:shd w:val="clear" w:color="auto" w:fill="FFFFFF"/>
        </w:rPr>
      </w:pPr>
      <w:r w:rsidRPr="00341ED2">
        <w:rPr>
          <w:b/>
          <w:bCs/>
          <w:szCs w:val="28"/>
          <w:lang w:val="es-CO" w:eastAsia="es-ES"/>
        </w:rPr>
        <w:t>CUARTO</w:t>
      </w:r>
      <w:r w:rsidR="00A47656" w:rsidRPr="00341ED2">
        <w:rPr>
          <w:b/>
          <w:bCs/>
          <w:szCs w:val="28"/>
          <w:lang w:val="es-CO" w:eastAsia="es-ES"/>
        </w:rPr>
        <w:t xml:space="preserve">. </w:t>
      </w:r>
      <w:r w:rsidR="00A47656" w:rsidRPr="00341ED2">
        <w:rPr>
          <w:b/>
          <w:bCs/>
          <w:szCs w:val="28"/>
          <w:shd w:val="clear" w:color="auto" w:fill="FFFFFF"/>
        </w:rPr>
        <w:t>LÍBRESE </w:t>
      </w:r>
      <w:r w:rsidR="00A47656" w:rsidRPr="00341ED2">
        <w:rPr>
          <w:szCs w:val="28"/>
          <w:shd w:val="clear" w:color="auto" w:fill="FFFFFF"/>
        </w:rPr>
        <w:t>por Secretaría General la comunicación prevista en el artículo 36 del Decreto 2591 de 1991.</w:t>
      </w:r>
    </w:p>
    <w:p w14:paraId="548127AD" w14:textId="77777777" w:rsidR="00A47656" w:rsidRPr="00341ED2" w:rsidRDefault="00A47656" w:rsidP="000F393F">
      <w:pPr>
        <w:pStyle w:val="Prrafodelista"/>
        <w:shd w:val="clear" w:color="auto" w:fill="FFFFFF"/>
        <w:tabs>
          <w:tab w:val="left" w:pos="851"/>
        </w:tabs>
        <w:ind w:left="0" w:right="51"/>
        <w:textAlignment w:val="baseline"/>
        <w:rPr>
          <w:szCs w:val="28"/>
          <w:shd w:val="clear" w:color="auto" w:fill="FFFFFF"/>
        </w:rPr>
      </w:pPr>
    </w:p>
    <w:p w14:paraId="6FAE9846" w14:textId="5FDF52E1" w:rsidR="00350672" w:rsidRDefault="00A47656" w:rsidP="007139E7">
      <w:pPr>
        <w:pStyle w:val="paragraph"/>
        <w:spacing w:before="0" w:beforeAutospacing="0" w:after="0" w:afterAutospacing="0"/>
        <w:jc w:val="both"/>
        <w:textAlignment w:val="baseline"/>
        <w:rPr>
          <w:rStyle w:val="eop"/>
          <w:szCs w:val="28"/>
          <w:lang w:val="es-CO"/>
        </w:rPr>
      </w:pPr>
      <w:r w:rsidRPr="00341ED2">
        <w:rPr>
          <w:rStyle w:val="normaltextrun"/>
          <w:sz w:val="28"/>
          <w:szCs w:val="28"/>
          <w:lang w:val="es-CO"/>
        </w:rPr>
        <w:t>Comuníquese y cúmplase, </w:t>
      </w:r>
      <w:r w:rsidRPr="00341ED2">
        <w:rPr>
          <w:rStyle w:val="eop"/>
          <w:szCs w:val="28"/>
          <w:lang w:val="es-CO"/>
        </w:rPr>
        <w:t> </w:t>
      </w:r>
    </w:p>
    <w:p w14:paraId="157B6984" w14:textId="3A8BB662" w:rsidR="00B4045A" w:rsidRDefault="00B4045A" w:rsidP="007139E7">
      <w:pPr>
        <w:pStyle w:val="paragraph"/>
        <w:spacing w:before="0" w:beforeAutospacing="0" w:after="0" w:afterAutospacing="0"/>
        <w:jc w:val="both"/>
        <w:textAlignment w:val="baseline"/>
        <w:rPr>
          <w:sz w:val="18"/>
          <w:szCs w:val="18"/>
          <w:lang w:val="es-CO"/>
        </w:rPr>
      </w:pPr>
    </w:p>
    <w:p w14:paraId="1CE0A7BE" w14:textId="44B509B1" w:rsidR="00B4045A" w:rsidRDefault="00B4045A" w:rsidP="007139E7">
      <w:pPr>
        <w:pStyle w:val="paragraph"/>
        <w:spacing w:before="0" w:beforeAutospacing="0" w:after="0" w:afterAutospacing="0"/>
        <w:jc w:val="both"/>
        <w:textAlignment w:val="baseline"/>
        <w:rPr>
          <w:sz w:val="18"/>
          <w:szCs w:val="18"/>
          <w:lang w:val="es-CO"/>
        </w:rPr>
      </w:pPr>
    </w:p>
    <w:p w14:paraId="393F1929" w14:textId="7F23832C"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CRISTINA PARDO SCHLESINGER</w:t>
      </w:r>
    </w:p>
    <w:p w14:paraId="106C339C" w14:textId="28AC30DB"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Magistrada</w:t>
      </w:r>
    </w:p>
    <w:p w14:paraId="70DAF748" w14:textId="5F3F72DB" w:rsidR="00B4045A" w:rsidRDefault="00B4045A" w:rsidP="00B4045A">
      <w:pPr>
        <w:pStyle w:val="paragraph"/>
        <w:spacing w:before="0" w:beforeAutospacing="0" w:after="0" w:afterAutospacing="0"/>
        <w:jc w:val="center"/>
        <w:textAlignment w:val="baseline"/>
        <w:rPr>
          <w:sz w:val="28"/>
          <w:szCs w:val="18"/>
          <w:lang w:val="es-CO"/>
        </w:rPr>
      </w:pPr>
    </w:p>
    <w:p w14:paraId="2026371E" w14:textId="751D4187" w:rsidR="00B4045A" w:rsidRDefault="00B4045A" w:rsidP="00B4045A">
      <w:pPr>
        <w:pStyle w:val="paragraph"/>
        <w:spacing w:before="0" w:beforeAutospacing="0" w:after="0" w:afterAutospacing="0"/>
        <w:jc w:val="center"/>
        <w:textAlignment w:val="baseline"/>
        <w:rPr>
          <w:sz w:val="28"/>
          <w:szCs w:val="18"/>
          <w:lang w:val="es-CO"/>
        </w:rPr>
      </w:pPr>
    </w:p>
    <w:p w14:paraId="7E67CAC1" w14:textId="6EDA51E9" w:rsidR="00B4045A" w:rsidRDefault="00B4045A" w:rsidP="00B4045A">
      <w:pPr>
        <w:pStyle w:val="paragraph"/>
        <w:spacing w:before="0" w:beforeAutospacing="0" w:after="0" w:afterAutospacing="0"/>
        <w:jc w:val="center"/>
        <w:textAlignment w:val="baseline"/>
        <w:rPr>
          <w:sz w:val="28"/>
          <w:szCs w:val="18"/>
          <w:lang w:val="es-CO"/>
        </w:rPr>
      </w:pPr>
    </w:p>
    <w:p w14:paraId="039DFEAA" w14:textId="72FB5EAC"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NATALIA ÁNGEL CABO</w:t>
      </w:r>
    </w:p>
    <w:p w14:paraId="306BF1A2" w14:textId="7DC97FB6"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Magistrada</w:t>
      </w:r>
    </w:p>
    <w:p w14:paraId="36357250" w14:textId="40225C6D" w:rsidR="00B4045A" w:rsidRDefault="00B4045A" w:rsidP="00B4045A">
      <w:pPr>
        <w:pStyle w:val="paragraph"/>
        <w:spacing w:before="0" w:beforeAutospacing="0" w:after="0" w:afterAutospacing="0"/>
        <w:jc w:val="center"/>
        <w:textAlignment w:val="baseline"/>
        <w:rPr>
          <w:sz w:val="28"/>
          <w:szCs w:val="18"/>
          <w:lang w:val="es-CO"/>
        </w:rPr>
      </w:pPr>
    </w:p>
    <w:p w14:paraId="01408D21" w14:textId="2472E210" w:rsidR="00B4045A" w:rsidRDefault="00B4045A" w:rsidP="00B4045A">
      <w:pPr>
        <w:pStyle w:val="paragraph"/>
        <w:spacing w:before="0" w:beforeAutospacing="0" w:after="0" w:afterAutospacing="0"/>
        <w:jc w:val="center"/>
        <w:textAlignment w:val="baseline"/>
        <w:rPr>
          <w:sz w:val="28"/>
          <w:szCs w:val="18"/>
          <w:lang w:val="es-CO"/>
        </w:rPr>
      </w:pPr>
    </w:p>
    <w:p w14:paraId="665746B2" w14:textId="3D3FF990" w:rsidR="00B4045A" w:rsidRDefault="00B4045A" w:rsidP="00B4045A">
      <w:pPr>
        <w:pStyle w:val="paragraph"/>
        <w:spacing w:before="0" w:beforeAutospacing="0" w:after="0" w:afterAutospacing="0"/>
        <w:jc w:val="center"/>
        <w:textAlignment w:val="baseline"/>
        <w:rPr>
          <w:sz w:val="28"/>
          <w:szCs w:val="18"/>
          <w:lang w:val="es-CO"/>
        </w:rPr>
      </w:pPr>
    </w:p>
    <w:p w14:paraId="33B84B02" w14:textId="678724C0"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JOSE FERNANDO REYES CUARTAS</w:t>
      </w:r>
    </w:p>
    <w:p w14:paraId="4699C486" w14:textId="08EB84BA"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Magistrado</w:t>
      </w:r>
    </w:p>
    <w:p w14:paraId="4E4F8360" w14:textId="3C84E4E6" w:rsidR="00B4045A" w:rsidRDefault="00B4045A" w:rsidP="00B4045A">
      <w:pPr>
        <w:pStyle w:val="paragraph"/>
        <w:spacing w:before="0" w:beforeAutospacing="0" w:after="0" w:afterAutospacing="0"/>
        <w:jc w:val="center"/>
        <w:textAlignment w:val="baseline"/>
        <w:rPr>
          <w:sz w:val="28"/>
          <w:szCs w:val="18"/>
          <w:lang w:val="es-CO"/>
        </w:rPr>
      </w:pPr>
    </w:p>
    <w:p w14:paraId="514E2A7D" w14:textId="3EC0DC92" w:rsidR="00B4045A" w:rsidRDefault="00B4045A" w:rsidP="00B4045A">
      <w:pPr>
        <w:pStyle w:val="paragraph"/>
        <w:spacing w:before="0" w:beforeAutospacing="0" w:after="0" w:afterAutospacing="0"/>
        <w:jc w:val="center"/>
        <w:textAlignment w:val="baseline"/>
        <w:rPr>
          <w:sz w:val="28"/>
          <w:szCs w:val="18"/>
          <w:lang w:val="es-CO"/>
        </w:rPr>
      </w:pPr>
    </w:p>
    <w:p w14:paraId="07DA9ABE" w14:textId="686F2C5C" w:rsidR="00B4045A" w:rsidRDefault="00B4045A" w:rsidP="00B4045A">
      <w:pPr>
        <w:pStyle w:val="paragraph"/>
        <w:spacing w:before="0" w:beforeAutospacing="0" w:after="0" w:afterAutospacing="0"/>
        <w:jc w:val="center"/>
        <w:textAlignment w:val="baseline"/>
        <w:rPr>
          <w:sz w:val="28"/>
          <w:szCs w:val="18"/>
          <w:lang w:val="es-CO"/>
        </w:rPr>
      </w:pPr>
    </w:p>
    <w:p w14:paraId="6B732CA7" w14:textId="35D2C99D"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ANDREA LILIANA ROMERO LOPEZ</w:t>
      </w:r>
    </w:p>
    <w:p w14:paraId="728D5876" w14:textId="71F3DF64" w:rsidR="00B4045A" w:rsidRDefault="00B4045A" w:rsidP="00B4045A">
      <w:pPr>
        <w:pStyle w:val="paragraph"/>
        <w:spacing w:before="0" w:beforeAutospacing="0" w:after="0" w:afterAutospacing="0"/>
        <w:jc w:val="center"/>
        <w:textAlignment w:val="baseline"/>
        <w:rPr>
          <w:sz w:val="28"/>
          <w:szCs w:val="18"/>
          <w:lang w:val="es-CO"/>
        </w:rPr>
      </w:pPr>
      <w:r w:rsidRPr="00B4045A">
        <w:rPr>
          <w:sz w:val="28"/>
          <w:szCs w:val="18"/>
          <w:lang w:val="es-CO"/>
        </w:rPr>
        <w:t>Secretaria General</w:t>
      </w:r>
    </w:p>
    <w:p w14:paraId="33CE048D" w14:textId="01916D91" w:rsidR="00B4045A" w:rsidRDefault="00B4045A" w:rsidP="00B4045A">
      <w:pPr>
        <w:pStyle w:val="paragraph"/>
        <w:spacing w:before="0" w:beforeAutospacing="0" w:after="0" w:afterAutospacing="0"/>
        <w:jc w:val="center"/>
        <w:textAlignment w:val="baseline"/>
        <w:rPr>
          <w:sz w:val="28"/>
          <w:szCs w:val="18"/>
          <w:lang w:val="es-CO"/>
        </w:rPr>
      </w:pPr>
    </w:p>
    <w:p w14:paraId="43250D12" w14:textId="52E663AB" w:rsidR="00B4045A" w:rsidRDefault="00B4045A" w:rsidP="00B4045A">
      <w:pPr>
        <w:pStyle w:val="paragraph"/>
        <w:spacing w:before="0" w:beforeAutospacing="0" w:after="0" w:afterAutospacing="0"/>
        <w:jc w:val="center"/>
        <w:textAlignment w:val="baseline"/>
        <w:rPr>
          <w:sz w:val="28"/>
          <w:szCs w:val="18"/>
          <w:lang w:val="es-CO"/>
        </w:rPr>
      </w:pPr>
    </w:p>
    <w:p w14:paraId="6B8A75D4" w14:textId="39D736A2" w:rsidR="00B4045A" w:rsidRDefault="00B4045A" w:rsidP="00B4045A">
      <w:pPr>
        <w:pStyle w:val="paragraph"/>
        <w:spacing w:before="0" w:beforeAutospacing="0" w:after="0" w:afterAutospacing="0"/>
        <w:jc w:val="center"/>
        <w:textAlignment w:val="baseline"/>
        <w:rPr>
          <w:sz w:val="28"/>
          <w:szCs w:val="18"/>
          <w:lang w:val="es-CO"/>
        </w:rPr>
      </w:pPr>
    </w:p>
    <w:p w14:paraId="1057BEFE" w14:textId="1146DD75" w:rsidR="00B4045A" w:rsidRDefault="00B4045A" w:rsidP="00B4045A">
      <w:pPr>
        <w:pStyle w:val="paragraph"/>
        <w:spacing w:before="0" w:beforeAutospacing="0" w:after="0" w:afterAutospacing="0"/>
        <w:jc w:val="center"/>
        <w:textAlignment w:val="baseline"/>
        <w:rPr>
          <w:sz w:val="28"/>
          <w:szCs w:val="18"/>
          <w:lang w:val="es-CO"/>
        </w:rPr>
      </w:pPr>
    </w:p>
    <w:p w14:paraId="0502AE53" w14:textId="39F27DDE" w:rsidR="00B4045A" w:rsidRDefault="00B4045A" w:rsidP="00B4045A">
      <w:pPr>
        <w:pStyle w:val="paragraph"/>
        <w:spacing w:before="0" w:beforeAutospacing="0" w:after="0" w:afterAutospacing="0"/>
        <w:jc w:val="center"/>
        <w:textAlignment w:val="baseline"/>
        <w:rPr>
          <w:sz w:val="28"/>
          <w:szCs w:val="18"/>
          <w:lang w:val="es-CO"/>
        </w:rPr>
      </w:pPr>
    </w:p>
    <w:p w14:paraId="26D391AE" w14:textId="77777777" w:rsidR="00B4045A" w:rsidRPr="00B4045A" w:rsidRDefault="00B4045A" w:rsidP="00B4045A">
      <w:pPr>
        <w:pStyle w:val="paragraph"/>
        <w:spacing w:before="0" w:beforeAutospacing="0" w:after="0" w:afterAutospacing="0"/>
        <w:jc w:val="center"/>
        <w:textAlignment w:val="baseline"/>
        <w:rPr>
          <w:sz w:val="28"/>
          <w:szCs w:val="18"/>
          <w:lang w:val="es-CO"/>
        </w:rPr>
      </w:pPr>
    </w:p>
    <w:sectPr w:rsidR="00B4045A" w:rsidRPr="00B4045A" w:rsidSect="0032308D">
      <w:headerReference w:type="default" r:id="rId13"/>
      <w:footerReference w:type="default" r:id="rId14"/>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19B96" w14:textId="77777777" w:rsidR="00D53AFA" w:rsidRDefault="00D53AFA" w:rsidP="00E20DBD">
      <w:r>
        <w:separator/>
      </w:r>
    </w:p>
  </w:endnote>
  <w:endnote w:type="continuationSeparator" w:id="0">
    <w:p w14:paraId="5AFE95D8" w14:textId="77777777" w:rsidR="00D53AFA" w:rsidRDefault="00D53AFA" w:rsidP="00E2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Gothic">
    <w:altName w:val="?a?S?V?b?N"/>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51209353"/>
      <w:docPartObj>
        <w:docPartGallery w:val="Page Numbers (Bottom of Page)"/>
        <w:docPartUnique/>
      </w:docPartObj>
    </w:sdtPr>
    <w:sdtEndPr/>
    <w:sdtContent>
      <w:p w14:paraId="4C68F4C9" w14:textId="316026DD" w:rsidR="00CF7011" w:rsidRPr="00AE39B3" w:rsidRDefault="00CF7011" w:rsidP="00AE39B3">
        <w:pPr>
          <w:pStyle w:val="Piedepgina"/>
          <w:jc w:val="right"/>
          <w:rPr>
            <w:sz w:val="24"/>
            <w:szCs w:val="24"/>
          </w:rPr>
        </w:pPr>
        <w:r w:rsidRPr="00AE39B3">
          <w:rPr>
            <w:sz w:val="24"/>
            <w:szCs w:val="24"/>
          </w:rPr>
          <w:fldChar w:fldCharType="begin"/>
        </w:r>
        <w:r w:rsidRPr="00AE39B3">
          <w:rPr>
            <w:sz w:val="24"/>
            <w:szCs w:val="24"/>
          </w:rPr>
          <w:instrText>PAGE   \* MERGEFORMAT</w:instrText>
        </w:r>
        <w:r w:rsidRPr="00AE39B3">
          <w:rPr>
            <w:sz w:val="24"/>
            <w:szCs w:val="24"/>
          </w:rPr>
          <w:fldChar w:fldCharType="separate"/>
        </w:r>
        <w:r w:rsidR="00DE08F5">
          <w:rPr>
            <w:noProof/>
            <w:sz w:val="24"/>
            <w:szCs w:val="24"/>
          </w:rPr>
          <w:t>44</w:t>
        </w:r>
        <w:r w:rsidRPr="00AE39B3">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66C4E" w14:textId="77777777" w:rsidR="00D53AFA" w:rsidRDefault="00D53AFA" w:rsidP="00E20DBD">
      <w:r>
        <w:separator/>
      </w:r>
    </w:p>
  </w:footnote>
  <w:footnote w:type="continuationSeparator" w:id="0">
    <w:p w14:paraId="14EEC26B" w14:textId="77777777" w:rsidR="00D53AFA" w:rsidRDefault="00D53AFA" w:rsidP="00E20DBD">
      <w:r>
        <w:continuationSeparator/>
      </w:r>
    </w:p>
  </w:footnote>
  <w:footnote w:id="1">
    <w:p w14:paraId="3FAD6755" w14:textId="3E36ECCA"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Este expediente fue seleccionado por los magistrados Juan Carlos Cortés González y Antonio José </w:t>
      </w:r>
      <w:proofErr w:type="spellStart"/>
      <w:r w:rsidRPr="000A6956">
        <w:rPr>
          <w:lang w:val="es-CO"/>
        </w:rPr>
        <w:t>Lizarazo</w:t>
      </w:r>
      <w:proofErr w:type="spellEnd"/>
      <w:r w:rsidRPr="000A6956">
        <w:rPr>
          <w:lang w:val="es-CO"/>
        </w:rPr>
        <w:t xml:space="preserve"> Ocampo, quienes integraron la Sala de Selección de Tutelas Número Once</w:t>
      </w:r>
      <w:r w:rsidR="00864785">
        <w:rPr>
          <w:lang w:val="es-CO"/>
        </w:rPr>
        <w:t xml:space="preserve"> de 2023</w:t>
      </w:r>
      <w:r w:rsidRPr="000A6956">
        <w:rPr>
          <w:lang w:val="es-CO"/>
        </w:rPr>
        <w:t>. Como criterio de selección escogieron el objetivo: posible violación o desconocimiento de un precedente de la Corte Constitucional.</w:t>
      </w:r>
    </w:p>
  </w:footnote>
  <w:footnote w:id="2">
    <w:p w14:paraId="78000EBF" w14:textId="35ED0477" w:rsidR="00CF7011" w:rsidRPr="000A6956" w:rsidRDefault="00CF7011" w:rsidP="000A6956">
      <w:pPr>
        <w:pStyle w:val="Textonotapie"/>
        <w:rPr>
          <w:lang w:val="es-CO"/>
        </w:rPr>
      </w:pPr>
      <w:r w:rsidRPr="000A6956">
        <w:rPr>
          <w:rStyle w:val="Refdenotaalpie"/>
        </w:rPr>
        <w:footnoteRef/>
      </w:r>
      <w:r w:rsidRPr="000A6956">
        <w:t xml:space="preserve"> </w:t>
      </w:r>
      <w:r w:rsidR="00587847" w:rsidRPr="00587847">
        <w:rPr>
          <w:i/>
          <w:iCs/>
        </w:rPr>
        <w:t>Oscar</w:t>
      </w:r>
      <w:r w:rsidRPr="000A6956">
        <w:t xml:space="preserve"> nació el 15 de julio de 1992 y tenía 19 años cuando fue reclutado por el Ejército Nacional.</w:t>
      </w:r>
      <w:r w:rsidRPr="000A6956">
        <w:rPr>
          <w:lang w:val="es-CO"/>
        </w:rPr>
        <w:t xml:space="preserve"> Expediente digital del proceso de reparación directa, Archivo: «Demanda de reparación directa», pág. 40.</w:t>
      </w:r>
    </w:p>
  </w:footnote>
  <w:footnote w:id="3">
    <w:p w14:paraId="678B86ED" w14:textId="6D691F4B"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Expediente digital del proceso de tutela, archivo «ED_</w:t>
      </w:r>
      <w:proofErr w:type="gramStart"/>
      <w:r w:rsidRPr="000A6956">
        <w:rPr>
          <w:lang w:val="es-CO"/>
        </w:rPr>
        <w:t>2ESCRITODETUTELA(</w:t>
      </w:r>
      <w:proofErr w:type="gramEnd"/>
      <w:r w:rsidRPr="000A6956">
        <w:rPr>
          <w:lang w:val="es-CO"/>
        </w:rPr>
        <w:t>.</w:t>
      </w:r>
      <w:proofErr w:type="spellStart"/>
      <w:r w:rsidRPr="000A6956">
        <w:rPr>
          <w:lang w:val="es-CO"/>
        </w:rPr>
        <w:t>pdf</w:t>
      </w:r>
      <w:proofErr w:type="spellEnd"/>
      <w:r w:rsidRPr="000A6956">
        <w:rPr>
          <w:lang w:val="es-CO"/>
        </w:rPr>
        <w:t>)», pág. 1.</w:t>
      </w:r>
    </w:p>
  </w:footnote>
  <w:footnote w:id="4">
    <w:p w14:paraId="4AAC6C8C" w14:textId="687E65B6"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Expediente digital del proceso de reparación directa, Archivo: «Demanda de reparación directa», pág. 52.</w:t>
      </w:r>
    </w:p>
  </w:footnote>
  <w:footnote w:id="5">
    <w:p w14:paraId="74B1F43C" w14:textId="43A7497D"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w:t>
      </w:r>
      <w:proofErr w:type="spellStart"/>
      <w:r w:rsidRPr="000A6956">
        <w:rPr>
          <w:lang w:val="es-CO"/>
        </w:rPr>
        <w:t>Ibid</w:t>
      </w:r>
      <w:proofErr w:type="spellEnd"/>
      <w:r w:rsidRPr="000A6956">
        <w:rPr>
          <w:lang w:val="es-CO"/>
        </w:rPr>
        <w:t>., pág. 64</w:t>
      </w:r>
    </w:p>
  </w:footnote>
  <w:footnote w:id="6">
    <w:p w14:paraId="008639CC" w14:textId="07763733"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w:t>
      </w:r>
      <w:proofErr w:type="spellStart"/>
      <w:r w:rsidRPr="000A6956">
        <w:rPr>
          <w:lang w:val="es-CO"/>
        </w:rPr>
        <w:t>Ibid</w:t>
      </w:r>
      <w:proofErr w:type="spellEnd"/>
      <w:r w:rsidRPr="000A6956">
        <w:rPr>
          <w:lang w:val="es-CO"/>
        </w:rPr>
        <w:t xml:space="preserve">., pág. 47. </w:t>
      </w:r>
    </w:p>
  </w:footnote>
  <w:footnote w:id="7">
    <w:p w14:paraId="3EB184E9" w14:textId="0F9D5E3A"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w:t>
      </w:r>
      <w:proofErr w:type="spellStart"/>
      <w:r w:rsidRPr="000A6956">
        <w:rPr>
          <w:lang w:val="es-CO"/>
        </w:rPr>
        <w:t>Ibid</w:t>
      </w:r>
      <w:proofErr w:type="spellEnd"/>
      <w:r w:rsidRPr="000A6956">
        <w:rPr>
          <w:lang w:val="es-CO"/>
        </w:rPr>
        <w:t>., pág. 46.</w:t>
      </w:r>
    </w:p>
  </w:footnote>
  <w:footnote w:id="8">
    <w:p w14:paraId="64E3F79B" w14:textId="77777777" w:rsidR="00CF7011" w:rsidRPr="000A6956" w:rsidRDefault="00CF7011" w:rsidP="000A6956">
      <w:pPr>
        <w:pStyle w:val="Textonotapie"/>
        <w:rPr>
          <w:lang w:val="es-CO"/>
        </w:rPr>
      </w:pPr>
      <w:r w:rsidRPr="000A6956">
        <w:rPr>
          <w:rStyle w:val="Refdenotaalpie"/>
        </w:rPr>
        <w:footnoteRef/>
      </w:r>
      <w:r w:rsidRPr="000A6956">
        <w:rPr>
          <w:lang w:val="es-CO"/>
        </w:rPr>
        <w:t xml:space="preserve"> </w:t>
      </w:r>
      <w:proofErr w:type="spellStart"/>
      <w:r w:rsidRPr="000A6956">
        <w:rPr>
          <w:lang w:val="es-CO"/>
        </w:rPr>
        <w:t>Ibid</w:t>
      </w:r>
      <w:proofErr w:type="spellEnd"/>
      <w:r w:rsidRPr="000A6956">
        <w:rPr>
          <w:lang w:val="es-CO"/>
        </w:rPr>
        <w:t>., Archivo: «09GestiónProbatoria.pdf», pág. 6.</w:t>
      </w:r>
    </w:p>
  </w:footnote>
  <w:footnote w:id="9">
    <w:p w14:paraId="2B5538B7" w14:textId="1DCDB6C2"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r w:rsidRPr="000A6956">
        <w:rPr>
          <w:lang w:val="es-CO"/>
        </w:rPr>
        <w:t>, Archivo: «Demanda de reparación directa», págs. 41 a 47.</w:t>
      </w:r>
    </w:p>
  </w:footnote>
  <w:footnote w:id="10">
    <w:p w14:paraId="74EB35DF" w14:textId="3DF65C8B"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r w:rsidRPr="000A6956">
        <w:rPr>
          <w:lang w:val="es-CO"/>
        </w:rPr>
        <w:t>, pág. 44.</w:t>
      </w:r>
    </w:p>
  </w:footnote>
  <w:footnote w:id="11">
    <w:p w14:paraId="3D421773" w14:textId="3C6E4E4E" w:rsidR="00CF7011" w:rsidRPr="000A6956" w:rsidRDefault="00CF7011" w:rsidP="000A6956">
      <w:pPr>
        <w:pStyle w:val="Textonotapie"/>
      </w:pPr>
      <w:r w:rsidRPr="000A6956">
        <w:rPr>
          <w:rStyle w:val="Refdenotaalpie"/>
        </w:rPr>
        <w:footnoteRef/>
      </w:r>
      <w:r w:rsidRPr="000A6956">
        <w:t xml:space="preserve"> Expediente digital del proceso de tutela de 2014, Archivo: «001ProcesoDigitalziadoTutela2014», pág., 2.</w:t>
      </w:r>
    </w:p>
  </w:footnote>
  <w:footnote w:id="12">
    <w:p w14:paraId="6D8792AF" w14:textId="0675052C" w:rsidR="00CF7011" w:rsidRPr="000A6956" w:rsidRDefault="00CF7011" w:rsidP="000A6956">
      <w:pPr>
        <w:pStyle w:val="Textonotapie"/>
        <w:rPr>
          <w:lang w:val="es-CO"/>
        </w:rPr>
      </w:pPr>
      <w:r w:rsidRPr="000A6956">
        <w:rPr>
          <w:rStyle w:val="Refdenotaalpie"/>
        </w:rPr>
        <w:footnoteRef/>
      </w:r>
      <w:r w:rsidRPr="000A6956">
        <w:t xml:space="preserve"> </w:t>
      </w:r>
      <w:proofErr w:type="spellStart"/>
      <w:r w:rsidRPr="000A6956">
        <w:t>Ibid</w:t>
      </w:r>
      <w:proofErr w:type="spellEnd"/>
      <w:r w:rsidRPr="000A6956">
        <w:t>.</w:t>
      </w:r>
    </w:p>
  </w:footnote>
  <w:footnote w:id="13">
    <w:p w14:paraId="4EBCECE0" w14:textId="77777777" w:rsidR="00CF7011" w:rsidRPr="000A6956" w:rsidRDefault="00CF7011" w:rsidP="000A6956">
      <w:pPr>
        <w:pStyle w:val="Textonotapie"/>
        <w:rPr>
          <w:lang w:val="es-CO"/>
        </w:rPr>
      </w:pPr>
      <w:r w:rsidRPr="000A6956">
        <w:rPr>
          <w:rStyle w:val="Refdenotaalpie"/>
        </w:rPr>
        <w:footnoteRef/>
      </w:r>
      <w:r w:rsidRPr="000A6956">
        <w:t xml:space="preserve"> </w:t>
      </w:r>
      <w:proofErr w:type="spellStart"/>
      <w:r w:rsidRPr="000A6956">
        <w:t>Ibid</w:t>
      </w:r>
      <w:proofErr w:type="spellEnd"/>
      <w:r w:rsidRPr="000A6956">
        <w:t>., Archivo «002CuadernoSegundaInstanciaTutela.pdf», pág. 9.</w:t>
      </w:r>
    </w:p>
  </w:footnote>
  <w:footnote w:id="14">
    <w:p w14:paraId="26941598" w14:textId="3ADABF0C" w:rsidR="00CF7011" w:rsidRPr="000A6956" w:rsidRDefault="00CF7011" w:rsidP="000A6956">
      <w:pPr>
        <w:pStyle w:val="Textonotapie"/>
        <w:rPr>
          <w:lang w:val="es-CO"/>
        </w:rPr>
      </w:pPr>
      <w:r w:rsidRPr="000A6956">
        <w:rPr>
          <w:rStyle w:val="Refdenotaalpie"/>
        </w:rPr>
        <w:footnoteRef/>
      </w:r>
      <w:r w:rsidRPr="000A6956">
        <w:t xml:space="preserve"> «Por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personal civil al servicio del Ministerio de Defensa Nacional y de las Fuerzas Militares y personal no uniformado de la Policía Nacional vinculado con anterioridad a la vigencia de la Ley 100 de 1993».</w:t>
      </w:r>
    </w:p>
  </w:footnote>
  <w:footnote w:id="15">
    <w:p w14:paraId="2A526CAC" w14:textId="77777777" w:rsidR="00CF7011" w:rsidRPr="000A6956" w:rsidRDefault="00CF7011" w:rsidP="000A6956">
      <w:pPr>
        <w:pStyle w:val="Textonotapie"/>
        <w:rPr>
          <w:lang w:val="es-CO"/>
        </w:rPr>
      </w:pPr>
      <w:r w:rsidRPr="000A6956">
        <w:rPr>
          <w:rStyle w:val="Refdenotaalpie"/>
        </w:rPr>
        <w:footnoteRef/>
      </w:r>
      <w:r w:rsidRPr="000A6956">
        <w:t xml:space="preserve"> Expediente digital proceso de tutela de 2014, Archivo: «002CuadernoSegundaInstanciaTutela.pdf»,</w:t>
      </w:r>
      <w:r w:rsidRPr="000A6956">
        <w:rPr>
          <w:lang w:val="es-CO"/>
        </w:rPr>
        <w:t xml:space="preserve"> pág. 15.</w:t>
      </w:r>
    </w:p>
  </w:footnote>
  <w:footnote w:id="16">
    <w:p w14:paraId="2A3FA85C" w14:textId="28931D8F" w:rsidR="00CF7011" w:rsidRPr="000A6956" w:rsidRDefault="00CF7011" w:rsidP="000A6956">
      <w:pPr>
        <w:pStyle w:val="Textonotapie"/>
        <w:rPr>
          <w:lang w:val="es-CO"/>
        </w:rPr>
      </w:pPr>
      <w:r w:rsidRPr="000A6956">
        <w:rPr>
          <w:rStyle w:val="Refdenotaalpie"/>
        </w:rPr>
        <w:footnoteRef/>
      </w:r>
      <w:r w:rsidRPr="000A6956">
        <w:t xml:space="preserve"> </w:t>
      </w:r>
      <w:r w:rsidRPr="000A6956">
        <w:rPr>
          <w:lang w:val="es-CO"/>
        </w:rPr>
        <w:t>Expediente digital proceso de reparación directa, Archivo: «Demanda de reparación directa», pág. 32.</w:t>
      </w:r>
    </w:p>
  </w:footnote>
  <w:footnote w:id="17">
    <w:p w14:paraId="067D8D7B" w14:textId="009ECE11"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pág. 18. </w:t>
      </w:r>
    </w:p>
  </w:footnote>
  <w:footnote w:id="18">
    <w:p w14:paraId="1B70C4FD" w14:textId="7257A4B2"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pág. 26. </w:t>
      </w:r>
    </w:p>
  </w:footnote>
  <w:footnote w:id="19">
    <w:p w14:paraId="180EEB98" w14:textId="2D7A18AC" w:rsidR="00CF7011" w:rsidRPr="000A6956" w:rsidRDefault="00CF7011" w:rsidP="000A6956">
      <w:pPr>
        <w:pStyle w:val="Textonotapie"/>
      </w:pPr>
      <w:r w:rsidRPr="000A6956">
        <w:rPr>
          <w:rStyle w:val="Refdenotaalpie"/>
        </w:rPr>
        <w:footnoteRef/>
      </w:r>
      <w:r w:rsidRPr="000A6956">
        <w:rPr>
          <w:lang w:val="es-CO"/>
        </w:rPr>
        <w:t xml:space="preserve"> </w:t>
      </w:r>
      <w:proofErr w:type="spellStart"/>
      <w:r w:rsidRPr="000A6956">
        <w:rPr>
          <w:lang w:val="es-CO"/>
        </w:rPr>
        <w:t>Ibid</w:t>
      </w:r>
      <w:proofErr w:type="spellEnd"/>
      <w:r w:rsidRPr="000A6956">
        <w:rPr>
          <w:lang w:val="es-CO"/>
        </w:rPr>
        <w:t>., Archivo: «ContestaciónDemanda.pdf», pág. 3.</w:t>
      </w:r>
    </w:p>
  </w:footnote>
  <w:footnote w:id="20">
    <w:p w14:paraId="42B248C7" w14:textId="483C754D"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5.</w:t>
      </w:r>
    </w:p>
  </w:footnote>
  <w:footnote w:id="21">
    <w:p w14:paraId="5CBCA546" w14:textId="611A5BE5"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p>
  </w:footnote>
  <w:footnote w:id="22">
    <w:p w14:paraId="64AA4CAB" w14:textId="26C87663"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w:t>
      </w:r>
      <w:r w:rsidRPr="000A6956">
        <w:rPr>
          <w:lang w:val="es-CO"/>
        </w:rPr>
        <w:t>Archivo: «07GestiónProbatoria.pdf», pág. 12.</w:t>
      </w:r>
    </w:p>
  </w:footnote>
  <w:footnote w:id="23">
    <w:p w14:paraId="0C302CA4" w14:textId="799C4224"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w:t>
      </w:r>
      <w:r w:rsidRPr="000A6956">
        <w:rPr>
          <w:lang w:val="es-CO"/>
        </w:rPr>
        <w:t xml:space="preserve">Archivo: «RD2017-00223.Aud. Pruebas 19-6-2019», </w:t>
      </w:r>
      <w:r w:rsidRPr="000A6956">
        <w:t>minutos 5:50 a 8:30.</w:t>
      </w:r>
    </w:p>
  </w:footnote>
  <w:footnote w:id="24">
    <w:p w14:paraId="656B5CAE" w14:textId="024333C0"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minutos 7:10 a 8:10.</w:t>
      </w:r>
    </w:p>
  </w:footnote>
  <w:footnote w:id="25">
    <w:p w14:paraId="29D84AA5" w14:textId="3ACDB844"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minutos 8:45 a 10:35.</w:t>
      </w:r>
    </w:p>
  </w:footnote>
  <w:footnote w:id="26">
    <w:p w14:paraId="75C8FF8C" w14:textId="7DC84925"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minutos 18:15 a 18:40.</w:t>
      </w:r>
    </w:p>
  </w:footnote>
  <w:footnote w:id="27">
    <w:p w14:paraId="290F2232" w14:textId="5341134E"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minutos 19:00 a 19:50.</w:t>
      </w:r>
    </w:p>
  </w:footnote>
  <w:footnote w:id="28">
    <w:p w14:paraId="4C95E51D" w14:textId="27A4CC91"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w:t>
      </w:r>
      <w:r w:rsidRPr="000A6956">
        <w:rPr>
          <w:lang w:val="es-CO"/>
        </w:rPr>
        <w:t xml:space="preserve">Archivo: «11IncidenteDeDesacato.pdf», </w:t>
      </w:r>
      <w:r w:rsidRPr="000A6956">
        <w:t>pág. 20.</w:t>
      </w:r>
    </w:p>
  </w:footnote>
  <w:footnote w:id="29">
    <w:p w14:paraId="02BF86C2" w14:textId="5E5660D4" w:rsidR="00CF7011" w:rsidRPr="000A6956" w:rsidRDefault="00CF7011" w:rsidP="000A6956">
      <w:pPr>
        <w:pStyle w:val="Textonotapie"/>
      </w:pPr>
      <w:r w:rsidRPr="000A6956">
        <w:rPr>
          <w:rStyle w:val="Refdenotaalpie"/>
        </w:rPr>
        <w:footnoteRef/>
      </w:r>
      <w:r w:rsidRPr="000A6956">
        <w:t xml:space="preserve"> «Por el cual se reforma el estatuto de la capacidad sicofísica, incapacidades, invalideces e indemnizaciones del personal de Oficiales y Suboficiales de las Fuerzas Militares y de la Policía Nacional, Soldados, Grumetes, Agentes, Alumnos de las Escuelas de Formación y personal civil del Ministerio de Defensa y la Policía Nacional».</w:t>
      </w:r>
    </w:p>
  </w:footnote>
  <w:footnote w:id="30">
    <w:p w14:paraId="3A02510B" w14:textId="5387B2F7" w:rsidR="00CF7011" w:rsidRPr="000A6956" w:rsidRDefault="00CF7011" w:rsidP="000A6956">
      <w:pPr>
        <w:pStyle w:val="Textonotapie"/>
      </w:pPr>
      <w:r w:rsidRPr="000A6956">
        <w:rPr>
          <w:rStyle w:val="Refdenotaalpie"/>
        </w:rPr>
        <w:footnoteRef/>
      </w:r>
      <w:r w:rsidRPr="000A6956">
        <w:t xml:space="preserve"> </w:t>
      </w:r>
      <w:r w:rsidRPr="000A6956">
        <w:rPr>
          <w:lang w:val="es-CO"/>
        </w:rPr>
        <w:t xml:space="preserve">Expediente digital proceso de reparación directa, Archivo: «RD2017-00223.Aud. Pruebas 23-10-2019», </w:t>
      </w:r>
      <w:r w:rsidRPr="000A6956">
        <w:t>minutos 7:00 a 10:40.</w:t>
      </w:r>
    </w:p>
  </w:footnote>
  <w:footnote w:id="31">
    <w:p w14:paraId="78A839BA" w14:textId="22441ECA"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minutos </w:t>
      </w:r>
    </w:p>
  </w:footnote>
  <w:footnote w:id="32">
    <w:p w14:paraId="1C720462" w14:textId="5AFCA134" w:rsidR="00CF7011" w:rsidRPr="000A6956" w:rsidRDefault="00CF7011" w:rsidP="000A6956">
      <w:pPr>
        <w:pStyle w:val="Textonotapie"/>
        <w:rPr>
          <w:lang w:val="es-CO"/>
        </w:rPr>
      </w:pPr>
      <w:r w:rsidRPr="000A6956">
        <w:rPr>
          <w:rStyle w:val="Refdenotaalpie"/>
        </w:rPr>
        <w:footnoteRef/>
      </w:r>
      <w:r w:rsidRPr="000A6956">
        <w:t xml:space="preserve"> </w:t>
      </w:r>
      <w:proofErr w:type="spellStart"/>
      <w:r w:rsidRPr="000A6956">
        <w:rPr>
          <w:lang w:val="es-CO"/>
        </w:rPr>
        <w:t>Ibid</w:t>
      </w:r>
      <w:proofErr w:type="spellEnd"/>
      <w:r w:rsidRPr="000A6956">
        <w:rPr>
          <w:lang w:val="es-CO"/>
        </w:rPr>
        <w:t xml:space="preserve">., minuto 15:00. </w:t>
      </w:r>
    </w:p>
  </w:footnote>
  <w:footnote w:id="33">
    <w:p w14:paraId="7D42365E" w14:textId="7BC11B01"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minutos 16:00 a 18:00.</w:t>
      </w:r>
    </w:p>
  </w:footnote>
  <w:footnote w:id="34">
    <w:p w14:paraId="0FE75D8A" w14:textId="3D11DA50"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Archivo «14SentenciaPrimeraInstancia.pdf», pág. 8.</w:t>
      </w:r>
    </w:p>
  </w:footnote>
  <w:footnote w:id="35">
    <w:p w14:paraId="60CE8D9C" w14:textId="0AD3B743"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11.</w:t>
      </w:r>
    </w:p>
  </w:footnote>
  <w:footnote w:id="36">
    <w:p w14:paraId="17218A54" w14:textId="48349FC1"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págs. 14 y 15.</w:t>
      </w:r>
    </w:p>
  </w:footnote>
  <w:footnote w:id="37">
    <w:p w14:paraId="2A2175F4" w14:textId="4C7B9BD5"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31 y 32.</w:t>
      </w:r>
    </w:p>
  </w:footnote>
  <w:footnote w:id="38">
    <w:p w14:paraId="446C90D0" w14:textId="77777777"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Archivo «17RecursoApelaciónSentencia», pág. 7.</w:t>
      </w:r>
    </w:p>
  </w:footnote>
  <w:footnote w:id="39">
    <w:p w14:paraId="25FC551E" w14:textId="77777777"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Archivo «08RevocaYDeclaraCaducidad», pág. 8.</w:t>
      </w:r>
    </w:p>
  </w:footnote>
  <w:footnote w:id="40">
    <w:p w14:paraId="47A5F71C" w14:textId="041E8FCC"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11.</w:t>
      </w:r>
    </w:p>
  </w:footnote>
  <w:footnote w:id="41">
    <w:p w14:paraId="4E4D7F84" w14:textId="62048B8F"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pág. 13. </w:t>
      </w:r>
    </w:p>
  </w:footnote>
  <w:footnote w:id="42">
    <w:p w14:paraId="48881660" w14:textId="286D80D2"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págs. 15 y 16.</w:t>
      </w:r>
    </w:p>
  </w:footnote>
  <w:footnote w:id="43">
    <w:p w14:paraId="208F732B" w14:textId="483ED64A"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16.</w:t>
      </w:r>
    </w:p>
  </w:footnote>
  <w:footnote w:id="44">
    <w:p w14:paraId="1F16EF20" w14:textId="13D0895E" w:rsidR="00CF7011" w:rsidRPr="000A6956" w:rsidRDefault="00CF7011" w:rsidP="000A6956">
      <w:pPr>
        <w:pStyle w:val="Textonotapie"/>
      </w:pPr>
      <w:r w:rsidRPr="000A6956">
        <w:rPr>
          <w:rStyle w:val="Refdenotaalpie"/>
        </w:rPr>
        <w:footnoteRef/>
      </w:r>
      <w:r w:rsidRPr="000A6956">
        <w:t xml:space="preserve"> </w:t>
      </w:r>
      <w:r w:rsidRPr="000A6956">
        <w:rPr>
          <w:lang w:val="es-CO"/>
        </w:rPr>
        <w:t>Expediente digital del proceso de reparación directa, Archivo: «09NotificaciónFallo.pdf».</w:t>
      </w:r>
    </w:p>
  </w:footnote>
  <w:footnote w:id="45">
    <w:p w14:paraId="7242C296" w14:textId="3DFDEC81" w:rsidR="00CF7011" w:rsidRPr="000A6956" w:rsidRDefault="00CF7011" w:rsidP="000A6956">
      <w:pPr>
        <w:pStyle w:val="Prrafodelista"/>
        <w:widowControl w:val="0"/>
        <w:autoSpaceDE w:val="0"/>
        <w:autoSpaceDN w:val="0"/>
        <w:adjustRightInd w:val="0"/>
        <w:ind w:left="0"/>
        <w:rPr>
          <w:rFonts w:eastAsiaTheme="minorHAnsi"/>
          <w:bCs/>
          <w:sz w:val="20"/>
          <w:szCs w:val="20"/>
        </w:rPr>
      </w:pPr>
      <w:r w:rsidRPr="000A6956">
        <w:rPr>
          <w:rStyle w:val="Refdenotaalpie"/>
          <w:sz w:val="20"/>
          <w:szCs w:val="20"/>
        </w:rPr>
        <w:footnoteRef/>
      </w:r>
      <w:r w:rsidRPr="000A6956">
        <w:rPr>
          <w:sz w:val="20"/>
          <w:szCs w:val="20"/>
        </w:rPr>
        <w:t xml:space="preserve"> </w:t>
      </w:r>
      <w:r w:rsidRPr="000A6956">
        <w:rPr>
          <w:rFonts w:eastAsiaTheme="minorHAnsi"/>
          <w:bCs/>
          <w:sz w:val="20"/>
          <w:szCs w:val="20"/>
        </w:rPr>
        <w:t>Expediente digital del proceso de tutela, archivo «ED_</w:t>
      </w:r>
      <w:proofErr w:type="gramStart"/>
      <w:r w:rsidRPr="000A6956">
        <w:rPr>
          <w:rFonts w:eastAsiaTheme="minorHAnsi"/>
          <w:bCs/>
          <w:sz w:val="20"/>
          <w:szCs w:val="20"/>
        </w:rPr>
        <w:t>2ESCRITODETUTELA(</w:t>
      </w:r>
      <w:proofErr w:type="gramEnd"/>
      <w:r w:rsidRPr="000A6956">
        <w:rPr>
          <w:rFonts w:eastAsiaTheme="minorHAnsi"/>
          <w:bCs/>
          <w:sz w:val="20"/>
          <w:szCs w:val="20"/>
        </w:rPr>
        <w:t>.</w:t>
      </w:r>
      <w:proofErr w:type="spellStart"/>
      <w:r w:rsidRPr="000A6956">
        <w:rPr>
          <w:rFonts w:eastAsiaTheme="minorHAnsi"/>
          <w:bCs/>
          <w:sz w:val="20"/>
          <w:szCs w:val="20"/>
        </w:rPr>
        <w:t>pdf</w:t>
      </w:r>
      <w:proofErr w:type="spellEnd"/>
      <w:r w:rsidRPr="000A6956">
        <w:rPr>
          <w:rFonts w:eastAsiaTheme="minorHAnsi"/>
          <w:bCs/>
          <w:sz w:val="20"/>
          <w:szCs w:val="20"/>
        </w:rPr>
        <w:t>)», pág. 1.</w:t>
      </w:r>
    </w:p>
  </w:footnote>
  <w:footnote w:id="46">
    <w:p w14:paraId="6CA0E5EF" w14:textId="0E0B76D2"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pág. 4. </w:t>
      </w:r>
    </w:p>
  </w:footnote>
  <w:footnote w:id="47">
    <w:p w14:paraId="61EBA934" w14:textId="43C6B406"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pág. 5. </w:t>
      </w:r>
    </w:p>
  </w:footnote>
  <w:footnote w:id="48">
    <w:p w14:paraId="4CF33EC4" w14:textId="588A5CF7"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xml:space="preserve">., pág. 7. </w:t>
      </w:r>
    </w:p>
  </w:footnote>
  <w:footnote w:id="49">
    <w:p w14:paraId="0D496AA2" w14:textId="77777777"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p>
  </w:footnote>
  <w:footnote w:id="50">
    <w:p w14:paraId="618E2B51" w14:textId="5355AACC"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Archivo «RespuestaTribunalAdministrativoNS.pdf», pág. 8.</w:t>
      </w:r>
    </w:p>
  </w:footnote>
  <w:footnote w:id="51">
    <w:p w14:paraId="4FB7DE45" w14:textId="0ED7B79A"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p>
  </w:footnote>
  <w:footnote w:id="52">
    <w:p w14:paraId="7B74CBDD" w14:textId="515077CC" w:rsidR="00CF7011" w:rsidRPr="00FE3800" w:rsidRDefault="00CF7011">
      <w:pPr>
        <w:pStyle w:val="Textonotapie"/>
      </w:pPr>
      <w:r>
        <w:rPr>
          <w:rStyle w:val="Refdenotaalpie"/>
        </w:rPr>
        <w:footnoteRef/>
      </w:r>
      <w:r>
        <w:t xml:space="preserve"> </w:t>
      </w:r>
      <w:proofErr w:type="spellStart"/>
      <w:r w:rsidRPr="000A6956">
        <w:t>Ibid</w:t>
      </w:r>
      <w:proofErr w:type="spellEnd"/>
      <w:r w:rsidRPr="000A6956">
        <w:t>., Archivo «Respuesta</w:t>
      </w:r>
      <w:r>
        <w:t>MinisterioDefensa</w:t>
      </w:r>
      <w:r w:rsidRPr="000A6956">
        <w:t xml:space="preserve">.pdf», pág. </w:t>
      </w:r>
      <w:r>
        <w:t>5</w:t>
      </w:r>
      <w:r w:rsidRPr="000A6956">
        <w:t>.</w:t>
      </w:r>
    </w:p>
  </w:footnote>
  <w:footnote w:id="53">
    <w:p w14:paraId="6FCA593C" w14:textId="262D33B1"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Expediente digital, archivo «</w:t>
      </w:r>
      <w:proofErr w:type="gramStart"/>
      <w:r w:rsidRPr="000A6956">
        <w:rPr>
          <w:lang w:val="es-CO"/>
        </w:rPr>
        <w:t>SENTENCIA(</w:t>
      </w:r>
      <w:proofErr w:type="gramEnd"/>
      <w:r w:rsidRPr="000A6956">
        <w:rPr>
          <w:lang w:val="es-CO"/>
        </w:rPr>
        <w:t>.</w:t>
      </w:r>
      <w:proofErr w:type="spellStart"/>
      <w:r w:rsidRPr="000A6956">
        <w:rPr>
          <w:lang w:val="es-CO"/>
        </w:rPr>
        <w:t>pdf</w:t>
      </w:r>
      <w:proofErr w:type="spellEnd"/>
      <w:r w:rsidRPr="000A6956">
        <w:rPr>
          <w:lang w:val="es-CO"/>
        </w:rPr>
        <w:t>)</w:t>
      </w:r>
      <w:proofErr w:type="spellStart"/>
      <w:r w:rsidRPr="000A6956">
        <w:rPr>
          <w:lang w:val="es-CO"/>
        </w:rPr>
        <w:t>NroActua</w:t>
      </w:r>
      <w:proofErr w:type="spellEnd"/>
      <w:r w:rsidRPr="000A6956">
        <w:rPr>
          <w:lang w:val="es-CO"/>
        </w:rPr>
        <w:t xml:space="preserve"> 24-Sentencia de primera instancia-6», pág. 6.</w:t>
      </w:r>
    </w:p>
  </w:footnote>
  <w:footnote w:id="54">
    <w:p w14:paraId="05B2DD37" w14:textId="56B7048B" w:rsidR="00CF7011" w:rsidRPr="000A6956" w:rsidRDefault="00CF7011" w:rsidP="000A6956">
      <w:pPr>
        <w:pStyle w:val="Textonotapie"/>
        <w:rPr>
          <w:lang w:val="es-MX"/>
        </w:rPr>
      </w:pPr>
      <w:r w:rsidRPr="000A6956">
        <w:rPr>
          <w:rStyle w:val="Refdenotaalpie"/>
        </w:rPr>
        <w:footnoteRef/>
      </w:r>
      <w:r w:rsidRPr="000A6956">
        <w:t xml:space="preserve"> </w:t>
      </w:r>
      <w:proofErr w:type="spellStart"/>
      <w:r w:rsidRPr="000A6956">
        <w:rPr>
          <w:lang w:val="es-MX"/>
        </w:rPr>
        <w:t>Ibid</w:t>
      </w:r>
      <w:proofErr w:type="spellEnd"/>
      <w:r w:rsidRPr="000A6956">
        <w:rPr>
          <w:lang w:val="es-MX"/>
        </w:rPr>
        <w:t>.</w:t>
      </w:r>
    </w:p>
  </w:footnote>
  <w:footnote w:id="55">
    <w:p w14:paraId="71F74DFD" w14:textId="145D74D6"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9.</w:t>
      </w:r>
    </w:p>
  </w:footnote>
  <w:footnote w:id="56">
    <w:p w14:paraId="1B4BB69A" w14:textId="46E8E94F"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Expediente digital, archivo «110010315000202203405002RECIBEMEMORIAL20220923123406», pág. 1.</w:t>
      </w:r>
    </w:p>
  </w:footnote>
  <w:footnote w:id="57">
    <w:p w14:paraId="33C9FADF" w14:textId="2F7FC335" w:rsidR="00CF7011" w:rsidRPr="000A6956" w:rsidRDefault="00CF7011" w:rsidP="000A6956">
      <w:pPr>
        <w:pStyle w:val="Textonotapie"/>
        <w:rPr>
          <w:lang w:val="es-CO"/>
        </w:rPr>
      </w:pPr>
      <w:r w:rsidRPr="000A6956">
        <w:rPr>
          <w:rStyle w:val="Refdenotaalpie"/>
        </w:rPr>
        <w:footnoteRef/>
      </w:r>
      <w:r w:rsidRPr="000A6956">
        <w:t xml:space="preserve"> </w:t>
      </w:r>
      <w:proofErr w:type="spellStart"/>
      <w:r w:rsidRPr="000A6956">
        <w:t>Ibid</w:t>
      </w:r>
      <w:proofErr w:type="spellEnd"/>
      <w:r w:rsidRPr="000A6956">
        <w:t>., Archivo «SENTENCIA_</w:t>
      </w:r>
      <w:proofErr w:type="gramStart"/>
      <w:r w:rsidRPr="000A6956">
        <w:t>CONFIRMA(</w:t>
      </w:r>
      <w:proofErr w:type="gramEnd"/>
      <w:r w:rsidRPr="000A6956">
        <w:t>.</w:t>
      </w:r>
      <w:proofErr w:type="spellStart"/>
      <w:r w:rsidRPr="000A6956">
        <w:t>pdf</w:t>
      </w:r>
      <w:proofErr w:type="spellEnd"/>
      <w:r w:rsidRPr="000A6956">
        <w:t>)11-Sentencia de segunda instancia-10», pág. 10.</w:t>
      </w:r>
    </w:p>
  </w:footnote>
  <w:footnote w:id="58">
    <w:p w14:paraId="20ED4743" w14:textId="5430C3D5"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p>
  </w:footnote>
  <w:footnote w:id="59">
    <w:p w14:paraId="47C491EC" w14:textId="0C547CA6" w:rsidR="00CF7011" w:rsidRPr="000A6956" w:rsidRDefault="00CF7011" w:rsidP="000A6956">
      <w:pPr>
        <w:pStyle w:val="Textonotapie"/>
      </w:pPr>
      <w:r w:rsidRPr="000A6956">
        <w:rPr>
          <w:rStyle w:val="Refdenotaalpie"/>
        </w:rPr>
        <w:footnoteRef/>
      </w:r>
      <w:r w:rsidRPr="000A6956">
        <w:t xml:space="preserve"> Expediente digital del proceso de tutela, Archivo «RespuestaMagistradaOficioOPTC-103-24», pág. 1.</w:t>
      </w:r>
    </w:p>
  </w:footnote>
  <w:footnote w:id="60">
    <w:p w14:paraId="16A468BA" w14:textId="2A1569DC"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w:t>
      </w:r>
    </w:p>
  </w:footnote>
  <w:footnote w:id="61">
    <w:p w14:paraId="4884BDAF" w14:textId="47327BDD" w:rsidR="00CF7011" w:rsidRPr="000A6956" w:rsidRDefault="00CF7011" w:rsidP="000A6956">
      <w:pPr>
        <w:pStyle w:val="Textonotapie"/>
      </w:pPr>
      <w:r w:rsidRPr="000A6956">
        <w:rPr>
          <w:rStyle w:val="Refdenotaalpie"/>
        </w:rPr>
        <w:footnoteRef/>
      </w:r>
      <w:r w:rsidRPr="000A6956">
        <w:t xml:space="preserve"> </w:t>
      </w:r>
      <w:proofErr w:type="spellStart"/>
      <w:r w:rsidRPr="000A6956">
        <w:t>Ibid</w:t>
      </w:r>
      <w:proofErr w:type="spellEnd"/>
      <w:r w:rsidRPr="000A6956">
        <w:t>., pág. 2.</w:t>
      </w:r>
    </w:p>
  </w:footnote>
  <w:footnote w:id="62">
    <w:p w14:paraId="67125AEF" w14:textId="77777777" w:rsidR="00CF7011" w:rsidRPr="000A6956" w:rsidRDefault="00CF7011" w:rsidP="00770236">
      <w:pPr>
        <w:pStyle w:val="Textonotapie"/>
      </w:pPr>
      <w:r w:rsidRPr="000A6956">
        <w:rPr>
          <w:rStyle w:val="Refdenotaalpie"/>
        </w:rPr>
        <w:footnoteRef/>
      </w:r>
      <w:r w:rsidRPr="000A6956">
        <w:t xml:space="preserve"> </w:t>
      </w:r>
      <w:proofErr w:type="spellStart"/>
      <w:r w:rsidRPr="000A6956">
        <w:t>Ibid</w:t>
      </w:r>
      <w:proofErr w:type="spellEnd"/>
      <w:r w:rsidRPr="000A6956">
        <w:t>.</w:t>
      </w:r>
    </w:p>
  </w:footnote>
  <w:footnote w:id="63">
    <w:p w14:paraId="49C846D7" w14:textId="77777777" w:rsidR="00CF7011" w:rsidRPr="000A6956" w:rsidRDefault="00CF7011" w:rsidP="00C76360">
      <w:pPr>
        <w:pStyle w:val="Textonotapie"/>
        <w:rPr>
          <w:lang w:val="es-CO"/>
        </w:rPr>
      </w:pPr>
      <w:r w:rsidRPr="000A6956">
        <w:rPr>
          <w:rStyle w:val="Refdenotaalpie"/>
        </w:rPr>
        <w:footnoteRef/>
      </w:r>
      <w:r w:rsidRPr="000A6956">
        <w:t xml:space="preserve"> </w:t>
      </w:r>
      <w:proofErr w:type="spellStart"/>
      <w:r w:rsidRPr="000A6956">
        <w:t>Ibid</w:t>
      </w:r>
      <w:proofErr w:type="spellEnd"/>
      <w:r w:rsidRPr="000A6956">
        <w:t>., Archivo «SENTENCIA_</w:t>
      </w:r>
      <w:proofErr w:type="gramStart"/>
      <w:r w:rsidRPr="000A6956">
        <w:t>CONFIRMA(</w:t>
      </w:r>
      <w:proofErr w:type="gramEnd"/>
      <w:r w:rsidRPr="000A6956">
        <w:t>.</w:t>
      </w:r>
      <w:proofErr w:type="spellStart"/>
      <w:r w:rsidRPr="000A6956">
        <w:t>pdf</w:t>
      </w:r>
      <w:proofErr w:type="spellEnd"/>
      <w:r w:rsidRPr="000A6956">
        <w:t>)11-Sentencia de segunda instancia-10», pág. 10.</w:t>
      </w:r>
    </w:p>
  </w:footnote>
  <w:footnote w:id="64">
    <w:p w14:paraId="65B5EDED" w14:textId="69849DD3" w:rsidR="00CF7011" w:rsidRPr="000A6956" w:rsidRDefault="00CF7011" w:rsidP="000A6956">
      <w:pPr>
        <w:pStyle w:val="Textonotapie"/>
      </w:pPr>
      <w:r w:rsidRPr="000A6956">
        <w:rPr>
          <w:rStyle w:val="Refdenotaalpie"/>
        </w:rPr>
        <w:footnoteRef/>
      </w:r>
      <w:r w:rsidRPr="000A6956">
        <w:t xml:space="preserve">  En la Sentencia C-590 de 2005, la Sala Plena sistematizó los requisitos de procedencia de la tutela cuando la amenaza o violación de los derechos proviene de una decisión judicial. Este fallo diferenció entre «requisitos de carácter general que habilitan la interposición de la tutela, y otros de carácter específico, que tocan con la procedencia misma del amparo una vez interpuesto». Los requisitos generales son presupuestos cuyo completo cumplimiento es una condición indispensable para que el juez pueda entrar a valorar de fondo el asunto puesto en su conocimiento, mientras que los requisitos específicos corresponden, puntualmente, a los vicios o defectos presentes en la decisión judicial y que constituyen la causa de la vulneración o amenaza de los derechos fundamentales.</w:t>
      </w:r>
    </w:p>
  </w:footnote>
  <w:footnote w:id="65">
    <w:p w14:paraId="2354D458" w14:textId="25CA4E3F" w:rsidR="00CF7011" w:rsidRPr="000A6956" w:rsidRDefault="00CF7011" w:rsidP="000A6956">
      <w:pPr>
        <w:rPr>
          <w:sz w:val="20"/>
          <w:szCs w:val="20"/>
        </w:rPr>
      </w:pPr>
      <w:r w:rsidRPr="000A6956">
        <w:rPr>
          <w:rStyle w:val="Refdenotaalpie"/>
          <w:sz w:val="20"/>
          <w:szCs w:val="20"/>
        </w:rPr>
        <w:footnoteRef/>
      </w:r>
      <w:r w:rsidRPr="000A6956">
        <w:rPr>
          <w:sz w:val="20"/>
          <w:szCs w:val="20"/>
        </w:rPr>
        <w:t xml:space="preserve"> Varias sentencias que abordan el análisis de acciones de tutela contra providencias judiciales también incorporan el presupuesto de la legitimación en la causa, tanto por activa y pasiva, a los requisitos generales de procedencia unificados en la Sentencia C-590 de 2005. Entre otras, las sentencias T-296 de 2018, T-375 de 2019, T-214 de 2020, T-044 de 2022 y T-374 de 2023.</w:t>
      </w:r>
    </w:p>
  </w:footnote>
  <w:footnote w:id="66">
    <w:p w14:paraId="59D921DC" w14:textId="27E88533" w:rsidR="00CF7011" w:rsidRPr="000A6956" w:rsidRDefault="00CF7011" w:rsidP="000A6956">
      <w:pPr>
        <w:pStyle w:val="Textonotapie"/>
      </w:pPr>
      <w:r w:rsidRPr="000A6956">
        <w:rPr>
          <w:rStyle w:val="Refdenotaalpie"/>
        </w:rPr>
        <w:footnoteRef/>
      </w:r>
      <w:r w:rsidRPr="000A6956">
        <w:t xml:space="preserve"> En la Sentencia SU-128 de 2021, la Sala Plena precisó que, de acuerdo con el requisito de relevancia constitucional, cuando se trata de acciones de tutela en contra de providencias judiciales, el asunto (i) no debe ser meramente legal y/o económico, (ii) debe involucrar algún debate jurídico que gire en torno al contenido, alcance y goce de algún derecho fundamental y, por último, (iii) no debe buscar reabrir debates concluidos en el proceso ordinario.</w:t>
      </w:r>
    </w:p>
  </w:footnote>
  <w:footnote w:id="67">
    <w:p w14:paraId="3ADE596C" w14:textId="1558B475" w:rsidR="00CF7011" w:rsidRPr="00217159" w:rsidRDefault="00CF7011">
      <w:pPr>
        <w:pStyle w:val="Textonotapie"/>
      </w:pPr>
      <w:r>
        <w:rPr>
          <w:rStyle w:val="Refdenotaalpie"/>
        </w:rPr>
        <w:footnoteRef/>
      </w:r>
      <w:r>
        <w:t xml:space="preserve"> </w:t>
      </w:r>
      <w:r w:rsidRPr="00217159">
        <w:t>Cabe señalar que la Corte Constitucional ha estimado que se cumple el requisito de relevancia constitucional en casos similares al que acá se estudia. En este sentido, ver las sentencias T-340 de 2023, T-347 de 2020, T-528 de 2016 y T-075 de 2014, entre otras.</w:t>
      </w:r>
    </w:p>
  </w:footnote>
  <w:footnote w:id="68">
    <w:p w14:paraId="4E7D2F8D" w14:textId="135BAAB7" w:rsidR="00CF7011" w:rsidRPr="005B10AE" w:rsidRDefault="00CF7011">
      <w:pPr>
        <w:pStyle w:val="Textonotapie"/>
      </w:pPr>
      <w:r>
        <w:rPr>
          <w:rStyle w:val="Refdenotaalpie"/>
        </w:rPr>
        <w:footnoteRef/>
      </w:r>
      <w:r>
        <w:t xml:space="preserve"> Sentencia SU-048 de 2022.</w:t>
      </w:r>
    </w:p>
  </w:footnote>
  <w:footnote w:id="69">
    <w:p w14:paraId="367DDF38" w14:textId="321D208D" w:rsidR="00CF7011" w:rsidRPr="00B13B81" w:rsidRDefault="00CF7011">
      <w:pPr>
        <w:pStyle w:val="Textonotapie"/>
      </w:pPr>
      <w:r>
        <w:rPr>
          <w:rStyle w:val="Refdenotaalpie"/>
        </w:rPr>
        <w:footnoteRef/>
      </w:r>
      <w:r>
        <w:t xml:space="preserve"> Artículo 243A de la </w:t>
      </w:r>
      <w:r w:rsidRPr="00B13B81">
        <w:t>Ley 1437 de 2011</w:t>
      </w:r>
      <w:r>
        <w:t>: «</w:t>
      </w:r>
      <w:r w:rsidRPr="00B13B81">
        <w:t>Providencias no susceptibles de recursos ordinarios. No son susceptibles de recursos ordinarios las siguientes providencias: 1. Las sentencias proferidas en el curso de la única o segunda instancia […] 4. Las que decidan los recursos de apelación, queja y súplica</w:t>
      </w:r>
      <w:r>
        <w:t>»</w:t>
      </w:r>
      <w:r w:rsidRPr="00B13B81">
        <w:t>.</w:t>
      </w:r>
    </w:p>
  </w:footnote>
  <w:footnote w:id="70">
    <w:p w14:paraId="497BCB77" w14:textId="18331CA0" w:rsidR="00CF7011" w:rsidRPr="00B60BD9" w:rsidRDefault="00CF7011">
      <w:pPr>
        <w:pStyle w:val="Textonotapie"/>
      </w:pPr>
      <w:r>
        <w:rPr>
          <w:rStyle w:val="Refdenotaalpie"/>
        </w:rPr>
        <w:footnoteRef/>
      </w:r>
      <w:r>
        <w:t xml:space="preserve"> Sentencia </w:t>
      </w:r>
      <w:r w:rsidRPr="00BB69C0">
        <w:t>T-072 de 2022</w:t>
      </w:r>
      <w:r>
        <w:t>.</w:t>
      </w:r>
    </w:p>
  </w:footnote>
  <w:footnote w:id="71">
    <w:p w14:paraId="65BF494D" w14:textId="7B0BC472" w:rsidR="00CF7011" w:rsidRPr="00BB69C0" w:rsidRDefault="00CF7011">
      <w:pPr>
        <w:pStyle w:val="Textonotapie"/>
      </w:pPr>
      <w:r>
        <w:rPr>
          <w:rStyle w:val="Refdenotaalpie"/>
        </w:rPr>
        <w:footnoteRef/>
      </w:r>
      <w:r>
        <w:t xml:space="preserve"> Sentencia SU-026 de 2021.</w:t>
      </w:r>
    </w:p>
  </w:footnote>
  <w:footnote w:id="72">
    <w:p w14:paraId="0E4B7D02" w14:textId="3A599F83" w:rsidR="00CF7011" w:rsidRPr="00FC11F2" w:rsidRDefault="00CF7011">
      <w:pPr>
        <w:pStyle w:val="Textonotapie"/>
        <w:rPr>
          <w:lang w:val="es-CO"/>
        </w:rPr>
      </w:pPr>
      <w:r>
        <w:rPr>
          <w:rStyle w:val="Refdenotaalpie"/>
        </w:rPr>
        <w:footnoteRef/>
      </w:r>
      <w:r>
        <w:t xml:space="preserve"> </w:t>
      </w:r>
      <w:proofErr w:type="spellStart"/>
      <w:r>
        <w:rPr>
          <w:lang w:val="es-CO"/>
        </w:rPr>
        <w:t>Ibid</w:t>
      </w:r>
      <w:proofErr w:type="spellEnd"/>
      <w:r>
        <w:rPr>
          <w:lang w:val="es-CO"/>
        </w:rPr>
        <w:t>.</w:t>
      </w:r>
    </w:p>
  </w:footnote>
  <w:footnote w:id="73">
    <w:p w14:paraId="5E9A2D11" w14:textId="40CE07D1" w:rsidR="00CF7011" w:rsidRPr="000423DB" w:rsidRDefault="00CF7011">
      <w:pPr>
        <w:pStyle w:val="Textonotapie"/>
      </w:pPr>
      <w:r>
        <w:rPr>
          <w:rStyle w:val="Refdenotaalpie"/>
        </w:rPr>
        <w:footnoteRef/>
      </w:r>
      <w:r>
        <w:t xml:space="preserve"> S</w:t>
      </w:r>
      <w:r w:rsidRPr="000423DB">
        <w:t>entencia SU-961 de 1999</w:t>
      </w:r>
      <w:r>
        <w:t>.</w:t>
      </w:r>
    </w:p>
  </w:footnote>
  <w:footnote w:id="74">
    <w:p w14:paraId="58B38A81" w14:textId="5F20889C" w:rsidR="00CF7011" w:rsidRPr="009E3439" w:rsidRDefault="00CF7011">
      <w:pPr>
        <w:pStyle w:val="Textonotapie"/>
      </w:pPr>
      <w:r>
        <w:rPr>
          <w:rStyle w:val="Refdenotaalpie"/>
        </w:rPr>
        <w:footnoteRef/>
      </w:r>
      <w:r>
        <w:t xml:space="preserve"> Sentencia </w:t>
      </w:r>
      <w:r w:rsidRPr="009E3439">
        <w:t>SU-</w:t>
      </w:r>
      <w:r>
        <w:t>048</w:t>
      </w:r>
      <w:r w:rsidRPr="009E3439">
        <w:t xml:space="preserve"> de 2022.</w:t>
      </w:r>
    </w:p>
  </w:footnote>
  <w:footnote w:id="75">
    <w:p w14:paraId="1FBC6B6F" w14:textId="17F0F6F1" w:rsidR="00CF7011" w:rsidRPr="009E3439" w:rsidRDefault="00CF7011">
      <w:pPr>
        <w:pStyle w:val="Textonotapie"/>
      </w:pPr>
      <w:r>
        <w:rPr>
          <w:rStyle w:val="Refdenotaalpie"/>
        </w:rPr>
        <w:footnoteRef/>
      </w:r>
      <w:r>
        <w:t xml:space="preserve"> Sentencia T-340 de 2023.</w:t>
      </w:r>
    </w:p>
  </w:footnote>
  <w:footnote w:id="76">
    <w:p w14:paraId="78A459EF" w14:textId="7B00D615" w:rsidR="00CF7011" w:rsidRPr="009E3439" w:rsidRDefault="00CF7011">
      <w:pPr>
        <w:pStyle w:val="Textonotapie"/>
        <w:rPr>
          <w:lang w:val="es-CO"/>
        </w:rPr>
      </w:pPr>
      <w:r>
        <w:rPr>
          <w:rStyle w:val="Refdenotaalpie"/>
        </w:rPr>
        <w:footnoteRef/>
      </w:r>
      <w:r>
        <w:t xml:space="preserve"> </w:t>
      </w:r>
      <w:proofErr w:type="spellStart"/>
      <w:r>
        <w:rPr>
          <w:lang w:val="es-CO"/>
        </w:rPr>
        <w:t>Ibid</w:t>
      </w:r>
      <w:proofErr w:type="spellEnd"/>
      <w:r>
        <w:rPr>
          <w:lang w:val="es-CO"/>
        </w:rPr>
        <w:t>.</w:t>
      </w:r>
    </w:p>
  </w:footnote>
  <w:footnote w:id="77">
    <w:p w14:paraId="02286006" w14:textId="6F821223" w:rsidR="00CF7011" w:rsidRPr="00E9677F" w:rsidRDefault="00CF7011">
      <w:pPr>
        <w:pStyle w:val="Textonotapie"/>
      </w:pPr>
      <w:r>
        <w:rPr>
          <w:rStyle w:val="Refdenotaalpie"/>
        </w:rPr>
        <w:footnoteRef/>
      </w:r>
      <w:r>
        <w:t xml:space="preserve"> Sentencia SU-636 de 2015.</w:t>
      </w:r>
    </w:p>
  </w:footnote>
  <w:footnote w:id="78">
    <w:p w14:paraId="3A4AA426" w14:textId="6F8FACD8" w:rsidR="00CF7011" w:rsidRPr="00526CCA" w:rsidRDefault="00CF7011">
      <w:pPr>
        <w:pStyle w:val="Textonotapie"/>
      </w:pPr>
      <w:r>
        <w:rPr>
          <w:rStyle w:val="Refdenotaalpie"/>
        </w:rPr>
        <w:footnoteRef/>
      </w:r>
      <w:r>
        <w:t xml:space="preserve"> Sentencia </w:t>
      </w:r>
      <w:r w:rsidRPr="009E3439">
        <w:t>SU-</w:t>
      </w:r>
      <w:r>
        <w:t>048</w:t>
      </w:r>
      <w:r w:rsidRPr="009E3439">
        <w:t xml:space="preserve"> de 2022.</w:t>
      </w:r>
    </w:p>
  </w:footnote>
  <w:footnote w:id="79">
    <w:p w14:paraId="4069D665" w14:textId="333225F5" w:rsidR="00CF7011" w:rsidRPr="00526CCA" w:rsidRDefault="00CF7011">
      <w:pPr>
        <w:pStyle w:val="Textonotapie"/>
      </w:pPr>
      <w:r>
        <w:rPr>
          <w:rStyle w:val="Refdenotaalpie"/>
        </w:rPr>
        <w:footnoteRef/>
      </w:r>
      <w:r>
        <w:t xml:space="preserve"> S</w:t>
      </w:r>
      <w:r w:rsidRPr="00526CCA">
        <w:t>entencia T-625 de 2016</w:t>
      </w:r>
    </w:p>
  </w:footnote>
  <w:footnote w:id="80">
    <w:p w14:paraId="4907A963" w14:textId="32D842F9" w:rsidR="00CF7011" w:rsidRPr="00526CCA" w:rsidRDefault="00CF7011">
      <w:pPr>
        <w:pStyle w:val="Textonotapie"/>
      </w:pPr>
      <w:r>
        <w:rPr>
          <w:rStyle w:val="Refdenotaalpie"/>
        </w:rPr>
        <w:footnoteRef/>
      </w:r>
      <w:r>
        <w:t xml:space="preserve"> Sentencia </w:t>
      </w:r>
      <w:r w:rsidRPr="009E3439">
        <w:t>SU-</w:t>
      </w:r>
      <w:r>
        <w:t>048</w:t>
      </w:r>
      <w:r w:rsidRPr="009E3439">
        <w:t xml:space="preserve"> de 2022</w:t>
      </w:r>
      <w:r>
        <w:t>.</w:t>
      </w:r>
    </w:p>
  </w:footnote>
  <w:footnote w:id="81">
    <w:p w14:paraId="1B82F230" w14:textId="18CEF755" w:rsidR="00CF7011" w:rsidRPr="00526CCA" w:rsidRDefault="00CF7011">
      <w:pPr>
        <w:pStyle w:val="Textonotapie"/>
      </w:pPr>
      <w:r>
        <w:rPr>
          <w:rStyle w:val="Refdenotaalpie"/>
        </w:rPr>
        <w:footnoteRef/>
      </w:r>
      <w:r>
        <w:t xml:space="preserve"> S</w:t>
      </w:r>
      <w:r w:rsidRPr="00526CCA">
        <w:t>entencia T-261 de 2013</w:t>
      </w:r>
      <w:r>
        <w:t>.</w:t>
      </w:r>
    </w:p>
  </w:footnote>
  <w:footnote w:id="82">
    <w:p w14:paraId="7E393766" w14:textId="6B3C7810" w:rsidR="00CF7011" w:rsidRPr="001F450A" w:rsidRDefault="00CF7011" w:rsidP="00210B88">
      <w:pPr>
        <w:pStyle w:val="Textonotapie"/>
        <w:rPr>
          <w:lang w:val="es-CO"/>
        </w:rPr>
      </w:pPr>
      <w:r>
        <w:rPr>
          <w:rStyle w:val="Refdenotaalpie"/>
        </w:rPr>
        <w:footnoteRef/>
      </w:r>
      <w:r>
        <w:t xml:space="preserve"> </w:t>
      </w:r>
      <w:r>
        <w:rPr>
          <w:lang w:val="es-CO"/>
        </w:rPr>
        <w:t>Este acápite reitera lo expuesto por la magistrada sustanciadora en la Sentencia SU-048 de 2022.</w:t>
      </w:r>
    </w:p>
  </w:footnote>
  <w:footnote w:id="83">
    <w:p w14:paraId="1C1655CC" w14:textId="3A76D0B7" w:rsidR="00CF7011" w:rsidRDefault="00CF7011" w:rsidP="00210B88">
      <w:pPr>
        <w:pStyle w:val="Textonotapie"/>
      </w:pPr>
      <w:r w:rsidRPr="008A7710">
        <w:rPr>
          <w:vertAlign w:val="superscript"/>
        </w:rPr>
        <w:footnoteRef/>
      </w:r>
      <w:r w:rsidRPr="008A7710">
        <w:t xml:space="preserve"> </w:t>
      </w:r>
      <w:r>
        <w:t>S</w:t>
      </w:r>
      <w:r w:rsidRPr="008A7710">
        <w:t>entencia T-292 de 200</w:t>
      </w:r>
      <w:r>
        <w:t>6.</w:t>
      </w:r>
    </w:p>
  </w:footnote>
  <w:footnote w:id="84">
    <w:p w14:paraId="1FE62FCE" w14:textId="1438838E" w:rsidR="00CF7011" w:rsidRDefault="00CF7011" w:rsidP="00210B88">
      <w:pPr>
        <w:pStyle w:val="Textonotapie"/>
      </w:pPr>
      <w:r w:rsidRPr="008A7710">
        <w:rPr>
          <w:vertAlign w:val="superscript"/>
        </w:rPr>
        <w:footnoteRef/>
      </w:r>
      <w:r w:rsidRPr="008A7710">
        <w:t xml:space="preserve"> </w:t>
      </w:r>
      <w:r>
        <w:t>S</w:t>
      </w:r>
      <w:r w:rsidRPr="008A7710">
        <w:t>entencia SU-432 de 2015</w:t>
      </w:r>
      <w:r>
        <w:t xml:space="preserve">. </w:t>
      </w:r>
      <w:r w:rsidRPr="008A7710">
        <w:t>Esta providencia fue citada en la sentencia SU-450 de 2020.</w:t>
      </w:r>
    </w:p>
  </w:footnote>
  <w:footnote w:id="85">
    <w:p w14:paraId="02DCDB3D" w14:textId="02533D24" w:rsidR="00CF7011" w:rsidRDefault="00CF7011" w:rsidP="00210B88">
      <w:pPr>
        <w:pStyle w:val="Textonotapie"/>
      </w:pPr>
      <w:r w:rsidRPr="008A7710">
        <w:rPr>
          <w:vertAlign w:val="superscript"/>
        </w:rPr>
        <w:footnoteRef/>
      </w:r>
      <w:r w:rsidRPr="008A7710">
        <w:t xml:space="preserve"> </w:t>
      </w:r>
      <w:r>
        <w:t>S</w:t>
      </w:r>
      <w:r w:rsidRPr="008A7710">
        <w:t>entencias T-140 de 2012</w:t>
      </w:r>
      <w:r>
        <w:t xml:space="preserve">, </w:t>
      </w:r>
      <w:r w:rsidRPr="008A7710">
        <w:t>T-153 de 2015</w:t>
      </w:r>
      <w:r>
        <w:t xml:space="preserve">, </w:t>
      </w:r>
      <w:r w:rsidRPr="008A7710">
        <w:t>T-146 de 2014 y SU-462 de 2020.</w:t>
      </w:r>
    </w:p>
  </w:footnote>
  <w:footnote w:id="86">
    <w:p w14:paraId="6DD369C8" w14:textId="282AA1A1" w:rsidR="00CF7011" w:rsidRDefault="00CF7011" w:rsidP="00210B88">
      <w:pPr>
        <w:pStyle w:val="Textonotapie"/>
      </w:pPr>
      <w:r w:rsidRPr="008A7710">
        <w:rPr>
          <w:vertAlign w:val="superscript"/>
        </w:rPr>
        <w:footnoteRef/>
      </w:r>
      <w:r w:rsidRPr="008A7710">
        <w:t xml:space="preserve"> </w:t>
      </w:r>
      <w:r>
        <w:t>S</w:t>
      </w:r>
      <w:r w:rsidRPr="008A7710">
        <w:t>entencia T-688 de 2003</w:t>
      </w:r>
      <w:r>
        <w:t>.</w:t>
      </w:r>
    </w:p>
  </w:footnote>
  <w:footnote w:id="87">
    <w:p w14:paraId="628E0775" w14:textId="0254B222" w:rsidR="00CF7011" w:rsidRDefault="00CF7011" w:rsidP="00210B88">
      <w:pPr>
        <w:pStyle w:val="Textonotapie"/>
      </w:pPr>
      <w:r w:rsidRPr="008A7710">
        <w:rPr>
          <w:vertAlign w:val="superscript"/>
        </w:rPr>
        <w:footnoteRef/>
      </w:r>
      <w:r w:rsidRPr="008A7710">
        <w:t xml:space="preserve"> </w:t>
      </w:r>
      <w:r>
        <w:t>S</w:t>
      </w:r>
      <w:r w:rsidRPr="008A7710">
        <w:t>entencia SU-210 de 201</w:t>
      </w:r>
      <w:r>
        <w:t>7</w:t>
      </w:r>
      <w:r w:rsidRPr="008A7710">
        <w:t>.</w:t>
      </w:r>
    </w:p>
  </w:footnote>
  <w:footnote w:id="88">
    <w:p w14:paraId="7DC0F056" w14:textId="003974B1" w:rsidR="00CF7011" w:rsidRDefault="00CF7011" w:rsidP="00210B88">
      <w:pPr>
        <w:pStyle w:val="Textonotapie"/>
      </w:pPr>
      <w:r w:rsidRPr="008A7710">
        <w:rPr>
          <w:vertAlign w:val="superscript"/>
        </w:rPr>
        <w:footnoteRef/>
      </w:r>
      <w:r w:rsidRPr="008A7710">
        <w:t xml:space="preserve"> </w:t>
      </w:r>
      <w:r>
        <w:t>Sentencias</w:t>
      </w:r>
      <w:r w:rsidRPr="008A7710">
        <w:t xml:space="preserve"> SU-210 de 2017 y SU-055 de 2018</w:t>
      </w:r>
      <w:r>
        <w:t>.</w:t>
      </w:r>
    </w:p>
  </w:footnote>
  <w:footnote w:id="89">
    <w:p w14:paraId="1ABD874F" w14:textId="235F23CE" w:rsidR="00CF7011" w:rsidRPr="001F450A" w:rsidRDefault="00CF7011">
      <w:pPr>
        <w:pStyle w:val="Textonotapie"/>
        <w:rPr>
          <w:lang w:val="es-CO"/>
        </w:rPr>
      </w:pPr>
      <w:r>
        <w:rPr>
          <w:rStyle w:val="Refdenotaalpie"/>
        </w:rPr>
        <w:footnoteRef/>
      </w:r>
      <w:r>
        <w:t xml:space="preserve"> </w:t>
      </w:r>
      <w:r>
        <w:rPr>
          <w:lang w:val="es-CO"/>
        </w:rPr>
        <w:t>Este acápite reitera lo expuesto por la magistrada sustanciadora en la Sentencia T-340 de 2023.</w:t>
      </w:r>
    </w:p>
  </w:footnote>
  <w:footnote w:id="90">
    <w:p w14:paraId="41F853D4" w14:textId="7BEFEEAD" w:rsidR="00CF7011" w:rsidRPr="000C157F" w:rsidRDefault="00CF7011">
      <w:pPr>
        <w:pStyle w:val="Textonotapie"/>
        <w:rPr>
          <w:lang w:val="es-CO"/>
        </w:rPr>
      </w:pPr>
      <w:r>
        <w:rPr>
          <w:rStyle w:val="Refdenotaalpie"/>
        </w:rPr>
        <w:footnoteRef/>
      </w:r>
      <w:r>
        <w:t xml:space="preserve"> Consejo de Estado, Sección Tercera, </w:t>
      </w:r>
      <w:r w:rsidRPr="000C157F">
        <w:t xml:space="preserve">C.P. Martha Nubia Velásquez Rico. Radicado: 54001-23-31-000-2003-01282-02(47308). Reiterada por varias sentencias de las subsecciones de la Sección Tercera, tales como las sentencias del 23 de mayo de 2023, C.P. José Roberto </w:t>
      </w:r>
      <w:proofErr w:type="spellStart"/>
      <w:r w:rsidRPr="000C157F">
        <w:t>Sáchica</w:t>
      </w:r>
      <w:proofErr w:type="spellEnd"/>
      <w:r w:rsidRPr="000C157F">
        <w:t xml:space="preserve"> Méndez, Subsección A (rad. 61619); 17 de marzo de 2021, C.P. Martín Bermúdez Nájera, Subsección B (rad: 30174); y del 25 de febrero de 2021, C.P. Nicolás Yepes Corrales, Subsección C (rad. 47721), entre otras.</w:t>
      </w:r>
    </w:p>
  </w:footnote>
  <w:footnote w:id="91">
    <w:p w14:paraId="3E2B76C0" w14:textId="77777777" w:rsidR="00CF7011" w:rsidRPr="00374469" w:rsidRDefault="00CF7011" w:rsidP="0094672F">
      <w:pPr>
        <w:pStyle w:val="Textonotapie"/>
      </w:pPr>
      <w:r w:rsidRPr="00374469">
        <w:rPr>
          <w:rStyle w:val="Refdenotaalpie"/>
        </w:rPr>
        <w:footnoteRef/>
      </w:r>
      <w:r w:rsidRPr="00374469">
        <w:t xml:space="preserve"> Sentencia del 17 de junio de 2022, C.P. José Roberto </w:t>
      </w:r>
      <w:proofErr w:type="spellStart"/>
      <w:r w:rsidRPr="00374469">
        <w:t>Sáchica</w:t>
      </w:r>
      <w:proofErr w:type="spellEnd"/>
      <w:r w:rsidRPr="00374469">
        <w:t xml:space="preserve"> Méndez, Subsección A, Sección Tercera. Radicado: 27001-23-31-000-2011-00015-01 (53280).</w:t>
      </w:r>
    </w:p>
  </w:footnote>
  <w:footnote w:id="92">
    <w:p w14:paraId="24776A69" w14:textId="77777777" w:rsidR="00CF7011" w:rsidRPr="00374469" w:rsidRDefault="00CF7011" w:rsidP="0094672F">
      <w:pPr>
        <w:pStyle w:val="Textonotapie"/>
      </w:pPr>
      <w:r w:rsidRPr="00374469">
        <w:rPr>
          <w:rStyle w:val="Refdenotaalpie"/>
        </w:rPr>
        <w:footnoteRef/>
      </w:r>
      <w:r w:rsidRPr="00374469">
        <w:t xml:space="preserve"> </w:t>
      </w:r>
      <w:proofErr w:type="spellStart"/>
      <w:r w:rsidRPr="00374469">
        <w:t>Ib</w:t>
      </w:r>
      <w:r>
        <w:t>id</w:t>
      </w:r>
      <w:proofErr w:type="spellEnd"/>
      <w:r w:rsidRPr="00374469">
        <w:t xml:space="preserve">. </w:t>
      </w:r>
    </w:p>
  </w:footnote>
  <w:footnote w:id="93">
    <w:p w14:paraId="7C06A10A" w14:textId="77777777" w:rsidR="00CF7011" w:rsidRPr="00374469" w:rsidRDefault="00CF7011" w:rsidP="0094672F">
      <w:pPr>
        <w:pStyle w:val="Textonotapie"/>
      </w:pPr>
      <w:r w:rsidRPr="00374469">
        <w:rPr>
          <w:rStyle w:val="Refdenotaalpie"/>
        </w:rPr>
        <w:footnoteRef/>
      </w:r>
      <w:r w:rsidRPr="00374469">
        <w:t xml:space="preserve"> Por ejemplo, en la sentencia del 13 de octubre de 2020, C.P. Guillermo Sánchez Luque, la Subsección C de la Sección Tercera (rad. 59553) concluyó que </w:t>
      </w:r>
      <w:proofErr w:type="gramStart"/>
      <w:r w:rsidRPr="00374469">
        <w:t>«[</w:t>
      </w:r>
      <w:proofErr w:type="gramEnd"/>
      <w:r w:rsidRPr="00374469">
        <w:t>e]l daño se consolidó el 24 de julio de 1996, fecha en la que el médico oftalmólogo del ISS consideró que ya no era viable realizar la cirugía de cataratas», por considerar que se trató de un diagnóstico definitivo que fue conocido por los demandantes a quienes se les explicó el diagnóstico.</w:t>
      </w:r>
    </w:p>
  </w:footnote>
  <w:footnote w:id="94">
    <w:p w14:paraId="255CED67" w14:textId="77777777" w:rsidR="00CF7011" w:rsidRPr="00374469" w:rsidRDefault="00CF7011" w:rsidP="0094672F">
      <w:pPr>
        <w:pStyle w:val="Textonotapie"/>
      </w:pPr>
      <w:r w:rsidRPr="00374469">
        <w:rPr>
          <w:rStyle w:val="Refdenotaalpie"/>
        </w:rPr>
        <w:footnoteRef/>
      </w:r>
      <w:r w:rsidRPr="00374469">
        <w:t xml:space="preserve"> Sentencia del 16 de agosto de 2022, C.P. Martín Bermúdez Muñoz, Subsección B, Sección Tercera. Radicado: 17001-23-31-000-2010-00327-01 (52116).</w:t>
      </w:r>
    </w:p>
  </w:footnote>
  <w:footnote w:id="95">
    <w:p w14:paraId="7EF213BE" w14:textId="68270F8C" w:rsidR="00CF7011" w:rsidRPr="000A6956" w:rsidRDefault="00CF7011" w:rsidP="000A6956">
      <w:pPr>
        <w:pStyle w:val="Textonotapie"/>
        <w:rPr>
          <w:lang w:val="es-CO"/>
        </w:rPr>
      </w:pPr>
      <w:r w:rsidRPr="00B34AB4">
        <w:rPr>
          <w:rStyle w:val="Refdenotaalpie"/>
          <w:lang w:val="es-CO"/>
        </w:rPr>
        <w:footnoteRef/>
      </w:r>
      <w:r w:rsidRPr="00B34AB4">
        <w:rPr>
          <w:lang w:val="es-CO"/>
        </w:rPr>
        <w:t xml:space="preserve"> Sentencia SU-167 de 2023.</w:t>
      </w:r>
    </w:p>
  </w:footnote>
  <w:footnote w:id="96">
    <w:p w14:paraId="2270B8BC" w14:textId="3FC1DA1A" w:rsidR="00CF7011" w:rsidRPr="000A6956" w:rsidRDefault="00CF7011" w:rsidP="005C4F77">
      <w:pPr>
        <w:pStyle w:val="Textonotapie"/>
        <w:rPr>
          <w:lang w:val="es-CO"/>
        </w:rPr>
      </w:pPr>
      <w:r w:rsidRPr="004E2674">
        <w:rPr>
          <w:rStyle w:val="Refdenotaalpie"/>
          <w:lang w:val="es-CO"/>
        </w:rPr>
        <w:footnoteRef/>
      </w:r>
      <w:r w:rsidRPr="004E2674">
        <w:rPr>
          <w:lang w:val="es-CO"/>
        </w:rPr>
        <w:t xml:space="preserve"> Sentencia T-026 de 2022 y T-340 de 2023.</w:t>
      </w:r>
    </w:p>
  </w:footnote>
  <w:footnote w:id="97">
    <w:p w14:paraId="7D5BA341" w14:textId="75D0367D"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Ver las sentencias T-301 de 2019, T-271 de 2020 y T-347 de 2020.</w:t>
      </w:r>
    </w:p>
  </w:footnote>
  <w:footnote w:id="98">
    <w:p w14:paraId="50DF49CE" w14:textId="732FBB06"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w:t>
      </w:r>
      <w:r>
        <w:rPr>
          <w:lang w:val="es-CO"/>
        </w:rPr>
        <w:t xml:space="preserve">En la </w:t>
      </w:r>
      <w:r w:rsidRPr="000A6956">
        <w:rPr>
          <w:lang w:val="es-CO"/>
        </w:rPr>
        <w:t>Sentencia T-347 de 2020</w:t>
      </w:r>
      <w:r>
        <w:rPr>
          <w:lang w:val="es-CO"/>
        </w:rPr>
        <w:t xml:space="preserve">, la Corte </w:t>
      </w:r>
      <w:r w:rsidRPr="000A6956">
        <w:rPr>
          <w:lang w:val="es-CO"/>
        </w:rPr>
        <w:t>concluyó que se había configurado el defecto fáctico alegado por el accionante porque el juez contencioso fundamentó su decisión de declarar la caducidad únicamente en el dictamen de la Dirección de Sanidad Militar en el que se señaló el diagnóstico y prescribió la realización de una radiografía, a pesar de que «dicho elemento probatorio indica, únicamente, la existencia de una lesión, sin calificar su carácter temporal o permanente y menos aún su gravedad. Así, contrario a lo sostenido por el Tribunal Administrativo de Cundinamarca, no es posible afirmar que el afectado hubiese advertido el daño el 5 de agosto de 2015, pues la radiografía realizada no evidenció una disminución en la funcionalidad de su extremidad, sino, simplemente, la presencia de un fragmento metálico residual».</w:t>
      </w:r>
    </w:p>
  </w:footnote>
  <w:footnote w:id="99">
    <w:p w14:paraId="4A9F018E" w14:textId="4E650E87" w:rsidR="00CF7011" w:rsidRPr="000A6956" w:rsidRDefault="00CF7011" w:rsidP="000A6956">
      <w:pPr>
        <w:pStyle w:val="Textonotapie"/>
        <w:rPr>
          <w:lang w:val="es-CO"/>
        </w:rPr>
      </w:pPr>
      <w:r w:rsidRPr="000A6956">
        <w:rPr>
          <w:rStyle w:val="Refdenotaalpie"/>
          <w:lang w:val="es-CO"/>
        </w:rPr>
        <w:footnoteRef/>
      </w:r>
      <w:r w:rsidRPr="000A6956">
        <w:rPr>
          <w:lang w:val="es-CO"/>
        </w:rPr>
        <w:t xml:space="preserve"> </w:t>
      </w:r>
      <w:r w:rsidRPr="001B502D">
        <w:rPr>
          <w:lang w:val="es-CO"/>
        </w:rPr>
        <w:t xml:space="preserve">Así, por ejemplo, mediante la Sentencia T-301 de 2019, la Sala </w:t>
      </w:r>
      <w:r>
        <w:rPr>
          <w:lang w:val="es-CO"/>
        </w:rPr>
        <w:t xml:space="preserve">Segunda </w:t>
      </w:r>
      <w:r w:rsidRPr="001B502D">
        <w:rPr>
          <w:lang w:val="es-CO"/>
        </w:rPr>
        <w:t xml:space="preserve">de Revisión consideró que la autoridad judicial accionada no incurrió en defecto alguno y desestimó tener el dictamen de la pérdida de capacidad laboral como punto de partida para el cómputo del término de caducidad. Esto, por cuanto, «no hay prueba de que por alguna razón el daño, identificado éste por la misma parte demandante como el menoscabo en la salud, hubiese permanecido de alguna manera oculto o imperceptible para el peticionario una vez se le practicó la evisceración de su ojo derecho y que, por consiguiente, la manifestación de su existencia tan solo pudo ser </w:t>
      </w:r>
      <w:proofErr w:type="spellStart"/>
      <w:r w:rsidRPr="001B502D">
        <w:rPr>
          <w:lang w:val="es-CO"/>
        </w:rPr>
        <w:t>exteriorizable</w:t>
      </w:r>
      <w:proofErr w:type="spellEnd"/>
      <w:r w:rsidRPr="001B502D">
        <w:rPr>
          <w:lang w:val="es-CO"/>
        </w:rPr>
        <w:t xml:space="preserve"> hasta una ulterior oportunidad, en este caso, con el dictamen de la Junta Nacional, el cual, a la postre, se constituyó en un elemento de prueba relevante para efectos de la tasación de perjuicios más (sic) no en el habilitante necesario del conocimiento del daño que se reclama». Por el contrario, en la Sentencia T-271 de 2020</w:t>
      </w:r>
      <w:r>
        <w:rPr>
          <w:lang w:val="es-CO"/>
        </w:rPr>
        <w:t>,</w:t>
      </w:r>
      <w:r w:rsidRPr="001B502D">
        <w:rPr>
          <w:lang w:val="es-CO"/>
        </w:rPr>
        <w:t xml:space="preserve"> la Sala </w:t>
      </w:r>
      <w:r>
        <w:rPr>
          <w:lang w:val="es-CO"/>
        </w:rPr>
        <w:t xml:space="preserve">Octava </w:t>
      </w:r>
      <w:r w:rsidRPr="001B502D">
        <w:rPr>
          <w:lang w:val="es-CO"/>
        </w:rPr>
        <w:t>de Revisión concluyó que, en atención a las particularidades del caso, «la certeza del daño solamente se [tuvo] a partir de la calificación de [la] pérdida de capacidad laboral», debido a que «las consecuencias del padecimiento solamente se llegaron a conocer de forma paulatina a lo largo de todo el proceso médico que ha atravesado el [accionante]». Mientras que, el diagnóstico que recibió el accionante «no le permitía tener certeza de la expectativa de vida que en su momento le fue diagnosticada con ocasión de su patología, las restricciones que para él suponía el tratamiento médico que le fue prescrito y las secuelas psicológicas que le ocasionaría su padecimiento. Por ello, contabilizar el término de caducidad del medio de control de reparación directa desde el momento en que se le informó al actor acerca de la enfermedad que padecía implicaría concluir que solo con ese hecho debía conocer todas las consecuencias que en el futuro le ocasionaría el problema renal que padece»</w:t>
      </w:r>
      <w:r w:rsidRPr="000A6956">
        <w:rPr>
          <w:lang w:val="es-CO"/>
        </w:rPr>
        <w:t xml:space="preserve">. </w:t>
      </w:r>
    </w:p>
  </w:footnote>
  <w:footnote w:id="100">
    <w:p w14:paraId="398E7898" w14:textId="77777777" w:rsidR="00CF7011" w:rsidRPr="000A6956" w:rsidRDefault="00CF7011" w:rsidP="00AC340D">
      <w:pPr>
        <w:pStyle w:val="Textonotapie"/>
        <w:rPr>
          <w:lang w:val="es-CO"/>
        </w:rPr>
      </w:pPr>
      <w:r w:rsidRPr="00A96351">
        <w:rPr>
          <w:rStyle w:val="Refdenotaalpie"/>
          <w:lang w:val="es-CO"/>
        </w:rPr>
        <w:footnoteRef/>
      </w:r>
      <w:r w:rsidRPr="00A96351">
        <w:rPr>
          <w:lang w:val="es-CO"/>
        </w:rPr>
        <w:t xml:space="preserve"> Ib.</w:t>
      </w:r>
    </w:p>
  </w:footnote>
  <w:footnote w:id="101">
    <w:p w14:paraId="60B49D45" w14:textId="77777777" w:rsidR="00CF7011" w:rsidRPr="000A6956" w:rsidRDefault="00CF7011" w:rsidP="00CE299E">
      <w:pPr>
        <w:pStyle w:val="Textonotapie"/>
        <w:rPr>
          <w:lang w:val="es-CO"/>
        </w:rPr>
      </w:pPr>
      <w:r w:rsidRPr="000A6956">
        <w:rPr>
          <w:rStyle w:val="Refdenotaalpie"/>
          <w:lang w:val="es-CO"/>
        </w:rPr>
        <w:footnoteRef/>
      </w:r>
      <w:r w:rsidRPr="000A6956">
        <w:rPr>
          <w:lang w:val="es-CO"/>
        </w:rPr>
        <w:t xml:space="preserve"> Expediente digital del proceso de reparación directa, Archivo: «Demanda de reparación directa», pág. 52.</w:t>
      </w:r>
    </w:p>
  </w:footnote>
  <w:footnote w:id="102">
    <w:p w14:paraId="0D188BE0" w14:textId="77777777" w:rsidR="00CF7011" w:rsidRPr="000A6956" w:rsidRDefault="00CF7011" w:rsidP="00AD38F6">
      <w:pPr>
        <w:pStyle w:val="Textonotapie"/>
        <w:rPr>
          <w:lang w:val="es-CO"/>
        </w:rPr>
      </w:pPr>
      <w:r w:rsidRPr="000A6956">
        <w:rPr>
          <w:rStyle w:val="Refdenotaalpie"/>
          <w:lang w:val="es-CO"/>
        </w:rPr>
        <w:footnoteRef/>
      </w:r>
      <w:r w:rsidRPr="000A6956">
        <w:rPr>
          <w:lang w:val="es-CO"/>
        </w:rPr>
        <w:t xml:space="preserve"> </w:t>
      </w:r>
      <w:proofErr w:type="spellStart"/>
      <w:r w:rsidRPr="000A6956">
        <w:rPr>
          <w:lang w:val="es-CO"/>
        </w:rPr>
        <w:t>Ibid</w:t>
      </w:r>
      <w:proofErr w:type="spellEnd"/>
      <w:r w:rsidRPr="000A6956">
        <w:rPr>
          <w:lang w:val="es-CO"/>
        </w:rPr>
        <w:t>., pág. 64</w:t>
      </w:r>
    </w:p>
  </w:footnote>
  <w:footnote w:id="103">
    <w:p w14:paraId="2259822D" w14:textId="77777777" w:rsidR="00CF7011" w:rsidRPr="000A6956" w:rsidRDefault="00CF7011" w:rsidP="00070278">
      <w:pPr>
        <w:pStyle w:val="Textonotapie"/>
        <w:rPr>
          <w:lang w:val="es-CO"/>
        </w:rPr>
      </w:pPr>
      <w:r w:rsidRPr="000A6956">
        <w:rPr>
          <w:rStyle w:val="Refdenotaalpie"/>
          <w:lang w:val="es-CO"/>
        </w:rPr>
        <w:footnoteRef/>
      </w:r>
      <w:r w:rsidRPr="000A6956">
        <w:rPr>
          <w:lang w:val="es-CO"/>
        </w:rPr>
        <w:t xml:space="preserve"> </w:t>
      </w:r>
      <w:proofErr w:type="spellStart"/>
      <w:r w:rsidRPr="000A6956">
        <w:rPr>
          <w:lang w:val="es-CO"/>
        </w:rPr>
        <w:t>Ibid</w:t>
      </w:r>
      <w:proofErr w:type="spellEnd"/>
      <w:r w:rsidRPr="000A6956">
        <w:rPr>
          <w:lang w:val="es-CO"/>
        </w:rPr>
        <w:t xml:space="preserve">., pág. 47. </w:t>
      </w:r>
    </w:p>
  </w:footnote>
  <w:footnote w:id="104">
    <w:p w14:paraId="1A7231AD" w14:textId="77777777" w:rsidR="00CF7011" w:rsidRPr="000A6956" w:rsidRDefault="00CF7011" w:rsidP="00B8162E">
      <w:pPr>
        <w:pStyle w:val="Textonotapie"/>
        <w:rPr>
          <w:lang w:val="es-CO"/>
        </w:rPr>
      </w:pPr>
      <w:r w:rsidRPr="000A6956">
        <w:rPr>
          <w:rStyle w:val="Refdenotaalpie"/>
          <w:lang w:val="es-CO"/>
        </w:rPr>
        <w:footnoteRef/>
      </w:r>
      <w:r w:rsidRPr="000A6956">
        <w:rPr>
          <w:lang w:val="es-CO"/>
        </w:rPr>
        <w:t xml:space="preserve"> </w:t>
      </w:r>
      <w:proofErr w:type="spellStart"/>
      <w:r w:rsidRPr="000A6956">
        <w:rPr>
          <w:lang w:val="es-CO"/>
        </w:rPr>
        <w:t>Ibid</w:t>
      </w:r>
      <w:proofErr w:type="spellEnd"/>
      <w:r w:rsidRPr="000A6956">
        <w:rPr>
          <w:lang w:val="es-CO"/>
        </w:rPr>
        <w:t>., pág. 46.</w:t>
      </w:r>
    </w:p>
  </w:footnote>
  <w:footnote w:id="105">
    <w:p w14:paraId="0832A803" w14:textId="77777777" w:rsidR="00CF7011" w:rsidRPr="000A6956" w:rsidRDefault="00CF7011" w:rsidP="00F91FF0">
      <w:pPr>
        <w:pStyle w:val="Textonotapie"/>
        <w:rPr>
          <w:lang w:val="es-CO"/>
        </w:rPr>
      </w:pPr>
      <w:r w:rsidRPr="000A6956">
        <w:rPr>
          <w:rStyle w:val="Refdenotaalpie"/>
        </w:rPr>
        <w:footnoteRef/>
      </w:r>
      <w:r w:rsidRPr="000A6956">
        <w:rPr>
          <w:lang w:val="es-CO"/>
        </w:rPr>
        <w:t xml:space="preserve"> </w:t>
      </w:r>
      <w:proofErr w:type="spellStart"/>
      <w:r w:rsidRPr="000A6956">
        <w:rPr>
          <w:lang w:val="es-CO"/>
        </w:rPr>
        <w:t>Ibid</w:t>
      </w:r>
      <w:proofErr w:type="spellEnd"/>
      <w:r w:rsidRPr="000A6956">
        <w:rPr>
          <w:lang w:val="es-CO"/>
        </w:rPr>
        <w:t>., Archivo: «09GestiónProbatoria.pdf», pág. 6.</w:t>
      </w:r>
    </w:p>
  </w:footnote>
  <w:footnote w:id="106">
    <w:p w14:paraId="39C0E772" w14:textId="37702F8E" w:rsidR="00CF7011" w:rsidRPr="000A6956" w:rsidRDefault="00CF7011" w:rsidP="000F7EE2">
      <w:pPr>
        <w:pStyle w:val="Textonotapie"/>
      </w:pPr>
      <w:r w:rsidRPr="000A6956">
        <w:rPr>
          <w:rStyle w:val="Refdenotaalpie"/>
        </w:rPr>
        <w:footnoteRef/>
      </w:r>
      <w:r w:rsidRPr="000A6956">
        <w:t xml:space="preserve"> </w:t>
      </w:r>
      <w:proofErr w:type="spellStart"/>
      <w:r w:rsidRPr="000A6956">
        <w:t>Ibid</w:t>
      </w:r>
      <w:proofErr w:type="spellEnd"/>
      <w:r w:rsidRPr="000A6956">
        <w:t>.</w:t>
      </w:r>
      <w:r w:rsidRPr="000A6956">
        <w:rPr>
          <w:lang w:val="es-CO"/>
        </w:rPr>
        <w:t>, Archivo: «Demanda de reparación directa», pá</w:t>
      </w:r>
      <w:r>
        <w:rPr>
          <w:lang w:val="es-CO"/>
        </w:rPr>
        <w:t>g</w:t>
      </w:r>
      <w:r w:rsidRPr="000A6956">
        <w:rPr>
          <w:lang w:val="es-CO"/>
        </w:rPr>
        <w:t>. 41</w:t>
      </w:r>
      <w:r>
        <w:rPr>
          <w:lang w:val="es-CO"/>
        </w:rPr>
        <w:t>.</w:t>
      </w:r>
    </w:p>
  </w:footnote>
  <w:footnote w:id="107">
    <w:p w14:paraId="7D1D3F77" w14:textId="1948DCDC" w:rsidR="00CF7011" w:rsidRPr="00C36880" w:rsidRDefault="00CF7011">
      <w:pPr>
        <w:pStyle w:val="Textonotapie"/>
        <w:rPr>
          <w:lang w:val="es-CO"/>
        </w:rPr>
      </w:pPr>
      <w:r>
        <w:rPr>
          <w:rStyle w:val="Refdenotaalpie"/>
        </w:rPr>
        <w:footnoteRef/>
      </w:r>
      <w:r>
        <w:t xml:space="preserve"> </w:t>
      </w:r>
      <w:proofErr w:type="spellStart"/>
      <w:r>
        <w:rPr>
          <w:lang w:val="es-CO"/>
        </w:rPr>
        <w:t>Ibid</w:t>
      </w:r>
      <w:proofErr w:type="spellEnd"/>
      <w:r>
        <w:rPr>
          <w:lang w:val="es-CO"/>
        </w:rPr>
        <w:t>., pág. 43.</w:t>
      </w:r>
    </w:p>
  </w:footnote>
  <w:footnote w:id="108">
    <w:p w14:paraId="1193402E" w14:textId="77777777" w:rsidR="00CF7011" w:rsidRPr="000A6956" w:rsidRDefault="00CF7011" w:rsidP="001C3157">
      <w:pPr>
        <w:pStyle w:val="Textonotapie"/>
      </w:pPr>
      <w:r w:rsidRPr="000A6956">
        <w:rPr>
          <w:rStyle w:val="Refdenotaalpie"/>
        </w:rPr>
        <w:footnoteRef/>
      </w:r>
      <w:r w:rsidRPr="000A6956">
        <w:t xml:space="preserve"> </w:t>
      </w:r>
      <w:proofErr w:type="spellStart"/>
      <w:r w:rsidRPr="000A6956">
        <w:t>Ibid</w:t>
      </w:r>
      <w:proofErr w:type="spellEnd"/>
      <w:r w:rsidRPr="000A6956">
        <w:t>.</w:t>
      </w:r>
      <w:r w:rsidRPr="000A6956">
        <w:rPr>
          <w:lang w:val="es-CO"/>
        </w:rPr>
        <w:t>, pág. 44.</w:t>
      </w:r>
    </w:p>
  </w:footnote>
  <w:footnote w:id="109">
    <w:p w14:paraId="40860B3D" w14:textId="2EB87397" w:rsidR="00CF7011" w:rsidRPr="00842D01" w:rsidRDefault="00CF7011">
      <w:pPr>
        <w:pStyle w:val="Textonotapie"/>
      </w:pPr>
      <w:r>
        <w:rPr>
          <w:rStyle w:val="Refdenotaalpie"/>
        </w:rPr>
        <w:footnoteRef/>
      </w:r>
      <w:r>
        <w:t xml:space="preserve"> </w:t>
      </w:r>
      <w:proofErr w:type="spellStart"/>
      <w:r>
        <w:t>Ibid</w:t>
      </w:r>
      <w:proofErr w:type="spellEnd"/>
      <w:r>
        <w:t>., pág. 45.</w:t>
      </w:r>
    </w:p>
  </w:footnote>
  <w:footnote w:id="110">
    <w:p w14:paraId="7DDF3322" w14:textId="11C57943" w:rsidR="00CF7011" w:rsidRPr="000A6956" w:rsidRDefault="00CF7011" w:rsidP="00A30ACB">
      <w:pPr>
        <w:pStyle w:val="Textonotapie"/>
        <w:rPr>
          <w:lang w:val="es-CO"/>
        </w:rPr>
      </w:pPr>
      <w:r w:rsidRPr="000A6956">
        <w:rPr>
          <w:rStyle w:val="Refdenotaalpie"/>
        </w:rPr>
        <w:footnoteRef/>
      </w:r>
      <w:r w:rsidRPr="000A6956">
        <w:t xml:space="preserve"> </w:t>
      </w:r>
      <w:proofErr w:type="spellStart"/>
      <w:r>
        <w:rPr>
          <w:lang w:val="es-CO"/>
        </w:rPr>
        <w:t>Ibid</w:t>
      </w:r>
      <w:proofErr w:type="spellEnd"/>
      <w:r>
        <w:rPr>
          <w:lang w:val="es-CO"/>
        </w:rPr>
        <w:t>.</w:t>
      </w:r>
      <w:r w:rsidRPr="000A6956">
        <w:rPr>
          <w:lang w:val="es-CO"/>
        </w:rPr>
        <w:t>, Archivo: «Demanda de reparación directa», pág. 32.</w:t>
      </w:r>
    </w:p>
  </w:footnote>
  <w:footnote w:id="111">
    <w:p w14:paraId="1FE7D267" w14:textId="026E8E6D" w:rsidR="00CF7011" w:rsidRPr="000A1F73" w:rsidRDefault="00CF7011">
      <w:pPr>
        <w:pStyle w:val="Textonotapie"/>
      </w:pPr>
      <w:r>
        <w:rPr>
          <w:rStyle w:val="Refdenotaalpie"/>
        </w:rPr>
        <w:footnoteRef/>
      </w:r>
      <w:r>
        <w:t xml:space="preserve"> </w:t>
      </w:r>
      <w:proofErr w:type="spellStart"/>
      <w:r w:rsidRPr="000A6956">
        <w:t>Ibid</w:t>
      </w:r>
      <w:proofErr w:type="spellEnd"/>
      <w:r w:rsidRPr="000A6956">
        <w:t xml:space="preserve">., </w:t>
      </w:r>
      <w:r w:rsidRPr="000A6956">
        <w:rPr>
          <w:lang w:val="es-CO"/>
        </w:rPr>
        <w:t>Archivo: «07GestiónProbatoria.pdf», pág. 1</w:t>
      </w:r>
      <w:r>
        <w:rPr>
          <w:lang w:val="es-CO"/>
        </w:rPr>
        <w:t>9</w:t>
      </w:r>
      <w:r w:rsidRPr="000A6956">
        <w:rPr>
          <w:lang w:val="es-CO"/>
        </w:rPr>
        <w:t>.</w:t>
      </w:r>
    </w:p>
  </w:footnote>
  <w:footnote w:id="112">
    <w:p w14:paraId="30592BEF" w14:textId="77777777" w:rsidR="00CF7011" w:rsidRPr="000A6956" w:rsidRDefault="00CF7011" w:rsidP="00670B08">
      <w:pPr>
        <w:pStyle w:val="Textonotapie"/>
      </w:pPr>
      <w:r w:rsidRPr="000A6956">
        <w:rPr>
          <w:rStyle w:val="Refdenotaalpie"/>
        </w:rPr>
        <w:footnoteRef/>
      </w:r>
      <w:r w:rsidRPr="000A6956">
        <w:t xml:space="preserve"> </w:t>
      </w:r>
      <w:proofErr w:type="spellStart"/>
      <w:r w:rsidRPr="000A6956">
        <w:t>Ibid</w:t>
      </w:r>
      <w:proofErr w:type="spellEnd"/>
      <w:r w:rsidRPr="000A6956">
        <w:t xml:space="preserve">., </w:t>
      </w:r>
      <w:r w:rsidRPr="000A6956">
        <w:rPr>
          <w:lang w:val="es-CO"/>
        </w:rPr>
        <w:t xml:space="preserve">Archivo: «11IncidenteDeDesacato.pdf», </w:t>
      </w:r>
      <w:r w:rsidRPr="000A6956">
        <w:t>pág. 20.</w:t>
      </w:r>
    </w:p>
  </w:footnote>
  <w:footnote w:id="113">
    <w:p w14:paraId="493E5131" w14:textId="6714DB06" w:rsidR="00CF7011" w:rsidRPr="004E3FB1" w:rsidRDefault="00CF7011">
      <w:pPr>
        <w:pStyle w:val="Textonotapie"/>
      </w:pPr>
      <w:r>
        <w:rPr>
          <w:rStyle w:val="Refdenotaalpie"/>
        </w:rPr>
        <w:footnoteRef/>
      </w:r>
      <w:r>
        <w:t xml:space="preserve"> </w:t>
      </w:r>
      <w:proofErr w:type="spellStart"/>
      <w:r>
        <w:t>Ibid</w:t>
      </w:r>
      <w:proofErr w:type="spellEnd"/>
      <w:r>
        <w:t xml:space="preserve">., </w:t>
      </w:r>
      <w:r w:rsidRPr="000A6956">
        <w:t>Archivo «08RevocaYDeclaraCaducidad», pág</w:t>
      </w:r>
      <w:r>
        <w:t>. 16.</w:t>
      </w:r>
    </w:p>
  </w:footnote>
  <w:footnote w:id="114">
    <w:p w14:paraId="08FCCB86" w14:textId="1EC2DC7A" w:rsidR="00CF7011" w:rsidRPr="000A6956" w:rsidRDefault="00CF7011" w:rsidP="00C971A2">
      <w:pPr>
        <w:pStyle w:val="Textonotapie"/>
      </w:pPr>
      <w:r w:rsidRPr="000A6956">
        <w:rPr>
          <w:rStyle w:val="Refdenotaalpie"/>
        </w:rPr>
        <w:footnoteRef/>
      </w:r>
      <w:r w:rsidRPr="000A6956">
        <w:t xml:space="preserve"> </w:t>
      </w:r>
      <w:proofErr w:type="spellStart"/>
      <w:r>
        <w:t>Ibid</w:t>
      </w:r>
      <w:proofErr w:type="spellEnd"/>
      <w:r>
        <w:t xml:space="preserve">., </w:t>
      </w:r>
      <w:r w:rsidRPr="000A6956">
        <w:rPr>
          <w:lang w:val="es-CO"/>
        </w:rPr>
        <w:t>Archivo: «RD2017-00223.Aud. Pruebas 23-10-2019»</w:t>
      </w:r>
      <w:r w:rsidRPr="000A6956">
        <w:t>, minutos 8:45 a 10:35.</w:t>
      </w:r>
    </w:p>
  </w:footnote>
  <w:footnote w:id="115">
    <w:p w14:paraId="3C09BD0D" w14:textId="77777777" w:rsidR="00CF7011" w:rsidRPr="000A6956" w:rsidRDefault="00CF7011" w:rsidP="00A56ADA">
      <w:pPr>
        <w:pStyle w:val="Textonotapie"/>
      </w:pPr>
      <w:r w:rsidRPr="000A6956">
        <w:rPr>
          <w:rStyle w:val="Refdenotaalpie"/>
        </w:rPr>
        <w:footnoteRef/>
      </w:r>
      <w:r w:rsidRPr="000A6956">
        <w:t xml:space="preserve"> </w:t>
      </w:r>
      <w:proofErr w:type="spellStart"/>
      <w:r w:rsidRPr="000A6956">
        <w:t>Ibid</w:t>
      </w:r>
      <w:proofErr w:type="spellEnd"/>
      <w:r w:rsidRPr="000A6956">
        <w:t>., minutos 16:00 a 18:00.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4794" w14:textId="77777777" w:rsidR="00CF7011" w:rsidRPr="00626BB2" w:rsidRDefault="00CF7011" w:rsidP="00AE39B3">
    <w:pPr>
      <w:pStyle w:val="Encabezado"/>
      <w:jc w:val="right"/>
      <w:rPr>
        <w:sz w:val="20"/>
        <w:szCs w:val="14"/>
        <w:lang w:val="es-CO"/>
      </w:rPr>
    </w:pPr>
    <w:r w:rsidRPr="00626BB2">
      <w:rPr>
        <w:sz w:val="20"/>
        <w:szCs w:val="14"/>
        <w:lang w:val="es-CO"/>
      </w:rPr>
      <w:t xml:space="preserve">Expediente </w:t>
    </w:r>
    <w:r w:rsidRPr="00AD0610">
      <w:rPr>
        <w:sz w:val="20"/>
        <w:szCs w:val="14"/>
        <w:lang w:val="es-CO"/>
      </w:rPr>
      <w:t>T-9.70</w:t>
    </w:r>
    <w:r>
      <w:rPr>
        <w:sz w:val="20"/>
        <w:szCs w:val="14"/>
        <w:lang w:val="es-CO"/>
      </w:rPr>
      <w:t>1</w:t>
    </w:r>
    <w:r w:rsidRPr="00AD0610">
      <w:rPr>
        <w:sz w:val="20"/>
        <w:szCs w:val="14"/>
        <w:lang w:val="es-CO"/>
      </w:rPr>
      <w:t>.567</w:t>
    </w:r>
  </w:p>
  <w:p w14:paraId="564BB32D" w14:textId="0BBEF58A" w:rsidR="00CF7011" w:rsidRPr="00AE39B3" w:rsidRDefault="00CF7011" w:rsidP="00AE39B3">
    <w:pPr>
      <w:pStyle w:val="Encabezado"/>
      <w:jc w:val="right"/>
      <w:rPr>
        <w:sz w:val="14"/>
        <w:szCs w:val="8"/>
        <w:lang w:val="es-CO"/>
      </w:rPr>
    </w:pPr>
    <w:r w:rsidRPr="00626BB2">
      <w:rPr>
        <w:sz w:val="20"/>
        <w:szCs w:val="14"/>
        <w:lang w:val="es-CO"/>
      </w:rPr>
      <w:t xml:space="preserve">M.P. Cristina Pardo </w:t>
    </w:r>
    <w:proofErr w:type="spellStart"/>
    <w:r w:rsidRPr="00626BB2">
      <w:rPr>
        <w:sz w:val="20"/>
        <w:szCs w:val="14"/>
        <w:lang w:val="es-CO"/>
      </w:rPr>
      <w:t>Schlesinger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77DB"/>
    <w:multiLevelType w:val="hybridMultilevel"/>
    <w:tmpl w:val="BEBA8764"/>
    <w:lvl w:ilvl="0" w:tplc="29503A0E">
      <w:start w:val="1"/>
      <w:numFmt w:val="decimal"/>
      <w:lvlText w:val="%1."/>
      <w:lvlJc w:val="left"/>
      <w:pPr>
        <w:ind w:left="786" w:hanging="360"/>
      </w:pPr>
      <w:rPr>
        <w:b w:val="0"/>
        <w:bCs/>
        <w:i w:val="0"/>
        <w:iCs w:val="0"/>
        <w:sz w:val="28"/>
        <w:szCs w:val="28"/>
      </w:rPr>
    </w:lvl>
    <w:lvl w:ilvl="1" w:tplc="77DC9AE2">
      <w:start w:val="1"/>
      <w:numFmt w:val="lowerRoman"/>
      <w:lvlText w:val="%2."/>
      <w:lvlJc w:val="right"/>
      <w:pPr>
        <w:ind w:left="1440" w:hanging="360"/>
      </w:pPr>
      <w:rPr>
        <w:i w:val="0"/>
        <w:i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BC6BFC"/>
    <w:multiLevelType w:val="multilevel"/>
    <w:tmpl w:val="8C565DD2"/>
    <w:lvl w:ilvl="0">
      <w:start w:val="1"/>
      <w:numFmt w:val="decimal"/>
      <w:lvlText w:val="%1."/>
      <w:lvlJc w:val="left"/>
      <w:pPr>
        <w:ind w:left="360" w:hanging="360"/>
      </w:pPr>
      <w:rPr>
        <w:rFonts w:hint="default"/>
        <w:i w:val="0"/>
        <w:i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6A4603C"/>
    <w:multiLevelType w:val="hybridMultilevel"/>
    <w:tmpl w:val="FFFFFFFF"/>
    <w:lvl w:ilvl="0" w:tplc="04963B38">
      <w:start w:val="1"/>
      <w:numFmt w:val="decimal"/>
      <w:suff w:val="space"/>
      <w:lvlText w:val="%1."/>
      <w:lvlJc w:val="left"/>
      <w:rPr>
        <w:rFonts w:ascii="Times New Roman" w:hAnsi="Times New Roman" w:cs="Times New Roman" w:hint="default"/>
        <w:i w:val="0"/>
        <w:iCs w:val="0"/>
        <w:sz w:val="28"/>
        <w:szCs w:val="28"/>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
    <w:nsid w:val="389277C4"/>
    <w:multiLevelType w:val="multilevel"/>
    <w:tmpl w:val="387429AA"/>
    <w:lvl w:ilvl="0">
      <w:start w:val="1"/>
      <w:numFmt w:val="decimal"/>
      <w:lvlText w:val="%1."/>
      <w:lvlJc w:val="left"/>
      <w:pPr>
        <w:ind w:left="360" w:hanging="360"/>
      </w:pPr>
      <w:rPr>
        <w:b/>
      </w:rPr>
    </w:lvl>
    <w:lvl w:ilvl="1">
      <w:start w:val="1"/>
      <w:numFmt w:val="decimal"/>
      <w:isLgl/>
      <w:lvlText w:val="%1.%2."/>
      <w:lvlJc w:val="left"/>
      <w:pPr>
        <w:ind w:left="0" w:firstLine="0"/>
      </w:pPr>
      <w:rPr>
        <w:b w:val="0"/>
        <w:bCs/>
        <w:i w:val="0"/>
        <w:iCs w:val="0"/>
      </w:rPr>
    </w:lvl>
    <w:lvl w:ilvl="2">
      <w:start w:val="1"/>
      <w:numFmt w:val="decimal"/>
      <w:isLgl/>
      <w:lvlText w:val="%1.%2.%3."/>
      <w:lvlJc w:val="left"/>
      <w:pPr>
        <w:ind w:left="0" w:firstLine="0"/>
      </w:pPr>
      <w:rPr>
        <w:b w:val="0"/>
        <w:i w:val="0"/>
        <w:color w:val="auto"/>
      </w:rPr>
    </w:lvl>
    <w:lvl w:ilvl="3">
      <w:start w:val="1"/>
      <w:numFmt w:val="decimal"/>
      <w:isLgl/>
      <w:lvlText w:val="%1.%2.%3.%4."/>
      <w:lvlJc w:val="left"/>
      <w:pPr>
        <w:ind w:left="0" w:firstLine="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3D4C3A11"/>
    <w:multiLevelType w:val="multilevel"/>
    <w:tmpl w:val="FFFFFFFF"/>
    <w:lvl w:ilvl="0">
      <w:start w:val="1"/>
      <w:numFmt w:val="decimal"/>
      <w:lvlText w:val="%1."/>
      <w:lvlJc w:val="left"/>
      <w:pPr>
        <w:tabs>
          <w:tab w:val="num" w:pos="340"/>
        </w:tabs>
      </w:pPr>
      <w:rPr>
        <w:rFonts w:cs="Times New Roman" w:hint="default"/>
        <w:b/>
        <w:bCs w:val="0"/>
      </w:rPr>
    </w:lvl>
    <w:lvl w:ilvl="1">
      <w:start w:val="1"/>
      <w:numFmt w:val="decimal"/>
      <w:isLgl/>
      <w:lvlText w:val="%1.%2."/>
      <w:lvlJc w:val="left"/>
      <w:pPr>
        <w:tabs>
          <w:tab w:val="num" w:pos="567"/>
        </w:tabs>
      </w:pPr>
      <w:rPr>
        <w:rFonts w:cs="Times New Roman" w:hint="default"/>
        <w:b w:val="0"/>
        <w:bCs/>
        <w:i w:val="0"/>
        <w:color w:val="000000" w:themeColor="text1"/>
      </w:rPr>
    </w:lvl>
    <w:lvl w:ilvl="2">
      <w:start w:val="1"/>
      <w:numFmt w:val="decimal"/>
      <w:isLgl/>
      <w:lvlText w:val="%1.%2.%3."/>
      <w:lvlJc w:val="left"/>
      <w:pPr>
        <w:tabs>
          <w:tab w:val="num" w:pos="851"/>
        </w:tabs>
      </w:pPr>
      <w:rPr>
        <w:rFonts w:cs="Times New Roman" w:hint="default"/>
        <w:b w:val="0"/>
        <w:i w:val="0"/>
        <w:color w:val="000000" w:themeColor="text1"/>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E213000"/>
    <w:multiLevelType w:val="multilevel"/>
    <w:tmpl w:val="B7361C5E"/>
    <w:lvl w:ilvl="0">
      <w:start w:val="1"/>
      <w:numFmt w:val="decimal"/>
      <w:lvlText w:val="%1."/>
      <w:lvlJc w:val="left"/>
      <w:pPr>
        <w:ind w:left="360" w:hanging="360"/>
      </w:pPr>
      <w:rPr>
        <w:b/>
      </w:rPr>
    </w:lvl>
    <w:lvl w:ilvl="1">
      <w:start w:val="1"/>
      <w:numFmt w:val="decimal"/>
      <w:isLgl/>
      <w:lvlText w:val="%1.%2."/>
      <w:lvlJc w:val="left"/>
      <w:pPr>
        <w:ind w:left="0" w:firstLine="0"/>
      </w:pPr>
      <w:rPr>
        <w:b w:val="0"/>
        <w:bCs/>
      </w:rPr>
    </w:lvl>
    <w:lvl w:ilvl="2">
      <w:start w:val="1"/>
      <w:numFmt w:val="decimal"/>
      <w:isLgl/>
      <w:lvlText w:val="%1.%2.%3."/>
      <w:lvlJc w:val="left"/>
      <w:pPr>
        <w:ind w:left="0" w:firstLine="0"/>
      </w:pPr>
      <w:rPr>
        <w:b w:val="0"/>
        <w:i w:val="0"/>
        <w:color w:val="auto"/>
      </w:rPr>
    </w:lvl>
    <w:lvl w:ilvl="3">
      <w:start w:val="1"/>
      <w:numFmt w:val="decimal"/>
      <w:isLgl/>
      <w:lvlText w:val="%1.%2.%3.%4."/>
      <w:lvlJc w:val="left"/>
      <w:pPr>
        <w:ind w:left="0" w:firstLine="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4E695B0B"/>
    <w:multiLevelType w:val="hybridMultilevel"/>
    <w:tmpl w:val="06729374"/>
    <w:lvl w:ilvl="0" w:tplc="5EE4CC7C">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7019B8"/>
    <w:multiLevelType w:val="multilevel"/>
    <w:tmpl w:val="712C3C9C"/>
    <w:lvl w:ilvl="0">
      <w:start w:val="1"/>
      <w:numFmt w:val="upperRoman"/>
      <w:lvlText w:val="%1."/>
      <w:lvlJc w:val="left"/>
      <w:pPr>
        <w:ind w:left="1080" w:hanging="720"/>
      </w:pPr>
      <w:rPr>
        <w:rFonts w:cs="Times New Roman"/>
        <w:b/>
      </w:rPr>
    </w:lvl>
    <w:lvl w:ilvl="1">
      <w:start w:val="1"/>
      <w:numFmt w:val="decimal"/>
      <w:lvlText w:val="%2."/>
      <w:lvlJc w:val="left"/>
      <w:pPr>
        <w:ind w:left="1778" w:hanging="360"/>
      </w:pPr>
      <w:rPr>
        <w:rFonts w:ascii="Times New Roman" w:eastAsia="Times New Roman" w:hAnsi="Times New Roman" w:cs="Times New Roman"/>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bCs/>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4DD4F99"/>
    <w:multiLevelType w:val="hybridMultilevel"/>
    <w:tmpl w:val="6756C6E0"/>
    <w:lvl w:ilvl="0" w:tplc="278EDFF4">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92910FC"/>
    <w:multiLevelType w:val="hybridMultilevel"/>
    <w:tmpl w:val="B78ACAEA"/>
    <w:lvl w:ilvl="0" w:tplc="EE6C6448">
      <w:start w:val="1"/>
      <w:numFmt w:val="upperRoman"/>
      <w:pStyle w:val="Sinespaciado"/>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BB53E78"/>
    <w:multiLevelType w:val="hybridMultilevel"/>
    <w:tmpl w:val="2FFAF688"/>
    <w:lvl w:ilvl="0" w:tplc="45CE52F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D7736D4"/>
    <w:multiLevelType w:val="hybridMultilevel"/>
    <w:tmpl w:val="FFFFFFFF"/>
    <w:lvl w:ilvl="0" w:tplc="26BA1116">
      <w:start w:val="80"/>
      <w:numFmt w:val="decimal"/>
      <w:lvlText w:val="%1."/>
      <w:lvlJc w:val="left"/>
      <w:pPr>
        <w:ind w:left="375" w:hanging="375"/>
      </w:pPr>
      <w:rPr>
        <w:rFonts w:cs="Times New Roman" w:hint="default"/>
        <w:b w:val="0"/>
        <w:sz w:val="28"/>
        <w:szCs w:val="28"/>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728B056D"/>
    <w:multiLevelType w:val="hybridMultilevel"/>
    <w:tmpl w:val="854AEC2A"/>
    <w:lvl w:ilvl="0" w:tplc="591010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4E25375"/>
    <w:multiLevelType w:val="hybridMultilevel"/>
    <w:tmpl w:val="614C03B8"/>
    <w:lvl w:ilvl="0" w:tplc="53264EC4">
      <w:start w:val="1"/>
      <w:numFmt w:val="upperLetter"/>
      <w:pStyle w:val="Subseccin"/>
      <w:lvlText w:val="%1."/>
      <w:lvlJc w:val="left"/>
      <w:pPr>
        <w:ind w:left="360" w:hanging="360"/>
      </w:pPr>
      <w:rPr>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4D1177"/>
    <w:multiLevelType w:val="hybridMultilevel"/>
    <w:tmpl w:val="BA1C37F4"/>
    <w:lvl w:ilvl="0" w:tplc="371A2AA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89E160E"/>
    <w:multiLevelType w:val="multilevel"/>
    <w:tmpl w:val="3AAAE220"/>
    <w:lvl w:ilvl="0">
      <w:start w:val="1"/>
      <w:numFmt w:val="decimal"/>
      <w:lvlText w:val="%1."/>
      <w:lvlJc w:val="left"/>
      <w:pPr>
        <w:ind w:left="360" w:hanging="360"/>
      </w:pPr>
      <w:rPr>
        <w:b w:val="0"/>
        <w:bCs w:val="0"/>
        <w:i w:val="0"/>
        <w:iCs w:val="0"/>
        <w:sz w:val="28"/>
        <w:szCs w:val="28"/>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8"/>
  </w:num>
  <w:num w:numId="4">
    <w:abstractNumId w:val="1"/>
  </w:num>
  <w:num w:numId="5">
    <w:abstractNumId w:val="14"/>
  </w:num>
  <w:num w:numId="6">
    <w:abstractNumId w:val="0"/>
  </w:num>
  <w:num w:numId="7">
    <w:abstractNumId w:val="13"/>
    <w:lvlOverride w:ilvl="0">
      <w:startOverride w:val="1"/>
    </w:lvlOverride>
  </w:num>
  <w:num w:numId="8">
    <w:abstractNumId w:val="13"/>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 w:numId="18">
    <w:abstractNumId w:val="4"/>
  </w:num>
  <w:num w:numId="19">
    <w:abstractNumId w:val="4"/>
    <w:lvlOverride w:ilvl="0">
      <w:lvl w:ilvl="0">
        <w:start w:val="1"/>
        <w:numFmt w:val="decimal"/>
        <w:lvlText w:val="%1."/>
        <w:lvlJc w:val="left"/>
        <w:pPr>
          <w:tabs>
            <w:tab w:val="num" w:pos="340"/>
          </w:tabs>
        </w:pPr>
        <w:rPr>
          <w:rFonts w:cs="Times New Roman" w:hint="default"/>
          <w:b/>
          <w:bCs w:val="0"/>
        </w:rPr>
      </w:lvl>
    </w:lvlOverride>
    <w:lvlOverride w:ilvl="1">
      <w:lvl w:ilvl="1">
        <w:start w:val="1"/>
        <w:numFmt w:val="decimal"/>
        <w:isLgl/>
        <w:lvlText w:val="%1.%2."/>
        <w:lvlJc w:val="left"/>
        <w:pPr>
          <w:tabs>
            <w:tab w:val="num" w:pos="567"/>
          </w:tabs>
        </w:pPr>
        <w:rPr>
          <w:rFonts w:cs="Times New Roman" w:hint="default"/>
          <w:b w:val="0"/>
          <w:bCs/>
          <w:i w:val="0"/>
          <w:color w:val="000000" w:themeColor="text1"/>
        </w:rPr>
      </w:lvl>
    </w:lvlOverride>
    <w:lvlOverride w:ilvl="2">
      <w:lvl w:ilvl="2">
        <w:start w:val="1"/>
        <w:numFmt w:val="decimal"/>
        <w:isLgl/>
        <w:lvlText w:val="%1.%2.%3."/>
        <w:lvlJc w:val="left"/>
        <w:pPr>
          <w:tabs>
            <w:tab w:val="num" w:pos="851"/>
          </w:tabs>
        </w:pPr>
        <w:rPr>
          <w:rFonts w:cs="Times New Roman" w:hint="default"/>
          <w:b w:val="0"/>
          <w:i w:val="0"/>
          <w:color w:val="000000" w:themeColor="text1"/>
        </w:rPr>
      </w:lvl>
    </w:lvlOverride>
    <w:lvlOverride w:ilvl="3">
      <w:lvl w:ilvl="3">
        <w:start w:val="1"/>
        <w:numFmt w:val="decimal"/>
        <w:isLgl/>
        <w:lvlText w:val="%1.%2.%3.%4."/>
        <w:lvlJc w:val="left"/>
        <w:pPr>
          <w:tabs>
            <w:tab w:val="num" w:pos="1440"/>
          </w:tabs>
        </w:pPr>
        <w:rPr>
          <w:rFonts w:cs="Times New Roman" w:hint="default"/>
          <w:b w:val="0"/>
          <w:i w:val="0"/>
        </w:rPr>
      </w:lvl>
    </w:lvlOverride>
    <w:lvlOverride w:ilvl="4">
      <w:lvl w:ilvl="4">
        <w:start w:val="1"/>
        <w:numFmt w:val="decimal"/>
        <w:isLgl/>
        <w:lvlText w:val="%1.%2.%3.%4.%5"/>
        <w:lvlJc w:val="left"/>
        <w:pPr>
          <w:tabs>
            <w:tab w:val="num" w:pos="1440"/>
          </w:tabs>
          <w:ind w:left="1440" w:hanging="1080"/>
        </w:pPr>
        <w:rPr>
          <w:rFonts w:cs="Times New Roman" w:hint="default"/>
        </w:rPr>
      </w:lvl>
    </w:lvlOverride>
    <w:lvlOverride w:ilvl="5">
      <w:lvl w:ilvl="5">
        <w:start w:val="1"/>
        <w:numFmt w:val="decimal"/>
        <w:isLgl/>
        <w:lvlText w:val="%1.%2.%3.%4.%5.%6"/>
        <w:lvlJc w:val="left"/>
        <w:pPr>
          <w:tabs>
            <w:tab w:val="num" w:pos="1800"/>
          </w:tabs>
          <w:ind w:left="1800" w:hanging="1440"/>
        </w:pPr>
        <w:rPr>
          <w:rFonts w:cs="Times New Roman" w:hint="default"/>
        </w:rPr>
      </w:lvl>
    </w:lvlOverride>
    <w:lvlOverride w:ilvl="6">
      <w:lvl w:ilvl="6">
        <w:start w:val="1"/>
        <w:numFmt w:val="decimal"/>
        <w:isLgl/>
        <w:lvlText w:val="%1.%2.%3.%4.%5.%6.%7"/>
        <w:lvlJc w:val="left"/>
        <w:pPr>
          <w:tabs>
            <w:tab w:val="num" w:pos="1800"/>
          </w:tabs>
          <w:ind w:left="1800" w:hanging="1440"/>
        </w:pPr>
        <w:rPr>
          <w:rFonts w:cs="Times New Roman" w:hint="default"/>
        </w:rPr>
      </w:lvl>
    </w:lvlOverride>
    <w:lvlOverride w:ilvl="7">
      <w:lvl w:ilvl="7">
        <w:start w:val="1"/>
        <w:numFmt w:val="decimal"/>
        <w:isLgl/>
        <w:lvlText w:val="%1.%2.%3.%4.%5.%6.%7.%8"/>
        <w:lvlJc w:val="left"/>
        <w:pPr>
          <w:tabs>
            <w:tab w:val="num" w:pos="2160"/>
          </w:tabs>
          <w:ind w:left="2160" w:hanging="1800"/>
        </w:pPr>
        <w:rPr>
          <w:rFonts w:cs="Times New Roman" w:hint="default"/>
        </w:rPr>
      </w:lvl>
    </w:lvlOverride>
    <w:lvlOverride w:ilvl="8">
      <w:lvl w:ilvl="8">
        <w:start w:val="1"/>
        <w:numFmt w:val="decimal"/>
        <w:isLgl/>
        <w:lvlText w:val="%1.%2.%3.%4.%5.%6.%7.%8.%9"/>
        <w:lvlJc w:val="left"/>
        <w:pPr>
          <w:tabs>
            <w:tab w:val="num" w:pos="2520"/>
          </w:tabs>
          <w:ind w:left="2520" w:hanging="21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C9"/>
    <w:rsid w:val="000009E5"/>
    <w:rsid w:val="00001EFE"/>
    <w:rsid w:val="00003A0A"/>
    <w:rsid w:val="00004239"/>
    <w:rsid w:val="00006AF3"/>
    <w:rsid w:val="00006C68"/>
    <w:rsid w:val="000111A1"/>
    <w:rsid w:val="00012387"/>
    <w:rsid w:val="00012AC4"/>
    <w:rsid w:val="00013A00"/>
    <w:rsid w:val="0001516B"/>
    <w:rsid w:val="000157ED"/>
    <w:rsid w:val="000167F0"/>
    <w:rsid w:val="00017686"/>
    <w:rsid w:val="000208BC"/>
    <w:rsid w:val="00021083"/>
    <w:rsid w:val="00021166"/>
    <w:rsid w:val="00022994"/>
    <w:rsid w:val="00023751"/>
    <w:rsid w:val="00023EB3"/>
    <w:rsid w:val="00025E0B"/>
    <w:rsid w:val="00026E10"/>
    <w:rsid w:val="00030047"/>
    <w:rsid w:val="00030D3E"/>
    <w:rsid w:val="000315B8"/>
    <w:rsid w:val="00032135"/>
    <w:rsid w:val="00032990"/>
    <w:rsid w:val="000344DC"/>
    <w:rsid w:val="00034821"/>
    <w:rsid w:val="00037CC5"/>
    <w:rsid w:val="000423DB"/>
    <w:rsid w:val="00045587"/>
    <w:rsid w:val="00050508"/>
    <w:rsid w:val="00052188"/>
    <w:rsid w:val="00052753"/>
    <w:rsid w:val="000556A9"/>
    <w:rsid w:val="00055D11"/>
    <w:rsid w:val="00057099"/>
    <w:rsid w:val="0006064F"/>
    <w:rsid w:val="000612DD"/>
    <w:rsid w:val="00062241"/>
    <w:rsid w:val="00063D6B"/>
    <w:rsid w:val="00064569"/>
    <w:rsid w:val="00065C2A"/>
    <w:rsid w:val="00066319"/>
    <w:rsid w:val="00067FF1"/>
    <w:rsid w:val="00070278"/>
    <w:rsid w:val="000713E7"/>
    <w:rsid w:val="000722B1"/>
    <w:rsid w:val="00073686"/>
    <w:rsid w:val="00074B0E"/>
    <w:rsid w:val="00074E3E"/>
    <w:rsid w:val="00077916"/>
    <w:rsid w:val="00081AA2"/>
    <w:rsid w:val="00081CF7"/>
    <w:rsid w:val="00082272"/>
    <w:rsid w:val="000829B6"/>
    <w:rsid w:val="00082B1F"/>
    <w:rsid w:val="00085825"/>
    <w:rsid w:val="00087AF3"/>
    <w:rsid w:val="00092A0E"/>
    <w:rsid w:val="00094E56"/>
    <w:rsid w:val="000951CE"/>
    <w:rsid w:val="00097105"/>
    <w:rsid w:val="00097175"/>
    <w:rsid w:val="000A1322"/>
    <w:rsid w:val="000A1F73"/>
    <w:rsid w:val="000A5961"/>
    <w:rsid w:val="000A5B7C"/>
    <w:rsid w:val="000A6956"/>
    <w:rsid w:val="000A775C"/>
    <w:rsid w:val="000B3102"/>
    <w:rsid w:val="000B387D"/>
    <w:rsid w:val="000B4375"/>
    <w:rsid w:val="000B5799"/>
    <w:rsid w:val="000B5B8D"/>
    <w:rsid w:val="000B6C47"/>
    <w:rsid w:val="000B75D7"/>
    <w:rsid w:val="000B775B"/>
    <w:rsid w:val="000B7809"/>
    <w:rsid w:val="000B7C47"/>
    <w:rsid w:val="000C0611"/>
    <w:rsid w:val="000C0F7E"/>
    <w:rsid w:val="000C157F"/>
    <w:rsid w:val="000C2534"/>
    <w:rsid w:val="000C2691"/>
    <w:rsid w:val="000C3B18"/>
    <w:rsid w:val="000C467B"/>
    <w:rsid w:val="000C5D37"/>
    <w:rsid w:val="000C6371"/>
    <w:rsid w:val="000C724C"/>
    <w:rsid w:val="000C7724"/>
    <w:rsid w:val="000C7968"/>
    <w:rsid w:val="000D3154"/>
    <w:rsid w:val="000D38ED"/>
    <w:rsid w:val="000D5828"/>
    <w:rsid w:val="000D5A3E"/>
    <w:rsid w:val="000D753C"/>
    <w:rsid w:val="000D7559"/>
    <w:rsid w:val="000E1ED1"/>
    <w:rsid w:val="000E6E51"/>
    <w:rsid w:val="000F1FCD"/>
    <w:rsid w:val="000F38AD"/>
    <w:rsid w:val="000F393F"/>
    <w:rsid w:val="000F55CD"/>
    <w:rsid w:val="000F6823"/>
    <w:rsid w:val="000F7A3E"/>
    <w:rsid w:val="000F7EE2"/>
    <w:rsid w:val="0010057D"/>
    <w:rsid w:val="00100D3A"/>
    <w:rsid w:val="00101A7C"/>
    <w:rsid w:val="00101FD9"/>
    <w:rsid w:val="001020F2"/>
    <w:rsid w:val="001054CD"/>
    <w:rsid w:val="001058D5"/>
    <w:rsid w:val="00106CC8"/>
    <w:rsid w:val="0010748A"/>
    <w:rsid w:val="001102F7"/>
    <w:rsid w:val="00111773"/>
    <w:rsid w:val="00113D36"/>
    <w:rsid w:val="001140FB"/>
    <w:rsid w:val="001157DF"/>
    <w:rsid w:val="00115FDB"/>
    <w:rsid w:val="00116A94"/>
    <w:rsid w:val="00123728"/>
    <w:rsid w:val="0012372B"/>
    <w:rsid w:val="001238DC"/>
    <w:rsid w:val="00123B7D"/>
    <w:rsid w:val="00123F27"/>
    <w:rsid w:val="00124C5D"/>
    <w:rsid w:val="00125FA8"/>
    <w:rsid w:val="001260B3"/>
    <w:rsid w:val="00126D90"/>
    <w:rsid w:val="00127C41"/>
    <w:rsid w:val="00127C44"/>
    <w:rsid w:val="0013036A"/>
    <w:rsid w:val="0013379F"/>
    <w:rsid w:val="00135CB1"/>
    <w:rsid w:val="00136A37"/>
    <w:rsid w:val="00136E9A"/>
    <w:rsid w:val="0013713D"/>
    <w:rsid w:val="001374DF"/>
    <w:rsid w:val="001377F2"/>
    <w:rsid w:val="00137AEF"/>
    <w:rsid w:val="00137D82"/>
    <w:rsid w:val="0014012D"/>
    <w:rsid w:val="00140CEC"/>
    <w:rsid w:val="00142D52"/>
    <w:rsid w:val="001440F5"/>
    <w:rsid w:val="001457AE"/>
    <w:rsid w:val="001463B6"/>
    <w:rsid w:val="001523BA"/>
    <w:rsid w:val="00153470"/>
    <w:rsid w:val="00153715"/>
    <w:rsid w:val="001539DE"/>
    <w:rsid w:val="0015607A"/>
    <w:rsid w:val="00160495"/>
    <w:rsid w:val="00160A27"/>
    <w:rsid w:val="00161B29"/>
    <w:rsid w:val="001623C8"/>
    <w:rsid w:val="001637DE"/>
    <w:rsid w:val="001638BC"/>
    <w:rsid w:val="00163ABC"/>
    <w:rsid w:val="00165529"/>
    <w:rsid w:val="00166A22"/>
    <w:rsid w:val="00166AE1"/>
    <w:rsid w:val="00166F4D"/>
    <w:rsid w:val="0016784C"/>
    <w:rsid w:val="0017149F"/>
    <w:rsid w:val="00172E4F"/>
    <w:rsid w:val="001738B8"/>
    <w:rsid w:val="0017545D"/>
    <w:rsid w:val="00175D2D"/>
    <w:rsid w:val="001768D4"/>
    <w:rsid w:val="0018019E"/>
    <w:rsid w:val="001813F6"/>
    <w:rsid w:val="0018206F"/>
    <w:rsid w:val="001830BE"/>
    <w:rsid w:val="00183373"/>
    <w:rsid w:val="0018393D"/>
    <w:rsid w:val="001848BE"/>
    <w:rsid w:val="00185765"/>
    <w:rsid w:val="00190DB8"/>
    <w:rsid w:val="00191247"/>
    <w:rsid w:val="00191876"/>
    <w:rsid w:val="00193AB1"/>
    <w:rsid w:val="00193D77"/>
    <w:rsid w:val="001951BF"/>
    <w:rsid w:val="00197AEB"/>
    <w:rsid w:val="001A0F89"/>
    <w:rsid w:val="001A1E0D"/>
    <w:rsid w:val="001A4111"/>
    <w:rsid w:val="001A7976"/>
    <w:rsid w:val="001B0F6C"/>
    <w:rsid w:val="001B1336"/>
    <w:rsid w:val="001B403E"/>
    <w:rsid w:val="001B502D"/>
    <w:rsid w:val="001B540D"/>
    <w:rsid w:val="001B55DE"/>
    <w:rsid w:val="001B6165"/>
    <w:rsid w:val="001B6480"/>
    <w:rsid w:val="001C2654"/>
    <w:rsid w:val="001C3157"/>
    <w:rsid w:val="001C4A87"/>
    <w:rsid w:val="001C4E75"/>
    <w:rsid w:val="001C5695"/>
    <w:rsid w:val="001D0A91"/>
    <w:rsid w:val="001D1EC1"/>
    <w:rsid w:val="001D3831"/>
    <w:rsid w:val="001D3B3A"/>
    <w:rsid w:val="001D41C8"/>
    <w:rsid w:val="001D564E"/>
    <w:rsid w:val="001D62FB"/>
    <w:rsid w:val="001D6C1C"/>
    <w:rsid w:val="001D7D67"/>
    <w:rsid w:val="001E0E04"/>
    <w:rsid w:val="001E1706"/>
    <w:rsid w:val="001E1903"/>
    <w:rsid w:val="001E1B1F"/>
    <w:rsid w:val="001E1C13"/>
    <w:rsid w:val="001E3C2B"/>
    <w:rsid w:val="001E3E1F"/>
    <w:rsid w:val="001E5991"/>
    <w:rsid w:val="001E64ED"/>
    <w:rsid w:val="001E6C98"/>
    <w:rsid w:val="001E7B2A"/>
    <w:rsid w:val="001F126C"/>
    <w:rsid w:val="001F32C1"/>
    <w:rsid w:val="001F450A"/>
    <w:rsid w:val="001F53E7"/>
    <w:rsid w:val="001F7664"/>
    <w:rsid w:val="0020001F"/>
    <w:rsid w:val="002000DC"/>
    <w:rsid w:val="0020048D"/>
    <w:rsid w:val="00200756"/>
    <w:rsid w:val="00200CD1"/>
    <w:rsid w:val="0020287D"/>
    <w:rsid w:val="002062A2"/>
    <w:rsid w:val="00207C96"/>
    <w:rsid w:val="00210B88"/>
    <w:rsid w:val="00212D5F"/>
    <w:rsid w:val="00213385"/>
    <w:rsid w:val="002133B9"/>
    <w:rsid w:val="00214733"/>
    <w:rsid w:val="00214BDE"/>
    <w:rsid w:val="0021580B"/>
    <w:rsid w:val="002167C8"/>
    <w:rsid w:val="00217159"/>
    <w:rsid w:val="002174CD"/>
    <w:rsid w:val="002175A2"/>
    <w:rsid w:val="002177C2"/>
    <w:rsid w:val="002205CB"/>
    <w:rsid w:val="00220E8D"/>
    <w:rsid w:val="00221074"/>
    <w:rsid w:val="002213C7"/>
    <w:rsid w:val="00222EE6"/>
    <w:rsid w:val="00225628"/>
    <w:rsid w:val="00226D92"/>
    <w:rsid w:val="00231E9A"/>
    <w:rsid w:val="002321B9"/>
    <w:rsid w:val="0023345B"/>
    <w:rsid w:val="00233689"/>
    <w:rsid w:val="00234938"/>
    <w:rsid w:val="00234ABB"/>
    <w:rsid w:val="00234C3A"/>
    <w:rsid w:val="00234D60"/>
    <w:rsid w:val="00236AC1"/>
    <w:rsid w:val="002373C5"/>
    <w:rsid w:val="00240A3B"/>
    <w:rsid w:val="00241ED7"/>
    <w:rsid w:val="00244C22"/>
    <w:rsid w:val="00244F8A"/>
    <w:rsid w:val="00246FE9"/>
    <w:rsid w:val="0024707A"/>
    <w:rsid w:val="002472DF"/>
    <w:rsid w:val="00247B0D"/>
    <w:rsid w:val="00252374"/>
    <w:rsid w:val="002531DA"/>
    <w:rsid w:val="00253400"/>
    <w:rsid w:val="0025581B"/>
    <w:rsid w:val="002569BF"/>
    <w:rsid w:val="00260074"/>
    <w:rsid w:val="002607A2"/>
    <w:rsid w:val="00261B43"/>
    <w:rsid w:val="002622B0"/>
    <w:rsid w:val="00262FCD"/>
    <w:rsid w:val="002646F0"/>
    <w:rsid w:val="00264DE2"/>
    <w:rsid w:val="00267438"/>
    <w:rsid w:val="0027314C"/>
    <w:rsid w:val="00275F95"/>
    <w:rsid w:val="00276201"/>
    <w:rsid w:val="0027624A"/>
    <w:rsid w:val="00276F2C"/>
    <w:rsid w:val="00276F7F"/>
    <w:rsid w:val="00277A0A"/>
    <w:rsid w:val="00277A54"/>
    <w:rsid w:val="00281DCC"/>
    <w:rsid w:val="00282396"/>
    <w:rsid w:val="002831A8"/>
    <w:rsid w:val="00283C8D"/>
    <w:rsid w:val="002862AD"/>
    <w:rsid w:val="00286A8B"/>
    <w:rsid w:val="00287FF4"/>
    <w:rsid w:val="0029015F"/>
    <w:rsid w:val="00291A70"/>
    <w:rsid w:val="00294A6E"/>
    <w:rsid w:val="00295656"/>
    <w:rsid w:val="00297377"/>
    <w:rsid w:val="002979E9"/>
    <w:rsid w:val="00297D21"/>
    <w:rsid w:val="002A3B11"/>
    <w:rsid w:val="002A4442"/>
    <w:rsid w:val="002B0441"/>
    <w:rsid w:val="002B1D07"/>
    <w:rsid w:val="002B36D3"/>
    <w:rsid w:val="002B3C85"/>
    <w:rsid w:val="002B47B4"/>
    <w:rsid w:val="002B4D7B"/>
    <w:rsid w:val="002B5220"/>
    <w:rsid w:val="002B5941"/>
    <w:rsid w:val="002B6357"/>
    <w:rsid w:val="002B79D8"/>
    <w:rsid w:val="002B7DB5"/>
    <w:rsid w:val="002C0D4A"/>
    <w:rsid w:val="002C25CC"/>
    <w:rsid w:val="002C77DD"/>
    <w:rsid w:val="002D230D"/>
    <w:rsid w:val="002D40B0"/>
    <w:rsid w:val="002D47DB"/>
    <w:rsid w:val="002D48A1"/>
    <w:rsid w:val="002D7910"/>
    <w:rsid w:val="002E189C"/>
    <w:rsid w:val="002E4D07"/>
    <w:rsid w:val="002F0517"/>
    <w:rsid w:val="002F47B1"/>
    <w:rsid w:val="00300499"/>
    <w:rsid w:val="003025A3"/>
    <w:rsid w:val="0030265F"/>
    <w:rsid w:val="00303107"/>
    <w:rsid w:val="003040EC"/>
    <w:rsid w:val="00305481"/>
    <w:rsid w:val="00305793"/>
    <w:rsid w:val="00305AE5"/>
    <w:rsid w:val="003074F0"/>
    <w:rsid w:val="00307F49"/>
    <w:rsid w:val="0031051D"/>
    <w:rsid w:val="003117D8"/>
    <w:rsid w:val="003125C1"/>
    <w:rsid w:val="003127A5"/>
    <w:rsid w:val="00312EFC"/>
    <w:rsid w:val="00314B7E"/>
    <w:rsid w:val="00320344"/>
    <w:rsid w:val="0032136B"/>
    <w:rsid w:val="003223AA"/>
    <w:rsid w:val="0032308D"/>
    <w:rsid w:val="0032555F"/>
    <w:rsid w:val="00325967"/>
    <w:rsid w:val="00325BBF"/>
    <w:rsid w:val="0032624C"/>
    <w:rsid w:val="003268B3"/>
    <w:rsid w:val="0032746D"/>
    <w:rsid w:val="0032754B"/>
    <w:rsid w:val="0033081A"/>
    <w:rsid w:val="003325AB"/>
    <w:rsid w:val="003329D2"/>
    <w:rsid w:val="00332AF2"/>
    <w:rsid w:val="00333851"/>
    <w:rsid w:val="00333F00"/>
    <w:rsid w:val="00334373"/>
    <w:rsid w:val="003346A4"/>
    <w:rsid w:val="00335419"/>
    <w:rsid w:val="00335B9B"/>
    <w:rsid w:val="003364F3"/>
    <w:rsid w:val="00336ED2"/>
    <w:rsid w:val="0033792B"/>
    <w:rsid w:val="00340B81"/>
    <w:rsid w:val="003411AE"/>
    <w:rsid w:val="00341349"/>
    <w:rsid w:val="003417F7"/>
    <w:rsid w:val="00341DDD"/>
    <w:rsid w:val="00341ED2"/>
    <w:rsid w:val="003428DD"/>
    <w:rsid w:val="00344178"/>
    <w:rsid w:val="00344A23"/>
    <w:rsid w:val="00344F0E"/>
    <w:rsid w:val="003467C0"/>
    <w:rsid w:val="00346B16"/>
    <w:rsid w:val="00346C0E"/>
    <w:rsid w:val="00346EFA"/>
    <w:rsid w:val="00347E37"/>
    <w:rsid w:val="003501F8"/>
    <w:rsid w:val="00350672"/>
    <w:rsid w:val="00351A51"/>
    <w:rsid w:val="00353B85"/>
    <w:rsid w:val="00355603"/>
    <w:rsid w:val="00355E6F"/>
    <w:rsid w:val="00356978"/>
    <w:rsid w:val="00357CFD"/>
    <w:rsid w:val="00360105"/>
    <w:rsid w:val="003603CE"/>
    <w:rsid w:val="003609AE"/>
    <w:rsid w:val="00360D2A"/>
    <w:rsid w:val="00361267"/>
    <w:rsid w:val="003614D5"/>
    <w:rsid w:val="00361872"/>
    <w:rsid w:val="003640D1"/>
    <w:rsid w:val="00365028"/>
    <w:rsid w:val="00365C24"/>
    <w:rsid w:val="00366013"/>
    <w:rsid w:val="003669DF"/>
    <w:rsid w:val="00366B42"/>
    <w:rsid w:val="00367767"/>
    <w:rsid w:val="003677D5"/>
    <w:rsid w:val="0037038C"/>
    <w:rsid w:val="00373624"/>
    <w:rsid w:val="00374D62"/>
    <w:rsid w:val="00375393"/>
    <w:rsid w:val="00375751"/>
    <w:rsid w:val="00375A61"/>
    <w:rsid w:val="00380E29"/>
    <w:rsid w:val="0038251B"/>
    <w:rsid w:val="003857B6"/>
    <w:rsid w:val="003872E8"/>
    <w:rsid w:val="00387625"/>
    <w:rsid w:val="00387EC7"/>
    <w:rsid w:val="003905A2"/>
    <w:rsid w:val="0039074A"/>
    <w:rsid w:val="00390C36"/>
    <w:rsid w:val="00390DA4"/>
    <w:rsid w:val="0039127F"/>
    <w:rsid w:val="00394C48"/>
    <w:rsid w:val="00394ED4"/>
    <w:rsid w:val="003973A1"/>
    <w:rsid w:val="0039766B"/>
    <w:rsid w:val="003A1C93"/>
    <w:rsid w:val="003B049F"/>
    <w:rsid w:val="003B04C6"/>
    <w:rsid w:val="003B351C"/>
    <w:rsid w:val="003B3882"/>
    <w:rsid w:val="003B3E91"/>
    <w:rsid w:val="003B4049"/>
    <w:rsid w:val="003B41DF"/>
    <w:rsid w:val="003B6676"/>
    <w:rsid w:val="003C0794"/>
    <w:rsid w:val="003C1AAF"/>
    <w:rsid w:val="003C23E5"/>
    <w:rsid w:val="003C2B28"/>
    <w:rsid w:val="003C397D"/>
    <w:rsid w:val="003C42EA"/>
    <w:rsid w:val="003C4CBC"/>
    <w:rsid w:val="003C760D"/>
    <w:rsid w:val="003D098C"/>
    <w:rsid w:val="003D458B"/>
    <w:rsid w:val="003E1300"/>
    <w:rsid w:val="003E2754"/>
    <w:rsid w:val="003E2F41"/>
    <w:rsid w:val="003E377D"/>
    <w:rsid w:val="003E3FC9"/>
    <w:rsid w:val="003E4D08"/>
    <w:rsid w:val="003E53ED"/>
    <w:rsid w:val="003E6C25"/>
    <w:rsid w:val="003E7F1D"/>
    <w:rsid w:val="003F4587"/>
    <w:rsid w:val="003F4751"/>
    <w:rsid w:val="003F5120"/>
    <w:rsid w:val="0040287A"/>
    <w:rsid w:val="00403531"/>
    <w:rsid w:val="00403962"/>
    <w:rsid w:val="00403C1A"/>
    <w:rsid w:val="00403CA6"/>
    <w:rsid w:val="004047BC"/>
    <w:rsid w:val="0040563F"/>
    <w:rsid w:val="00407CD9"/>
    <w:rsid w:val="004129F1"/>
    <w:rsid w:val="00413385"/>
    <w:rsid w:val="00413910"/>
    <w:rsid w:val="00415E4B"/>
    <w:rsid w:val="004179CE"/>
    <w:rsid w:val="004201FC"/>
    <w:rsid w:val="004218A3"/>
    <w:rsid w:val="00421D72"/>
    <w:rsid w:val="004221D4"/>
    <w:rsid w:val="00422B77"/>
    <w:rsid w:val="00423071"/>
    <w:rsid w:val="00423953"/>
    <w:rsid w:val="004256F7"/>
    <w:rsid w:val="00425F8D"/>
    <w:rsid w:val="00426A99"/>
    <w:rsid w:val="0043016F"/>
    <w:rsid w:val="00430531"/>
    <w:rsid w:val="00431461"/>
    <w:rsid w:val="0043196F"/>
    <w:rsid w:val="00432529"/>
    <w:rsid w:val="004333D8"/>
    <w:rsid w:val="0043390B"/>
    <w:rsid w:val="00436C59"/>
    <w:rsid w:val="004418D9"/>
    <w:rsid w:val="00441C2B"/>
    <w:rsid w:val="004432BC"/>
    <w:rsid w:val="00444264"/>
    <w:rsid w:val="00444EB3"/>
    <w:rsid w:val="00445078"/>
    <w:rsid w:val="004452EC"/>
    <w:rsid w:val="00447AAC"/>
    <w:rsid w:val="00450555"/>
    <w:rsid w:val="00450E45"/>
    <w:rsid w:val="00450EBC"/>
    <w:rsid w:val="00452C92"/>
    <w:rsid w:val="00453929"/>
    <w:rsid w:val="00454A99"/>
    <w:rsid w:val="00454EE1"/>
    <w:rsid w:val="00455893"/>
    <w:rsid w:val="00457AF5"/>
    <w:rsid w:val="00462A7E"/>
    <w:rsid w:val="00463933"/>
    <w:rsid w:val="004643F4"/>
    <w:rsid w:val="00464431"/>
    <w:rsid w:val="004678C6"/>
    <w:rsid w:val="00467CDC"/>
    <w:rsid w:val="004702E1"/>
    <w:rsid w:val="00470D92"/>
    <w:rsid w:val="004711AB"/>
    <w:rsid w:val="00471D37"/>
    <w:rsid w:val="00472841"/>
    <w:rsid w:val="004734C9"/>
    <w:rsid w:val="0047391F"/>
    <w:rsid w:val="00474720"/>
    <w:rsid w:val="00474771"/>
    <w:rsid w:val="00474CFC"/>
    <w:rsid w:val="00476B62"/>
    <w:rsid w:val="0047744F"/>
    <w:rsid w:val="00480344"/>
    <w:rsid w:val="0048182A"/>
    <w:rsid w:val="00483893"/>
    <w:rsid w:val="00484729"/>
    <w:rsid w:val="00485D82"/>
    <w:rsid w:val="00486F48"/>
    <w:rsid w:val="00487656"/>
    <w:rsid w:val="004904BB"/>
    <w:rsid w:val="00490CB5"/>
    <w:rsid w:val="00491775"/>
    <w:rsid w:val="00491E8B"/>
    <w:rsid w:val="00492F9D"/>
    <w:rsid w:val="0049382D"/>
    <w:rsid w:val="004940FB"/>
    <w:rsid w:val="00496E32"/>
    <w:rsid w:val="00497102"/>
    <w:rsid w:val="004A0267"/>
    <w:rsid w:val="004A03A6"/>
    <w:rsid w:val="004A2AE0"/>
    <w:rsid w:val="004A2B96"/>
    <w:rsid w:val="004A39EC"/>
    <w:rsid w:val="004A5958"/>
    <w:rsid w:val="004A6511"/>
    <w:rsid w:val="004A725E"/>
    <w:rsid w:val="004A7B43"/>
    <w:rsid w:val="004B039F"/>
    <w:rsid w:val="004B3E6D"/>
    <w:rsid w:val="004B4130"/>
    <w:rsid w:val="004B52D4"/>
    <w:rsid w:val="004B7B66"/>
    <w:rsid w:val="004C3749"/>
    <w:rsid w:val="004C5584"/>
    <w:rsid w:val="004C6A8E"/>
    <w:rsid w:val="004C6E60"/>
    <w:rsid w:val="004C74AB"/>
    <w:rsid w:val="004D0481"/>
    <w:rsid w:val="004D09B9"/>
    <w:rsid w:val="004D0FF4"/>
    <w:rsid w:val="004D1209"/>
    <w:rsid w:val="004D23C4"/>
    <w:rsid w:val="004D2C7C"/>
    <w:rsid w:val="004D2FC8"/>
    <w:rsid w:val="004D481D"/>
    <w:rsid w:val="004D56E7"/>
    <w:rsid w:val="004D703E"/>
    <w:rsid w:val="004D79D6"/>
    <w:rsid w:val="004E080A"/>
    <w:rsid w:val="004E1643"/>
    <w:rsid w:val="004E2674"/>
    <w:rsid w:val="004E2D58"/>
    <w:rsid w:val="004E3164"/>
    <w:rsid w:val="004E3537"/>
    <w:rsid w:val="004E3FB1"/>
    <w:rsid w:val="004E56D4"/>
    <w:rsid w:val="004E56F2"/>
    <w:rsid w:val="004E6438"/>
    <w:rsid w:val="004E6C4F"/>
    <w:rsid w:val="004E7117"/>
    <w:rsid w:val="004F043E"/>
    <w:rsid w:val="004F1403"/>
    <w:rsid w:val="004F41E1"/>
    <w:rsid w:val="004F49FC"/>
    <w:rsid w:val="004F4AE3"/>
    <w:rsid w:val="004F5590"/>
    <w:rsid w:val="004F59F1"/>
    <w:rsid w:val="004F5C74"/>
    <w:rsid w:val="004F5DE4"/>
    <w:rsid w:val="004F6501"/>
    <w:rsid w:val="004F7387"/>
    <w:rsid w:val="004F7CF9"/>
    <w:rsid w:val="004F7CFD"/>
    <w:rsid w:val="00500538"/>
    <w:rsid w:val="00503125"/>
    <w:rsid w:val="0050322A"/>
    <w:rsid w:val="0050385C"/>
    <w:rsid w:val="005045AD"/>
    <w:rsid w:val="0050468A"/>
    <w:rsid w:val="005054D5"/>
    <w:rsid w:val="005079E6"/>
    <w:rsid w:val="00507BB3"/>
    <w:rsid w:val="0051090A"/>
    <w:rsid w:val="00511628"/>
    <w:rsid w:val="0051163F"/>
    <w:rsid w:val="00512C0F"/>
    <w:rsid w:val="005165F3"/>
    <w:rsid w:val="0051786F"/>
    <w:rsid w:val="00517C40"/>
    <w:rsid w:val="005224AC"/>
    <w:rsid w:val="00522D57"/>
    <w:rsid w:val="005252EE"/>
    <w:rsid w:val="005264A2"/>
    <w:rsid w:val="005264FC"/>
    <w:rsid w:val="00526C8F"/>
    <w:rsid w:val="00526CCA"/>
    <w:rsid w:val="00532C45"/>
    <w:rsid w:val="00533847"/>
    <w:rsid w:val="005341D3"/>
    <w:rsid w:val="005367FC"/>
    <w:rsid w:val="00541B93"/>
    <w:rsid w:val="00541EBA"/>
    <w:rsid w:val="0054224B"/>
    <w:rsid w:val="00542D9B"/>
    <w:rsid w:val="0054705D"/>
    <w:rsid w:val="00550EB3"/>
    <w:rsid w:val="00551F20"/>
    <w:rsid w:val="005548F7"/>
    <w:rsid w:val="00554A64"/>
    <w:rsid w:val="00557814"/>
    <w:rsid w:val="0056030B"/>
    <w:rsid w:val="00560573"/>
    <w:rsid w:val="00563344"/>
    <w:rsid w:val="005653B5"/>
    <w:rsid w:val="00565B49"/>
    <w:rsid w:val="005663DB"/>
    <w:rsid w:val="00566B1B"/>
    <w:rsid w:val="0056783B"/>
    <w:rsid w:val="00567FA8"/>
    <w:rsid w:val="00570009"/>
    <w:rsid w:val="005707DA"/>
    <w:rsid w:val="0057097A"/>
    <w:rsid w:val="00571440"/>
    <w:rsid w:val="005741EB"/>
    <w:rsid w:val="005747E7"/>
    <w:rsid w:val="005748B0"/>
    <w:rsid w:val="00574BBA"/>
    <w:rsid w:val="00575D81"/>
    <w:rsid w:val="005811CE"/>
    <w:rsid w:val="00581DF2"/>
    <w:rsid w:val="00583730"/>
    <w:rsid w:val="00583E7F"/>
    <w:rsid w:val="00584178"/>
    <w:rsid w:val="00584470"/>
    <w:rsid w:val="005845D0"/>
    <w:rsid w:val="00584CAD"/>
    <w:rsid w:val="00585922"/>
    <w:rsid w:val="00585D98"/>
    <w:rsid w:val="00587847"/>
    <w:rsid w:val="00591D6B"/>
    <w:rsid w:val="00591F69"/>
    <w:rsid w:val="00592C8D"/>
    <w:rsid w:val="00593657"/>
    <w:rsid w:val="0059541F"/>
    <w:rsid w:val="005A0B5C"/>
    <w:rsid w:val="005A2F21"/>
    <w:rsid w:val="005A4017"/>
    <w:rsid w:val="005A6128"/>
    <w:rsid w:val="005A65C8"/>
    <w:rsid w:val="005B084F"/>
    <w:rsid w:val="005B0CE8"/>
    <w:rsid w:val="005B10AE"/>
    <w:rsid w:val="005B178D"/>
    <w:rsid w:val="005B5B06"/>
    <w:rsid w:val="005C19BB"/>
    <w:rsid w:val="005C1A22"/>
    <w:rsid w:val="005C4F77"/>
    <w:rsid w:val="005C5ACD"/>
    <w:rsid w:val="005C6184"/>
    <w:rsid w:val="005C6AF4"/>
    <w:rsid w:val="005D0014"/>
    <w:rsid w:val="005D03A6"/>
    <w:rsid w:val="005D0A41"/>
    <w:rsid w:val="005D21E7"/>
    <w:rsid w:val="005D2903"/>
    <w:rsid w:val="005D3FEC"/>
    <w:rsid w:val="005D4422"/>
    <w:rsid w:val="005D475A"/>
    <w:rsid w:val="005D47FC"/>
    <w:rsid w:val="005D4A2B"/>
    <w:rsid w:val="005D4B3B"/>
    <w:rsid w:val="005D4DB1"/>
    <w:rsid w:val="005D5784"/>
    <w:rsid w:val="005D76CA"/>
    <w:rsid w:val="005E11E2"/>
    <w:rsid w:val="005E26BC"/>
    <w:rsid w:val="005E2D52"/>
    <w:rsid w:val="005E30E5"/>
    <w:rsid w:val="005E3E2E"/>
    <w:rsid w:val="005E47B0"/>
    <w:rsid w:val="005E5747"/>
    <w:rsid w:val="005E5E5C"/>
    <w:rsid w:val="005E7634"/>
    <w:rsid w:val="005E7722"/>
    <w:rsid w:val="005F029E"/>
    <w:rsid w:val="005F05FF"/>
    <w:rsid w:val="005F0EC0"/>
    <w:rsid w:val="005F37F0"/>
    <w:rsid w:val="005F4F7F"/>
    <w:rsid w:val="005F7273"/>
    <w:rsid w:val="00600213"/>
    <w:rsid w:val="00600CED"/>
    <w:rsid w:val="00602392"/>
    <w:rsid w:val="0060292B"/>
    <w:rsid w:val="006053C0"/>
    <w:rsid w:val="006076D9"/>
    <w:rsid w:val="00610172"/>
    <w:rsid w:val="00611A50"/>
    <w:rsid w:val="00611F5F"/>
    <w:rsid w:val="006127CA"/>
    <w:rsid w:val="00613E60"/>
    <w:rsid w:val="00614C46"/>
    <w:rsid w:val="00615759"/>
    <w:rsid w:val="006168E9"/>
    <w:rsid w:val="006201AC"/>
    <w:rsid w:val="00621A60"/>
    <w:rsid w:val="00622781"/>
    <w:rsid w:val="00625E40"/>
    <w:rsid w:val="00627043"/>
    <w:rsid w:val="0063009D"/>
    <w:rsid w:val="00630F4C"/>
    <w:rsid w:val="00630F51"/>
    <w:rsid w:val="00631A73"/>
    <w:rsid w:val="00631EC0"/>
    <w:rsid w:val="006322F6"/>
    <w:rsid w:val="0063252D"/>
    <w:rsid w:val="006337BC"/>
    <w:rsid w:val="00634673"/>
    <w:rsid w:val="0063474B"/>
    <w:rsid w:val="00635DC9"/>
    <w:rsid w:val="00637EAC"/>
    <w:rsid w:val="00642D60"/>
    <w:rsid w:val="00642E85"/>
    <w:rsid w:val="006437B7"/>
    <w:rsid w:val="00643D85"/>
    <w:rsid w:val="00645BF3"/>
    <w:rsid w:val="006506F0"/>
    <w:rsid w:val="0065197F"/>
    <w:rsid w:val="00653F87"/>
    <w:rsid w:val="00654446"/>
    <w:rsid w:val="00654459"/>
    <w:rsid w:val="00654EA5"/>
    <w:rsid w:val="0065643A"/>
    <w:rsid w:val="00661390"/>
    <w:rsid w:val="006623D7"/>
    <w:rsid w:val="00662507"/>
    <w:rsid w:val="00662D48"/>
    <w:rsid w:val="00662F40"/>
    <w:rsid w:val="00664757"/>
    <w:rsid w:val="0066564C"/>
    <w:rsid w:val="00667547"/>
    <w:rsid w:val="00667AD5"/>
    <w:rsid w:val="00670B08"/>
    <w:rsid w:val="00670E9E"/>
    <w:rsid w:val="00671F99"/>
    <w:rsid w:val="0067226A"/>
    <w:rsid w:val="006723BD"/>
    <w:rsid w:val="00672615"/>
    <w:rsid w:val="0067379D"/>
    <w:rsid w:val="0067662F"/>
    <w:rsid w:val="00677335"/>
    <w:rsid w:val="00681388"/>
    <w:rsid w:val="006818B5"/>
    <w:rsid w:val="00682ED3"/>
    <w:rsid w:val="0069057C"/>
    <w:rsid w:val="006908D6"/>
    <w:rsid w:val="006918BC"/>
    <w:rsid w:val="00695B11"/>
    <w:rsid w:val="00695CA7"/>
    <w:rsid w:val="0069605D"/>
    <w:rsid w:val="006963B6"/>
    <w:rsid w:val="00696C54"/>
    <w:rsid w:val="00697E7B"/>
    <w:rsid w:val="006A02D6"/>
    <w:rsid w:val="006A080A"/>
    <w:rsid w:val="006A17BA"/>
    <w:rsid w:val="006A29B0"/>
    <w:rsid w:val="006A2D0A"/>
    <w:rsid w:val="006A7481"/>
    <w:rsid w:val="006B0441"/>
    <w:rsid w:val="006B0854"/>
    <w:rsid w:val="006B43C1"/>
    <w:rsid w:val="006B4904"/>
    <w:rsid w:val="006B4CFA"/>
    <w:rsid w:val="006B50CE"/>
    <w:rsid w:val="006B5812"/>
    <w:rsid w:val="006B60B5"/>
    <w:rsid w:val="006C00CB"/>
    <w:rsid w:val="006C0B6C"/>
    <w:rsid w:val="006C0DE3"/>
    <w:rsid w:val="006C1A4B"/>
    <w:rsid w:val="006C31B7"/>
    <w:rsid w:val="006C4BB9"/>
    <w:rsid w:val="006C51C2"/>
    <w:rsid w:val="006C564E"/>
    <w:rsid w:val="006C581E"/>
    <w:rsid w:val="006C6F09"/>
    <w:rsid w:val="006D23DF"/>
    <w:rsid w:val="006D29F2"/>
    <w:rsid w:val="006D3224"/>
    <w:rsid w:val="006D4BC5"/>
    <w:rsid w:val="006D4FD4"/>
    <w:rsid w:val="006D5395"/>
    <w:rsid w:val="006D5D74"/>
    <w:rsid w:val="006E04DF"/>
    <w:rsid w:val="006E06C4"/>
    <w:rsid w:val="006E0EBC"/>
    <w:rsid w:val="006E1782"/>
    <w:rsid w:val="006E1CD1"/>
    <w:rsid w:val="006E1D30"/>
    <w:rsid w:val="006E271A"/>
    <w:rsid w:val="006E32A1"/>
    <w:rsid w:val="006E3426"/>
    <w:rsid w:val="006E3FB8"/>
    <w:rsid w:val="006E4BD7"/>
    <w:rsid w:val="006E5926"/>
    <w:rsid w:val="006E7A14"/>
    <w:rsid w:val="006F001F"/>
    <w:rsid w:val="006F19C5"/>
    <w:rsid w:val="006F4D22"/>
    <w:rsid w:val="006F67F1"/>
    <w:rsid w:val="00700C40"/>
    <w:rsid w:val="00701D46"/>
    <w:rsid w:val="00701F6D"/>
    <w:rsid w:val="00702EF2"/>
    <w:rsid w:val="00702F89"/>
    <w:rsid w:val="00706087"/>
    <w:rsid w:val="00706295"/>
    <w:rsid w:val="0070629B"/>
    <w:rsid w:val="00706942"/>
    <w:rsid w:val="00707E76"/>
    <w:rsid w:val="00713020"/>
    <w:rsid w:val="00713175"/>
    <w:rsid w:val="007139E7"/>
    <w:rsid w:val="00713B30"/>
    <w:rsid w:val="00714F9B"/>
    <w:rsid w:val="007153E6"/>
    <w:rsid w:val="00717435"/>
    <w:rsid w:val="00722318"/>
    <w:rsid w:val="0072343D"/>
    <w:rsid w:val="007235A4"/>
    <w:rsid w:val="00723737"/>
    <w:rsid w:val="0072485C"/>
    <w:rsid w:val="007268ED"/>
    <w:rsid w:val="0073198C"/>
    <w:rsid w:val="00731F78"/>
    <w:rsid w:val="007341AF"/>
    <w:rsid w:val="007343C7"/>
    <w:rsid w:val="00734DE7"/>
    <w:rsid w:val="00735499"/>
    <w:rsid w:val="00737347"/>
    <w:rsid w:val="0074053E"/>
    <w:rsid w:val="00740782"/>
    <w:rsid w:val="007434EB"/>
    <w:rsid w:val="00743DD5"/>
    <w:rsid w:val="00746669"/>
    <w:rsid w:val="00746DA1"/>
    <w:rsid w:val="007507D7"/>
    <w:rsid w:val="007509B4"/>
    <w:rsid w:val="00750B51"/>
    <w:rsid w:val="00750C66"/>
    <w:rsid w:val="00750D0A"/>
    <w:rsid w:val="00754259"/>
    <w:rsid w:val="00755151"/>
    <w:rsid w:val="007560E6"/>
    <w:rsid w:val="007560F8"/>
    <w:rsid w:val="00756236"/>
    <w:rsid w:val="0075638D"/>
    <w:rsid w:val="00756EFA"/>
    <w:rsid w:val="00761F79"/>
    <w:rsid w:val="00762398"/>
    <w:rsid w:val="00762D94"/>
    <w:rsid w:val="007631A9"/>
    <w:rsid w:val="00764251"/>
    <w:rsid w:val="0076503C"/>
    <w:rsid w:val="00765311"/>
    <w:rsid w:val="00765478"/>
    <w:rsid w:val="00765A33"/>
    <w:rsid w:val="00765CC6"/>
    <w:rsid w:val="007674DB"/>
    <w:rsid w:val="00770236"/>
    <w:rsid w:val="00771E86"/>
    <w:rsid w:val="00774127"/>
    <w:rsid w:val="00774BC7"/>
    <w:rsid w:val="00774F50"/>
    <w:rsid w:val="00776C4A"/>
    <w:rsid w:val="00781A74"/>
    <w:rsid w:val="00781B62"/>
    <w:rsid w:val="007861CF"/>
    <w:rsid w:val="007877BB"/>
    <w:rsid w:val="007905CE"/>
    <w:rsid w:val="007909AB"/>
    <w:rsid w:val="00790E94"/>
    <w:rsid w:val="007A0D71"/>
    <w:rsid w:val="007A0F98"/>
    <w:rsid w:val="007A1B45"/>
    <w:rsid w:val="007A2B42"/>
    <w:rsid w:val="007A32DD"/>
    <w:rsid w:val="007A390D"/>
    <w:rsid w:val="007A3ADD"/>
    <w:rsid w:val="007A41EE"/>
    <w:rsid w:val="007A4CB6"/>
    <w:rsid w:val="007A4F98"/>
    <w:rsid w:val="007A6986"/>
    <w:rsid w:val="007A74D0"/>
    <w:rsid w:val="007B0DC1"/>
    <w:rsid w:val="007B0EAD"/>
    <w:rsid w:val="007B0ECA"/>
    <w:rsid w:val="007B3102"/>
    <w:rsid w:val="007B3ADE"/>
    <w:rsid w:val="007B42AC"/>
    <w:rsid w:val="007B6278"/>
    <w:rsid w:val="007B648D"/>
    <w:rsid w:val="007B64E9"/>
    <w:rsid w:val="007B6958"/>
    <w:rsid w:val="007C036F"/>
    <w:rsid w:val="007C19D9"/>
    <w:rsid w:val="007C2BDF"/>
    <w:rsid w:val="007C3D1E"/>
    <w:rsid w:val="007C3FE0"/>
    <w:rsid w:val="007C5D9E"/>
    <w:rsid w:val="007C5DCA"/>
    <w:rsid w:val="007D06E2"/>
    <w:rsid w:val="007D081C"/>
    <w:rsid w:val="007D0E40"/>
    <w:rsid w:val="007D0E96"/>
    <w:rsid w:val="007D139B"/>
    <w:rsid w:val="007D30EB"/>
    <w:rsid w:val="007D4B6F"/>
    <w:rsid w:val="007D59A1"/>
    <w:rsid w:val="007D7682"/>
    <w:rsid w:val="007D790D"/>
    <w:rsid w:val="007D7FCD"/>
    <w:rsid w:val="007E020C"/>
    <w:rsid w:val="007E06A5"/>
    <w:rsid w:val="007E0C23"/>
    <w:rsid w:val="007E442A"/>
    <w:rsid w:val="007E525C"/>
    <w:rsid w:val="007F08A1"/>
    <w:rsid w:val="007F0B17"/>
    <w:rsid w:val="007F1294"/>
    <w:rsid w:val="007F1BFB"/>
    <w:rsid w:val="007F3365"/>
    <w:rsid w:val="007F3FB6"/>
    <w:rsid w:val="007F4D56"/>
    <w:rsid w:val="007F50DE"/>
    <w:rsid w:val="007F5332"/>
    <w:rsid w:val="007F56D7"/>
    <w:rsid w:val="007F6063"/>
    <w:rsid w:val="007F62C4"/>
    <w:rsid w:val="007F6884"/>
    <w:rsid w:val="007F6ABD"/>
    <w:rsid w:val="008009E1"/>
    <w:rsid w:val="00800C05"/>
    <w:rsid w:val="008023E1"/>
    <w:rsid w:val="00802889"/>
    <w:rsid w:val="00804FC6"/>
    <w:rsid w:val="00806FD0"/>
    <w:rsid w:val="008076DA"/>
    <w:rsid w:val="00807AEF"/>
    <w:rsid w:val="0081002E"/>
    <w:rsid w:val="00810E69"/>
    <w:rsid w:val="00810E9A"/>
    <w:rsid w:val="00811917"/>
    <w:rsid w:val="00811F52"/>
    <w:rsid w:val="00812E01"/>
    <w:rsid w:val="00812ED3"/>
    <w:rsid w:val="0081390D"/>
    <w:rsid w:val="00813AF1"/>
    <w:rsid w:val="00815587"/>
    <w:rsid w:val="008157D2"/>
    <w:rsid w:val="008220D6"/>
    <w:rsid w:val="0082401F"/>
    <w:rsid w:val="00824E89"/>
    <w:rsid w:val="008254A5"/>
    <w:rsid w:val="0082567A"/>
    <w:rsid w:val="00826B8F"/>
    <w:rsid w:val="00831303"/>
    <w:rsid w:val="00831D94"/>
    <w:rsid w:val="008323F7"/>
    <w:rsid w:val="0083308D"/>
    <w:rsid w:val="00833325"/>
    <w:rsid w:val="00833C5C"/>
    <w:rsid w:val="00834857"/>
    <w:rsid w:val="008348D8"/>
    <w:rsid w:val="00836365"/>
    <w:rsid w:val="00836FE3"/>
    <w:rsid w:val="008376F7"/>
    <w:rsid w:val="00840995"/>
    <w:rsid w:val="00840FDE"/>
    <w:rsid w:val="00841436"/>
    <w:rsid w:val="00842834"/>
    <w:rsid w:val="00842BE5"/>
    <w:rsid w:val="00842D01"/>
    <w:rsid w:val="008430F6"/>
    <w:rsid w:val="008431FE"/>
    <w:rsid w:val="008434E3"/>
    <w:rsid w:val="0084492D"/>
    <w:rsid w:val="00844E4B"/>
    <w:rsid w:val="00844FE4"/>
    <w:rsid w:val="0084532A"/>
    <w:rsid w:val="00845658"/>
    <w:rsid w:val="00845EEA"/>
    <w:rsid w:val="00850BEC"/>
    <w:rsid w:val="00851EC4"/>
    <w:rsid w:val="00855880"/>
    <w:rsid w:val="00855C48"/>
    <w:rsid w:val="00856053"/>
    <w:rsid w:val="0086077A"/>
    <w:rsid w:val="00862A62"/>
    <w:rsid w:val="00863026"/>
    <w:rsid w:val="008630CB"/>
    <w:rsid w:val="008634EF"/>
    <w:rsid w:val="00864785"/>
    <w:rsid w:val="008649CE"/>
    <w:rsid w:val="00864E90"/>
    <w:rsid w:val="00865E92"/>
    <w:rsid w:val="00866510"/>
    <w:rsid w:val="00866971"/>
    <w:rsid w:val="0086756A"/>
    <w:rsid w:val="00870D7A"/>
    <w:rsid w:val="00872076"/>
    <w:rsid w:val="008722A6"/>
    <w:rsid w:val="0087357C"/>
    <w:rsid w:val="008743D6"/>
    <w:rsid w:val="00874E19"/>
    <w:rsid w:val="00875EFB"/>
    <w:rsid w:val="0087634E"/>
    <w:rsid w:val="0087683B"/>
    <w:rsid w:val="00880AE0"/>
    <w:rsid w:val="0088178A"/>
    <w:rsid w:val="008826AA"/>
    <w:rsid w:val="008840E1"/>
    <w:rsid w:val="00887665"/>
    <w:rsid w:val="00890342"/>
    <w:rsid w:val="00891215"/>
    <w:rsid w:val="00891346"/>
    <w:rsid w:val="008914D4"/>
    <w:rsid w:val="00891882"/>
    <w:rsid w:val="00891C40"/>
    <w:rsid w:val="00891E14"/>
    <w:rsid w:val="00893B60"/>
    <w:rsid w:val="00893F2E"/>
    <w:rsid w:val="00897A7D"/>
    <w:rsid w:val="008A0477"/>
    <w:rsid w:val="008A0C5D"/>
    <w:rsid w:val="008A1825"/>
    <w:rsid w:val="008A3F5A"/>
    <w:rsid w:val="008A41A2"/>
    <w:rsid w:val="008A5CC5"/>
    <w:rsid w:val="008A6D3A"/>
    <w:rsid w:val="008B06EF"/>
    <w:rsid w:val="008B239B"/>
    <w:rsid w:val="008B3900"/>
    <w:rsid w:val="008B3973"/>
    <w:rsid w:val="008B647C"/>
    <w:rsid w:val="008B698A"/>
    <w:rsid w:val="008C0793"/>
    <w:rsid w:val="008C1895"/>
    <w:rsid w:val="008C3879"/>
    <w:rsid w:val="008C39B6"/>
    <w:rsid w:val="008C60FE"/>
    <w:rsid w:val="008C75DC"/>
    <w:rsid w:val="008D1FB2"/>
    <w:rsid w:val="008D281E"/>
    <w:rsid w:val="008D2FE3"/>
    <w:rsid w:val="008D3DC8"/>
    <w:rsid w:val="008D6060"/>
    <w:rsid w:val="008D6778"/>
    <w:rsid w:val="008E59E5"/>
    <w:rsid w:val="008E6859"/>
    <w:rsid w:val="008F004C"/>
    <w:rsid w:val="008F10EE"/>
    <w:rsid w:val="008F1233"/>
    <w:rsid w:val="008F14EC"/>
    <w:rsid w:val="008F20EA"/>
    <w:rsid w:val="008F2DE5"/>
    <w:rsid w:val="008F3A77"/>
    <w:rsid w:val="008F4BB2"/>
    <w:rsid w:val="008F5BAB"/>
    <w:rsid w:val="008F5CEC"/>
    <w:rsid w:val="008F67F8"/>
    <w:rsid w:val="008F7405"/>
    <w:rsid w:val="008F7634"/>
    <w:rsid w:val="00902D4E"/>
    <w:rsid w:val="00902E5B"/>
    <w:rsid w:val="00903BA8"/>
    <w:rsid w:val="0090552C"/>
    <w:rsid w:val="009061A9"/>
    <w:rsid w:val="00906966"/>
    <w:rsid w:val="00910967"/>
    <w:rsid w:val="009131A4"/>
    <w:rsid w:val="00916532"/>
    <w:rsid w:val="009168EA"/>
    <w:rsid w:val="009170FB"/>
    <w:rsid w:val="00920B7B"/>
    <w:rsid w:val="00920EBF"/>
    <w:rsid w:val="00922C78"/>
    <w:rsid w:val="00923746"/>
    <w:rsid w:val="00930652"/>
    <w:rsid w:val="00934914"/>
    <w:rsid w:val="009357F8"/>
    <w:rsid w:val="0094008A"/>
    <w:rsid w:val="00940E88"/>
    <w:rsid w:val="009427DB"/>
    <w:rsid w:val="009427F7"/>
    <w:rsid w:val="00943F70"/>
    <w:rsid w:val="0094672F"/>
    <w:rsid w:val="00950118"/>
    <w:rsid w:val="00951041"/>
    <w:rsid w:val="009529FA"/>
    <w:rsid w:val="00953235"/>
    <w:rsid w:val="00953C2E"/>
    <w:rsid w:val="00954801"/>
    <w:rsid w:val="0095584C"/>
    <w:rsid w:val="00955EA2"/>
    <w:rsid w:val="00956886"/>
    <w:rsid w:val="00956982"/>
    <w:rsid w:val="0096078B"/>
    <w:rsid w:val="00962362"/>
    <w:rsid w:val="00963772"/>
    <w:rsid w:val="00963D48"/>
    <w:rsid w:val="00963EC8"/>
    <w:rsid w:val="0096459A"/>
    <w:rsid w:val="009649F9"/>
    <w:rsid w:val="00966340"/>
    <w:rsid w:val="009671B2"/>
    <w:rsid w:val="0097035B"/>
    <w:rsid w:val="0097246E"/>
    <w:rsid w:val="00974B40"/>
    <w:rsid w:val="00974DEE"/>
    <w:rsid w:val="0097567A"/>
    <w:rsid w:val="00975EF9"/>
    <w:rsid w:val="009770F8"/>
    <w:rsid w:val="00984AD7"/>
    <w:rsid w:val="00984C17"/>
    <w:rsid w:val="00985A75"/>
    <w:rsid w:val="00985E8D"/>
    <w:rsid w:val="009861A5"/>
    <w:rsid w:val="009866B1"/>
    <w:rsid w:val="0098719F"/>
    <w:rsid w:val="0099090A"/>
    <w:rsid w:val="009926BB"/>
    <w:rsid w:val="00992B96"/>
    <w:rsid w:val="009936EB"/>
    <w:rsid w:val="0099485B"/>
    <w:rsid w:val="00995EDC"/>
    <w:rsid w:val="0099740D"/>
    <w:rsid w:val="00997786"/>
    <w:rsid w:val="009A0887"/>
    <w:rsid w:val="009A1DEF"/>
    <w:rsid w:val="009A2112"/>
    <w:rsid w:val="009A2ABD"/>
    <w:rsid w:val="009A3A0E"/>
    <w:rsid w:val="009A44B4"/>
    <w:rsid w:val="009A51B1"/>
    <w:rsid w:val="009A51FF"/>
    <w:rsid w:val="009A5BD3"/>
    <w:rsid w:val="009A7376"/>
    <w:rsid w:val="009A7EBB"/>
    <w:rsid w:val="009B0B3F"/>
    <w:rsid w:val="009B1B84"/>
    <w:rsid w:val="009B1F25"/>
    <w:rsid w:val="009B3045"/>
    <w:rsid w:val="009B3CD3"/>
    <w:rsid w:val="009B552C"/>
    <w:rsid w:val="009B5EF3"/>
    <w:rsid w:val="009B7929"/>
    <w:rsid w:val="009C0709"/>
    <w:rsid w:val="009C0EF1"/>
    <w:rsid w:val="009C1126"/>
    <w:rsid w:val="009C1E22"/>
    <w:rsid w:val="009C2BDA"/>
    <w:rsid w:val="009C61F1"/>
    <w:rsid w:val="009C7643"/>
    <w:rsid w:val="009C7C4D"/>
    <w:rsid w:val="009C7DAC"/>
    <w:rsid w:val="009D06D5"/>
    <w:rsid w:val="009D0A7B"/>
    <w:rsid w:val="009D3855"/>
    <w:rsid w:val="009D46D9"/>
    <w:rsid w:val="009D5715"/>
    <w:rsid w:val="009D60F0"/>
    <w:rsid w:val="009E11D1"/>
    <w:rsid w:val="009E3439"/>
    <w:rsid w:val="009E383E"/>
    <w:rsid w:val="009E4DDE"/>
    <w:rsid w:val="009E5344"/>
    <w:rsid w:val="009E56B3"/>
    <w:rsid w:val="009E6953"/>
    <w:rsid w:val="009E7E01"/>
    <w:rsid w:val="009E7F8E"/>
    <w:rsid w:val="009F190F"/>
    <w:rsid w:val="009F37CA"/>
    <w:rsid w:val="009F435E"/>
    <w:rsid w:val="009F4745"/>
    <w:rsid w:val="009F5D05"/>
    <w:rsid w:val="009F73EE"/>
    <w:rsid w:val="009F7EC6"/>
    <w:rsid w:val="00A0036F"/>
    <w:rsid w:val="00A0227C"/>
    <w:rsid w:val="00A03A87"/>
    <w:rsid w:val="00A04884"/>
    <w:rsid w:val="00A05030"/>
    <w:rsid w:val="00A0603F"/>
    <w:rsid w:val="00A07675"/>
    <w:rsid w:val="00A10122"/>
    <w:rsid w:val="00A10E5B"/>
    <w:rsid w:val="00A14776"/>
    <w:rsid w:val="00A14F64"/>
    <w:rsid w:val="00A159AE"/>
    <w:rsid w:val="00A20A38"/>
    <w:rsid w:val="00A22718"/>
    <w:rsid w:val="00A232E4"/>
    <w:rsid w:val="00A2349A"/>
    <w:rsid w:val="00A24425"/>
    <w:rsid w:val="00A25782"/>
    <w:rsid w:val="00A30ACB"/>
    <w:rsid w:val="00A33011"/>
    <w:rsid w:val="00A33E44"/>
    <w:rsid w:val="00A33E84"/>
    <w:rsid w:val="00A340C8"/>
    <w:rsid w:val="00A35491"/>
    <w:rsid w:val="00A35BF5"/>
    <w:rsid w:val="00A3675A"/>
    <w:rsid w:val="00A37DEF"/>
    <w:rsid w:val="00A40F0F"/>
    <w:rsid w:val="00A414E7"/>
    <w:rsid w:val="00A4194A"/>
    <w:rsid w:val="00A41B54"/>
    <w:rsid w:val="00A42302"/>
    <w:rsid w:val="00A44AEA"/>
    <w:rsid w:val="00A44BA9"/>
    <w:rsid w:val="00A45650"/>
    <w:rsid w:val="00A46B9B"/>
    <w:rsid w:val="00A47656"/>
    <w:rsid w:val="00A50462"/>
    <w:rsid w:val="00A506F2"/>
    <w:rsid w:val="00A50CBC"/>
    <w:rsid w:val="00A50F4F"/>
    <w:rsid w:val="00A52D75"/>
    <w:rsid w:val="00A53941"/>
    <w:rsid w:val="00A56674"/>
    <w:rsid w:val="00A56ADA"/>
    <w:rsid w:val="00A57B9A"/>
    <w:rsid w:val="00A61876"/>
    <w:rsid w:val="00A619C6"/>
    <w:rsid w:val="00A6602F"/>
    <w:rsid w:val="00A66766"/>
    <w:rsid w:val="00A7005F"/>
    <w:rsid w:val="00A70769"/>
    <w:rsid w:val="00A70807"/>
    <w:rsid w:val="00A70FD8"/>
    <w:rsid w:val="00A73761"/>
    <w:rsid w:val="00A73B97"/>
    <w:rsid w:val="00A74BEA"/>
    <w:rsid w:val="00A753F8"/>
    <w:rsid w:val="00A75D0A"/>
    <w:rsid w:val="00A761F4"/>
    <w:rsid w:val="00A76A73"/>
    <w:rsid w:val="00A76C77"/>
    <w:rsid w:val="00A76F2C"/>
    <w:rsid w:val="00A77ACB"/>
    <w:rsid w:val="00A80DF6"/>
    <w:rsid w:val="00A813D6"/>
    <w:rsid w:val="00A81BBE"/>
    <w:rsid w:val="00A846C3"/>
    <w:rsid w:val="00A85340"/>
    <w:rsid w:val="00A85438"/>
    <w:rsid w:val="00A85939"/>
    <w:rsid w:val="00A863C8"/>
    <w:rsid w:val="00A865C4"/>
    <w:rsid w:val="00A92451"/>
    <w:rsid w:val="00A931CB"/>
    <w:rsid w:val="00A931F0"/>
    <w:rsid w:val="00A93E95"/>
    <w:rsid w:val="00A944C9"/>
    <w:rsid w:val="00A948B2"/>
    <w:rsid w:val="00A9515D"/>
    <w:rsid w:val="00A961B6"/>
    <w:rsid w:val="00A96351"/>
    <w:rsid w:val="00A965D1"/>
    <w:rsid w:val="00A965FB"/>
    <w:rsid w:val="00A97CFB"/>
    <w:rsid w:val="00AA0F89"/>
    <w:rsid w:val="00AA1A79"/>
    <w:rsid w:val="00AA39FF"/>
    <w:rsid w:val="00AA3EBD"/>
    <w:rsid w:val="00AA600A"/>
    <w:rsid w:val="00AA6775"/>
    <w:rsid w:val="00AA74E5"/>
    <w:rsid w:val="00AB00DB"/>
    <w:rsid w:val="00AB0738"/>
    <w:rsid w:val="00AB0A8B"/>
    <w:rsid w:val="00AB1F42"/>
    <w:rsid w:val="00AB3212"/>
    <w:rsid w:val="00AB3EDF"/>
    <w:rsid w:val="00AB3F46"/>
    <w:rsid w:val="00AB4D78"/>
    <w:rsid w:val="00AB62A1"/>
    <w:rsid w:val="00AB6CFF"/>
    <w:rsid w:val="00AB797E"/>
    <w:rsid w:val="00AC0F76"/>
    <w:rsid w:val="00AC340D"/>
    <w:rsid w:val="00AC6951"/>
    <w:rsid w:val="00AC72B0"/>
    <w:rsid w:val="00AD0A93"/>
    <w:rsid w:val="00AD0DFE"/>
    <w:rsid w:val="00AD127E"/>
    <w:rsid w:val="00AD19CE"/>
    <w:rsid w:val="00AD2477"/>
    <w:rsid w:val="00AD38F6"/>
    <w:rsid w:val="00AD3E9F"/>
    <w:rsid w:val="00AD4060"/>
    <w:rsid w:val="00AD50B5"/>
    <w:rsid w:val="00AD5D87"/>
    <w:rsid w:val="00AD6CAA"/>
    <w:rsid w:val="00AD7E35"/>
    <w:rsid w:val="00AE024D"/>
    <w:rsid w:val="00AE05FB"/>
    <w:rsid w:val="00AE23B8"/>
    <w:rsid w:val="00AE2E31"/>
    <w:rsid w:val="00AE39B3"/>
    <w:rsid w:val="00AE4F1C"/>
    <w:rsid w:val="00AE55E6"/>
    <w:rsid w:val="00AE592C"/>
    <w:rsid w:val="00AF1088"/>
    <w:rsid w:val="00AF214A"/>
    <w:rsid w:val="00AF22E3"/>
    <w:rsid w:val="00AF296D"/>
    <w:rsid w:val="00AF3AB8"/>
    <w:rsid w:val="00AF3BE8"/>
    <w:rsid w:val="00AF4E3F"/>
    <w:rsid w:val="00AF6523"/>
    <w:rsid w:val="00AF771D"/>
    <w:rsid w:val="00B0033D"/>
    <w:rsid w:val="00B011C1"/>
    <w:rsid w:val="00B01AA3"/>
    <w:rsid w:val="00B01E31"/>
    <w:rsid w:val="00B03825"/>
    <w:rsid w:val="00B04CB8"/>
    <w:rsid w:val="00B07153"/>
    <w:rsid w:val="00B10DAF"/>
    <w:rsid w:val="00B11B80"/>
    <w:rsid w:val="00B13B81"/>
    <w:rsid w:val="00B16D2C"/>
    <w:rsid w:val="00B17636"/>
    <w:rsid w:val="00B203A6"/>
    <w:rsid w:val="00B20608"/>
    <w:rsid w:val="00B20AD6"/>
    <w:rsid w:val="00B20CAB"/>
    <w:rsid w:val="00B242FB"/>
    <w:rsid w:val="00B243BE"/>
    <w:rsid w:val="00B244A0"/>
    <w:rsid w:val="00B253DB"/>
    <w:rsid w:val="00B25CC0"/>
    <w:rsid w:val="00B26003"/>
    <w:rsid w:val="00B269B9"/>
    <w:rsid w:val="00B306FA"/>
    <w:rsid w:val="00B31AC8"/>
    <w:rsid w:val="00B32E36"/>
    <w:rsid w:val="00B34418"/>
    <w:rsid w:val="00B34AB4"/>
    <w:rsid w:val="00B36CE3"/>
    <w:rsid w:val="00B377E4"/>
    <w:rsid w:val="00B37BC1"/>
    <w:rsid w:val="00B4045A"/>
    <w:rsid w:val="00B40EBC"/>
    <w:rsid w:val="00B412C2"/>
    <w:rsid w:val="00B414CD"/>
    <w:rsid w:val="00B41B3F"/>
    <w:rsid w:val="00B44970"/>
    <w:rsid w:val="00B44B3C"/>
    <w:rsid w:val="00B4583C"/>
    <w:rsid w:val="00B46FBE"/>
    <w:rsid w:val="00B50F0B"/>
    <w:rsid w:val="00B514A7"/>
    <w:rsid w:val="00B53332"/>
    <w:rsid w:val="00B535B8"/>
    <w:rsid w:val="00B559FF"/>
    <w:rsid w:val="00B56046"/>
    <w:rsid w:val="00B60302"/>
    <w:rsid w:val="00B60BD9"/>
    <w:rsid w:val="00B618EF"/>
    <w:rsid w:val="00B62EB4"/>
    <w:rsid w:val="00B63E20"/>
    <w:rsid w:val="00B651FE"/>
    <w:rsid w:val="00B66B52"/>
    <w:rsid w:val="00B70127"/>
    <w:rsid w:val="00B73FA6"/>
    <w:rsid w:val="00B73FB3"/>
    <w:rsid w:val="00B746B2"/>
    <w:rsid w:val="00B757A1"/>
    <w:rsid w:val="00B75FDF"/>
    <w:rsid w:val="00B76048"/>
    <w:rsid w:val="00B76084"/>
    <w:rsid w:val="00B7766E"/>
    <w:rsid w:val="00B8162E"/>
    <w:rsid w:val="00B82365"/>
    <w:rsid w:val="00B825A2"/>
    <w:rsid w:val="00B83B73"/>
    <w:rsid w:val="00B83E9E"/>
    <w:rsid w:val="00B84BFA"/>
    <w:rsid w:val="00B861A5"/>
    <w:rsid w:val="00B8660C"/>
    <w:rsid w:val="00B872BC"/>
    <w:rsid w:val="00B911A6"/>
    <w:rsid w:val="00B91225"/>
    <w:rsid w:val="00B9170E"/>
    <w:rsid w:val="00B918D3"/>
    <w:rsid w:val="00B91DCE"/>
    <w:rsid w:val="00B9214B"/>
    <w:rsid w:val="00B92EF3"/>
    <w:rsid w:val="00B94D16"/>
    <w:rsid w:val="00BA0305"/>
    <w:rsid w:val="00BA0746"/>
    <w:rsid w:val="00BA0F3B"/>
    <w:rsid w:val="00BA1335"/>
    <w:rsid w:val="00BA1519"/>
    <w:rsid w:val="00BA1AF6"/>
    <w:rsid w:val="00BA378F"/>
    <w:rsid w:val="00BA4415"/>
    <w:rsid w:val="00BA50E6"/>
    <w:rsid w:val="00BA5110"/>
    <w:rsid w:val="00BA6F28"/>
    <w:rsid w:val="00BA7B44"/>
    <w:rsid w:val="00BB1700"/>
    <w:rsid w:val="00BB1A1A"/>
    <w:rsid w:val="00BB20B2"/>
    <w:rsid w:val="00BB2274"/>
    <w:rsid w:val="00BB5407"/>
    <w:rsid w:val="00BB5EC7"/>
    <w:rsid w:val="00BB69C0"/>
    <w:rsid w:val="00BB7248"/>
    <w:rsid w:val="00BB79E0"/>
    <w:rsid w:val="00BC05AF"/>
    <w:rsid w:val="00BC0CD3"/>
    <w:rsid w:val="00BC0F34"/>
    <w:rsid w:val="00BC69A5"/>
    <w:rsid w:val="00BC6F06"/>
    <w:rsid w:val="00BC71A3"/>
    <w:rsid w:val="00BC71FB"/>
    <w:rsid w:val="00BD0AA0"/>
    <w:rsid w:val="00BD20DD"/>
    <w:rsid w:val="00BD2A8B"/>
    <w:rsid w:val="00BD55B5"/>
    <w:rsid w:val="00BD6577"/>
    <w:rsid w:val="00BD668C"/>
    <w:rsid w:val="00BE04D3"/>
    <w:rsid w:val="00BE091D"/>
    <w:rsid w:val="00BE1160"/>
    <w:rsid w:val="00BE2C88"/>
    <w:rsid w:val="00BE3FB0"/>
    <w:rsid w:val="00BE5131"/>
    <w:rsid w:val="00BE6270"/>
    <w:rsid w:val="00BE6DE8"/>
    <w:rsid w:val="00BE73C1"/>
    <w:rsid w:val="00BF1FC4"/>
    <w:rsid w:val="00BF39FD"/>
    <w:rsid w:val="00BF3A8D"/>
    <w:rsid w:val="00BF433D"/>
    <w:rsid w:val="00BF46DF"/>
    <w:rsid w:val="00BF4F10"/>
    <w:rsid w:val="00BF6598"/>
    <w:rsid w:val="00BF67EC"/>
    <w:rsid w:val="00BF6EEF"/>
    <w:rsid w:val="00BF759A"/>
    <w:rsid w:val="00BF7BEC"/>
    <w:rsid w:val="00BF7FC3"/>
    <w:rsid w:val="00C0063D"/>
    <w:rsid w:val="00C0412A"/>
    <w:rsid w:val="00C0491E"/>
    <w:rsid w:val="00C05046"/>
    <w:rsid w:val="00C067E1"/>
    <w:rsid w:val="00C07524"/>
    <w:rsid w:val="00C07CEB"/>
    <w:rsid w:val="00C10108"/>
    <w:rsid w:val="00C10A7C"/>
    <w:rsid w:val="00C10AEC"/>
    <w:rsid w:val="00C11B17"/>
    <w:rsid w:val="00C11B8D"/>
    <w:rsid w:val="00C121C7"/>
    <w:rsid w:val="00C13BB5"/>
    <w:rsid w:val="00C14026"/>
    <w:rsid w:val="00C14087"/>
    <w:rsid w:val="00C142FB"/>
    <w:rsid w:val="00C14388"/>
    <w:rsid w:val="00C14980"/>
    <w:rsid w:val="00C173A5"/>
    <w:rsid w:val="00C17788"/>
    <w:rsid w:val="00C17843"/>
    <w:rsid w:val="00C178A6"/>
    <w:rsid w:val="00C17CC1"/>
    <w:rsid w:val="00C17DA9"/>
    <w:rsid w:val="00C20B9F"/>
    <w:rsid w:val="00C22904"/>
    <w:rsid w:val="00C23D76"/>
    <w:rsid w:val="00C24C01"/>
    <w:rsid w:val="00C25712"/>
    <w:rsid w:val="00C25D6F"/>
    <w:rsid w:val="00C2616F"/>
    <w:rsid w:val="00C26403"/>
    <w:rsid w:val="00C3044D"/>
    <w:rsid w:val="00C30D26"/>
    <w:rsid w:val="00C31DC4"/>
    <w:rsid w:val="00C3266F"/>
    <w:rsid w:val="00C35002"/>
    <w:rsid w:val="00C36880"/>
    <w:rsid w:val="00C376F2"/>
    <w:rsid w:val="00C407A7"/>
    <w:rsid w:val="00C43791"/>
    <w:rsid w:val="00C4420C"/>
    <w:rsid w:val="00C44B4E"/>
    <w:rsid w:val="00C44BAE"/>
    <w:rsid w:val="00C45E4E"/>
    <w:rsid w:val="00C47775"/>
    <w:rsid w:val="00C6060B"/>
    <w:rsid w:val="00C60C9C"/>
    <w:rsid w:val="00C61EDE"/>
    <w:rsid w:val="00C62088"/>
    <w:rsid w:val="00C629B1"/>
    <w:rsid w:val="00C62A0A"/>
    <w:rsid w:val="00C65CC5"/>
    <w:rsid w:val="00C66070"/>
    <w:rsid w:val="00C66CA7"/>
    <w:rsid w:val="00C67E15"/>
    <w:rsid w:val="00C70376"/>
    <w:rsid w:val="00C71AFC"/>
    <w:rsid w:val="00C73C3E"/>
    <w:rsid w:val="00C76360"/>
    <w:rsid w:val="00C767F9"/>
    <w:rsid w:val="00C80032"/>
    <w:rsid w:val="00C81695"/>
    <w:rsid w:val="00C82ECA"/>
    <w:rsid w:val="00C83106"/>
    <w:rsid w:val="00C83F24"/>
    <w:rsid w:val="00C87F95"/>
    <w:rsid w:val="00C90A3A"/>
    <w:rsid w:val="00C919C2"/>
    <w:rsid w:val="00C93032"/>
    <w:rsid w:val="00C938B5"/>
    <w:rsid w:val="00C94545"/>
    <w:rsid w:val="00C94C7F"/>
    <w:rsid w:val="00C9667C"/>
    <w:rsid w:val="00C968DC"/>
    <w:rsid w:val="00C96DA9"/>
    <w:rsid w:val="00C971A2"/>
    <w:rsid w:val="00CA0E32"/>
    <w:rsid w:val="00CA2099"/>
    <w:rsid w:val="00CA326A"/>
    <w:rsid w:val="00CA491C"/>
    <w:rsid w:val="00CA596B"/>
    <w:rsid w:val="00CA61D2"/>
    <w:rsid w:val="00CA6404"/>
    <w:rsid w:val="00CA6A01"/>
    <w:rsid w:val="00CA7025"/>
    <w:rsid w:val="00CB170A"/>
    <w:rsid w:val="00CB3DFC"/>
    <w:rsid w:val="00CB50DA"/>
    <w:rsid w:val="00CB5318"/>
    <w:rsid w:val="00CB546D"/>
    <w:rsid w:val="00CB59FE"/>
    <w:rsid w:val="00CB7957"/>
    <w:rsid w:val="00CB7D0B"/>
    <w:rsid w:val="00CC14F0"/>
    <w:rsid w:val="00CC3436"/>
    <w:rsid w:val="00CC5DDD"/>
    <w:rsid w:val="00CD13BF"/>
    <w:rsid w:val="00CD1D23"/>
    <w:rsid w:val="00CD2840"/>
    <w:rsid w:val="00CD40A9"/>
    <w:rsid w:val="00CD5F9E"/>
    <w:rsid w:val="00CD5FC9"/>
    <w:rsid w:val="00CD6EE5"/>
    <w:rsid w:val="00CD7C23"/>
    <w:rsid w:val="00CE1CB2"/>
    <w:rsid w:val="00CE24A6"/>
    <w:rsid w:val="00CE299E"/>
    <w:rsid w:val="00CE34A7"/>
    <w:rsid w:val="00CE437D"/>
    <w:rsid w:val="00CE554D"/>
    <w:rsid w:val="00CE57D7"/>
    <w:rsid w:val="00CE77CB"/>
    <w:rsid w:val="00CE79B2"/>
    <w:rsid w:val="00CF1E86"/>
    <w:rsid w:val="00CF2F01"/>
    <w:rsid w:val="00CF338E"/>
    <w:rsid w:val="00CF485F"/>
    <w:rsid w:val="00CF55B7"/>
    <w:rsid w:val="00CF6CFA"/>
    <w:rsid w:val="00CF7011"/>
    <w:rsid w:val="00CF78FE"/>
    <w:rsid w:val="00D00587"/>
    <w:rsid w:val="00D028CD"/>
    <w:rsid w:val="00D04912"/>
    <w:rsid w:val="00D04A3D"/>
    <w:rsid w:val="00D06073"/>
    <w:rsid w:val="00D07BE2"/>
    <w:rsid w:val="00D10D5A"/>
    <w:rsid w:val="00D117C3"/>
    <w:rsid w:val="00D124DE"/>
    <w:rsid w:val="00D13CA5"/>
    <w:rsid w:val="00D151F7"/>
    <w:rsid w:val="00D15B73"/>
    <w:rsid w:val="00D15FA6"/>
    <w:rsid w:val="00D204D2"/>
    <w:rsid w:val="00D22EAF"/>
    <w:rsid w:val="00D239E0"/>
    <w:rsid w:val="00D24CD8"/>
    <w:rsid w:val="00D26040"/>
    <w:rsid w:val="00D3061E"/>
    <w:rsid w:val="00D30BC1"/>
    <w:rsid w:val="00D31C70"/>
    <w:rsid w:val="00D3651B"/>
    <w:rsid w:val="00D36738"/>
    <w:rsid w:val="00D36823"/>
    <w:rsid w:val="00D36BC7"/>
    <w:rsid w:val="00D41978"/>
    <w:rsid w:val="00D41D4C"/>
    <w:rsid w:val="00D42507"/>
    <w:rsid w:val="00D42795"/>
    <w:rsid w:val="00D43CDB"/>
    <w:rsid w:val="00D4418B"/>
    <w:rsid w:val="00D457A7"/>
    <w:rsid w:val="00D45AAD"/>
    <w:rsid w:val="00D4614B"/>
    <w:rsid w:val="00D4660F"/>
    <w:rsid w:val="00D47521"/>
    <w:rsid w:val="00D50F1F"/>
    <w:rsid w:val="00D51C65"/>
    <w:rsid w:val="00D51D73"/>
    <w:rsid w:val="00D51DD0"/>
    <w:rsid w:val="00D52438"/>
    <w:rsid w:val="00D52800"/>
    <w:rsid w:val="00D53AFA"/>
    <w:rsid w:val="00D5448C"/>
    <w:rsid w:val="00D54C09"/>
    <w:rsid w:val="00D55140"/>
    <w:rsid w:val="00D56104"/>
    <w:rsid w:val="00D56E72"/>
    <w:rsid w:val="00D578D8"/>
    <w:rsid w:val="00D60E74"/>
    <w:rsid w:val="00D61398"/>
    <w:rsid w:val="00D619F8"/>
    <w:rsid w:val="00D62971"/>
    <w:rsid w:val="00D6326D"/>
    <w:rsid w:val="00D639D7"/>
    <w:rsid w:val="00D664E1"/>
    <w:rsid w:val="00D667B8"/>
    <w:rsid w:val="00D70266"/>
    <w:rsid w:val="00D70311"/>
    <w:rsid w:val="00D70841"/>
    <w:rsid w:val="00D70D71"/>
    <w:rsid w:val="00D71B09"/>
    <w:rsid w:val="00D71FCF"/>
    <w:rsid w:val="00D730F6"/>
    <w:rsid w:val="00D73938"/>
    <w:rsid w:val="00D73A83"/>
    <w:rsid w:val="00D74F30"/>
    <w:rsid w:val="00D75EEC"/>
    <w:rsid w:val="00D7626F"/>
    <w:rsid w:val="00D76B21"/>
    <w:rsid w:val="00D77144"/>
    <w:rsid w:val="00D77BD7"/>
    <w:rsid w:val="00D80459"/>
    <w:rsid w:val="00D8091A"/>
    <w:rsid w:val="00D80C95"/>
    <w:rsid w:val="00D80E60"/>
    <w:rsid w:val="00D8110D"/>
    <w:rsid w:val="00D81938"/>
    <w:rsid w:val="00D81BB7"/>
    <w:rsid w:val="00D82640"/>
    <w:rsid w:val="00D83227"/>
    <w:rsid w:val="00D83786"/>
    <w:rsid w:val="00D84BC9"/>
    <w:rsid w:val="00D84DEA"/>
    <w:rsid w:val="00D851AA"/>
    <w:rsid w:val="00D85A2D"/>
    <w:rsid w:val="00D87FE2"/>
    <w:rsid w:val="00D9123F"/>
    <w:rsid w:val="00D9199A"/>
    <w:rsid w:val="00D91AD1"/>
    <w:rsid w:val="00D92768"/>
    <w:rsid w:val="00D9548F"/>
    <w:rsid w:val="00D95F04"/>
    <w:rsid w:val="00D967B2"/>
    <w:rsid w:val="00DA01EC"/>
    <w:rsid w:val="00DA2D4A"/>
    <w:rsid w:val="00DA42AB"/>
    <w:rsid w:val="00DA4333"/>
    <w:rsid w:val="00DA5213"/>
    <w:rsid w:val="00DA6171"/>
    <w:rsid w:val="00DA68BA"/>
    <w:rsid w:val="00DB03A2"/>
    <w:rsid w:val="00DB10E1"/>
    <w:rsid w:val="00DB1FDF"/>
    <w:rsid w:val="00DB29F8"/>
    <w:rsid w:val="00DB69C2"/>
    <w:rsid w:val="00DB764E"/>
    <w:rsid w:val="00DC004E"/>
    <w:rsid w:val="00DC0C12"/>
    <w:rsid w:val="00DC35A0"/>
    <w:rsid w:val="00DC44E6"/>
    <w:rsid w:val="00DC457F"/>
    <w:rsid w:val="00DC4BE2"/>
    <w:rsid w:val="00DC5989"/>
    <w:rsid w:val="00DC5A1E"/>
    <w:rsid w:val="00DC678E"/>
    <w:rsid w:val="00DC6D11"/>
    <w:rsid w:val="00DC7FBA"/>
    <w:rsid w:val="00DD38CB"/>
    <w:rsid w:val="00DD3A81"/>
    <w:rsid w:val="00DD3C9A"/>
    <w:rsid w:val="00DD5892"/>
    <w:rsid w:val="00DD64DD"/>
    <w:rsid w:val="00DD728F"/>
    <w:rsid w:val="00DD7979"/>
    <w:rsid w:val="00DE08F5"/>
    <w:rsid w:val="00DE1CF7"/>
    <w:rsid w:val="00DE1FA2"/>
    <w:rsid w:val="00DE3B70"/>
    <w:rsid w:val="00DE464A"/>
    <w:rsid w:val="00DE736B"/>
    <w:rsid w:val="00DF00DD"/>
    <w:rsid w:val="00DF19DC"/>
    <w:rsid w:val="00DF4802"/>
    <w:rsid w:val="00DF4812"/>
    <w:rsid w:val="00DF4857"/>
    <w:rsid w:val="00DF690A"/>
    <w:rsid w:val="00DF72C3"/>
    <w:rsid w:val="00E0002F"/>
    <w:rsid w:val="00E01B23"/>
    <w:rsid w:val="00E01F87"/>
    <w:rsid w:val="00E02679"/>
    <w:rsid w:val="00E03416"/>
    <w:rsid w:val="00E04C36"/>
    <w:rsid w:val="00E0551D"/>
    <w:rsid w:val="00E05C9F"/>
    <w:rsid w:val="00E05CC0"/>
    <w:rsid w:val="00E06C5E"/>
    <w:rsid w:val="00E06F5B"/>
    <w:rsid w:val="00E07451"/>
    <w:rsid w:val="00E11056"/>
    <w:rsid w:val="00E12CEF"/>
    <w:rsid w:val="00E13875"/>
    <w:rsid w:val="00E13C81"/>
    <w:rsid w:val="00E14708"/>
    <w:rsid w:val="00E2077B"/>
    <w:rsid w:val="00E20DBD"/>
    <w:rsid w:val="00E21346"/>
    <w:rsid w:val="00E218DC"/>
    <w:rsid w:val="00E21F6A"/>
    <w:rsid w:val="00E22296"/>
    <w:rsid w:val="00E23494"/>
    <w:rsid w:val="00E2472E"/>
    <w:rsid w:val="00E24FD3"/>
    <w:rsid w:val="00E25325"/>
    <w:rsid w:val="00E25FE5"/>
    <w:rsid w:val="00E260E3"/>
    <w:rsid w:val="00E274AD"/>
    <w:rsid w:val="00E278D2"/>
    <w:rsid w:val="00E318C6"/>
    <w:rsid w:val="00E3299D"/>
    <w:rsid w:val="00E34CF6"/>
    <w:rsid w:val="00E35E8C"/>
    <w:rsid w:val="00E365D5"/>
    <w:rsid w:val="00E3758C"/>
    <w:rsid w:val="00E402AF"/>
    <w:rsid w:val="00E402F5"/>
    <w:rsid w:val="00E4040F"/>
    <w:rsid w:val="00E4066E"/>
    <w:rsid w:val="00E41AE0"/>
    <w:rsid w:val="00E4574F"/>
    <w:rsid w:val="00E46E19"/>
    <w:rsid w:val="00E5045E"/>
    <w:rsid w:val="00E50BA7"/>
    <w:rsid w:val="00E51310"/>
    <w:rsid w:val="00E51C81"/>
    <w:rsid w:val="00E52BA0"/>
    <w:rsid w:val="00E53689"/>
    <w:rsid w:val="00E53C67"/>
    <w:rsid w:val="00E53FB0"/>
    <w:rsid w:val="00E54037"/>
    <w:rsid w:val="00E54142"/>
    <w:rsid w:val="00E55FFC"/>
    <w:rsid w:val="00E56D1E"/>
    <w:rsid w:val="00E57538"/>
    <w:rsid w:val="00E576F9"/>
    <w:rsid w:val="00E57857"/>
    <w:rsid w:val="00E61111"/>
    <w:rsid w:val="00E62999"/>
    <w:rsid w:val="00E63549"/>
    <w:rsid w:val="00E63BBC"/>
    <w:rsid w:val="00E640C1"/>
    <w:rsid w:val="00E653A0"/>
    <w:rsid w:val="00E65ED3"/>
    <w:rsid w:val="00E66834"/>
    <w:rsid w:val="00E678C3"/>
    <w:rsid w:val="00E70EC9"/>
    <w:rsid w:val="00E71919"/>
    <w:rsid w:val="00E740DC"/>
    <w:rsid w:val="00E741A7"/>
    <w:rsid w:val="00E745EA"/>
    <w:rsid w:val="00E76D2F"/>
    <w:rsid w:val="00E8162C"/>
    <w:rsid w:val="00E81684"/>
    <w:rsid w:val="00E81DC8"/>
    <w:rsid w:val="00E82659"/>
    <w:rsid w:val="00E829EF"/>
    <w:rsid w:val="00E8384C"/>
    <w:rsid w:val="00E84C3E"/>
    <w:rsid w:val="00E85D69"/>
    <w:rsid w:val="00E879F1"/>
    <w:rsid w:val="00E87A3D"/>
    <w:rsid w:val="00E9038C"/>
    <w:rsid w:val="00E91270"/>
    <w:rsid w:val="00E92188"/>
    <w:rsid w:val="00E93D6A"/>
    <w:rsid w:val="00E953AF"/>
    <w:rsid w:val="00E9677F"/>
    <w:rsid w:val="00E96BF3"/>
    <w:rsid w:val="00EA0FAF"/>
    <w:rsid w:val="00EA2DA7"/>
    <w:rsid w:val="00EA2DF5"/>
    <w:rsid w:val="00EA3D7F"/>
    <w:rsid w:val="00EA459B"/>
    <w:rsid w:val="00EA4F8A"/>
    <w:rsid w:val="00EA5017"/>
    <w:rsid w:val="00EA53F2"/>
    <w:rsid w:val="00EA6D59"/>
    <w:rsid w:val="00EA6DF7"/>
    <w:rsid w:val="00EA756A"/>
    <w:rsid w:val="00EA7700"/>
    <w:rsid w:val="00EB04A0"/>
    <w:rsid w:val="00EB09B8"/>
    <w:rsid w:val="00EB48AB"/>
    <w:rsid w:val="00EB542A"/>
    <w:rsid w:val="00EB54C9"/>
    <w:rsid w:val="00EB5633"/>
    <w:rsid w:val="00EB6B8A"/>
    <w:rsid w:val="00EB6DB3"/>
    <w:rsid w:val="00EB6E0C"/>
    <w:rsid w:val="00EB72BD"/>
    <w:rsid w:val="00EB78C1"/>
    <w:rsid w:val="00EB7995"/>
    <w:rsid w:val="00EC08DE"/>
    <w:rsid w:val="00EC0D06"/>
    <w:rsid w:val="00EC205D"/>
    <w:rsid w:val="00EC4376"/>
    <w:rsid w:val="00EC4753"/>
    <w:rsid w:val="00EC4982"/>
    <w:rsid w:val="00EC5F7E"/>
    <w:rsid w:val="00EC68B7"/>
    <w:rsid w:val="00EC6DA8"/>
    <w:rsid w:val="00EC7A8B"/>
    <w:rsid w:val="00ED02A3"/>
    <w:rsid w:val="00ED3E8C"/>
    <w:rsid w:val="00ED5009"/>
    <w:rsid w:val="00ED5C44"/>
    <w:rsid w:val="00EE115E"/>
    <w:rsid w:val="00EE2930"/>
    <w:rsid w:val="00EE2CF9"/>
    <w:rsid w:val="00EE338C"/>
    <w:rsid w:val="00EE43FD"/>
    <w:rsid w:val="00EE4543"/>
    <w:rsid w:val="00EE5681"/>
    <w:rsid w:val="00EE5737"/>
    <w:rsid w:val="00EE57B1"/>
    <w:rsid w:val="00EE66CA"/>
    <w:rsid w:val="00EF0E3F"/>
    <w:rsid w:val="00EF1D2E"/>
    <w:rsid w:val="00EF251F"/>
    <w:rsid w:val="00EF2A25"/>
    <w:rsid w:val="00EF2AFD"/>
    <w:rsid w:val="00EF2FDF"/>
    <w:rsid w:val="00EF5217"/>
    <w:rsid w:val="00EF6E58"/>
    <w:rsid w:val="00F0219E"/>
    <w:rsid w:val="00F02BE5"/>
    <w:rsid w:val="00F047C3"/>
    <w:rsid w:val="00F064A5"/>
    <w:rsid w:val="00F079C9"/>
    <w:rsid w:val="00F1243D"/>
    <w:rsid w:val="00F126A7"/>
    <w:rsid w:val="00F13036"/>
    <w:rsid w:val="00F17F39"/>
    <w:rsid w:val="00F209FB"/>
    <w:rsid w:val="00F21F0C"/>
    <w:rsid w:val="00F22359"/>
    <w:rsid w:val="00F2475C"/>
    <w:rsid w:val="00F25113"/>
    <w:rsid w:val="00F25B26"/>
    <w:rsid w:val="00F272D8"/>
    <w:rsid w:val="00F304F1"/>
    <w:rsid w:val="00F307D5"/>
    <w:rsid w:val="00F30DE7"/>
    <w:rsid w:val="00F31867"/>
    <w:rsid w:val="00F31B83"/>
    <w:rsid w:val="00F354DC"/>
    <w:rsid w:val="00F35CDE"/>
    <w:rsid w:val="00F36122"/>
    <w:rsid w:val="00F37152"/>
    <w:rsid w:val="00F40BAB"/>
    <w:rsid w:val="00F4192C"/>
    <w:rsid w:val="00F42F8A"/>
    <w:rsid w:val="00F44010"/>
    <w:rsid w:val="00F441AA"/>
    <w:rsid w:val="00F44201"/>
    <w:rsid w:val="00F4496D"/>
    <w:rsid w:val="00F45522"/>
    <w:rsid w:val="00F466E6"/>
    <w:rsid w:val="00F46AC7"/>
    <w:rsid w:val="00F46AE5"/>
    <w:rsid w:val="00F4778F"/>
    <w:rsid w:val="00F500FE"/>
    <w:rsid w:val="00F50951"/>
    <w:rsid w:val="00F5129F"/>
    <w:rsid w:val="00F51EED"/>
    <w:rsid w:val="00F52428"/>
    <w:rsid w:val="00F526C0"/>
    <w:rsid w:val="00F52C00"/>
    <w:rsid w:val="00F53206"/>
    <w:rsid w:val="00F53857"/>
    <w:rsid w:val="00F53E24"/>
    <w:rsid w:val="00F54CBE"/>
    <w:rsid w:val="00F54ECB"/>
    <w:rsid w:val="00F55EC8"/>
    <w:rsid w:val="00F5688E"/>
    <w:rsid w:val="00F57FBA"/>
    <w:rsid w:val="00F62764"/>
    <w:rsid w:val="00F62A00"/>
    <w:rsid w:val="00F63528"/>
    <w:rsid w:val="00F642F9"/>
    <w:rsid w:val="00F66F99"/>
    <w:rsid w:val="00F67BB3"/>
    <w:rsid w:val="00F70132"/>
    <w:rsid w:val="00F70540"/>
    <w:rsid w:val="00F7058D"/>
    <w:rsid w:val="00F7169B"/>
    <w:rsid w:val="00F72C42"/>
    <w:rsid w:val="00F74594"/>
    <w:rsid w:val="00F7518B"/>
    <w:rsid w:val="00F754F1"/>
    <w:rsid w:val="00F760D7"/>
    <w:rsid w:val="00F778FB"/>
    <w:rsid w:val="00F80523"/>
    <w:rsid w:val="00F81997"/>
    <w:rsid w:val="00F823B5"/>
    <w:rsid w:val="00F83EF8"/>
    <w:rsid w:val="00F846A0"/>
    <w:rsid w:val="00F849F2"/>
    <w:rsid w:val="00F86646"/>
    <w:rsid w:val="00F87C9D"/>
    <w:rsid w:val="00F91FF0"/>
    <w:rsid w:val="00F920B1"/>
    <w:rsid w:val="00F92695"/>
    <w:rsid w:val="00F92C71"/>
    <w:rsid w:val="00F944F6"/>
    <w:rsid w:val="00F94A1B"/>
    <w:rsid w:val="00F94FD5"/>
    <w:rsid w:val="00F9512C"/>
    <w:rsid w:val="00F95456"/>
    <w:rsid w:val="00F95F17"/>
    <w:rsid w:val="00F962FA"/>
    <w:rsid w:val="00FA1204"/>
    <w:rsid w:val="00FA1DC7"/>
    <w:rsid w:val="00FA249E"/>
    <w:rsid w:val="00FA3B22"/>
    <w:rsid w:val="00FA4ED5"/>
    <w:rsid w:val="00FB30EA"/>
    <w:rsid w:val="00FB3D76"/>
    <w:rsid w:val="00FB49E9"/>
    <w:rsid w:val="00FB4CEC"/>
    <w:rsid w:val="00FB63BE"/>
    <w:rsid w:val="00FB66F8"/>
    <w:rsid w:val="00FB6D92"/>
    <w:rsid w:val="00FB6E75"/>
    <w:rsid w:val="00FB72CA"/>
    <w:rsid w:val="00FC000E"/>
    <w:rsid w:val="00FC11F2"/>
    <w:rsid w:val="00FC177B"/>
    <w:rsid w:val="00FC2141"/>
    <w:rsid w:val="00FC4033"/>
    <w:rsid w:val="00FC67D8"/>
    <w:rsid w:val="00FC7516"/>
    <w:rsid w:val="00FD13C4"/>
    <w:rsid w:val="00FD3A70"/>
    <w:rsid w:val="00FD505F"/>
    <w:rsid w:val="00FD5D52"/>
    <w:rsid w:val="00FD633B"/>
    <w:rsid w:val="00FD7555"/>
    <w:rsid w:val="00FE0332"/>
    <w:rsid w:val="00FE12BD"/>
    <w:rsid w:val="00FE172C"/>
    <w:rsid w:val="00FE1E71"/>
    <w:rsid w:val="00FE289B"/>
    <w:rsid w:val="00FE3800"/>
    <w:rsid w:val="00FE3E6C"/>
    <w:rsid w:val="00FE40CA"/>
    <w:rsid w:val="00FE4107"/>
    <w:rsid w:val="00FE4835"/>
    <w:rsid w:val="00FE621B"/>
    <w:rsid w:val="00FE640C"/>
    <w:rsid w:val="00FF0CEA"/>
    <w:rsid w:val="00FF12ED"/>
    <w:rsid w:val="00FF13A8"/>
    <w:rsid w:val="00FF1EAD"/>
    <w:rsid w:val="00FF2696"/>
    <w:rsid w:val="00FF343B"/>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C9"/>
    <w:pPr>
      <w:jc w:val="both"/>
    </w:pPr>
    <w:rPr>
      <w:rFonts w:ascii="Times New Roman" w:eastAsia="Times New Roman" w:hAnsi="Times New Roman" w:cs="Times New Roman"/>
      <w:sz w:val="28"/>
      <w:lang w:val="es-ES"/>
    </w:rPr>
  </w:style>
  <w:style w:type="paragraph" w:styleId="Ttulo1">
    <w:name w:val="heading 1"/>
    <w:aliases w:val="Párrafo"/>
    <w:basedOn w:val="Normal"/>
    <w:next w:val="Normal"/>
    <w:link w:val="Ttulo1Car"/>
    <w:qFormat/>
    <w:rsid w:val="00635DC9"/>
    <w:pPr>
      <w:numPr>
        <w:numId w:val="3"/>
      </w:numPr>
      <w:ind w:left="0" w:firstLine="0"/>
      <w:outlineLvl w:val="0"/>
    </w:pPr>
  </w:style>
  <w:style w:type="paragraph" w:styleId="Ttulo3">
    <w:name w:val="heading 3"/>
    <w:basedOn w:val="Normal"/>
    <w:next w:val="Normal"/>
    <w:link w:val="Ttulo3Car"/>
    <w:uiPriority w:val="9"/>
    <w:semiHidden/>
    <w:unhideWhenUsed/>
    <w:qFormat/>
    <w:rsid w:val="00D461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E20DBD"/>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E20DBD"/>
    <w:rPr>
      <w:rFonts w:ascii="Times New Roman" w:hAnsi="Times New Roman"/>
      <w:sz w:val="20"/>
      <w:szCs w:val="20"/>
    </w:r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Piedepagina"/>
    <w:uiPriority w:val="99"/>
    <w:unhideWhenUsed/>
    <w:qFormat/>
    <w:rsid w:val="00E20DBD"/>
    <w:rPr>
      <w:vertAlign w:val="superscript"/>
    </w:rPr>
  </w:style>
  <w:style w:type="paragraph" w:styleId="Encabezado">
    <w:name w:val="header"/>
    <w:basedOn w:val="Normal"/>
    <w:link w:val="EncabezadoCar"/>
    <w:uiPriority w:val="99"/>
    <w:unhideWhenUsed/>
    <w:rsid w:val="00635DC9"/>
    <w:pPr>
      <w:tabs>
        <w:tab w:val="center" w:pos="4419"/>
        <w:tab w:val="right" w:pos="8838"/>
      </w:tabs>
    </w:pPr>
  </w:style>
  <w:style w:type="character" w:customStyle="1" w:styleId="EncabezadoCar">
    <w:name w:val="Encabezado Car"/>
    <w:basedOn w:val="Fuentedeprrafopredeter"/>
    <w:link w:val="Encabezado"/>
    <w:uiPriority w:val="99"/>
    <w:rsid w:val="00635DC9"/>
    <w:rPr>
      <w:rFonts w:ascii="Times New Roman" w:hAnsi="Times New Roman"/>
      <w:sz w:val="28"/>
    </w:rPr>
  </w:style>
  <w:style w:type="paragraph" w:styleId="Piedepgina">
    <w:name w:val="footer"/>
    <w:basedOn w:val="Normal"/>
    <w:link w:val="PiedepginaCar"/>
    <w:uiPriority w:val="99"/>
    <w:unhideWhenUsed/>
    <w:rsid w:val="00635DC9"/>
    <w:pPr>
      <w:tabs>
        <w:tab w:val="center" w:pos="4419"/>
        <w:tab w:val="right" w:pos="8838"/>
      </w:tabs>
    </w:pPr>
  </w:style>
  <w:style w:type="character" w:customStyle="1" w:styleId="PiedepginaCar">
    <w:name w:val="Pie de página Car"/>
    <w:basedOn w:val="Fuentedeprrafopredeter"/>
    <w:link w:val="Piedepgina"/>
    <w:uiPriority w:val="99"/>
    <w:rsid w:val="00635DC9"/>
    <w:rPr>
      <w:rFonts w:ascii="Times New Roman" w:hAnsi="Times New Roman"/>
      <w:sz w:val="28"/>
    </w:rPr>
  </w:style>
  <w:style w:type="paragraph" w:styleId="Sinespaciado">
    <w:name w:val="No Spacing"/>
    <w:aliases w:val="Sección 1"/>
    <w:basedOn w:val="Prrafodelista"/>
    <w:uiPriority w:val="1"/>
    <w:qFormat/>
    <w:rsid w:val="00635DC9"/>
    <w:pPr>
      <w:numPr>
        <w:numId w:val="2"/>
      </w:numPr>
    </w:pPr>
    <w:rPr>
      <w:b/>
      <w:bCs/>
    </w:rPr>
  </w:style>
  <w:style w:type="paragraph" w:styleId="Prrafodelista">
    <w:name w:val="List Paragraph"/>
    <w:aliases w:val="Colorful List - Accent 11,Ha,List Paragraph1,lp1,List Paragraph2,Normal1,Footnote,titulo 3,Párrafo de lista1,Bolita,Bullets,List Paragraph_0,List Paragraph_1,parrafo,Párrafo de lista Numerado,Segundo nivel de viñetas,List Paragraph 1,HO"/>
    <w:basedOn w:val="Normal"/>
    <w:link w:val="PrrafodelistaCar"/>
    <w:uiPriority w:val="34"/>
    <w:qFormat/>
    <w:rsid w:val="00635DC9"/>
    <w:pPr>
      <w:ind w:left="720"/>
      <w:contextualSpacing/>
    </w:pPr>
  </w:style>
  <w:style w:type="character" w:customStyle="1" w:styleId="Ttulo1Car">
    <w:name w:val="Título 1 Car"/>
    <w:aliases w:val="Párrafo Car"/>
    <w:basedOn w:val="Fuentedeprrafopredeter"/>
    <w:link w:val="Ttulo1"/>
    <w:uiPriority w:val="9"/>
    <w:rsid w:val="006C581E"/>
    <w:rPr>
      <w:rFonts w:ascii="Times New Roman" w:eastAsia="Times New Roman" w:hAnsi="Times New Roman" w:cs="Times New Roman"/>
      <w:sz w:val="28"/>
      <w:lang w:val="es-ES"/>
    </w:rPr>
  </w:style>
  <w:style w:type="character" w:customStyle="1" w:styleId="PrrafodelistaCar">
    <w:name w:val="Párrafo de lista Car"/>
    <w:aliases w:val="Colorful List - Accent 11 Car,Ha Car,List Paragraph1 Car,lp1 Car,List Paragraph2 Car,Normal1 Car,Footnote Car,titulo 3 Car,Párrafo de lista1 Car,Bolita Car,Bullets Car,List Paragraph_0 Car,List Paragraph_1 Car,parrafo Car,HO Car"/>
    <w:link w:val="Prrafodelista"/>
    <w:uiPriority w:val="34"/>
    <w:locked/>
    <w:rsid w:val="00003A0A"/>
    <w:rPr>
      <w:rFonts w:ascii="Times New Roman" w:eastAsia="Times New Roman" w:hAnsi="Times New Roman" w:cs="Times New Roman"/>
      <w:sz w:val="28"/>
      <w:lang w:val="es-ES"/>
    </w:rPr>
  </w:style>
  <w:style w:type="paragraph" w:customStyle="1" w:styleId="Subseccin">
    <w:name w:val="Subsección"/>
    <w:basedOn w:val="Prrafodelista"/>
    <w:link w:val="SubseccinChar"/>
    <w:qFormat/>
    <w:rsid w:val="00003A0A"/>
    <w:pPr>
      <w:widowControl w:val="0"/>
      <w:numPr>
        <w:numId w:val="7"/>
      </w:numPr>
      <w:autoSpaceDE w:val="0"/>
      <w:autoSpaceDN w:val="0"/>
      <w:adjustRightInd w:val="0"/>
      <w:spacing w:after="160" w:line="259" w:lineRule="auto"/>
      <w:ind w:left="720" w:right="20"/>
    </w:pPr>
    <w:rPr>
      <w:b/>
      <w:szCs w:val="28"/>
      <w:lang w:eastAsia="es-ES"/>
    </w:rPr>
  </w:style>
  <w:style w:type="character" w:customStyle="1" w:styleId="SubseccinChar">
    <w:name w:val="Subsección Char"/>
    <w:basedOn w:val="PrrafodelistaCar"/>
    <w:link w:val="Subseccin"/>
    <w:rsid w:val="00003A0A"/>
    <w:rPr>
      <w:rFonts w:ascii="Times New Roman" w:eastAsia="Times New Roman" w:hAnsi="Times New Roman" w:cs="Times New Roman"/>
      <w:b/>
      <w:sz w:val="28"/>
      <w:szCs w:val="28"/>
      <w:lang w:val="es-ES" w:eastAsia="es-ES"/>
    </w:rPr>
  </w:style>
  <w:style w:type="character" w:customStyle="1" w:styleId="PrrafoChar">
    <w:name w:val="Párrafo Char"/>
    <w:basedOn w:val="PrrafodelistaCar"/>
    <w:rsid w:val="00003A0A"/>
    <w:rPr>
      <w:rFonts w:ascii="Times New Roman" w:eastAsia="Times New Roman" w:hAnsi="Times New Roman" w:cs="Times New Roman"/>
      <w:sz w:val="28"/>
      <w:szCs w:val="28"/>
      <w:lang w:val="es-ES" w:eastAsia="es-ES"/>
    </w:rPr>
  </w:style>
  <w:style w:type="paragraph" w:customStyle="1" w:styleId="Piedepagina">
    <w:name w:val="Pie de pagina"/>
    <w:basedOn w:val="Normal"/>
    <w:link w:val="Refdenotaalpie"/>
    <w:uiPriority w:val="99"/>
    <w:rsid w:val="008743D6"/>
    <w:pPr>
      <w:spacing w:line="240" w:lineRule="exact"/>
      <w:jc w:val="left"/>
    </w:pPr>
    <w:rPr>
      <w:rFonts w:asciiTheme="minorHAnsi" w:eastAsiaTheme="minorHAnsi" w:hAnsiTheme="minorHAnsi" w:cstheme="minorBidi"/>
      <w:sz w:val="22"/>
      <w:vertAlign w:val="superscript"/>
      <w:lang w:val="en-US"/>
    </w:rPr>
  </w:style>
  <w:style w:type="character" w:customStyle="1" w:styleId="FontStyle30">
    <w:name w:val="Font Style30"/>
    <w:uiPriority w:val="99"/>
    <w:rsid w:val="008B3973"/>
    <w:rPr>
      <w:rFonts w:ascii="Times New Roman" w:hAnsi="Times New Roman"/>
      <w:sz w:val="26"/>
    </w:rPr>
  </w:style>
  <w:style w:type="character" w:customStyle="1" w:styleId="FontStyle29">
    <w:name w:val="Font Style29"/>
    <w:uiPriority w:val="99"/>
    <w:rsid w:val="00234D60"/>
    <w:rPr>
      <w:rFonts w:ascii="Times New Roman" w:hAnsi="Times New Roman"/>
      <w:b/>
      <w:sz w:val="26"/>
    </w:rPr>
  </w:style>
  <w:style w:type="table" w:styleId="Tablaconcuadrcula">
    <w:name w:val="Table Grid"/>
    <w:basedOn w:val="Tablanormal"/>
    <w:uiPriority w:val="39"/>
    <w:rsid w:val="004C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E1CF7"/>
    <w:rPr>
      <w:color w:val="0563C1" w:themeColor="hyperlink"/>
      <w:u w:val="single"/>
    </w:rPr>
  </w:style>
  <w:style w:type="character" w:customStyle="1" w:styleId="Mencinsinresolver1">
    <w:name w:val="Mención sin resolver1"/>
    <w:basedOn w:val="Fuentedeprrafopredeter"/>
    <w:uiPriority w:val="99"/>
    <w:semiHidden/>
    <w:unhideWhenUsed/>
    <w:rsid w:val="00DE1CF7"/>
    <w:rPr>
      <w:color w:val="605E5C"/>
      <w:shd w:val="clear" w:color="auto" w:fill="E1DFDD"/>
    </w:rPr>
  </w:style>
  <w:style w:type="paragraph" w:customStyle="1" w:styleId="paragraph">
    <w:name w:val="paragraph"/>
    <w:basedOn w:val="Normal"/>
    <w:rsid w:val="00A47656"/>
    <w:pPr>
      <w:spacing w:before="100" w:beforeAutospacing="1" w:after="100" w:afterAutospacing="1"/>
      <w:jc w:val="left"/>
    </w:pPr>
    <w:rPr>
      <w:sz w:val="24"/>
      <w:szCs w:val="24"/>
    </w:rPr>
  </w:style>
  <w:style w:type="character" w:customStyle="1" w:styleId="normaltextrun">
    <w:name w:val="normaltextrun"/>
    <w:basedOn w:val="Fuentedeprrafopredeter"/>
    <w:rsid w:val="00A47656"/>
  </w:style>
  <w:style w:type="character" w:customStyle="1" w:styleId="eop">
    <w:name w:val="eop"/>
    <w:basedOn w:val="Fuentedeprrafopredeter"/>
    <w:rsid w:val="00A47656"/>
  </w:style>
  <w:style w:type="character" w:styleId="Refdecomentario">
    <w:name w:val="annotation reference"/>
    <w:basedOn w:val="Fuentedeprrafopredeter"/>
    <w:uiPriority w:val="99"/>
    <w:semiHidden/>
    <w:unhideWhenUsed/>
    <w:rsid w:val="008220D6"/>
    <w:rPr>
      <w:sz w:val="16"/>
      <w:szCs w:val="16"/>
    </w:rPr>
  </w:style>
  <w:style w:type="paragraph" w:styleId="Textocomentario">
    <w:name w:val="annotation text"/>
    <w:basedOn w:val="Normal"/>
    <w:link w:val="TextocomentarioCar"/>
    <w:uiPriority w:val="99"/>
    <w:semiHidden/>
    <w:unhideWhenUsed/>
    <w:rsid w:val="008220D6"/>
    <w:rPr>
      <w:sz w:val="20"/>
      <w:szCs w:val="20"/>
    </w:rPr>
  </w:style>
  <w:style w:type="character" w:customStyle="1" w:styleId="TextocomentarioCar">
    <w:name w:val="Texto comentario Car"/>
    <w:basedOn w:val="Fuentedeprrafopredeter"/>
    <w:link w:val="Textocomentario"/>
    <w:uiPriority w:val="99"/>
    <w:semiHidden/>
    <w:rsid w:val="008220D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20D6"/>
    <w:rPr>
      <w:b/>
      <w:bCs/>
    </w:rPr>
  </w:style>
  <w:style w:type="character" w:customStyle="1" w:styleId="AsuntodelcomentarioCar">
    <w:name w:val="Asunto del comentario Car"/>
    <w:basedOn w:val="TextocomentarioCar"/>
    <w:link w:val="Asuntodelcomentario"/>
    <w:uiPriority w:val="99"/>
    <w:semiHidden/>
    <w:rsid w:val="008220D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822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0D6"/>
    <w:rPr>
      <w:rFonts w:ascii="Segoe UI" w:eastAsia="Times New Roman" w:hAnsi="Segoe UI" w:cs="Segoe UI"/>
      <w:sz w:val="18"/>
      <w:szCs w:val="18"/>
      <w:lang w:val="es-ES"/>
    </w:rPr>
  </w:style>
  <w:style w:type="character" w:customStyle="1" w:styleId="Ttulo3Car">
    <w:name w:val="Título 3 Car"/>
    <w:basedOn w:val="Fuentedeprrafopredeter"/>
    <w:link w:val="Ttulo3"/>
    <w:uiPriority w:val="9"/>
    <w:semiHidden/>
    <w:rsid w:val="00D4614B"/>
    <w:rPr>
      <w:rFonts w:asciiTheme="majorHAnsi" w:eastAsiaTheme="majorEastAsia" w:hAnsiTheme="majorHAnsi" w:cstheme="majorBidi"/>
      <w:color w:val="1F4D78" w:themeColor="accent1" w:themeShade="7F"/>
      <w:sz w:val="24"/>
      <w:szCs w:val="24"/>
      <w:lang w:val="es-ES"/>
    </w:rPr>
  </w:style>
  <w:style w:type="character" w:customStyle="1" w:styleId="selectable-text">
    <w:name w:val="selectable-text"/>
    <w:basedOn w:val="Fuentedeprrafopredeter"/>
    <w:rsid w:val="00AA0F8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C10A7C"/>
    <w:rPr>
      <w:rFonts w:asciiTheme="minorHAnsi" w:eastAsiaTheme="minorHAnsi" w:hAnsiTheme="minorHAnsi" w:cstheme="minorBidi"/>
      <w:kern w:val="2"/>
      <w:sz w:val="22"/>
      <w:vertAlign w:val="superscript"/>
      <w:lang w:val="es-CO"/>
      <w14:ligatures w14:val="standardContextual"/>
    </w:rPr>
  </w:style>
  <w:style w:type="table" w:customStyle="1" w:styleId="PlainTable1">
    <w:name w:val="Plain Table 1"/>
    <w:basedOn w:val="Tablanormal"/>
    <w:uiPriority w:val="99"/>
    <w:rsid w:val="00C10A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8F14EC"/>
    <w:rPr>
      <w:color w:val="605E5C"/>
      <w:shd w:val="clear" w:color="auto" w:fill="E1DFDD"/>
    </w:rPr>
  </w:style>
  <w:style w:type="paragraph" w:styleId="Revisin">
    <w:name w:val="Revision"/>
    <w:hidden/>
    <w:uiPriority w:val="99"/>
    <w:semiHidden/>
    <w:rsid w:val="00B861A5"/>
    <w:rPr>
      <w:rFonts w:ascii="Times New Roman" w:eastAsia="Times New Roman" w:hAnsi="Times New Roman" w:cs="Times New Roman"/>
      <w:sz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C9"/>
    <w:pPr>
      <w:jc w:val="both"/>
    </w:pPr>
    <w:rPr>
      <w:rFonts w:ascii="Times New Roman" w:eastAsia="Times New Roman" w:hAnsi="Times New Roman" w:cs="Times New Roman"/>
      <w:sz w:val="28"/>
      <w:lang w:val="es-ES"/>
    </w:rPr>
  </w:style>
  <w:style w:type="paragraph" w:styleId="Ttulo1">
    <w:name w:val="heading 1"/>
    <w:aliases w:val="Párrafo"/>
    <w:basedOn w:val="Normal"/>
    <w:next w:val="Normal"/>
    <w:link w:val="Ttulo1Car"/>
    <w:qFormat/>
    <w:rsid w:val="00635DC9"/>
    <w:pPr>
      <w:numPr>
        <w:numId w:val="3"/>
      </w:numPr>
      <w:ind w:left="0" w:firstLine="0"/>
      <w:outlineLvl w:val="0"/>
    </w:pPr>
  </w:style>
  <w:style w:type="paragraph" w:styleId="Ttulo3">
    <w:name w:val="heading 3"/>
    <w:basedOn w:val="Normal"/>
    <w:next w:val="Normal"/>
    <w:link w:val="Ttulo3Car"/>
    <w:uiPriority w:val="9"/>
    <w:semiHidden/>
    <w:unhideWhenUsed/>
    <w:qFormat/>
    <w:rsid w:val="00D461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E20DBD"/>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E20DBD"/>
    <w:rPr>
      <w:rFonts w:ascii="Times New Roman" w:hAnsi="Times New Roman"/>
      <w:sz w:val="20"/>
      <w:szCs w:val="20"/>
    </w:r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Piedepagina"/>
    <w:uiPriority w:val="99"/>
    <w:unhideWhenUsed/>
    <w:qFormat/>
    <w:rsid w:val="00E20DBD"/>
    <w:rPr>
      <w:vertAlign w:val="superscript"/>
    </w:rPr>
  </w:style>
  <w:style w:type="paragraph" w:styleId="Encabezado">
    <w:name w:val="header"/>
    <w:basedOn w:val="Normal"/>
    <w:link w:val="EncabezadoCar"/>
    <w:uiPriority w:val="99"/>
    <w:unhideWhenUsed/>
    <w:rsid w:val="00635DC9"/>
    <w:pPr>
      <w:tabs>
        <w:tab w:val="center" w:pos="4419"/>
        <w:tab w:val="right" w:pos="8838"/>
      </w:tabs>
    </w:pPr>
  </w:style>
  <w:style w:type="character" w:customStyle="1" w:styleId="EncabezadoCar">
    <w:name w:val="Encabezado Car"/>
    <w:basedOn w:val="Fuentedeprrafopredeter"/>
    <w:link w:val="Encabezado"/>
    <w:uiPriority w:val="99"/>
    <w:rsid w:val="00635DC9"/>
    <w:rPr>
      <w:rFonts w:ascii="Times New Roman" w:hAnsi="Times New Roman"/>
      <w:sz w:val="28"/>
    </w:rPr>
  </w:style>
  <w:style w:type="paragraph" w:styleId="Piedepgina">
    <w:name w:val="footer"/>
    <w:basedOn w:val="Normal"/>
    <w:link w:val="PiedepginaCar"/>
    <w:uiPriority w:val="99"/>
    <w:unhideWhenUsed/>
    <w:rsid w:val="00635DC9"/>
    <w:pPr>
      <w:tabs>
        <w:tab w:val="center" w:pos="4419"/>
        <w:tab w:val="right" w:pos="8838"/>
      </w:tabs>
    </w:pPr>
  </w:style>
  <w:style w:type="character" w:customStyle="1" w:styleId="PiedepginaCar">
    <w:name w:val="Pie de página Car"/>
    <w:basedOn w:val="Fuentedeprrafopredeter"/>
    <w:link w:val="Piedepgina"/>
    <w:uiPriority w:val="99"/>
    <w:rsid w:val="00635DC9"/>
    <w:rPr>
      <w:rFonts w:ascii="Times New Roman" w:hAnsi="Times New Roman"/>
      <w:sz w:val="28"/>
    </w:rPr>
  </w:style>
  <w:style w:type="paragraph" w:styleId="Sinespaciado">
    <w:name w:val="No Spacing"/>
    <w:aliases w:val="Sección 1"/>
    <w:basedOn w:val="Prrafodelista"/>
    <w:uiPriority w:val="1"/>
    <w:qFormat/>
    <w:rsid w:val="00635DC9"/>
    <w:pPr>
      <w:numPr>
        <w:numId w:val="2"/>
      </w:numPr>
    </w:pPr>
    <w:rPr>
      <w:b/>
      <w:bCs/>
    </w:rPr>
  </w:style>
  <w:style w:type="paragraph" w:styleId="Prrafodelista">
    <w:name w:val="List Paragraph"/>
    <w:aliases w:val="Colorful List - Accent 11,Ha,List Paragraph1,lp1,List Paragraph2,Normal1,Footnote,titulo 3,Párrafo de lista1,Bolita,Bullets,List Paragraph_0,List Paragraph_1,parrafo,Párrafo de lista Numerado,Segundo nivel de viñetas,List Paragraph 1,HO"/>
    <w:basedOn w:val="Normal"/>
    <w:link w:val="PrrafodelistaCar"/>
    <w:uiPriority w:val="34"/>
    <w:qFormat/>
    <w:rsid w:val="00635DC9"/>
    <w:pPr>
      <w:ind w:left="720"/>
      <w:contextualSpacing/>
    </w:pPr>
  </w:style>
  <w:style w:type="character" w:customStyle="1" w:styleId="Ttulo1Car">
    <w:name w:val="Título 1 Car"/>
    <w:aliases w:val="Párrafo Car"/>
    <w:basedOn w:val="Fuentedeprrafopredeter"/>
    <w:link w:val="Ttulo1"/>
    <w:uiPriority w:val="9"/>
    <w:rsid w:val="006C581E"/>
    <w:rPr>
      <w:rFonts w:ascii="Times New Roman" w:eastAsia="Times New Roman" w:hAnsi="Times New Roman" w:cs="Times New Roman"/>
      <w:sz w:val="28"/>
      <w:lang w:val="es-ES"/>
    </w:rPr>
  </w:style>
  <w:style w:type="character" w:customStyle="1" w:styleId="PrrafodelistaCar">
    <w:name w:val="Párrafo de lista Car"/>
    <w:aliases w:val="Colorful List - Accent 11 Car,Ha Car,List Paragraph1 Car,lp1 Car,List Paragraph2 Car,Normal1 Car,Footnote Car,titulo 3 Car,Párrafo de lista1 Car,Bolita Car,Bullets Car,List Paragraph_0 Car,List Paragraph_1 Car,parrafo Car,HO Car"/>
    <w:link w:val="Prrafodelista"/>
    <w:uiPriority w:val="34"/>
    <w:locked/>
    <w:rsid w:val="00003A0A"/>
    <w:rPr>
      <w:rFonts w:ascii="Times New Roman" w:eastAsia="Times New Roman" w:hAnsi="Times New Roman" w:cs="Times New Roman"/>
      <w:sz w:val="28"/>
      <w:lang w:val="es-ES"/>
    </w:rPr>
  </w:style>
  <w:style w:type="paragraph" w:customStyle="1" w:styleId="Subseccin">
    <w:name w:val="Subsección"/>
    <w:basedOn w:val="Prrafodelista"/>
    <w:link w:val="SubseccinChar"/>
    <w:qFormat/>
    <w:rsid w:val="00003A0A"/>
    <w:pPr>
      <w:widowControl w:val="0"/>
      <w:numPr>
        <w:numId w:val="7"/>
      </w:numPr>
      <w:autoSpaceDE w:val="0"/>
      <w:autoSpaceDN w:val="0"/>
      <w:adjustRightInd w:val="0"/>
      <w:spacing w:after="160" w:line="259" w:lineRule="auto"/>
      <w:ind w:left="720" w:right="20"/>
    </w:pPr>
    <w:rPr>
      <w:b/>
      <w:szCs w:val="28"/>
      <w:lang w:eastAsia="es-ES"/>
    </w:rPr>
  </w:style>
  <w:style w:type="character" w:customStyle="1" w:styleId="SubseccinChar">
    <w:name w:val="Subsección Char"/>
    <w:basedOn w:val="PrrafodelistaCar"/>
    <w:link w:val="Subseccin"/>
    <w:rsid w:val="00003A0A"/>
    <w:rPr>
      <w:rFonts w:ascii="Times New Roman" w:eastAsia="Times New Roman" w:hAnsi="Times New Roman" w:cs="Times New Roman"/>
      <w:b/>
      <w:sz w:val="28"/>
      <w:szCs w:val="28"/>
      <w:lang w:val="es-ES" w:eastAsia="es-ES"/>
    </w:rPr>
  </w:style>
  <w:style w:type="character" w:customStyle="1" w:styleId="PrrafoChar">
    <w:name w:val="Párrafo Char"/>
    <w:basedOn w:val="PrrafodelistaCar"/>
    <w:rsid w:val="00003A0A"/>
    <w:rPr>
      <w:rFonts w:ascii="Times New Roman" w:eastAsia="Times New Roman" w:hAnsi="Times New Roman" w:cs="Times New Roman"/>
      <w:sz w:val="28"/>
      <w:szCs w:val="28"/>
      <w:lang w:val="es-ES" w:eastAsia="es-ES"/>
    </w:rPr>
  </w:style>
  <w:style w:type="paragraph" w:customStyle="1" w:styleId="Piedepagina">
    <w:name w:val="Pie de pagina"/>
    <w:basedOn w:val="Normal"/>
    <w:link w:val="Refdenotaalpie"/>
    <w:uiPriority w:val="99"/>
    <w:rsid w:val="008743D6"/>
    <w:pPr>
      <w:spacing w:line="240" w:lineRule="exact"/>
      <w:jc w:val="left"/>
    </w:pPr>
    <w:rPr>
      <w:rFonts w:asciiTheme="minorHAnsi" w:eastAsiaTheme="minorHAnsi" w:hAnsiTheme="minorHAnsi" w:cstheme="minorBidi"/>
      <w:sz w:val="22"/>
      <w:vertAlign w:val="superscript"/>
      <w:lang w:val="en-US"/>
    </w:rPr>
  </w:style>
  <w:style w:type="character" w:customStyle="1" w:styleId="FontStyle30">
    <w:name w:val="Font Style30"/>
    <w:uiPriority w:val="99"/>
    <w:rsid w:val="008B3973"/>
    <w:rPr>
      <w:rFonts w:ascii="Times New Roman" w:hAnsi="Times New Roman"/>
      <w:sz w:val="26"/>
    </w:rPr>
  </w:style>
  <w:style w:type="character" w:customStyle="1" w:styleId="FontStyle29">
    <w:name w:val="Font Style29"/>
    <w:uiPriority w:val="99"/>
    <w:rsid w:val="00234D60"/>
    <w:rPr>
      <w:rFonts w:ascii="Times New Roman" w:hAnsi="Times New Roman"/>
      <w:b/>
      <w:sz w:val="26"/>
    </w:rPr>
  </w:style>
  <w:style w:type="table" w:styleId="Tablaconcuadrcula">
    <w:name w:val="Table Grid"/>
    <w:basedOn w:val="Tablanormal"/>
    <w:uiPriority w:val="39"/>
    <w:rsid w:val="004C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E1CF7"/>
    <w:rPr>
      <w:color w:val="0563C1" w:themeColor="hyperlink"/>
      <w:u w:val="single"/>
    </w:rPr>
  </w:style>
  <w:style w:type="character" w:customStyle="1" w:styleId="Mencinsinresolver1">
    <w:name w:val="Mención sin resolver1"/>
    <w:basedOn w:val="Fuentedeprrafopredeter"/>
    <w:uiPriority w:val="99"/>
    <w:semiHidden/>
    <w:unhideWhenUsed/>
    <w:rsid w:val="00DE1CF7"/>
    <w:rPr>
      <w:color w:val="605E5C"/>
      <w:shd w:val="clear" w:color="auto" w:fill="E1DFDD"/>
    </w:rPr>
  </w:style>
  <w:style w:type="paragraph" w:customStyle="1" w:styleId="paragraph">
    <w:name w:val="paragraph"/>
    <w:basedOn w:val="Normal"/>
    <w:rsid w:val="00A47656"/>
    <w:pPr>
      <w:spacing w:before="100" w:beforeAutospacing="1" w:after="100" w:afterAutospacing="1"/>
      <w:jc w:val="left"/>
    </w:pPr>
    <w:rPr>
      <w:sz w:val="24"/>
      <w:szCs w:val="24"/>
    </w:rPr>
  </w:style>
  <w:style w:type="character" w:customStyle="1" w:styleId="normaltextrun">
    <w:name w:val="normaltextrun"/>
    <w:basedOn w:val="Fuentedeprrafopredeter"/>
    <w:rsid w:val="00A47656"/>
  </w:style>
  <w:style w:type="character" w:customStyle="1" w:styleId="eop">
    <w:name w:val="eop"/>
    <w:basedOn w:val="Fuentedeprrafopredeter"/>
    <w:rsid w:val="00A47656"/>
  </w:style>
  <w:style w:type="character" w:styleId="Refdecomentario">
    <w:name w:val="annotation reference"/>
    <w:basedOn w:val="Fuentedeprrafopredeter"/>
    <w:uiPriority w:val="99"/>
    <w:semiHidden/>
    <w:unhideWhenUsed/>
    <w:rsid w:val="008220D6"/>
    <w:rPr>
      <w:sz w:val="16"/>
      <w:szCs w:val="16"/>
    </w:rPr>
  </w:style>
  <w:style w:type="paragraph" w:styleId="Textocomentario">
    <w:name w:val="annotation text"/>
    <w:basedOn w:val="Normal"/>
    <w:link w:val="TextocomentarioCar"/>
    <w:uiPriority w:val="99"/>
    <w:semiHidden/>
    <w:unhideWhenUsed/>
    <w:rsid w:val="008220D6"/>
    <w:rPr>
      <w:sz w:val="20"/>
      <w:szCs w:val="20"/>
    </w:rPr>
  </w:style>
  <w:style w:type="character" w:customStyle="1" w:styleId="TextocomentarioCar">
    <w:name w:val="Texto comentario Car"/>
    <w:basedOn w:val="Fuentedeprrafopredeter"/>
    <w:link w:val="Textocomentario"/>
    <w:uiPriority w:val="99"/>
    <w:semiHidden/>
    <w:rsid w:val="008220D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20D6"/>
    <w:rPr>
      <w:b/>
      <w:bCs/>
    </w:rPr>
  </w:style>
  <w:style w:type="character" w:customStyle="1" w:styleId="AsuntodelcomentarioCar">
    <w:name w:val="Asunto del comentario Car"/>
    <w:basedOn w:val="TextocomentarioCar"/>
    <w:link w:val="Asuntodelcomentario"/>
    <w:uiPriority w:val="99"/>
    <w:semiHidden/>
    <w:rsid w:val="008220D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822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0D6"/>
    <w:rPr>
      <w:rFonts w:ascii="Segoe UI" w:eastAsia="Times New Roman" w:hAnsi="Segoe UI" w:cs="Segoe UI"/>
      <w:sz w:val="18"/>
      <w:szCs w:val="18"/>
      <w:lang w:val="es-ES"/>
    </w:rPr>
  </w:style>
  <w:style w:type="character" w:customStyle="1" w:styleId="Ttulo3Car">
    <w:name w:val="Título 3 Car"/>
    <w:basedOn w:val="Fuentedeprrafopredeter"/>
    <w:link w:val="Ttulo3"/>
    <w:uiPriority w:val="9"/>
    <w:semiHidden/>
    <w:rsid w:val="00D4614B"/>
    <w:rPr>
      <w:rFonts w:asciiTheme="majorHAnsi" w:eastAsiaTheme="majorEastAsia" w:hAnsiTheme="majorHAnsi" w:cstheme="majorBidi"/>
      <w:color w:val="1F4D78" w:themeColor="accent1" w:themeShade="7F"/>
      <w:sz w:val="24"/>
      <w:szCs w:val="24"/>
      <w:lang w:val="es-ES"/>
    </w:rPr>
  </w:style>
  <w:style w:type="character" w:customStyle="1" w:styleId="selectable-text">
    <w:name w:val="selectable-text"/>
    <w:basedOn w:val="Fuentedeprrafopredeter"/>
    <w:rsid w:val="00AA0F8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C10A7C"/>
    <w:rPr>
      <w:rFonts w:asciiTheme="minorHAnsi" w:eastAsiaTheme="minorHAnsi" w:hAnsiTheme="minorHAnsi" w:cstheme="minorBidi"/>
      <w:kern w:val="2"/>
      <w:sz w:val="22"/>
      <w:vertAlign w:val="superscript"/>
      <w:lang w:val="es-CO"/>
      <w14:ligatures w14:val="standardContextual"/>
    </w:rPr>
  </w:style>
  <w:style w:type="table" w:customStyle="1" w:styleId="PlainTable1">
    <w:name w:val="Plain Table 1"/>
    <w:basedOn w:val="Tablanormal"/>
    <w:uiPriority w:val="99"/>
    <w:rsid w:val="00C10A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8F14EC"/>
    <w:rPr>
      <w:color w:val="605E5C"/>
      <w:shd w:val="clear" w:color="auto" w:fill="E1DFDD"/>
    </w:rPr>
  </w:style>
  <w:style w:type="paragraph" w:styleId="Revisin">
    <w:name w:val="Revision"/>
    <w:hidden/>
    <w:uiPriority w:val="99"/>
    <w:semiHidden/>
    <w:rsid w:val="00B861A5"/>
    <w:rPr>
      <w:rFonts w:ascii="Times New Roman" w:eastAsia="Times New Roman" w:hAnsi="Times New Roman" w:cs="Times New Roman"/>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9510">
      <w:bodyDiv w:val="1"/>
      <w:marLeft w:val="0"/>
      <w:marRight w:val="0"/>
      <w:marTop w:val="0"/>
      <w:marBottom w:val="0"/>
      <w:divBdr>
        <w:top w:val="none" w:sz="0" w:space="0" w:color="auto"/>
        <w:left w:val="none" w:sz="0" w:space="0" w:color="auto"/>
        <w:bottom w:val="none" w:sz="0" w:space="0" w:color="auto"/>
        <w:right w:val="none" w:sz="0" w:space="0" w:color="auto"/>
      </w:divBdr>
    </w:div>
    <w:div w:id="146479573">
      <w:bodyDiv w:val="1"/>
      <w:marLeft w:val="0"/>
      <w:marRight w:val="0"/>
      <w:marTop w:val="0"/>
      <w:marBottom w:val="0"/>
      <w:divBdr>
        <w:top w:val="none" w:sz="0" w:space="0" w:color="auto"/>
        <w:left w:val="none" w:sz="0" w:space="0" w:color="auto"/>
        <w:bottom w:val="none" w:sz="0" w:space="0" w:color="auto"/>
        <w:right w:val="none" w:sz="0" w:space="0" w:color="auto"/>
      </w:divBdr>
    </w:div>
    <w:div w:id="167915977">
      <w:bodyDiv w:val="1"/>
      <w:marLeft w:val="0"/>
      <w:marRight w:val="0"/>
      <w:marTop w:val="0"/>
      <w:marBottom w:val="0"/>
      <w:divBdr>
        <w:top w:val="none" w:sz="0" w:space="0" w:color="auto"/>
        <w:left w:val="none" w:sz="0" w:space="0" w:color="auto"/>
        <w:bottom w:val="none" w:sz="0" w:space="0" w:color="auto"/>
        <w:right w:val="none" w:sz="0" w:space="0" w:color="auto"/>
      </w:divBdr>
    </w:div>
    <w:div w:id="373507080">
      <w:bodyDiv w:val="1"/>
      <w:marLeft w:val="0"/>
      <w:marRight w:val="0"/>
      <w:marTop w:val="0"/>
      <w:marBottom w:val="0"/>
      <w:divBdr>
        <w:top w:val="none" w:sz="0" w:space="0" w:color="auto"/>
        <w:left w:val="none" w:sz="0" w:space="0" w:color="auto"/>
        <w:bottom w:val="none" w:sz="0" w:space="0" w:color="auto"/>
        <w:right w:val="none" w:sz="0" w:space="0" w:color="auto"/>
      </w:divBdr>
    </w:div>
    <w:div w:id="514273784">
      <w:bodyDiv w:val="1"/>
      <w:marLeft w:val="0"/>
      <w:marRight w:val="0"/>
      <w:marTop w:val="0"/>
      <w:marBottom w:val="0"/>
      <w:divBdr>
        <w:top w:val="none" w:sz="0" w:space="0" w:color="auto"/>
        <w:left w:val="none" w:sz="0" w:space="0" w:color="auto"/>
        <w:bottom w:val="none" w:sz="0" w:space="0" w:color="auto"/>
        <w:right w:val="none" w:sz="0" w:space="0" w:color="auto"/>
      </w:divBdr>
    </w:div>
    <w:div w:id="661280421">
      <w:bodyDiv w:val="1"/>
      <w:marLeft w:val="0"/>
      <w:marRight w:val="0"/>
      <w:marTop w:val="0"/>
      <w:marBottom w:val="0"/>
      <w:divBdr>
        <w:top w:val="none" w:sz="0" w:space="0" w:color="auto"/>
        <w:left w:val="none" w:sz="0" w:space="0" w:color="auto"/>
        <w:bottom w:val="none" w:sz="0" w:space="0" w:color="auto"/>
        <w:right w:val="none" w:sz="0" w:space="0" w:color="auto"/>
      </w:divBdr>
    </w:div>
    <w:div w:id="753867619">
      <w:bodyDiv w:val="1"/>
      <w:marLeft w:val="0"/>
      <w:marRight w:val="0"/>
      <w:marTop w:val="0"/>
      <w:marBottom w:val="0"/>
      <w:divBdr>
        <w:top w:val="none" w:sz="0" w:space="0" w:color="auto"/>
        <w:left w:val="none" w:sz="0" w:space="0" w:color="auto"/>
        <w:bottom w:val="none" w:sz="0" w:space="0" w:color="auto"/>
        <w:right w:val="none" w:sz="0" w:space="0" w:color="auto"/>
      </w:divBdr>
    </w:div>
    <w:div w:id="816190229">
      <w:bodyDiv w:val="1"/>
      <w:marLeft w:val="0"/>
      <w:marRight w:val="0"/>
      <w:marTop w:val="0"/>
      <w:marBottom w:val="0"/>
      <w:divBdr>
        <w:top w:val="none" w:sz="0" w:space="0" w:color="auto"/>
        <w:left w:val="none" w:sz="0" w:space="0" w:color="auto"/>
        <w:bottom w:val="none" w:sz="0" w:space="0" w:color="auto"/>
        <w:right w:val="none" w:sz="0" w:space="0" w:color="auto"/>
      </w:divBdr>
    </w:div>
    <w:div w:id="899437811">
      <w:bodyDiv w:val="1"/>
      <w:marLeft w:val="0"/>
      <w:marRight w:val="0"/>
      <w:marTop w:val="0"/>
      <w:marBottom w:val="0"/>
      <w:divBdr>
        <w:top w:val="none" w:sz="0" w:space="0" w:color="auto"/>
        <w:left w:val="none" w:sz="0" w:space="0" w:color="auto"/>
        <w:bottom w:val="none" w:sz="0" w:space="0" w:color="auto"/>
        <w:right w:val="none" w:sz="0" w:space="0" w:color="auto"/>
      </w:divBdr>
    </w:div>
    <w:div w:id="917986263">
      <w:bodyDiv w:val="1"/>
      <w:marLeft w:val="0"/>
      <w:marRight w:val="0"/>
      <w:marTop w:val="0"/>
      <w:marBottom w:val="0"/>
      <w:divBdr>
        <w:top w:val="none" w:sz="0" w:space="0" w:color="auto"/>
        <w:left w:val="none" w:sz="0" w:space="0" w:color="auto"/>
        <w:bottom w:val="none" w:sz="0" w:space="0" w:color="auto"/>
        <w:right w:val="none" w:sz="0" w:space="0" w:color="auto"/>
      </w:divBdr>
    </w:div>
    <w:div w:id="1035229606">
      <w:bodyDiv w:val="1"/>
      <w:marLeft w:val="0"/>
      <w:marRight w:val="0"/>
      <w:marTop w:val="0"/>
      <w:marBottom w:val="0"/>
      <w:divBdr>
        <w:top w:val="none" w:sz="0" w:space="0" w:color="auto"/>
        <w:left w:val="none" w:sz="0" w:space="0" w:color="auto"/>
        <w:bottom w:val="none" w:sz="0" w:space="0" w:color="auto"/>
        <w:right w:val="none" w:sz="0" w:space="0" w:color="auto"/>
      </w:divBdr>
    </w:div>
    <w:div w:id="1099329481">
      <w:bodyDiv w:val="1"/>
      <w:marLeft w:val="0"/>
      <w:marRight w:val="0"/>
      <w:marTop w:val="0"/>
      <w:marBottom w:val="0"/>
      <w:divBdr>
        <w:top w:val="none" w:sz="0" w:space="0" w:color="auto"/>
        <w:left w:val="none" w:sz="0" w:space="0" w:color="auto"/>
        <w:bottom w:val="none" w:sz="0" w:space="0" w:color="auto"/>
        <w:right w:val="none" w:sz="0" w:space="0" w:color="auto"/>
      </w:divBdr>
    </w:div>
    <w:div w:id="1137336812">
      <w:bodyDiv w:val="1"/>
      <w:marLeft w:val="0"/>
      <w:marRight w:val="0"/>
      <w:marTop w:val="0"/>
      <w:marBottom w:val="0"/>
      <w:divBdr>
        <w:top w:val="none" w:sz="0" w:space="0" w:color="auto"/>
        <w:left w:val="none" w:sz="0" w:space="0" w:color="auto"/>
        <w:bottom w:val="none" w:sz="0" w:space="0" w:color="auto"/>
        <w:right w:val="none" w:sz="0" w:space="0" w:color="auto"/>
      </w:divBdr>
    </w:div>
    <w:div w:id="1140683229">
      <w:bodyDiv w:val="1"/>
      <w:marLeft w:val="0"/>
      <w:marRight w:val="0"/>
      <w:marTop w:val="0"/>
      <w:marBottom w:val="0"/>
      <w:divBdr>
        <w:top w:val="none" w:sz="0" w:space="0" w:color="auto"/>
        <w:left w:val="none" w:sz="0" w:space="0" w:color="auto"/>
        <w:bottom w:val="none" w:sz="0" w:space="0" w:color="auto"/>
        <w:right w:val="none" w:sz="0" w:space="0" w:color="auto"/>
      </w:divBdr>
    </w:div>
    <w:div w:id="1192181108">
      <w:bodyDiv w:val="1"/>
      <w:marLeft w:val="0"/>
      <w:marRight w:val="0"/>
      <w:marTop w:val="0"/>
      <w:marBottom w:val="0"/>
      <w:divBdr>
        <w:top w:val="none" w:sz="0" w:space="0" w:color="auto"/>
        <w:left w:val="none" w:sz="0" w:space="0" w:color="auto"/>
        <w:bottom w:val="none" w:sz="0" w:space="0" w:color="auto"/>
        <w:right w:val="none" w:sz="0" w:space="0" w:color="auto"/>
      </w:divBdr>
    </w:div>
    <w:div w:id="1282882794">
      <w:bodyDiv w:val="1"/>
      <w:marLeft w:val="0"/>
      <w:marRight w:val="0"/>
      <w:marTop w:val="0"/>
      <w:marBottom w:val="0"/>
      <w:divBdr>
        <w:top w:val="none" w:sz="0" w:space="0" w:color="auto"/>
        <w:left w:val="none" w:sz="0" w:space="0" w:color="auto"/>
        <w:bottom w:val="none" w:sz="0" w:space="0" w:color="auto"/>
        <w:right w:val="none" w:sz="0" w:space="0" w:color="auto"/>
      </w:divBdr>
    </w:div>
    <w:div w:id="1342202325">
      <w:bodyDiv w:val="1"/>
      <w:marLeft w:val="0"/>
      <w:marRight w:val="0"/>
      <w:marTop w:val="0"/>
      <w:marBottom w:val="0"/>
      <w:divBdr>
        <w:top w:val="none" w:sz="0" w:space="0" w:color="auto"/>
        <w:left w:val="none" w:sz="0" w:space="0" w:color="auto"/>
        <w:bottom w:val="none" w:sz="0" w:space="0" w:color="auto"/>
        <w:right w:val="none" w:sz="0" w:space="0" w:color="auto"/>
      </w:divBdr>
    </w:div>
    <w:div w:id="1472865484">
      <w:bodyDiv w:val="1"/>
      <w:marLeft w:val="0"/>
      <w:marRight w:val="0"/>
      <w:marTop w:val="0"/>
      <w:marBottom w:val="0"/>
      <w:divBdr>
        <w:top w:val="none" w:sz="0" w:space="0" w:color="auto"/>
        <w:left w:val="none" w:sz="0" w:space="0" w:color="auto"/>
        <w:bottom w:val="none" w:sz="0" w:space="0" w:color="auto"/>
        <w:right w:val="none" w:sz="0" w:space="0" w:color="auto"/>
      </w:divBdr>
    </w:div>
    <w:div w:id="1496216366">
      <w:bodyDiv w:val="1"/>
      <w:marLeft w:val="0"/>
      <w:marRight w:val="0"/>
      <w:marTop w:val="0"/>
      <w:marBottom w:val="0"/>
      <w:divBdr>
        <w:top w:val="none" w:sz="0" w:space="0" w:color="auto"/>
        <w:left w:val="none" w:sz="0" w:space="0" w:color="auto"/>
        <w:bottom w:val="none" w:sz="0" w:space="0" w:color="auto"/>
        <w:right w:val="none" w:sz="0" w:space="0" w:color="auto"/>
      </w:divBdr>
    </w:div>
    <w:div w:id="1524124699">
      <w:bodyDiv w:val="1"/>
      <w:marLeft w:val="0"/>
      <w:marRight w:val="0"/>
      <w:marTop w:val="0"/>
      <w:marBottom w:val="0"/>
      <w:divBdr>
        <w:top w:val="none" w:sz="0" w:space="0" w:color="auto"/>
        <w:left w:val="none" w:sz="0" w:space="0" w:color="auto"/>
        <w:bottom w:val="none" w:sz="0" w:space="0" w:color="auto"/>
        <w:right w:val="none" w:sz="0" w:space="0" w:color="auto"/>
      </w:divBdr>
    </w:div>
    <w:div w:id="1658416889">
      <w:bodyDiv w:val="1"/>
      <w:marLeft w:val="0"/>
      <w:marRight w:val="0"/>
      <w:marTop w:val="0"/>
      <w:marBottom w:val="0"/>
      <w:divBdr>
        <w:top w:val="none" w:sz="0" w:space="0" w:color="auto"/>
        <w:left w:val="none" w:sz="0" w:space="0" w:color="auto"/>
        <w:bottom w:val="none" w:sz="0" w:space="0" w:color="auto"/>
        <w:right w:val="none" w:sz="0" w:space="0" w:color="auto"/>
      </w:divBdr>
    </w:div>
    <w:div w:id="1741052491">
      <w:bodyDiv w:val="1"/>
      <w:marLeft w:val="0"/>
      <w:marRight w:val="0"/>
      <w:marTop w:val="0"/>
      <w:marBottom w:val="0"/>
      <w:divBdr>
        <w:top w:val="none" w:sz="0" w:space="0" w:color="auto"/>
        <w:left w:val="none" w:sz="0" w:space="0" w:color="auto"/>
        <w:bottom w:val="none" w:sz="0" w:space="0" w:color="auto"/>
        <w:right w:val="none" w:sz="0" w:space="0" w:color="auto"/>
      </w:divBdr>
    </w:div>
    <w:div w:id="1747410370">
      <w:bodyDiv w:val="1"/>
      <w:marLeft w:val="0"/>
      <w:marRight w:val="0"/>
      <w:marTop w:val="0"/>
      <w:marBottom w:val="0"/>
      <w:divBdr>
        <w:top w:val="none" w:sz="0" w:space="0" w:color="auto"/>
        <w:left w:val="none" w:sz="0" w:space="0" w:color="auto"/>
        <w:bottom w:val="none" w:sz="0" w:space="0" w:color="auto"/>
        <w:right w:val="none" w:sz="0" w:space="0" w:color="auto"/>
      </w:divBdr>
    </w:div>
    <w:div w:id="1801410404">
      <w:bodyDiv w:val="1"/>
      <w:marLeft w:val="0"/>
      <w:marRight w:val="0"/>
      <w:marTop w:val="0"/>
      <w:marBottom w:val="0"/>
      <w:divBdr>
        <w:top w:val="none" w:sz="0" w:space="0" w:color="auto"/>
        <w:left w:val="none" w:sz="0" w:space="0" w:color="auto"/>
        <w:bottom w:val="none" w:sz="0" w:space="0" w:color="auto"/>
        <w:right w:val="none" w:sz="0" w:space="0" w:color="auto"/>
      </w:divBdr>
    </w:div>
    <w:div w:id="1930238063">
      <w:bodyDiv w:val="1"/>
      <w:marLeft w:val="0"/>
      <w:marRight w:val="0"/>
      <w:marTop w:val="0"/>
      <w:marBottom w:val="0"/>
      <w:divBdr>
        <w:top w:val="none" w:sz="0" w:space="0" w:color="auto"/>
        <w:left w:val="none" w:sz="0" w:space="0" w:color="auto"/>
        <w:bottom w:val="none" w:sz="0" w:space="0" w:color="auto"/>
        <w:right w:val="none" w:sz="0" w:space="0" w:color="auto"/>
      </w:divBdr>
      <w:divsChild>
        <w:div w:id="1607226211">
          <w:marLeft w:val="0"/>
          <w:marRight w:val="0"/>
          <w:marTop w:val="0"/>
          <w:marBottom w:val="0"/>
          <w:divBdr>
            <w:top w:val="none" w:sz="0" w:space="0" w:color="auto"/>
            <w:left w:val="none" w:sz="0" w:space="0" w:color="auto"/>
            <w:bottom w:val="none" w:sz="0" w:space="0" w:color="auto"/>
            <w:right w:val="none" w:sz="0" w:space="0" w:color="auto"/>
          </w:divBdr>
        </w:div>
        <w:div w:id="515340413">
          <w:marLeft w:val="0"/>
          <w:marRight w:val="0"/>
          <w:marTop w:val="0"/>
          <w:marBottom w:val="0"/>
          <w:divBdr>
            <w:top w:val="none" w:sz="0" w:space="0" w:color="auto"/>
            <w:left w:val="none" w:sz="0" w:space="0" w:color="auto"/>
            <w:bottom w:val="none" w:sz="0" w:space="0" w:color="auto"/>
            <w:right w:val="none" w:sz="0" w:space="0" w:color="auto"/>
          </w:divBdr>
        </w:div>
        <w:div w:id="132335944">
          <w:marLeft w:val="0"/>
          <w:marRight w:val="0"/>
          <w:marTop w:val="0"/>
          <w:marBottom w:val="0"/>
          <w:divBdr>
            <w:top w:val="none" w:sz="0" w:space="0" w:color="auto"/>
            <w:left w:val="none" w:sz="0" w:space="0" w:color="auto"/>
            <w:bottom w:val="none" w:sz="0" w:space="0" w:color="auto"/>
            <w:right w:val="none" w:sz="0" w:space="0" w:color="auto"/>
          </w:divBdr>
        </w:div>
        <w:div w:id="1846281167">
          <w:marLeft w:val="0"/>
          <w:marRight w:val="0"/>
          <w:marTop w:val="0"/>
          <w:marBottom w:val="0"/>
          <w:divBdr>
            <w:top w:val="none" w:sz="0" w:space="0" w:color="auto"/>
            <w:left w:val="none" w:sz="0" w:space="0" w:color="auto"/>
            <w:bottom w:val="none" w:sz="0" w:space="0" w:color="auto"/>
            <w:right w:val="none" w:sz="0" w:space="0" w:color="auto"/>
          </w:divBdr>
        </w:div>
        <w:div w:id="513107461">
          <w:marLeft w:val="0"/>
          <w:marRight w:val="0"/>
          <w:marTop w:val="0"/>
          <w:marBottom w:val="0"/>
          <w:divBdr>
            <w:top w:val="none" w:sz="0" w:space="0" w:color="auto"/>
            <w:left w:val="none" w:sz="0" w:space="0" w:color="auto"/>
            <w:bottom w:val="none" w:sz="0" w:space="0" w:color="auto"/>
            <w:right w:val="none" w:sz="0" w:space="0" w:color="auto"/>
          </w:divBdr>
        </w:div>
      </w:divsChild>
    </w:div>
    <w:div w:id="1991127839">
      <w:bodyDiv w:val="1"/>
      <w:marLeft w:val="0"/>
      <w:marRight w:val="0"/>
      <w:marTop w:val="0"/>
      <w:marBottom w:val="0"/>
      <w:divBdr>
        <w:top w:val="none" w:sz="0" w:space="0" w:color="auto"/>
        <w:left w:val="none" w:sz="0" w:space="0" w:color="auto"/>
        <w:bottom w:val="none" w:sz="0" w:space="0" w:color="auto"/>
        <w:right w:val="none" w:sz="0" w:space="0" w:color="auto"/>
      </w:divBdr>
    </w:div>
    <w:div w:id="1994405234">
      <w:bodyDiv w:val="1"/>
      <w:marLeft w:val="0"/>
      <w:marRight w:val="0"/>
      <w:marTop w:val="0"/>
      <w:marBottom w:val="0"/>
      <w:divBdr>
        <w:top w:val="none" w:sz="0" w:space="0" w:color="auto"/>
        <w:left w:val="none" w:sz="0" w:space="0" w:color="auto"/>
        <w:bottom w:val="none" w:sz="0" w:space="0" w:color="auto"/>
        <w:right w:val="none" w:sz="0" w:space="0" w:color="auto"/>
      </w:divBdr>
    </w:div>
    <w:div w:id="20331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ocuments\Plantillas%20personalizadas%20de%20Office\Documento%20Cor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5" ma:contentTypeDescription="Crear nuevo documento." ma:contentTypeScope="" ma:versionID="2a8f6213dd792d1cdfa9c968919802ae">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af9220c0eb478808b01f7649a4e58110"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971A-D8B6-42A3-A85A-F777B296CF18}">
  <ds:schemaRefs>
    <ds:schemaRef ds:uri="http://schemas.microsoft.com/sharepoint/v3/contenttype/forms"/>
  </ds:schemaRefs>
</ds:datastoreItem>
</file>

<file path=customXml/itemProps2.xml><?xml version="1.0" encoding="utf-8"?>
<ds:datastoreItem xmlns:ds="http://schemas.openxmlformats.org/officeDocument/2006/customXml" ds:itemID="{70680962-E2BB-4442-BBE6-E790586C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7A1DE-7360-458F-8C15-C1D298402AC3}">
  <ds:schemaRefs>
    <ds:schemaRef ds:uri="http://schemas.microsoft.com/office/2006/metadata/properties"/>
    <ds:schemaRef ds:uri="http://schemas.microsoft.com/office/infopath/2007/PartnerControls"/>
    <ds:schemaRef ds:uri="b8e7f5e2-1577-48cc-9e73-1d3af1e84ab2"/>
  </ds:schemaRefs>
</ds:datastoreItem>
</file>

<file path=customXml/itemProps4.xml><?xml version="1.0" encoding="utf-8"?>
<ds:datastoreItem xmlns:ds="http://schemas.openxmlformats.org/officeDocument/2006/customXml" ds:itemID="{E1DE2663-FF2E-42F4-AD9A-685DF7F2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Corte</Template>
  <TotalTime>0</TotalTime>
  <Pages>44</Pages>
  <Words>14329</Words>
  <Characters>78811</Characters>
  <Application>Microsoft Office Word</Application>
  <DocSecurity>0</DocSecurity>
  <Lines>656</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92955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personal</cp:lastModifiedBy>
  <cp:revision>2</cp:revision>
  <dcterms:created xsi:type="dcterms:W3CDTF">2024-09-07T16:17:00Z</dcterms:created>
  <dcterms:modified xsi:type="dcterms:W3CDTF">2024-09-07T16:17:00Z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4861fa80-5530-3486-9173-fc226315628c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ContentTypeId">
    <vt:lpwstr>0x010100FB64DE64C048294D9113BEBF151104D5</vt:lpwstr>
  </property>
</Properties>
</file>