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60C4C44" w14:textId="77777777" w:rsidR="00901EDC" w:rsidRPr="00992A2E" w:rsidRDefault="00901EDC" w:rsidP="00C65F6F">
      <w:pPr>
        <w:pStyle w:val="Estilo1"/>
        <w:jc w:val="center"/>
        <w:rPr>
          <w:b/>
          <w:bCs/>
          <w:sz w:val="28"/>
          <w:szCs w:val="28"/>
        </w:rPr>
      </w:pPr>
      <w:r w:rsidRPr="00992A2E">
        <w:rPr>
          <w:b/>
          <w:bCs/>
          <w:sz w:val="28"/>
          <w:szCs w:val="28"/>
        </w:rPr>
        <w:t>REPÚBLICA DE COLOMBIA</w:t>
      </w:r>
    </w:p>
    <w:p w14:paraId="50D6CFAD" w14:textId="3FC47063" w:rsidR="00901EDC" w:rsidRPr="00992A2E" w:rsidRDefault="00C65F6F" w:rsidP="00C65F6F">
      <w:pPr>
        <w:pStyle w:val="Estilo1"/>
        <w:jc w:val="center"/>
        <w:rPr>
          <w:b/>
          <w:bCs/>
          <w:sz w:val="28"/>
          <w:szCs w:val="28"/>
        </w:rPr>
      </w:pPr>
      <w:r>
        <w:rPr>
          <w:b/>
          <w:bCs/>
          <w:noProof/>
          <w:sz w:val="28"/>
          <w:szCs w:val="28"/>
        </w:rPr>
        <w:drawing>
          <wp:inline distT="0" distB="0" distL="0" distR="0" wp14:anchorId="09A5F96C" wp14:editId="24893BB6">
            <wp:extent cx="792480" cy="792480"/>
            <wp:effectExtent l="0" t="0" r="7620" b="7620"/>
            <wp:docPr id="2013738020"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92480" cy="792480"/>
                    </a:xfrm>
                    <a:prstGeom prst="rect">
                      <a:avLst/>
                    </a:prstGeom>
                    <a:noFill/>
                  </pic:spPr>
                </pic:pic>
              </a:graphicData>
            </a:graphic>
          </wp:inline>
        </w:drawing>
      </w:r>
    </w:p>
    <w:p w14:paraId="526210C2" w14:textId="77777777" w:rsidR="00901EDC" w:rsidRPr="00992A2E" w:rsidRDefault="00901EDC" w:rsidP="00C65F6F">
      <w:pPr>
        <w:pStyle w:val="Estilo1"/>
        <w:jc w:val="center"/>
        <w:rPr>
          <w:b/>
          <w:bCs/>
          <w:sz w:val="28"/>
          <w:szCs w:val="28"/>
        </w:rPr>
      </w:pPr>
      <w:r w:rsidRPr="00992A2E">
        <w:rPr>
          <w:b/>
          <w:bCs/>
          <w:sz w:val="28"/>
          <w:szCs w:val="28"/>
        </w:rPr>
        <w:t>CORTE CONSTITUCIONAL</w:t>
      </w:r>
    </w:p>
    <w:p w14:paraId="1729B354" w14:textId="77777777" w:rsidR="00901EDC" w:rsidRPr="00992A2E" w:rsidRDefault="00901EDC" w:rsidP="00C65F6F">
      <w:pPr>
        <w:pStyle w:val="Estilo1"/>
        <w:jc w:val="left"/>
        <w:rPr>
          <w:sz w:val="28"/>
          <w:szCs w:val="28"/>
        </w:rPr>
      </w:pPr>
    </w:p>
    <w:p w14:paraId="35D1509E" w14:textId="57A030E8" w:rsidR="00901EDC" w:rsidRPr="00992A2E" w:rsidRDefault="00901EDC" w:rsidP="001E3603">
      <w:pPr>
        <w:pStyle w:val="Estilo1"/>
        <w:jc w:val="center"/>
        <w:rPr>
          <w:b/>
          <w:bCs/>
          <w:sz w:val="28"/>
          <w:szCs w:val="28"/>
        </w:rPr>
      </w:pPr>
      <w:r w:rsidRPr="00992A2E">
        <w:rPr>
          <w:b/>
          <w:bCs/>
          <w:sz w:val="28"/>
          <w:szCs w:val="28"/>
        </w:rPr>
        <w:t>SENTENCIA C-</w:t>
      </w:r>
      <w:r w:rsidR="000E1CF3" w:rsidRPr="00992A2E">
        <w:rPr>
          <w:b/>
          <w:bCs/>
          <w:sz w:val="28"/>
          <w:szCs w:val="28"/>
        </w:rPr>
        <w:t>337</w:t>
      </w:r>
      <w:r w:rsidRPr="00992A2E">
        <w:rPr>
          <w:b/>
          <w:bCs/>
          <w:sz w:val="28"/>
          <w:szCs w:val="28"/>
        </w:rPr>
        <w:t xml:space="preserve"> DE 2024</w:t>
      </w:r>
    </w:p>
    <w:p w14:paraId="3A0E9298" w14:textId="77777777" w:rsidR="00901EDC" w:rsidRPr="00992A2E" w:rsidRDefault="00901EDC" w:rsidP="001E3603">
      <w:pPr>
        <w:pStyle w:val="Estilo1"/>
        <w:rPr>
          <w:sz w:val="28"/>
          <w:szCs w:val="28"/>
        </w:rPr>
      </w:pPr>
    </w:p>
    <w:p w14:paraId="5C1A98D9" w14:textId="77777777" w:rsidR="00901EDC" w:rsidRPr="00992A2E" w:rsidRDefault="00901EDC" w:rsidP="001E3603">
      <w:pPr>
        <w:ind w:left="3686"/>
        <w:jc w:val="both"/>
        <w:rPr>
          <w:sz w:val="28"/>
          <w:szCs w:val="28"/>
          <w:lang w:val="es-ES_tradnl"/>
        </w:rPr>
      </w:pPr>
      <w:r w:rsidRPr="00992A2E">
        <w:rPr>
          <w:b/>
          <w:bCs/>
          <w:sz w:val="28"/>
          <w:szCs w:val="28"/>
          <w:lang w:val="es-ES_tradnl"/>
        </w:rPr>
        <w:t xml:space="preserve">Referencia: </w:t>
      </w:r>
      <w:r w:rsidRPr="00992A2E">
        <w:rPr>
          <w:sz w:val="28"/>
          <w:szCs w:val="28"/>
          <w:lang w:val="es-ES_tradnl"/>
        </w:rPr>
        <w:t xml:space="preserve">expediente D-15582 </w:t>
      </w:r>
    </w:p>
    <w:p w14:paraId="0366AF8D" w14:textId="77777777" w:rsidR="00901EDC" w:rsidRPr="00992A2E" w:rsidRDefault="00901EDC" w:rsidP="001E3603">
      <w:pPr>
        <w:ind w:left="3686"/>
        <w:jc w:val="both"/>
        <w:rPr>
          <w:sz w:val="28"/>
          <w:szCs w:val="28"/>
          <w:lang w:val="es-ES_tradnl"/>
        </w:rPr>
      </w:pPr>
    </w:p>
    <w:p w14:paraId="15696B39" w14:textId="77777777" w:rsidR="00901EDC" w:rsidRPr="00992A2E" w:rsidRDefault="00901EDC" w:rsidP="001E3603">
      <w:pPr>
        <w:ind w:left="3686"/>
        <w:jc w:val="both"/>
        <w:rPr>
          <w:sz w:val="28"/>
          <w:szCs w:val="28"/>
          <w:lang w:val="es-ES_tradnl"/>
        </w:rPr>
      </w:pPr>
      <w:r w:rsidRPr="00992A2E">
        <w:rPr>
          <w:sz w:val="28"/>
          <w:szCs w:val="28"/>
          <w:lang w:val="es-ES_tradnl"/>
        </w:rPr>
        <w:t>Demanda de inconstitucionalidad contra el artículo 248 (parcial) de la Ley 906 de 2004</w:t>
      </w:r>
    </w:p>
    <w:p w14:paraId="084329A0" w14:textId="77777777" w:rsidR="00901EDC" w:rsidRPr="00992A2E" w:rsidRDefault="00901EDC" w:rsidP="001E3603">
      <w:pPr>
        <w:ind w:left="3686"/>
        <w:jc w:val="both"/>
        <w:rPr>
          <w:b/>
          <w:bCs/>
          <w:sz w:val="28"/>
          <w:szCs w:val="28"/>
          <w:lang w:val="es-ES_tradnl"/>
        </w:rPr>
      </w:pPr>
    </w:p>
    <w:p w14:paraId="13A09048" w14:textId="77777777" w:rsidR="00901EDC" w:rsidRPr="00992A2E" w:rsidRDefault="00901EDC" w:rsidP="001E3603">
      <w:pPr>
        <w:ind w:left="3686"/>
        <w:jc w:val="both"/>
        <w:rPr>
          <w:sz w:val="28"/>
          <w:szCs w:val="28"/>
          <w:lang w:val="es-ES_tradnl"/>
        </w:rPr>
      </w:pPr>
      <w:r w:rsidRPr="00992A2E">
        <w:rPr>
          <w:b/>
          <w:bCs/>
          <w:sz w:val="28"/>
          <w:szCs w:val="28"/>
          <w:lang w:val="es-ES_tradnl"/>
        </w:rPr>
        <w:t>Demandantes:</w:t>
      </w:r>
      <w:r w:rsidRPr="00992A2E">
        <w:rPr>
          <w:sz w:val="28"/>
          <w:szCs w:val="28"/>
          <w:lang w:val="es-ES_tradnl"/>
        </w:rPr>
        <w:t xml:space="preserve"> Paulina Morales Ospina, </w:t>
      </w:r>
      <w:r w:rsidRPr="00992A2E">
        <w:rPr>
          <w:sz w:val="28"/>
          <w:szCs w:val="28"/>
        </w:rPr>
        <w:t xml:space="preserve">Juliana Sepúlveda Londoño, Francisco Esteban Aristizábal </w:t>
      </w:r>
      <w:proofErr w:type="spellStart"/>
      <w:r w:rsidRPr="00992A2E">
        <w:rPr>
          <w:sz w:val="28"/>
          <w:szCs w:val="28"/>
        </w:rPr>
        <w:t>Ibarbo</w:t>
      </w:r>
      <w:proofErr w:type="spellEnd"/>
      <w:r w:rsidRPr="00992A2E">
        <w:rPr>
          <w:sz w:val="28"/>
          <w:szCs w:val="28"/>
        </w:rPr>
        <w:t xml:space="preserve"> y Valentina Rivera </w:t>
      </w:r>
      <w:proofErr w:type="spellStart"/>
      <w:r w:rsidRPr="00992A2E">
        <w:rPr>
          <w:sz w:val="28"/>
          <w:szCs w:val="28"/>
        </w:rPr>
        <w:t>Rivera</w:t>
      </w:r>
      <w:proofErr w:type="spellEnd"/>
    </w:p>
    <w:p w14:paraId="11CBD3A1" w14:textId="77777777" w:rsidR="00901EDC" w:rsidRPr="00992A2E" w:rsidRDefault="00901EDC" w:rsidP="001E3603">
      <w:pPr>
        <w:ind w:left="3686"/>
        <w:jc w:val="both"/>
        <w:rPr>
          <w:b/>
          <w:bCs/>
          <w:sz w:val="28"/>
          <w:szCs w:val="28"/>
          <w:lang w:val="es-ES_tradnl"/>
        </w:rPr>
      </w:pPr>
    </w:p>
    <w:p w14:paraId="5382872D" w14:textId="77777777" w:rsidR="00901EDC" w:rsidRPr="00992A2E" w:rsidRDefault="00901EDC" w:rsidP="001E3603">
      <w:pPr>
        <w:ind w:left="3686"/>
        <w:jc w:val="both"/>
        <w:rPr>
          <w:sz w:val="28"/>
          <w:szCs w:val="28"/>
          <w:lang w:val="es-ES_tradnl"/>
        </w:rPr>
      </w:pPr>
      <w:r w:rsidRPr="00992A2E">
        <w:rPr>
          <w:b/>
          <w:bCs/>
          <w:sz w:val="28"/>
          <w:szCs w:val="28"/>
          <w:lang w:val="es-ES_tradnl"/>
        </w:rPr>
        <w:t xml:space="preserve">Magistrado sustanciador: </w:t>
      </w:r>
    </w:p>
    <w:p w14:paraId="5188B252" w14:textId="77777777" w:rsidR="00901EDC" w:rsidRPr="00992A2E" w:rsidRDefault="00901EDC" w:rsidP="001E3603">
      <w:pPr>
        <w:ind w:left="3686"/>
        <w:jc w:val="both"/>
        <w:rPr>
          <w:sz w:val="28"/>
          <w:szCs w:val="28"/>
          <w:lang w:val="es-ES_tradnl"/>
        </w:rPr>
      </w:pPr>
      <w:r w:rsidRPr="00992A2E">
        <w:rPr>
          <w:sz w:val="28"/>
          <w:szCs w:val="28"/>
          <w:lang w:val="es-ES_tradnl"/>
        </w:rPr>
        <w:t>Juan Carlos Cortés González</w:t>
      </w:r>
    </w:p>
    <w:p w14:paraId="042DDFFD" w14:textId="77777777" w:rsidR="00901EDC" w:rsidRPr="00992A2E" w:rsidRDefault="00901EDC" w:rsidP="001E3603">
      <w:pPr>
        <w:pStyle w:val="Estilo1"/>
        <w:rPr>
          <w:sz w:val="28"/>
          <w:szCs w:val="28"/>
        </w:rPr>
      </w:pPr>
    </w:p>
    <w:p w14:paraId="6EF6AB79" w14:textId="77777777" w:rsidR="00901EDC" w:rsidRPr="00992A2E" w:rsidRDefault="00901EDC" w:rsidP="001E3603">
      <w:pPr>
        <w:pStyle w:val="Estilo1"/>
        <w:tabs>
          <w:tab w:val="left" w:pos="426"/>
        </w:tabs>
        <w:rPr>
          <w:b/>
          <w:bCs/>
          <w:sz w:val="28"/>
          <w:szCs w:val="28"/>
        </w:rPr>
      </w:pPr>
      <w:r w:rsidRPr="00992A2E">
        <w:rPr>
          <w:b/>
          <w:bCs/>
          <w:sz w:val="28"/>
          <w:szCs w:val="28"/>
        </w:rPr>
        <w:t>Síntesis de la decisión</w:t>
      </w:r>
    </w:p>
    <w:p w14:paraId="081D3480" w14:textId="77777777" w:rsidR="00901EDC" w:rsidRPr="00992A2E" w:rsidRDefault="00901EDC" w:rsidP="001E3603">
      <w:pPr>
        <w:pStyle w:val="Estilo1"/>
        <w:tabs>
          <w:tab w:val="left" w:pos="426"/>
        </w:tabs>
        <w:rPr>
          <w:b/>
          <w:bCs/>
          <w:sz w:val="28"/>
          <w:szCs w:val="28"/>
        </w:rPr>
      </w:pPr>
    </w:p>
    <w:tbl>
      <w:tblPr>
        <w:tblW w:w="0" w:type="auto"/>
        <w:tblCellMar>
          <w:top w:w="15" w:type="dxa"/>
          <w:left w:w="15" w:type="dxa"/>
          <w:bottom w:w="15" w:type="dxa"/>
          <w:right w:w="15" w:type="dxa"/>
        </w:tblCellMar>
        <w:tblLook w:val="04A0" w:firstRow="1" w:lastRow="0" w:firstColumn="1" w:lastColumn="0" w:noHBand="0" w:noVBand="1"/>
      </w:tblPr>
      <w:tblGrid>
        <w:gridCol w:w="1252"/>
        <w:gridCol w:w="7659"/>
      </w:tblGrid>
      <w:tr w:rsidR="00912A66" w:rsidRPr="00992A2E" w14:paraId="299E6AEB" w14:textId="77777777" w:rsidTr="005B50BF">
        <w:trPr>
          <w:trHeight w:val="2115"/>
        </w:trPr>
        <w:tc>
          <w:tcPr>
            <w:tcW w:w="1252" w:type="dxa"/>
            <w:tcBorders>
              <w:top w:val="single" w:sz="8" w:space="0" w:color="BFBFBF"/>
              <w:left w:val="single" w:sz="8" w:space="0" w:color="BFBFBF"/>
              <w:bottom w:val="single" w:sz="8" w:space="0" w:color="BFBFBF"/>
              <w:right w:val="single" w:sz="8" w:space="0" w:color="BFBFBF"/>
            </w:tcBorders>
            <w:tcMar>
              <w:top w:w="0" w:type="dxa"/>
              <w:left w:w="108" w:type="dxa"/>
              <w:bottom w:w="0" w:type="dxa"/>
              <w:right w:w="108" w:type="dxa"/>
            </w:tcMar>
            <w:hideMark/>
          </w:tcPr>
          <w:p w14:paraId="6373C992" w14:textId="77777777" w:rsidR="00901EDC" w:rsidRPr="00992A2E" w:rsidRDefault="00901EDC" w:rsidP="001E3603">
            <w:pPr>
              <w:jc w:val="center"/>
              <w:textAlignment w:val="baseline"/>
            </w:pPr>
            <w:r w:rsidRPr="00992A2E">
              <w:rPr>
                <w:b/>
                <w:bCs/>
              </w:rPr>
              <w:t>¿Qué estudió la Corte?</w:t>
            </w:r>
          </w:p>
        </w:tc>
        <w:tc>
          <w:tcPr>
            <w:tcW w:w="7669"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C08D348" w14:textId="77777777" w:rsidR="00901EDC" w:rsidRPr="00992A2E" w:rsidRDefault="00901EDC" w:rsidP="001E3603">
            <w:pPr>
              <w:jc w:val="both"/>
              <w:textAlignment w:val="baseline"/>
            </w:pPr>
            <w:r w:rsidRPr="00992A2E">
              <w:t>La Corte estudió la demanda presentada en contra de la expresión «sexo», contenida en el inciso segundo del artículo 248 de la Ley 906 de 2004, norma sobre el registro personal en procesos penales. El cargo de inconstitucionalidad se basó en que la expresión acusada vulneraba los artículos 1, 13, 15, 16 y 21 de la Constitución, por desconocer la identidad de género en tanto otorgaba un trato discriminatorio a las personas sujetas a registro que no se definen por características meramente biológicas, bajo los conceptos femenino - masculino.</w:t>
            </w:r>
          </w:p>
        </w:tc>
      </w:tr>
      <w:tr w:rsidR="00912A66" w:rsidRPr="00992A2E" w14:paraId="1D0ED547" w14:textId="77777777" w:rsidTr="005B50BF">
        <w:trPr>
          <w:trHeight w:val="4375"/>
        </w:trPr>
        <w:tc>
          <w:tcPr>
            <w:tcW w:w="125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D78734B" w14:textId="77777777" w:rsidR="00901EDC" w:rsidRPr="00992A2E" w:rsidRDefault="00901EDC" w:rsidP="001E3603">
            <w:pPr>
              <w:jc w:val="center"/>
              <w:textAlignment w:val="baseline"/>
            </w:pPr>
            <w:r w:rsidRPr="00992A2E">
              <w:rPr>
                <w:b/>
                <w:bCs/>
              </w:rPr>
              <w:t>¿Qué consideró la Corte?</w:t>
            </w:r>
          </w:p>
        </w:tc>
        <w:tc>
          <w:tcPr>
            <w:tcW w:w="7669" w:type="dxa"/>
            <w:tcBorders>
              <w:top w:val="nil"/>
              <w:left w:val="nil"/>
              <w:bottom w:val="single" w:sz="8" w:space="0" w:color="auto"/>
              <w:right w:val="single" w:sz="8" w:space="0" w:color="auto"/>
            </w:tcBorders>
            <w:tcMar>
              <w:top w:w="0" w:type="dxa"/>
              <w:left w:w="108" w:type="dxa"/>
              <w:bottom w:w="0" w:type="dxa"/>
              <w:right w:w="108" w:type="dxa"/>
            </w:tcMar>
            <w:hideMark/>
          </w:tcPr>
          <w:p w14:paraId="004CCADB" w14:textId="2FF2662F" w:rsidR="00901EDC" w:rsidRPr="00992A2E" w:rsidRDefault="00901EDC" w:rsidP="001E3603">
            <w:pPr>
              <w:jc w:val="both"/>
              <w:textAlignment w:val="baseline"/>
            </w:pPr>
            <w:r w:rsidRPr="00992A2E">
              <w:t xml:space="preserve">Como cuestión previa al estudio de fondo de la demanda, la Sala Plena estimó necesario hacer un análisis sobre la aptitud de </w:t>
            </w:r>
            <w:proofErr w:type="gramStart"/>
            <w:r w:rsidRPr="00992A2E">
              <w:t>la misma</w:t>
            </w:r>
            <w:proofErr w:type="gramEnd"/>
            <w:r w:rsidRPr="00992A2E">
              <w:t xml:space="preserve">. Al respecto, consideró que el cargo carecía de </w:t>
            </w:r>
            <w:r w:rsidRPr="00992A2E">
              <w:rPr>
                <w:i/>
                <w:iCs/>
              </w:rPr>
              <w:t xml:space="preserve">certeza </w:t>
            </w:r>
            <w:r w:rsidRPr="00992A2E">
              <w:t xml:space="preserve">porque los demandantes no tomaron en cuenta el alcance ni el contenido normativo actual y completo de la disposición demandada. En particular, no se tomó en consideración lo decidido por este tribunal en la Sentencia C-822 de 2005, en la que se declaró la </w:t>
            </w:r>
            <w:proofErr w:type="spellStart"/>
            <w:r w:rsidRPr="00992A2E">
              <w:t>exequibilidad</w:t>
            </w:r>
            <w:proofErr w:type="spellEnd"/>
            <w:r w:rsidRPr="00992A2E">
              <w:t xml:space="preserve"> condicionada del artículo 248 de la Ley 906 de 2004, así como la </w:t>
            </w:r>
            <w:proofErr w:type="spellStart"/>
            <w:r w:rsidRPr="00992A2E">
              <w:t>inexequibilidad</w:t>
            </w:r>
            <w:proofErr w:type="spellEnd"/>
            <w:r w:rsidRPr="00992A2E">
              <w:t xml:space="preserve"> de uno de sus apartes normativos. Tampoco se cumplió con la condición de </w:t>
            </w:r>
            <w:r w:rsidRPr="00992A2E">
              <w:rPr>
                <w:i/>
                <w:iCs/>
              </w:rPr>
              <w:t xml:space="preserve">especificidad, </w:t>
            </w:r>
            <w:r w:rsidRPr="00992A2E">
              <w:t xml:space="preserve">ya que los actores formularon razonamientos vagos, imprecisos e incompletos y solo argumentaron sobre la hipótesis del registro policivo, el cual ya no hace parte de la norma, olvidando referirse a la hipótesis del registro en curso de una investigación penal. Por último, tampoco se acreditó la </w:t>
            </w:r>
            <w:r w:rsidRPr="00992A2E">
              <w:rPr>
                <w:i/>
                <w:iCs/>
              </w:rPr>
              <w:t xml:space="preserve">suficiencia </w:t>
            </w:r>
            <w:r w:rsidRPr="00992A2E">
              <w:t>de la censura</w:t>
            </w:r>
            <w:r w:rsidRPr="00992A2E">
              <w:rPr>
                <w:i/>
                <w:iCs/>
              </w:rPr>
              <w:t xml:space="preserve"> </w:t>
            </w:r>
            <w:r w:rsidRPr="00992A2E">
              <w:t>debido a que, al no estructurarse adecuadamente el cargo, no se logró suscitar una duda mínima sobre la constitucionalidad de la expresión impugnada.</w:t>
            </w:r>
          </w:p>
        </w:tc>
      </w:tr>
      <w:tr w:rsidR="00901EDC" w:rsidRPr="00992A2E" w14:paraId="58E36DE3" w14:textId="77777777" w:rsidTr="005B50BF">
        <w:trPr>
          <w:trHeight w:val="915"/>
        </w:trPr>
        <w:tc>
          <w:tcPr>
            <w:tcW w:w="125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D18D497" w14:textId="77777777" w:rsidR="00901EDC" w:rsidRPr="00992A2E" w:rsidRDefault="00901EDC" w:rsidP="001E3603">
            <w:pPr>
              <w:jc w:val="center"/>
              <w:textAlignment w:val="baseline"/>
            </w:pPr>
            <w:r w:rsidRPr="00992A2E">
              <w:rPr>
                <w:b/>
                <w:bCs/>
              </w:rPr>
              <w:t>¿Qué decidió la Corte?</w:t>
            </w:r>
          </w:p>
        </w:tc>
        <w:tc>
          <w:tcPr>
            <w:tcW w:w="7669" w:type="dxa"/>
            <w:tcBorders>
              <w:top w:val="nil"/>
              <w:left w:val="nil"/>
              <w:bottom w:val="single" w:sz="8" w:space="0" w:color="auto"/>
              <w:right w:val="single" w:sz="8" w:space="0" w:color="auto"/>
            </w:tcBorders>
            <w:tcMar>
              <w:top w:w="0" w:type="dxa"/>
              <w:left w:w="108" w:type="dxa"/>
              <w:bottom w:w="0" w:type="dxa"/>
              <w:right w:w="108" w:type="dxa"/>
            </w:tcMar>
            <w:hideMark/>
          </w:tcPr>
          <w:p w14:paraId="1CA09E3E" w14:textId="77777777" w:rsidR="00901EDC" w:rsidRPr="00992A2E" w:rsidRDefault="00901EDC" w:rsidP="001E3603">
            <w:pPr>
              <w:jc w:val="both"/>
              <w:textAlignment w:val="baseline"/>
            </w:pPr>
            <w:r w:rsidRPr="00992A2E">
              <w:t>La Corte Constitucional decidió declararse inhibida para pronunciarse de fondo sobre la demanda de inconstitucionalidad contra el artículo 248 (parcial) de la Ley 906 de 2004.</w:t>
            </w:r>
          </w:p>
        </w:tc>
      </w:tr>
    </w:tbl>
    <w:p w14:paraId="27FB949A" w14:textId="77777777" w:rsidR="00901EDC" w:rsidRPr="00992A2E" w:rsidRDefault="00901EDC" w:rsidP="001E3603">
      <w:pPr>
        <w:pStyle w:val="Estilo1"/>
        <w:rPr>
          <w:sz w:val="28"/>
          <w:szCs w:val="28"/>
          <w:lang w:val="es-CO"/>
        </w:rPr>
      </w:pPr>
    </w:p>
    <w:p w14:paraId="7980AA70" w14:textId="77777777" w:rsidR="00901EDC" w:rsidRPr="00992A2E" w:rsidRDefault="00901EDC" w:rsidP="001E3603">
      <w:pPr>
        <w:pStyle w:val="Estilo1"/>
        <w:rPr>
          <w:sz w:val="28"/>
          <w:szCs w:val="28"/>
          <w:lang w:val="es-CO"/>
        </w:rPr>
      </w:pPr>
    </w:p>
    <w:p w14:paraId="58178A5D" w14:textId="5223636E" w:rsidR="00901EDC" w:rsidRPr="00992A2E" w:rsidRDefault="00901EDC" w:rsidP="001E3603">
      <w:pPr>
        <w:pStyle w:val="Estilo1"/>
        <w:rPr>
          <w:sz w:val="28"/>
          <w:szCs w:val="28"/>
        </w:rPr>
      </w:pPr>
      <w:r w:rsidRPr="00992A2E">
        <w:rPr>
          <w:sz w:val="28"/>
          <w:szCs w:val="28"/>
        </w:rPr>
        <w:lastRenderedPageBreak/>
        <w:t xml:space="preserve">Bogotá D.C., </w:t>
      </w:r>
      <w:r w:rsidR="000E1CF3" w:rsidRPr="00992A2E">
        <w:rPr>
          <w:sz w:val="28"/>
          <w:szCs w:val="28"/>
        </w:rPr>
        <w:t>trece</w:t>
      </w:r>
      <w:r w:rsidRPr="00992A2E">
        <w:rPr>
          <w:sz w:val="28"/>
          <w:szCs w:val="28"/>
        </w:rPr>
        <w:t xml:space="preserve"> (</w:t>
      </w:r>
      <w:r w:rsidR="000E1CF3" w:rsidRPr="00992A2E">
        <w:rPr>
          <w:sz w:val="28"/>
          <w:szCs w:val="28"/>
        </w:rPr>
        <w:t>13</w:t>
      </w:r>
      <w:r w:rsidRPr="00992A2E">
        <w:rPr>
          <w:sz w:val="28"/>
          <w:szCs w:val="28"/>
        </w:rPr>
        <w:t xml:space="preserve">) de </w:t>
      </w:r>
      <w:r w:rsidR="000E1CF3" w:rsidRPr="00992A2E">
        <w:rPr>
          <w:sz w:val="28"/>
          <w:szCs w:val="28"/>
        </w:rPr>
        <w:t>agosto</w:t>
      </w:r>
      <w:r w:rsidRPr="00992A2E">
        <w:rPr>
          <w:sz w:val="28"/>
          <w:szCs w:val="28"/>
        </w:rPr>
        <w:t xml:space="preserve"> de dos mil veinticuatro (2024)</w:t>
      </w:r>
    </w:p>
    <w:p w14:paraId="1A23FF68" w14:textId="77777777" w:rsidR="00901EDC" w:rsidRPr="00992A2E" w:rsidRDefault="00901EDC" w:rsidP="001E3603">
      <w:pPr>
        <w:pStyle w:val="Estilo1"/>
        <w:rPr>
          <w:sz w:val="28"/>
          <w:szCs w:val="28"/>
        </w:rPr>
      </w:pPr>
    </w:p>
    <w:p w14:paraId="720A08A7" w14:textId="77777777" w:rsidR="00901EDC" w:rsidRPr="00992A2E" w:rsidRDefault="00901EDC" w:rsidP="001E3603">
      <w:pPr>
        <w:pStyle w:val="Estilo1"/>
        <w:rPr>
          <w:sz w:val="28"/>
          <w:szCs w:val="28"/>
        </w:rPr>
      </w:pPr>
      <w:r w:rsidRPr="00992A2E">
        <w:rPr>
          <w:sz w:val="28"/>
          <w:szCs w:val="28"/>
        </w:rPr>
        <w:t xml:space="preserve">La Sala Plena de la Corte Constitucional, en ejercicio de sus competencias, en especial, la prevista en el artículo 241.4 de la Constitución, profiere la siguiente </w:t>
      </w:r>
    </w:p>
    <w:p w14:paraId="05FAE0A3" w14:textId="77777777" w:rsidR="00901EDC" w:rsidRPr="00992A2E" w:rsidRDefault="00901EDC" w:rsidP="001E3603">
      <w:pPr>
        <w:pStyle w:val="Estilo1"/>
        <w:rPr>
          <w:sz w:val="28"/>
          <w:szCs w:val="28"/>
        </w:rPr>
      </w:pPr>
    </w:p>
    <w:p w14:paraId="04888B56" w14:textId="77777777" w:rsidR="00901EDC" w:rsidRPr="00992A2E" w:rsidRDefault="00901EDC" w:rsidP="001E3603">
      <w:pPr>
        <w:pStyle w:val="Estilo1"/>
        <w:jc w:val="center"/>
        <w:rPr>
          <w:b/>
          <w:bCs/>
          <w:sz w:val="28"/>
          <w:szCs w:val="28"/>
        </w:rPr>
      </w:pPr>
      <w:r w:rsidRPr="00992A2E">
        <w:rPr>
          <w:b/>
          <w:bCs/>
          <w:sz w:val="28"/>
          <w:szCs w:val="28"/>
        </w:rPr>
        <w:t>SENTENCIA</w:t>
      </w:r>
    </w:p>
    <w:p w14:paraId="0556059D" w14:textId="77777777" w:rsidR="00901EDC" w:rsidRPr="00992A2E" w:rsidRDefault="00901EDC" w:rsidP="001E3603">
      <w:pPr>
        <w:pStyle w:val="Estilo1"/>
        <w:rPr>
          <w:b/>
          <w:bCs/>
          <w:sz w:val="28"/>
          <w:szCs w:val="28"/>
        </w:rPr>
      </w:pPr>
    </w:p>
    <w:p w14:paraId="50220152" w14:textId="77777777" w:rsidR="00901EDC" w:rsidRPr="00992A2E" w:rsidRDefault="00901EDC" w:rsidP="001E3603">
      <w:pPr>
        <w:pStyle w:val="Estilo1"/>
        <w:rPr>
          <w:b/>
          <w:bCs/>
          <w:sz w:val="28"/>
          <w:szCs w:val="28"/>
        </w:rPr>
      </w:pPr>
      <w:r w:rsidRPr="00992A2E">
        <w:rPr>
          <w:b/>
          <w:bCs/>
          <w:sz w:val="28"/>
          <w:szCs w:val="28"/>
        </w:rPr>
        <w:t>I. ANTECEDENTES</w:t>
      </w:r>
    </w:p>
    <w:p w14:paraId="439983DA" w14:textId="77777777" w:rsidR="00901EDC" w:rsidRPr="00992A2E" w:rsidRDefault="00901EDC" w:rsidP="001E3603">
      <w:pPr>
        <w:pStyle w:val="Estilo1"/>
        <w:rPr>
          <w:sz w:val="28"/>
          <w:szCs w:val="28"/>
        </w:rPr>
      </w:pPr>
    </w:p>
    <w:p w14:paraId="73640C99" w14:textId="77777777" w:rsidR="00901EDC" w:rsidRPr="00992A2E" w:rsidRDefault="00901EDC" w:rsidP="001E3603">
      <w:pPr>
        <w:pStyle w:val="Estilo1"/>
        <w:numPr>
          <w:ilvl w:val="0"/>
          <w:numId w:val="1"/>
        </w:numPr>
        <w:tabs>
          <w:tab w:val="left" w:pos="426"/>
        </w:tabs>
        <w:ind w:left="0" w:firstLine="0"/>
        <w:rPr>
          <w:sz w:val="28"/>
          <w:szCs w:val="28"/>
        </w:rPr>
      </w:pPr>
      <w:r w:rsidRPr="00992A2E">
        <w:rPr>
          <w:sz w:val="28"/>
          <w:szCs w:val="28"/>
        </w:rPr>
        <w:t xml:space="preserve">Paulina Morales Ospina, Juliana Sepúlveda Londoño, Francisco Esteban Aristizábal </w:t>
      </w:r>
      <w:proofErr w:type="spellStart"/>
      <w:r w:rsidRPr="00992A2E">
        <w:rPr>
          <w:sz w:val="28"/>
          <w:szCs w:val="28"/>
        </w:rPr>
        <w:t>Ibarbo</w:t>
      </w:r>
      <w:proofErr w:type="spellEnd"/>
      <w:r w:rsidRPr="00992A2E">
        <w:rPr>
          <w:sz w:val="28"/>
          <w:szCs w:val="28"/>
        </w:rPr>
        <w:t xml:space="preserve"> y Valentina Rivera </w:t>
      </w:r>
      <w:proofErr w:type="spellStart"/>
      <w:r w:rsidRPr="00992A2E">
        <w:rPr>
          <w:sz w:val="28"/>
          <w:szCs w:val="28"/>
        </w:rPr>
        <w:t>Rivera</w:t>
      </w:r>
      <w:proofErr w:type="spellEnd"/>
      <w:r w:rsidRPr="00992A2E">
        <w:rPr>
          <w:sz w:val="28"/>
          <w:szCs w:val="28"/>
        </w:rPr>
        <w:t xml:space="preserve"> presentaron demanda de inconstitucionalidad contra el artículo 248 (parcial) de la Ley 906 de 2004, </w:t>
      </w:r>
      <w:r w:rsidRPr="00992A2E">
        <w:rPr>
          <w:sz w:val="26"/>
          <w:szCs w:val="26"/>
        </w:rPr>
        <w:t>«[p]</w:t>
      </w:r>
      <w:proofErr w:type="spellStart"/>
      <w:r w:rsidRPr="00992A2E">
        <w:rPr>
          <w:sz w:val="26"/>
          <w:szCs w:val="26"/>
        </w:rPr>
        <w:t>or</w:t>
      </w:r>
      <w:proofErr w:type="spellEnd"/>
      <w:r w:rsidRPr="00992A2E">
        <w:rPr>
          <w:sz w:val="26"/>
          <w:szCs w:val="26"/>
        </w:rPr>
        <w:t xml:space="preserve"> la cual se expide el Código de Procedimiento Penal»</w:t>
      </w:r>
      <w:r w:rsidRPr="00992A2E">
        <w:rPr>
          <w:sz w:val="28"/>
          <w:szCs w:val="28"/>
        </w:rPr>
        <w:t>.</w:t>
      </w:r>
    </w:p>
    <w:p w14:paraId="60443195" w14:textId="77777777" w:rsidR="00901EDC" w:rsidRPr="00992A2E" w:rsidRDefault="00901EDC" w:rsidP="001E3603">
      <w:pPr>
        <w:pStyle w:val="Estilo1"/>
        <w:tabs>
          <w:tab w:val="left" w:pos="426"/>
        </w:tabs>
        <w:rPr>
          <w:sz w:val="28"/>
          <w:szCs w:val="28"/>
        </w:rPr>
      </w:pPr>
    </w:p>
    <w:p w14:paraId="332EFF77" w14:textId="479C2297" w:rsidR="00901EDC" w:rsidRPr="00992A2E" w:rsidRDefault="00901EDC" w:rsidP="001E3603">
      <w:pPr>
        <w:pStyle w:val="Estilo1"/>
        <w:numPr>
          <w:ilvl w:val="0"/>
          <w:numId w:val="1"/>
        </w:numPr>
        <w:tabs>
          <w:tab w:val="left" w:pos="426"/>
        </w:tabs>
        <w:ind w:left="0" w:firstLine="0"/>
        <w:rPr>
          <w:sz w:val="28"/>
          <w:szCs w:val="28"/>
        </w:rPr>
      </w:pPr>
      <w:r w:rsidRPr="00992A2E">
        <w:rPr>
          <w:sz w:val="28"/>
          <w:szCs w:val="28"/>
        </w:rPr>
        <w:t>Mediante auto del 7 de diciembre de 2023, se admitió parcialmente la demanda, solo en relación con el cargo por presunta violación de los artículos 1, 13, 15, 16 y 21</w:t>
      </w:r>
      <w:r w:rsidRPr="00992A2E">
        <w:rPr>
          <w:iCs/>
          <w:sz w:val="28"/>
          <w:szCs w:val="28"/>
          <w:lang w:eastAsia="es-ES"/>
        </w:rPr>
        <w:t xml:space="preserve"> de la Constitución</w:t>
      </w:r>
      <w:r w:rsidRPr="00992A2E">
        <w:rPr>
          <w:sz w:val="28"/>
          <w:szCs w:val="28"/>
        </w:rPr>
        <w:t xml:space="preserve">. En proveído del 18 de enero de 2024, se rechazó </w:t>
      </w:r>
      <w:r w:rsidRPr="00992A2E">
        <w:rPr>
          <w:rFonts w:asciiTheme="majorBidi" w:hAnsiTheme="majorBidi" w:cstheme="majorBidi"/>
          <w:sz w:val="28"/>
          <w:szCs w:val="28"/>
        </w:rPr>
        <w:t xml:space="preserve">la </w:t>
      </w:r>
      <w:r w:rsidRPr="00992A2E">
        <w:rPr>
          <w:sz w:val="28"/>
          <w:szCs w:val="28"/>
        </w:rPr>
        <w:t xml:space="preserve">censura relativa a la supuesta vulneración del preámbulo y los artículos 2.º, 5.º y 18 de la Carta, por no subsanarse en término lo requerido en el auto </w:t>
      </w:r>
      <w:proofErr w:type="spellStart"/>
      <w:r w:rsidRPr="00992A2E">
        <w:rPr>
          <w:sz w:val="28"/>
          <w:szCs w:val="28"/>
        </w:rPr>
        <w:t>inadmisorio</w:t>
      </w:r>
      <w:proofErr w:type="spellEnd"/>
      <w:r w:rsidRPr="00992A2E">
        <w:rPr>
          <w:sz w:val="28"/>
          <w:szCs w:val="28"/>
        </w:rPr>
        <w:t xml:space="preserve">. En consecuencia, se dispuso la continuación del trámite únicamente respecto del cargo admitido y se ordenó: </w:t>
      </w:r>
      <w:r w:rsidRPr="00992A2E">
        <w:rPr>
          <w:i/>
          <w:iCs/>
          <w:sz w:val="28"/>
          <w:szCs w:val="28"/>
        </w:rPr>
        <w:t>(i)</w:t>
      </w:r>
      <w:r w:rsidRPr="00992A2E">
        <w:rPr>
          <w:sz w:val="28"/>
          <w:szCs w:val="28"/>
        </w:rPr>
        <w:t xml:space="preserve"> requerir a la Fiscalía General de la Nación para que rindiera informe probatorio en el caso </w:t>
      </w:r>
      <w:r w:rsidR="001C5FFA" w:rsidRPr="00992A2E">
        <w:rPr>
          <w:sz w:val="28"/>
          <w:szCs w:val="28"/>
        </w:rPr>
        <w:t xml:space="preserve">y </w:t>
      </w:r>
      <w:r w:rsidRPr="00992A2E">
        <w:rPr>
          <w:sz w:val="28"/>
          <w:szCs w:val="28"/>
        </w:rPr>
        <w:t xml:space="preserve">absolviera algunos interrogantes en relación con la norma demandada; </w:t>
      </w:r>
      <w:r w:rsidRPr="00992A2E">
        <w:rPr>
          <w:i/>
          <w:iCs/>
          <w:sz w:val="28"/>
          <w:szCs w:val="28"/>
        </w:rPr>
        <w:t>(</w:t>
      </w:r>
      <w:proofErr w:type="spellStart"/>
      <w:r w:rsidRPr="00992A2E">
        <w:rPr>
          <w:i/>
          <w:iCs/>
          <w:sz w:val="28"/>
          <w:szCs w:val="28"/>
        </w:rPr>
        <w:t>ii</w:t>
      </w:r>
      <w:proofErr w:type="spellEnd"/>
      <w:r w:rsidRPr="00992A2E">
        <w:rPr>
          <w:i/>
          <w:iCs/>
          <w:sz w:val="28"/>
          <w:szCs w:val="28"/>
        </w:rPr>
        <w:t>)</w:t>
      </w:r>
      <w:r w:rsidRPr="00992A2E">
        <w:rPr>
          <w:sz w:val="28"/>
          <w:szCs w:val="28"/>
        </w:rPr>
        <w:t xml:space="preserve"> comunicar el inicio de la actuación </w:t>
      </w:r>
      <w:r w:rsidRPr="00992A2E">
        <w:rPr>
          <w:rFonts w:asciiTheme="majorBidi" w:hAnsiTheme="majorBidi" w:cstheme="majorBidi"/>
          <w:sz w:val="28"/>
          <w:szCs w:val="28"/>
        </w:rPr>
        <w:t xml:space="preserve">al presidente del Congreso de la República, al presidente de la República, </w:t>
      </w:r>
      <w:r w:rsidRPr="00992A2E">
        <w:rPr>
          <w:sz w:val="28"/>
          <w:szCs w:val="28"/>
        </w:rPr>
        <w:t xml:space="preserve">a la Fiscalía General de la Nación, al Ministerio de Justicia y del Derecho y a la Agencia Nacional de Defensa Jurídica del Estado; </w:t>
      </w:r>
      <w:r w:rsidRPr="00992A2E">
        <w:rPr>
          <w:i/>
          <w:iCs/>
          <w:sz w:val="28"/>
          <w:szCs w:val="28"/>
        </w:rPr>
        <w:t>(</w:t>
      </w:r>
      <w:proofErr w:type="spellStart"/>
      <w:r w:rsidRPr="00992A2E">
        <w:rPr>
          <w:i/>
          <w:iCs/>
          <w:sz w:val="28"/>
          <w:szCs w:val="28"/>
        </w:rPr>
        <w:t>iii</w:t>
      </w:r>
      <w:proofErr w:type="spellEnd"/>
      <w:r w:rsidRPr="00992A2E">
        <w:rPr>
          <w:i/>
          <w:iCs/>
          <w:sz w:val="28"/>
          <w:szCs w:val="28"/>
        </w:rPr>
        <w:t>)</w:t>
      </w:r>
      <w:r w:rsidRPr="00992A2E">
        <w:rPr>
          <w:sz w:val="28"/>
          <w:szCs w:val="28"/>
        </w:rPr>
        <w:t xml:space="preserve"> fijar en lista el proceso, en aras de permitir la intervención ciudadana, y </w:t>
      </w:r>
      <w:r w:rsidRPr="00992A2E">
        <w:rPr>
          <w:i/>
          <w:iCs/>
          <w:sz w:val="28"/>
          <w:szCs w:val="28"/>
        </w:rPr>
        <w:t>(</w:t>
      </w:r>
      <w:proofErr w:type="spellStart"/>
      <w:r w:rsidRPr="00992A2E">
        <w:rPr>
          <w:i/>
          <w:iCs/>
          <w:sz w:val="28"/>
          <w:szCs w:val="28"/>
        </w:rPr>
        <w:t>iv</w:t>
      </w:r>
      <w:proofErr w:type="spellEnd"/>
      <w:r w:rsidRPr="00992A2E">
        <w:rPr>
          <w:i/>
          <w:iCs/>
          <w:sz w:val="28"/>
          <w:szCs w:val="28"/>
        </w:rPr>
        <w:t>)</w:t>
      </w:r>
      <w:r w:rsidRPr="00992A2E">
        <w:rPr>
          <w:sz w:val="28"/>
          <w:szCs w:val="28"/>
        </w:rPr>
        <w:t xml:space="preserve"> correr traslado a la procuradora general de la Nación, para lo de su competencia.</w:t>
      </w:r>
    </w:p>
    <w:p w14:paraId="2D0B4602" w14:textId="77777777" w:rsidR="00901EDC" w:rsidRPr="00992A2E" w:rsidRDefault="00901EDC" w:rsidP="001E3603">
      <w:pPr>
        <w:pStyle w:val="Estilo1"/>
        <w:tabs>
          <w:tab w:val="left" w:pos="426"/>
        </w:tabs>
        <w:rPr>
          <w:sz w:val="28"/>
          <w:szCs w:val="28"/>
        </w:rPr>
      </w:pPr>
    </w:p>
    <w:p w14:paraId="24898309" w14:textId="77777777" w:rsidR="00901EDC" w:rsidRPr="00992A2E" w:rsidRDefault="00901EDC" w:rsidP="001E3603">
      <w:pPr>
        <w:pStyle w:val="Estilo1"/>
        <w:numPr>
          <w:ilvl w:val="0"/>
          <w:numId w:val="1"/>
        </w:numPr>
        <w:tabs>
          <w:tab w:val="left" w:pos="426"/>
        </w:tabs>
        <w:ind w:left="0" w:firstLine="0"/>
        <w:rPr>
          <w:sz w:val="28"/>
          <w:szCs w:val="28"/>
        </w:rPr>
      </w:pPr>
      <w:r w:rsidRPr="00992A2E">
        <w:rPr>
          <w:sz w:val="28"/>
          <w:szCs w:val="28"/>
        </w:rPr>
        <w:t xml:space="preserve">Adicionalmente, se invitó a </w:t>
      </w:r>
      <w:r w:rsidRPr="00992A2E">
        <w:rPr>
          <w:rFonts w:asciiTheme="majorBidi" w:hAnsiTheme="majorBidi" w:cstheme="majorBidi"/>
          <w:sz w:val="28"/>
          <w:szCs w:val="28"/>
        </w:rPr>
        <w:t>participar a</w:t>
      </w:r>
      <w:r w:rsidRPr="00992A2E">
        <w:rPr>
          <w:bCs/>
          <w:sz w:val="28"/>
          <w:szCs w:val="28"/>
        </w:rPr>
        <w:t xml:space="preserve"> las universidades Santo Tomás de Bucaramanga, de Caldas, Externado, del Rosario</w:t>
      </w:r>
      <w:r w:rsidRPr="00992A2E">
        <w:rPr>
          <w:rFonts w:asciiTheme="majorBidi" w:hAnsiTheme="majorBidi" w:cstheme="majorBidi"/>
          <w:bCs/>
          <w:sz w:val="28"/>
          <w:szCs w:val="28"/>
        </w:rPr>
        <w:t xml:space="preserve">, </w:t>
      </w:r>
      <w:r w:rsidRPr="00992A2E">
        <w:rPr>
          <w:sz w:val="28"/>
          <w:szCs w:val="28"/>
        </w:rPr>
        <w:t>Nacional de Colombia, de Antioquia, de los Andes, Javeriana, Libre, EAFIT, del Norte</w:t>
      </w:r>
      <w:r w:rsidRPr="00992A2E">
        <w:rPr>
          <w:rFonts w:asciiTheme="majorBidi" w:hAnsiTheme="majorBidi" w:cstheme="majorBidi"/>
          <w:bCs/>
          <w:sz w:val="28"/>
          <w:szCs w:val="28"/>
        </w:rPr>
        <w:t xml:space="preserve">, </w:t>
      </w:r>
      <w:r w:rsidRPr="00992A2E">
        <w:rPr>
          <w:bCs/>
          <w:sz w:val="28"/>
          <w:szCs w:val="28"/>
        </w:rPr>
        <w:t>al Colegio de Abogados Penalistas de Colombia, al Instituto Colombiano de Derecho Procesal, al Centro de Estudios de Derecho, Justicia y Sociedad (</w:t>
      </w:r>
      <w:proofErr w:type="spellStart"/>
      <w:r w:rsidRPr="00992A2E">
        <w:rPr>
          <w:bCs/>
          <w:sz w:val="28"/>
          <w:szCs w:val="28"/>
        </w:rPr>
        <w:t>Dejusticia</w:t>
      </w:r>
      <w:proofErr w:type="spellEnd"/>
      <w:r w:rsidRPr="00992A2E">
        <w:rPr>
          <w:bCs/>
          <w:sz w:val="28"/>
          <w:szCs w:val="28"/>
        </w:rPr>
        <w:t>), a la Academia Colombiana de Jurisprudencia, a la organización Colombia Diversa, a la Corporación Caribe Afirmativo, a la Fundación Grupo de Acción y Apoyo a personas Trans (GAAT) y al Programa de Acción para la Igualdad y la Inclusión Social (PAIIS) del Consultorio Jurídico de la Facultad de Derecho de la Universidad de los Andes</w:t>
      </w:r>
      <w:r w:rsidRPr="00992A2E">
        <w:rPr>
          <w:rFonts w:asciiTheme="majorBidi" w:hAnsiTheme="majorBidi" w:cstheme="majorBidi"/>
          <w:sz w:val="28"/>
          <w:szCs w:val="28"/>
        </w:rPr>
        <w:t>.</w:t>
      </w:r>
    </w:p>
    <w:p w14:paraId="4A74AE9C" w14:textId="77777777" w:rsidR="00901EDC" w:rsidRPr="00992A2E" w:rsidRDefault="00901EDC" w:rsidP="001E3603">
      <w:pPr>
        <w:rPr>
          <w:sz w:val="28"/>
          <w:szCs w:val="28"/>
          <w:lang w:val="es-ES_tradnl"/>
        </w:rPr>
      </w:pPr>
    </w:p>
    <w:p w14:paraId="795B754E" w14:textId="77777777" w:rsidR="00901EDC" w:rsidRPr="00992A2E" w:rsidRDefault="00901EDC" w:rsidP="001E3603">
      <w:pPr>
        <w:pStyle w:val="Estilo1"/>
        <w:numPr>
          <w:ilvl w:val="0"/>
          <w:numId w:val="1"/>
        </w:numPr>
        <w:tabs>
          <w:tab w:val="left" w:pos="426"/>
        </w:tabs>
        <w:ind w:left="0" w:firstLine="0"/>
        <w:rPr>
          <w:sz w:val="28"/>
          <w:szCs w:val="28"/>
        </w:rPr>
      </w:pPr>
      <w:r w:rsidRPr="00992A2E">
        <w:rPr>
          <w:sz w:val="28"/>
          <w:szCs w:val="28"/>
        </w:rPr>
        <w:t xml:space="preserve">Una vez recibido y valorado el material probatorio a cargo de la </w:t>
      </w:r>
      <w:proofErr w:type="gramStart"/>
      <w:r w:rsidRPr="00992A2E">
        <w:rPr>
          <w:sz w:val="28"/>
          <w:szCs w:val="28"/>
        </w:rPr>
        <w:t>Fiscalía General</w:t>
      </w:r>
      <w:proofErr w:type="gramEnd"/>
      <w:r w:rsidRPr="00992A2E">
        <w:rPr>
          <w:sz w:val="28"/>
          <w:szCs w:val="28"/>
        </w:rPr>
        <w:t xml:space="preserve"> de la Nación, se dispuso continuar con el trámite, mediante auto del 27 de febrero de 2024.</w:t>
      </w:r>
    </w:p>
    <w:p w14:paraId="44B01AFC" w14:textId="77777777" w:rsidR="00901EDC" w:rsidRPr="00992A2E" w:rsidRDefault="00901EDC" w:rsidP="001E3603">
      <w:pPr>
        <w:pStyle w:val="Estilo1"/>
        <w:tabs>
          <w:tab w:val="left" w:pos="426"/>
        </w:tabs>
        <w:rPr>
          <w:sz w:val="28"/>
          <w:szCs w:val="28"/>
        </w:rPr>
      </w:pPr>
    </w:p>
    <w:p w14:paraId="330813E2" w14:textId="77777777" w:rsidR="00901EDC" w:rsidRPr="00992A2E" w:rsidRDefault="00901EDC" w:rsidP="001E3603">
      <w:pPr>
        <w:pStyle w:val="Estilo1"/>
        <w:numPr>
          <w:ilvl w:val="0"/>
          <w:numId w:val="1"/>
        </w:numPr>
        <w:tabs>
          <w:tab w:val="left" w:pos="426"/>
        </w:tabs>
        <w:ind w:left="0" w:firstLine="0"/>
        <w:rPr>
          <w:sz w:val="28"/>
          <w:szCs w:val="28"/>
        </w:rPr>
      </w:pPr>
      <w:r w:rsidRPr="00992A2E">
        <w:rPr>
          <w:sz w:val="28"/>
          <w:szCs w:val="28"/>
        </w:rPr>
        <w:t xml:space="preserve">Cumplidos los trámites pertinentes </w:t>
      </w:r>
      <w:r w:rsidRPr="00992A2E">
        <w:rPr>
          <w:sz w:val="28"/>
          <w:szCs w:val="28"/>
          <w:shd w:val="clear" w:color="auto" w:fill="FFFFFF"/>
        </w:rPr>
        <w:t>y previo concepto de la procuradora general de la Nación,</w:t>
      </w:r>
      <w:r w:rsidRPr="00992A2E">
        <w:rPr>
          <w:sz w:val="28"/>
          <w:szCs w:val="28"/>
        </w:rPr>
        <w:t xml:space="preserve"> la Sala Plena de la Corte Constitucional procede a resolver la demanda de la referencia.</w:t>
      </w:r>
    </w:p>
    <w:p w14:paraId="1CE28A0C" w14:textId="77777777" w:rsidR="00901EDC" w:rsidRPr="00992A2E" w:rsidRDefault="00901EDC" w:rsidP="001E3603">
      <w:pPr>
        <w:pStyle w:val="Estilo1"/>
        <w:tabs>
          <w:tab w:val="left" w:pos="426"/>
        </w:tabs>
        <w:rPr>
          <w:sz w:val="28"/>
          <w:szCs w:val="28"/>
        </w:rPr>
      </w:pPr>
    </w:p>
    <w:p w14:paraId="39D6ACB3" w14:textId="77777777" w:rsidR="00901EDC" w:rsidRPr="00992A2E" w:rsidRDefault="00901EDC" w:rsidP="001E3603">
      <w:pPr>
        <w:pStyle w:val="Estilo1"/>
        <w:rPr>
          <w:b/>
          <w:bCs/>
          <w:sz w:val="28"/>
          <w:szCs w:val="28"/>
        </w:rPr>
      </w:pPr>
      <w:r w:rsidRPr="00992A2E">
        <w:rPr>
          <w:b/>
          <w:bCs/>
          <w:sz w:val="28"/>
          <w:szCs w:val="28"/>
        </w:rPr>
        <w:lastRenderedPageBreak/>
        <w:t>II. LA NORMA DEMANDADA</w:t>
      </w:r>
    </w:p>
    <w:p w14:paraId="7BAC2DA9" w14:textId="77777777" w:rsidR="00901EDC" w:rsidRPr="00992A2E" w:rsidRDefault="00901EDC" w:rsidP="001E3603">
      <w:pPr>
        <w:pStyle w:val="Estilo1"/>
        <w:tabs>
          <w:tab w:val="left" w:pos="426"/>
        </w:tabs>
        <w:rPr>
          <w:sz w:val="28"/>
          <w:szCs w:val="28"/>
        </w:rPr>
      </w:pPr>
    </w:p>
    <w:p w14:paraId="1760960C" w14:textId="77777777" w:rsidR="00901EDC" w:rsidRPr="00992A2E" w:rsidRDefault="00901EDC" w:rsidP="001E3603">
      <w:pPr>
        <w:pStyle w:val="Estilo1"/>
        <w:numPr>
          <w:ilvl w:val="0"/>
          <w:numId w:val="1"/>
        </w:numPr>
        <w:tabs>
          <w:tab w:val="left" w:pos="426"/>
        </w:tabs>
        <w:ind w:left="0" w:firstLine="0"/>
        <w:rPr>
          <w:sz w:val="28"/>
          <w:szCs w:val="28"/>
        </w:rPr>
      </w:pPr>
      <w:r w:rsidRPr="00992A2E">
        <w:rPr>
          <w:sz w:val="28"/>
          <w:szCs w:val="28"/>
        </w:rPr>
        <w:t>A continuación, se transcribe el texto del artículo 248 de la Ley 906 de 2004 y se subraya la expresión acusada:</w:t>
      </w:r>
    </w:p>
    <w:p w14:paraId="6F690254" w14:textId="77777777" w:rsidR="00901EDC" w:rsidRPr="00992A2E" w:rsidRDefault="00901EDC" w:rsidP="001E3603">
      <w:pPr>
        <w:pStyle w:val="Prrafodelista"/>
        <w:ind w:left="0"/>
        <w:jc w:val="both"/>
        <w:rPr>
          <w:sz w:val="28"/>
          <w:szCs w:val="28"/>
          <w:lang w:val="es-ES_tradnl"/>
        </w:rPr>
      </w:pPr>
    </w:p>
    <w:p w14:paraId="2A8B44A8" w14:textId="77777777" w:rsidR="00901EDC" w:rsidRPr="00992A2E" w:rsidRDefault="00901EDC" w:rsidP="001E3603">
      <w:pPr>
        <w:pStyle w:val="Prrafodelista"/>
        <w:ind w:left="709" w:right="709"/>
        <w:jc w:val="center"/>
        <w:rPr>
          <w:lang w:val="es-ES_tradnl"/>
        </w:rPr>
      </w:pPr>
      <w:r w:rsidRPr="00992A2E">
        <w:rPr>
          <w:lang w:val="es-ES_tradnl"/>
        </w:rPr>
        <w:t>LEY 906 DE 2004 […]</w:t>
      </w:r>
    </w:p>
    <w:p w14:paraId="3BD5A97D" w14:textId="77777777" w:rsidR="00901EDC" w:rsidRPr="00992A2E" w:rsidRDefault="00901EDC" w:rsidP="001E3603">
      <w:pPr>
        <w:pStyle w:val="Prrafodelista"/>
        <w:ind w:left="709" w:right="709"/>
        <w:jc w:val="center"/>
        <w:rPr>
          <w:lang w:val="es-ES_tradnl"/>
        </w:rPr>
      </w:pPr>
      <w:r w:rsidRPr="00992A2E">
        <w:rPr>
          <w:lang w:val="es-ES_tradnl"/>
        </w:rPr>
        <w:t>Por la cual se expide el Código de Procedimiento Penal […]</w:t>
      </w:r>
    </w:p>
    <w:p w14:paraId="0ED3ECB1" w14:textId="77777777" w:rsidR="00901EDC" w:rsidRPr="00992A2E" w:rsidRDefault="00901EDC" w:rsidP="001E3603">
      <w:pPr>
        <w:pStyle w:val="Prrafodelista"/>
        <w:ind w:left="709" w:right="709"/>
        <w:jc w:val="both"/>
        <w:rPr>
          <w:rStyle w:val="apple-converted-space"/>
          <w:lang w:val="es-ES_tradnl"/>
        </w:rPr>
      </w:pPr>
    </w:p>
    <w:p w14:paraId="732BF254" w14:textId="77777777" w:rsidR="00901EDC" w:rsidRPr="00992A2E" w:rsidRDefault="00901EDC" w:rsidP="001E3603">
      <w:pPr>
        <w:pStyle w:val="Prrafodelista"/>
        <w:ind w:left="709" w:right="709"/>
        <w:jc w:val="both"/>
        <w:rPr>
          <w:rStyle w:val="apple-converted-space"/>
          <w:lang w:val="es-ES_tradnl"/>
        </w:rPr>
      </w:pPr>
      <w:r w:rsidRPr="00992A2E">
        <w:rPr>
          <w:rStyle w:val="apple-converted-space"/>
          <w:lang w:val="es-ES_tradnl"/>
        </w:rPr>
        <w:t>ARTÍCULO 248. REGISTRO PERSONAL</w:t>
      </w:r>
      <w:r w:rsidRPr="00992A2E">
        <w:rPr>
          <w:rStyle w:val="Refdenotaalpie"/>
          <w:lang w:val="es-ES_tradnl"/>
        </w:rPr>
        <w:footnoteReference w:id="1"/>
      </w:r>
      <w:r w:rsidRPr="00992A2E">
        <w:rPr>
          <w:rStyle w:val="apple-converted-space"/>
          <w:lang w:val="es-ES_tradnl"/>
        </w:rPr>
        <w:t>. [S]</w:t>
      </w:r>
      <w:proofErr w:type="spellStart"/>
      <w:r w:rsidRPr="00992A2E">
        <w:rPr>
          <w:rStyle w:val="apple-converted-space"/>
          <w:lang w:val="es-ES_tradnl"/>
        </w:rPr>
        <w:t>alvo</w:t>
      </w:r>
      <w:proofErr w:type="spellEnd"/>
      <w:r w:rsidRPr="00992A2E">
        <w:rPr>
          <w:rStyle w:val="apple-converted-space"/>
          <w:lang w:val="es-ES_tradnl"/>
        </w:rPr>
        <w:t xml:space="preserve"> que se trate de registro incidental a la captura, realizado con ocasión de ella, el </w:t>
      </w:r>
      <w:proofErr w:type="gramStart"/>
      <w:r w:rsidRPr="00992A2E">
        <w:rPr>
          <w:rStyle w:val="apple-converted-space"/>
          <w:lang w:val="es-ES_tradnl"/>
        </w:rPr>
        <w:t>Fiscal General</w:t>
      </w:r>
      <w:proofErr w:type="gramEnd"/>
      <w:r w:rsidRPr="00992A2E">
        <w:rPr>
          <w:rStyle w:val="apple-converted-space"/>
          <w:lang w:val="es-ES_tradnl"/>
        </w:rPr>
        <w:t xml:space="preserve"> o su delegado que tenga motivos razonablemente fundados, de acuerdo con medios cognoscitivos previstos en este código, para inferir que alguna persona relacionada con la investigación que adelanta, está en posesión de elementos materiales probatorios y evidencia física, podrá ordenar el registro de esa persona.</w:t>
      </w:r>
    </w:p>
    <w:p w14:paraId="77FC6AE9" w14:textId="77777777" w:rsidR="00901EDC" w:rsidRPr="00992A2E" w:rsidRDefault="00901EDC" w:rsidP="001E3603">
      <w:pPr>
        <w:pStyle w:val="Prrafodelista"/>
        <w:ind w:left="709" w:right="709"/>
        <w:jc w:val="both"/>
        <w:rPr>
          <w:rStyle w:val="apple-converted-space"/>
          <w:lang w:val="es-ES_tradnl"/>
        </w:rPr>
      </w:pPr>
    </w:p>
    <w:p w14:paraId="299E6A27" w14:textId="77777777" w:rsidR="00901EDC" w:rsidRPr="00992A2E" w:rsidRDefault="00901EDC" w:rsidP="001E3603">
      <w:pPr>
        <w:pStyle w:val="Prrafodelista"/>
        <w:ind w:left="709" w:right="709"/>
        <w:jc w:val="both"/>
        <w:rPr>
          <w:lang w:val="es-ES_tradnl"/>
        </w:rPr>
      </w:pPr>
      <w:r w:rsidRPr="00992A2E">
        <w:rPr>
          <w:rStyle w:val="apple-converted-space"/>
          <w:lang w:val="es-ES_tradnl"/>
        </w:rPr>
        <w:t xml:space="preserve">Para practicar este registro se designará a persona del mismo </w:t>
      </w:r>
      <w:r w:rsidRPr="00992A2E">
        <w:rPr>
          <w:rStyle w:val="apple-converted-space"/>
          <w:u w:val="single"/>
          <w:lang w:val="es-ES_tradnl"/>
        </w:rPr>
        <w:t xml:space="preserve">sexo </w:t>
      </w:r>
      <w:r w:rsidRPr="00992A2E">
        <w:rPr>
          <w:rStyle w:val="apple-converted-space"/>
          <w:lang w:val="es-ES_tradnl"/>
        </w:rPr>
        <w:t>de la que habrá de registrarse, y se guardarán con ella toda clase de consideraciones compatibles con la dignidad humana. Si se tratare del imputado deberá estar asistido por su defensor.</w:t>
      </w:r>
    </w:p>
    <w:p w14:paraId="3D5B173C" w14:textId="77777777" w:rsidR="00901EDC" w:rsidRPr="00992A2E" w:rsidRDefault="00901EDC" w:rsidP="001E3603">
      <w:pPr>
        <w:pStyle w:val="Estilo1"/>
        <w:ind w:right="0"/>
        <w:rPr>
          <w:sz w:val="28"/>
          <w:szCs w:val="28"/>
        </w:rPr>
      </w:pPr>
    </w:p>
    <w:p w14:paraId="6A97340F" w14:textId="77777777" w:rsidR="00901EDC" w:rsidRPr="00992A2E" w:rsidRDefault="00901EDC" w:rsidP="001E3603">
      <w:pPr>
        <w:pStyle w:val="Estilo1"/>
        <w:tabs>
          <w:tab w:val="left" w:pos="426"/>
        </w:tabs>
        <w:rPr>
          <w:b/>
          <w:bCs/>
          <w:sz w:val="28"/>
          <w:szCs w:val="28"/>
        </w:rPr>
      </w:pPr>
      <w:r w:rsidRPr="00992A2E">
        <w:rPr>
          <w:b/>
          <w:bCs/>
          <w:sz w:val="28"/>
          <w:szCs w:val="28"/>
        </w:rPr>
        <w:t>III. LA DEMANDA</w:t>
      </w:r>
    </w:p>
    <w:p w14:paraId="45B5066E" w14:textId="77777777" w:rsidR="00901EDC" w:rsidRPr="00992A2E" w:rsidRDefault="00901EDC" w:rsidP="001E3603">
      <w:pPr>
        <w:pStyle w:val="Estilo1"/>
        <w:tabs>
          <w:tab w:val="left" w:pos="426"/>
        </w:tabs>
        <w:rPr>
          <w:sz w:val="28"/>
          <w:szCs w:val="28"/>
        </w:rPr>
      </w:pPr>
    </w:p>
    <w:p w14:paraId="4CC481C7" w14:textId="77777777" w:rsidR="00901EDC" w:rsidRPr="00992A2E" w:rsidRDefault="00901EDC" w:rsidP="001E3603">
      <w:pPr>
        <w:pStyle w:val="Estilo1"/>
        <w:numPr>
          <w:ilvl w:val="0"/>
          <w:numId w:val="1"/>
        </w:numPr>
        <w:tabs>
          <w:tab w:val="left" w:pos="426"/>
        </w:tabs>
        <w:ind w:left="0" w:firstLine="0"/>
        <w:rPr>
          <w:sz w:val="28"/>
          <w:szCs w:val="28"/>
        </w:rPr>
      </w:pPr>
      <w:r w:rsidRPr="00992A2E">
        <w:rPr>
          <w:sz w:val="28"/>
          <w:szCs w:val="28"/>
        </w:rPr>
        <w:t xml:space="preserve">Los demandantes solicitan que la norma acusada se declare inconstitucional </w:t>
      </w:r>
      <w:r w:rsidRPr="00992A2E">
        <w:rPr>
          <w:sz w:val="26"/>
          <w:szCs w:val="26"/>
        </w:rPr>
        <w:t>«en cuanto a su segundo inciso, dirigiéndose especial y específicamente al término SEXO»</w:t>
      </w:r>
      <w:r w:rsidRPr="00992A2E">
        <w:rPr>
          <w:rStyle w:val="Refdenotaalpie"/>
          <w:sz w:val="26"/>
          <w:szCs w:val="26"/>
        </w:rPr>
        <w:footnoteReference w:id="2"/>
      </w:r>
      <w:r w:rsidRPr="00992A2E">
        <w:rPr>
          <w:sz w:val="26"/>
          <w:szCs w:val="26"/>
        </w:rPr>
        <w:t>.</w:t>
      </w:r>
      <w:r w:rsidRPr="00992A2E">
        <w:t xml:space="preserve"> </w:t>
      </w:r>
      <w:r w:rsidRPr="00992A2E">
        <w:rPr>
          <w:sz w:val="28"/>
          <w:szCs w:val="28"/>
        </w:rPr>
        <w:t xml:space="preserve">Según los actores, la perspectiva del sexo ha sido ampliada por circunstancias sociales y culturales, lo que quiere decir que existen muchos factores que contribuyen a la identidad y experiencias del individuo. En específico, en lo que tiene que ver con la identidad de género, </w:t>
      </w:r>
      <w:r w:rsidRPr="00992A2E">
        <w:rPr>
          <w:rFonts w:eastAsiaTheme="minorHAnsi"/>
          <w:sz w:val="28"/>
          <w:szCs w:val="28"/>
          <w:lang w:eastAsia="en-US"/>
        </w:rPr>
        <w:t xml:space="preserve">citaron la Sentencia SU-440 de 2021 para explicar que las identidades transgénero –que comprenden las experiencias de género que no encajan en el sistema binario o de identidad cisgénero, es decir, las personas que vivencian su género de forma diversa al que se les asignó al nacer– son invisibilizadas por el concepto de </w:t>
      </w:r>
      <w:r w:rsidRPr="00992A2E">
        <w:rPr>
          <w:rFonts w:eastAsiaTheme="minorHAnsi"/>
          <w:sz w:val="26"/>
          <w:szCs w:val="26"/>
          <w:lang w:eastAsia="en-US"/>
        </w:rPr>
        <w:t>«sexo»</w:t>
      </w:r>
      <w:r w:rsidRPr="00992A2E">
        <w:rPr>
          <w:rFonts w:eastAsiaTheme="minorHAnsi"/>
          <w:sz w:val="28"/>
          <w:szCs w:val="28"/>
          <w:lang w:eastAsia="en-US"/>
        </w:rPr>
        <w:t xml:space="preserve">. En ese contexto, la expresión acusada es inconstitucional, en la medida que se basa en un estereotipo que anula la autonomía del ser humano, al asociarlo a </w:t>
      </w:r>
      <w:r w:rsidRPr="00992A2E">
        <w:rPr>
          <w:rFonts w:eastAsiaTheme="minorHAnsi"/>
          <w:sz w:val="26"/>
          <w:szCs w:val="26"/>
          <w:lang w:eastAsia="en-US"/>
        </w:rPr>
        <w:t>«nociones de determinismo biológico»</w:t>
      </w:r>
      <w:r w:rsidRPr="00992A2E">
        <w:rPr>
          <w:rFonts w:eastAsiaTheme="minorHAnsi"/>
          <w:sz w:val="28"/>
          <w:szCs w:val="28"/>
          <w:lang w:eastAsia="en-US"/>
        </w:rPr>
        <w:t xml:space="preserve"> que afectan su honra y socavan la construcción de su plan de vida sin discriminación, </w:t>
      </w:r>
      <w:r w:rsidRPr="00992A2E">
        <w:rPr>
          <w:sz w:val="28"/>
          <w:szCs w:val="28"/>
        </w:rPr>
        <w:t>impactando en la individualidad del ser humano</w:t>
      </w:r>
      <w:r w:rsidRPr="00992A2E">
        <w:rPr>
          <w:rFonts w:eastAsiaTheme="minorHAnsi"/>
          <w:sz w:val="28"/>
          <w:szCs w:val="28"/>
          <w:lang w:eastAsia="en-US"/>
        </w:rPr>
        <w:t xml:space="preserve">. </w:t>
      </w:r>
    </w:p>
    <w:p w14:paraId="29B384A3" w14:textId="77777777" w:rsidR="00901EDC" w:rsidRPr="00992A2E" w:rsidRDefault="00901EDC" w:rsidP="001E3603">
      <w:pPr>
        <w:pStyle w:val="Estilo1"/>
        <w:tabs>
          <w:tab w:val="left" w:pos="426"/>
        </w:tabs>
        <w:rPr>
          <w:sz w:val="28"/>
          <w:szCs w:val="28"/>
        </w:rPr>
      </w:pPr>
    </w:p>
    <w:p w14:paraId="66F436C8" w14:textId="289BEE2C" w:rsidR="00901EDC" w:rsidRPr="00992A2E" w:rsidRDefault="00901EDC" w:rsidP="001E3603">
      <w:pPr>
        <w:pStyle w:val="Estilo1"/>
        <w:numPr>
          <w:ilvl w:val="0"/>
          <w:numId w:val="1"/>
        </w:numPr>
        <w:tabs>
          <w:tab w:val="left" w:pos="426"/>
        </w:tabs>
        <w:ind w:left="0" w:firstLine="0"/>
        <w:rPr>
          <w:sz w:val="28"/>
          <w:szCs w:val="28"/>
        </w:rPr>
      </w:pPr>
      <w:r w:rsidRPr="00992A2E">
        <w:rPr>
          <w:sz w:val="28"/>
          <w:szCs w:val="28"/>
        </w:rPr>
        <w:t xml:space="preserve">Por lo anterior, argumentaron que la norma demandada genera un trato discriminatorio en </w:t>
      </w:r>
      <w:r w:rsidRPr="00992A2E">
        <w:rPr>
          <w:sz w:val="26"/>
          <w:szCs w:val="26"/>
        </w:rPr>
        <w:t>«cuanto presenta un estereotipo, que consiste en la realización de suposiciones o generalizaciones sobre las personas en función de su sexo u otras características, dando lugar a juicios sesgados y acciones discriminatorias y cuando esto sucede las personas son encasilladas o estereotipadas en función de su sexo (características biológicas) en lugar de su género (una identidad social y personal más compleja)»</w:t>
      </w:r>
      <w:r w:rsidRPr="00992A2E">
        <w:rPr>
          <w:sz w:val="28"/>
          <w:szCs w:val="28"/>
        </w:rPr>
        <w:t xml:space="preserve">. Por lo cual, consideran que las personas que no se identifican con lo que típicamente se ha clasificado como mujer u hombre, en función de las </w:t>
      </w:r>
      <w:r w:rsidRPr="00992A2E">
        <w:rPr>
          <w:sz w:val="28"/>
          <w:szCs w:val="28"/>
        </w:rPr>
        <w:lastRenderedPageBreak/>
        <w:t xml:space="preserve">características </w:t>
      </w:r>
      <w:r w:rsidRPr="00992A2E">
        <w:rPr>
          <w:rFonts w:eastAsiaTheme="minorHAnsi"/>
          <w:sz w:val="28"/>
          <w:szCs w:val="28"/>
          <w:lang w:eastAsia="en-US"/>
        </w:rPr>
        <w:t>observables de los seres humanos, se ven discriminadas</w:t>
      </w:r>
      <w:r w:rsidRPr="00992A2E">
        <w:rPr>
          <w:sz w:val="28"/>
          <w:szCs w:val="28"/>
        </w:rPr>
        <w:t xml:space="preserve">. </w:t>
      </w:r>
      <w:r w:rsidRPr="00992A2E">
        <w:rPr>
          <w:rFonts w:eastAsiaTheme="minorHAnsi"/>
          <w:sz w:val="28"/>
          <w:szCs w:val="28"/>
          <w:lang w:eastAsia="en-US"/>
        </w:rPr>
        <w:t xml:space="preserve">De ahí que emplear </w:t>
      </w:r>
      <w:r w:rsidRPr="00992A2E">
        <w:rPr>
          <w:sz w:val="28"/>
          <w:szCs w:val="28"/>
        </w:rPr>
        <w:t xml:space="preserve">la palabra </w:t>
      </w:r>
      <w:r w:rsidRPr="00992A2E">
        <w:rPr>
          <w:sz w:val="26"/>
          <w:szCs w:val="26"/>
        </w:rPr>
        <w:t>«sexo»</w:t>
      </w:r>
      <w:r w:rsidRPr="00992A2E">
        <w:rPr>
          <w:sz w:val="28"/>
          <w:szCs w:val="28"/>
        </w:rPr>
        <w:t xml:space="preserve"> como parámetro para realizar el registro personal, desconoce que, en virtud del derecho a la identidad de género, las personas no se definen únicamente en función de sus cualidades físicas</w:t>
      </w:r>
      <w:r w:rsidRPr="00992A2E">
        <w:rPr>
          <w:rFonts w:eastAsiaTheme="minorHAnsi"/>
          <w:sz w:val="26"/>
          <w:szCs w:val="26"/>
          <w:lang w:eastAsia="en-US"/>
        </w:rPr>
        <w:t>.</w:t>
      </w:r>
      <w:r w:rsidR="0089167F" w:rsidRPr="00992A2E">
        <w:rPr>
          <w:rFonts w:eastAsiaTheme="minorHAnsi"/>
          <w:sz w:val="26"/>
          <w:szCs w:val="26"/>
          <w:lang w:eastAsia="en-US"/>
        </w:rPr>
        <w:t xml:space="preserve"> </w:t>
      </w:r>
    </w:p>
    <w:p w14:paraId="2D880549" w14:textId="77777777" w:rsidR="0089167F" w:rsidRPr="00992A2E" w:rsidRDefault="0089167F" w:rsidP="00CA763A">
      <w:pPr>
        <w:pStyle w:val="Prrafodelista"/>
        <w:rPr>
          <w:sz w:val="28"/>
          <w:szCs w:val="28"/>
        </w:rPr>
      </w:pPr>
    </w:p>
    <w:p w14:paraId="773B0050" w14:textId="1CC008FA" w:rsidR="0089167F" w:rsidRPr="00992A2E" w:rsidRDefault="0089167F" w:rsidP="001E3603">
      <w:pPr>
        <w:pStyle w:val="Estilo1"/>
        <w:numPr>
          <w:ilvl w:val="0"/>
          <w:numId w:val="1"/>
        </w:numPr>
        <w:tabs>
          <w:tab w:val="left" w:pos="426"/>
        </w:tabs>
        <w:ind w:left="0" w:firstLine="0"/>
        <w:rPr>
          <w:sz w:val="28"/>
          <w:szCs w:val="28"/>
        </w:rPr>
      </w:pPr>
      <w:r w:rsidRPr="00992A2E">
        <w:rPr>
          <w:sz w:val="28"/>
          <w:szCs w:val="28"/>
        </w:rPr>
        <w:t xml:space="preserve">Para los accionantes, el registro personal se encuentra </w:t>
      </w:r>
      <w:r w:rsidR="000F085D" w:rsidRPr="00992A2E">
        <w:rPr>
          <w:sz w:val="28"/>
          <w:szCs w:val="28"/>
        </w:rPr>
        <w:t>«</w:t>
      </w:r>
      <w:r w:rsidRPr="00992A2E">
        <w:rPr>
          <w:sz w:val="28"/>
          <w:szCs w:val="28"/>
        </w:rPr>
        <w:t>a cargo de la Policía Nacional generalmente</w:t>
      </w:r>
      <w:r w:rsidR="000F085D" w:rsidRPr="00992A2E">
        <w:rPr>
          <w:sz w:val="28"/>
          <w:szCs w:val="28"/>
        </w:rPr>
        <w:t>»</w:t>
      </w:r>
      <w:r w:rsidRPr="00992A2E">
        <w:rPr>
          <w:sz w:val="28"/>
          <w:szCs w:val="28"/>
        </w:rPr>
        <w:t xml:space="preserve"> (…) y </w:t>
      </w:r>
      <w:r w:rsidR="000F085D" w:rsidRPr="00992A2E">
        <w:rPr>
          <w:sz w:val="28"/>
          <w:szCs w:val="28"/>
        </w:rPr>
        <w:t>«</w:t>
      </w:r>
      <w:r w:rsidRPr="00992A2E">
        <w:rPr>
          <w:sz w:val="28"/>
          <w:szCs w:val="28"/>
        </w:rPr>
        <w:t>es entonces una medida preventiva implementada por la Policía Nacional con la finalidad de preservar el orden público</w:t>
      </w:r>
      <w:r w:rsidR="000F085D" w:rsidRPr="00992A2E">
        <w:rPr>
          <w:sz w:val="28"/>
          <w:szCs w:val="28"/>
        </w:rPr>
        <w:t>»</w:t>
      </w:r>
      <w:r w:rsidRPr="00992A2E">
        <w:rPr>
          <w:sz w:val="28"/>
          <w:szCs w:val="28"/>
        </w:rPr>
        <w:t>, y al respecto citan apartes de la Sentencia C-789 de 2006, relativ</w:t>
      </w:r>
      <w:r w:rsidR="00D80A46" w:rsidRPr="00992A2E">
        <w:rPr>
          <w:sz w:val="28"/>
          <w:szCs w:val="28"/>
        </w:rPr>
        <w:t>o</w:t>
      </w:r>
      <w:r w:rsidRPr="00992A2E">
        <w:rPr>
          <w:sz w:val="28"/>
          <w:szCs w:val="28"/>
        </w:rPr>
        <w:t>s a que se trata de un procedimiento para prevenir la comisión de una conducta punible o contraria a la convivencia.</w:t>
      </w:r>
    </w:p>
    <w:p w14:paraId="41E68121" w14:textId="77777777" w:rsidR="00901EDC" w:rsidRPr="00992A2E" w:rsidRDefault="00901EDC" w:rsidP="001E3603">
      <w:pPr>
        <w:pStyle w:val="Estilo1"/>
        <w:tabs>
          <w:tab w:val="left" w:pos="426"/>
        </w:tabs>
        <w:rPr>
          <w:sz w:val="28"/>
          <w:szCs w:val="28"/>
        </w:rPr>
      </w:pPr>
    </w:p>
    <w:p w14:paraId="42F4AD19" w14:textId="77777777" w:rsidR="00901EDC" w:rsidRPr="00992A2E" w:rsidRDefault="00901EDC" w:rsidP="001E3603">
      <w:pPr>
        <w:pStyle w:val="Estilo1"/>
        <w:tabs>
          <w:tab w:val="left" w:pos="426"/>
        </w:tabs>
        <w:rPr>
          <w:sz w:val="28"/>
          <w:szCs w:val="28"/>
        </w:rPr>
      </w:pPr>
      <w:r w:rsidRPr="00992A2E">
        <w:rPr>
          <w:b/>
          <w:bCs/>
          <w:sz w:val="28"/>
          <w:szCs w:val="28"/>
        </w:rPr>
        <w:t>IV. PRUEBAS RECAUDADAS</w:t>
      </w:r>
    </w:p>
    <w:p w14:paraId="3FA17751" w14:textId="77777777" w:rsidR="00901EDC" w:rsidRPr="00992A2E" w:rsidRDefault="00901EDC" w:rsidP="001E3603">
      <w:pPr>
        <w:pStyle w:val="Prrafodelista"/>
        <w:rPr>
          <w:sz w:val="28"/>
          <w:szCs w:val="28"/>
          <w:lang w:val="es-ES_tradnl"/>
        </w:rPr>
      </w:pPr>
    </w:p>
    <w:p w14:paraId="306B3319" w14:textId="77777777" w:rsidR="00901EDC" w:rsidRPr="00992A2E" w:rsidRDefault="00901EDC" w:rsidP="001E3603">
      <w:pPr>
        <w:pStyle w:val="Estilo1"/>
        <w:numPr>
          <w:ilvl w:val="0"/>
          <w:numId w:val="1"/>
        </w:numPr>
        <w:tabs>
          <w:tab w:val="left" w:pos="426"/>
        </w:tabs>
        <w:ind w:left="0" w:firstLine="0"/>
        <w:rPr>
          <w:sz w:val="28"/>
          <w:szCs w:val="28"/>
        </w:rPr>
      </w:pPr>
      <w:r w:rsidRPr="00992A2E">
        <w:rPr>
          <w:sz w:val="28"/>
          <w:szCs w:val="28"/>
        </w:rPr>
        <w:t xml:space="preserve">En virtud del requerimiento efectuado por el magistrado ponente, la </w:t>
      </w:r>
      <w:proofErr w:type="gramStart"/>
      <w:r w:rsidRPr="00992A2E">
        <w:rPr>
          <w:sz w:val="28"/>
          <w:szCs w:val="28"/>
        </w:rPr>
        <w:t>Fiscalía General</w:t>
      </w:r>
      <w:proofErr w:type="gramEnd"/>
      <w:r w:rsidRPr="00992A2E">
        <w:rPr>
          <w:sz w:val="28"/>
          <w:szCs w:val="28"/>
        </w:rPr>
        <w:t xml:space="preserve"> de la Nación rindió informe sobre cómo se desarrolla la diligencia de registro regulada en el precepto demandado. Precisó que es practicada por </w:t>
      </w:r>
      <w:r w:rsidRPr="00992A2E">
        <w:rPr>
          <w:rFonts w:eastAsiaTheme="minorHAnsi"/>
          <w:sz w:val="28"/>
          <w:szCs w:val="28"/>
          <w:lang w:eastAsia="en-US"/>
          <w14:ligatures w14:val="standardContextual"/>
        </w:rPr>
        <w:t xml:space="preserve">la policía judicial del Cuerpo Técnico de Investigación (CTI), siguiendo los lineamientos del </w:t>
      </w:r>
      <w:r w:rsidRPr="00992A2E">
        <w:rPr>
          <w:sz w:val="26"/>
          <w:szCs w:val="26"/>
        </w:rPr>
        <w:t>«</w:t>
      </w:r>
      <w:r w:rsidRPr="00992A2E">
        <w:rPr>
          <w:rFonts w:eastAsiaTheme="minorHAnsi"/>
          <w:sz w:val="26"/>
          <w:szCs w:val="26"/>
          <w:lang w:eastAsia="en-US"/>
          <w14:ligatures w14:val="standardContextual"/>
        </w:rPr>
        <w:t xml:space="preserve">Manual Único de Policía Judicial - versión 2, capítulo 5 (actuaciones para la obtención y recuperación de muestras en víctimas, indiciados o imputados), numeral 5.3». </w:t>
      </w:r>
    </w:p>
    <w:p w14:paraId="1B94034D" w14:textId="77777777" w:rsidR="00901EDC" w:rsidRPr="00992A2E" w:rsidRDefault="00901EDC" w:rsidP="001E3603">
      <w:pPr>
        <w:pStyle w:val="Estilo1"/>
        <w:tabs>
          <w:tab w:val="left" w:pos="426"/>
        </w:tabs>
        <w:rPr>
          <w:sz w:val="28"/>
          <w:szCs w:val="28"/>
        </w:rPr>
      </w:pPr>
    </w:p>
    <w:p w14:paraId="184F63D0" w14:textId="77777777" w:rsidR="00901EDC" w:rsidRPr="00992A2E" w:rsidRDefault="00901EDC" w:rsidP="001E3603">
      <w:pPr>
        <w:pStyle w:val="Estilo1"/>
        <w:numPr>
          <w:ilvl w:val="0"/>
          <w:numId w:val="1"/>
        </w:numPr>
        <w:tabs>
          <w:tab w:val="left" w:pos="426"/>
        </w:tabs>
        <w:ind w:left="0" w:firstLine="0"/>
        <w:rPr>
          <w:sz w:val="28"/>
          <w:szCs w:val="28"/>
        </w:rPr>
      </w:pPr>
      <w:r w:rsidRPr="00992A2E">
        <w:rPr>
          <w:rFonts w:eastAsiaTheme="minorHAnsi"/>
          <w:sz w:val="28"/>
          <w:szCs w:val="28"/>
          <w:lang w:eastAsia="en-US"/>
          <w14:ligatures w14:val="standardContextual"/>
        </w:rPr>
        <w:t xml:space="preserve">En virtud de aquel manual, el procedimiento se realiza </w:t>
      </w:r>
      <w:r w:rsidRPr="00992A2E">
        <w:rPr>
          <w:rFonts w:eastAsiaTheme="minorHAnsi"/>
          <w:sz w:val="26"/>
          <w:szCs w:val="26"/>
          <w:lang w:eastAsia="en-US"/>
          <w14:ligatures w14:val="standardContextual"/>
        </w:rPr>
        <w:t>«cuando se tienen motivos fundados para inferir que una persona relacionada con la investigación que se adelanta oculta elementos materiales probatorios - EMP - y evidencia física - EF - entre sus pertenencias o los lleva adheridos externamente a su cuerpo»</w:t>
      </w:r>
      <w:r w:rsidRPr="00992A2E">
        <w:rPr>
          <w:rFonts w:eastAsiaTheme="minorHAnsi"/>
          <w:sz w:val="28"/>
          <w:szCs w:val="28"/>
          <w:lang w:eastAsia="en-US"/>
          <w14:ligatures w14:val="standardContextual"/>
        </w:rPr>
        <w:t>.</w:t>
      </w:r>
      <w:r w:rsidRPr="00992A2E">
        <w:rPr>
          <w:sz w:val="28"/>
          <w:szCs w:val="28"/>
        </w:rPr>
        <w:t xml:space="preserve"> Verificado ello, continúa la actuación </w:t>
      </w:r>
      <w:r w:rsidRPr="00992A2E">
        <w:rPr>
          <w:rFonts w:eastAsiaTheme="minorHAnsi"/>
          <w:sz w:val="26"/>
          <w:szCs w:val="26"/>
          <w:lang w:eastAsia="en-US"/>
          <w14:ligatures w14:val="standardContextual"/>
        </w:rPr>
        <w:t>«ubicando a la persona, presentándole la autorización del juez de control de garantías para llevar a</w:t>
      </w:r>
      <w:r w:rsidRPr="00992A2E">
        <w:rPr>
          <w:sz w:val="26"/>
          <w:szCs w:val="26"/>
        </w:rPr>
        <w:t xml:space="preserve"> </w:t>
      </w:r>
      <w:r w:rsidRPr="00992A2E">
        <w:rPr>
          <w:rFonts w:eastAsiaTheme="minorHAnsi"/>
          <w:sz w:val="26"/>
          <w:szCs w:val="26"/>
          <w:lang w:eastAsia="en-US"/>
          <w14:ligatures w14:val="standardContextual"/>
        </w:rPr>
        <w:t>cabo la diligencia y la orden del Fiscal que la solicita. Posteriormente, se procede a practicar el registro superficial a la persona para hallar y recolectar los elementos que se requieren. De lo actuado, se deja constancia en el formato de investigador de campo, el cual es entregado al Fiscal para que realice el control posterior de</w:t>
      </w:r>
      <w:r w:rsidRPr="00992A2E">
        <w:rPr>
          <w:sz w:val="26"/>
          <w:szCs w:val="26"/>
        </w:rPr>
        <w:t xml:space="preserve"> </w:t>
      </w:r>
      <w:r w:rsidRPr="00992A2E">
        <w:rPr>
          <w:rFonts w:eastAsiaTheme="minorHAnsi"/>
          <w:sz w:val="26"/>
          <w:szCs w:val="26"/>
          <w:lang w:eastAsia="en-US"/>
          <w14:ligatures w14:val="standardContextual"/>
        </w:rPr>
        <w:t>legalidad»</w:t>
      </w:r>
      <w:r w:rsidRPr="00992A2E">
        <w:rPr>
          <w:rFonts w:eastAsiaTheme="minorHAnsi"/>
          <w:sz w:val="28"/>
          <w:szCs w:val="28"/>
          <w:lang w:eastAsia="en-US"/>
          <w14:ligatures w14:val="standardContextual"/>
        </w:rPr>
        <w:t xml:space="preserve">. </w:t>
      </w:r>
    </w:p>
    <w:p w14:paraId="38B4D6F0" w14:textId="77777777" w:rsidR="00901EDC" w:rsidRPr="00992A2E" w:rsidRDefault="00901EDC" w:rsidP="001E3603">
      <w:pPr>
        <w:rPr>
          <w:sz w:val="28"/>
          <w:szCs w:val="28"/>
          <w:lang w:val="es-ES_tradnl"/>
        </w:rPr>
      </w:pPr>
    </w:p>
    <w:p w14:paraId="0CA68DC2" w14:textId="77777777" w:rsidR="00901EDC" w:rsidRPr="00992A2E" w:rsidRDefault="00901EDC" w:rsidP="001E3603">
      <w:pPr>
        <w:pStyle w:val="Estilo1"/>
        <w:numPr>
          <w:ilvl w:val="0"/>
          <w:numId w:val="1"/>
        </w:numPr>
        <w:tabs>
          <w:tab w:val="left" w:pos="426"/>
        </w:tabs>
        <w:ind w:left="0" w:firstLine="0"/>
        <w:rPr>
          <w:sz w:val="28"/>
          <w:szCs w:val="28"/>
        </w:rPr>
      </w:pPr>
      <w:r w:rsidRPr="00992A2E">
        <w:rPr>
          <w:sz w:val="28"/>
          <w:szCs w:val="28"/>
        </w:rPr>
        <w:t>Replicando la norma demandada</w:t>
      </w:r>
      <w:r w:rsidRPr="00992A2E">
        <w:rPr>
          <w:rFonts w:eastAsiaTheme="minorHAnsi"/>
          <w:sz w:val="28"/>
          <w:szCs w:val="28"/>
          <w:lang w:eastAsia="en-US"/>
          <w14:ligatures w14:val="standardContextual"/>
        </w:rPr>
        <w:t xml:space="preserve">, el manual señala que el registro se realiza por una persona del mismo sexo y </w:t>
      </w:r>
      <w:r w:rsidRPr="00992A2E">
        <w:rPr>
          <w:rFonts w:eastAsiaTheme="minorHAnsi"/>
          <w:sz w:val="26"/>
          <w:szCs w:val="26"/>
          <w:lang w:eastAsia="en-US"/>
          <w14:ligatures w14:val="standardContextual"/>
        </w:rPr>
        <w:t>«sobre la superficie del cuerpo, la vestimenta, los elementos que lleve consigo (carteras, mochilas, bolsas, entre otros) y las áreas bajo control físico, del investigado o de un tercero relacionado con la investigación»</w:t>
      </w:r>
      <w:r w:rsidRPr="00992A2E">
        <w:rPr>
          <w:rFonts w:eastAsiaTheme="minorHAnsi"/>
          <w:sz w:val="28"/>
          <w:szCs w:val="28"/>
          <w:lang w:eastAsia="en-US"/>
          <w14:ligatures w14:val="standardContextual"/>
        </w:rPr>
        <w:t xml:space="preserve">. En todo caso, </w:t>
      </w:r>
      <w:r w:rsidRPr="00992A2E">
        <w:rPr>
          <w:rFonts w:eastAsiaTheme="minorHAnsi"/>
          <w:sz w:val="26"/>
          <w:szCs w:val="26"/>
          <w:lang w:eastAsia="en-US"/>
          <w14:ligatures w14:val="standardContextual"/>
        </w:rPr>
        <w:t>«[e]n los eventos en los que la persona impida su registro a pesar de la orden, el servidor de policía judicial no podrá desarrollar el procedimiento»</w:t>
      </w:r>
      <w:r w:rsidRPr="00992A2E">
        <w:rPr>
          <w:rFonts w:eastAsiaTheme="minorHAnsi"/>
          <w:sz w:val="28"/>
          <w:szCs w:val="28"/>
          <w:lang w:eastAsia="en-US"/>
          <w14:ligatures w14:val="standardContextual"/>
        </w:rPr>
        <w:t xml:space="preserve"> y deberá acudirse nuevamente ante el juez de control de garantías para que establezca las condiciones bajo las cuales debe practicarse, conforme se decantó en la Sentencia C-822 de 2005.</w:t>
      </w:r>
    </w:p>
    <w:p w14:paraId="6C98F369" w14:textId="77777777" w:rsidR="00901EDC" w:rsidRPr="00992A2E" w:rsidRDefault="00901EDC" w:rsidP="001E3603">
      <w:pPr>
        <w:rPr>
          <w:rFonts w:eastAsiaTheme="minorHAnsi"/>
          <w:sz w:val="28"/>
          <w:szCs w:val="28"/>
          <w:lang w:val="es-ES_tradnl" w:eastAsia="en-US"/>
          <w14:ligatures w14:val="standardContextual"/>
        </w:rPr>
      </w:pPr>
    </w:p>
    <w:p w14:paraId="42BEFC3B" w14:textId="77777777" w:rsidR="00901EDC" w:rsidRPr="00992A2E" w:rsidRDefault="00901EDC" w:rsidP="001E3603">
      <w:pPr>
        <w:pStyle w:val="Estilo1"/>
        <w:numPr>
          <w:ilvl w:val="0"/>
          <w:numId w:val="1"/>
        </w:numPr>
        <w:tabs>
          <w:tab w:val="left" w:pos="426"/>
        </w:tabs>
        <w:ind w:left="0" w:firstLine="0"/>
        <w:rPr>
          <w:sz w:val="28"/>
          <w:szCs w:val="28"/>
        </w:rPr>
      </w:pPr>
      <w:r w:rsidRPr="00992A2E">
        <w:rPr>
          <w:rFonts w:eastAsiaTheme="minorHAnsi"/>
          <w:sz w:val="28"/>
          <w:szCs w:val="28"/>
          <w:lang w:eastAsia="en-US"/>
          <w14:ligatures w14:val="standardContextual"/>
        </w:rPr>
        <w:t xml:space="preserve">Por último, la </w:t>
      </w:r>
      <w:proofErr w:type="gramStart"/>
      <w:r w:rsidRPr="00992A2E">
        <w:rPr>
          <w:rFonts w:eastAsiaTheme="minorHAnsi"/>
          <w:sz w:val="28"/>
          <w:szCs w:val="28"/>
          <w:lang w:eastAsia="en-US"/>
          <w14:ligatures w14:val="standardContextual"/>
        </w:rPr>
        <w:t>Fiscalía General</w:t>
      </w:r>
      <w:proofErr w:type="gramEnd"/>
      <w:r w:rsidRPr="00992A2E">
        <w:rPr>
          <w:rFonts w:eastAsiaTheme="minorHAnsi"/>
          <w:sz w:val="28"/>
          <w:szCs w:val="28"/>
          <w:lang w:eastAsia="en-US"/>
          <w14:ligatures w14:val="standardContextual"/>
        </w:rPr>
        <w:t xml:space="preserve"> de la Nación relacionó la cantidad de registros que se practican anualmente. Las cifras sugieren una tendencia decreciente desde 2020 hasta la actualidad, periodo en el que estos procedimientos han oscilado entre 4 y 28 al año. Mientras tanto, de 2011 a 2019, se venían practicando entre 250 y 838. Para tales efectos, el ente acusador anexó </w:t>
      </w:r>
      <w:r w:rsidRPr="00992A2E">
        <w:rPr>
          <w:rFonts w:eastAsiaTheme="minorHAnsi"/>
          <w:sz w:val="28"/>
          <w:szCs w:val="28"/>
          <w:lang w:eastAsia="en-US"/>
          <w14:ligatures w14:val="standardContextual"/>
        </w:rPr>
        <w:lastRenderedPageBreak/>
        <w:t xml:space="preserve">la siguiente tabla con información sobre el total de procesos en los sistemas de información de la entidad con la actuación </w:t>
      </w:r>
      <w:r w:rsidRPr="00992A2E">
        <w:rPr>
          <w:rFonts w:eastAsiaTheme="minorHAnsi"/>
          <w:sz w:val="26"/>
          <w:szCs w:val="26"/>
          <w:lang w:eastAsia="en-US"/>
          <w14:ligatures w14:val="standardContextual"/>
        </w:rPr>
        <w:t>«orden de registro personal»</w:t>
      </w:r>
      <w:r w:rsidRPr="00992A2E">
        <w:rPr>
          <w:rFonts w:eastAsiaTheme="minorHAnsi"/>
          <w:sz w:val="28"/>
          <w:szCs w:val="28"/>
          <w:lang w:eastAsia="en-US"/>
          <w14:ligatures w14:val="standardContextual"/>
        </w:rPr>
        <w:t>:</w:t>
      </w:r>
    </w:p>
    <w:p w14:paraId="33DF2B4A" w14:textId="77777777" w:rsidR="00901EDC" w:rsidRPr="00992A2E" w:rsidRDefault="00901EDC" w:rsidP="001E3603">
      <w:pPr>
        <w:pStyle w:val="Prrafodelista"/>
        <w:rPr>
          <w:sz w:val="28"/>
          <w:szCs w:val="28"/>
        </w:rPr>
      </w:pPr>
    </w:p>
    <w:tbl>
      <w:tblPr>
        <w:tblStyle w:val="TableNormal1"/>
        <w:tblW w:w="0" w:type="auto"/>
        <w:tblInd w:w="20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691"/>
        <w:gridCol w:w="2549"/>
      </w:tblGrid>
      <w:tr w:rsidR="00912A66" w:rsidRPr="00992A2E" w14:paraId="728EED4D" w14:textId="77777777" w:rsidTr="005B50BF">
        <w:trPr>
          <w:trHeight w:val="412"/>
        </w:trPr>
        <w:tc>
          <w:tcPr>
            <w:tcW w:w="2691" w:type="dxa"/>
            <w:shd w:val="clear" w:color="auto" w:fill="D9D9D9"/>
          </w:tcPr>
          <w:p w14:paraId="138C9725" w14:textId="77777777" w:rsidR="00901EDC" w:rsidRPr="00992A2E" w:rsidRDefault="00901EDC" w:rsidP="001E3603">
            <w:pPr>
              <w:pStyle w:val="TableParagraph"/>
              <w:spacing w:before="102"/>
              <w:ind w:right="551"/>
              <w:rPr>
                <w:rFonts w:ascii="Arial" w:hAnsi="Arial"/>
                <w:b/>
                <w:sz w:val="18"/>
              </w:rPr>
            </w:pPr>
            <w:r w:rsidRPr="00992A2E">
              <w:rPr>
                <w:rFonts w:ascii="Arial" w:hAnsi="Arial"/>
                <w:b/>
                <w:sz w:val="18"/>
              </w:rPr>
              <w:t>AÑO</w:t>
            </w:r>
            <w:r w:rsidRPr="00992A2E">
              <w:rPr>
                <w:rFonts w:ascii="Arial" w:hAnsi="Arial"/>
                <w:b/>
                <w:spacing w:val="-2"/>
                <w:sz w:val="18"/>
              </w:rPr>
              <w:t xml:space="preserve"> </w:t>
            </w:r>
            <w:r w:rsidRPr="00992A2E">
              <w:rPr>
                <w:rFonts w:ascii="Arial" w:hAnsi="Arial"/>
                <w:b/>
                <w:sz w:val="18"/>
              </w:rPr>
              <w:t>ACTUACION</w:t>
            </w:r>
          </w:p>
        </w:tc>
        <w:tc>
          <w:tcPr>
            <w:tcW w:w="2549" w:type="dxa"/>
            <w:shd w:val="clear" w:color="auto" w:fill="D9D9D9"/>
          </w:tcPr>
          <w:p w14:paraId="138F1114" w14:textId="77777777" w:rsidR="00901EDC" w:rsidRPr="00992A2E" w:rsidRDefault="00901EDC" w:rsidP="001E3603">
            <w:pPr>
              <w:pStyle w:val="TableParagraph"/>
              <w:spacing w:before="0" w:line="206" w:lineRule="exact"/>
              <w:ind w:left="734" w:right="423" w:hanging="279"/>
              <w:jc w:val="left"/>
              <w:rPr>
                <w:rFonts w:ascii="Arial"/>
                <w:b/>
                <w:sz w:val="18"/>
              </w:rPr>
            </w:pPr>
            <w:r w:rsidRPr="00992A2E">
              <w:rPr>
                <w:rFonts w:ascii="Arial"/>
                <w:b/>
                <w:sz w:val="18"/>
              </w:rPr>
              <w:t>PROCESO CON LA</w:t>
            </w:r>
            <w:r w:rsidRPr="00992A2E">
              <w:rPr>
                <w:rFonts w:ascii="Arial"/>
                <w:b/>
                <w:spacing w:val="-48"/>
                <w:sz w:val="18"/>
              </w:rPr>
              <w:t xml:space="preserve"> </w:t>
            </w:r>
            <w:r w:rsidRPr="00992A2E">
              <w:rPr>
                <w:rFonts w:ascii="Arial"/>
                <w:b/>
                <w:sz w:val="18"/>
              </w:rPr>
              <w:t>ACTUACION</w:t>
            </w:r>
          </w:p>
        </w:tc>
      </w:tr>
      <w:tr w:rsidR="00912A66" w:rsidRPr="00992A2E" w14:paraId="58559EF5" w14:textId="77777777" w:rsidTr="005B50BF">
        <w:trPr>
          <w:trHeight w:val="299"/>
        </w:trPr>
        <w:tc>
          <w:tcPr>
            <w:tcW w:w="2691" w:type="dxa"/>
          </w:tcPr>
          <w:p w14:paraId="70329649" w14:textId="77777777" w:rsidR="00901EDC" w:rsidRPr="00992A2E" w:rsidRDefault="00901EDC" w:rsidP="001E3603">
            <w:pPr>
              <w:pStyle w:val="TableParagraph"/>
              <w:spacing w:before="47"/>
              <w:rPr>
                <w:sz w:val="18"/>
              </w:rPr>
            </w:pPr>
            <w:r w:rsidRPr="00992A2E">
              <w:rPr>
                <w:sz w:val="18"/>
              </w:rPr>
              <w:t>2005</w:t>
            </w:r>
          </w:p>
        </w:tc>
        <w:tc>
          <w:tcPr>
            <w:tcW w:w="2549" w:type="dxa"/>
          </w:tcPr>
          <w:p w14:paraId="5FBC5D56" w14:textId="77777777" w:rsidR="00901EDC" w:rsidRPr="00992A2E" w:rsidRDefault="00901EDC" w:rsidP="001E3603">
            <w:pPr>
              <w:pStyle w:val="TableParagraph"/>
              <w:spacing w:before="47"/>
              <w:ind w:left="0" w:right="1159"/>
              <w:jc w:val="right"/>
              <w:rPr>
                <w:sz w:val="18"/>
              </w:rPr>
            </w:pPr>
            <w:r w:rsidRPr="00992A2E">
              <w:rPr>
                <w:sz w:val="18"/>
              </w:rPr>
              <w:t>16</w:t>
            </w:r>
          </w:p>
        </w:tc>
      </w:tr>
      <w:tr w:rsidR="00912A66" w:rsidRPr="00992A2E" w14:paraId="26E04555" w14:textId="77777777" w:rsidTr="005B50BF">
        <w:trPr>
          <w:trHeight w:val="302"/>
        </w:trPr>
        <w:tc>
          <w:tcPr>
            <w:tcW w:w="2691" w:type="dxa"/>
          </w:tcPr>
          <w:p w14:paraId="67BFFA5D" w14:textId="77777777" w:rsidR="00901EDC" w:rsidRPr="00992A2E" w:rsidRDefault="00901EDC" w:rsidP="001E3603">
            <w:pPr>
              <w:pStyle w:val="TableParagraph"/>
              <w:spacing w:before="47"/>
              <w:rPr>
                <w:sz w:val="18"/>
              </w:rPr>
            </w:pPr>
            <w:r w:rsidRPr="00992A2E">
              <w:rPr>
                <w:sz w:val="18"/>
              </w:rPr>
              <w:t>2006</w:t>
            </w:r>
          </w:p>
        </w:tc>
        <w:tc>
          <w:tcPr>
            <w:tcW w:w="2549" w:type="dxa"/>
          </w:tcPr>
          <w:p w14:paraId="4AF4A810" w14:textId="77777777" w:rsidR="00901EDC" w:rsidRPr="00992A2E" w:rsidRDefault="00901EDC" w:rsidP="001E3603">
            <w:pPr>
              <w:pStyle w:val="TableParagraph"/>
              <w:spacing w:before="47"/>
              <w:ind w:left="9" w:right="0"/>
              <w:rPr>
                <w:sz w:val="18"/>
              </w:rPr>
            </w:pPr>
            <w:r w:rsidRPr="00992A2E">
              <w:rPr>
                <w:w w:val="99"/>
                <w:sz w:val="18"/>
              </w:rPr>
              <w:t>6</w:t>
            </w:r>
          </w:p>
        </w:tc>
      </w:tr>
      <w:tr w:rsidR="00912A66" w:rsidRPr="00992A2E" w14:paraId="4CF06393" w14:textId="77777777" w:rsidTr="005B50BF">
        <w:trPr>
          <w:trHeight w:val="299"/>
        </w:trPr>
        <w:tc>
          <w:tcPr>
            <w:tcW w:w="2691" w:type="dxa"/>
          </w:tcPr>
          <w:p w14:paraId="04D0875A" w14:textId="77777777" w:rsidR="00901EDC" w:rsidRPr="00992A2E" w:rsidRDefault="00901EDC" w:rsidP="001E3603">
            <w:pPr>
              <w:pStyle w:val="TableParagraph"/>
              <w:rPr>
                <w:sz w:val="18"/>
              </w:rPr>
            </w:pPr>
            <w:r w:rsidRPr="00992A2E">
              <w:rPr>
                <w:sz w:val="18"/>
              </w:rPr>
              <w:t>2007</w:t>
            </w:r>
          </w:p>
        </w:tc>
        <w:tc>
          <w:tcPr>
            <w:tcW w:w="2549" w:type="dxa"/>
          </w:tcPr>
          <w:p w14:paraId="4EE54762" w14:textId="77777777" w:rsidR="00901EDC" w:rsidRPr="00992A2E" w:rsidRDefault="00901EDC" w:rsidP="001E3603">
            <w:pPr>
              <w:pStyle w:val="TableParagraph"/>
              <w:ind w:left="0" w:right="1159"/>
              <w:jc w:val="right"/>
              <w:rPr>
                <w:sz w:val="18"/>
              </w:rPr>
            </w:pPr>
            <w:r w:rsidRPr="00992A2E">
              <w:rPr>
                <w:sz w:val="18"/>
              </w:rPr>
              <w:t>18</w:t>
            </w:r>
          </w:p>
        </w:tc>
      </w:tr>
      <w:tr w:rsidR="00912A66" w:rsidRPr="00992A2E" w14:paraId="183172C5" w14:textId="77777777" w:rsidTr="005B50BF">
        <w:trPr>
          <w:trHeight w:val="299"/>
        </w:trPr>
        <w:tc>
          <w:tcPr>
            <w:tcW w:w="2691" w:type="dxa"/>
          </w:tcPr>
          <w:p w14:paraId="3D28EA99" w14:textId="77777777" w:rsidR="00901EDC" w:rsidRPr="00992A2E" w:rsidRDefault="00901EDC" w:rsidP="001E3603">
            <w:pPr>
              <w:pStyle w:val="TableParagraph"/>
              <w:rPr>
                <w:sz w:val="18"/>
              </w:rPr>
            </w:pPr>
            <w:r w:rsidRPr="00992A2E">
              <w:rPr>
                <w:sz w:val="18"/>
              </w:rPr>
              <w:t>2008</w:t>
            </w:r>
          </w:p>
        </w:tc>
        <w:tc>
          <w:tcPr>
            <w:tcW w:w="2549" w:type="dxa"/>
          </w:tcPr>
          <w:p w14:paraId="65BCD482" w14:textId="77777777" w:rsidR="00901EDC" w:rsidRPr="00992A2E" w:rsidRDefault="00901EDC" w:rsidP="001E3603">
            <w:pPr>
              <w:pStyle w:val="TableParagraph"/>
              <w:ind w:left="0" w:right="1159"/>
              <w:jc w:val="right"/>
              <w:rPr>
                <w:sz w:val="18"/>
              </w:rPr>
            </w:pPr>
            <w:r w:rsidRPr="00992A2E">
              <w:rPr>
                <w:sz w:val="18"/>
              </w:rPr>
              <w:t>32</w:t>
            </w:r>
          </w:p>
        </w:tc>
      </w:tr>
      <w:tr w:rsidR="00912A66" w:rsidRPr="00992A2E" w14:paraId="7CFBB67A" w14:textId="77777777" w:rsidTr="005B50BF">
        <w:trPr>
          <w:trHeight w:val="299"/>
        </w:trPr>
        <w:tc>
          <w:tcPr>
            <w:tcW w:w="2691" w:type="dxa"/>
          </w:tcPr>
          <w:p w14:paraId="3C0CA67D" w14:textId="77777777" w:rsidR="00901EDC" w:rsidRPr="00992A2E" w:rsidRDefault="00901EDC" w:rsidP="001E3603">
            <w:pPr>
              <w:pStyle w:val="TableParagraph"/>
              <w:rPr>
                <w:sz w:val="18"/>
              </w:rPr>
            </w:pPr>
            <w:r w:rsidRPr="00992A2E">
              <w:rPr>
                <w:sz w:val="18"/>
              </w:rPr>
              <w:t>2009</w:t>
            </w:r>
          </w:p>
        </w:tc>
        <w:tc>
          <w:tcPr>
            <w:tcW w:w="2549" w:type="dxa"/>
          </w:tcPr>
          <w:p w14:paraId="4C5BE8B8" w14:textId="77777777" w:rsidR="00901EDC" w:rsidRPr="00992A2E" w:rsidRDefault="00901EDC" w:rsidP="001E3603">
            <w:pPr>
              <w:pStyle w:val="TableParagraph"/>
              <w:ind w:left="0" w:right="1159"/>
              <w:jc w:val="right"/>
              <w:rPr>
                <w:sz w:val="18"/>
              </w:rPr>
            </w:pPr>
            <w:r w:rsidRPr="00992A2E">
              <w:rPr>
                <w:sz w:val="18"/>
              </w:rPr>
              <w:t>37</w:t>
            </w:r>
          </w:p>
        </w:tc>
      </w:tr>
      <w:tr w:rsidR="00912A66" w:rsidRPr="00992A2E" w14:paraId="5BAABFA0" w14:textId="77777777" w:rsidTr="005B50BF">
        <w:trPr>
          <w:trHeight w:val="299"/>
        </w:trPr>
        <w:tc>
          <w:tcPr>
            <w:tcW w:w="2691" w:type="dxa"/>
          </w:tcPr>
          <w:p w14:paraId="5F946C24" w14:textId="77777777" w:rsidR="00901EDC" w:rsidRPr="00992A2E" w:rsidRDefault="00901EDC" w:rsidP="001E3603">
            <w:pPr>
              <w:pStyle w:val="TableParagraph"/>
              <w:spacing w:before="47"/>
              <w:rPr>
                <w:sz w:val="18"/>
              </w:rPr>
            </w:pPr>
            <w:r w:rsidRPr="00992A2E">
              <w:rPr>
                <w:sz w:val="18"/>
              </w:rPr>
              <w:t>2010</w:t>
            </w:r>
          </w:p>
        </w:tc>
        <w:tc>
          <w:tcPr>
            <w:tcW w:w="2549" w:type="dxa"/>
          </w:tcPr>
          <w:p w14:paraId="5C058ACD" w14:textId="77777777" w:rsidR="00901EDC" w:rsidRPr="00992A2E" w:rsidRDefault="00901EDC" w:rsidP="001E3603">
            <w:pPr>
              <w:pStyle w:val="TableParagraph"/>
              <w:spacing w:before="47"/>
              <w:ind w:left="0" w:right="1108"/>
              <w:jc w:val="right"/>
              <w:rPr>
                <w:sz w:val="18"/>
              </w:rPr>
            </w:pPr>
            <w:r w:rsidRPr="00992A2E">
              <w:rPr>
                <w:sz w:val="18"/>
              </w:rPr>
              <w:t>189</w:t>
            </w:r>
          </w:p>
        </w:tc>
      </w:tr>
      <w:tr w:rsidR="00912A66" w:rsidRPr="00992A2E" w14:paraId="4D548FC8" w14:textId="77777777" w:rsidTr="005B50BF">
        <w:trPr>
          <w:trHeight w:val="300"/>
        </w:trPr>
        <w:tc>
          <w:tcPr>
            <w:tcW w:w="2691" w:type="dxa"/>
          </w:tcPr>
          <w:p w14:paraId="40863F35" w14:textId="77777777" w:rsidR="00901EDC" w:rsidRPr="00992A2E" w:rsidRDefault="00901EDC" w:rsidP="001E3603">
            <w:pPr>
              <w:pStyle w:val="TableParagraph"/>
              <w:spacing w:before="47"/>
              <w:rPr>
                <w:sz w:val="18"/>
              </w:rPr>
            </w:pPr>
            <w:r w:rsidRPr="00992A2E">
              <w:rPr>
                <w:sz w:val="18"/>
              </w:rPr>
              <w:t>2011</w:t>
            </w:r>
          </w:p>
        </w:tc>
        <w:tc>
          <w:tcPr>
            <w:tcW w:w="2549" w:type="dxa"/>
          </w:tcPr>
          <w:p w14:paraId="7933A52C" w14:textId="77777777" w:rsidR="00901EDC" w:rsidRPr="00992A2E" w:rsidRDefault="00901EDC" w:rsidP="001E3603">
            <w:pPr>
              <w:pStyle w:val="TableParagraph"/>
              <w:spacing w:before="47"/>
              <w:ind w:left="0" w:right="1108"/>
              <w:jc w:val="right"/>
              <w:rPr>
                <w:sz w:val="18"/>
              </w:rPr>
            </w:pPr>
            <w:r w:rsidRPr="00992A2E">
              <w:rPr>
                <w:sz w:val="18"/>
              </w:rPr>
              <w:t>559</w:t>
            </w:r>
          </w:p>
        </w:tc>
      </w:tr>
      <w:tr w:rsidR="00912A66" w:rsidRPr="00992A2E" w14:paraId="47136546" w14:textId="77777777" w:rsidTr="005B50BF">
        <w:trPr>
          <w:trHeight w:val="302"/>
        </w:trPr>
        <w:tc>
          <w:tcPr>
            <w:tcW w:w="2691" w:type="dxa"/>
          </w:tcPr>
          <w:p w14:paraId="401CBCCE" w14:textId="77777777" w:rsidR="00901EDC" w:rsidRPr="00992A2E" w:rsidRDefault="00901EDC" w:rsidP="001E3603">
            <w:pPr>
              <w:pStyle w:val="TableParagraph"/>
              <w:spacing w:before="47"/>
              <w:rPr>
                <w:sz w:val="18"/>
              </w:rPr>
            </w:pPr>
            <w:r w:rsidRPr="00992A2E">
              <w:rPr>
                <w:sz w:val="18"/>
              </w:rPr>
              <w:t>2012</w:t>
            </w:r>
          </w:p>
        </w:tc>
        <w:tc>
          <w:tcPr>
            <w:tcW w:w="2549" w:type="dxa"/>
          </w:tcPr>
          <w:p w14:paraId="2983F9D0" w14:textId="77777777" w:rsidR="00901EDC" w:rsidRPr="00992A2E" w:rsidRDefault="00901EDC" w:rsidP="001E3603">
            <w:pPr>
              <w:pStyle w:val="TableParagraph"/>
              <w:spacing w:before="47"/>
              <w:ind w:left="0" w:right="1108"/>
              <w:jc w:val="right"/>
              <w:rPr>
                <w:sz w:val="18"/>
              </w:rPr>
            </w:pPr>
            <w:r w:rsidRPr="00992A2E">
              <w:rPr>
                <w:sz w:val="18"/>
              </w:rPr>
              <w:t>593</w:t>
            </w:r>
          </w:p>
        </w:tc>
      </w:tr>
      <w:tr w:rsidR="00912A66" w:rsidRPr="00992A2E" w14:paraId="0603BE70" w14:textId="77777777" w:rsidTr="005B50BF">
        <w:trPr>
          <w:trHeight w:val="299"/>
        </w:trPr>
        <w:tc>
          <w:tcPr>
            <w:tcW w:w="2691" w:type="dxa"/>
          </w:tcPr>
          <w:p w14:paraId="4E20F78F" w14:textId="77777777" w:rsidR="00901EDC" w:rsidRPr="00992A2E" w:rsidRDefault="00901EDC" w:rsidP="001E3603">
            <w:pPr>
              <w:pStyle w:val="TableParagraph"/>
              <w:rPr>
                <w:sz w:val="18"/>
              </w:rPr>
            </w:pPr>
            <w:r w:rsidRPr="00992A2E">
              <w:rPr>
                <w:sz w:val="18"/>
              </w:rPr>
              <w:t>2013</w:t>
            </w:r>
          </w:p>
        </w:tc>
        <w:tc>
          <w:tcPr>
            <w:tcW w:w="2549" w:type="dxa"/>
          </w:tcPr>
          <w:p w14:paraId="61C60D94" w14:textId="77777777" w:rsidR="00901EDC" w:rsidRPr="00992A2E" w:rsidRDefault="00901EDC" w:rsidP="001E3603">
            <w:pPr>
              <w:pStyle w:val="TableParagraph"/>
              <w:ind w:left="0" w:right="1108"/>
              <w:jc w:val="right"/>
              <w:rPr>
                <w:sz w:val="18"/>
              </w:rPr>
            </w:pPr>
            <w:r w:rsidRPr="00992A2E">
              <w:rPr>
                <w:sz w:val="18"/>
              </w:rPr>
              <w:t>459</w:t>
            </w:r>
          </w:p>
        </w:tc>
      </w:tr>
      <w:tr w:rsidR="00912A66" w:rsidRPr="00992A2E" w14:paraId="06D500C0" w14:textId="77777777" w:rsidTr="005B50BF">
        <w:trPr>
          <w:trHeight w:val="299"/>
        </w:trPr>
        <w:tc>
          <w:tcPr>
            <w:tcW w:w="2691" w:type="dxa"/>
          </w:tcPr>
          <w:p w14:paraId="58AD6FBB" w14:textId="77777777" w:rsidR="00901EDC" w:rsidRPr="00992A2E" w:rsidRDefault="00901EDC" w:rsidP="001E3603">
            <w:pPr>
              <w:pStyle w:val="TableParagraph"/>
              <w:rPr>
                <w:sz w:val="18"/>
              </w:rPr>
            </w:pPr>
            <w:r w:rsidRPr="00992A2E">
              <w:rPr>
                <w:sz w:val="18"/>
              </w:rPr>
              <w:t>2014</w:t>
            </w:r>
          </w:p>
        </w:tc>
        <w:tc>
          <w:tcPr>
            <w:tcW w:w="2549" w:type="dxa"/>
          </w:tcPr>
          <w:p w14:paraId="10A436BF" w14:textId="77777777" w:rsidR="00901EDC" w:rsidRPr="00992A2E" w:rsidRDefault="00901EDC" w:rsidP="001E3603">
            <w:pPr>
              <w:pStyle w:val="TableParagraph"/>
              <w:ind w:left="0" w:right="1108"/>
              <w:jc w:val="right"/>
              <w:rPr>
                <w:sz w:val="18"/>
              </w:rPr>
            </w:pPr>
            <w:r w:rsidRPr="00992A2E">
              <w:rPr>
                <w:sz w:val="18"/>
              </w:rPr>
              <w:t>621</w:t>
            </w:r>
          </w:p>
        </w:tc>
      </w:tr>
      <w:tr w:rsidR="00912A66" w:rsidRPr="00992A2E" w14:paraId="71DC02E6" w14:textId="77777777" w:rsidTr="005B50BF">
        <w:trPr>
          <w:trHeight w:val="299"/>
        </w:trPr>
        <w:tc>
          <w:tcPr>
            <w:tcW w:w="2691" w:type="dxa"/>
          </w:tcPr>
          <w:p w14:paraId="348A848A" w14:textId="77777777" w:rsidR="00901EDC" w:rsidRPr="00992A2E" w:rsidRDefault="00901EDC" w:rsidP="001E3603">
            <w:pPr>
              <w:pStyle w:val="TableParagraph"/>
              <w:rPr>
                <w:sz w:val="18"/>
              </w:rPr>
            </w:pPr>
            <w:r w:rsidRPr="00992A2E">
              <w:rPr>
                <w:sz w:val="18"/>
              </w:rPr>
              <w:t>2015</w:t>
            </w:r>
          </w:p>
        </w:tc>
        <w:tc>
          <w:tcPr>
            <w:tcW w:w="2549" w:type="dxa"/>
          </w:tcPr>
          <w:p w14:paraId="410B8437" w14:textId="77777777" w:rsidR="00901EDC" w:rsidRPr="00992A2E" w:rsidRDefault="00901EDC" w:rsidP="001E3603">
            <w:pPr>
              <w:pStyle w:val="TableParagraph"/>
              <w:ind w:left="0" w:right="1108"/>
              <w:jc w:val="right"/>
              <w:rPr>
                <w:sz w:val="18"/>
              </w:rPr>
            </w:pPr>
            <w:r w:rsidRPr="00992A2E">
              <w:rPr>
                <w:sz w:val="18"/>
              </w:rPr>
              <w:t>609</w:t>
            </w:r>
          </w:p>
        </w:tc>
      </w:tr>
      <w:tr w:rsidR="00912A66" w:rsidRPr="00992A2E" w14:paraId="06551E72" w14:textId="77777777" w:rsidTr="005B50BF">
        <w:trPr>
          <w:trHeight w:val="299"/>
        </w:trPr>
        <w:tc>
          <w:tcPr>
            <w:tcW w:w="2691" w:type="dxa"/>
          </w:tcPr>
          <w:p w14:paraId="2068385A" w14:textId="77777777" w:rsidR="00901EDC" w:rsidRPr="00992A2E" w:rsidRDefault="00901EDC" w:rsidP="001E3603">
            <w:pPr>
              <w:pStyle w:val="TableParagraph"/>
              <w:spacing w:before="47"/>
              <w:rPr>
                <w:sz w:val="18"/>
              </w:rPr>
            </w:pPr>
            <w:r w:rsidRPr="00992A2E">
              <w:rPr>
                <w:sz w:val="18"/>
              </w:rPr>
              <w:t>2016</w:t>
            </w:r>
          </w:p>
        </w:tc>
        <w:tc>
          <w:tcPr>
            <w:tcW w:w="2549" w:type="dxa"/>
          </w:tcPr>
          <w:p w14:paraId="5946A5D7" w14:textId="77777777" w:rsidR="00901EDC" w:rsidRPr="00992A2E" w:rsidRDefault="00901EDC" w:rsidP="001E3603">
            <w:pPr>
              <w:pStyle w:val="TableParagraph"/>
              <w:spacing w:before="47"/>
              <w:ind w:left="0" w:right="1108"/>
              <w:jc w:val="right"/>
              <w:rPr>
                <w:sz w:val="18"/>
              </w:rPr>
            </w:pPr>
            <w:r w:rsidRPr="00992A2E">
              <w:rPr>
                <w:sz w:val="18"/>
              </w:rPr>
              <w:t>627</w:t>
            </w:r>
          </w:p>
        </w:tc>
      </w:tr>
      <w:tr w:rsidR="00912A66" w:rsidRPr="00992A2E" w14:paraId="600054BE" w14:textId="77777777" w:rsidTr="005B50BF">
        <w:trPr>
          <w:trHeight w:val="299"/>
        </w:trPr>
        <w:tc>
          <w:tcPr>
            <w:tcW w:w="2691" w:type="dxa"/>
          </w:tcPr>
          <w:p w14:paraId="0A7DC020" w14:textId="77777777" w:rsidR="00901EDC" w:rsidRPr="00992A2E" w:rsidRDefault="00901EDC" w:rsidP="001E3603">
            <w:pPr>
              <w:pStyle w:val="TableParagraph"/>
              <w:spacing w:before="47"/>
              <w:rPr>
                <w:sz w:val="18"/>
              </w:rPr>
            </w:pPr>
            <w:r w:rsidRPr="00992A2E">
              <w:rPr>
                <w:sz w:val="18"/>
              </w:rPr>
              <w:t>2017</w:t>
            </w:r>
          </w:p>
        </w:tc>
        <w:tc>
          <w:tcPr>
            <w:tcW w:w="2549" w:type="dxa"/>
          </w:tcPr>
          <w:p w14:paraId="154054C2" w14:textId="77777777" w:rsidR="00901EDC" w:rsidRPr="00992A2E" w:rsidRDefault="00901EDC" w:rsidP="001E3603">
            <w:pPr>
              <w:pStyle w:val="TableParagraph"/>
              <w:spacing w:before="47"/>
              <w:ind w:left="0" w:right="1108"/>
              <w:jc w:val="right"/>
              <w:rPr>
                <w:sz w:val="18"/>
              </w:rPr>
            </w:pPr>
            <w:r w:rsidRPr="00992A2E">
              <w:rPr>
                <w:sz w:val="18"/>
              </w:rPr>
              <w:t>838</w:t>
            </w:r>
          </w:p>
        </w:tc>
      </w:tr>
      <w:tr w:rsidR="00912A66" w:rsidRPr="00992A2E" w14:paraId="2EFE6A91" w14:textId="77777777" w:rsidTr="005B50BF">
        <w:trPr>
          <w:trHeight w:val="302"/>
        </w:trPr>
        <w:tc>
          <w:tcPr>
            <w:tcW w:w="2691" w:type="dxa"/>
          </w:tcPr>
          <w:p w14:paraId="07BFD4B1" w14:textId="77777777" w:rsidR="00901EDC" w:rsidRPr="00992A2E" w:rsidRDefault="00901EDC" w:rsidP="001E3603">
            <w:pPr>
              <w:pStyle w:val="TableParagraph"/>
              <w:spacing w:before="47"/>
              <w:rPr>
                <w:sz w:val="18"/>
              </w:rPr>
            </w:pPr>
            <w:r w:rsidRPr="00992A2E">
              <w:rPr>
                <w:sz w:val="18"/>
              </w:rPr>
              <w:t>2018</w:t>
            </w:r>
          </w:p>
        </w:tc>
        <w:tc>
          <w:tcPr>
            <w:tcW w:w="2549" w:type="dxa"/>
          </w:tcPr>
          <w:p w14:paraId="654F51B5" w14:textId="77777777" w:rsidR="00901EDC" w:rsidRPr="00992A2E" w:rsidRDefault="00901EDC" w:rsidP="001E3603">
            <w:pPr>
              <w:pStyle w:val="TableParagraph"/>
              <w:spacing w:before="47"/>
              <w:ind w:left="0" w:right="1108"/>
              <w:jc w:val="right"/>
              <w:rPr>
                <w:sz w:val="18"/>
              </w:rPr>
            </w:pPr>
            <w:r w:rsidRPr="00992A2E">
              <w:rPr>
                <w:sz w:val="18"/>
              </w:rPr>
              <w:t>721</w:t>
            </w:r>
          </w:p>
        </w:tc>
      </w:tr>
      <w:tr w:rsidR="00912A66" w:rsidRPr="00992A2E" w14:paraId="5F609777" w14:textId="77777777" w:rsidTr="005B50BF">
        <w:trPr>
          <w:trHeight w:val="299"/>
        </w:trPr>
        <w:tc>
          <w:tcPr>
            <w:tcW w:w="2691" w:type="dxa"/>
          </w:tcPr>
          <w:p w14:paraId="714B0009" w14:textId="77777777" w:rsidR="00901EDC" w:rsidRPr="00992A2E" w:rsidRDefault="00901EDC" w:rsidP="001E3603">
            <w:pPr>
              <w:pStyle w:val="TableParagraph"/>
              <w:rPr>
                <w:sz w:val="18"/>
              </w:rPr>
            </w:pPr>
            <w:r w:rsidRPr="00992A2E">
              <w:rPr>
                <w:sz w:val="18"/>
              </w:rPr>
              <w:t>2019</w:t>
            </w:r>
          </w:p>
        </w:tc>
        <w:tc>
          <w:tcPr>
            <w:tcW w:w="2549" w:type="dxa"/>
          </w:tcPr>
          <w:p w14:paraId="654D3E6C" w14:textId="77777777" w:rsidR="00901EDC" w:rsidRPr="00992A2E" w:rsidRDefault="00901EDC" w:rsidP="001E3603">
            <w:pPr>
              <w:pStyle w:val="TableParagraph"/>
              <w:ind w:left="0" w:right="1108"/>
              <w:jc w:val="right"/>
              <w:rPr>
                <w:sz w:val="18"/>
              </w:rPr>
            </w:pPr>
            <w:r w:rsidRPr="00992A2E">
              <w:rPr>
                <w:sz w:val="18"/>
              </w:rPr>
              <w:t>250</w:t>
            </w:r>
          </w:p>
        </w:tc>
      </w:tr>
      <w:tr w:rsidR="00912A66" w:rsidRPr="00992A2E" w14:paraId="64E2F5AE" w14:textId="77777777" w:rsidTr="005B50BF">
        <w:trPr>
          <w:trHeight w:val="299"/>
        </w:trPr>
        <w:tc>
          <w:tcPr>
            <w:tcW w:w="2691" w:type="dxa"/>
          </w:tcPr>
          <w:p w14:paraId="179F8F18" w14:textId="77777777" w:rsidR="00901EDC" w:rsidRPr="00992A2E" w:rsidRDefault="00901EDC" w:rsidP="001E3603">
            <w:pPr>
              <w:pStyle w:val="TableParagraph"/>
              <w:rPr>
                <w:sz w:val="18"/>
              </w:rPr>
            </w:pPr>
            <w:r w:rsidRPr="00992A2E">
              <w:rPr>
                <w:sz w:val="18"/>
              </w:rPr>
              <w:t>2020</w:t>
            </w:r>
          </w:p>
        </w:tc>
        <w:tc>
          <w:tcPr>
            <w:tcW w:w="2549" w:type="dxa"/>
          </w:tcPr>
          <w:p w14:paraId="5F413D8B" w14:textId="77777777" w:rsidR="00901EDC" w:rsidRPr="00992A2E" w:rsidRDefault="00901EDC" w:rsidP="001E3603">
            <w:pPr>
              <w:pStyle w:val="TableParagraph"/>
              <w:ind w:left="9" w:right="0"/>
              <w:rPr>
                <w:sz w:val="18"/>
              </w:rPr>
            </w:pPr>
            <w:r w:rsidRPr="00992A2E">
              <w:rPr>
                <w:w w:val="99"/>
                <w:sz w:val="18"/>
              </w:rPr>
              <w:t>4</w:t>
            </w:r>
          </w:p>
        </w:tc>
      </w:tr>
      <w:tr w:rsidR="00912A66" w:rsidRPr="00992A2E" w14:paraId="4273828D" w14:textId="77777777" w:rsidTr="005B50BF">
        <w:trPr>
          <w:trHeight w:val="299"/>
        </w:trPr>
        <w:tc>
          <w:tcPr>
            <w:tcW w:w="2691" w:type="dxa"/>
          </w:tcPr>
          <w:p w14:paraId="71F7FB89" w14:textId="77777777" w:rsidR="00901EDC" w:rsidRPr="00992A2E" w:rsidRDefault="00901EDC" w:rsidP="001E3603">
            <w:pPr>
              <w:pStyle w:val="TableParagraph"/>
              <w:rPr>
                <w:sz w:val="18"/>
              </w:rPr>
            </w:pPr>
            <w:r w:rsidRPr="00992A2E">
              <w:rPr>
                <w:sz w:val="18"/>
              </w:rPr>
              <w:t>2021</w:t>
            </w:r>
          </w:p>
        </w:tc>
        <w:tc>
          <w:tcPr>
            <w:tcW w:w="2549" w:type="dxa"/>
          </w:tcPr>
          <w:p w14:paraId="5179A31D" w14:textId="77777777" w:rsidR="00901EDC" w:rsidRPr="00992A2E" w:rsidRDefault="00901EDC" w:rsidP="001E3603">
            <w:pPr>
              <w:pStyle w:val="TableParagraph"/>
              <w:ind w:left="0" w:right="1159"/>
              <w:jc w:val="right"/>
              <w:rPr>
                <w:sz w:val="18"/>
              </w:rPr>
            </w:pPr>
            <w:r w:rsidRPr="00992A2E">
              <w:rPr>
                <w:sz w:val="18"/>
              </w:rPr>
              <w:t>28</w:t>
            </w:r>
          </w:p>
        </w:tc>
      </w:tr>
      <w:tr w:rsidR="00912A66" w:rsidRPr="00992A2E" w14:paraId="7B0A8E9A" w14:textId="77777777" w:rsidTr="005B50BF">
        <w:trPr>
          <w:trHeight w:val="299"/>
        </w:trPr>
        <w:tc>
          <w:tcPr>
            <w:tcW w:w="2691" w:type="dxa"/>
          </w:tcPr>
          <w:p w14:paraId="64642E17" w14:textId="77777777" w:rsidR="00901EDC" w:rsidRPr="00992A2E" w:rsidRDefault="00901EDC" w:rsidP="001E3603">
            <w:pPr>
              <w:pStyle w:val="TableParagraph"/>
              <w:spacing w:before="47"/>
              <w:rPr>
                <w:sz w:val="18"/>
              </w:rPr>
            </w:pPr>
            <w:r w:rsidRPr="00992A2E">
              <w:rPr>
                <w:sz w:val="18"/>
              </w:rPr>
              <w:t>2022</w:t>
            </w:r>
          </w:p>
        </w:tc>
        <w:tc>
          <w:tcPr>
            <w:tcW w:w="2549" w:type="dxa"/>
          </w:tcPr>
          <w:p w14:paraId="72492482" w14:textId="77777777" w:rsidR="00901EDC" w:rsidRPr="00992A2E" w:rsidRDefault="00901EDC" w:rsidP="001E3603">
            <w:pPr>
              <w:pStyle w:val="TableParagraph"/>
              <w:spacing w:before="47"/>
              <w:ind w:left="0" w:right="1159"/>
              <w:jc w:val="right"/>
              <w:rPr>
                <w:sz w:val="18"/>
              </w:rPr>
            </w:pPr>
            <w:r w:rsidRPr="00992A2E">
              <w:rPr>
                <w:sz w:val="18"/>
              </w:rPr>
              <w:t>24</w:t>
            </w:r>
          </w:p>
        </w:tc>
      </w:tr>
      <w:tr w:rsidR="00912A66" w:rsidRPr="00992A2E" w14:paraId="38D56664" w14:textId="77777777" w:rsidTr="005B50BF">
        <w:trPr>
          <w:trHeight w:val="302"/>
        </w:trPr>
        <w:tc>
          <w:tcPr>
            <w:tcW w:w="2691" w:type="dxa"/>
          </w:tcPr>
          <w:p w14:paraId="5F0DA20E" w14:textId="77777777" w:rsidR="00901EDC" w:rsidRPr="00992A2E" w:rsidRDefault="00901EDC" w:rsidP="001E3603">
            <w:pPr>
              <w:pStyle w:val="TableParagraph"/>
              <w:spacing w:before="47"/>
              <w:rPr>
                <w:sz w:val="18"/>
              </w:rPr>
            </w:pPr>
            <w:r w:rsidRPr="00992A2E">
              <w:rPr>
                <w:sz w:val="18"/>
              </w:rPr>
              <w:t>2023</w:t>
            </w:r>
          </w:p>
        </w:tc>
        <w:tc>
          <w:tcPr>
            <w:tcW w:w="2549" w:type="dxa"/>
          </w:tcPr>
          <w:p w14:paraId="290ED385" w14:textId="77777777" w:rsidR="00901EDC" w:rsidRPr="00992A2E" w:rsidRDefault="00901EDC" w:rsidP="001E3603">
            <w:pPr>
              <w:pStyle w:val="TableParagraph"/>
              <w:spacing w:before="47"/>
              <w:ind w:left="0" w:right="1159"/>
              <w:jc w:val="right"/>
              <w:rPr>
                <w:sz w:val="18"/>
              </w:rPr>
            </w:pPr>
            <w:r w:rsidRPr="00992A2E">
              <w:rPr>
                <w:sz w:val="18"/>
              </w:rPr>
              <w:t>11</w:t>
            </w:r>
          </w:p>
        </w:tc>
      </w:tr>
    </w:tbl>
    <w:p w14:paraId="6DC5D255" w14:textId="77777777" w:rsidR="00901EDC" w:rsidRPr="00992A2E" w:rsidRDefault="00901EDC" w:rsidP="001E3603">
      <w:pPr>
        <w:pStyle w:val="Prrafodelista"/>
        <w:rPr>
          <w:sz w:val="28"/>
          <w:szCs w:val="28"/>
        </w:rPr>
      </w:pPr>
      <w:r w:rsidRPr="00992A2E">
        <w:rPr>
          <w:rFonts w:ascii="Arial" w:hAnsi="Arial"/>
          <w:b/>
          <w:sz w:val="20"/>
        </w:rPr>
        <w:t>Fuente:</w:t>
      </w:r>
      <w:r w:rsidRPr="00992A2E">
        <w:rPr>
          <w:rFonts w:ascii="Arial" w:hAnsi="Arial"/>
          <w:b/>
          <w:spacing w:val="-3"/>
          <w:sz w:val="20"/>
        </w:rPr>
        <w:t xml:space="preserve"> </w:t>
      </w:r>
      <w:r w:rsidRPr="00992A2E">
        <w:rPr>
          <w:sz w:val="20"/>
        </w:rPr>
        <w:t>FGN,</w:t>
      </w:r>
      <w:r w:rsidRPr="00992A2E">
        <w:rPr>
          <w:spacing w:val="-3"/>
          <w:sz w:val="20"/>
        </w:rPr>
        <w:t xml:space="preserve"> </w:t>
      </w:r>
      <w:r w:rsidRPr="00992A2E">
        <w:rPr>
          <w:sz w:val="20"/>
        </w:rPr>
        <w:t>Dirección</w:t>
      </w:r>
      <w:r w:rsidRPr="00992A2E">
        <w:rPr>
          <w:spacing w:val="-3"/>
          <w:sz w:val="20"/>
        </w:rPr>
        <w:t xml:space="preserve"> </w:t>
      </w:r>
      <w:r w:rsidRPr="00992A2E">
        <w:rPr>
          <w:sz w:val="20"/>
        </w:rPr>
        <w:t>de Políticas</w:t>
      </w:r>
      <w:r w:rsidRPr="00992A2E">
        <w:rPr>
          <w:spacing w:val="-2"/>
          <w:sz w:val="20"/>
        </w:rPr>
        <w:t xml:space="preserve"> </w:t>
      </w:r>
      <w:r w:rsidRPr="00992A2E">
        <w:rPr>
          <w:sz w:val="20"/>
        </w:rPr>
        <w:t>y</w:t>
      </w:r>
      <w:r w:rsidRPr="00992A2E">
        <w:rPr>
          <w:spacing w:val="-1"/>
          <w:sz w:val="20"/>
        </w:rPr>
        <w:t xml:space="preserve"> </w:t>
      </w:r>
      <w:r w:rsidRPr="00992A2E">
        <w:rPr>
          <w:sz w:val="20"/>
        </w:rPr>
        <w:t>Estrategia</w:t>
      </w:r>
    </w:p>
    <w:p w14:paraId="5922F612" w14:textId="77777777" w:rsidR="00901EDC" w:rsidRPr="00992A2E" w:rsidRDefault="00901EDC" w:rsidP="001E3603">
      <w:pPr>
        <w:pStyle w:val="Estilo1"/>
        <w:tabs>
          <w:tab w:val="left" w:pos="426"/>
        </w:tabs>
        <w:rPr>
          <w:b/>
          <w:bCs/>
          <w:sz w:val="28"/>
          <w:szCs w:val="28"/>
        </w:rPr>
      </w:pPr>
    </w:p>
    <w:p w14:paraId="2D46FFA9" w14:textId="77777777" w:rsidR="00901EDC" w:rsidRPr="00992A2E" w:rsidRDefault="00901EDC" w:rsidP="001E3603">
      <w:pPr>
        <w:pStyle w:val="Estilo1"/>
        <w:tabs>
          <w:tab w:val="left" w:pos="426"/>
        </w:tabs>
        <w:rPr>
          <w:sz w:val="28"/>
          <w:szCs w:val="28"/>
        </w:rPr>
      </w:pPr>
      <w:r w:rsidRPr="00992A2E">
        <w:rPr>
          <w:b/>
          <w:bCs/>
          <w:sz w:val="28"/>
          <w:szCs w:val="28"/>
        </w:rPr>
        <w:t>V. INTERVENCIONES Y CONCEPTOS</w:t>
      </w:r>
    </w:p>
    <w:p w14:paraId="17CAB82F" w14:textId="77777777" w:rsidR="00901EDC" w:rsidRPr="00992A2E" w:rsidRDefault="00901EDC" w:rsidP="001E3603">
      <w:pPr>
        <w:pStyle w:val="Estilo1"/>
        <w:tabs>
          <w:tab w:val="left" w:pos="426"/>
        </w:tabs>
        <w:spacing w:line="240" w:lineRule="auto"/>
        <w:rPr>
          <w:sz w:val="28"/>
          <w:szCs w:val="28"/>
        </w:rPr>
      </w:pPr>
    </w:p>
    <w:p w14:paraId="5708A8FB" w14:textId="77777777" w:rsidR="00901EDC" w:rsidRPr="00992A2E" w:rsidRDefault="00901EDC" w:rsidP="001E3603">
      <w:pPr>
        <w:pStyle w:val="Estilo1"/>
        <w:numPr>
          <w:ilvl w:val="0"/>
          <w:numId w:val="1"/>
        </w:numPr>
        <w:tabs>
          <w:tab w:val="left" w:pos="426"/>
        </w:tabs>
        <w:spacing w:line="240" w:lineRule="auto"/>
        <w:ind w:left="0" w:firstLine="0"/>
        <w:rPr>
          <w:sz w:val="28"/>
          <w:szCs w:val="28"/>
        </w:rPr>
      </w:pPr>
      <w:r w:rsidRPr="00992A2E">
        <w:rPr>
          <w:sz w:val="28"/>
          <w:szCs w:val="28"/>
        </w:rPr>
        <w:t>La</w:t>
      </w:r>
      <w:r w:rsidRPr="00992A2E">
        <w:rPr>
          <w:rFonts w:ascii="TimesNewRomanPSMT" w:hAnsi="TimesNewRomanPSMT"/>
          <w:sz w:val="28"/>
          <w:szCs w:val="28"/>
        </w:rPr>
        <w:t xml:space="preserve"> Corte recibió trece intervenciones: dos solicitaron la </w:t>
      </w:r>
      <w:proofErr w:type="spellStart"/>
      <w:r w:rsidRPr="00992A2E">
        <w:rPr>
          <w:rFonts w:ascii="TimesNewRomanPSMT" w:hAnsi="TimesNewRomanPSMT"/>
          <w:sz w:val="28"/>
          <w:szCs w:val="28"/>
        </w:rPr>
        <w:t>exequibilidad</w:t>
      </w:r>
      <w:proofErr w:type="spellEnd"/>
      <w:r w:rsidRPr="00992A2E">
        <w:rPr>
          <w:rFonts w:ascii="TimesNewRomanPSMT" w:hAnsi="TimesNewRomanPSMT"/>
          <w:sz w:val="28"/>
          <w:szCs w:val="28"/>
        </w:rPr>
        <w:t xml:space="preserve"> simple de la norma demandada</w:t>
      </w:r>
      <w:r w:rsidRPr="00992A2E">
        <w:rPr>
          <w:rStyle w:val="Refdenotaalpie"/>
          <w:rFonts w:ascii="TimesNewRomanPSMT" w:hAnsi="TimesNewRomanPSMT"/>
          <w:sz w:val="28"/>
          <w:szCs w:val="28"/>
        </w:rPr>
        <w:footnoteReference w:id="3"/>
      </w:r>
      <w:r w:rsidRPr="00992A2E">
        <w:rPr>
          <w:rFonts w:ascii="TimesNewRomanPSMT" w:hAnsi="TimesNewRomanPSMT"/>
          <w:sz w:val="28"/>
          <w:szCs w:val="28"/>
        </w:rPr>
        <w:t xml:space="preserve"> y once abogaron por su </w:t>
      </w:r>
      <w:proofErr w:type="spellStart"/>
      <w:r w:rsidRPr="00992A2E">
        <w:rPr>
          <w:rFonts w:ascii="TimesNewRomanPSMT" w:hAnsi="TimesNewRomanPSMT"/>
          <w:sz w:val="28"/>
          <w:szCs w:val="28"/>
        </w:rPr>
        <w:t>exequibilidad</w:t>
      </w:r>
      <w:proofErr w:type="spellEnd"/>
      <w:r w:rsidRPr="00992A2E">
        <w:rPr>
          <w:rFonts w:ascii="TimesNewRomanPSMT" w:hAnsi="TimesNewRomanPSMT"/>
          <w:sz w:val="28"/>
          <w:szCs w:val="28"/>
        </w:rPr>
        <w:t xml:space="preserve"> condicionada</w:t>
      </w:r>
      <w:r w:rsidRPr="00992A2E">
        <w:rPr>
          <w:rStyle w:val="Refdenotaalpie"/>
          <w:rFonts w:ascii="TimesNewRomanPSMT" w:hAnsi="TimesNewRomanPSMT"/>
          <w:sz w:val="28"/>
          <w:szCs w:val="28"/>
        </w:rPr>
        <w:footnoteReference w:id="4"/>
      </w:r>
      <w:r w:rsidRPr="00992A2E">
        <w:rPr>
          <w:rFonts w:ascii="TimesNewRomanPSMT" w:hAnsi="TimesNewRomanPSMT"/>
          <w:sz w:val="28"/>
          <w:szCs w:val="28"/>
        </w:rPr>
        <w:t>. A continuación, se presenta el contenido sintetizado de aquellas.</w:t>
      </w:r>
    </w:p>
    <w:p w14:paraId="02479116" w14:textId="77777777" w:rsidR="00901EDC" w:rsidRPr="00992A2E" w:rsidRDefault="00901EDC" w:rsidP="001E3603">
      <w:pPr>
        <w:pStyle w:val="Estilo1"/>
        <w:tabs>
          <w:tab w:val="left" w:pos="426"/>
        </w:tabs>
        <w:rPr>
          <w:sz w:val="28"/>
          <w:szCs w:val="28"/>
        </w:rPr>
      </w:pPr>
    </w:p>
    <w:p w14:paraId="0E959BB0" w14:textId="77777777" w:rsidR="00901EDC" w:rsidRPr="00992A2E" w:rsidRDefault="00901EDC" w:rsidP="001E3603">
      <w:pPr>
        <w:pStyle w:val="Estilo1"/>
        <w:tabs>
          <w:tab w:val="left" w:pos="426"/>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eastAsiaTheme="minorHAnsi"/>
          <w:sz w:val="28"/>
          <w:szCs w:val="28"/>
          <w:lang w:eastAsia="en-US"/>
          <w14:ligatures w14:val="standardContextual"/>
        </w:rPr>
      </w:pPr>
      <w:r w:rsidRPr="00992A2E">
        <w:rPr>
          <w:rFonts w:eastAsiaTheme="minorHAnsi"/>
          <w:b/>
          <w:bCs/>
          <w:sz w:val="28"/>
          <w:szCs w:val="28"/>
          <w:lang w:eastAsia="en-US"/>
          <w14:ligatures w14:val="standardContextual"/>
        </w:rPr>
        <w:t>Ministerio de Justicia y del Derecho</w:t>
      </w:r>
    </w:p>
    <w:p w14:paraId="1C82663D" w14:textId="77777777" w:rsidR="00901EDC" w:rsidRPr="00992A2E" w:rsidRDefault="00901EDC" w:rsidP="001E3603">
      <w:pPr>
        <w:pStyle w:val="Estilo1"/>
        <w:tabs>
          <w:tab w:val="left" w:pos="426"/>
        </w:tabs>
        <w:rPr>
          <w:sz w:val="28"/>
          <w:szCs w:val="28"/>
        </w:rPr>
      </w:pPr>
    </w:p>
    <w:p w14:paraId="5198FE96" w14:textId="0370379C" w:rsidR="00901EDC" w:rsidRPr="00992A2E" w:rsidRDefault="00901EDC" w:rsidP="001E3603">
      <w:pPr>
        <w:pStyle w:val="Estilo1"/>
        <w:numPr>
          <w:ilvl w:val="0"/>
          <w:numId w:val="1"/>
        </w:numPr>
        <w:tabs>
          <w:tab w:val="left" w:pos="426"/>
        </w:tabs>
        <w:ind w:left="0" w:firstLine="0"/>
        <w:rPr>
          <w:sz w:val="28"/>
          <w:szCs w:val="28"/>
        </w:rPr>
      </w:pPr>
      <w:r w:rsidRPr="00992A2E">
        <w:rPr>
          <w:sz w:val="28"/>
          <w:szCs w:val="28"/>
        </w:rPr>
        <w:t xml:space="preserve">Solicitó que la expresión </w:t>
      </w:r>
      <w:r w:rsidRPr="00992A2E">
        <w:rPr>
          <w:sz w:val="26"/>
          <w:szCs w:val="26"/>
        </w:rPr>
        <w:t xml:space="preserve">«sexo» </w:t>
      </w:r>
      <w:r w:rsidRPr="00992A2E">
        <w:rPr>
          <w:sz w:val="28"/>
          <w:szCs w:val="28"/>
        </w:rPr>
        <w:t xml:space="preserve">contenida en el aparte demandado se sustituyera por la expresión </w:t>
      </w:r>
      <w:r w:rsidRPr="00992A2E">
        <w:rPr>
          <w:sz w:val="26"/>
          <w:szCs w:val="26"/>
        </w:rPr>
        <w:t xml:space="preserve">«género». Esto, </w:t>
      </w:r>
      <w:r w:rsidRPr="00992A2E">
        <w:rPr>
          <w:sz w:val="28"/>
          <w:szCs w:val="28"/>
        </w:rPr>
        <w:t>en consideración a que, m</w:t>
      </w:r>
      <w:r w:rsidR="003A2291" w:rsidRPr="00992A2E">
        <w:rPr>
          <w:sz w:val="28"/>
          <w:szCs w:val="28"/>
        </w:rPr>
        <w:t>á</w:t>
      </w:r>
      <w:r w:rsidRPr="00992A2E">
        <w:rPr>
          <w:sz w:val="28"/>
          <w:szCs w:val="28"/>
        </w:rPr>
        <w:t xml:space="preserve">s allá de la manera en que se lleva a cabo el registro personal, a juicio del ministerio </w:t>
      </w:r>
      <w:r w:rsidRPr="00992A2E">
        <w:rPr>
          <w:sz w:val="26"/>
          <w:szCs w:val="26"/>
        </w:rPr>
        <w:t>«la norma presenta ciertos inconvenientes en aquellos escenarios en que se trate de una persona imputada o relacionada con la investigación, que no encaje en el sistema binario o de identidad cisgénero, es decir, las personas que vivencian su género de forma diversa al que se les asignó al nacer»</w:t>
      </w:r>
      <w:r w:rsidRPr="00992A2E">
        <w:rPr>
          <w:rStyle w:val="Refdenotaalpie"/>
          <w:sz w:val="26"/>
          <w:szCs w:val="26"/>
        </w:rPr>
        <w:footnoteReference w:id="5"/>
      </w:r>
      <w:r w:rsidRPr="00992A2E">
        <w:rPr>
          <w:sz w:val="26"/>
          <w:szCs w:val="26"/>
        </w:rPr>
        <w:t xml:space="preserve">. </w:t>
      </w:r>
      <w:r w:rsidRPr="00992A2E">
        <w:rPr>
          <w:sz w:val="28"/>
          <w:szCs w:val="28"/>
        </w:rPr>
        <w:t xml:space="preserve">En ese sentido, la utilización de la expresión «sexo» puede tener una connotación discriminatoria y ocasionar un efecto contrario al que pretende la norma, esto es, que el procedimiento de registro respete las garantías fundamentales de las personas sometidas a </w:t>
      </w:r>
      <w:r w:rsidR="003A2291" w:rsidRPr="00992A2E">
        <w:rPr>
          <w:sz w:val="28"/>
          <w:szCs w:val="28"/>
        </w:rPr>
        <w:t>él</w:t>
      </w:r>
      <w:r w:rsidRPr="00992A2E">
        <w:rPr>
          <w:sz w:val="28"/>
          <w:szCs w:val="28"/>
        </w:rPr>
        <w:t xml:space="preserve">. </w:t>
      </w:r>
    </w:p>
    <w:p w14:paraId="756BA4D1" w14:textId="77777777" w:rsidR="00901EDC" w:rsidRPr="00992A2E" w:rsidRDefault="00901EDC" w:rsidP="001E3603">
      <w:pPr>
        <w:pStyle w:val="Estilo1"/>
        <w:tabs>
          <w:tab w:val="left" w:pos="426"/>
        </w:tabs>
        <w:rPr>
          <w:sz w:val="28"/>
          <w:szCs w:val="28"/>
        </w:rPr>
      </w:pPr>
    </w:p>
    <w:p w14:paraId="3D9EEE72" w14:textId="77777777" w:rsidR="00901EDC" w:rsidRPr="00992A2E" w:rsidRDefault="00901EDC" w:rsidP="001E3603">
      <w:pPr>
        <w:pStyle w:val="Estilo1"/>
        <w:numPr>
          <w:ilvl w:val="0"/>
          <w:numId w:val="1"/>
        </w:numPr>
        <w:tabs>
          <w:tab w:val="left" w:pos="426"/>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0" w:firstLine="0"/>
        <w:rPr>
          <w:rFonts w:eastAsiaTheme="minorHAnsi"/>
          <w:sz w:val="26"/>
          <w:szCs w:val="26"/>
          <w:lang w:eastAsia="en-US"/>
          <w14:ligatures w14:val="standardContextual"/>
        </w:rPr>
      </w:pPr>
      <w:r w:rsidRPr="00992A2E">
        <w:rPr>
          <w:rFonts w:eastAsiaTheme="minorHAnsi"/>
          <w:sz w:val="28"/>
          <w:szCs w:val="28"/>
          <w:lang w:eastAsia="en-US"/>
          <w14:ligatures w14:val="standardContextual"/>
        </w:rPr>
        <w:t xml:space="preserve">El ministerio enfatizó que la disertación no debe centrarse en el registro personal propiamente dicho sino en el sentido gramatical de la palabra </w:t>
      </w:r>
      <w:r w:rsidRPr="00992A2E">
        <w:rPr>
          <w:rFonts w:eastAsiaTheme="minorHAnsi"/>
          <w:sz w:val="28"/>
          <w:szCs w:val="28"/>
          <w:lang w:eastAsia="en-US"/>
          <w14:ligatures w14:val="standardContextual"/>
        </w:rPr>
        <w:lastRenderedPageBreak/>
        <w:t>cuestionada, teniendo en cuenta el papel transformador del lenguaje y su importancia para la realización de los derechos y principios consagrados en la Constitución. En efecto, el léxico utilizado por el legislador puede ser un factor potencial de exclusión social, como justamente sucede con la norma acusada, en cuanto introduce estereotipos basados en el sexo, que perpetúan modelos de discriminación contra sujetos de especial protección constitucional, dentro de este se cobijan los</w:t>
      </w:r>
      <w:r w:rsidRPr="00992A2E">
        <w:rPr>
          <w:rFonts w:eastAsiaTheme="minorHAnsi"/>
          <w:sz w:val="26"/>
          <w:szCs w:val="26"/>
          <w:lang w:eastAsia="en-US"/>
          <w14:ligatures w14:val="standardContextual"/>
        </w:rPr>
        <w:t xml:space="preserve"> «</w:t>
      </w:r>
      <w:r w:rsidRPr="00992A2E">
        <w:rPr>
          <w:sz w:val="26"/>
          <w:szCs w:val="26"/>
        </w:rPr>
        <w:t>derechos de quienes no se identifican con un género en particular o se identifican con uno diferente al de sus características biológicas y físicas»</w:t>
      </w:r>
      <w:r w:rsidRPr="00992A2E">
        <w:rPr>
          <w:rFonts w:eastAsiaTheme="minorHAnsi"/>
          <w:sz w:val="26"/>
          <w:szCs w:val="26"/>
          <w:lang w:eastAsia="en-US"/>
          <w14:ligatures w14:val="standardContextual"/>
        </w:rPr>
        <w:t xml:space="preserve">. </w:t>
      </w:r>
    </w:p>
    <w:p w14:paraId="152E6375" w14:textId="77777777" w:rsidR="00901EDC" w:rsidRPr="00992A2E" w:rsidRDefault="00901EDC" w:rsidP="001E3603">
      <w:pPr>
        <w:pStyle w:val="Estilo1"/>
        <w:tabs>
          <w:tab w:val="left" w:pos="426"/>
        </w:tabs>
        <w:rPr>
          <w:sz w:val="28"/>
          <w:szCs w:val="28"/>
        </w:rPr>
      </w:pPr>
    </w:p>
    <w:p w14:paraId="2FAA4364" w14:textId="77777777" w:rsidR="00901EDC" w:rsidRPr="00992A2E" w:rsidRDefault="00901EDC" w:rsidP="001E3603">
      <w:pPr>
        <w:pStyle w:val="Estilo1"/>
        <w:tabs>
          <w:tab w:val="left" w:pos="426"/>
        </w:tabs>
        <w:rPr>
          <w:b/>
          <w:bCs/>
          <w:sz w:val="28"/>
          <w:szCs w:val="28"/>
        </w:rPr>
      </w:pPr>
      <w:r w:rsidRPr="00992A2E">
        <w:rPr>
          <w:b/>
          <w:bCs/>
          <w:sz w:val="28"/>
          <w:szCs w:val="28"/>
        </w:rPr>
        <w:t xml:space="preserve">Academia Colombiana de Jurisprudencia </w:t>
      </w:r>
    </w:p>
    <w:p w14:paraId="31E81C89" w14:textId="77777777" w:rsidR="00901EDC" w:rsidRPr="00992A2E" w:rsidRDefault="00901EDC" w:rsidP="001E3603">
      <w:pPr>
        <w:pStyle w:val="Estilo1"/>
        <w:tabs>
          <w:tab w:val="left" w:pos="426"/>
        </w:tabs>
        <w:rPr>
          <w:b/>
          <w:bCs/>
          <w:sz w:val="28"/>
          <w:szCs w:val="28"/>
        </w:rPr>
      </w:pPr>
    </w:p>
    <w:p w14:paraId="309B7901" w14:textId="77777777" w:rsidR="00901EDC" w:rsidRPr="00992A2E" w:rsidRDefault="00901EDC" w:rsidP="001E3603">
      <w:pPr>
        <w:pStyle w:val="Estilo1"/>
        <w:numPr>
          <w:ilvl w:val="0"/>
          <w:numId w:val="1"/>
        </w:numPr>
        <w:tabs>
          <w:tab w:val="left" w:pos="426"/>
        </w:tabs>
        <w:ind w:left="0" w:firstLine="0"/>
        <w:rPr>
          <w:sz w:val="28"/>
          <w:szCs w:val="28"/>
        </w:rPr>
      </w:pPr>
      <w:r w:rsidRPr="00992A2E">
        <w:rPr>
          <w:sz w:val="28"/>
          <w:szCs w:val="28"/>
        </w:rPr>
        <w:t xml:space="preserve">Solicitó que se declare la </w:t>
      </w:r>
      <w:proofErr w:type="spellStart"/>
      <w:r w:rsidRPr="00992A2E">
        <w:rPr>
          <w:sz w:val="28"/>
          <w:szCs w:val="28"/>
        </w:rPr>
        <w:t>exequibilidad</w:t>
      </w:r>
      <w:proofErr w:type="spellEnd"/>
      <w:r w:rsidRPr="00992A2E">
        <w:rPr>
          <w:sz w:val="28"/>
          <w:szCs w:val="28"/>
        </w:rPr>
        <w:t xml:space="preserve"> de la norma demandada. Al respecto, adujo que el artículo 248 de la Ley 906 de 2004 ya fue analizado y declarado condicionalmente exequible en la Sentencia C-822 de 2005. Lo anterior, por cuanto </w:t>
      </w:r>
      <w:r w:rsidRPr="00992A2E">
        <w:rPr>
          <w:sz w:val="26"/>
          <w:szCs w:val="26"/>
        </w:rPr>
        <w:t xml:space="preserve">«la interpretación que dio la Corte Constitucional a esta disposición -que se considera como la única conforme a la Constitución-, abarca el supuesto de hecho por el cual los demandantes consideran que la expresión sexo del segundo inciso de la norma es inconstitucional». </w:t>
      </w:r>
      <w:r w:rsidRPr="00992A2E">
        <w:rPr>
          <w:sz w:val="28"/>
          <w:szCs w:val="28"/>
        </w:rPr>
        <w:t>Ello, debido a que la autorización que otorga el juez de control de garantías debe ser respetuoso del derecho a la dignidad humana.</w:t>
      </w:r>
    </w:p>
    <w:p w14:paraId="577DEEE8" w14:textId="77777777" w:rsidR="00901EDC" w:rsidRPr="00992A2E" w:rsidRDefault="00901EDC" w:rsidP="001E3603">
      <w:pPr>
        <w:pStyle w:val="Estilo1"/>
        <w:tabs>
          <w:tab w:val="left" w:pos="426"/>
        </w:tabs>
        <w:rPr>
          <w:sz w:val="28"/>
          <w:szCs w:val="28"/>
        </w:rPr>
      </w:pPr>
    </w:p>
    <w:p w14:paraId="1543286E" w14:textId="03121CD3" w:rsidR="00901EDC" w:rsidRPr="00992A2E" w:rsidRDefault="00901EDC" w:rsidP="001E3603">
      <w:pPr>
        <w:pStyle w:val="Estilo1"/>
        <w:numPr>
          <w:ilvl w:val="0"/>
          <w:numId w:val="1"/>
        </w:numPr>
        <w:tabs>
          <w:tab w:val="left" w:pos="426"/>
        </w:tabs>
        <w:ind w:left="0" w:firstLine="0"/>
        <w:rPr>
          <w:sz w:val="28"/>
          <w:szCs w:val="28"/>
        </w:rPr>
      </w:pPr>
      <w:r w:rsidRPr="00992A2E">
        <w:rPr>
          <w:sz w:val="28"/>
          <w:szCs w:val="28"/>
        </w:rPr>
        <w:t>Tomando en consideración que la norma ya fue objeto de una sentencia de constitucionalidad condicionada, los demandantes debían realizar una argumentación que involucrara dicha interpretación y no la que ellos aisladamente quisieron otorgarle. Si hubieran tenido en cuenta el mencionado fallo,</w:t>
      </w:r>
      <w:r w:rsidR="001C5FFA" w:rsidRPr="00992A2E">
        <w:rPr>
          <w:sz w:val="28"/>
          <w:szCs w:val="28"/>
        </w:rPr>
        <w:t xml:space="preserve"> </w:t>
      </w:r>
      <w:r w:rsidRPr="00992A2E">
        <w:rPr>
          <w:sz w:val="28"/>
          <w:szCs w:val="28"/>
        </w:rPr>
        <w:t>se habría podido advertir que dentro de los elementos a tomar en consideración por el juez de control de garantías se encuentra el relativo a la diversidad de género. Resalta la interviniente que este aspecto podría requerir que la Corte analice la posible ocurrencia del fenómeno de cosa juzgada.</w:t>
      </w:r>
    </w:p>
    <w:p w14:paraId="4C72B7E3" w14:textId="77777777" w:rsidR="00901EDC" w:rsidRPr="00992A2E" w:rsidRDefault="00901EDC" w:rsidP="001E3603">
      <w:pPr>
        <w:pStyle w:val="Estilo1"/>
        <w:tabs>
          <w:tab w:val="left" w:pos="426"/>
        </w:tabs>
        <w:rPr>
          <w:sz w:val="28"/>
          <w:szCs w:val="28"/>
        </w:rPr>
      </w:pPr>
    </w:p>
    <w:p w14:paraId="68055495" w14:textId="77777777" w:rsidR="00901EDC" w:rsidRPr="00992A2E" w:rsidRDefault="00901EDC" w:rsidP="001E3603">
      <w:pPr>
        <w:pStyle w:val="Estilo1"/>
        <w:tabs>
          <w:tab w:val="left" w:pos="426"/>
        </w:tabs>
        <w:rPr>
          <w:sz w:val="28"/>
          <w:szCs w:val="28"/>
        </w:rPr>
      </w:pPr>
      <w:r w:rsidRPr="00992A2E">
        <w:rPr>
          <w:b/>
          <w:bCs/>
          <w:sz w:val="28"/>
          <w:szCs w:val="28"/>
        </w:rPr>
        <w:t>Harold Eduardo Súa Montaña</w:t>
      </w:r>
    </w:p>
    <w:p w14:paraId="2F8ABF28" w14:textId="77777777" w:rsidR="00901EDC" w:rsidRPr="00992A2E" w:rsidRDefault="00901EDC" w:rsidP="001E3603">
      <w:pPr>
        <w:pStyle w:val="Estilo1"/>
        <w:tabs>
          <w:tab w:val="left" w:pos="426"/>
        </w:tabs>
        <w:rPr>
          <w:sz w:val="28"/>
          <w:szCs w:val="28"/>
        </w:rPr>
      </w:pPr>
    </w:p>
    <w:p w14:paraId="78D43200" w14:textId="230AB4F4" w:rsidR="00901EDC" w:rsidRPr="00992A2E" w:rsidRDefault="00901EDC" w:rsidP="001E3603">
      <w:pPr>
        <w:pStyle w:val="Estilo1"/>
        <w:numPr>
          <w:ilvl w:val="0"/>
          <w:numId w:val="1"/>
        </w:numPr>
        <w:tabs>
          <w:tab w:val="left" w:pos="426"/>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0" w:firstLine="0"/>
        <w:rPr>
          <w:sz w:val="26"/>
          <w:szCs w:val="26"/>
        </w:rPr>
      </w:pPr>
      <w:r w:rsidRPr="00992A2E">
        <w:rPr>
          <w:sz w:val="28"/>
          <w:szCs w:val="28"/>
        </w:rPr>
        <w:t xml:space="preserve">Solicitó que se declare la </w:t>
      </w:r>
      <w:proofErr w:type="spellStart"/>
      <w:r w:rsidRPr="00992A2E">
        <w:rPr>
          <w:sz w:val="28"/>
          <w:szCs w:val="28"/>
        </w:rPr>
        <w:t>exequibilidad</w:t>
      </w:r>
      <w:proofErr w:type="spellEnd"/>
      <w:r w:rsidRPr="00992A2E">
        <w:rPr>
          <w:sz w:val="28"/>
          <w:szCs w:val="28"/>
        </w:rPr>
        <w:t xml:space="preserve"> de </w:t>
      </w:r>
      <w:r w:rsidR="007C7736" w:rsidRPr="00992A2E">
        <w:rPr>
          <w:sz w:val="28"/>
          <w:szCs w:val="28"/>
        </w:rPr>
        <w:t xml:space="preserve">la </w:t>
      </w:r>
      <w:r w:rsidRPr="00992A2E">
        <w:rPr>
          <w:sz w:val="28"/>
          <w:szCs w:val="28"/>
        </w:rPr>
        <w:t xml:space="preserve">palabra acusada. En su criterio, aquella </w:t>
      </w:r>
      <w:r w:rsidRPr="00992A2E">
        <w:rPr>
          <w:sz w:val="26"/>
          <w:szCs w:val="26"/>
        </w:rPr>
        <w:t>«está configurada en el contexto normativo de la época de su emanación sin estar pragmáticamente discordada al actual en tanto la misma sirve al propósito legislativo de la norma donde figura señalado en sentencia C822 de 2005»</w:t>
      </w:r>
      <w:r w:rsidRPr="00992A2E">
        <w:rPr>
          <w:rStyle w:val="Refdenotaalpie"/>
          <w:sz w:val="26"/>
          <w:szCs w:val="26"/>
        </w:rPr>
        <w:footnoteReference w:id="6"/>
      </w:r>
      <w:r w:rsidRPr="00992A2E">
        <w:rPr>
          <w:sz w:val="26"/>
          <w:szCs w:val="26"/>
        </w:rPr>
        <w:t>.</w:t>
      </w:r>
      <w:r w:rsidRPr="00992A2E">
        <w:rPr>
          <w:sz w:val="28"/>
          <w:szCs w:val="28"/>
        </w:rPr>
        <w:t xml:space="preserve"> Estos propósitos, según lo señala el interviniente son </w:t>
      </w:r>
      <w:r w:rsidRPr="00992A2E">
        <w:rPr>
          <w:i/>
          <w:iCs/>
          <w:sz w:val="28"/>
          <w:szCs w:val="28"/>
        </w:rPr>
        <w:t>(i)</w:t>
      </w:r>
      <w:r w:rsidRPr="00992A2E">
        <w:rPr>
          <w:sz w:val="28"/>
          <w:szCs w:val="28"/>
        </w:rPr>
        <w:t xml:space="preserve"> que el registro se realice con el mayor decoro posible, </w:t>
      </w:r>
      <w:r w:rsidRPr="00992A2E">
        <w:rPr>
          <w:i/>
          <w:iCs/>
          <w:sz w:val="28"/>
          <w:szCs w:val="28"/>
        </w:rPr>
        <w:t>(</w:t>
      </w:r>
      <w:proofErr w:type="spellStart"/>
      <w:r w:rsidRPr="00992A2E">
        <w:rPr>
          <w:i/>
          <w:iCs/>
          <w:sz w:val="28"/>
          <w:szCs w:val="28"/>
        </w:rPr>
        <w:t>ii</w:t>
      </w:r>
      <w:proofErr w:type="spellEnd"/>
      <w:r w:rsidRPr="00992A2E">
        <w:rPr>
          <w:i/>
          <w:iCs/>
          <w:sz w:val="28"/>
          <w:szCs w:val="28"/>
        </w:rPr>
        <w:t>)</w:t>
      </w:r>
      <w:r w:rsidRPr="00992A2E">
        <w:rPr>
          <w:sz w:val="28"/>
          <w:szCs w:val="28"/>
        </w:rPr>
        <w:t xml:space="preserve"> y que se desarrolle en condiciones de seguridad, higiene, confiabilidad y humanidad</w:t>
      </w:r>
      <w:r w:rsidRPr="00992A2E">
        <w:rPr>
          <w:i/>
          <w:iCs/>
          <w:sz w:val="28"/>
          <w:szCs w:val="28"/>
        </w:rPr>
        <w:t xml:space="preserve">. </w:t>
      </w:r>
      <w:r w:rsidRPr="00992A2E">
        <w:rPr>
          <w:sz w:val="28"/>
          <w:szCs w:val="28"/>
        </w:rPr>
        <w:t>Además, resalta la posibilidad que tiene la persona registrada de oponerse para «</w:t>
      </w:r>
      <w:r w:rsidRPr="00992A2E">
        <w:rPr>
          <w:sz w:val="26"/>
          <w:szCs w:val="26"/>
        </w:rPr>
        <w:t>hacer imperar su identidad deconstruida».</w:t>
      </w:r>
      <w:r w:rsidRPr="00992A2E">
        <w:rPr>
          <w:sz w:val="28"/>
          <w:szCs w:val="28"/>
        </w:rPr>
        <w:t xml:space="preserve"> </w:t>
      </w:r>
    </w:p>
    <w:p w14:paraId="7F8F2D59" w14:textId="77777777" w:rsidR="00901EDC" w:rsidRPr="00992A2E" w:rsidRDefault="00901EDC" w:rsidP="001E3603">
      <w:pPr>
        <w:pStyle w:val="Estilo1"/>
        <w:tabs>
          <w:tab w:val="left" w:pos="426"/>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 w:val="26"/>
          <w:szCs w:val="26"/>
        </w:rPr>
      </w:pPr>
    </w:p>
    <w:p w14:paraId="32CB9935" w14:textId="77777777" w:rsidR="00901EDC" w:rsidRPr="00992A2E" w:rsidRDefault="00901EDC" w:rsidP="001E3603">
      <w:pPr>
        <w:pStyle w:val="Estilo1"/>
        <w:numPr>
          <w:ilvl w:val="0"/>
          <w:numId w:val="1"/>
        </w:numPr>
        <w:tabs>
          <w:tab w:val="left" w:pos="426"/>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0" w:firstLine="0"/>
        <w:rPr>
          <w:sz w:val="26"/>
          <w:szCs w:val="26"/>
        </w:rPr>
      </w:pPr>
      <w:r w:rsidRPr="00992A2E">
        <w:rPr>
          <w:sz w:val="28"/>
          <w:szCs w:val="28"/>
        </w:rPr>
        <w:t xml:space="preserve">En ese sentido, estima que en la Sentencia C-822 de 2005, la Corte Constitucional estableció que el registro personal </w:t>
      </w:r>
      <w:r w:rsidRPr="00992A2E">
        <w:rPr>
          <w:rFonts w:eastAsiaTheme="minorHAnsi"/>
          <w:sz w:val="28"/>
          <w:szCs w:val="28"/>
          <w:lang w:eastAsia="en-US"/>
          <w14:ligatures w14:val="standardContextual"/>
        </w:rPr>
        <w:t>requiere</w:t>
      </w:r>
      <w:r w:rsidRPr="00992A2E">
        <w:rPr>
          <w:sz w:val="28"/>
          <w:szCs w:val="28"/>
        </w:rPr>
        <w:t xml:space="preserve"> </w:t>
      </w:r>
      <w:r w:rsidRPr="00992A2E">
        <w:rPr>
          <w:rFonts w:eastAsiaTheme="minorHAnsi"/>
          <w:sz w:val="28"/>
          <w:szCs w:val="28"/>
          <w:lang w:eastAsia="en-US"/>
          <w14:ligatures w14:val="standardContextual"/>
        </w:rPr>
        <w:t xml:space="preserve">autorización previa del juez de control de garantías, autoridad que, además de ponderar si el procedimiento es pertinente, idóneo, necesario y proporcionado, definirá las condiciones bajo las cuales se practicará, para lo cual tendrá en cuenta la dignidad de la persona y el grado de afectación de sus derechos. </w:t>
      </w:r>
      <w:r w:rsidRPr="00992A2E">
        <w:rPr>
          <w:sz w:val="28"/>
          <w:szCs w:val="28"/>
        </w:rPr>
        <w:t xml:space="preserve">Esto permite entender que, antes de ejecutar dicho procedimiento, también se verificará que </w:t>
      </w:r>
      <w:r w:rsidRPr="00992A2E">
        <w:rPr>
          <w:sz w:val="28"/>
          <w:szCs w:val="28"/>
        </w:rPr>
        <w:lastRenderedPageBreak/>
        <w:t xml:space="preserve">no se conculquen los </w:t>
      </w:r>
      <w:r w:rsidRPr="00992A2E">
        <w:rPr>
          <w:rFonts w:eastAsiaTheme="minorHAnsi"/>
          <w:sz w:val="28"/>
          <w:szCs w:val="28"/>
          <w:lang w:eastAsia="en-US"/>
          <w14:ligatures w14:val="standardContextual"/>
        </w:rPr>
        <w:t xml:space="preserve">derechos de las personas con identidad de género diversa. De ahí que </w:t>
      </w:r>
      <w:r w:rsidRPr="00992A2E">
        <w:rPr>
          <w:sz w:val="28"/>
          <w:szCs w:val="28"/>
        </w:rPr>
        <w:t xml:space="preserve">no tenga cabida el cuestionamiento de los demandantes, quienes se limitaron a interpretar literalmente la norma, sin tener en cuenta la prenotada limitación judicial. De hecho, podría afirmarse que hay cosa juzgada, pues la citada sentencia </w:t>
      </w:r>
      <w:r w:rsidRPr="00992A2E">
        <w:rPr>
          <w:rFonts w:eastAsiaTheme="minorHAnsi"/>
          <w:sz w:val="28"/>
          <w:szCs w:val="28"/>
          <w:lang w:eastAsia="en-US"/>
          <w14:ligatures w14:val="standardContextual"/>
        </w:rPr>
        <w:t xml:space="preserve">decantó integralmente las pautas bajo las cuales debe agotarse la diligencia en estudio, incluso en relación con el cargo que hoy se plantea. </w:t>
      </w:r>
    </w:p>
    <w:p w14:paraId="47C1530E" w14:textId="77777777" w:rsidR="00901EDC" w:rsidRPr="00992A2E" w:rsidRDefault="00901EDC" w:rsidP="001E3603">
      <w:pPr>
        <w:pStyle w:val="Estilo1"/>
        <w:tabs>
          <w:tab w:val="left" w:pos="426"/>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eastAsiaTheme="minorHAnsi"/>
          <w:sz w:val="28"/>
          <w:szCs w:val="28"/>
          <w:lang w:eastAsia="en-US"/>
          <w14:ligatures w14:val="standardContextual"/>
        </w:rPr>
      </w:pPr>
    </w:p>
    <w:p w14:paraId="26A6BEBE" w14:textId="77777777" w:rsidR="00901EDC" w:rsidRPr="00992A2E" w:rsidRDefault="00901EDC" w:rsidP="001E3603">
      <w:pPr>
        <w:pStyle w:val="Estilo1"/>
        <w:tabs>
          <w:tab w:val="left" w:pos="426"/>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eastAsiaTheme="minorHAnsi"/>
          <w:b/>
          <w:bCs/>
          <w:sz w:val="28"/>
          <w:szCs w:val="28"/>
          <w:lang w:eastAsia="en-US"/>
          <w14:ligatures w14:val="standardContextual"/>
        </w:rPr>
      </w:pPr>
      <w:r w:rsidRPr="00992A2E">
        <w:rPr>
          <w:rFonts w:eastAsiaTheme="minorHAnsi"/>
          <w:b/>
          <w:bCs/>
          <w:sz w:val="28"/>
          <w:szCs w:val="28"/>
          <w:lang w:eastAsia="en-US"/>
          <w14:ligatures w14:val="standardContextual"/>
        </w:rPr>
        <w:t>Universidad EAFIT</w:t>
      </w:r>
    </w:p>
    <w:p w14:paraId="65F058C9" w14:textId="77777777" w:rsidR="00901EDC" w:rsidRPr="00992A2E" w:rsidRDefault="00901EDC" w:rsidP="001E3603">
      <w:pPr>
        <w:pStyle w:val="Estilo1"/>
        <w:tabs>
          <w:tab w:val="left" w:pos="426"/>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eastAsiaTheme="minorHAnsi"/>
          <w:sz w:val="28"/>
          <w:szCs w:val="28"/>
          <w:lang w:eastAsia="en-US"/>
          <w14:ligatures w14:val="standardContextual"/>
        </w:rPr>
      </w:pPr>
    </w:p>
    <w:p w14:paraId="508B0816" w14:textId="77777777" w:rsidR="00901EDC" w:rsidRPr="00992A2E" w:rsidRDefault="00901EDC" w:rsidP="001E3603">
      <w:pPr>
        <w:pStyle w:val="Estilo1"/>
        <w:numPr>
          <w:ilvl w:val="0"/>
          <w:numId w:val="1"/>
        </w:numPr>
        <w:tabs>
          <w:tab w:val="left" w:pos="426"/>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0" w:firstLine="0"/>
        <w:rPr>
          <w:rFonts w:eastAsiaTheme="minorHAnsi"/>
          <w:sz w:val="28"/>
          <w:szCs w:val="28"/>
          <w:lang w:eastAsia="en-US"/>
          <w14:ligatures w14:val="standardContextual"/>
        </w:rPr>
      </w:pPr>
      <w:r w:rsidRPr="00992A2E">
        <w:rPr>
          <w:sz w:val="28"/>
          <w:szCs w:val="28"/>
        </w:rPr>
        <w:t xml:space="preserve">Inició por descartar la configuración de la cosa juzgada, explicando que la Sentencia C-822 de 2005 no abordó el derecho a la identidad de género y su posible vulneración a raíz del uso de la palabra </w:t>
      </w:r>
      <w:r w:rsidRPr="00992A2E">
        <w:rPr>
          <w:sz w:val="26"/>
          <w:szCs w:val="26"/>
        </w:rPr>
        <w:t>«sexo»</w:t>
      </w:r>
      <w:r w:rsidRPr="00992A2E">
        <w:rPr>
          <w:sz w:val="28"/>
          <w:szCs w:val="28"/>
        </w:rPr>
        <w:t xml:space="preserve">, como parámetro para determinar quién ejecutará el registro. A continuación, caracterizó los conceptos de sexo y género, para enfatizar que mientras el primero parte de </w:t>
      </w:r>
      <w:r w:rsidRPr="00992A2E">
        <w:rPr>
          <w:rFonts w:eastAsiaTheme="minorHAnsi"/>
          <w:sz w:val="28"/>
          <w:szCs w:val="28"/>
          <w:lang w:eastAsia="en-US"/>
          <w14:ligatures w14:val="standardContextual"/>
        </w:rPr>
        <w:t>un marco estrictamente binario y mutuamente excluyente (macho-hembra), que no consigue abarcar todas las manifestaciones -ni siquiera las biológicas o producidas quirúrgicamente- del sexo en los seres humanos</w:t>
      </w:r>
      <w:r w:rsidRPr="00992A2E">
        <w:rPr>
          <w:rStyle w:val="Refdenotaalpie"/>
          <w:rFonts w:eastAsiaTheme="minorHAnsi"/>
          <w:sz w:val="28"/>
          <w:szCs w:val="28"/>
          <w:lang w:eastAsia="en-US"/>
          <w14:ligatures w14:val="standardContextual"/>
        </w:rPr>
        <w:footnoteReference w:id="7"/>
      </w:r>
      <w:r w:rsidRPr="00992A2E">
        <w:rPr>
          <w:rFonts w:eastAsiaTheme="minorHAnsi"/>
          <w:sz w:val="28"/>
          <w:szCs w:val="28"/>
          <w:lang w:eastAsia="en-US"/>
          <w14:ligatures w14:val="standardContextual"/>
        </w:rPr>
        <w:t>, el segundo se desliga de la perspectiva eminentemente anatómica para dar paso a un fenómeno de construcción identitaria, que permite a la persona transitar entre la feminidad y la masculinidad, o negar ambas etiquetas, para definir autónomamente su concepción propia en un plano que no está restringido por los hechos biológicos o por el rótulo que le fue asignado al nacer, lo que ha sido reconocido por la jurisprudencia constitucional como una garantía fundamental autónoma, asociada al principio de la dignidad humana y a los derechos a la igualdad, a la intimidad y al libre desarrollo de la personalidad</w:t>
      </w:r>
      <w:r w:rsidRPr="00992A2E">
        <w:rPr>
          <w:rStyle w:val="Refdenotaalpie"/>
          <w:rFonts w:eastAsiaTheme="minorHAnsi"/>
          <w:sz w:val="28"/>
          <w:szCs w:val="28"/>
          <w:lang w:eastAsia="en-US"/>
          <w14:ligatures w14:val="standardContextual"/>
        </w:rPr>
        <w:footnoteReference w:id="8"/>
      </w:r>
      <w:r w:rsidRPr="00992A2E">
        <w:rPr>
          <w:rFonts w:eastAsiaTheme="minorHAnsi"/>
          <w:sz w:val="28"/>
          <w:szCs w:val="28"/>
          <w:lang w:eastAsia="en-US"/>
          <w14:ligatures w14:val="standardContextual"/>
        </w:rPr>
        <w:t>.</w:t>
      </w:r>
    </w:p>
    <w:p w14:paraId="00C21182" w14:textId="77777777" w:rsidR="00901EDC" w:rsidRPr="00992A2E" w:rsidRDefault="00901EDC" w:rsidP="001E3603">
      <w:pPr>
        <w:pStyle w:val="Estilo1"/>
        <w:tabs>
          <w:tab w:val="left" w:pos="426"/>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eastAsiaTheme="minorHAnsi"/>
          <w:sz w:val="28"/>
          <w:szCs w:val="28"/>
          <w:lang w:eastAsia="en-US"/>
          <w14:ligatures w14:val="standardContextual"/>
        </w:rPr>
      </w:pPr>
    </w:p>
    <w:p w14:paraId="30264FB7" w14:textId="77777777" w:rsidR="00901EDC" w:rsidRPr="00992A2E" w:rsidRDefault="00901EDC" w:rsidP="001E3603">
      <w:pPr>
        <w:pStyle w:val="Estilo1"/>
        <w:numPr>
          <w:ilvl w:val="0"/>
          <w:numId w:val="1"/>
        </w:numPr>
        <w:tabs>
          <w:tab w:val="left" w:pos="426"/>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0" w:firstLine="0"/>
        <w:rPr>
          <w:b/>
          <w:bCs/>
          <w:sz w:val="28"/>
          <w:szCs w:val="28"/>
        </w:rPr>
      </w:pPr>
      <w:r w:rsidRPr="00992A2E">
        <w:rPr>
          <w:rFonts w:eastAsiaTheme="minorHAnsi"/>
          <w:sz w:val="28"/>
          <w:szCs w:val="28"/>
          <w:lang w:eastAsia="en-US"/>
          <w14:ligatures w14:val="standardContextual"/>
        </w:rPr>
        <w:t>En ese contexto, al emplear criterios como el sexo, la norma cuestionada anula el derecho a desarrollar y expresar la identidad de género de forma libre y autónoma, al paso que introduce un factor de discriminación para las personas que no se conciben dentro de las categorías biológicas socialmente definidas.</w:t>
      </w:r>
    </w:p>
    <w:p w14:paraId="48CCEEC1" w14:textId="77777777" w:rsidR="00901EDC" w:rsidRPr="00992A2E" w:rsidRDefault="00901EDC" w:rsidP="001E3603">
      <w:pPr>
        <w:pStyle w:val="Estilo1"/>
        <w:tabs>
          <w:tab w:val="left" w:pos="426"/>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b/>
          <w:bCs/>
          <w:sz w:val="28"/>
          <w:szCs w:val="28"/>
        </w:rPr>
      </w:pPr>
    </w:p>
    <w:p w14:paraId="78F04E32" w14:textId="71D9E1F8" w:rsidR="00901EDC" w:rsidRPr="00992A2E" w:rsidRDefault="00901EDC" w:rsidP="001E3603">
      <w:pPr>
        <w:pStyle w:val="Estilo1"/>
        <w:numPr>
          <w:ilvl w:val="0"/>
          <w:numId w:val="1"/>
        </w:numPr>
        <w:tabs>
          <w:tab w:val="left" w:pos="426"/>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0" w:firstLine="0"/>
        <w:rPr>
          <w:b/>
          <w:bCs/>
          <w:i/>
          <w:iCs/>
          <w:sz w:val="28"/>
          <w:szCs w:val="28"/>
        </w:rPr>
      </w:pPr>
      <w:r w:rsidRPr="00992A2E">
        <w:rPr>
          <w:sz w:val="28"/>
          <w:szCs w:val="28"/>
        </w:rPr>
        <w:t xml:space="preserve">Posteriormente, aplicando </w:t>
      </w:r>
      <w:proofErr w:type="gramStart"/>
      <w:r w:rsidRPr="00992A2E">
        <w:rPr>
          <w:sz w:val="28"/>
          <w:szCs w:val="28"/>
        </w:rPr>
        <w:t>el test</w:t>
      </w:r>
      <w:proofErr w:type="gramEnd"/>
      <w:r w:rsidRPr="00992A2E">
        <w:rPr>
          <w:sz w:val="28"/>
          <w:szCs w:val="28"/>
        </w:rPr>
        <w:t xml:space="preserve"> estricto de igualdad, manifestó que la solución que se muestra adecuada, conducente, proporcional y razonable para superar dichas situaciones es declarar la </w:t>
      </w:r>
      <w:proofErr w:type="spellStart"/>
      <w:r w:rsidRPr="00992A2E">
        <w:rPr>
          <w:sz w:val="28"/>
          <w:szCs w:val="28"/>
        </w:rPr>
        <w:t>exequibilidad</w:t>
      </w:r>
      <w:proofErr w:type="spellEnd"/>
      <w:r w:rsidRPr="00992A2E">
        <w:rPr>
          <w:sz w:val="28"/>
          <w:szCs w:val="28"/>
        </w:rPr>
        <w:t xml:space="preserve"> condicionada de la norma, </w:t>
      </w:r>
      <w:r w:rsidRPr="00992A2E">
        <w:rPr>
          <w:rFonts w:eastAsiaTheme="minorHAnsi"/>
          <w:sz w:val="28"/>
          <w:szCs w:val="28"/>
          <w:lang w:eastAsia="en-US"/>
          <w14:ligatures w14:val="standardContextual"/>
        </w:rPr>
        <w:t xml:space="preserve">en el entendido de que la expresión </w:t>
      </w:r>
      <w:r w:rsidRPr="00992A2E">
        <w:rPr>
          <w:rFonts w:eastAsiaTheme="minorHAnsi"/>
          <w:sz w:val="26"/>
          <w:szCs w:val="26"/>
          <w:lang w:eastAsia="en-US"/>
          <w14:ligatures w14:val="standardContextual"/>
        </w:rPr>
        <w:t xml:space="preserve">«sexo» </w:t>
      </w:r>
      <w:r w:rsidRPr="00992A2E">
        <w:rPr>
          <w:rFonts w:eastAsiaTheme="minorHAnsi"/>
          <w:sz w:val="28"/>
          <w:szCs w:val="28"/>
          <w:lang w:eastAsia="en-US"/>
          <w14:ligatures w14:val="standardContextual"/>
        </w:rPr>
        <w:t xml:space="preserve">sea comprendida como </w:t>
      </w:r>
      <w:r w:rsidRPr="00992A2E">
        <w:rPr>
          <w:rFonts w:eastAsiaTheme="minorHAnsi"/>
          <w:sz w:val="26"/>
          <w:szCs w:val="26"/>
          <w:lang w:eastAsia="en-US"/>
          <w14:ligatures w14:val="standardContextual"/>
        </w:rPr>
        <w:t>«género»</w:t>
      </w:r>
      <w:r w:rsidRPr="00992A2E">
        <w:rPr>
          <w:rFonts w:eastAsiaTheme="minorHAnsi"/>
          <w:sz w:val="28"/>
          <w:szCs w:val="28"/>
          <w:lang w:eastAsia="en-US"/>
          <w14:ligatures w14:val="standardContextual"/>
        </w:rPr>
        <w:t xml:space="preserve"> y </w:t>
      </w:r>
      <w:r w:rsidRPr="00992A2E">
        <w:rPr>
          <w:rFonts w:eastAsiaTheme="minorHAnsi"/>
          <w:sz w:val="26"/>
          <w:szCs w:val="26"/>
          <w:lang w:eastAsia="en-US"/>
          <w14:ligatures w14:val="standardContextual"/>
        </w:rPr>
        <w:t>«teniendo en cuenta que el procedimiento debe desarrollarse de la siguiente manera: 1. El funcionario debe preguntar a la persona que se va a someter al registro con qué género se identifica. 2. Luego se procede a asignar un funcionario de su mismo género para realizar el registro. 3. En caso en que no haya un funcionario de la misma identidad de género diversa (no binario, género fluido o trans) el funcionario debe preguntarle si se sentiría más a gusto con que le realice el registro una persona cisgénero hombre o mujer».</w:t>
      </w:r>
    </w:p>
    <w:p w14:paraId="35F4C1DC" w14:textId="77777777" w:rsidR="00901EDC" w:rsidRPr="00992A2E" w:rsidRDefault="00901EDC" w:rsidP="001E3603">
      <w:pPr>
        <w:pStyle w:val="Prrafodelista"/>
        <w:rPr>
          <w:rFonts w:eastAsiaTheme="minorHAnsi"/>
          <w:sz w:val="28"/>
          <w:szCs w:val="28"/>
          <w:lang w:val="es-ES_tradnl" w:eastAsia="en-US"/>
          <w14:ligatures w14:val="standardContextual"/>
        </w:rPr>
      </w:pPr>
    </w:p>
    <w:p w14:paraId="09BDEBC4" w14:textId="77777777" w:rsidR="00901EDC" w:rsidRPr="00992A2E" w:rsidRDefault="00901EDC" w:rsidP="001E3603">
      <w:pPr>
        <w:pStyle w:val="Estilo1"/>
        <w:numPr>
          <w:ilvl w:val="0"/>
          <w:numId w:val="1"/>
        </w:numPr>
        <w:tabs>
          <w:tab w:val="left" w:pos="426"/>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0" w:firstLine="0"/>
        <w:rPr>
          <w:rFonts w:eastAsiaTheme="minorHAnsi"/>
          <w:sz w:val="28"/>
          <w:szCs w:val="28"/>
          <w:lang w:eastAsia="en-US"/>
          <w14:ligatures w14:val="standardContextual"/>
        </w:rPr>
      </w:pPr>
      <w:r w:rsidRPr="00992A2E">
        <w:rPr>
          <w:rFonts w:eastAsiaTheme="minorHAnsi"/>
          <w:sz w:val="28"/>
          <w:szCs w:val="28"/>
          <w:lang w:eastAsia="en-US"/>
          <w14:ligatures w14:val="standardContextual"/>
        </w:rPr>
        <w:t>En ese sentido, consideró la interviniente que la decisión implicaría una medida afirmativa a favor de los grupos históricamente discriminados en razón del género, que permite materializar la diligencia de registro regulada en la norma acusada, sin restringir los derechos a la intimidad personal y al libre desarrollo de la personalidad, el pluralismo y el principio de respeto de la dignidad humana, para favorecer la inclusión de las personas y evitar que sean etiquetadas con base en los prejuicios de la autoridad.</w:t>
      </w:r>
    </w:p>
    <w:p w14:paraId="560A85AF" w14:textId="77777777" w:rsidR="00901EDC" w:rsidRPr="00992A2E" w:rsidRDefault="00901EDC" w:rsidP="001E3603">
      <w:pPr>
        <w:pStyle w:val="Estilo1"/>
        <w:tabs>
          <w:tab w:val="left" w:pos="426"/>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b/>
          <w:bCs/>
          <w:sz w:val="28"/>
          <w:szCs w:val="28"/>
        </w:rPr>
      </w:pPr>
    </w:p>
    <w:p w14:paraId="6CB76F5A" w14:textId="77777777" w:rsidR="00901EDC" w:rsidRPr="00992A2E" w:rsidRDefault="00901EDC" w:rsidP="001E3603">
      <w:pPr>
        <w:pStyle w:val="Estilo1"/>
        <w:tabs>
          <w:tab w:val="left" w:pos="426"/>
        </w:tabs>
        <w:rPr>
          <w:b/>
          <w:bCs/>
          <w:sz w:val="28"/>
          <w:szCs w:val="28"/>
        </w:rPr>
      </w:pPr>
      <w:r w:rsidRPr="00992A2E">
        <w:rPr>
          <w:b/>
          <w:bCs/>
          <w:sz w:val="28"/>
          <w:szCs w:val="28"/>
        </w:rPr>
        <w:t>Colombia Diversa y PAIIS</w:t>
      </w:r>
      <w:r w:rsidRPr="00992A2E">
        <w:rPr>
          <w:rStyle w:val="Refdenotaalpie"/>
          <w:b/>
          <w:bCs/>
          <w:sz w:val="28"/>
          <w:szCs w:val="28"/>
        </w:rPr>
        <w:footnoteReference w:id="9"/>
      </w:r>
    </w:p>
    <w:p w14:paraId="5437B54C" w14:textId="77777777" w:rsidR="00901EDC" w:rsidRPr="00992A2E" w:rsidRDefault="00901EDC" w:rsidP="001E3603">
      <w:pPr>
        <w:pStyle w:val="Estilo1"/>
        <w:tabs>
          <w:tab w:val="left" w:pos="426"/>
        </w:tabs>
        <w:rPr>
          <w:sz w:val="28"/>
          <w:szCs w:val="28"/>
        </w:rPr>
      </w:pPr>
    </w:p>
    <w:p w14:paraId="78330A22" w14:textId="77777777" w:rsidR="00901EDC" w:rsidRPr="00992A2E" w:rsidRDefault="00901EDC" w:rsidP="001E3603">
      <w:pPr>
        <w:pStyle w:val="Estilo1"/>
        <w:numPr>
          <w:ilvl w:val="0"/>
          <w:numId w:val="1"/>
        </w:numPr>
        <w:tabs>
          <w:tab w:val="left" w:pos="426"/>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0" w:firstLine="0"/>
        <w:rPr>
          <w:rFonts w:eastAsiaTheme="minorHAnsi"/>
          <w:lang w:eastAsia="en-US"/>
          <w14:ligatures w14:val="standardContextual"/>
        </w:rPr>
      </w:pPr>
      <w:r w:rsidRPr="00992A2E">
        <w:rPr>
          <w:sz w:val="28"/>
          <w:szCs w:val="28"/>
        </w:rPr>
        <w:t>Tras definir diversos conceptos relativos al derecho a la identidad de género</w:t>
      </w:r>
      <w:r w:rsidRPr="00992A2E">
        <w:rPr>
          <w:rStyle w:val="Refdenotaalpie"/>
          <w:sz w:val="28"/>
          <w:szCs w:val="28"/>
        </w:rPr>
        <w:footnoteReference w:id="10"/>
      </w:r>
      <w:r w:rsidRPr="00992A2E">
        <w:rPr>
          <w:sz w:val="28"/>
          <w:szCs w:val="28"/>
        </w:rPr>
        <w:t xml:space="preserve">, estos intervinientes efectuaron una reconstrucción de los estándares nacionales e internacionales que guían su protección y facilitan la comprensión de la relación entre los conceptos sexo y género. En ese sentido, citaron la </w:t>
      </w:r>
      <w:r w:rsidRPr="00992A2E">
        <w:rPr>
          <w:rFonts w:eastAsiaTheme="minorHAnsi"/>
          <w:sz w:val="28"/>
          <w:szCs w:val="28"/>
          <w:lang w:eastAsia="en-US"/>
          <w14:ligatures w14:val="standardContextual"/>
        </w:rPr>
        <w:t>Convención Interamericana contra toda forma de Discriminación e</w:t>
      </w:r>
      <w:r w:rsidRPr="00992A2E">
        <w:rPr>
          <w:i/>
          <w:iCs/>
          <w:sz w:val="28"/>
          <w:szCs w:val="28"/>
        </w:rPr>
        <w:t xml:space="preserve"> </w:t>
      </w:r>
      <w:r w:rsidRPr="00992A2E">
        <w:rPr>
          <w:rFonts w:eastAsiaTheme="minorHAnsi"/>
          <w:sz w:val="28"/>
          <w:szCs w:val="28"/>
          <w:lang w:eastAsia="en-US"/>
          <w14:ligatures w14:val="standardContextual"/>
        </w:rPr>
        <w:t>Intolerancia, la Opinión Consultiva 24 de la Corte Interamericana de Derechos Humanos, los Principios de Yogyakarta y diversas decisiones</w:t>
      </w:r>
      <w:r w:rsidRPr="00992A2E">
        <w:rPr>
          <w:sz w:val="28"/>
          <w:szCs w:val="28"/>
        </w:rPr>
        <w:t xml:space="preserve"> de la Corte Constitucional</w:t>
      </w:r>
      <w:r w:rsidRPr="00992A2E">
        <w:rPr>
          <w:rStyle w:val="Refdenotaalpie"/>
          <w:sz w:val="28"/>
          <w:szCs w:val="28"/>
        </w:rPr>
        <w:footnoteReference w:id="11"/>
      </w:r>
      <w:r w:rsidRPr="00992A2E">
        <w:rPr>
          <w:sz w:val="28"/>
          <w:szCs w:val="28"/>
        </w:rPr>
        <w:t xml:space="preserve">, en cuya virtud </w:t>
      </w:r>
      <w:r w:rsidRPr="00992A2E">
        <w:rPr>
          <w:rFonts w:eastAsiaTheme="minorHAnsi"/>
          <w:sz w:val="28"/>
          <w:szCs w:val="28"/>
          <w:lang w:eastAsia="en-US"/>
          <w14:ligatures w14:val="standardContextual"/>
        </w:rPr>
        <w:t>la identidad de género es una manifestación de la dignidad humana y del derecho a autodeterminarse de las personas y a ser tratadas conforme a su concepción de sí mismas, sin que la categoría de sexo defina la manera en que se relacionan con la sociedad y la institucionalidad. Tales fuentes también dan cuenta de la protección reforzada que merecen las personas con identidad de género diversa, ante las violencias y discriminaciones históricas que han padecido</w:t>
      </w:r>
      <w:r w:rsidRPr="00992A2E">
        <w:rPr>
          <w:rStyle w:val="Refdenotaalpie"/>
          <w:rFonts w:eastAsiaTheme="minorHAnsi"/>
          <w:sz w:val="28"/>
          <w:szCs w:val="28"/>
          <w:lang w:eastAsia="en-US"/>
          <w14:ligatures w14:val="standardContextual"/>
        </w:rPr>
        <w:footnoteReference w:id="12"/>
      </w:r>
      <w:r w:rsidRPr="00992A2E">
        <w:rPr>
          <w:rFonts w:eastAsiaTheme="minorHAnsi"/>
          <w:sz w:val="28"/>
          <w:szCs w:val="28"/>
          <w:lang w:eastAsia="en-US"/>
          <w14:ligatures w14:val="standardContextual"/>
        </w:rPr>
        <w:t>, al paso que recalcan la importancia de erradicar todo acto orientado a restringir su desarrollo libre, autónomo y en igualdad de condiciones con las personas que han asumido los roles socialmente impuestos.</w:t>
      </w:r>
    </w:p>
    <w:p w14:paraId="5918BF46" w14:textId="77777777" w:rsidR="00901EDC" w:rsidRPr="00992A2E" w:rsidRDefault="00901EDC" w:rsidP="001E3603">
      <w:pPr>
        <w:pStyle w:val="Estilo1"/>
        <w:tabs>
          <w:tab w:val="left" w:pos="426"/>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eastAsiaTheme="minorHAnsi"/>
          <w:sz w:val="28"/>
          <w:szCs w:val="28"/>
          <w:lang w:eastAsia="en-US"/>
          <w14:ligatures w14:val="standardContextual"/>
        </w:rPr>
      </w:pPr>
    </w:p>
    <w:p w14:paraId="2545AB39" w14:textId="2E337FEA" w:rsidR="00901EDC" w:rsidRPr="00992A2E" w:rsidRDefault="00901EDC" w:rsidP="00CA763A">
      <w:pPr>
        <w:pStyle w:val="Estilo1"/>
        <w:numPr>
          <w:ilvl w:val="0"/>
          <w:numId w:val="1"/>
        </w:numPr>
        <w:tabs>
          <w:tab w:val="left" w:pos="426"/>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0" w:firstLine="0"/>
        <w:rPr>
          <w:b/>
          <w:bCs/>
          <w:sz w:val="28"/>
          <w:szCs w:val="28"/>
        </w:rPr>
      </w:pPr>
      <w:r w:rsidRPr="00992A2E">
        <w:rPr>
          <w:rFonts w:eastAsiaTheme="minorHAnsi"/>
          <w:sz w:val="28"/>
          <w:szCs w:val="28"/>
          <w:lang w:eastAsia="en-US"/>
          <w14:ligatures w14:val="standardContextual"/>
        </w:rPr>
        <w:t xml:space="preserve">Estas consideraciones resultan desconocidas por la norma acusada, pues utiliza el </w:t>
      </w:r>
      <w:r w:rsidRPr="00992A2E">
        <w:rPr>
          <w:rFonts w:eastAsiaTheme="minorHAnsi"/>
          <w:sz w:val="26"/>
          <w:szCs w:val="26"/>
          <w:lang w:eastAsia="en-US"/>
          <w14:ligatures w14:val="standardContextual"/>
        </w:rPr>
        <w:t>«sexo»</w:t>
      </w:r>
      <w:r w:rsidRPr="00992A2E">
        <w:rPr>
          <w:rFonts w:eastAsiaTheme="minorHAnsi"/>
          <w:sz w:val="28"/>
          <w:szCs w:val="28"/>
          <w:lang w:eastAsia="en-US"/>
          <w14:ligatures w14:val="standardContextual"/>
        </w:rPr>
        <w:t xml:space="preserve"> como único parámetro para la práctica del registro, sin tener en cuenta que con ello se segrega injustificadamente a aquellos que se auto conciben mediante identidades de género que no corresponden a la documentación legal o a la genitalidad asociada a las categorías hombre o mujer. En consecuencia, debe declararse la </w:t>
      </w:r>
      <w:proofErr w:type="spellStart"/>
      <w:r w:rsidRPr="00992A2E">
        <w:rPr>
          <w:rFonts w:eastAsiaTheme="minorHAnsi"/>
          <w:sz w:val="28"/>
          <w:szCs w:val="28"/>
          <w:lang w:eastAsia="en-US"/>
          <w14:ligatures w14:val="standardContextual"/>
        </w:rPr>
        <w:t>exequibilidad</w:t>
      </w:r>
      <w:proofErr w:type="spellEnd"/>
      <w:r w:rsidRPr="00992A2E">
        <w:rPr>
          <w:rFonts w:eastAsiaTheme="minorHAnsi"/>
          <w:sz w:val="28"/>
          <w:szCs w:val="28"/>
          <w:lang w:eastAsia="en-US"/>
          <w14:ligatures w14:val="standardContextual"/>
        </w:rPr>
        <w:t xml:space="preserve"> condicionada de tal precepto, </w:t>
      </w:r>
      <w:r w:rsidRPr="00992A2E">
        <w:rPr>
          <w:rFonts w:eastAsiaTheme="minorHAnsi"/>
          <w:sz w:val="28"/>
          <w:szCs w:val="28"/>
          <w:lang w:eastAsia="en-US"/>
          <w14:ligatures w14:val="standardContextual"/>
        </w:rPr>
        <w:lastRenderedPageBreak/>
        <w:t xml:space="preserve">en el sentido de que se entienda que </w:t>
      </w:r>
      <w:r w:rsidRPr="00992A2E">
        <w:rPr>
          <w:rFonts w:eastAsiaTheme="minorHAnsi"/>
          <w:sz w:val="26"/>
          <w:szCs w:val="26"/>
          <w:lang w:eastAsia="en-US"/>
          <w14:ligatures w14:val="standardContextual"/>
        </w:rPr>
        <w:t>«incluye el género con el que la persona se identifica».</w:t>
      </w:r>
    </w:p>
    <w:p w14:paraId="3B31184F" w14:textId="77777777" w:rsidR="00901EDC" w:rsidRPr="00992A2E" w:rsidRDefault="00901EDC" w:rsidP="001E3603">
      <w:pPr>
        <w:rPr>
          <w:b/>
          <w:bCs/>
          <w:sz w:val="28"/>
          <w:szCs w:val="28"/>
          <w:lang w:val="es-ES_tradnl"/>
        </w:rPr>
      </w:pPr>
    </w:p>
    <w:p w14:paraId="657E6FA8" w14:textId="77777777" w:rsidR="00901EDC" w:rsidRPr="00992A2E" w:rsidRDefault="00901EDC" w:rsidP="001E3603">
      <w:pPr>
        <w:pStyle w:val="Estilo1"/>
        <w:tabs>
          <w:tab w:val="left" w:pos="426"/>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eastAsiaTheme="minorHAnsi"/>
          <w:sz w:val="28"/>
          <w:szCs w:val="28"/>
          <w:lang w:eastAsia="en-US"/>
          <w14:ligatures w14:val="standardContextual"/>
        </w:rPr>
      </w:pPr>
      <w:r w:rsidRPr="00992A2E">
        <w:rPr>
          <w:b/>
          <w:bCs/>
          <w:sz w:val="28"/>
          <w:szCs w:val="28"/>
        </w:rPr>
        <w:t>Universidad de Medellín</w:t>
      </w:r>
    </w:p>
    <w:p w14:paraId="3E8E5B85" w14:textId="77777777" w:rsidR="00901EDC" w:rsidRPr="00992A2E" w:rsidRDefault="00901EDC" w:rsidP="001E3603">
      <w:pPr>
        <w:rPr>
          <w:sz w:val="28"/>
          <w:szCs w:val="28"/>
          <w:lang w:val="es-ES_tradnl"/>
        </w:rPr>
      </w:pPr>
    </w:p>
    <w:p w14:paraId="7659CED6" w14:textId="77777777" w:rsidR="00901EDC" w:rsidRPr="00992A2E" w:rsidRDefault="00901EDC" w:rsidP="001E3603">
      <w:pPr>
        <w:pStyle w:val="Estilo1"/>
        <w:numPr>
          <w:ilvl w:val="0"/>
          <w:numId w:val="1"/>
        </w:numPr>
        <w:tabs>
          <w:tab w:val="left" w:pos="426"/>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0" w:firstLine="0"/>
        <w:rPr>
          <w:rFonts w:eastAsiaTheme="minorHAnsi"/>
          <w:sz w:val="28"/>
          <w:szCs w:val="28"/>
          <w:lang w:eastAsia="en-US"/>
          <w14:ligatures w14:val="standardContextual"/>
        </w:rPr>
      </w:pPr>
      <w:r w:rsidRPr="00992A2E">
        <w:rPr>
          <w:sz w:val="28"/>
          <w:szCs w:val="28"/>
        </w:rPr>
        <w:t xml:space="preserve">Al igual que los anteriores intervinientes, reclama la </w:t>
      </w:r>
      <w:proofErr w:type="spellStart"/>
      <w:r w:rsidRPr="00992A2E">
        <w:rPr>
          <w:sz w:val="28"/>
          <w:szCs w:val="28"/>
        </w:rPr>
        <w:t>exequibilidad</w:t>
      </w:r>
      <w:proofErr w:type="spellEnd"/>
      <w:r w:rsidRPr="00992A2E">
        <w:rPr>
          <w:sz w:val="28"/>
          <w:szCs w:val="28"/>
        </w:rPr>
        <w:t xml:space="preserve"> condicionada de la norma. A su juicio, la palabra </w:t>
      </w:r>
      <w:r w:rsidRPr="00992A2E">
        <w:rPr>
          <w:sz w:val="26"/>
          <w:szCs w:val="26"/>
        </w:rPr>
        <w:t>«sexo»</w:t>
      </w:r>
      <w:r w:rsidRPr="00992A2E">
        <w:rPr>
          <w:sz w:val="28"/>
          <w:szCs w:val="28"/>
        </w:rPr>
        <w:t xml:space="preserve"> debe ser reemplazada por la expresión </w:t>
      </w:r>
      <w:r w:rsidRPr="00992A2E">
        <w:rPr>
          <w:sz w:val="26"/>
          <w:szCs w:val="26"/>
        </w:rPr>
        <w:t>«género»</w:t>
      </w:r>
      <w:r w:rsidRPr="00992A2E">
        <w:rPr>
          <w:sz w:val="28"/>
          <w:szCs w:val="28"/>
        </w:rPr>
        <w:t xml:space="preserve">, por desconocer el derecho a la identidad de género y promover sesgos discriminatorios basados en </w:t>
      </w:r>
      <w:r w:rsidRPr="00992A2E">
        <w:rPr>
          <w:rFonts w:eastAsiaTheme="minorHAnsi"/>
          <w:sz w:val="28"/>
          <w:szCs w:val="28"/>
          <w:lang w:eastAsia="en-US"/>
          <w14:ligatures w14:val="standardContextual"/>
        </w:rPr>
        <w:t xml:space="preserve">la construcción binaria del ser humano. En ese sentido, destacaron: </w:t>
      </w:r>
      <w:r w:rsidRPr="00992A2E">
        <w:rPr>
          <w:rFonts w:eastAsiaTheme="minorHAnsi"/>
          <w:i/>
          <w:iCs/>
          <w:sz w:val="28"/>
          <w:szCs w:val="28"/>
          <w:lang w:eastAsia="en-US"/>
          <w14:ligatures w14:val="standardContextual"/>
        </w:rPr>
        <w:t xml:space="preserve">(i) </w:t>
      </w:r>
      <w:r w:rsidRPr="00992A2E">
        <w:rPr>
          <w:rFonts w:eastAsiaTheme="minorHAnsi"/>
          <w:sz w:val="28"/>
          <w:szCs w:val="28"/>
          <w:lang w:eastAsia="en-US"/>
          <w14:ligatures w14:val="standardContextual"/>
        </w:rPr>
        <w:t xml:space="preserve">los aportes de las teorías feministas que indican que </w:t>
      </w:r>
      <w:r w:rsidRPr="00992A2E">
        <w:rPr>
          <w:rFonts w:eastAsiaTheme="minorHAnsi"/>
          <w:sz w:val="26"/>
          <w:szCs w:val="26"/>
          <w:lang w:eastAsia="en-US"/>
          <w14:ligatures w14:val="standardContextual"/>
        </w:rPr>
        <w:t>«el origen del binarismo sexual no es natural, sino que ha sido creado por la historia y la sociedad y se encuentra reflejado en la racionalidad y el discurso jurídico imperante, el cual se identifica como sexista y creador de un orden de género patriarcal»</w:t>
      </w:r>
      <w:r w:rsidRPr="00992A2E">
        <w:rPr>
          <w:rFonts w:eastAsiaTheme="minorHAnsi"/>
          <w:sz w:val="28"/>
          <w:szCs w:val="28"/>
          <w:lang w:eastAsia="en-US"/>
          <w14:ligatures w14:val="standardContextual"/>
        </w:rPr>
        <w:t xml:space="preserve">, perspectiva que ha sido fundamental </w:t>
      </w:r>
      <w:r w:rsidRPr="00992A2E">
        <w:rPr>
          <w:rFonts w:eastAsiaTheme="minorHAnsi"/>
          <w:sz w:val="26"/>
          <w:szCs w:val="26"/>
          <w:lang w:eastAsia="en-US"/>
          <w14:ligatures w14:val="standardContextual"/>
        </w:rPr>
        <w:t>«para repensar tanto la realidad de las mujeres como de aquellas personas que han construido una identidad de género distinta a la hegemónica»; y</w:t>
      </w:r>
      <w:r w:rsidRPr="00992A2E">
        <w:rPr>
          <w:rFonts w:eastAsiaTheme="minorHAnsi"/>
          <w:sz w:val="28"/>
          <w:szCs w:val="28"/>
          <w:lang w:eastAsia="en-US"/>
          <w14:ligatures w14:val="standardContextual"/>
        </w:rPr>
        <w:t xml:space="preserve"> </w:t>
      </w:r>
      <w:r w:rsidRPr="00992A2E">
        <w:rPr>
          <w:rFonts w:eastAsiaTheme="minorHAnsi"/>
          <w:i/>
          <w:iCs/>
          <w:sz w:val="28"/>
          <w:szCs w:val="28"/>
          <w:lang w:eastAsia="en-US"/>
          <w14:ligatures w14:val="standardContextual"/>
        </w:rPr>
        <w:t>(</w:t>
      </w:r>
      <w:proofErr w:type="spellStart"/>
      <w:r w:rsidRPr="00992A2E">
        <w:rPr>
          <w:rFonts w:eastAsiaTheme="minorHAnsi"/>
          <w:i/>
          <w:iCs/>
          <w:sz w:val="28"/>
          <w:szCs w:val="28"/>
          <w:lang w:eastAsia="en-US"/>
          <w14:ligatures w14:val="standardContextual"/>
        </w:rPr>
        <w:t>ii</w:t>
      </w:r>
      <w:proofErr w:type="spellEnd"/>
      <w:r w:rsidRPr="00992A2E">
        <w:rPr>
          <w:rFonts w:eastAsiaTheme="minorHAnsi"/>
          <w:i/>
          <w:iCs/>
          <w:sz w:val="28"/>
          <w:szCs w:val="28"/>
          <w:lang w:eastAsia="en-US"/>
          <w14:ligatures w14:val="standardContextual"/>
        </w:rPr>
        <w:t xml:space="preserve">) </w:t>
      </w:r>
      <w:r w:rsidRPr="00992A2E">
        <w:rPr>
          <w:rFonts w:eastAsiaTheme="minorHAnsi"/>
          <w:sz w:val="28"/>
          <w:szCs w:val="28"/>
          <w:lang w:eastAsia="en-US"/>
          <w14:ligatures w14:val="standardContextual"/>
        </w:rPr>
        <w:t>la jurisprudencia constitucional</w:t>
      </w:r>
      <w:r w:rsidRPr="00992A2E">
        <w:rPr>
          <w:rStyle w:val="Refdenotaalpie"/>
          <w:rFonts w:eastAsiaTheme="minorHAnsi"/>
          <w:sz w:val="28"/>
          <w:szCs w:val="28"/>
          <w:lang w:eastAsia="en-US"/>
          <w14:ligatures w14:val="standardContextual"/>
        </w:rPr>
        <w:footnoteReference w:id="13"/>
      </w:r>
      <w:r w:rsidRPr="00992A2E">
        <w:rPr>
          <w:rFonts w:eastAsiaTheme="minorHAnsi"/>
          <w:sz w:val="28"/>
          <w:szCs w:val="28"/>
          <w:lang w:eastAsia="en-US"/>
          <w14:ligatures w14:val="standardContextual"/>
        </w:rPr>
        <w:t xml:space="preserve"> que ha reconocido que las personas con identidad de género diversa merecen protección cualificada contra la discriminación que les impide desarrollarse y expresarse más allá de sus cualidades físicas o de las etiquetas impuestas socialmente</w:t>
      </w:r>
      <w:r w:rsidRPr="00992A2E">
        <w:rPr>
          <w:rStyle w:val="Refdenotaalpie"/>
          <w:rFonts w:eastAsiaTheme="minorHAnsi"/>
          <w:sz w:val="28"/>
          <w:szCs w:val="28"/>
          <w:lang w:eastAsia="en-US"/>
          <w14:ligatures w14:val="standardContextual"/>
        </w:rPr>
        <w:footnoteReference w:id="14"/>
      </w:r>
      <w:r w:rsidRPr="00992A2E">
        <w:rPr>
          <w:rFonts w:eastAsiaTheme="minorHAnsi"/>
          <w:sz w:val="28"/>
          <w:szCs w:val="28"/>
          <w:lang w:eastAsia="en-US"/>
          <w14:ligatures w14:val="standardContextual"/>
        </w:rPr>
        <w:t xml:space="preserve">, al paso que ha visibilizado la manera en que sus experiencias identitarias se ven afectadas por aplicaciones normativas basadas exclusivamente en el sexo. </w:t>
      </w:r>
    </w:p>
    <w:p w14:paraId="6E60D98E" w14:textId="77777777" w:rsidR="00901EDC" w:rsidRPr="00992A2E" w:rsidRDefault="00901EDC" w:rsidP="001E3603">
      <w:pPr>
        <w:pStyle w:val="Prrafodelista"/>
        <w:rPr>
          <w:rFonts w:eastAsiaTheme="minorHAnsi"/>
          <w:sz w:val="28"/>
          <w:szCs w:val="28"/>
          <w:lang w:eastAsia="en-US"/>
          <w14:ligatures w14:val="standardContextual"/>
        </w:rPr>
      </w:pPr>
    </w:p>
    <w:p w14:paraId="1487197F" w14:textId="77777777" w:rsidR="00901EDC" w:rsidRPr="00992A2E" w:rsidRDefault="00901EDC" w:rsidP="001E3603">
      <w:pPr>
        <w:pStyle w:val="Estilo1"/>
        <w:tabs>
          <w:tab w:val="left" w:pos="426"/>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eastAsiaTheme="minorHAnsi"/>
          <w:sz w:val="28"/>
          <w:szCs w:val="28"/>
          <w:lang w:eastAsia="en-US"/>
          <w14:ligatures w14:val="standardContextual"/>
        </w:rPr>
      </w:pPr>
      <w:r w:rsidRPr="00992A2E">
        <w:rPr>
          <w:b/>
          <w:bCs/>
          <w:sz w:val="28"/>
          <w:szCs w:val="28"/>
        </w:rPr>
        <w:t>Dani García Pulgarín</w:t>
      </w:r>
    </w:p>
    <w:p w14:paraId="1DE9C8D3" w14:textId="77777777" w:rsidR="00901EDC" w:rsidRPr="00992A2E" w:rsidRDefault="00901EDC" w:rsidP="001E3603">
      <w:pPr>
        <w:pStyle w:val="Estilo1"/>
        <w:tabs>
          <w:tab w:val="left" w:pos="426"/>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eastAsiaTheme="minorHAnsi"/>
          <w:sz w:val="28"/>
          <w:szCs w:val="28"/>
          <w:lang w:eastAsia="en-US"/>
          <w14:ligatures w14:val="standardContextual"/>
        </w:rPr>
      </w:pPr>
    </w:p>
    <w:p w14:paraId="2CC9F629" w14:textId="02B2DD59" w:rsidR="00901EDC" w:rsidRPr="00992A2E" w:rsidRDefault="00901EDC" w:rsidP="001E3603">
      <w:pPr>
        <w:pStyle w:val="Estilo1"/>
        <w:numPr>
          <w:ilvl w:val="0"/>
          <w:numId w:val="1"/>
        </w:numPr>
        <w:autoSpaceDE w:val="0"/>
        <w:autoSpaceDN w:val="0"/>
        <w:adjustRightInd w:val="0"/>
        <w:ind w:left="0" w:firstLine="0"/>
        <w:rPr>
          <w:sz w:val="28"/>
          <w:szCs w:val="28"/>
        </w:rPr>
      </w:pPr>
      <w:r w:rsidRPr="00992A2E">
        <w:rPr>
          <w:sz w:val="28"/>
          <w:szCs w:val="28"/>
        </w:rPr>
        <w:t xml:space="preserve">Pone de presente sus argumentos para que </w:t>
      </w:r>
      <w:proofErr w:type="gramStart"/>
      <w:r w:rsidRPr="00992A2E">
        <w:rPr>
          <w:sz w:val="28"/>
          <w:szCs w:val="28"/>
        </w:rPr>
        <w:t>«</w:t>
      </w:r>
      <w:r w:rsidRPr="00992A2E">
        <w:t xml:space="preserve"> </w:t>
      </w:r>
      <w:r w:rsidRPr="00992A2E">
        <w:rPr>
          <w:sz w:val="26"/>
          <w:szCs w:val="26"/>
        </w:rPr>
        <w:t>sea</w:t>
      </w:r>
      <w:proofErr w:type="gramEnd"/>
      <w:r w:rsidRPr="00992A2E">
        <w:rPr>
          <w:sz w:val="26"/>
          <w:szCs w:val="26"/>
        </w:rPr>
        <w:t xml:space="preserve"> tomado en consideración dentro de las diligencias que desarrolla la Corte Constitucional, para dar interpretación, alcance y contenido a las normas fundamentales relativas a los derechos en cuestión</w:t>
      </w:r>
      <w:r w:rsidRPr="00992A2E">
        <w:rPr>
          <w:sz w:val="28"/>
          <w:szCs w:val="28"/>
        </w:rPr>
        <w:t xml:space="preserve">». En su criterio la práctica de la requisa o registro personal </w:t>
      </w:r>
      <w:proofErr w:type="gramStart"/>
      <w:r w:rsidRPr="00992A2E">
        <w:rPr>
          <w:sz w:val="28"/>
          <w:szCs w:val="28"/>
        </w:rPr>
        <w:t>en razón del</w:t>
      </w:r>
      <w:proofErr w:type="gramEnd"/>
      <w:r w:rsidRPr="00992A2E">
        <w:rPr>
          <w:sz w:val="28"/>
          <w:szCs w:val="28"/>
        </w:rPr>
        <w:t xml:space="preserve"> «sexo» niega toda posibilidad al reconocimiento de la identidad y expresión de género, pues las autoridades policiales parten de sus propias valoraciones, basadas en la apariencia para hacerlas. Esto, a su juicio, vulnera aspectos relacionados con la dignidad humana de las personas con experiencia de vida trans, travestis y no-binaria, pues se ven expuestas a tratos humillantes y degradantes por parte de las autoridades militares y de policía. Por lo anterior, estimó que realizar la requisa fundada en la idea de sexo es una forma de incitación a la discriminación. En virtud de ello, estima que </w:t>
      </w:r>
      <w:r w:rsidRPr="00992A2E">
        <w:rPr>
          <w:sz w:val="26"/>
          <w:szCs w:val="26"/>
        </w:rPr>
        <w:t>«</w:t>
      </w:r>
      <w:r w:rsidR="002A01DF" w:rsidRPr="00992A2E">
        <w:rPr>
          <w:sz w:val="26"/>
          <w:szCs w:val="26"/>
        </w:rPr>
        <w:t>l</w:t>
      </w:r>
      <w:r w:rsidRPr="00992A2E">
        <w:rPr>
          <w:sz w:val="26"/>
          <w:szCs w:val="26"/>
        </w:rPr>
        <w:t>o más pertinente seria solicitar el consentimiento manifiesto de las personas, es decir, frente al desconocimiento que las autoridades policiales y militares suelen tener frente a la construcción que las personas hacemos de nuestras vidas</w:t>
      </w:r>
      <w:r w:rsidRPr="00992A2E">
        <w:rPr>
          <w:sz w:val="28"/>
          <w:szCs w:val="28"/>
        </w:rPr>
        <w:t>»</w:t>
      </w:r>
      <w:r w:rsidRPr="00992A2E">
        <w:rPr>
          <w:rStyle w:val="Refdenotaalpie"/>
          <w:sz w:val="28"/>
          <w:szCs w:val="28"/>
        </w:rPr>
        <w:footnoteReference w:id="15"/>
      </w:r>
      <w:r w:rsidRPr="00992A2E">
        <w:rPr>
          <w:sz w:val="28"/>
          <w:szCs w:val="28"/>
        </w:rPr>
        <w:t>.</w:t>
      </w:r>
    </w:p>
    <w:p w14:paraId="5AF53C83" w14:textId="77777777" w:rsidR="00901EDC" w:rsidRPr="00992A2E" w:rsidRDefault="00901EDC" w:rsidP="001E3603">
      <w:pPr>
        <w:pStyle w:val="Estilo1"/>
        <w:tabs>
          <w:tab w:val="left" w:pos="426"/>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eastAsiaTheme="minorHAnsi"/>
          <w:sz w:val="28"/>
          <w:szCs w:val="28"/>
          <w:lang w:eastAsia="en-US"/>
          <w14:ligatures w14:val="standardContextual"/>
        </w:rPr>
      </w:pPr>
    </w:p>
    <w:p w14:paraId="36BA947D" w14:textId="77777777" w:rsidR="00CA763A" w:rsidRPr="00992A2E" w:rsidRDefault="00CA763A" w:rsidP="001E3603">
      <w:pPr>
        <w:pStyle w:val="Estilo1"/>
        <w:tabs>
          <w:tab w:val="left" w:pos="426"/>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eastAsiaTheme="minorHAnsi"/>
          <w:sz w:val="28"/>
          <w:szCs w:val="28"/>
          <w:lang w:eastAsia="en-US"/>
          <w14:ligatures w14:val="standardContextual"/>
        </w:rPr>
      </w:pPr>
    </w:p>
    <w:p w14:paraId="48715968" w14:textId="77777777" w:rsidR="00CA763A" w:rsidRPr="00992A2E" w:rsidRDefault="00CA763A" w:rsidP="001E3603">
      <w:pPr>
        <w:pStyle w:val="Estilo1"/>
        <w:tabs>
          <w:tab w:val="left" w:pos="426"/>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eastAsiaTheme="minorHAnsi"/>
          <w:sz w:val="28"/>
          <w:szCs w:val="28"/>
          <w:lang w:eastAsia="en-US"/>
          <w14:ligatures w14:val="standardContextual"/>
        </w:rPr>
      </w:pPr>
    </w:p>
    <w:p w14:paraId="0D1F6195" w14:textId="77777777" w:rsidR="00901EDC" w:rsidRPr="00992A2E" w:rsidRDefault="00901EDC" w:rsidP="001E3603">
      <w:pPr>
        <w:pStyle w:val="Estilo1"/>
        <w:tabs>
          <w:tab w:val="left" w:pos="426"/>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eastAsiaTheme="minorHAnsi"/>
          <w:sz w:val="28"/>
          <w:szCs w:val="28"/>
          <w:lang w:eastAsia="en-US"/>
          <w14:ligatures w14:val="standardContextual"/>
        </w:rPr>
      </w:pPr>
      <w:r w:rsidRPr="00992A2E">
        <w:rPr>
          <w:b/>
          <w:bCs/>
          <w:sz w:val="28"/>
          <w:szCs w:val="28"/>
        </w:rPr>
        <w:lastRenderedPageBreak/>
        <w:t xml:space="preserve">Universidad Javeriana </w:t>
      </w:r>
    </w:p>
    <w:p w14:paraId="07EF4B80" w14:textId="77777777" w:rsidR="00901EDC" w:rsidRPr="00992A2E" w:rsidRDefault="00901EDC" w:rsidP="001E3603">
      <w:pPr>
        <w:rPr>
          <w:sz w:val="28"/>
          <w:szCs w:val="28"/>
          <w:lang w:val="es-ES_tradnl"/>
        </w:rPr>
      </w:pPr>
    </w:p>
    <w:p w14:paraId="02303416" w14:textId="3CBDFCC2" w:rsidR="00901EDC" w:rsidRPr="00992A2E" w:rsidRDefault="001C5FFA" w:rsidP="001E3603">
      <w:pPr>
        <w:pStyle w:val="Estilo1"/>
        <w:numPr>
          <w:ilvl w:val="0"/>
          <w:numId w:val="1"/>
        </w:numPr>
        <w:tabs>
          <w:tab w:val="left" w:pos="426"/>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0" w:firstLine="0"/>
        <w:rPr>
          <w:rFonts w:eastAsiaTheme="minorHAnsi"/>
          <w:sz w:val="28"/>
          <w:szCs w:val="28"/>
          <w:lang w:eastAsia="en-US"/>
          <w14:ligatures w14:val="standardContextual"/>
        </w:rPr>
      </w:pPr>
      <w:r w:rsidRPr="00992A2E">
        <w:rPr>
          <w:sz w:val="28"/>
          <w:szCs w:val="28"/>
        </w:rPr>
        <w:t xml:space="preserve">La interviniente planteó </w:t>
      </w:r>
      <w:r w:rsidR="00901EDC" w:rsidRPr="00992A2E">
        <w:rPr>
          <w:sz w:val="28"/>
          <w:szCs w:val="28"/>
        </w:rPr>
        <w:t xml:space="preserve">argumentos similares a los antedichos para deprecar la </w:t>
      </w:r>
      <w:proofErr w:type="spellStart"/>
      <w:r w:rsidR="00901EDC" w:rsidRPr="00992A2E">
        <w:rPr>
          <w:sz w:val="28"/>
          <w:szCs w:val="28"/>
        </w:rPr>
        <w:t>exequibilidad</w:t>
      </w:r>
      <w:proofErr w:type="spellEnd"/>
      <w:r w:rsidR="00901EDC" w:rsidRPr="00992A2E">
        <w:rPr>
          <w:sz w:val="28"/>
          <w:szCs w:val="28"/>
        </w:rPr>
        <w:t xml:space="preserve"> condicionada del precepto acusado, en el entendido de que </w:t>
      </w:r>
      <w:r w:rsidR="00901EDC" w:rsidRPr="00992A2E">
        <w:rPr>
          <w:i/>
          <w:iCs/>
          <w:sz w:val="28"/>
          <w:szCs w:val="28"/>
        </w:rPr>
        <w:t xml:space="preserve">(i) </w:t>
      </w:r>
      <w:r w:rsidR="00901EDC" w:rsidRPr="00992A2E">
        <w:rPr>
          <w:rFonts w:eastAsiaTheme="minorHAnsi"/>
          <w:sz w:val="28"/>
          <w:szCs w:val="28"/>
          <w:lang w:eastAsia="en-US"/>
          <w14:ligatures w14:val="standardContextual"/>
        </w:rPr>
        <w:t xml:space="preserve">el </w:t>
      </w:r>
      <w:r w:rsidR="00901EDC" w:rsidRPr="00992A2E">
        <w:rPr>
          <w:rFonts w:eastAsiaTheme="minorHAnsi"/>
          <w:sz w:val="26"/>
          <w:szCs w:val="26"/>
          <w:lang w:eastAsia="en-US"/>
          <w14:ligatures w14:val="standardContextual"/>
        </w:rPr>
        <w:t>«género»</w:t>
      </w:r>
      <w:r w:rsidR="00901EDC" w:rsidRPr="00992A2E">
        <w:rPr>
          <w:rFonts w:eastAsiaTheme="minorHAnsi"/>
          <w:sz w:val="28"/>
          <w:szCs w:val="28"/>
          <w:lang w:eastAsia="en-US"/>
          <w14:ligatures w14:val="standardContextual"/>
        </w:rPr>
        <w:t xml:space="preserve"> sea el criterio empleado para la práctica del registro y </w:t>
      </w:r>
      <w:r w:rsidR="00901EDC" w:rsidRPr="00992A2E">
        <w:rPr>
          <w:rFonts w:eastAsiaTheme="minorHAnsi"/>
          <w:i/>
          <w:iCs/>
          <w:sz w:val="28"/>
          <w:szCs w:val="28"/>
          <w:lang w:eastAsia="en-US"/>
          <w14:ligatures w14:val="standardContextual"/>
        </w:rPr>
        <w:t>(</w:t>
      </w:r>
      <w:proofErr w:type="spellStart"/>
      <w:r w:rsidR="00901EDC" w:rsidRPr="00992A2E">
        <w:rPr>
          <w:rFonts w:eastAsiaTheme="minorHAnsi"/>
          <w:i/>
          <w:iCs/>
          <w:sz w:val="28"/>
          <w:szCs w:val="28"/>
          <w:lang w:eastAsia="en-US"/>
          <w14:ligatures w14:val="standardContextual"/>
        </w:rPr>
        <w:t>ii</w:t>
      </w:r>
      <w:proofErr w:type="spellEnd"/>
      <w:r w:rsidR="00901EDC" w:rsidRPr="00992A2E">
        <w:rPr>
          <w:rFonts w:eastAsiaTheme="minorHAnsi"/>
          <w:i/>
          <w:iCs/>
          <w:sz w:val="28"/>
          <w:szCs w:val="28"/>
          <w:lang w:eastAsia="en-US"/>
          <w14:ligatures w14:val="standardContextual"/>
        </w:rPr>
        <w:t>)</w:t>
      </w:r>
      <w:r w:rsidR="00901EDC" w:rsidRPr="00992A2E">
        <w:rPr>
          <w:rFonts w:eastAsiaTheme="minorHAnsi"/>
          <w:sz w:val="28"/>
          <w:szCs w:val="28"/>
          <w:lang w:eastAsia="en-US"/>
          <w14:ligatures w14:val="standardContextual"/>
        </w:rPr>
        <w:t xml:space="preserve"> se permita a la persona con identidad de género diversa elegir con cuál agente disponible se siente más cómoda para que se realice el procedimiento. De esta forma, además de evitar conductas discriminatorias, se busca equilibrar la efectividad de la actividad investigativa, con la protección de los derechos a la intimidad y dignidad de la persona que es sometida a ella, lo cual cobra especial relevancia en el contexto de sociedades plurales, como la colombiana, en la que se reconocen y protegen diversas formas de auto concebirse, más allá del sexo biológico</w:t>
      </w:r>
      <w:r w:rsidR="00901EDC" w:rsidRPr="00992A2E">
        <w:rPr>
          <w:rStyle w:val="Refdenotaalpie"/>
          <w:rFonts w:eastAsiaTheme="minorHAnsi"/>
          <w:sz w:val="28"/>
          <w:szCs w:val="28"/>
          <w:lang w:eastAsia="en-US"/>
          <w14:ligatures w14:val="standardContextual"/>
        </w:rPr>
        <w:footnoteReference w:id="16"/>
      </w:r>
      <w:r w:rsidR="00901EDC" w:rsidRPr="00992A2E">
        <w:rPr>
          <w:rFonts w:eastAsiaTheme="minorHAnsi"/>
          <w:sz w:val="28"/>
          <w:szCs w:val="28"/>
          <w:lang w:eastAsia="en-US"/>
          <w14:ligatures w14:val="standardContextual"/>
        </w:rPr>
        <w:t>.</w:t>
      </w:r>
    </w:p>
    <w:p w14:paraId="0E4AE784" w14:textId="77777777" w:rsidR="00901EDC" w:rsidRPr="00992A2E" w:rsidRDefault="00901EDC" w:rsidP="001E3603">
      <w:pPr>
        <w:pStyle w:val="Estilo1"/>
        <w:tabs>
          <w:tab w:val="left" w:pos="426"/>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eastAsiaTheme="minorHAnsi"/>
          <w:sz w:val="28"/>
          <w:szCs w:val="28"/>
          <w:lang w:eastAsia="en-US"/>
          <w14:ligatures w14:val="standardContextual"/>
        </w:rPr>
      </w:pPr>
    </w:p>
    <w:p w14:paraId="6AA07D48" w14:textId="77777777" w:rsidR="00901EDC" w:rsidRPr="00992A2E" w:rsidRDefault="00901EDC" w:rsidP="001E3603">
      <w:pPr>
        <w:pStyle w:val="Estilo1"/>
        <w:numPr>
          <w:ilvl w:val="0"/>
          <w:numId w:val="1"/>
        </w:numPr>
        <w:tabs>
          <w:tab w:val="left" w:pos="426"/>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0" w:firstLine="0"/>
        <w:rPr>
          <w:rFonts w:eastAsiaTheme="minorHAnsi"/>
          <w:sz w:val="28"/>
          <w:szCs w:val="28"/>
          <w:lang w:eastAsia="en-US"/>
          <w14:ligatures w14:val="standardContextual"/>
        </w:rPr>
      </w:pPr>
      <w:r w:rsidRPr="00992A2E">
        <w:rPr>
          <w:rFonts w:eastAsiaTheme="minorHAnsi"/>
          <w:sz w:val="28"/>
          <w:szCs w:val="28"/>
          <w:lang w:eastAsia="en-US"/>
          <w14:ligatures w14:val="standardContextual"/>
        </w:rPr>
        <w:t xml:space="preserve">En todo caso, tal medida no implica que la autoridad competente disponga de funcionarios </w:t>
      </w:r>
      <w:r w:rsidRPr="00992A2E">
        <w:rPr>
          <w:rFonts w:eastAsiaTheme="minorHAnsi"/>
          <w:sz w:val="26"/>
          <w:szCs w:val="26"/>
          <w:lang w:eastAsia="en-US"/>
          <w14:ligatures w14:val="standardContextual"/>
        </w:rPr>
        <w:t>«por cada una de las identidades sexuales o de género diversas»</w:t>
      </w:r>
      <w:r w:rsidRPr="00992A2E">
        <w:rPr>
          <w:rFonts w:eastAsiaTheme="minorHAnsi"/>
          <w:sz w:val="28"/>
          <w:szCs w:val="28"/>
          <w:lang w:eastAsia="en-US"/>
          <w14:ligatures w14:val="standardContextual"/>
        </w:rPr>
        <w:t>, para garantizar que este aspecto siempre coincida entre quienes intervienen en la diligencia. Ello resultaría materialmente imposible, si se tiene en cuenta que lo que se busca es no etiquetar a nadie más allá de lo que su propia autoconcepción indique. De ahí la importancia de permitir que la persona escoja voluntariamente a quien se encargará de ejecutar el registro. En la misma línea, no puede pasarse por alto la eventual intervención del juez de garantías, quien, de acuerdo con la Sentencia C-822 de 2005</w:t>
      </w:r>
      <w:r w:rsidRPr="00992A2E">
        <w:rPr>
          <w:rStyle w:val="Refdenotaalpie"/>
          <w:rFonts w:eastAsiaTheme="minorHAnsi"/>
          <w:sz w:val="28"/>
          <w:szCs w:val="28"/>
          <w:lang w:eastAsia="en-US"/>
          <w14:ligatures w14:val="standardContextual"/>
        </w:rPr>
        <w:footnoteReference w:id="17"/>
      </w:r>
      <w:r w:rsidRPr="00992A2E">
        <w:rPr>
          <w:rFonts w:eastAsiaTheme="minorHAnsi"/>
          <w:sz w:val="28"/>
          <w:szCs w:val="28"/>
          <w:lang w:eastAsia="en-US"/>
          <w14:ligatures w14:val="standardContextual"/>
        </w:rPr>
        <w:t>, podrá establecer ponderadamente las condiciones para desarrollar la actuación en caso de que el implicado se oponga.</w:t>
      </w:r>
    </w:p>
    <w:p w14:paraId="29F32B31" w14:textId="77777777" w:rsidR="00901EDC" w:rsidRPr="00992A2E" w:rsidRDefault="00901EDC" w:rsidP="001E3603">
      <w:pPr>
        <w:pStyle w:val="Prrafodelista"/>
        <w:rPr>
          <w:rFonts w:eastAsiaTheme="minorHAnsi"/>
          <w:sz w:val="28"/>
          <w:szCs w:val="28"/>
          <w:lang w:eastAsia="en-US"/>
          <w14:ligatures w14:val="standardContextual"/>
        </w:rPr>
      </w:pPr>
    </w:p>
    <w:p w14:paraId="70CCD030" w14:textId="77777777" w:rsidR="00901EDC" w:rsidRPr="00992A2E" w:rsidRDefault="00901EDC" w:rsidP="001E3603">
      <w:pPr>
        <w:pStyle w:val="Estilo1"/>
        <w:tabs>
          <w:tab w:val="left" w:pos="426"/>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eastAsiaTheme="minorHAnsi"/>
          <w:sz w:val="28"/>
          <w:szCs w:val="28"/>
          <w:lang w:eastAsia="en-US"/>
          <w14:ligatures w14:val="standardContextual"/>
        </w:rPr>
      </w:pPr>
      <w:r w:rsidRPr="00992A2E">
        <w:rPr>
          <w:b/>
          <w:bCs/>
          <w:sz w:val="28"/>
          <w:szCs w:val="28"/>
        </w:rPr>
        <w:t>Universidad de Antioquia</w:t>
      </w:r>
    </w:p>
    <w:p w14:paraId="7C5BB606" w14:textId="77777777" w:rsidR="00901EDC" w:rsidRPr="00992A2E" w:rsidRDefault="00901EDC" w:rsidP="001E3603">
      <w:pPr>
        <w:rPr>
          <w:b/>
          <w:bCs/>
          <w:sz w:val="28"/>
          <w:szCs w:val="28"/>
          <w:lang w:val="es-ES_tradnl"/>
        </w:rPr>
      </w:pPr>
    </w:p>
    <w:p w14:paraId="6562F64B" w14:textId="3CCC654B" w:rsidR="00901EDC" w:rsidRPr="00992A2E" w:rsidRDefault="00901EDC" w:rsidP="001E3603">
      <w:pPr>
        <w:pStyle w:val="Prrafodelista"/>
        <w:numPr>
          <w:ilvl w:val="0"/>
          <w:numId w:val="1"/>
        </w:numPr>
        <w:ind w:left="0" w:firstLine="0"/>
        <w:jc w:val="both"/>
        <w:rPr>
          <w:sz w:val="28"/>
          <w:szCs w:val="28"/>
          <w:lang w:val="es-ES_tradnl"/>
        </w:rPr>
      </w:pPr>
      <w:r w:rsidRPr="00992A2E">
        <w:rPr>
          <w:sz w:val="28"/>
          <w:szCs w:val="28"/>
          <w:lang w:val="es-ES_tradnl"/>
        </w:rPr>
        <w:t>Solicit</w:t>
      </w:r>
      <w:r w:rsidR="001C5FFA" w:rsidRPr="00992A2E">
        <w:rPr>
          <w:sz w:val="28"/>
          <w:szCs w:val="28"/>
          <w:lang w:val="es-ES_tradnl"/>
        </w:rPr>
        <w:t>ó esta institución</w:t>
      </w:r>
      <w:r w:rsidRPr="00992A2E">
        <w:rPr>
          <w:sz w:val="28"/>
          <w:szCs w:val="28"/>
          <w:lang w:val="es-ES_tradnl"/>
        </w:rPr>
        <w:t xml:space="preserve"> declarar la constitucionalidad condicionada del aparte demandado. Además, resalt</w:t>
      </w:r>
      <w:r w:rsidR="001C5FFA" w:rsidRPr="00992A2E">
        <w:rPr>
          <w:sz w:val="28"/>
          <w:szCs w:val="28"/>
          <w:lang w:val="es-ES_tradnl"/>
        </w:rPr>
        <w:t>ó</w:t>
      </w:r>
      <w:r w:rsidRPr="00992A2E">
        <w:rPr>
          <w:sz w:val="28"/>
          <w:szCs w:val="28"/>
          <w:lang w:val="es-ES_tradnl"/>
        </w:rPr>
        <w:t xml:space="preserve"> que la disposición ya fue objeto de control en la Sentencia C-822 de 2005, en la que el apartado original “Sin perjuicio de los procedimientos preventivos que adelanta la fuerza pública en cumplimiento de su deber constitucional” </w:t>
      </w:r>
      <w:r w:rsidR="001C5FFA" w:rsidRPr="00992A2E">
        <w:rPr>
          <w:sz w:val="28"/>
          <w:szCs w:val="28"/>
          <w:lang w:val="es-ES_tradnl"/>
        </w:rPr>
        <w:t xml:space="preserve">se declaró </w:t>
      </w:r>
      <w:r w:rsidRPr="00992A2E">
        <w:rPr>
          <w:sz w:val="28"/>
          <w:szCs w:val="28"/>
          <w:lang w:val="es-ES_tradnl"/>
        </w:rPr>
        <w:t xml:space="preserve">inexequible, mientras que el resto del texto </w:t>
      </w:r>
      <w:r w:rsidR="001C5FFA" w:rsidRPr="00992A2E">
        <w:rPr>
          <w:sz w:val="28"/>
          <w:szCs w:val="28"/>
          <w:lang w:val="es-ES_tradnl"/>
        </w:rPr>
        <w:t xml:space="preserve">fue </w:t>
      </w:r>
      <w:r w:rsidRPr="00992A2E">
        <w:rPr>
          <w:sz w:val="28"/>
          <w:szCs w:val="28"/>
          <w:lang w:val="es-ES_tradnl"/>
        </w:rPr>
        <w:t>ajustado a la Constitución.</w:t>
      </w:r>
    </w:p>
    <w:p w14:paraId="208F8DAA" w14:textId="77777777" w:rsidR="00901EDC" w:rsidRPr="00992A2E" w:rsidRDefault="00901EDC" w:rsidP="001E3603">
      <w:pPr>
        <w:pStyle w:val="Prrafodelista"/>
        <w:ind w:left="0"/>
        <w:jc w:val="both"/>
        <w:rPr>
          <w:sz w:val="28"/>
          <w:szCs w:val="28"/>
          <w:lang w:val="es-ES_tradnl"/>
        </w:rPr>
      </w:pPr>
    </w:p>
    <w:p w14:paraId="3E3A743F" w14:textId="040D4841" w:rsidR="00901EDC" w:rsidRPr="00992A2E" w:rsidRDefault="00901EDC" w:rsidP="001E3603">
      <w:pPr>
        <w:pStyle w:val="Prrafodelista"/>
        <w:numPr>
          <w:ilvl w:val="0"/>
          <w:numId w:val="1"/>
        </w:numPr>
        <w:ind w:left="0" w:firstLine="0"/>
        <w:jc w:val="both"/>
        <w:rPr>
          <w:sz w:val="28"/>
          <w:szCs w:val="28"/>
          <w:lang w:val="es-ES_tradnl"/>
        </w:rPr>
      </w:pPr>
      <w:r w:rsidRPr="00992A2E">
        <w:rPr>
          <w:sz w:val="28"/>
          <w:szCs w:val="28"/>
          <w:lang w:val="es-ES_tradnl"/>
        </w:rPr>
        <w:t xml:space="preserve">Tomando en consideración lo dicho en esa </w:t>
      </w:r>
      <w:r w:rsidR="00305AEE" w:rsidRPr="00992A2E">
        <w:rPr>
          <w:sz w:val="28"/>
          <w:szCs w:val="28"/>
          <w:lang w:val="es-ES_tradnl"/>
        </w:rPr>
        <w:t>s</w:t>
      </w:r>
      <w:r w:rsidRPr="00992A2E">
        <w:rPr>
          <w:sz w:val="28"/>
          <w:szCs w:val="28"/>
          <w:lang w:val="es-ES_tradnl"/>
        </w:rPr>
        <w:t xml:space="preserve">entencia, </w:t>
      </w:r>
      <w:r w:rsidR="001C5FFA" w:rsidRPr="00992A2E">
        <w:rPr>
          <w:sz w:val="28"/>
          <w:szCs w:val="28"/>
          <w:lang w:val="es-ES_tradnl"/>
        </w:rPr>
        <w:t>indicó que e</w:t>
      </w:r>
      <w:r w:rsidRPr="00992A2E">
        <w:rPr>
          <w:sz w:val="28"/>
          <w:szCs w:val="28"/>
          <w:lang w:val="es-ES_tradnl"/>
        </w:rPr>
        <w:t>l artículo debe ser declarado exequible de manera condicionada, bajo el entendido de que las personas que no tengan una identidad binaria y deba</w:t>
      </w:r>
      <w:r w:rsidR="001C5FFA" w:rsidRPr="00992A2E">
        <w:rPr>
          <w:sz w:val="28"/>
          <w:szCs w:val="28"/>
          <w:lang w:val="es-ES_tradnl"/>
        </w:rPr>
        <w:t>n</w:t>
      </w:r>
      <w:r w:rsidRPr="00992A2E">
        <w:rPr>
          <w:sz w:val="28"/>
          <w:szCs w:val="28"/>
          <w:lang w:val="es-ES_tradnl"/>
        </w:rPr>
        <w:t xml:space="preserve"> ser registradas, podrán elegir qué «</w:t>
      </w:r>
      <w:r w:rsidRPr="00992A2E">
        <w:rPr>
          <w:sz w:val="26"/>
          <w:szCs w:val="26"/>
          <w:lang w:val="es-ES_tradnl"/>
        </w:rPr>
        <w:t>funcionario/a le practicará el registro, sin consideración a la identidad de género o sexual de dicho/a funcionario/a, pues esto solo le compete al/a la mismo/a, en virtud del mismo derecho a autodeterminarse</w:t>
      </w:r>
      <w:r w:rsidRPr="00992A2E">
        <w:rPr>
          <w:sz w:val="28"/>
          <w:szCs w:val="28"/>
          <w:lang w:val="es-ES_tradnl"/>
        </w:rPr>
        <w:t>».</w:t>
      </w:r>
    </w:p>
    <w:p w14:paraId="638A6548" w14:textId="77777777" w:rsidR="00901EDC" w:rsidRPr="00992A2E" w:rsidRDefault="00901EDC" w:rsidP="001E3603">
      <w:pPr>
        <w:rPr>
          <w:b/>
          <w:bCs/>
          <w:sz w:val="28"/>
          <w:szCs w:val="28"/>
          <w:lang w:val="es-ES_tradnl"/>
        </w:rPr>
      </w:pPr>
    </w:p>
    <w:p w14:paraId="4F5C7789" w14:textId="77777777" w:rsidR="00901EDC" w:rsidRPr="00992A2E" w:rsidRDefault="00901EDC" w:rsidP="001E3603">
      <w:pPr>
        <w:pStyle w:val="Estilo1"/>
        <w:tabs>
          <w:tab w:val="left" w:pos="426"/>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eastAsiaTheme="minorHAnsi"/>
          <w:sz w:val="28"/>
          <w:szCs w:val="28"/>
          <w:lang w:eastAsia="en-US"/>
          <w14:ligatures w14:val="standardContextual"/>
        </w:rPr>
      </w:pPr>
      <w:r w:rsidRPr="00992A2E">
        <w:rPr>
          <w:b/>
          <w:bCs/>
          <w:sz w:val="28"/>
          <w:szCs w:val="28"/>
        </w:rPr>
        <w:t>Universidad Libre</w:t>
      </w:r>
    </w:p>
    <w:p w14:paraId="2962B0B1" w14:textId="77777777" w:rsidR="00901EDC" w:rsidRPr="00992A2E" w:rsidRDefault="00901EDC" w:rsidP="001E3603">
      <w:pPr>
        <w:rPr>
          <w:rFonts w:eastAsiaTheme="minorHAnsi"/>
          <w:sz w:val="28"/>
          <w:szCs w:val="28"/>
          <w:lang w:val="es-ES_tradnl" w:eastAsia="en-US"/>
          <w14:ligatures w14:val="standardContextual"/>
        </w:rPr>
      </w:pPr>
    </w:p>
    <w:p w14:paraId="4A213BAF" w14:textId="77777777" w:rsidR="00901EDC" w:rsidRPr="00992A2E" w:rsidRDefault="00901EDC" w:rsidP="001E3603">
      <w:pPr>
        <w:pStyle w:val="Estilo1"/>
        <w:numPr>
          <w:ilvl w:val="0"/>
          <w:numId w:val="1"/>
        </w:numPr>
        <w:tabs>
          <w:tab w:val="left" w:pos="426"/>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0" w:firstLine="0"/>
        <w:rPr>
          <w:rFonts w:eastAsiaTheme="minorHAnsi"/>
          <w:sz w:val="28"/>
          <w:szCs w:val="28"/>
          <w:lang w:eastAsia="en-US"/>
          <w14:ligatures w14:val="standardContextual"/>
        </w:rPr>
      </w:pPr>
      <w:r w:rsidRPr="00992A2E">
        <w:rPr>
          <w:rFonts w:eastAsiaTheme="minorHAnsi"/>
          <w:sz w:val="28"/>
          <w:szCs w:val="28"/>
          <w:lang w:eastAsia="en-US"/>
          <w14:ligatures w14:val="standardContextual"/>
        </w:rPr>
        <w:t xml:space="preserve">Tras describir el procedimiento en estudio y reivindicar la importancia de ofrecer pleno reconocimiento y protección a las personas con identidad de género diversa, aplicó el test integrado de igualdad para concluir que la norma </w:t>
      </w:r>
      <w:r w:rsidRPr="00992A2E">
        <w:rPr>
          <w:rFonts w:eastAsiaTheme="minorHAnsi"/>
          <w:sz w:val="28"/>
          <w:szCs w:val="28"/>
          <w:lang w:eastAsia="en-US"/>
          <w14:ligatures w14:val="standardContextual"/>
        </w:rPr>
        <w:lastRenderedPageBreak/>
        <w:t xml:space="preserve">debe ser interpretada, no solo teniendo en cuenta el concepto de «género», sino priorizando el consentimiento y la comodidad de quien es sometido al registro, de manera que, en lugar de adoptar un enfoque rígido asociado al </w:t>
      </w:r>
      <w:r w:rsidRPr="00992A2E">
        <w:rPr>
          <w:rFonts w:eastAsiaTheme="minorHAnsi"/>
          <w:sz w:val="26"/>
          <w:szCs w:val="26"/>
          <w:lang w:eastAsia="en-US"/>
          <w14:ligatures w14:val="standardContextual"/>
        </w:rPr>
        <w:t>«sexo»</w:t>
      </w:r>
      <w:r w:rsidRPr="00992A2E">
        <w:rPr>
          <w:rFonts w:eastAsiaTheme="minorHAnsi"/>
          <w:sz w:val="28"/>
          <w:szCs w:val="28"/>
          <w:lang w:eastAsia="en-US"/>
          <w14:ligatures w14:val="standardContextual"/>
        </w:rPr>
        <w:t>, se asuma la complejidad inherente a la condición humana para abordar sus diferentes expresiones con empatía y sensibilidad en todas las instancias de interacción social y jurídica, sin que ello implique sacrificar la finalidad legítima de obtener elementos materiales probatorios en materia penal.</w:t>
      </w:r>
    </w:p>
    <w:p w14:paraId="77FB8A0E" w14:textId="77777777" w:rsidR="00901EDC" w:rsidRPr="00992A2E" w:rsidRDefault="00901EDC" w:rsidP="001E3603">
      <w:pPr>
        <w:pStyle w:val="Estilo1"/>
        <w:tabs>
          <w:tab w:val="left" w:pos="426"/>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eastAsiaTheme="minorHAnsi"/>
          <w:sz w:val="28"/>
          <w:szCs w:val="28"/>
          <w:lang w:eastAsia="en-US"/>
          <w14:ligatures w14:val="standardContextual"/>
        </w:rPr>
      </w:pPr>
    </w:p>
    <w:p w14:paraId="07EC20FE" w14:textId="77777777" w:rsidR="00901EDC" w:rsidRPr="00992A2E" w:rsidRDefault="00901EDC" w:rsidP="001E3603">
      <w:pPr>
        <w:pStyle w:val="Estilo1"/>
        <w:numPr>
          <w:ilvl w:val="0"/>
          <w:numId w:val="1"/>
        </w:numPr>
        <w:tabs>
          <w:tab w:val="left" w:pos="426"/>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0" w:firstLine="0"/>
        <w:rPr>
          <w:rFonts w:eastAsiaTheme="minorHAnsi"/>
          <w:sz w:val="28"/>
          <w:szCs w:val="28"/>
          <w:lang w:eastAsia="en-US"/>
          <w14:ligatures w14:val="standardContextual"/>
        </w:rPr>
      </w:pPr>
      <w:r w:rsidRPr="00992A2E">
        <w:rPr>
          <w:rFonts w:eastAsiaTheme="minorHAnsi"/>
          <w:sz w:val="28"/>
          <w:szCs w:val="28"/>
          <w:lang w:eastAsia="en-US"/>
          <w14:ligatures w14:val="standardContextual"/>
        </w:rPr>
        <w:t xml:space="preserve">Afirmó que podría señalarse que tal solución es problemática, en cuanto soslayaría la propia identidad de género del responsable de practicar la diligencia, al imponerle la preferencia de la persona y obligarle a inspeccionar el cuerpo y pertenencias de alguien a quien considera </w:t>
      </w:r>
      <w:r w:rsidRPr="00992A2E">
        <w:rPr>
          <w:rFonts w:eastAsiaTheme="minorHAnsi"/>
          <w:i/>
          <w:iCs/>
          <w:sz w:val="28"/>
          <w:szCs w:val="28"/>
          <w:lang w:eastAsia="en-US"/>
          <w14:ligatures w14:val="standardContextual"/>
        </w:rPr>
        <w:t>diferente</w:t>
      </w:r>
      <w:r w:rsidRPr="00992A2E">
        <w:rPr>
          <w:rFonts w:eastAsiaTheme="minorHAnsi"/>
          <w:sz w:val="28"/>
          <w:szCs w:val="28"/>
          <w:lang w:eastAsia="en-US"/>
          <w14:ligatures w14:val="standardContextual"/>
        </w:rPr>
        <w:t xml:space="preserve"> en ese ámbito, pero que tal argumento resulta desvirtuado si se tiene en cuenta que: </w:t>
      </w:r>
      <w:r w:rsidRPr="00992A2E">
        <w:rPr>
          <w:rFonts w:eastAsiaTheme="minorHAnsi"/>
          <w:i/>
          <w:iCs/>
          <w:sz w:val="28"/>
          <w:szCs w:val="28"/>
          <w:lang w:eastAsia="en-US"/>
          <w14:ligatures w14:val="standardContextual"/>
        </w:rPr>
        <w:t xml:space="preserve">(i) </w:t>
      </w:r>
      <w:r w:rsidRPr="00992A2E">
        <w:rPr>
          <w:rFonts w:eastAsiaTheme="minorHAnsi"/>
          <w:sz w:val="28"/>
          <w:szCs w:val="28"/>
          <w:lang w:eastAsia="en-US"/>
          <w14:ligatures w14:val="standardContextual"/>
        </w:rPr>
        <w:t xml:space="preserve">quien se somete a dicho procedimiento se encuentra en una especial posición de vulnerabilidad, no solo porque se está invadiendo en su órbita íntima, sino porque el agente estatal tiene la potestad de coaccionarle para que tolere el desarrollo de la actuación; </w:t>
      </w:r>
      <w:r w:rsidRPr="00992A2E">
        <w:rPr>
          <w:rFonts w:eastAsiaTheme="minorHAnsi"/>
          <w:i/>
          <w:iCs/>
          <w:sz w:val="28"/>
          <w:szCs w:val="28"/>
          <w:lang w:eastAsia="en-US"/>
          <w14:ligatures w14:val="standardContextual"/>
        </w:rPr>
        <w:t>(</w:t>
      </w:r>
      <w:proofErr w:type="spellStart"/>
      <w:r w:rsidRPr="00992A2E">
        <w:rPr>
          <w:rFonts w:eastAsiaTheme="minorHAnsi"/>
          <w:i/>
          <w:iCs/>
          <w:sz w:val="28"/>
          <w:szCs w:val="28"/>
          <w:lang w:eastAsia="en-US"/>
          <w14:ligatures w14:val="standardContextual"/>
        </w:rPr>
        <w:t>ii</w:t>
      </w:r>
      <w:proofErr w:type="spellEnd"/>
      <w:r w:rsidRPr="00992A2E">
        <w:rPr>
          <w:rFonts w:eastAsiaTheme="minorHAnsi"/>
          <w:i/>
          <w:iCs/>
          <w:sz w:val="28"/>
          <w:szCs w:val="28"/>
          <w:lang w:eastAsia="en-US"/>
          <w14:ligatures w14:val="standardContextual"/>
        </w:rPr>
        <w:t xml:space="preserve">) </w:t>
      </w:r>
      <w:r w:rsidRPr="00992A2E">
        <w:rPr>
          <w:rFonts w:eastAsiaTheme="minorHAnsi"/>
          <w:sz w:val="28"/>
          <w:szCs w:val="28"/>
          <w:lang w:eastAsia="en-US"/>
          <w14:ligatures w14:val="standardContextual"/>
        </w:rPr>
        <w:t xml:space="preserve">al tener dominio sobre la persona requisada, la autoridad no puede anteponer sus propias percepciones para omitir el ejercicio de sus funciones, sino que debe actuar con imparcialidad, velando por el respeto de los derechos humanos y </w:t>
      </w:r>
      <w:r w:rsidRPr="00992A2E">
        <w:rPr>
          <w:rFonts w:eastAsiaTheme="minorHAnsi"/>
          <w:i/>
          <w:iCs/>
          <w:sz w:val="28"/>
          <w:szCs w:val="28"/>
          <w:lang w:eastAsia="en-US"/>
          <w14:ligatures w14:val="standardContextual"/>
        </w:rPr>
        <w:t>(</w:t>
      </w:r>
      <w:proofErr w:type="spellStart"/>
      <w:r w:rsidRPr="00992A2E">
        <w:rPr>
          <w:rFonts w:eastAsiaTheme="minorHAnsi"/>
          <w:i/>
          <w:iCs/>
          <w:sz w:val="28"/>
          <w:szCs w:val="28"/>
          <w:lang w:eastAsia="en-US"/>
          <w14:ligatures w14:val="standardContextual"/>
        </w:rPr>
        <w:t>iii</w:t>
      </w:r>
      <w:proofErr w:type="spellEnd"/>
      <w:r w:rsidRPr="00992A2E">
        <w:rPr>
          <w:rFonts w:eastAsiaTheme="minorHAnsi"/>
          <w:i/>
          <w:iCs/>
          <w:sz w:val="28"/>
          <w:szCs w:val="28"/>
          <w:lang w:eastAsia="en-US"/>
          <w14:ligatures w14:val="standardContextual"/>
        </w:rPr>
        <w:t xml:space="preserve">) </w:t>
      </w:r>
      <w:r w:rsidRPr="00992A2E">
        <w:rPr>
          <w:rFonts w:eastAsiaTheme="minorHAnsi"/>
          <w:sz w:val="28"/>
          <w:szCs w:val="28"/>
          <w:lang w:eastAsia="en-US"/>
          <w14:ligatures w14:val="standardContextual"/>
        </w:rPr>
        <w:t>históricamente, las personas con identidades de género diversas han sido sometidas a discriminación, especialmente en los escenarios penales y policiales, lo que exige del Estado medidas afirmativas que incluyan la capacitación y sensibilización de sus agentes para que no perpetúen la marginalización de los grupos vulnerables, así como la implementación de protocolos flexibles que adapten el proceso de registro a las necesidades y experiencias de cada persona</w:t>
      </w:r>
      <w:r w:rsidRPr="00992A2E">
        <w:rPr>
          <w:rStyle w:val="Refdenotaalpie"/>
          <w:rFonts w:eastAsiaTheme="minorHAnsi"/>
          <w:sz w:val="28"/>
          <w:szCs w:val="28"/>
          <w:lang w:eastAsia="en-US"/>
          <w14:ligatures w14:val="standardContextual"/>
        </w:rPr>
        <w:footnoteReference w:id="18"/>
      </w:r>
      <w:r w:rsidRPr="00992A2E">
        <w:rPr>
          <w:rFonts w:eastAsiaTheme="minorHAnsi"/>
          <w:sz w:val="28"/>
          <w:szCs w:val="28"/>
          <w:lang w:eastAsia="en-US"/>
          <w14:ligatures w14:val="standardContextual"/>
        </w:rPr>
        <w:t>.</w:t>
      </w:r>
    </w:p>
    <w:p w14:paraId="08BA64F4" w14:textId="77777777" w:rsidR="00901EDC" w:rsidRPr="00992A2E" w:rsidRDefault="00901EDC" w:rsidP="001E3603">
      <w:pPr>
        <w:pStyle w:val="Estilo1"/>
        <w:tabs>
          <w:tab w:val="left" w:pos="426"/>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eastAsiaTheme="minorHAnsi"/>
          <w:sz w:val="28"/>
          <w:szCs w:val="28"/>
          <w:lang w:eastAsia="en-US"/>
          <w14:ligatures w14:val="standardContextual"/>
        </w:rPr>
      </w:pPr>
    </w:p>
    <w:p w14:paraId="71BF8C5A" w14:textId="77777777" w:rsidR="00901EDC" w:rsidRPr="00992A2E" w:rsidRDefault="00901EDC" w:rsidP="001E3603">
      <w:pPr>
        <w:pStyle w:val="Estilo1"/>
        <w:numPr>
          <w:ilvl w:val="0"/>
          <w:numId w:val="1"/>
        </w:numPr>
        <w:tabs>
          <w:tab w:val="left" w:pos="426"/>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0" w:firstLine="0"/>
        <w:rPr>
          <w:rFonts w:eastAsiaTheme="minorHAnsi"/>
          <w:sz w:val="28"/>
          <w:szCs w:val="28"/>
          <w:lang w:eastAsia="en-US"/>
          <w14:ligatures w14:val="standardContextual"/>
        </w:rPr>
      </w:pPr>
      <w:r w:rsidRPr="00992A2E">
        <w:rPr>
          <w:rFonts w:eastAsiaTheme="minorHAnsi"/>
          <w:sz w:val="28"/>
          <w:szCs w:val="28"/>
          <w:lang w:eastAsia="en-US"/>
          <w14:ligatures w14:val="standardContextual"/>
        </w:rPr>
        <w:t xml:space="preserve">En ese contexto, señaló que también es necesario tomar en consideración que la Sentencia C-822 de 2005 no decantó una postura concreta sobre la incidencia lingüística de la expresión </w:t>
      </w:r>
      <w:r w:rsidRPr="00992A2E">
        <w:rPr>
          <w:rFonts w:eastAsiaTheme="minorHAnsi"/>
          <w:sz w:val="26"/>
          <w:szCs w:val="26"/>
          <w:lang w:eastAsia="en-US"/>
          <w14:ligatures w14:val="standardContextual"/>
        </w:rPr>
        <w:t>«sexo»</w:t>
      </w:r>
      <w:r w:rsidRPr="00992A2E">
        <w:rPr>
          <w:rFonts w:eastAsiaTheme="minorHAnsi"/>
          <w:sz w:val="28"/>
          <w:szCs w:val="28"/>
          <w:lang w:eastAsia="en-US"/>
          <w14:ligatures w14:val="standardContextual"/>
        </w:rPr>
        <w:t xml:space="preserve">, como criterio sospechoso de discriminación. De ahí que resulte imperioso que en esta oportunidad se reconozca que, en el campo de las palabras, es donde comienza el reconocimiento de las experiencias y formas de vida que antes no tenían una categoría que las expresara adecuadamente. La transformación del lenguaje es, entonces, una herramienta crucial, tanto en la lucha contra la </w:t>
      </w:r>
      <w:proofErr w:type="spellStart"/>
      <w:r w:rsidRPr="00992A2E">
        <w:rPr>
          <w:rFonts w:eastAsiaTheme="minorHAnsi"/>
          <w:sz w:val="28"/>
          <w:szCs w:val="28"/>
          <w:lang w:eastAsia="en-US"/>
          <w14:ligatures w14:val="standardContextual"/>
        </w:rPr>
        <w:t>invisibilización</w:t>
      </w:r>
      <w:proofErr w:type="spellEnd"/>
      <w:r w:rsidRPr="00992A2E">
        <w:rPr>
          <w:rFonts w:eastAsiaTheme="minorHAnsi"/>
          <w:sz w:val="28"/>
          <w:szCs w:val="28"/>
          <w:lang w:eastAsia="en-US"/>
          <w14:ligatures w14:val="standardContextual"/>
        </w:rPr>
        <w:t xml:space="preserve"> de las identidades diversas, como en la prevención de la segregación y la violencia institucional contra ellas.</w:t>
      </w:r>
    </w:p>
    <w:p w14:paraId="5C783CDF" w14:textId="77777777" w:rsidR="00901EDC" w:rsidRPr="00992A2E" w:rsidRDefault="00901EDC" w:rsidP="001E3603">
      <w:pPr>
        <w:pStyle w:val="Estilo1"/>
        <w:tabs>
          <w:tab w:val="left" w:pos="426"/>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eastAsiaTheme="minorHAnsi"/>
          <w:b/>
          <w:bCs/>
          <w:sz w:val="28"/>
          <w:szCs w:val="28"/>
          <w:lang w:eastAsia="en-US"/>
          <w14:ligatures w14:val="standardContextual"/>
        </w:rPr>
      </w:pPr>
    </w:p>
    <w:p w14:paraId="0BC431AC" w14:textId="77777777" w:rsidR="00901EDC" w:rsidRPr="00992A2E" w:rsidRDefault="00901EDC" w:rsidP="001E3603">
      <w:pPr>
        <w:pStyle w:val="Estilo1"/>
        <w:tabs>
          <w:tab w:val="left" w:pos="426"/>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eastAsiaTheme="minorHAnsi"/>
          <w:sz w:val="28"/>
          <w:szCs w:val="28"/>
          <w:lang w:eastAsia="en-US"/>
          <w14:ligatures w14:val="standardContextual"/>
        </w:rPr>
      </w:pPr>
      <w:r w:rsidRPr="00992A2E">
        <w:rPr>
          <w:rFonts w:eastAsiaTheme="minorHAnsi"/>
          <w:b/>
          <w:bCs/>
          <w:sz w:val="28"/>
          <w:szCs w:val="28"/>
          <w:lang w:eastAsia="en-US"/>
          <w14:ligatures w14:val="standardContextual"/>
        </w:rPr>
        <w:t xml:space="preserve">Universidad Santo Tomás de Bucaramanga </w:t>
      </w:r>
    </w:p>
    <w:p w14:paraId="00B2543A" w14:textId="77777777" w:rsidR="00901EDC" w:rsidRPr="00992A2E" w:rsidRDefault="00901EDC" w:rsidP="001E3603">
      <w:pPr>
        <w:rPr>
          <w:rFonts w:eastAsiaTheme="minorHAnsi"/>
          <w:sz w:val="28"/>
          <w:szCs w:val="28"/>
          <w:lang w:val="es-ES_tradnl" w:eastAsia="en-US"/>
          <w14:ligatures w14:val="standardContextual"/>
        </w:rPr>
      </w:pPr>
    </w:p>
    <w:p w14:paraId="5455E626" w14:textId="77777777" w:rsidR="00901EDC" w:rsidRPr="00992A2E" w:rsidRDefault="00901EDC" w:rsidP="001E3603">
      <w:pPr>
        <w:pStyle w:val="Estilo1"/>
        <w:numPr>
          <w:ilvl w:val="0"/>
          <w:numId w:val="1"/>
        </w:numPr>
        <w:tabs>
          <w:tab w:val="left" w:pos="426"/>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0" w:firstLine="0"/>
        <w:rPr>
          <w:rFonts w:eastAsiaTheme="minorHAnsi"/>
          <w:sz w:val="28"/>
          <w:szCs w:val="28"/>
          <w:lang w:eastAsia="en-US"/>
          <w14:ligatures w14:val="standardContextual"/>
        </w:rPr>
      </w:pPr>
      <w:r w:rsidRPr="00992A2E">
        <w:rPr>
          <w:rFonts w:eastAsiaTheme="minorHAnsi"/>
          <w:sz w:val="28"/>
          <w:szCs w:val="28"/>
          <w:lang w:eastAsia="en-US"/>
          <w14:ligatures w14:val="standardContextual"/>
        </w:rPr>
        <w:t xml:space="preserve">Siguiendo la misma línea de las anteriores intervenciones, solicitó la </w:t>
      </w:r>
      <w:proofErr w:type="spellStart"/>
      <w:r w:rsidRPr="00992A2E">
        <w:rPr>
          <w:rFonts w:eastAsiaTheme="minorHAnsi"/>
          <w:sz w:val="28"/>
          <w:szCs w:val="28"/>
          <w:lang w:eastAsia="en-US"/>
          <w14:ligatures w14:val="standardContextual"/>
        </w:rPr>
        <w:t>exequibilidad</w:t>
      </w:r>
      <w:proofErr w:type="spellEnd"/>
      <w:r w:rsidRPr="00992A2E">
        <w:rPr>
          <w:rFonts w:eastAsiaTheme="minorHAnsi"/>
          <w:sz w:val="28"/>
          <w:szCs w:val="28"/>
          <w:lang w:eastAsia="en-US"/>
          <w14:ligatures w14:val="standardContextual"/>
        </w:rPr>
        <w:t xml:space="preserve"> de la norma para que se </w:t>
      </w:r>
      <w:r w:rsidRPr="00992A2E">
        <w:rPr>
          <w:sz w:val="28"/>
          <w:szCs w:val="28"/>
        </w:rPr>
        <w:t xml:space="preserve">entienda dicha expresión en un sentido amplio, en el que se incluya el respeto de las libertades fundamentales en el </w:t>
      </w:r>
      <w:r w:rsidRPr="00992A2E">
        <w:rPr>
          <w:sz w:val="28"/>
          <w:szCs w:val="28"/>
        </w:rPr>
        <w:lastRenderedPageBreak/>
        <w:t xml:space="preserve">marco de la igualdad de los derechos humanos, de acuerdo con las dimensiones categóricas del género, fruto del proceso de transformación del </w:t>
      </w:r>
      <w:r w:rsidRPr="00992A2E">
        <w:rPr>
          <w:sz w:val="26"/>
          <w:szCs w:val="26"/>
        </w:rPr>
        <w:t>«ethos socio cultural»</w:t>
      </w:r>
      <w:r w:rsidRPr="00992A2E">
        <w:rPr>
          <w:sz w:val="28"/>
          <w:szCs w:val="28"/>
        </w:rPr>
        <w:t xml:space="preserve"> y de los esquemas de representación y comportamiento diverso, que se estructura desde una decisión personal sobre el libre desarrollo de la personalidad</w:t>
      </w:r>
      <w:r w:rsidRPr="00992A2E">
        <w:t xml:space="preserve"> </w:t>
      </w:r>
      <w:r w:rsidRPr="00992A2E">
        <w:rPr>
          <w:rStyle w:val="Refdenotaalpie"/>
          <w:rFonts w:eastAsiaTheme="minorHAnsi"/>
          <w:sz w:val="28"/>
          <w:szCs w:val="28"/>
          <w:lang w:eastAsia="en-US"/>
          <w14:ligatures w14:val="standardContextual"/>
        </w:rPr>
        <w:footnoteReference w:id="19"/>
      </w:r>
      <w:r w:rsidRPr="00992A2E">
        <w:rPr>
          <w:rFonts w:eastAsiaTheme="minorHAnsi"/>
          <w:sz w:val="28"/>
          <w:szCs w:val="28"/>
          <w:lang w:eastAsia="en-US"/>
          <w14:ligatures w14:val="standardContextual"/>
        </w:rPr>
        <w:t>. Ello permite, no solo superar el paradigma estrictamente biológico que da lugar a la discriminación, sino garantizar que la persona pueda construir, desarrollar y expresar su vivencia de manera libre y autónoma, así como reivindicar para sí la categoría social identitaria que mejor la represente</w:t>
      </w:r>
      <w:r w:rsidRPr="00992A2E">
        <w:rPr>
          <w:rStyle w:val="Refdenotaalpie"/>
          <w:rFonts w:eastAsiaTheme="minorHAnsi"/>
          <w:sz w:val="28"/>
          <w:szCs w:val="28"/>
          <w:lang w:eastAsia="en-US"/>
          <w14:ligatures w14:val="standardContextual"/>
        </w:rPr>
        <w:footnoteReference w:id="20"/>
      </w:r>
      <w:r w:rsidRPr="00992A2E">
        <w:rPr>
          <w:rFonts w:eastAsiaTheme="minorHAnsi"/>
          <w:sz w:val="28"/>
          <w:szCs w:val="28"/>
          <w:lang w:eastAsia="en-US"/>
          <w14:ligatures w14:val="standardContextual"/>
        </w:rPr>
        <w:t>.</w:t>
      </w:r>
    </w:p>
    <w:p w14:paraId="7E6B18AB" w14:textId="77777777" w:rsidR="00901EDC" w:rsidRPr="00992A2E" w:rsidRDefault="00901EDC" w:rsidP="001E3603">
      <w:pPr>
        <w:pStyle w:val="Estilo1"/>
        <w:tabs>
          <w:tab w:val="left" w:pos="426"/>
        </w:tabs>
        <w:rPr>
          <w:b/>
          <w:bCs/>
          <w:sz w:val="28"/>
          <w:szCs w:val="28"/>
        </w:rPr>
      </w:pPr>
    </w:p>
    <w:p w14:paraId="6D9E4DC2" w14:textId="77777777" w:rsidR="00901EDC" w:rsidRPr="00992A2E" w:rsidRDefault="00901EDC" w:rsidP="001E3603">
      <w:pPr>
        <w:pStyle w:val="Estilo1"/>
        <w:tabs>
          <w:tab w:val="left" w:pos="426"/>
        </w:tabs>
        <w:rPr>
          <w:b/>
          <w:bCs/>
          <w:sz w:val="28"/>
          <w:szCs w:val="28"/>
        </w:rPr>
      </w:pPr>
      <w:r w:rsidRPr="00992A2E">
        <w:rPr>
          <w:b/>
          <w:bCs/>
          <w:sz w:val="28"/>
          <w:szCs w:val="28"/>
        </w:rPr>
        <w:t>Instituto Colombiano de Derecho Procesal (ICDP)</w:t>
      </w:r>
    </w:p>
    <w:p w14:paraId="6D19EC35" w14:textId="77777777" w:rsidR="00901EDC" w:rsidRPr="00992A2E" w:rsidRDefault="00901EDC" w:rsidP="001E3603">
      <w:pPr>
        <w:pStyle w:val="Estilo1"/>
        <w:tabs>
          <w:tab w:val="left" w:pos="426"/>
        </w:tabs>
        <w:rPr>
          <w:sz w:val="28"/>
          <w:szCs w:val="28"/>
        </w:rPr>
      </w:pPr>
    </w:p>
    <w:p w14:paraId="16879A47" w14:textId="77777777" w:rsidR="00901EDC" w:rsidRPr="00992A2E" w:rsidRDefault="00901EDC" w:rsidP="001E3603">
      <w:pPr>
        <w:pStyle w:val="Estilo1"/>
        <w:numPr>
          <w:ilvl w:val="0"/>
          <w:numId w:val="1"/>
        </w:numPr>
        <w:tabs>
          <w:tab w:val="left" w:pos="426"/>
        </w:tabs>
        <w:ind w:left="0" w:firstLine="0"/>
        <w:rPr>
          <w:sz w:val="28"/>
          <w:szCs w:val="28"/>
        </w:rPr>
      </w:pPr>
      <w:r w:rsidRPr="00992A2E">
        <w:rPr>
          <w:sz w:val="28"/>
          <w:szCs w:val="28"/>
        </w:rPr>
        <w:t xml:space="preserve">Invocó la existencia de una </w:t>
      </w:r>
      <w:r w:rsidRPr="00992A2E">
        <w:rPr>
          <w:i/>
          <w:iCs/>
          <w:sz w:val="28"/>
          <w:szCs w:val="28"/>
        </w:rPr>
        <w:t>omisión legislativa relativa</w:t>
      </w:r>
      <w:r w:rsidRPr="00992A2E">
        <w:rPr>
          <w:sz w:val="28"/>
          <w:szCs w:val="28"/>
        </w:rPr>
        <w:t xml:space="preserve">, en tanto la norma demandada solo reguló la situación de las personas cisgénero, pese a que la Constitución le exige ampliar sus efectos a quienes no se conciben dentro de esa categoría. En ese contexto, la medida prevista en dicho precepto no supera el test estricto de igualdad, habida cuenta que: </w:t>
      </w:r>
      <w:r w:rsidRPr="00992A2E">
        <w:rPr>
          <w:i/>
          <w:iCs/>
          <w:sz w:val="28"/>
          <w:szCs w:val="28"/>
        </w:rPr>
        <w:t xml:space="preserve">(i) </w:t>
      </w:r>
      <w:r w:rsidRPr="00992A2E">
        <w:rPr>
          <w:sz w:val="28"/>
          <w:szCs w:val="28"/>
        </w:rPr>
        <w:t xml:space="preserve">se basa un criterio sospechoso de clasificación, como el sexo; </w:t>
      </w:r>
      <w:r w:rsidRPr="00992A2E">
        <w:rPr>
          <w:i/>
          <w:iCs/>
          <w:sz w:val="28"/>
          <w:szCs w:val="28"/>
        </w:rPr>
        <w:t>(</w:t>
      </w:r>
      <w:proofErr w:type="spellStart"/>
      <w:r w:rsidRPr="00992A2E">
        <w:rPr>
          <w:i/>
          <w:iCs/>
          <w:sz w:val="28"/>
          <w:szCs w:val="28"/>
        </w:rPr>
        <w:t>ii</w:t>
      </w:r>
      <w:proofErr w:type="spellEnd"/>
      <w:r w:rsidRPr="00992A2E">
        <w:rPr>
          <w:i/>
          <w:iCs/>
          <w:sz w:val="28"/>
          <w:szCs w:val="28"/>
        </w:rPr>
        <w:t xml:space="preserve">) </w:t>
      </w:r>
      <w:r w:rsidRPr="00992A2E">
        <w:rPr>
          <w:sz w:val="28"/>
          <w:szCs w:val="28"/>
        </w:rPr>
        <w:t xml:space="preserve">es inadecuada para </w:t>
      </w:r>
      <w:r w:rsidRPr="00992A2E">
        <w:rPr>
          <w:rFonts w:eastAsiaTheme="minorHAnsi"/>
          <w:sz w:val="28"/>
          <w:szCs w:val="28"/>
          <w:lang w:eastAsia="en-US"/>
          <w14:ligatures w14:val="standardContextual"/>
        </w:rPr>
        <w:t xml:space="preserve">alcanzar la finalidad pretendida, pues no incluye dentro de su ámbito de aplicación a todos los sujetos cuyos derechos pueden ser afectados con la diligencia de registro; </w:t>
      </w:r>
      <w:r w:rsidRPr="00992A2E">
        <w:rPr>
          <w:rFonts w:eastAsiaTheme="minorHAnsi"/>
          <w:i/>
          <w:iCs/>
          <w:sz w:val="28"/>
          <w:szCs w:val="28"/>
          <w:lang w:eastAsia="en-US"/>
          <w14:ligatures w14:val="standardContextual"/>
        </w:rPr>
        <w:t>(</w:t>
      </w:r>
      <w:proofErr w:type="spellStart"/>
      <w:r w:rsidRPr="00992A2E">
        <w:rPr>
          <w:rFonts w:eastAsiaTheme="minorHAnsi"/>
          <w:i/>
          <w:iCs/>
          <w:sz w:val="28"/>
          <w:szCs w:val="28"/>
          <w:lang w:eastAsia="en-US"/>
          <w14:ligatures w14:val="standardContextual"/>
        </w:rPr>
        <w:t>iii</w:t>
      </w:r>
      <w:proofErr w:type="spellEnd"/>
      <w:r w:rsidRPr="00992A2E">
        <w:rPr>
          <w:rFonts w:eastAsiaTheme="minorHAnsi"/>
          <w:i/>
          <w:iCs/>
          <w:sz w:val="28"/>
          <w:szCs w:val="28"/>
          <w:lang w:eastAsia="en-US"/>
          <w14:ligatures w14:val="standardContextual"/>
        </w:rPr>
        <w:t>)</w:t>
      </w:r>
      <w:r w:rsidRPr="00992A2E">
        <w:rPr>
          <w:rFonts w:eastAsiaTheme="minorHAnsi"/>
          <w:sz w:val="28"/>
          <w:szCs w:val="28"/>
          <w:lang w:eastAsia="en-US"/>
          <w14:ligatures w14:val="standardContextual"/>
        </w:rPr>
        <w:t xml:space="preserve"> ubica en una situación de desprotección a un grupo poblacional históricamente discriminado, impidiendo su acceso en condiciones de igualdad al sistema procesal penal y </w:t>
      </w:r>
      <w:r w:rsidRPr="00992A2E">
        <w:rPr>
          <w:rFonts w:eastAsiaTheme="minorHAnsi"/>
          <w:i/>
          <w:iCs/>
          <w:sz w:val="28"/>
          <w:szCs w:val="28"/>
          <w:lang w:eastAsia="en-US"/>
          <w14:ligatures w14:val="standardContextual"/>
        </w:rPr>
        <w:t>(</w:t>
      </w:r>
      <w:proofErr w:type="spellStart"/>
      <w:r w:rsidRPr="00992A2E">
        <w:rPr>
          <w:rFonts w:eastAsiaTheme="minorHAnsi"/>
          <w:i/>
          <w:iCs/>
          <w:sz w:val="28"/>
          <w:szCs w:val="28"/>
          <w:lang w:eastAsia="en-US"/>
          <w14:ligatures w14:val="standardContextual"/>
        </w:rPr>
        <w:t>iv</w:t>
      </w:r>
      <w:proofErr w:type="spellEnd"/>
      <w:r w:rsidRPr="00992A2E">
        <w:rPr>
          <w:rFonts w:eastAsiaTheme="minorHAnsi"/>
          <w:i/>
          <w:iCs/>
          <w:sz w:val="28"/>
          <w:szCs w:val="28"/>
          <w:lang w:eastAsia="en-US"/>
          <w14:ligatures w14:val="standardContextual"/>
        </w:rPr>
        <w:t xml:space="preserve">) </w:t>
      </w:r>
      <w:r w:rsidRPr="00992A2E">
        <w:rPr>
          <w:rFonts w:eastAsiaTheme="minorHAnsi"/>
          <w:sz w:val="28"/>
          <w:szCs w:val="28"/>
          <w:lang w:eastAsia="en-US"/>
          <w14:ligatures w14:val="standardContextual"/>
        </w:rPr>
        <w:t xml:space="preserve">priva a las personas de intervenir en la formación de los valores propios de una sociedad igualitaria y respetuosa de los derechos humanos. Por tanto, es imperioso condicionar su aplicación </w:t>
      </w:r>
      <w:r w:rsidRPr="00992A2E">
        <w:rPr>
          <w:rFonts w:eastAsiaTheme="minorHAnsi"/>
          <w:sz w:val="26"/>
          <w:szCs w:val="26"/>
          <w:lang w:eastAsia="en-US"/>
          <w14:ligatures w14:val="standardContextual"/>
        </w:rPr>
        <w:t>«en el entendido que el registro personal se hará con perspectivas de orientación sexual e identidad e igualdad de género» [sic]</w:t>
      </w:r>
      <w:r w:rsidRPr="00992A2E">
        <w:rPr>
          <w:rFonts w:eastAsiaTheme="minorHAnsi"/>
          <w:sz w:val="28"/>
          <w:szCs w:val="28"/>
          <w:lang w:eastAsia="en-US"/>
          <w14:ligatures w14:val="standardContextual"/>
        </w:rPr>
        <w:t>.</w:t>
      </w:r>
    </w:p>
    <w:p w14:paraId="6B36545B" w14:textId="77777777" w:rsidR="00901EDC" w:rsidRPr="00992A2E" w:rsidRDefault="00901EDC" w:rsidP="001E3603">
      <w:pPr>
        <w:pStyle w:val="Estilo1"/>
        <w:tabs>
          <w:tab w:val="left" w:pos="426"/>
        </w:tabs>
        <w:rPr>
          <w:rFonts w:asciiTheme="majorBidi" w:hAnsiTheme="majorBidi" w:cstheme="majorBidi"/>
          <w:sz w:val="28"/>
          <w:szCs w:val="28"/>
        </w:rPr>
      </w:pPr>
    </w:p>
    <w:p w14:paraId="1E4F1A9A" w14:textId="77777777" w:rsidR="00901EDC" w:rsidRPr="00992A2E" w:rsidRDefault="00901EDC" w:rsidP="001E3603">
      <w:pPr>
        <w:pStyle w:val="Estilo1"/>
        <w:rPr>
          <w:b/>
          <w:bCs/>
          <w:sz w:val="28"/>
          <w:szCs w:val="28"/>
        </w:rPr>
      </w:pPr>
      <w:r w:rsidRPr="00992A2E">
        <w:rPr>
          <w:b/>
          <w:bCs/>
          <w:sz w:val="28"/>
          <w:szCs w:val="28"/>
        </w:rPr>
        <w:t>VI. CONCEPTO DE LA PROCURADORA GENERAL DE LA NACIÓN</w:t>
      </w:r>
    </w:p>
    <w:p w14:paraId="5BBC3D04" w14:textId="77777777" w:rsidR="00901EDC" w:rsidRPr="00992A2E" w:rsidRDefault="00901EDC" w:rsidP="001E3603">
      <w:pPr>
        <w:pStyle w:val="Estilo1"/>
        <w:tabs>
          <w:tab w:val="left" w:pos="426"/>
        </w:tabs>
        <w:rPr>
          <w:sz w:val="28"/>
          <w:szCs w:val="28"/>
        </w:rPr>
      </w:pPr>
    </w:p>
    <w:p w14:paraId="5F7DAFB2" w14:textId="77777777" w:rsidR="00901EDC" w:rsidRPr="00992A2E" w:rsidRDefault="00901EDC" w:rsidP="001E3603">
      <w:pPr>
        <w:pStyle w:val="Estilo1"/>
        <w:numPr>
          <w:ilvl w:val="0"/>
          <w:numId w:val="1"/>
        </w:numPr>
        <w:tabs>
          <w:tab w:val="left" w:pos="426"/>
        </w:tabs>
        <w:ind w:left="0" w:firstLine="0"/>
        <w:rPr>
          <w:sz w:val="28"/>
          <w:szCs w:val="28"/>
        </w:rPr>
      </w:pPr>
      <w:r w:rsidRPr="00992A2E">
        <w:rPr>
          <w:sz w:val="28"/>
          <w:szCs w:val="28"/>
        </w:rPr>
        <w:t xml:space="preserve">La procuradora general de la Nación se adhirió a los argumentos de los intervinientes que reclaman la </w:t>
      </w:r>
      <w:proofErr w:type="spellStart"/>
      <w:r w:rsidRPr="00992A2E">
        <w:rPr>
          <w:sz w:val="28"/>
          <w:szCs w:val="28"/>
        </w:rPr>
        <w:t>exequibilidad</w:t>
      </w:r>
      <w:proofErr w:type="spellEnd"/>
      <w:r w:rsidRPr="00992A2E">
        <w:rPr>
          <w:sz w:val="28"/>
          <w:szCs w:val="28"/>
        </w:rPr>
        <w:t xml:space="preserve"> condicionada de la palabra acusada. Explica que la jurisprudencia constitucional ha tenido una evolución según la cual el término </w:t>
      </w:r>
      <w:r w:rsidRPr="00992A2E">
        <w:rPr>
          <w:sz w:val="26"/>
          <w:szCs w:val="26"/>
        </w:rPr>
        <w:t>«sexo»</w:t>
      </w:r>
      <w:r w:rsidRPr="00992A2E">
        <w:rPr>
          <w:sz w:val="28"/>
          <w:szCs w:val="28"/>
        </w:rPr>
        <w:t xml:space="preserve"> ha de entenderse como </w:t>
      </w:r>
      <w:r w:rsidRPr="00992A2E">
        <w:rPr>
          <w:sz w:val="26"/>
          <w:szCs w:val="26"/>
        </w:rPr>
        <w:t>«género»</w:t>
      </w:r>
      <w:r w:rsidRPr="00992A2E">
        <w:rPr>
          <w:sz w:val="28"/>
          <w:szCs w:val="28"/>
        </w:rPr>
        <w:t xml:space="preserve"> para evitar exclusiones arbitrarias de sujetos con identidades diversas. </w:t>
      </w:r>
    </w:p>
    <w:p w14:paraId="73CA396B" w14:textId="77777777" w:rsidR="00901EDC" w:rsidRPr="00992A2E" w:rsidRDefault="00901EDC" w:rsidP="001E3603">
      <w:pPr>
        <w:pStyle w:val="Estilo1"/>
        <w:tabs>
          <w:tab w:val="left" w:pos="426"/>
        </w:tabs>
        <w:rPr>
          <w:sz w:val="28"/>
          <w:szCs w:val="28"/>
        </w:rPr>
      </w:pPr>
    </w:p>
    <w:p w14:paraId="4393324A" w14:textId="030A93A8" w:rsidR="00901EDC" w:rsidRPr="00992A2E" w:rsidRDefault="00901EDC" w:rsidP="001E3603">
      <w:pPr>
        <w:pStyle w:val="Estilo1"/>
        <w:numPr>
          <w:ilvl w:val="0"/>
          <w:numId w:val="1"/>
        </w:numPr>
        <w:tabs>
          <w:tab w:val="left" w:pos="426"/>
        </w:tabs>
        <w:ind w:left="0" w:firstLine="0"/>
        <w:rPr>
          <w:sz w:val="28"/>
          <w:szCs w:val="28"/>
        </w:rPr>
      </w:pPr>
      <w:r w:rsidRPr="00992A2E">
        <w:rPr>
          <w:sz w:val="28"/>
          <w:szCs w:val="28"/>
        </w:rPr>
        <w:t xml:space="preserve">A pesar de dicha evolución, reconoce la importancia de realizar un control sobre el uso del término para evitar estereotipos contrarios al artículo 13 de la Constitución. Sin perjuicio de ello, indicó que, a su juicio, el término </w:t>
      </w:r>
      <w:r w:rsidRPr="00992A2E">
        <w:rPr>
          <w:sz w:val="26"/>
          <w:szCs w:val="26"/>
        </w:rPr>
        <w:t>«sexo»</w:t>
      </w:r>
      <w:r w:rsidRPr="00992A2E">
        <w:rPr>
          <w:sz w:val="28"/>
          <w:szCs w:val="28"/>
        </w:rPr>
        <w:t xml:space="preserve"> tiene un sentido polisémico, es decir, no habría que expulsarlo del ordenamiento, sino simplemente </w:t>
      </w:r>
      <w:r w:rsidRPr="00992A2E">
        <w:rPr>
          <w:sz w:val="26"/>
          <w:szCs w:val="26"/>
        </w:rPr>
        <w:t>«circunscribir el sentido o modo de utilización correcto del mismo»</w:t>
      </w:r>
      <w:r w:rsidRPr="00992A2E">
        <w:rPr>
          <w:sz w:val="28"/>
          <w:szCs w:val="28"/>
        </w:rPr>
        <w:t xml:space="preserve">, teniendo en cuenta que puede tener dos acepciones: </w:t>
      </w:r>
      <w:r w:rsidRPr="00992A2E">
        <w:rPr>
          <w:i/>
          <w:iCs/>
          <w:sz w:val="28"/>
          <w:szCs w:val="28"/>
        </w:rPr>
        <w:t>(i)</w:t>
      </w:r>
      <w:r w:rsidRPr="00992A2E">
        <w:rPr>
          <w:sz w:val="28"/>
          <w:szCs w:val="28"/>
        </w:rPr>
        <w:t xml:space="preserve"> la relativa a características biológicas y psicológicas y </w:t>
      </w:r>
      <w:r w:rsidRPr="00992A2E">
        <w:rPr>
          <w:i/>
          <w:iCs/>
          <w:sz w:val="28"/>
          <w:szCs w:val="28"/>
        </w:rPr>
        <w:t>(</w:t>
      </w:r>
      <w:proofErr w:type="spellStart"/>
      <w:r w:rsidRPr="00992A2E">
        <w:rPr>
          <w:i/>
          <w:iCs/>
          <w:sz w:val="28"/>
          <w:szCs w:val="28"/>
        </w:rPr>
        <w:t>ii</w:t>
      </w:r>
      <w:proofErr w:type="spellEnd"/>
      <w:r w:rsidRPr="00992A2E">
        <w:rPr>
          <w:i/>
          <w:iCs/>
          <w:sz w:val="28"/>
          <w:szCs w:val="28"/>
        </w:rPr>
        <w:t xml:space="preserve">) </w:t>
      </w:r>
      <w:r w:rsidRPr="00992A2E">
        <w:rPr>
          <w:sz w:val="28"/>
          <w:szCs w:val="28"/>
        </w:rPr>
        <w:t>la que refleja una decisión derivada</w:t>
      </w:r>
      <w:r w:rsidR="00546CEA" w:rsidRPr="00992A2E">
        <w:rPr>
          <w:sz w:val="28"/>
          <w:szCs w:val="28"/>
        </w:rPr>
        <w:t xml:space="preserve"> de</w:t>
      </w:r>
      <w:r w:rsidRPr="00992A2E">
        <w:rPr>
          <w:sz w:val="28"/>
          <w:szCs w:val="28"/>
        </w:rPr>
        <w:t xml:space="preserve"> la vivencia interna de cada persona. Es este último entendimiento el </w:t>
      </w:r>
      <w:r w:rsidRPr="00992A2E">
        <w:rPr>
          <w:sz w:val="28"/>
          <w:szCs w:val="28"/>
        </w:rPr>
        <w:lastRenderedPageBreak/>
        <w:t xml:space="preserve">que debe condicionar la aplicación del precepto acusado, para no hacer nugatorios los derechos a la igualdad y a la identidad de género de quienes no se conciben en el tradicional sistema binario hombre-mujer. En ese sentido, </w:t>
      </w:r>
      <w:proofErr w:type="gramStart"/>
      <w:r w:rsidRPr="00992A2E">
        <w:rPr>
          <w:sz w:val="28"/>
          <w:szCs w:val="28"/>
        </w:rPr>
        <w:t>la el</w:t>
      </w:r>
      <w:proofErr w:type="gramEnd"/>
      <w:r w:rsidRPr="00992A2E">
        <w:rPr>
          <w:sz w:val="28"/>
          <w:szCs w:val="28"/>
        </w:rPr>
        <w:t xml:space="preserve"> aparte demandado, habría de ser interpretado como una referencia al género de los sujetos. </w:t>
      </w:r>
    </w:p>
    <w:p w14:paraId="6480AFAF" w14:textId="77777777" w:rsidR="00CA763A" w:rsidRPr="00992A2E" w:rsidRDefault="00CA763A" w:rsidP="00CA763A">
      <w:pPr>
        <w:pStyle w:val="Estilo1"/>
        <w:tabs>
          <w:tab w:val="left" w:pos="426"/>
        </w:tabs>
        <w:rPr>
          <w:sz w:val="28"/>
          <w:szCs w:val="28"/>
        </w:rPr>
      </w:pPr>
    </w:p>
    <w:p w14:paraId="00FD2750" w14:textId="77777777" w:rsidR="00901EDC" w:rsidRPr="00992A2E" w:rsidRDefault="00901EDC" w:rsidP="001E3603">
      <w:pPr>
        <w:pStyle w:val="Estilo1"/>
        <w:rPr>
          <w:b/>
          <w:bCs/>
          <w:sz w:val="28"/>
          <w:szCs w:val="28"/>
        </w:rPr>
      </w:pPr>
      <w:r w:rsidRPr="00992A2E">
        <w:rPr>
          <w:b/>
          <w:bCs/>
          <w:sz w:val="28"/>
          <w:szCs w:val="28"/>
        </w:rPr>
        <w:t>VII. CONSIDERACIONES</w:t>
      </w:r>
    </w:p>
    <w:p w14:paraId="0AD9E728" w14:textId="77777777" w:rsidR="00901EDC" w:rsidRPr="00992A2E" w:rsidRDefault="00901EDC" w:rsidP="001E3603">
      <w:pPr>
        <w:pStyle w:val="Estilo1"/>
        <w:tabs>
          <w:tab w:val="left" w:pos="426"/>
        </w:tabs>
        <w:rPr>
          <w:sz w:val="28"/>
          <w:szCs w:val="28"/>
        </w:rPr>
      </w:pPr>
    </w:p>
    <w:p w14:paraId="64859AC2" w14:textId="77777777" w:rsidR="00901EDC" w:rsidRPr="00992A2E" w:rsidRDefault="00901EDC" w:rsidP="001E3603">
      <w:pPr>
        <w:pStyle w:val="Estilo1"/>
        <w:tabs>
          <w:tab w:val="left" w:pos="426"/>
        </w:tabs>
        <w:rPr>
          <w:b/>
          <w:bCs/>
          <w:sz w:val="28"/>
          <w:szCs w:val="28"/>
        </w:rPr>
      </w:pPr>
      <w:r w:rsidRPr="00992A2E">
        <w:rPr>
          <w:b/>
          <w:bCs/>
          <w:sz w:val="28"/>
          <w:szCs w:val="28"/>
        </w:rPr>
        <w:t>Competencia</w:t>
      </w:r>
    </w:p>
    <w:p w14:paraId="748EF6C7" w14:textId="77777777" w:rsidR="00901EDC" w:rsidRPr="00992A2E" w:rsidRDefault="00901EDC" w:rsidP="001E3603">
      <w:pPr>
        <w:pStyle w:val="Estilo1"/>
        <w:tabs>
          <w:tab w:val="left" w:pos="426"/>
        </w:tabs>
        <w:rPr>
          <w:sz w:val="28"/>
          <w:szCs w:val="28"/>
        </w:rPr>
      </w:pPr>
    </w:p>
    <w:p w14:paraId="2B9E20D6" w14:textId="77777777" w:rsidR="00901EDC" w:rsidRPr="00992A2E" w:rsidRDefault="00901EDC" w:rsidP="001E3603">
      <w:pPr>
        <w:pStyle w:val="Estilo1"/>
        <w:numPr>
          <w:ilvl w:val="0"/>
          <w:numId w:val="1"/>
        </w:numPr>
        <w:tabs>
          <w:tab w:val="left" w:pos="426"/>
        </w:tabs>
        <w:ind w:left="0" w:firstLine="0"/>
        <w:rPr>
          <w:sz w:val="28"/>
          <w:szCs w:val="28"/>
        </w:rPr>
      </w:pPr>
      <w:r w:rsidRPr="00992A2E">
        <w:rPr>
          <w:sz w:val="28"/>
          <w:szCs w:val="28"/>
        </w:rPr>
        <w:t>De conformidad con el artículo 241.4 de la Constitución Política, la Corte Constitucional es competente para emitir sentencia en el presente asunto, comoquiera que la demanda se dirige contra un apartado contenido en una ley de la República.</w:t>
      </w:r>
    </w:p>
    <w:p w14:paraId="6C5E84FC" w14:textId="77777777" w:rsidR="00901EDC" w:rsidRPr="00992A2E" w:rsidRDefault="00901EDC" w:rsidP="001E3603">
      <w:pPr>
        <w:pStyle w:val="Estilo1"/>
        <w:tabs>
          <w:tab w:val="left" w:pos="426"/>
        </w:tabs>
        <w:rPr>
          <w:sz w:val="28"/>
          <w:szCs w:val="28"/>
        </w:rPr>
      </w:pPr>
    </w:p>
    <w:p w14:paraId="0120B030" w14:textId="77777777" w:rsidR="00901EDC" w:rsidRPr="00992A2E" w:rsidRDefault="00901EDC" w:rsidP="001E3603">
      <w:pPr>
        <w:pStyle w:val="Estilo1"/>
        <w:tabs>
          <w:tab w:val="left" w:pos="426"/>
        </w:tabs>
        <w:rPr>
          <w:b/>
          <w:bCs/>
          <w:sz w:val="28"/>
          <w:szCs w:val="28"/>
        </w:rPr>
      </w:pPr>
      <w:r w:rsidRPr="00992A2E">
        <w:rPr>
          <w:b/>
          <w:bCs/>
          <w:sz w:val="28"/>
          <w:szCs w:val="28"/>
        </w:rPr>
        <w:t>Cuestión preliminar: estudio sobre la aptitud de la demanda</w:t>
      </w:r>
    </w:p>
    <w:p w14:paraId="5E13BFA2" w14:textId="77777777" w:rsidR="00901EDC" w:rsidRPr="00992A2E" w:rsidRDefault="00901EDC" w:rsidP="001E3603">
      <w:pPr>
        <w:pStyle w:val="Estilo1"/>
        <w:tabs>
          <w:tab w:val="left" w:pos="426"/>
        </w:tabs>
        <w:rPr>
          <w:b/>
          <w:bCs/>
          <w:sz w:val="28"/>
          <w:szCs w:val="28"/>
        </w:rPr>
      </w:pPr>
    </w:p>
    <w:p w14:paraId="36AB8B69" w14:textId="72DDAF47" w:rsidR="00901EDC" w:rsidRPr="00992A2E" w:rsidRDefault="00901EDC" w:rsidP="001E3603">
      <w:pPr>
        <w:pStyle w:val="Estilo1"/>
        <w:numPr>
          <w:ilvl w:val="0"/>
          <w:numId w:val="1"/>
        </w:numPr>
        <w:tabs>
          <w:tab w:val="left" w:pos="426"/>
        </w:tabs>
        <w:ind w:left="0" w:firstLine="0"/>
        <w:rPr>
          <w:b/>
          <w:bCs/>
          <w:sz w:val="28"/>
          <w:szCs w:val="28"/>
        </w:rPr>
      </w:pPr>
      <w:r w:rsidRPr="00992A2E">
        <w:rPr>
          <w:b/>
          <w:bCs/>
          <w:sz w:val="28"/>
          <w:szCs w:val="28"/>
        </w:rPr>
        <w:t xml:space="preserve"> </w:t>
      </w:r>
      <w:r w:rsidRPr="00992A2E">
        <w:rPr>
          <w:sz w:val="28"/>
          <w:szCs w:val="28"/>
        </w:rPr>
        <w:t xml:space="preserve">En el presente caso se estima necesario establecer, como una cuestión previa, la aptitud del cargo planteado en la demanda. </w:t>
      </w:r>
      <w:r w:rsidRPr="00992A2E">
        <w:rPr>
          <w:bCs/>
          <w:sz w:val="28"/>
          <w:szCs w:val="28"/>
          <w:lang w:eastAsia="es-ES"/>
        </w:rPr>
        <w:t xml:space="preserve">Dicha verificación </w:t>
      </w:r>
      <w:r w:rsidR="00E2050F" w:rsidRPr="00992A2E">
        <w:rPr>
          <w:bCs/>
          <w:sz w:val="28"/>
          <w:szCs w:val="28"/>
          <w:lang w:eastAsia="es-ES"/>
        </w:rPr>
        <w:t xml:space="preserve">corresponde a </w:t>
      </w:r>
      <w:r w:rsidRPr="00992A2E">
        <w:rPr>
          <w:bCs/>
          <w:sz w:val="28"/>
          <w:szCs w:val="28"/>
          <w:lang w:eastAsia="es-ES"/>
        </w:rPr>
        <w:t xml:space="preserve">un asunto que es objeto de pronunciamiento al inicio del proceso, en la etapa de admisión, y que </w:t>
      </w:r>
      <w:r w:rsidR="00E2050F" w:rsidRPr="00992A2E">
        <w:rPr>
          <w:bCs/>
          <w:sz w:val="28"/>
          <w:szCs w:val="28"/>
          <w:lang w:eastAsia="es-ES"/>
        </w:rPr>
        <w:t>está a cargo del</w:t>
      </w:r>
      <w:r w:rsidRPr="00992A2E">
        <w:rPr>
          <w:bCs/>
          <w:sz w:val="28"/>
          <w:szCs w:val="28"/>
          <w:lang w:eastAsia="es-ES"/>
        </w:rPr>
        <w:t xml:space="preserve"> despacho sustanciador, pero que también puede realizar la Sala Plena al momento de proferir fallo</w:t>
      </w:r>
      <w:r w:rsidRPr="00992A2E">
        <w:rPr>
          <w:rStyle w:val="Refdenotaalpie"/>
          <w:bCs/>
          <w:sz w:val="28"/>
          <w:szCs w:val="28"/>
        </w:rPr>
        <w:footnoteReference w:id="21"/>
      </w:r>
      <w:r w:rsidRPr="00992A2E">
        <w:rPr>
          <w:bCs/>
          <w:sz w:val="28"/>
          <w:szCs w:val="28"/>
          <w:lang w:eastAsia="es-ES"/>
        </w:rPr>
        <w:t>, ya sea porque uno de los intervinientes o la procuradora general de la Nación así lo hayan planteado, o bien sea de oficio.</w:t>
      </w:r>
      <w:r w:rsidRPr="00992A2E">
        <w:rPr>
          <w:sz w:val="28"/>
          <w:szCs w:val="28"/>
          <w:shd w:val="clear" w:color="auto" w:fill="FFFFFF"/>
        </w:rPr>
        <w:t xml:space="preserve"> </w:t>
      </w:r>
    </w:p>
    <w:p w14:paraId="6E100D1D" w14:textId="77777777" w:rsidR="00901EDC" w:rsidRPr="00992A2E" w:rsidRDefault="00901EDC" w:rsidP="001E3603">
      <w:pPr>
        <w:pStyle w:val="Estilo1"/>
        <w:tabs>
          <w:tab w:val="left" w:pos="426"/>
        </w:tabs>
        <w:rPr>
          <w:b/>
          <w:bCs/>
          <w:sz w:val="28"/>
          <w:szCs w:val="28"/>
        </w:rPr>
      </w:pPr>
    </w:p>
    <w:p w14:paraId="78D406CB" w14:textId="77777777" w:rsidR="00901EDC" w:rsidRPr="00992A2E" w:rsidRDefault="00901EDC" w:rsidP="001E3603">
      <w:pPr>
        <w:pStyle w:val="Estilo1"/>
        <w:numPr>
          <w:ilvl w:val="0"/>
          <w:numId w:val="1"/>
        </w:numPr>
        <w:tabs>
          <w:tab w:val="left" w:pos="426"/>
        </w:tabs>
        <w:ind w:left="0" w:firstLine="0"/>
        <w:rPr>
          <w:sz w:val="28"/>
          <w:szCs w:val="28"/>
        </w:rPr>
      </w:pPr>
      <w:r w:rsidRPr="00992A2E">
        <w:rPr>
          <w:sz w:val="28"/>
          <w:szCs w:val="28"/>
          <w:lang w:eastAsia="es-ES"/>
        </w:rPr>
        <w:t xml:space="preserve">En efecto, no son solo las intervenciones las que habilitan a la Corte Constitucional a pronunciarse respecto de la aptitud de la demanda, pues es la Sala Plena la que detenta en todos los casos esa atribución, en cuanto es precisamente la autoridad llamada a proferir el respectivo fallo, y porque la evaluación sobre la aptitud de la demanda </w:t>
      </w:r>
      <w:r w:rsidRPr="00992A2E">
        <w:rPr>
          <w:sz w:val="28"/>
          <w:szCs w:val="28"/>
        </w:rPr>
        <w:t>está implícita en la competencia del juez constitucional para desarrollar el respectivo juicio (artículos 241 CP y Decreto 2067 de 1991) y, por tanto, para pronunciar un fallo de mérito o uno inhibitorio</w:t>
      </w:r>
      <w:r w:rsidRPr="00992A2E">
        <w:rPr>
          <w:rStyle w:val="Refdenotaalpie"/>
          <w:sz w:val="28"/>
          <w:szCs w:val="28"/>
        </w:rPr>
        <w:footnoteReference w:id="22"/>
      </w:r>
      <w:r w:rsidRPr="00992A2E">
        <w:rPr>
          <w:sz w:val="28"/>
          <w:szCs w:val="28"/>
        </w:rPr>
        <w:t>.</w:t>
      </w:r>
    </w:p>
    <w:p w14:paraId="7915A449" w14:textId="77777777" w:rsidR="00901EDC" w:rsidRPr="00992A2E" w:rsidRDefault="00901EDC" w:rsidP="001E3603">
      <w:pPr>
        <w:pStyle w:val="Prrafodelista"/>
        <w:ind w:left="0"/>
        <w:rPr>
          <w:sz w:val="28"/>
          <w:szCs w:val="28"/>
        </w:rPr>
      </w:pPr>
    </w:p>
    <w:p w14:paraId="4E4C7F2D" w14:textId="72DD2882" w:rsidR="00901EDC" w:rsidRPr="00992A2E" w:rsidRDefault="00901EDC" w:rsidP="001E3603">
      <w:pPr>
        <w:pStyle w:val="Estilo1"/>
        <w:numPr>
          <w:ilvl w:val="0"/>
          <w:numId w:val="1"/>
        </w:numPr>
        <w:tabs>
          <w:tab w:val="left" w:pos="426"/>
        </w:tabs>
        <w:ind w:left="0" w:firstLine="0"/>
        <w:rPr>
          <w:sz w:val="28"/>
          <w:szCs w:val="28"/>
        </w:rPr>
      </w:pPr>
      <w:r w:rsidRPr="00992A2E">
        <w:rPr>
          <w:sz w:val="28"/>
          <w:szCs w:val="28"/>
        </w:rPr>
        <w:t>Lo anterior significa que el análisis inicial tiene un carácter provisional</w:t>
      </w:r>
      <w:r w:rsidR="00E2050F" w:rsidRPr="00992A2E">
        <w:rPr>
          <w:sz w:val="28"/>
          <w:szCs w:val="28"/>
        </w:rPr>
        <w:t>,</w:t>
      </w:r>
      <w:r w:rsidRPr="00992A2E">
        <w:rPr>
          <w:sz w:val="28"/>
          <w:szCs w:val="28"/>
        </w:rPr>
        <w:t xml:space="preserve"> porque carece de la exigencia y rigor deliberativos de aquel </w:t>
      </w:r>
      <w:r w:rsidR="00E2050F" w:rsidRPr="00992A2E">
        <w:rPr>
          <w:sz w:val="28"/>
          <w:szCs w:val="28"/>
        </w:rPr>
        <w:t xml:space="preserve">que pueda efectuar </w:t>
      </w:r>
      <w:r w:rsidRPr="00992A2E">
        <w:rPr>
          <w:sz w:val="28"/>
          <w:szCs w:val="28"/>
        </w:rPr>
        <w:t>la Sala Plena. Ello quiere decir que, a pesar de que una demanda supere la fase de admisión, la Sala Plena puede analizar con mayor detenimiento y profundidad los cargos propuestos</w:t>
      </w:r>
      <w:r w:rsidRPr="00992A2E">
        <w:rPr>
          <w:rStyle w:val="Refdenotaalpie"/>
          <w:sz w:val="28"/>
          <w:szCs w:val="28"/>
        </w:rPr>
        <w:footnoteReference w:id="23"/>
      </w:r>
      <w:r w:rsidRPr="00992A2E">
        <w:rPr>
          <w:sz w:val="28"/>
          <w:szCs w:val="28"/>
        </w:rPr>
        <w:t xml:space="preserve">. </w:t>
      </w:r>
    </w:p>
    <w:p w14:paraId="68053593" w14:textId="77777777" w:rsidR="00E2050F" w:rsidRPr="00992A2E" w:rsidRDefault="00E2050F" w:rsidP="001E3603">
      <w:pPr>
        <w:pStyle w:val="Prrafodelista"/>
        <w:rPr>
          <w:sz w:val="28"/>
          <w:szCs w:val="28"/>
        </w:rPr>
      </w:pPr>
    </w:p>
    <w:p w14:paraId="79FC88A7" w14:textId="54079166" w:rsidR="00E2050F" w:rsidRPr="00992A2E" w:rsidRDefault="00E2050F" w:rsidP="001E3603">
      <w:pPr>
        <w:pStyle w:val="Estilo1"/>
        <w:numPr>
          <w:ilvl w:val="0"/>
          <w:numId w:val="1"/>
        </w:numPr>
        <w:tabs>
          <w:tab w:val="left" w:pos="426"/>
        </w:tabs>
        <w:ind w:left="0" w:firstLine="0"/>
        <w:rPr>
          <w:sz w:val="28"/>
          <w:szCs w:val="28"/>
        </w:rPr>
      </w:pPr>
      <w:r w:rsidRPr="00992A2E">
        <w:rPr>
          <w:sz w:val="28"/>
          <w:szCs w:val="28"/>
        </w:rPr>
        <w:lastRenderedPageBreak/>
        <w:t>En reciente pronunciamiento sobre disposiciones demandadas del Código de Comercio, esta Sala señaló:</w:t>
      </w:r>
    </w:p>
    <w:p w14:paraId="68137A55" w14:textId="77777777" w:rsidR="00E2050F" w:rsidRPr="00992A2E" w:rsidRDefault="00E2050F" w:rsidP="00912A66">
      <w:pPr>
        <w:pStyle w:val="Prrafodelista"/>
        <w:tabs>
          <w:tab w:val="left" w:pos="8364"/>
        </w:tabs>
        <w:ind w:right="567"/>
      </w:pPr>
    </w:p>
    <w:p w14:paraId="3EE31C1C" w14:textId="0C2004E3" w:rsidR="00E2050F" w:rsidRPr="00992A2E" w:rsidRDefault="00E2050F" w:rsidP="00912A66">
      <w:pPr>
        <w:pStyle w:val="Estilo1"/>
        <w:tabs>
          <w:tab w:val="left" w:pos="426"/>
          <w:tab w:val="left" w:pos="8364"/>
        </w:tabs>
        <w:ind w:left="284" w:right="567"/>
      </w:pPr>
      <w:r w:rsidRPr="00992A2E">
        <w:t xml:space="preserve">Para la Corte es preciso definir la aptitud del cargo propuesto contra </w:t>
      </w:r>
      <w:r w:rsidRPr="00992A2E">
        <w:rPr>
          <w:bCs/>
        </w:rPr>
        <w:t xml:space="preserve">los artículos </w:t>
      </w:r>
      <w:r w:rsidRPr="00992A2E">
        <w:t xml:space="preserve">2000 y 2497 del Código Civil y 1033 y 1199 del Código de Comercio por violación de los artículos 1, 11, 46 y 49 de la Constitución Política. Lo anterior, teniendo en cuenta que la etapa de admisión </w:t>
      </w:r>
      <w:r w:rsidR="00912A66" w:rsidRPr="00992A2E">
        <w:t>«</w:t>
      </w:r>
      <w:r w:rsidRPr="00992A2E">
        <w:t>no compromete ni limita la competencia de la Sala Plena de la Corte, para analizar la aptitud de la demanda, al conocer el proceso</w:t>
      </w:r>
      <w:r w:rsidR="00912A66" w:rsidRPr="00992A2E">
        <w:rPr>
          <w:i/>
          <w:iCs/>
        </w:rPr>
        <w:t>»</w:t>
      </w:r>
      <w:r w:rsidRPr="00992A2E">
        <w:rPr>
          <w:vertAlign w:val="superscript"/>
        </w:rPr>
        <w:footnoteReference w:id="24"/>
      </w:r>
      <w:r w:rsidRPr="00992A2E">
        <w:t xml:space="preserve"> </w:t>
      </w:r>
    </w:p>
    <w:p w14:paraId="515ACD23" w14:textId="77777777" w:rsidR="00E2050F" w:rsidRPr="00992A2E" w:rsidRDefault="00E2050F" w:rsidP="001E3603">
      <w:pPr>
        <w:pStyle w:val="Estilo1"/>
        <w:tabs>
          <w:tab w:val="left" w:pos="426"/>
        </w:tabs>
        <w:rPr>
          <w:sz w:val="28"/>
          <w:szCs w:val="28"/>
        </w:rPr>
      </w:pPr>
    </w:p>
    <w:p w14:paraId="00627B47" w14:textId="522CA2F5" w:rsidR="00E2050F" w:rsidRPr="00992A2E" w:rsidRDefault="00E2050F" w:rsidP="001E3603">
      <w:pPr>
        <w:pStyle w:val="Estilo1"/>
        <w:tabs>
          <w:tab w:val="left" w:pos="426"/>
        </w:tabs>
        <w:rPr>
          <w:sz w:val="28"/>
          <w:szCs w:val="28"/>
        </w:rPr>
      </w:pPr>
      <w:r w:rsidRPr="00992A2E">
        <w:rPr>
          <w:sz w:val="28"/>
          <w:szCs w:val="28"/>
        </w:rPr>
        <w:t>Adelante se indicó en la misma providencia:</w:t>
      </w:r>
    </w:p>
    <w:p w14:paraId="10B30DB1" w14:textId="77777777" w:rsidR="00E2050F" w:rsidRPr="00992A2E" w:rsidRDefault="00E2050F" w:rsidP="001E3603">
      <w:pPr>
        <w:pStyle w:val="Estilo1"/>
        <w:tabs>
          <w:tab w:val="left" w:pos="426"/>
        </w:tabs>
        <w:rPr>
          <w:sz w:val="28"/>
          <w:szCs w:val="28"/>
        </w:rPr>
      </w:pPr>
    </w:p>
    <w:p w14:paraId="65D145CA" w14:textId="2CEFC5A8" w:rsidR="00E2050F" w:rsidRPr="00992A2E" w:rsidRDefault="00E2050F" w:rsidP="00912A66">
      <w:pPr>
        <w:pStyle w:val="Estilo1"/>
        <w:tabs>
          <w:tab w:val="left" w:pos="426"/>
        </w:tabs>
        <w:ind w:left="284" w:right="567"/>
      </w:pPr>
      <w:r w:rsidRPr="00992A2E">
        <w:t>Esta Corporación conserva, en efecto, la atribución para adelantar en la sentencia, una vez más, el respectivo análisis de procedibilidad. Está habilitada para determinar si hay lugar a decidir de mérito el asunto y en relación con cuáles disposiciones o fragmentos de las normas acusadas. En esta fase, además, la Sala cuenta “con el apoyo de mayores elementos de juicio, puesto que aparte del contenido de la demanda, también dispondrá de la apreciación de los distintos intervinientes y el concepto del Ministerio Público, quienes, de acuerdo con el régimen legal aplicable al proceso de inconstitucionalidad, participan en el debate una vez admitida la demanda</w:t>
      </w:r>
    </w:p>
    <w:p w14:paraId="67B7C886" w14:textId="137E458F" w:rsidR="00901EDC" w:rsidRPr="00992A2E" w:rsidRDefault="00E2050F" w:rsidP="001E3603">
      <w:pPr>
        <w:pStyle w:val="Estilo1"/>
        <w:tabs>
          <w:tab w:val="left" w:pos="426"/>
        </w:tabs>
        <w:rPr>
          <w:sz w:val="28"/>
          <w:szCs w:val="28"/>
        </w:rPr>
      </w:pPr>
      <w:r w:rsidRPr="00992A2E">
        <w:rPr>
          <w:sz w:val="28"/>
          <w:szCs w:val="28"/>
        </w:rPr>
        <w:t xml:space="preserve"> </w:t>
      </w:r>
    </w:p>
    <w:p w14:paraId="10949B18" w14:textId="4200C38E" w:rsidR="00901EDC" w:rsidRPr="00992A2E" w:rsidRDefault="00762D87" w:rsidP="001E3603">
      <w:pPr>
        <w:pStyle w:val="Estilo1"/>
        <w:numPr>
          <w:ilvl w:val="0"/>
          <w:numId w:val="1"/>
        </w:numPr>
        <w:tabs>
          <w:tab w:val="left" w:pos="426"/>
        </w:tabs>
        <w:ind w:left="0" w:firstLine="0"/>
        <w:rPr>
          <w:sz w:val="28"/>
          <w:szCs w:val="28"/>
        </w:rPr>
      </w:pPr>
      <w:r w:rsidRPr="00992A2E">
        <w:rPr>
          <w:sz w:val="28"/>
          <w:szCs w:val="28"/>
        </w:rPr>
        <w:t>E</w:t>
      </w:r>
      <w:r w:rsidR="00901EDC" w:rsidRPr="00992A2E">
        <w:rPr>
          <w:sz w:val="28"/>
          <w:szCs w:val="28"/>
        </w:rPr>
        <w:t xml:space="preserve">n el presente caso, aunque ninguno de los intervinientes aseveró explícitamente que se está ante una demanda inepta, lo cierto es que puede entenderse en forma implícita que así lo planteó la Academia Colombiana de Jurisprudencia, al señalar que los demandantes se habían limitado a interpretar literalmente la norma acusada, sin tomar en consideración el condicionamiento de </w:t>
      </w:r>
      <w:proofErr w:type="spellStart"/>
      <w:r w:rsidR="00901EDC" w:rsidRPr="00992A2E">
        <w:rPr>
          <w:sz w:val="28"/>
          <w:szCs w:val="28"/>
        </w:rPr>
        <w:t>exequibilidad</w:t>
      </w:r>
      <w:proofErr w:type="spellEnd"/>
      <w:r w:rsidR="00901EDC" w:rsidRPr="00992A2E">
        <w:rPr>
          <w:sz w:val="28"/>
          <w:szCs w:val="28"/>
        </w:rPr>
        <w:t xml:space="preserve"> dispuesto por la Corte Constitucional en la Sentencia C-822 de 2005</w:t>
      </w:r>
      <w:r w:rsidR="003A2291" w:rsidRPr="00992A2E">
        <w:rPr>
          <w:sz w:val="28"/>
          <w:szCs w:val="28"/>
        </w:rPr>
        <w:t>. Anotó que dicho pronunciamiento judicial</w:t>
      </w:r>
      <w:r w:rsidR="00901EDC" w:rsidRPr="00992A2E">
        <w:rPr>
          <w:sz w:val="28"/>
          <w:szCs w:val="28"/>
        </w:rPr>
        <w:t xml:space="preserve"> obligaba a los demandantes «</w:t>
      </w:r>
      <w:r w:rsidR="00901EDC" w:rsidRPr="00992A2E">
        <w:rPr>
          <w:sz w:val="26"/>
          <w:szCs w:val="26"/>
        </w:rPr>
        <w:t>a realizar una argumentación que involucrara dicha interpretación, y no la que ellos aisladamente quisieron otorgarle</w:t>
      </w:r>
      <w:r w:rsidR="00901EDC" w:rsidRPr="00992A2E">
        <w:rPr>
          <w:sz w:val="28"/>
          <w:szCs w:val="28"/>
        </w:rPr>
        <w:t>»</w:t>
      </w:r>
      <w:r w:rsidR="00901EDC" w:rsidRPr="00992A2E">
        <w:rPr>
          <w:rStyle w:val="Refdenotaalpie"/>
          <w:sz w:val="28"/>
          <w:szCs w:val="28"/>
        </w:rPr>
        <w:footnoteReference w:id="25"/>
      </w:r>
      <w:r w:rsidR="00901EDC" w:rsidRPr="00992A2E">
        <w:rPr>
          <w:sz w:val="28"/>
          <w:szCs w:val="28"/>
        </w:rPr>
        <w:t xml:space="preserve">. La referida institución también afirmó que los actores </w:t>
      </w:r>
      <w:r w:rsidR="00901EDC" w:rsidRPr="00992A2E">
        <w:rPr>
          <w:sz w:val="26"/>
          <w:szCs w:val="26"/>
        </w:rPr>
        <w:t xml:space="preserve">parten «de una </w:t>
      </w:r>
      <w:proofErr w:type="spellStart"/>
      <w:r w:rsidR="00901EDC" w:rsidRPr="00992A2E">
        <w:rPr>
          <w:sz w:val="26"/>
          <w:szCs w:val="26"/>
        </w:rPr>
        <w:t>interpretación</w:t>
      </w:r>
      <w:proofErr w:type="spellEnd"/>
      <w:r w:rsidR="00901EDC" w:rsidRPr="00992A2E">
        <w:rPr>
          <w:sz w:val="26"/>
          <w:szCs w:val="26"/>
        </w:rPr>
        <w:t xml:space="preserve"> errada de la </w:t>
      </w:r>
      <w:proofErr w:type="spellStart"/>
      <w:r w:rsidR="00901EDC" w:rsidRPr="00992A2E">
        <w:rPr>
          <w:sz w:val="26"/>
          <w:szCs w:val="26"/>
        </w:rPr>
        <w:t>disposición</w:t>
      </w:r>
      <w:proofErr w:type="spellEnd"/>
      <w:r w:rsidR="00901EDC" w:rsidRPr="00992A2E">
        <w:rPr>
          <w:sz w:val="26"/>
          <w:szCs w:val="26"/>
        </w:rPr>
        <w:t xml:space="preserve"> demandada, porque entienden que el registro personal es una actividad correspondiente a la </w:t>
      </w:r>
      <w:proofErr w:type="spellStart"/>
      <w:r w:rsidR="00901EDC" w:rsidRPr="00992A2E">
        <w:rPr>
          <w:sz w:val="26"/>
          <w:szCs w:val="26"/>
        </w:rPr>
        <w:t>Policía</w:t>
      </w:r>
      <w:proofErr w:type="spellEnd"/>
      <w:r w:rsidR="00901EDC" w:rsidRPr="00992A2E">
        <w:rPr>
          <w:sz w:val="26"/>
          <w:szCs w:val="26"/>
        </w:rPr>
        <w:t xml:space="preserve">, sin tomar en cuenta que el </w:t>
      </w:r>
      <w:proofErr w:type="spellStart"/>
      <w:r w:rsidR="00901EDC" w:rsidRPr="00992A2E">
        <w:rPr>
          <w:sz w:val="26"/>
          <w:szCs w:val="26"/>
        </w:rPr>
        <w:t>artículo</w:t>
      </w:r>
      <w:proofErr w:type="spellEnd"/>
      <w:r w:rsidR="00901EDC" w:rsidRPr="00992A2E">
        <w:rPr>
          <w:sz w:val="26"/>
          <w:szCs w:val="26"/>
        </w:rPr>
        <w:t xml:space="preserve"> 248 CPP regula el registro que se desarrolla en el </w:t>
      </w:r>
      <w:proofErr w:type="spellStart"/>
      <w:r w:rsidR="00901EDC" w:rsidRPr="00992A2E">
        <w:rPr>
          <w:sz w:val="26"/>
          <w:szCs w:val="26"/>
        </w:rPr>
        <w:t>ámbito</w:t>
      </w:r>
      <w:proofErr w:type="spellEnd"/>
      <w:r w:rsidR="00901EDC" w:rsidRPr="00992A2E">
        <w:rPr>
          <w:sz w:val="26"/>
          <w:szCs w:val="26"/>
        </w:rPr>
        <w:t xml:space="preserve"> de una </w:t>
      </w:r>
      <w:proofErr w:type="spellStart"/>
      <w:r w:rsidR="00901EDC" w:rsidRPr="00992A2E">
        <w:rPr>
          <w:sz w:val="26"/>
          <w:szCs w:val="26"/>
        </w:rPr>
        <w:t>investigación</w:t>
      </w:r>
      <w:proofErr w:type="spellEnd"/>
      <w:r w:rsidR="00901EDC" w:rsidRPr="00992A2E">
        <w:rPr>
          <w:sz w:val="26"/>
          <w:szCs w:val="26"/>
        </w:rPr>
        <w:t xml:space="preserve"> de </w:t>
      </w:r>
      <w:proofErr w:type="spellStart"/>
      <w:r w:rsidR="00901EDC" w:rsidRPr="00992A2E">
        <w:rPr>
          <w:sz w:val="26"/>
          <w:szCs w:val="26"/>
        </w:rPr>
        <w:t>carácter</w:t>
      </w:r>
      <w:proofErr w:type="spellEnd"/>
      <w:r w:rsidR="00901EDC" w:rsidRPr="00992A2E">
        <w:rPr>
          <w:sz w:val="26"/>
          <w:szCs w:val="26"/>
        </w:rPr>
        <w:t xml:space="preserve"> penal</w:t>
      </w:r>
      <w:r w:rsidR="00901EDC" w:rsidRPr="00992A2E">
        <w:rPr>
          <w:sz w:val="28"/>
          <w:szCs w:val="28"/>
        </w:rPr>
        <w:t>»</w:t>
      </w:r>
      <w:r w:rsidR="00901EDC" w:rsidRPr="00992A2E">
        <w:rPr>
          <w:rStyle w:val="Refdenotaalpie"/>
          <w:sz w:val="28"/>
          <w:szCs w:val="28"/>
        </w:rPr>
        <w:footnoteReference w:id="26"/>
      </w:r>
      <w:r w:rsidR="00901EDC" w:rsidRPr="00992A2E">
        <w:rPr>
          <w:sz w:val="28"/>
          <w:szCs w:val="28"/>
        </w:rPr>
        <w:t xml:space="preserve">. </w:t>
      </w:r>
      <w:r w:rsidR="00901EDC" w:rsidRPr="00992A2E">
        <w:rPr>
          <w:rFonts w:eastAsiaTheme="minorHAnsi"/>
          <w:sz w:val="28"/>
          <w:szCs w:val="28"/>
          <w:lang w:eastAsia="en-US"/>
        </w:rPr>
        <w:t>De lo anterior se evidencia que dicho interviniente plante</w:t>
      </w:r>
      <w:r w:rsidR="00607271" w:rsidRPr="00992A2E">
        <w:rPr>
          <w:rFonts w:eastAsiaTheme="minorHAnsi"/>
          <w:sz w:val="28"/>
          <w:szCs w:val="28"/>
          <w:lang w:eastAsia="en-US"/>
        </w:rPr>
        <w:t>ó</w:t>
      </w:r>
      <w:r w:rsidR="00901EDC" w:rsidRPr="00992A2E">
        <w:rPr>
          <w:rFonts w:eastAsiaTheme="minorHAnsi"/>
          <w:sz w:val="28"/>
          <w:szCs w:val="28"/>
          <w:lang w:eastAsia="en-US"/>
        </w:rPr>
        <w:t xml:space="preserve"> una inquietud sobre la aptitud de la demanda. </w:t>
      </w:r>
    </w:p>
    <w:p w14:paraId="300E961A" w14:textId="77777777" w:rsidR="00901EDC" w:rsidRPr="00992A2E" w:rsidRDefault="00901EDC" w:rsidP="001E3603">
      <w:pPr>
        <w:pStyle w:val="Estilo1"/>
        <w:tabs>
          <w:tab w:val="left" w:pos="426"/>
        </w:tabs>
        <w:rPr>
          <w:sz w:val="28"/>
          <w:szCs w:val="28"/>
        </w:rPr>
      </w:pPr>
    </w:p>
    <w:p w14:paraId="3AA127A1" w14:textId="72BF4844" w:rsidR="00901EDC" w:rsidRPr="00992A2E" w:rsidRDefault="00901EDC" w:rsidP="001E3603">
      <w:pPr>
        <w:pStyle w:val="Estilo1"/>
        <w:numPr>
          <w:ilvl w:val="0"/>
          <w:numId w:val="1"/>
        </w:numPr>
        <w:tabs>
          <w:tab w:val="left" w:pos="426"/>
        </w:tabs>
        <w:ind w:left="0" w:firstLine="0"/>
        <w:rPr>
          <w:sz w:val="28"/>
          <w:szCs w:val="28"/>
        </w:rPr>
      </w:pPr>
      <w:r w:rsidRPr="00992A2E">
        <w:rPr>
          <w:rFonts w:eastAsiaTheme="minorHAnsi"/>
          <w:sz w:val="28"/>
          <w:szCs w:val="28"/>
          <w:lang w:eastAsia="en-US"/>
        </w:rPr>
        <w:t xml:space="preserve">Por otra parte, la Academia Colombiana de Jurisprudencia también advirtió que podría estarse ante el fenómeno de la </w:t>
      </w:r>
      <w:r w:rsidRPr="00992A2E">
        <w:rPr>
          <w:rFonts w:eastAsiaTheme="minorHAnsi"/>
          <w:i/>
          <w:iCs/>
          <w:sz w:val="28"/>
          <w:szCs w:val="28"/>
          <w:lang w:eastAsia="en-US"/>
        </w:rPr>
        <w:t>cosa juzgada constitucional</w:t>
      </w:r>
      <w:r w:rsidRPr="00992A2E">
        <w:rPr>
          <w:rFonts w:eastAsiaTheme="minorHAnsi"/>
          <w:sz w:val="28"/>
          <w:szCs w:val="28"/>
          <w:lang w:eastAsia="en-US"/>
        </w:rPr>
        <w:t xml:space="preserve"> porque en el citado fallo C-822 de 2005, la Corte «</w:t>
      </w:r>
      <w:r w:rsidRPr="00992A2E">
        <w:rPr>
          <w:rFonts w:eastAsiaTheme="minorHAnsi"/>
          <w:sz w:val="26"/>
          <w:szCs w:val="26"/>
          <w:lang w:eastAsia="en-US"/>
        </w:rPr>
        <w:t xml:space="preserve">analizó la </w:t>
      </w:r>
      <w:r w:rsidRPr="00992A2E">
        <w:rPr>
          <w:sz w:val="26"/>
          <w:szCs w:val="26"/>
        </w:rPr>
        <w:t xml:space="preserve">constitucionalidad del acto de </w:t>
      </w:r>
      <w:proofErr w:type="spellStart"/>
      <w:r w:rsidRPr="00992A2E">
        <w:rPr>
          <w:sz w:val="26"/>
          <w:szCs w:val="26"/>
        </w:rPr>
        <w:t>investigación</w:t>
      </w:r>
      <w:proofErr w:type="spellEnd"/>
      <w:r w:rsidRPr="00992A2E">
        <w:rPr>
          <w:sz w:val="26"/>
          <w:szCs w:val="26"/>
        </w:rPr>
        <w:t xml:space="preserve"> de registro corporal a la luz de los derechos fundamentales a la dignidad humana y la intimidad, </w:t>
      </w:r>
      <w:proofErr w:type="spellStart"/>
      <w:r w:rsidRPr="00992A2E">
        <w:rPr>
          <w:sz w:val="26"/>
          <w:szCs w:val="26"/>
        </w:rPr>
        <w:t>señalando</w:t>
      </w:r>
      <w:proofErr w:type="spellEnd"/>
      <w:r w:rsidRPr="00992A2E">
        <w:rPr>
          <w:sz w:val="26"/>
          <w:szCs w:val="26"/>
        </w:rPr>
        <w:t xml:space="preserve"> la Corte concretamente, frente a las </w:t>
      </w:r>
      <w:proofErr w:type="spellStart"/>
      <w:r w:rsidRPr="00992A2E">
        <w:rPr>
          <w:sz w:val="26"/>
          <w:szCs w:val="26"/>
        </w:rPr>
        <w:t>garantías</w:t>
      </w:r>
      <w:proofErr w:type="spellEnd"/>
      <w:r w:rsidRPr="00992A2E">
        <w:rPr>
          <w:sz w:val="26"/>
          <w:szCs w:val="26"/>
        </w:rPr>
        <w:t xml:space="preserve"> a tenerse en cuenta, que la norma ordena: </w:t>
      </w:r>
      <w:r w:rsidRPr="00992A2E">
        <w:rPr>
          <w:i/>
          <w:iCs/>
          <w:sz w:val="26"/>
          <w:szCs w:val="26"/>
        </w:rPr>
        <w:t xml:space="preserve">‘En cuanto a las </w:t>
      </w:r>
      <w:proofErr w:type="spellStart"/>
      <w:r w:rsidRPr="00992A2E">
        <w:rPr>
          <w:i/>
          <w:iCs/>
          <w:sz w:val="26"/>
          <w:szCs w:val="26"/>
        </w:rPr>
        <w:t>garantías</w:t>
      </w:r>
      <w:proofErr w:type="spellEnd"/>
      <w:r w:rsidRPr="00992A2E">
        <w:rPr>
          <w:i/>
          <w:iCs/>
          <w:sz w:val="26"/>
          <w:szCs w:val="26"/>
        </w:rPr>
        <w:t xml:space="preserve">, la </w:t>
      </w:r>
      <w:proofErr w:type="spellStart"/>
      <w:r w:rsidRPr="00992A2E">
        <w:rPr>
          <w:i/>
          <w:iCs/>
          <w:sz w:val="26"/>
          <w:szCs w:val="26"/>
        </w:rPr>
        <w:t>disposición</w:t>
      </w:r>
      <w:proofErr w:type="spellEnd"/>
      <w:r w:rsidRPr="00992A2E">
        <w:rPr>
          <w:i/>
          <w:iCs/>
          <w:sz w:val="26"/>
          <w:szCs w:val="26"/>
        </w:rPr>
        <w:t xml:space="preserve"> bajo estudio exige que quien realice el registro, sea del mismo </w:t>
      </w:r>
      <w:proofErr w:type="spellStart"/>
      <w:r w:rsidRPr="00992A2E">
        <w:rPr>
          <w:b/>
          <w:bCs/>
          <w:i/>
          <w:iCs/>
          <w:sz w:val="26"/>
          <w:szCs w:val="26"/>
        </w:rPr>
        <w:t>género</w:t>
      </w:r>
      <w:proofErr w:type="spellEnd"/>
      <w:r w:rsidRPr="00992A2E">
        <w:rPr>
          <w:b/>
          <w:bCs/>
          <w:i/>
          <w:iCs/>
          <w:sz w:val="26"/>
          <w:szCs w:val="26"/>
        </w:rPr>
        <w:t xml:space="preserve"> </w:t>
      </w:r>
      <w:r w:rsidRPr="00992A2E">
        <w:rPr>
          <w:i/>
          <w:iCs/>
          <w:sz w:val="26"/>
          <w:szCs w:val="26"/>
        </w:rPr>
        <w:t xml:space="preserve">que el afectado con el registro…’ </w:t>
      </w:r>
      <w:r w:rsidRPr="00992A2E">
        <w:rPr>
          <w:sz w:val="26"/>
          <w:szCs w:val="26"/>
        </w:rPr>
        <w:t xml:space="preserve">(negrilla y subrayado fuera de texto). En otras palabras, la Corte desde el </w:t>
      </w:r>
      <w:proofErr w:type="spellStart"/>
      <w:r w:rsidRPr="00992A2E">
        <w:rPr>
          <w:sz w:val="26"/>
          <w:szCs w:val="26"/>
        </w:rPr>
        <w:t>año</w:t>
      </w:r>
      <w:proofErr w:type="spellEnd"/>
      <w:r w:rsidRPr="00992A2E">
        <w:rPr>
          <w:sz w:val="26"/>
          <w:szCs w:val="26"/>
        </w:rPr>
        <w:t xml:space="preserve"> 2005 no entiende la </w:t>
      </w:r>
      <w:proofErr w:type="spellStart"/>
      <w:r w:rsidRPr="00992A2E">
        <w:rPr>
          <w:sz w:val="26"/>
          <w:szCs w:val="26"/>
        </w:rPr>
        <w:t>expresión</w:t>
      </w:r>
      <w:proofErr w:type="spellEnd"/>
      <w:r w:rsidRPr="00992A2E">
        <w:rPr>
          <w:sz w:val="26"/>
          <w:szCs w:val="26"/>
        </w:rPr>
        <w:t xml:space="preserve"> </w:t>
      </w:r>
      <w:r w:rsidRPr="00992A2E">
        <w:rPr>
          <w:i/>
          <w:iCs/>
          <w:sz w:val="26"/>
          <w:szCs w:val="26"/>
        </w:rPr>
        <w:t xml:space="preserve">sexo </w:t>
      </w:r>
      <w:r w:rsidRPr="00992A2E">
        <w:rPr>
          <w:sz w:val="26"/>
          <w:szCs w:val="26"/>
        </w:rPr>
        <w:t xml:space="preserve">en un sentido restringido de </w:t>
      </w:r>
      <w:proofErr w:type="spellStart"/>
      <w:r w:rsidRPr="00992A2E">
        <w:rPr>
          <w:sz w:val="26"/>
          <w:szCs w:val="26"/>
        </w:rPr>
        <w:lastRenderedPageBreak/>
        <w:t>características</w:t>
      </w:r>
      <w:proofErr w:type="spellEnd"/>
      <w:r w:rsidRPr="00992A2E">
        <w:rPr>
          <w:sz w:val="26"/>
          <w:szCs w:val="26"/>
        </w:rPr>
        <w:t xml:space="preserve"> </w:t>
      </w:r>
      <w:proofErr w:type="spellStart"/>
      <w:r w:rsidRPr="00992A2E">
        <w:rPr>
          <w:sz w:val="26"/>
          <w:szCs w:val="26"/>
        </w:rPr>
        <w:t>biológicas</w:t>
      </w:r>
      <w:proofErr w:type="spellEnd"/>
      <w:r w:rsidRPr="00992A2E">
        <w:rPr>
          <w:sz w:val="26"/>
          <w:szCs w:val="26"/>
        </w:rPr>
        <w:t xml:space="preserve"> y </w:t>
      </w:r>
      <w:proofErr w:type="spellStart"/>
      <w:r w:rsidRPr="00992A2E">
        <w:rPr>
          <w:sz w:val="26"/>
          <w:szCs w:val="26"/>
        </w:rPr>
        <w:t>físicas</w:t>
      </w:r>
      <w:proofErr w:type="spellEnd"/>
      <w:r w:rsidRPr="00992A2E">
        <w:rPr>
          <w:sz w:val="26"/>
          <w:szCs w:val="26"/>
        </w:rPr>
        <w:t xml:space="preserve">, sino bajo el concepto amplio del </w:t>
      </w:r>
      <w:proofErr w:type="spellStart"/>
      <w:r w:rsidRPr="00992A2E">
        <w:rPr>
          <w:sz w:val="26"/>
          <w:szCs w:val="26"/>
        </w:rPr>
        <w:t>género</w:t>
      </w:r>
      <w:proofErr w:type="spellEnd"/>
      <w:r w:rsidRPr="00992A2E">
        <w:rPr>
          <w:sz w:val="28"/>
          <w:szCs w:val="28"/>
        </w:rPr>
        <w:t xml:space="preserve">». Al respecto, la Universidad de Antioquia indicó </w:t>
      </w:r>
      <w:r w:rsidR="00607271" w:rsidRPr="00992A2E">
        <w:rPr>
          <w:sz w:val="28"/>
          <w:szCs w:val="28"/>
        </w:rPr>
        <w:t xml:space="preserve">también </w:t>
      </w:r>
      <w:r w:rsidRPr="00992A2E">
        <w:rPr>
          <w:sz w:val="28"/>
          <w:szCs w:val="28"/>
        </w:rPr>
        <w:t xml:space="preserve">que </w:t>
      </w:r>
      <w:r w:rsidRPr="00992A2E">
        <w:rPr>
          <w:sz w:val="26"/>
          <w:szCs w:val="26"/>
        </w:rPr>
        <w:t>«la disposición ya fue objeto de control de constitucionalidad, concluyendo la Honorable Corte en Sentencia C-822-05 de 10 de agosto de 2005</w:t>
      </w:r>
      <w:r w:rsidRPr="00992A2E">
        <w:rPr>
          <w:sz w:val="28"/>
          <w:szCs w:val="28"/>
        </w:rPr>
        <w:t>».</w:t>
      </w:r>
    </w:p>
    <w:p w14:paraId="537A3091" w14:textId="77777777" w:rsidR="00901EDC" w:rsidRPr="00992A2E" w:rsidRDefault="00901EDC" w:rsidP="001E3603">
      <w:pPr>
        <w:pStyle w:val="Estilo1"/>
        <w:tabs>
          <w:tab w:val="left" w:pos="426"/>
        </w:tabs>
        <w:rPr>
          <w:b/>
          <w:bCs/>
          <w:sz w:val="28"/>
          <w:szCs w:val="28"/>
        </w:rPr>
      </w:pPr>
    </w:p>
    <w:p w14:paraId="11A605CB" w14:textId="066E2F26" w:rsidR="00901EDC" w:rsidRPr="00992A2E" w:rsidRDefault="00901EDC" w:rsidP="001E3603">
      <w:pPr>
        <w:pStyle w:val="Estilo1"/>
        <w:numPr>
          <w:ilvl w:val="0"/>
          <w:numId w:val="1"/>
        </w:numPr>
        <w:tabs>
          <w:tab w:val="left" w:pos="426"/>
        </w:tabs>
        <w:ind w:left="0" w:firstLine="0"/>
        <w:rPr>
          <w:b/>
          <w:bCs/>
          <w:sz w:val="28"/>
          <w:szCs w:val="28"/>
        </w:rPr>
      </w:pPr>
      <w:r w:rsidRPr="00992A2E">
        <w:rPr>
          <w:sz w:val="28"/>
          <w:szCs w:val="28"/>
          <w:lang w:val="es-ES"/>
        </w:rPr>
        <w:t xml:space="preserve">En consecuencia, </w:t>
      </w:r>
      <w:r w:rsidRPr="00992A2E">
        <w:rPr>
          <w:sz w:val="28"/>
          <w:szCs w:val="28"/>
        </w:rPr>
        <w:t xml:space="preserve">dado que se genera una duda sobre la </w:t>
      </w:r>
      <w:r w:rsidR="00607271" w:rsidRPr="00992A2E">
        <w:rPr>
          <w:sz w:val="28"/>
          <w:szCs w:val="28"/>
        </w:rPr>
        <w:t>condición argumentativa</w:t>
      </w:r>
      <w:r w:rsidRPr="00992A2E">
        <w:rPr>
          <w:sz w:val="28"/>
          <w:szCs w:val="28"/>
        </w:rPr>
        <w:t xml:space="preserve"> del cargo que fue admitido</w:t>
      </w:r>
      <w:r w:rsidRPr="00992A2E">
        <w:rPr>
          <w:rStyle w:val="Refdenotaalpie"/>
          <w:sz w:val="28"/>
          <w:szCs w:val="28"/>
        </w:rPr>
        <w:footnoteReference w:id="27"/>
      </w:r>
      <w:r w:rsidRPr="00992A2E">
        <w:rPr>
          <w:sz w:val="28"/>
          <w:szCs w:val="28"/>
        </w:rPr>
        <w:t>, ello impide que, sin un previo análisis sobre el particular, se aborde un estudio de fondo de la demanda.</w:t>
      </w:r>
      <w:r w:rsidRPr="00992A2E">
        <w:rPr>
          <w:b/>
          <w:bCs/>
          <w:sz w:val="28"/>
          <w:szCs w:val="28"/>
        </w:rPr>
        <w:t xml:space="preserve"> </w:t>
      </w:r>
      <w:r w:rsidRPr="00992A2E">
        <w:rPr>
          <w:sz w:val="28"/>
          <w:szCs w:val="28"/>
        </w:rPr>
        <w:t xml:space="preserve">Por tanto, </w:t>
      </w:r>
      <w:r w:rsidRPr="00992A2E">
        <w:rPr>
          <w:sz w:val="28"/>
          <w:szCs w:val="28"/>
          <w:lang w:val="es-ES"/>
        </w:rPr>
        <w:t>la Sala Plena</w:t>
      </w:r>
      <w:r w:rsidRPr="00992A2E">
        <w:rPr>
          <w:rStyle w:val="apple-converted-space"/>
          <w:sz w:val="28"/>
          <w:szCs w:val="28"/>
          <w:lang w:val="es-ES"/>
        </w:rPr>
        <w:t xml:space="preserve"> </w:t>
      </w:r>
      <w:r w:rsidRPr="00992A2E">
        <w:rPr>
          <w:sz w:val="28"/>
          <w:szCs w:val="28"/>
        </w:rPr>
        <w:t xml:space="preserve">procederá a señalar cuáles son los parámetros o condiciones de aptitud de la demanda de inconstitucionalidad </w:t>
      </w:r>
      <w:r w:rsidRPr="00992A2E">
        <w:rPr>
          <w:sz w:val="28"/>
          <w:szCs w:val="28"/>
          <w:lang w:val="es-ES"/>
        </w:rPr>
        <w:t xml:space="preserve">y, luego, analizará si en el presente asunto se satisfacen dichos presupuestos. De superarse tal condición, se procederá a verificar si existe cosa juzgada constitucional y, en caso </w:t>
      </w:r>
      <w:r w:rsidR="00A66E84" w:rsidRPr="00992A2E">
        <w:rPr>
          <w:sz w:val="28"/>
          <w:szCs w:val="28"/>
          <w:lang w:val="es-ES"/>
        </w:rPr>
        <w:t xml:space="preserve">de </w:t>
      </w:r>
      <w:r w:rsidRPr="00992A2E">
        <w:rPr>
          <w:sz w:val="28"/>
          <w:szCs w:val="28"/>
          <w:lang w:val="es-ES"/>
        </w:rPr>
        <w:t xml:space="preserve">que </w:t>
      </w:r>
      <w:r w:rsidR="00607271" w:rsidRPr="00992A2E">
        <w:rPr>
          <w:sz w:val="28"/>
          <w:szCs w:val="28"/>
          <w:lang w:val="es-ES"/>
        </w:rPr>
        <w:t>no ocurra esta</w:t>
      </w:r>
      <w:r w:rsidRPr="00992A2E">
        <w:rPr>
          <w:sz w:val="28"/>
          <w:szCs w:val="28"/>
          <w:lang w:val="es-ES"/>
        </w:rPr>
        <w:t xml:space="preserve">, se definirá el problema jurídico y, finalmente se </w:t>
      </w:r>
      <w:r w:rsidR="003A2291" w:rsidRPr="00992A2E">
        <w:rPr>
          <w:sz w:val="28"/>
          <w:szCs w:val="28"/>
          <w:lang w:val="es-ES"/>
        </w:rPr>
        <w:t xml:space="preserve">señalará </w:t>
      </w:r>
      <w:r w:rsidRPr="00992A2E">
        <w:rPr>
          <w:sz w:val="28"/>
          <w:szCs w:val="28"/>
          <w:lang w:val="es-ES"/>
        </w:rPr>
        <w:t>y aplicará la metodología para resolver materialmente el caso.</w:t>
      </w:r>
    </w:p>
    <w:p w14:paraId="0496E087" w14:textId="77777777" w:rsidR="00912A66" w:rsidRPr="00992A2E" w:rsidRDefault="00912A66" w:rsidP="001E3603">
      <w:pPr>
        <w:pStyle w:val="Prrafodelista"/>
        <w:ind w:left="0"/>
        <w:rPr>
          <w:b/>
          <w:bCs/>
          <w:sz w:val="28"/>
          <w:szCs w:val="28"/>
        </w:rPr>
      </w:pPr>
    </w:p>
    <w:p w14:paraId="07AC94A9" w14:textId="77777777" w:rsidR="00901EDC" w:rsidRPr="00992A2E" w:rsidRDefault="00901EDC" w:rsidP="001E3603">
      <w:pPr>
        <w:pStyle w:val="Estilo1"/>
        <w:tabs>
          <w:tab w:val="left" w:pos="426"/>
        </w:tabs>
        <w:rPr>
          <w:b/>
          <w:bCs/>
          <w:sz w:val="28"/>
          <w:szCs w:val="28"/>
        </w:rPr>
      </w:pPr>
      <w:r w:rsidRPr="00992A2E">
        <w:rPr>
          <w:b/>
          <w:bCs/>
          <w:sz w:val="28"/>
          <w:szCs w:val="28"/>
        </w:rPr>
        <w:t xml:space="preserve">Condiciones para la aptitud sustantiva de la demanda </w:t>
      </w:r>
    </w:p>
    <w:p w14:paraId="02CFC5A1" w14:textId="77777777" w:rsidR="00901EDC" w:rsidRPr="00992A2E" w:rsidRDefault="00901EDC" w:rsidP="001E3603">
      <w:pPr>
        <w:pStyle w:val="Prrafodelista"/>
        <w:ind w:left="0"/>
        <w:rPr>
          <w:sz w:val="28"/>
          <w:szCs w:val="28"/>
        </w:rPr>
      </w:pPr>
    </w:p>
    <w:p w14:paraId="77DD67BC" w14:textId="3B03BBC1" w:rsidR="00901EDC" w:rsidRPr="00992A2E" w:rsidRDefault="00901EDC" w:rsidP="001E3603">
      <w:pPr>
        <w:pStyle w:val="Estilo1"/>
        <w:numPr>
          <w:ilvl w:val="0"/>
          <w:numId w:val="1"/>
        </w:numPr>
        <w:tabs>
          <w:tab w:val="left" w:pos="426"/>
        </w:tabs>
        <w:ind w:left="0" w:firstLine="0"/>
        <w:rPr>
          <w:b/>
          <w:bCs/>
          <w:sz w:val="28"/>
          <w:szCs w:val="28"/>
        </w:rPr>
      </w:pPr>
      <w:r w:rsidRPr="00992A2E">
        <w:rPr>
          <w:sz w:val="28"/>
          <w:szCs w:val="28"/>
        </w:rPr>
        <w:t>Según el</w:t>
      </w:r>
      <w:r w:rsidRPr="00992A2E">
        <w:rPr>
          <w:sz w:val="28"/>
          <w:szCs w:val="28"/>
          <w:lang w:val="es-ES"/>
        </w:rPr>
        <w:t xml:space="preserve"> artículo</w:t>
      </w:r>
      <w:r w:rsidRPr="00992A2E">
        <w:rPr>
          <w:rStyle w:val="apple-converted-space"/>
          <w:sz w:val="28"/>
          <w:szCs w:val="28"/>
        </w:rPr>
        <w:t xml:space="preserve"> 40.6 </w:t>
      </w:r>
      <w:r w:rsidRPr="00992A2E">
        <w:rPr>
          <w:sz w:val="28"/>
          <w:szCs w:val="28"/>
          <w:lang w:val="es-ES"/>
        </w:rPr>
        <w:t>CP, todo ciudadano tiene derecho a participar en la conformación, ejercicio y control del poder político, pudiendo instaurar acciones públicas en defensa de la Constitución. Se trata de un mecanismo de</w:t>
      </w:r>
      <w:r w:rsidRPr="00992A2E">
        <w:rPr>
          <w:rStyle w:val="apple-converted-space"/>
          <w:sz w:val="28"/>
          <w:szCs w:val="28"/>
        </w:rPr>
        <w:t xml:space="preserve"> </w:t>
      </w:r>
      <w:r w:rsidRPr="00992A2E">
        <w:rPr>
          <w:sz w:val="28"/>
          <w:szCs w:val="28"/>
        </w:rPr>
        <w:t>naturaleza</w:t>
      </w:r>
      <w:r w:rsidRPr="00992A2E">
        <w:rPr>
          <w:sz w:val="28"/>
          <w:szCs w:val="28"/>
          <w:lang w:val="es-ES"/>
        </w:rPr>
        <w:t xml:space="preserve"> pública, esto es, abierto a todos los ciudadanos, lo que por tanto</w:t>
      </w:r>
      <w:r w:rsidRPr="00992A2E">
        <w:rPr>
          <w:rStyle w:val="apple-converted-space"/>
          <w:sz w:val="28"/>
          <w:szCs w:val="28"/>
        </w:rPr>
        <w:t xml:space="preserve"> marca su carácter </w:t>
      </w:r>
      <w:r w:rsidRPr="00992A2E">
        <w:rPr>
          <w:sz w:val="28"/>
          <w:szCs w:val="28"/>
          <w:lang w:val="es-ES"/>
        </w:rPr>
        <w:t>informal</w:t>
      </w:r>
      <w:r w:rsidR="0000250B" w:rsidRPr="00992A2E">
        <w:rPr>
          <w:rStyle w:val="Refdenotaalpie"/>
          <w:sz w:val="28"/>
          <w:szCs w:val="28"/>
          <w:lang w:val="es-ES"/>
        </w:rPr>
        <w:footnoteReference w:id="28"/>
      </w:r>
      <w:r w:rsidRPr="00992A2E">
        <w:rPr>
          <w:sz w:val="28"/>
          <w:szCs w:val="28"/>
          <w:lang w:val="es-ES"/>
        </w:rPr>
        <w:t xml:space="preserve">. </w:t>
      </w:r>
    </w:p>
    <w:p w14:paraId="03E184A0" w14:textId="77777777" w:rsidR="00901EDC" w:rsidRPr="00992A2E" w:rsidRDefault="00901EDC" w:rsidP="001E3603">
      <w:pPr>
        <w:pStyle w:val="Estilo1"/>
        <w:tabs>
          <w:tab w:val="left" w:pos="426"/>
        </w:tabs>
        <w:rPr>
          <w:b/>
          <w:bCs/>
          <w:sz w:val="28"/>
          <w:szCs w:val="28"/>
        </w:rPr>
      </w:pPr>
    </w:p>
    <w:p w14:paraId="7DA992C3" w14:textId="77777777" w:rsidR="00901EDC" w:rsidRPr="00992A2E" w:rsidRDefault="00901EDC" w:rsidP="001E3603">
      <w:pPr>
        <w:pStyle w:val="Estilo1"/>
        <w:numPr>
          <w:ilvl w:val="0"/>
          <w:numId w:val="1"/>
        </w:numPr>
        <w:tabs>
          <w:tab w:val="left" w:pos="426"/>
        </w:tabs>
        <w:ind w:left="0" w:firstLine="0"/>
        <w:rPr>
          <w:b/>
          <w:bCs/>
          <w:sz w:val="28"/>
          <w:szCs w:val="28"/>
        </w:rPr>
      </w:pPr>
      <w:r w:rsidRPr="00992A2E">
        <w:rPr>
          <w:sz w:val="28"/>
          <w:szCs w:val="28"/>
          <w:lang w:val="es-ES"/>
        </w:rPr>
        <w:t xml:space="preserve">Lo anterior no implica que no sean exigibles unos requisitos mínimos para su adecuado ejercicio, por lo que </w:t>
      </w:r>
      <w:r w:rsidRPr="00992A2E">
        <w:rPr>
          <w:sz w:val="28"/>
          <w:szCs w:val="28"/>
          <w:shd w:val="clear" w:color="auto" w:fill="FFFFFF"/>
        </w:rPr>
        <w:t>el Decreto 2067 de 1991, por medio del cual se establece el régimen procedimental de los juicios y actuaciones que deben surtirse ante la Corte Constitucional</w:t>
      </w:r>
      <w:r w:rsidRPr="00992A2E">
        <w:rPr>
          <w:bCs/>
          <w:sz w:val="28"/>
          <w:szCs w:val="28"/>
          <w:lang w:eastAsia="es-ES"/>
        </w:rPr>
        <w:t xml:space="preserve">, prevé en su  artículo 2º que toda demanda de inconstitucionalidad debe contener: </w:t>
      </w:r>
      <w:r w:rsidRPr="00992A2E">
        <w:rPr>
          <w:bCs/>
          <w:i/>
          <w:iCs/>
          <w:sz w:val="28"/>
          <w:szCs w:val="28"/>
          <w:lang w:eastAsia="es-ES"/>
        </w:rPr>
        <w:t xml:space="preserve">(i) </w:t>
      </w:r>
      <w:r w:rsidRPr="00992A2E">
        <w:rPr>
          <w:bCs/>
          <w:sz w:val="28"/>
          <w:szCs w:val="28"/>
          <w:lang w:eastAsia="es-ES"/>
        </w:rPr>
        <w:t xml:space="preserve">el señalamiento de las disposiciones de la Constitución que se consideran infringidas; </w:t>
      </w:r>
      <w:r w:rsidRPr="00992A2E">
        <w:rPr>
          <w:bCs/>
          <w:i/>
          <w:iCs/>
          <w:sz w:val="28"/>
          <w:szCs w:val="28"/>
          <w:lang w:eastAsia="es-ES"/>
        </w:rPr>
        <w:t>(</w:t>
      </w:r>
      <w:proofErr w:type="spellStart"/>
      <w:r w:rsidRPr="00992A2E">
        <w:rPr>
          <w:bCs/>
          <w:i/>
          <w:iCs/>
          <w:sz w:val="28"/>
          <w:szCs w:val="28"/>
          <w:lang w:eastAsia="es-ES"/>
        </w:rPr>
        <w:t>ii</w:t>
      </w:r>
      <w:proofErr w:type="spellEnd"/>
      <w:r w:rsidRPr="00992A2E">
        <w:rPr>
          <w:bCs/>
          <w:i/>
          <w:iCs/>
          <w:sz w:val="28"/>
          <w:szCs w:val="28"/>
          <w:lang w:eastAsia="es-ES"/>
        </w:rPr>
        <w:t>)</w:t>
      </w:r>
      <w:r w:rsidRPr="00992A2E">
        <w:rPr>
          <w:bCs/>
          <w:sz w:val="28"/>
          <w:szCs w:val="28"/>
          <w:lang w:eastAsia="es-ES"/>
        </w:rPr>
        <w:t xml:space="preserve"> la indicación de las normas demandadas; </w:t>
      </w:r>
      <w:r w:rsidRPr="00992A2E">
        <w:rPr>
          <w:bCs/>
          <w:i/>
          <w:iCs/>
          <w:sz w:val="28"/>
          <w:szCs w:val="28"/>
          <w:lang w:eastAsia="es-ES"/>
        </w:rPr>
        <w:t>(</w:t>
      </w:r>
      <w:proofErr w:type="spellStart"/>
      <w:r w:rsidRPr="00992A2E">
        <w:rPr>
          <w:bCs/>
          <w:i/>
          <w:iCs/>
          <w:sz w:val="28"/>
          <w:szCs w:val="28"/>
          <w:lang w:eastAsia="es-ES"/>
        </w:rPr>
        <w:t>iii</w:t>
      </w:r>
      <w:proofErr w:type="spellEnd"/>
      <w:r w:rsidRPr="00992A2E">
        <w:rPr>
          <w:bCs/>
          <w:i/>
          <w:iCs/>
          <w:sz w:val="28"/>
          <w:szCs w:val="28"/>
          <w:lang w:eastAsia="es-ES"/>
        </w:rPr>
        <w:t>)</w:t>
      </w:r>
      <w:r w:rsidRPr="00992A2E">
        <w:rPr>
          <w:bCs/>
          <w:sz w:val="28"/>
          <w:szCs w:val="28"/>
          <w:lang w:eastAsia="es-ES"/>
        </w:rPr>
        <w:t xml:space="preserve"> la exposición de los argumentos por los cuales las normas atacadas son contrarias a la Constitución (concepto de la violación); y (</w:t>
      </w:r>
      <w:proofErr w:type="spellStart"/>
      <w:r w:rsidRPr="00992A2E">
        <w:rPr>
          <w:bCs/>
          <w:sz w:val="28"/>
          <w:szCs w:val="28"/>
          <w:lang w:eastAsia="es-ES"/>
        </w:rPr>
        <w:t>iv</w:t>
      </w:r>
      <w:proofErr w:type="spellEnd"/>
      <w:r w:rsidRPr="00992A2E">
        <w:rPr>
          <w:bCs/>
          <w:sz w:val="28"/>
          <w:szCs w:val="28"/>
          <w:lang w:eastAsia="es-ES"/>
        </w:rPr>
        <w:t xml:space="preserve">) la razón por la cual la Corte Constitucional es competente para conocer de la demanda. </w:t>
      </w:r>
    </w:p>
    <w:p w14:paraId="6D703C39" w14:textId="77777777" w:rsidR="00901EDC" w:rsidRPr="00992A2E" w:rsidRDefault="00901EDC" w:rsidP="001E3603">
      <w:pPr>
        <w:pStyle w:val="Prrafodelista"/>
        <w:ind w:left="0"/>
        <w:rPr>
          <w:bCs/>
          <w:sz w:val="28"/>
          <w:szCs w:val="28"/>
          <w:lang w:val="es-ES_tradnl" w:eastAsia="es-ES"/>
        </w:rPr>
      </w:pPr>
    </w:p>
    <w:p w14:paraId="05C33A71" w14:textId="78DC5A05" w:rsidR="00901EDC" w:rsidRPr="00992A2E" w:rsidRDefault="00901EDC" w:rsidP="001E3603">
      <w:pPr>
        <w:pStyle w:val="Cuadrculamedia1-nfasis21"/>
        <w:numPr>
          <w:ilvl w:val="0"/>
          <w:numId w:val="1"/>
        </w:numPr>
        <w:spacing w:after="0" w:line="240" w:lineRule="auto"/>
        <w:ind w:left="0" w:firstLine="0"/>
        <w:jc w:val="both"/>
        <w:rPr>
          <w:rFonts w:ascii="Times New Roman" w:hAnsi="Times New Roman"/>
          <w:bCs/>
          <w:sz w:val="28"/>
          <w:szCs w:val="28"/>
          <w:lang w:val="es-ES_tradnl" w:eastAsia="es-ES"/>
        </w:rPr>
      </w:pPr>
      <w:r w:rsidRPr="00992A2E">
        <w:rPr>
          <w:rFonts w:ascii="Times New Roman" w:hAnsi="Times New Roman"/>
          <w:bCs/>
          <w:sz w:val="28"/>
          <w:szCs w:val="28"/>
          <w:lang w:val="es-ES_tradnl" w:eastAsia="es-ES"/>
        </w:rPr>
        <w:t xml:space="preserve">Específicamente sobre el tercer requisito, esto es, el </w:t>
      </w:r>
      <w:r w:rsidRPr="00992A2E">
        <w:rPr>
          <w:rFonts w:ascii="Times New Roman" w:hAnsi="Times New Roman"/>
          <w:bCs/>
          <w:i/>
          <w:iCs/>
          <w:sz w:val="28"/>
          <w:szCs w:val="28"/>
          <w:lang w:val="es-ES_tradnl" w:eastAsia="es-ES"/>
        </w:rPr>
        <w:t>concepto de violación</w:t>
      </w:r>
      <w:r w:rsidRPr="00992A2E">
        <w:rPr>
          <w:rFonts w:ascii="Times New Roman" w:hAnsi="Times New Roman"/>
          <w:bCs/>
          <w:sz w:val="28"/>
          <w:szCs w:val="28"/>
          <w:lang w:val="es-ES_tradnl" w:eastAsia="es-ES"/>
        </w:rPr>
        <w:t xml:space="preserve">, la jurisprudencia constitucional ha establecido que los reparos deben ser </w:t>
      </w:r>
      <w:r w:rsidRPr="00992A2E">
        <w:rPr>
          <w:rFonts w:ascii="Times New Roman" w:hAnsi="Times New Roman"/>
          <w:bCs/>
          <w:i/>
          <w:iCs/>
          <w:sz w:val="28"/>
          <w:szCs w:val="28"/>
          <w:lang w:val="es-ES_tradnl" w:eastAsia="es-ES"/>
        </w:rPr>
        <w:t>(i) claros</w:t>
      </w:r>
      <w:r w:rsidRPr="00992A2E">
        <w:rPr>
          <w:rFonts w:ascii="Times New Roman" w:hAnsi="Times New Roman"/>
          <w:bCs/>
          <w:sz w:val="28"/>
          <w:szCs w:val="28"/>
          <w:lang w:val="es-ES_tradnl" w:eastAsia="es-ES"/>
        </w:rPr>
        <w:t xml:space="preserve">, esto es, que sigan una estructura lógica que permita comprender el contenido del reproche y las justificaciones que lo sustentan; </w:t>
      </w:r>
      <w:r w:rsidRPr="00992A2E">
        <w:rPr>
          <w:rFonts w:ascii="Times New Roman" w:hAnsi="Times New Roman"/>
          <w:bCs/>
          <w:i/>
          <w:iCs/>
          <w:sz w:val="28"/>
          <w:szCs w:val="28"/>
          <w:lang w:val="es-ES_tradnl" w:eastAsia="es-ES"/>
        </w:rPr>
        <w:t>(</w:t>
      </w:r>
      <w:proofErr w:type="spellStart"/>
      <w:r w:rsidRPr="00992A2E">
        <w:rPr>
          <w:rFonts w:ascii="Times New Roman" w:hAnsi="Times New Roman"/>
          <w:bCs/>
          <w:i/>
          <w:iCs/>
          <w:sz w:val="28"/>
          <w:szCs w:val="28"/>
          <w:lang w:val="es-ES_tradnl" w:eastAsia="es-ES"/>
        </w:rPr>
        <w:t>ii</w:t>
      </w:r>
      <w:proofErr w:type="spellEnd"/>
      <w:r w:rsidRPr="00992A2E">
        <w:rPr>
          <w:rFonts w:ascii="Times New Roman" w:hAnsi="Times New Roman"/>
          <w:bCs/>
          <w:i/>
          <w:iCs/>
          <w:sz w:val="28"/>
          <w:szCs w:val="28"/>
          <w:lang w:val="es-ES_tradnl" w:eastAsia="es-ES"/>
        </w:rPr>
        <w:t>) ciertos</w:t>
      </w:r>
      <w:r w:rsidRPr="00992A2E">
        <w:rPr>
          <w:rFonts w:ascii="Times New Roman" w:hAnsi="Times New Roman"/>
          <w:bCs/>
          <w:sz w:val="28"/>
          <w:szCs w:val="28"/>
          <w:lang w:val="es-ES_tradnl" w:eastAsia="es-ES"/>
        </w:rPr>
        <w:t>, en el sentido de que versen sobre una proposición jurídica real y existente. Es decir que, los argumentos deben permitir captar en qué sentido existe una violación a la constitución, de manera entendible y lógica</w:t>
      </w:r>
      <w:r w:rsidRPr="00992A2E">
        <w:rPr>
          <w:rStyle w:val="Refdenotaalpie"/>
          <w:rFonts w:ascii="Times New Roman" w:hAnsi="Times New Roman"/>
          <w:bCs/>
          <w:lang w:val="es-ES_tradnl"/>
        </w:rPr>
        <w:footnoteReference w:id="29"/>
      </w:r>
      <w:r w:rsidRPr="00992A2E">
        <w:rPr>
          <w:rFonts w:ascii="Times New Roman" w:hAnsi="Times New Roman"/>
          <w:bCs/>
          <w:sz w:val="28"/>
          <w:szCs w:val="28"/>
          <w:lang w:val="es-ES_tradnl" w:eastAsia="es-ES"/>
        </w:rPr>
        <w:t xml:space="preserve">; </w:t>
      </w:r>
      <w:r w:rsidRPr="00992A2E">
        <w:rPr>
          <w:rFonts w:ascii="Times New Roman" w:hAnsi="Times New Roman"/>
          <w:bCs/>
          <w:i/>
          <w:iCs/>
          <w:sz w:val="28"/>
          <w:szCs w:val="28"/>
          <w:lang w:val="es-ES_tradnl" w:eastAsia="es-ES"/>
        </w:rPr>
        <w:t>(</w:t>
      </w:r>
      <w:proofErr w:type="spellStart"/>
      <w:r w:rsidRPr="00992A2E">
        <w:rPr>
          <w:rFonts w:ascii="Times New Roman" w:hAnsi="Times New Roman"/>
          <w:bCs/>
          <w:i/>
          <w:iCs/>
          <w:sz w:val="28"/>
          <w:szCs w:val="28"/>
          <w:lang w:val="es-ES_tradnl" w:eastAsia="es-ES"/>
        </w:rPr>
        <w:t>iii</w:t>
      </w:r>
      <w:proofErr w:type="spellEnd"/>
      <w:r w:rsidRPr="00992A2E">
        <w:rPr>
          <w:rFonts w:ascii="Times New Roman" w:hAnsi="Times New Roman"/>
          <w:bCs/>
          <w:i/>
          <w:iCs/>
          <w:sz w:val="28"/>
          <w:szCs w:val="28"/>
          <w:lang w:val="es-ES_tradnl" w:eastAsia="es-ES"/>
        </w:rPr>
        <w:t>) específicos</w:t>
      </w:r>
      <w:r w:rsidRPr="00992A2E">
        <w:rPr>
          <w:rFonts w:ascii="Times New Roman" w:hAnsi="Times New Roman"/>
          <w:bCs/>
          <w:sz w:val="28"/>
          <w:szCs w:val="28"/>
          <w:lang w:val="es-ES_tradnl" w:eastAsia="es-ES"/>
        </w:rPr>
        <w:t>, en tanto, expongan de forma objetiva y verificable la contradicción entre el precepto acusado y el texto superior, siendo inadmisibles los argumentos vagos, indeterminados y abstractos</w:t>
      </w:r>
      <w:r w:rsidR="00607271" w:rsidRPr="00992A2E">
        <w:rPr>
          <w:rFonts w:ascii="Times New Roman" w:hAnsi="Times New Roman"/>
          <w:bCs/>
          <w:i/>
          <w:iCs/>
          <w:sz w:val="28"/>
          <w:szCs w:val="28"/>
          <w:lang w:val="es-ES_tradnl" w:eastAsia="es-ES"/>
        </w:rPr>
        <w:t xml:space="preserve">, </w:t>
      </w:r>
      <w:r w:rsidRPr="00992A2E">
        <w:rPr>
          <w:rFonts w:ascii="Times New Roman" w:hAnsi="Times New Roman"/>
          <w:bCs/>
          <w:sz w:val="28"/>
          <w:szCs w:val="28"/>
          <w:lang w:val="es-ES_tradnl" w:eastAsia="es-ES"/>
        </w:rPr>
        <w:t>ya que la censura debe ser concr</w:t>
      </w:r>
      <w:r w:rsidR="00607271" w:rsidRPr="00992A2E">
        <w:rPr>
          <w:rFonts w:ascii="Times New Roman" w:hAnsi="Times New Roman"/>
          <w:bCs/>
          <w:sz w:val="28"/>
          <w:szCs w:val="28"/>
          <w:lang w:val="es-ES_tradnl" w:eastAsia="es-ES"/>
        </w:rPr>
        <w:t>e</w:t>
      </w:r>
      <w:r w:rsidRPr="00992A2E">
        <w:rPr>
          <w:rFonts w:ascii="Times New Roman" w:hAnsi="Times New Roman"/>
          <w:bCs/>
          <w:sz w:val="28"/>
          <w:szCs w:val="28"/>
          <w:lang w:val="es-ES_tradnl" w:eastAsia="es-ES"/>
        </w:rPr>
        <w:t xml:space="preserve">ta en demostrar </w:t>
      </w:r>
      <w:r w:rsidRPr="00992A2E">
        <w:rPr>
          <w:rFonts w:ascii="Times New Roman" w:hAnsi="Times New Roman"/>
          <w:bCs/>
          <w:sz w:val="28"/>
          <w:szCs w:val="28"/>
          <w:lang w:val="es-ES_tradnl" w:eastAsia="es-ES"/>
        </w:rPr>
        <w:lastRenderedPageBreak/>
        <w:t>por qué el enunciado normativo reporta un problema de validez constitucional y la manera en que esas consecuencias son atribuibles</w:t>
      </w:r>
      <w:r w:rsidR="00607271" w:rsidRPr="00992A2E">
        <w:rPr>
          <w:rFonts w:ascii="Times New Roman" w:hAnsi="Times New Roman"/>
          <w:bCs/>
          <w:sz w:val="28"/>
          <w:szCs w:val="28"/>
          <w:lang w:val="es-ES_tradnl" w:eastAsia="es-ES"/>
        </w:rPr>
        <w:t xml:space="preserve">; </w:t>
      </w:r>
      <w:r w:rsidRPr="00992A2E">
        <w:rPr>
          <w:rFonts w:ascii="Times New Roman" w:hAnsi="Times New Roman"/>
          <w:bCs/>
          <w:i/>
          <w:iCs/>
          <w:sz w:val="28"/>
          <w:szCs w:val="28"/>
          <w:lang w:val="es-ES_tradnl" w:eastAsia="es-ES"/>
        </w:rPr>
        <w:t>(</w:t>
      </w:r>
      <w:proofErr w:type="spellStart"/>
      <w:r w:rsidRPr="00992A2E">
        <w:rPr>
          <w:rFonts w:ascii="Times New Roman" w:hAnsi="Times New Roman"/>
          <w:bCs/>
          <w:i/>
          <w:iCs/>
          <w:sz w:val="28"/>
          <w:szCs w:val="28"/>
          <w:lang w:val="es-ES_tradnl" w:eastAsia="es-ES"/>
        </w:rPr>
        <w:t>iv</w:t>
      </w:r>
      <w:proofErr w:type="spellEnd"/>
      <w:r w:rsidRPr="00992A2E">
        <w:rPr>
          <w:rFonts w:ascii="Times New Roman" w:hAnsi="Times New Roman"/>
          <w:bCs/>
          <w:i/>
          <w:iCs/>
          <w:sz w:val="28"/>
          <w:szCs w:val="28"/>
          <w:lang w:val="es-ES_tradnl" w:eastAsia="es-ES"/>
        </w:rPr>
        <w:t>) pertinentes</w:t>
      </w:r>
      <w:r w:rsidRPr="00992A2E">
        <w:rPr>
          <w:rFonts w:ascii="Times New Roman" w:hAnsi="Times New Roman"/>
          <w:bCs/>
          <w:sz w:val="28"/>
          <w:szCs w:val="28"/>
          <w:lang w:val="es-ES_tradnl" w:eastAsia="es-ES"/>
        </w:rPr>
        <w:t xml:space="preserve">, es decir, de naturaleza constitucional (no legal, subjetiva o doctrinaria). El cargo tampoco será pertinente si se basa en una situación hipotética; y </w:t>
      </w:r>
      <w:r w:rsidRPr="00992A2E">
        <w:rPr>
          <w:rFonts w:ascii="Times New Roman" w:hAnsi="Times New Roman"/>
          <w:bCs/>
          <w:i/>
          <w:iCs/>
          <w:sz w:val="28"/>
          <w:szCs w:val="28"/>
          <w:lang w:val="es-ES_tradnl" w:eastAsia="es-ES"/>
        </w:rPr>
        <w:t>(v) suficientes</w:t>
      </w:r>
      <w:r w:rsidRPr="00992A2E">
        <w:rPr>
          <w:rFonts w:ascii="Times New Roman" w:hAnsi="Times New Roman"/>
          <w:bCs/>
          <w:sz w:val="28"/>
          <w:szCs w:val="28"/>
          <w:lang w:val="es-ES_tradnl" w:eastAsia="es-ES"/>
        </w:rPr>
        <w:t>, de manera que presenten los elementos de juicio necesarios para generar duda sobre la constitucionalidad de la norma acusada. El cargo debe proporcionar razones, por lo menos básicas, que logren poner en entredicho la presunción de constitucionalidad de las leyes, derivada del principio democrático</w:t>
      </w:r>
      <w:r w:rsidRPr="00992A2E">
        <w:rPr>
          <w:rStyle w:val="Refdenotaalpie"/>
          <w:rFonts w:ascii="Times New Roman" w:hAnsi="Times New Roman"/>
          <w:bCs/>
          <w:lang w:val="es-ES_tradnl"/>
        </w:rPr>
        <w:footnoteReference w:id="30"/>
      </w:r>
      <w:r w:rsidRPr="00992A2E">
        <w:rPr>
          <w:rFonts w:ascii="Times New Roman" w:hAnsi="Times New Roman"/>
          <w:bCs/>
          <w:sz w:val="28"/>
          <w:szCs w:val="28"/>
          <w:lang w:val="es-ES_tradnl" w:eastAsia="es-ES"/>
        </w:rPr>
        <w:t xml:space="preserve">. </w:t>
      </w:r>
    </w:p>
    <w:p w14:paraId="2DA5AB89" w14:textId="77777777" w:rsidR="00901EDC" w:rsidRPr="00992A2E" w:rsidRDefault="00901EDC" w:rsidP="001E3603">
      <w:pPr>
        <w:pStyle w:val="Prrafodelista"/>
        <w:ind w:left="0"/>
        <w:rPr>
          <w:bCs/>
          <w:sz w:val="28"/>
          <w:szCs w:val="28"/>
          <w:lang w:val="es-ES_tradnl" w:eastAsia="es-ES"/>
        </w:rPr>
      </w:pPr>
    </w:p>
    <w:p w14:paraId="47B2803C" w14:textId="333D58C6" w:rsidR="00901EDC" w:rsidRPr="00992A2E" w:rsidRDefault="00901EDC" w:rsidP="001E3603">
      <w:pPr>
        <w:pStyle w:val="Cuadrculamedia1-nfasis21"/>
        <w:numPr>
          <w:ilvl w:val="0"/>
          <w:numId w:val="1"/>
        </w:numPr>
        <w:tabs>
          <w:tab w:val="left" w:pos="90"/>
        </w:tabs>
        <w:spacing w:after="0" w:line="240" w:lineRule="auto"/>
        <w:ind w:left="0" w:firstLine="0"/>
        <w:jc w:val="both"/>
        <w:rPr>
          <w:rFonts w:ascii="Times New Roman" w:hAnsi="Times New Roman"/>
          <w:bCs/>
          <w:sz w:val="28"/>
          <w:szCs w:val="28"/>
          <w:lang w:val="es-ES_tradnl" w:eastAsia="es-ES"/>
        </w:rPr>
      </w:pPr>
      <w:r w:rsidRPr="00992A2E">
        <w:rPr>
          <w:rFonts w:ascii="Times New Roman" w:hAnsi="Times New Roman"/>
          <w:bCs/>
          <w:sz w:val="28"/>
          <w:szCs w:val="28"/>
          <w:lang w:val="es-ES_tradnl" w:eastAsia="es-ES"/>
        </w:rPr>
        <w:t>Dichas condiciones del «concepto de violación» son exigencias que tienen como propósito encuadrar en una necesaria racionalidad la controversia que se pretende plantear y aunque, como antes se señaló, la acción de inconstitucionalidad es pública y no está sometida a formalidades especiales,</w:t>
      </w:r>
      <w:r w:rsidRPr="00992A2E">
        <w:rPr>
          <w:rFonts w:ascii="Times New Roman" w:hAnsi="Times New Roman"/>
          <w:bCs/>
          <w:lang w:val="es-ES_tradnl" w:eastAsia="es-ES"/>
        </w:rPr>
        <w:t xml:space="preserve"> </w:t>
      </w:r>
      <w:r w:rsidRPr="00992A2E">
        <w:rPr>
          <w:rFonts w:ascii="Times New Roman" w:hAnsi="Times New Roman"/>
          <w:bCs/>
          <w:sz w:val="26"/>
          <w:szCs w:val="26"/>
          <w:lang w:val="es-ES_tradnl" w:eastAsia="es-ES"/>
        </w:rPr>
        <w:t>«quien la ejerce sí debe asumir una carga procesal mínima que le permita al órgano de control no solo activar su competencia, sino también</w:t>
      </w:r>
      <w:r w:rsidRPr="00992A2E">
        <w:rPr>
          <w:rFonts w:ascii="Times New Roman" w:hAnsi="Times New Roman"/>
          <w:sz w:val="26"/>
          <w:szCs w:val="26"/>
        </w:rPr>
        <w:t xml:space="preserve">, </w:t>
      </w:r>
      <w:r w:rsidRPr="00992A2E">
        <w:rPr>
          <w:rFonts w:ascii="Times New Roman" w:hAnsi="Times New Roman"/>
          <w:bCs/>
          <w:sz w:val="26"/>
          <w:szCs w:val="26"/>
          <w:lang w:val="es-ES_tradnl" w:eastAsia="es-ES"/>
        </w:rPr>
        <w:t>adelantar con diligencia la función que en ese campo le ha sido asignada»</w:t>
      </w:r>
      <w:r w:rsidRPr="00992A2E">
        <w:rPr>
          <w:rFonts w:ascii="Times New Roman" w:hAnsi="Times New Roman"/>
          <w:bCs/>
          <w:vertAlign w:val="superscript"/>
          <w:lang w:val="es-ES_tradnl" w:eastAsia="es-ES"/>
        </w:rPr>
        <w:footnoteReference w:id="31"/>
      </w:r>
      <w:r w:rsidRPr="00992A2E">
        <w:rPr>
          <w:rFonts w:ascii="Times New Roman" w:hAnsi="Times New Roman"/>
          <w:bCs/>
          <w:sz w:val="28"/>
          <w:szCs w:val="28"/>
          <w:lang w:val="es-ES_tradnl" w:eastAsia="es-ES"/>
        </w:rPr>
        <w:t xml:space="preserve">. De lo contrario, el debate puede desviarse a aspectos que no corresponden a la naturaleza del juicio de constitucionalidad, bien porque suponen una valoración sobre la conveniencia u oportunidad, recaen sobre normas inexistentes porque derivan de apreciaciones meramente subjetivas o imaginarias sobre el alcance y contenido de las normas, o se plantean argumentos imprecisos, vagos o confusos que pueden afectar, diluir o distorsionar el debate jurídico. </w:t>
      </w:r>
    </w:p>
    <w:p w14:paraId="25EE52FE" w14:textId="77777777" w:rsidR="00901EDC" w:rsidRPr="00992A2E" w:rsidRDefault="00901EDC" w:rsidP="001E3603">
      <w:pPr>
        <w:pStyle w:val="Prrafodelista"/>
        <w:ind w:left="0"/>
        <w:rPr>
          <w:bCs/>
          <w:sz w:val="28"/>
          <w:szCs w:val="28"/>
          <w:lang w:val="es-ES_tradnl" w:eastAsia="es-ES"/>
        </w:rPr>
      </w:pPr>
    </w:p>
    <w:p w14:paraId="42F2A1E8" w14:textId="3E675AD6" w:rsidR="00901EDC" w:rsidRPr="00992A2E" w:rsidRDefault="00901EDC" w:rsidP="001E3603">
      <w:pPr>
        <w:pStyle w:val="Cuadrculamedia1-nfasis21"/>
        <w:numPr>
          <w:ilvl w:val="0"/>
          <w:numId w:val="1"/>
        </w:numPr>
        <w:tabs>
          <w:tab w:val="left" w:pos="90"/>
        </w:tabs>
        <w:spacing w:after="0" w:line="240" w:lineRule="auto"/>
        <w:ind w:left="0" w:firstLine="0"/>
        <w:jc w:val="both"/>
        <w:rPr>
          <w:rFonts w:ascii="Times New Roman" w:hAnsi="Times New Roman"/>
          <w:bCs/>
          <w:sz w:val="28"/>
          <w:szCs w:val="28"/>
          <w:lang w:val="es-ES_tradnl" w:eastAsia="es-ES"/>
        </w:rPr>
      </w:pPr>
      <w:r w:rsidRPr="00992A2E">
        <w:rPr>
          <w:rFonts w:ascii="Times New Roman" w:hAnsi="Times New Roman"/>
          <w:bCs/>
          <w:sz w:val="28"/>
          <w:szCs w:val="28"/>
          <w:lang w:val="es-ES_tradnl" w:eastAsia="es-ES"/>
        </w:rPr>
        <w:t xml:space="preserve">Se considera que la carga material de exponer las acusaciones bajo las mencionadas </w:t>
      </w:r>
      <w:proofErr w:type="gramStart"/>
      <w:r w:rsidRPr="00992A2E">
        <w:rPr>
          <w:rFonts w:ascii="Times New Roman" w:hAnsi="Times New Roman"/>
          <w:bCs/>
          <w:sz w:val="28"/>
          <w:szCs w:val="28"/>
          <w:lang w:val="es-ES_tradnl" w:eastAsia="es-ES"/>
        </w:rPr>
        <w:t>condiciones,</w:t>
      </w:r>
      <w:proofErr w:type="gramEnd"/>
      <w:r w:rsidRPr="00992A2E">
        <w:rPr>
          <w:rFonts w:ascii="Times New Roman" w:hAnsi="Times New Roman"/>
          <w:bCs/>
          <w:sz w:val="28"/>
          <w:szCs w:val="28"/>
          <w:lang w:val="es-ES_tradnl" w:eastAsia="es-ES"/>
        </w:rPr>
        <w:t xml:space="preserve"> se justifica en que el ejercicio del derecho político que comporta la acción pública de inconstitucionalidad implica también, como todo derecho, unas cargas o responsabilidades. Sobre todo si se tiene en cuenta que el uso de este poderoso instrumento, que de muy vieja data ha sido reconocido a los ciudadanos colombianos para la defensa de la supremacía de la Carta</w:t>
      </w:r>
      <w:r w:rsidRPr="00992A2E">
        <w:rPr>
          <w:rStyle w:val="Refdenotaalpie"/>
          <w:rFonts w:ascii="Times New Roman" w:hAnsi="Times New Roman"/>
          <w:bCs/>
          <w:sz w:val="28"/>
          <w:szCs w:val="28"/>
          <w:lang w:val="es-ES_tradnl" w:eastAsia="es-ES"/>
        </w:rPr>
        <w:footnoteReference w:id="32"/>
      </w:r>
      <w:r w:rsidRPr="00992A2E">
        <w:rPr>
          <w:rFonts w:ascii="Times New Roman" w:hAnsi="Times New Roman"/>
          <w:bCs/>
          <w:sz w:val="28"/>
          <w:szCs w:val="28"/>
          <w:lang w:val="es-ES_tradnl" w:eastAsia="es-ES"/>
        </w:rPr>
        <w:t xml:space="preserve">, se dirige a poner en tela de juicio la labor del legislador ordinario o extraordinario, o incluso del constituyente, con el fin de lograr un pronunciamiento definitivo, con fuerza de cosa juzgada y con efectos </w:t>
      </w:r>
      <w:r w:rsidRPr="00992A2E">
        <w:rPr>
          <w:rFonts w:ascii="Times New Roman" w:hAnsi="Times New Roman"/>
          <w:bCs/>
          <w:i/>
          <w:iCs/>
          <w:sz w:val="28"/>
          <w:szCs w:val="28"/>
          <w:lang w:val="es-ES_tradnl" w:eastAsia="es-ES"/>
        </w:rPr>
        <w:t>erga omnes</w:t>
      </w:r>
      <w:r w:rsidRPr="00992A2E">
        <w:rPr>
          <w:rFonts w:ascii="Times New Roman" w:hAnsi="Times New Roman"/>
          <w:bCs/>
          <w:sz w:val="28"/>
          <w:szCs w:val="28"/>
          <w:lang w:val="es-ES_tradnl" w:eastAsia="es-ES"/>
        </w:rPr>
        <w:t>, es decir, que el ejercicio de ese derecho político involucra o impacta el principio de representación democrática.</w:t>
      </w:r>
      <w:r w:rsidR="00152C61" w:rsidRPr="00992A2E">
        <w:rPr>
          <w:rFonts w:ascii="Times New Roman" w:hAnsi="Times New Roman"/>
          <w:bCs/>
          <w:sz w:val="28"/>
          <w:szCs w:val="28"/>
          <w:lang w:val="es-ES_tradnl" w:eastAsia="es-ES"/>
        </w:rPr>
        <w:t xml:space="preserve"> Además, </w:t>
      </w:r>
      <w:r w:rsidR="00C354BC" w:rsidRPr="00992A2E">
        <w:rPr>
          <w:rFonts w:ascii="Times New Roman" w:hAnsi="Times New Roman"/>
          <w:bCs/>
          <w:sz w:val="28"/>
          <w:szCs w:val="28"/>
          <w:lang w:val="es-ES_tradnl" w:eastAsia="es-ES"/>
        </w:rPr>
        <w:t>desde otra perspectiva</w:t>
      </w:r>
      <w:r w:rsidR="00152C61" w:rsidRPr="00992A2E">
        <w:rPr>
          <w:rFonts w:ascii="Times New Roman" w:hAnsi="Times New Roman"/>
          <w:bCs/>
          <w:sz w:val="28"/>
          <w:szCs w:val="28"/>
          <w:lang w:val="es-ES_tradnl" w:eastAsia="es-ES"/>
        </w:rPr>
        <w:t>, dichas exigencias</w:t>
      </w:r>
      <w:r w:rsidR="00CC6A05" w:rsidRPr="00992A2E">
        <w:rPr>
          <w:rFonts w:ascii="Times New Roman" w:hAnsi="Times New Roman"/>
          <w:sz w:val="28"/>
          <w:szCs w:val="28"/>
          <w:shd w:val="clear" w:color="auto" w:fill="FFFFFF"/>
        </w:rPr>
        <w:t xml:space="preserve"> </w:t>
      </w:r>
      <w:r w:rsidR="00152C61" w:rsidRPr="00992A2E">
        <w:rPr>
          <w:rFonts w:ascii="Times New Roman" w:hAnsi="Times New Roman"/>
          <w:sz w:val="28"/>
          <w:szCs w:val="28"/>
          <w:shd w:val="clear" w:color="auto" w:fill="FFFFFF"/>
        </w:rPr>
        <w:t xml:space="preserve">también buscan garantizar un escenario en el que la demanda </w:t>
      </w:r>
      <w:r w:rsidR="00C354BC" w:rsidRPr="00992A2E">
        <w:rPr>
          <w:rFonts w:ascii="Times New Roman" w:hAnsi="Times New Roman"/>
          <w:sz w:val="28"/>
          <w:szCs w:val="28"/>
          <w:shd w:val="clear" w:color="auto" w:fill="FFFFFF"/>
        </w:rPr>
        <w:t>“</w:t>
      </w:r>
      <w:r w:rsidR="00152C61" w:rsidRPr="00992A2E">
        <w:rPr>
          <w:rFonts w:ascii="Times New Roman" w:hAnsi="Times New Roman"/>
          <w:sz w:val="26"/>
          <w:szCs w:val="26"/>
          <w:shd w:val="clear" w:color="auto" w:fill="FFFFFF"/>
        </w:rPr>
        <w:t>permita orientar la participación y el debate ciudadano</w:t>
      </w:r>
      <w:r w:rsidR="00C354BC" w:rsidRPr="00992A2E">
        <w:rPr>
          <w:rFonts w:ascii="Times New Roman" w:hAnsi="Times New Roman"/>
          <w:sz w:val="26"/>
          <w:szCs w:val="26"/>
          <w:shd w:val="clear" w:color="auto" w:fill="FFFFFF"/>
        </w:rPr>
        <w:t>”</w:t>
      </w:r>
      <w:r w:rsidR="00C354BC" w:rsidRPr="00992A2E">
        <w:rPr>
          <w:rStyle w:val="Refdenotaalpie"/>
          <w:rFonts w:ascii="Times New Roman" w:hAnsi="Times New Roman"/>
          <w:sz w:val="28"/>
          <w:szCs w:val="28"/>
          <w:shd w:val="clear" w:color="auto" w:fill="FFFFFF"/>
        </w:rPr>
        <w:footnoteReference w:id="33"/>
      </w:r>
      <w:r w:rsidR="00152C61" w:rsidRPr="00992A2E">
        <w:rPr>
          <w:rFonts w:ascii="Times New Roman" w:hAnsi="Times New Roman"/>
          <w:sz w:val="28"/>
          <w:szCs w:val="28"/>
          <w:shd w:val="clear" w:color="auto" w:fill="FFFFFF"/>
        </w:rPr>
        <w:t>.</w:t>
      </w:r>
      <w:r w:rsidR="00C354BC" w:rsidRPr="00992A2E">
        <w:rPr>
          <w:rFonts w:ascii="Times New Roman" w:hAnsi="Times New Roman"/>
          <w:bCs/>
          <w:sz w:val="28"/>
          <w:szCs w:val="28"/>
          <w:lang w:val="es-ES_tradnl" w:eastAsia="es-ES"/>
        </w:rPr>
        <w:t xml:space="preserve"> </w:t>
      </w:r>
    </w:p>
    <w:p w14:paraId="713A0DA1" w14:textId="77777777" w:rsidR="00901EDC" w:rsidRPr="00992A2E" w:rsidRDefault="00901EDC" w:rsidP="001E3603">
      <w:pPr>
        <w:pStyle w:val="Prrafodelista"/>
        <w:ind w:left="0"/>
        <w:rPr>
          <w:sz w:val="28"/>
          <w:szCs w:val="28"/>
          <w:shd w:val="clear" w:color="auto" w:fill="FFFFFF"/>
        </w:rPr>
      </w:pPr>
    </w:p>
    <w:p w14:paraId="56E88B50" w14:textId="53837381" w:rsidR="003B4EC7" w:rsidRPr="00992A2E" w:rsidRDefault="00901EDC" w:rsidP="001E3603">
      <w:pPr>
        <w:pStyle w:val="Cuadrculamedia1-nfasis21"/>
        <w:numPr>
          <w:ilvl w:val="0"/>
          <w:numId w:val="1"/>
        </w:numPr>
        <w:tabs>
          <w:tab w:val="left" w:pos="90"/>
        </w:tabs>
        <w:spacing w:after="0" w:line="240" w:lineRule="auto"/>
        <w:ind w:left="0" w:firstLine="0"/>
        <w:jc w:val="both"/>
        <w:rPr>
          <w:rFonts w:ascii="Times New Roman" w:hAnsi="Times New Roman"/>
          <w:bCs/>
          <w:sz w:val="28"/>
          <w:szCs w:val="28"/>
          <w:lang w:val="es-ES_tradnl" w:eastAsia="es-ES"/>
        </w:rPr>
      </w:pPr>
      <w:r w:rsidRPr="00992A2E">
        <w:rPr>
          <w:rFonts w:ascii="Times New Roman" w:hAnsi="Times New Roman"/>
          <w:bCs/>
          <w:sz w:val="28"/>
          <w:szCs w:val="28"/>
          <w:lang w:val="es-ES_tradnl" w:eastAsia="es-ES"/>
        </w:rPr>
        <w:t xml:space="preserve">Ahora bien, el análisis que de tales presupuestos haga este tribunal, debe realizarse conforme al principio </w:t>
      </w:r>
      <w:r w:rsidRPr="00992A2E">
        <w:rPr>
          <w:rFonts w:ascii="Times New Roman" w:hAnsi="Times New Roman"/>
          <w:bCs/>
          <w:i/>
          <w:iCs/>
          <w:sz w:val="28"/>
          <w:szCs w:val="28"/>
          <w:lang w:val="es-ES_tradnl" w:eastAsia="es-ES"/>
        </w:rPr>
        <w:t xml:space="preserve">pro </w:t>
      </w:r>
      <w:proofErr w:type="spellStart"/>
      <w:r w:rsidRPr="00992A2E">
        <w:rPr>
          <w:rFonts w:ascii="Times New Roman" w:hAnsi="Times New Roman"/>
          <w:bCs/>
          <w:i/>
          <w:iCs/>
          <w:sz w:val="28"/>
          <w:szCs w:val="28"/>
          <w:lang w:val="es-ES_tradnl" w:eastAsia="es-ES"/>
        </w:rPr>
        <w:t>actione</w:t>
      </w:r>
      <w:proofErr w:type="spellEnd"/>
      <w:r w:rsidRPr="00992A2E">
        <w:rPr>
          <w:rFonts w:ascii="Times New Roman" w:hAnsi="Times New Roman"/>
          <w:bCs/>
          <w:i/>
          <w:iCs/>
          <w:sz w:val="28"/>
          <w:szCs w:val="28"/>
          <w:lang w:val="es-ES_tradnl" w:eastAsia="es-ES"/>
        </w:rPr>
        <w:t xml:space="preserve">, </w:t>
      </w:r>
      <w:r w:rsidRPr="00992A2E">
        <w:rPr>
          <w:rFonts w:ascii="Times New Roman" w:hAnsi="Times New Roman"/>
          <w:bCs/>
          <w:sz w:val="28"/>
          <w:szCs w:val="28"/>
          <w:lang w:val="es-ES_tradnl" w:eastAsia="es-ES"/>
        </w:rPr>
        <w:t xml:space="preserve">esto es, bajo un entendimiento que no anule el derecho político a ejercer la acción pública de inconstitucionalidad. No obstante, la utilización de este no habilita a esta corporación </w:t>
      </w:r>
      <w:r w:rsidRPr="00992A2E">
        <w:rPr>
          <w:rFonts w:ascii="Times New Roman" w:hAnsi="Times New Roman"/>
          <w:bCs/>
          <w:sz w:val="26"/>
          <w:szCs w:val="26"/>
          <w:lang w:val="es-ES_tradnl" w:eastAsia="es-ES"/>
        </w:rPr>
        <w:t>«para corregir o aclarar equívocos, aspectos confusos o ambigüedades que surjan de las demandas»</w:t>
      </w:r>
      <w:r w:rsidRPr="00992A2E">
        <w:rPr>
          <w:rStyle w:val="Refdenotaalpie"/>
          <w:rFonts w:ascii="Times New Roman" w:hAnsi="Times New Roman"/>
          <w:bCs/>
          <w:sz w:val="28"/>
          <w:szCs w:val="28"/>
          <w:lang w:val="es-ES_tradnl" w:eastAsia="es-ES"/>
        </w:rPr>
        <w:footnoteReference w:id="34"/>
      </w:r>
      <w:r w:rsidRPr="00992A2E">
        <w:rPr>
          <w:rFonts w:ascii="Times New Roman" w:hAnsi="Times New Roman"/>
          <w:bCs/>
          <w:sz w:val="28"/>
          <w:szCs w:val="28"/>
          <w:lang w:val="es-ES_tradnl" w:eastAsia="es-ES"/>
        </w:rPr>
        <w:t xml:space="preserve">. </w:t>
      </w:r>
      <w:r w:rsidRPr="00992A2E">
        <w:rPr>
          <w:rFonts w:ascii="Times New Roman" w:hAnsi="Times New Roman"/>
          <w:bCs/>
          <w:sz w:val="28"/>
          <w:szCs w:val="28"/>
          <w:lang w:val="es-ES_tradnl" w:eastAsia="es-ES"/>
        </w:rPr>
        <w:lastRenderedPageBreak/>
        <w:t xml:space="preserve">En ese sentido, no es posible para esta Corte asumir el papel de los accionantes en la formulación de los cargos ni determinar por sí misma el concepto de la violación. </w:t>
      </w:r>
      <w:r w:rsidR="00CC6A05" w:rsidRPr="00992A2E">
        <w:rPr>
          <w:rFonts w:ascii="Times New Roman" w:hAnsi="Times New Roman"/>
          <w:bCs/>
          <w:sz w:val="28"/>
          <w:szCs w:val="28"/>
          <w:lang w:val="es-ES_tradnl" w:eastAsia="es-ES"/>
        </w:rPr>
        <w:t>Al respecto</w:t>
      </w:r>
      <w:r w:rsidR="003B4EC7" w:rsidRPr="00992A2E">
        <w:rPr>
          <w:rFonts w:ascii="Times New Roman" w:hAnsi="Times New Roman"/>
          <w:bCs/>
          <w:sz w:val="28"/>
          <w:szCs w:val="28"/>
          <w:lang w:val="es-ES_tradnl" w:eastAsia="es-ES"/>
        </w:rPr>
        <w:t xml:space="preserve">, </w:t>
      </w:r>
      <w:r w:rsidR="003B4EC7" w:rsidRPr="00992A2E">
        <w:rPr>
          <w:rFonts w:ascii="Times New Roman" w:eastAsia="Times New Roman" w:hAnsi="Times New Roman"/>
          <w:sz w:val="28"/>
          <w:szCs w:val="28"/>
          <w:lang w:eastAsia="es-MX"/>
        </w:rPr>
        <w:t xml:space="preserve">la jurisprudencia ha dicho que </w:t>
      </w:r>
      <w:r w:rsidR="003B4EC7" w:rsidRPr="00992A2E">
        <w:rPr>
          <w:rFonts w:ascii="Times New Roman" w:eastAsia="Times New Roman" w:hAnsi="Times New Roman"/>
          <w:sz w:val="28"/>
          <w:szCs w:val="28"/>
          <w:shd w:val="clear" w:color="auto" w:fill="FFFFFF"/>
          <w:lang w:eastAsia="es-MX"/>
        </w:rPr>
        <w:t xml:space="preserve">está fuera </w:t>
      </w:r>
      <w:r w:rsidR="00B05885" w:rsidRPr="00992A2E">
        <w:rPr>
          <w:rFonts w:ascii="Times New Roman" w:eastAsia="Times New Roman" w:hAnsi="Times New Roman"/>
          <w:sz w:val="28"/>
          <w:szCs w:val="28"/>
          <w:shd w:val="clear" w:color="auto" w:fill="FFFFFF"/>
          <w:lang w:eastAsia="es-MX"/>
        </w:rPr>
        <w:t>del ámbito de las atribuciones</w:t>
      </w:r>
      <w:r w:rsidR="003B4EC7" w:rsidRPr="00992A2E">
        <w:rPr>
          <w:rFonts w:ascii="Times New Roman" w:eastAsia="Times New Roman" w:hAnsi="Times New Roman"/>
          <w:sz w:val="28"/>
          <w:szCs w:val="28"/>
          <w:shd w:val="clear" w:color="auto" w:fill="FFFFFF"/>
          <w:lang w:eastAsia="es-MX"/>
        </w:rPr>
        <w:t xml:space="preserve"> de esta corporación transformar o reconducir lo argüido por el demandante </w:t>
      </w:r>
      <w:r w:rsidR="003B4EC7" w:rsidRPr="00992A2E">
        <w:rPr>
          <w:rFonts w:ascii="Times New Roman" w:eastAsia="Times New Roman" w:hAnsi="Times New Roman"/>
          <w:sz w:val="26"/>
          <w:szCs w:val="26"/>
          <w:shd w:val="clear" w:color="auto" w:fill="FFFFFF"/>
          <w:lang w:eastAsia="es-MX"/>
        </w:rPr>
        <w:t>“hasta lograr estructurar un cargo dotado de la suficiente idoneidad para provocar un pronunciamiento de fondo”</w:t>
      </w:r>
      <w:r w:rsidR="003B4EC7" w:rsidRPr="00992A2E">
        <w:rPr>
          <w:rStyle w:val="Refdenotaalpie"/>
          <w:rFonts w:ascii="Times New Roman" w:eastAsia="Times New Roman" w:hAnsi="Times New Roman"/>
          <w:sz w:val="28"/>
          <w:szCs w:val="28"/>
          <w:shd w:val="clear" w:color="auto" w:fill="FFFFFF"/>
          <w:lang w:eastAsia="es-MX"/>
        </w:rPr>
        <w:footnoteReference w:id="35"/>
      </w:r>
      <w:r w:rsidR="003B4EC7" w:rsidRPr="00992A2E">
        <w:rPr>
          <w:rFonts w:ascii="Times New Roman" w:eastAsia="Times New Roman" w:hAnsi="Times New Roman"/>
          <w:sz w:val="28"/>
          <w:szCs w:val="28"/>
          <w:shd w:val="clear" w:color="auto" w:fill="FFFFFF"/>
          <w:lang w:eastAsia="es-MX"/>
        </w:rPr>
        <w:t>.</w:t>
      </w:r>
      <w:r w:rsidR="00B05885" w:rsidRPr="00992A2E">
        <w:rPr>
          <w:sz w:val="28"/>
          <w:szCs w:val="28"/>
          <w:shd w:val="clear" w:color="auto" w:fill="FFFFFF"/>
        </w:rPr>
        <w:t xml:space="preserve"> </w:t>
      </w:r>
    </w:p>
    <w:p w14:paraId="7018470B" w14:textId="77777777" w:rsidR="00901EDC" w:rsidRPr="00992A2E" w:rsidRDefault="00901EDC" w:rsidP="001E3603">
      <w:pPr>
        <w:pStyle w:val="Cuadrculamedia1-nfasis21"/>
        <w:spacing w:after="0" w:line="240" w:lineRule="auto"/>
        <w:ind w:left="0"/>
        <w:jc w:val="both"/>
        <w:rPr>
          <w:rFonts w:ascii="Times New Roman" w:hAnsi="Times New Roman"/>
          <w:bCs/>
          <w:sz w:val="28"/>
          <w:szCs w:val="28"/>
          <w:lang w:val="es-ES_tradnl" w:eastAsia="es-ES"/>
        </w:rPr>
      </w:pPr>
    </w:p>
    <w:p w14:paraId="6E6A5672" w14:textId="77777777" w:rsidR="00901EDC" w:rsidRPr="00992A2E" w:rsidRDefault="00901EDC" w:rsidP="001E3603">
      <w:pPr>
        <w:pStyle w:val="Cuadrculamedia1-nfasis21"/>
        <w:numPr>
          <w:ilvl w:val="0"/>
          <w:numId w:val="1"/>
        </w:numPr>
        <w:spacing w:after="0" w:line="240" w:lineRule="auto"/>
        <w:ind w:left="0" w:firstLine="0"/>
        <w:jc w:val="both"/>
        <w:rPr>
          <w:rFonts w:ascii="Times New Roman" w:hAnsi="Times New Roman"/>
          <w:bCs/>
          <w:sz w:val="28"/>
          <w:szCs w:val="28"/>
          <w:lang w:val="es-ES_tradnl" w:eastAsia="es-ES"/>
        </w:rPr>
      </w:pPr>
      <w:r w:rsidRPr="00992A2E">
        <w:rPr>
          <w:rFonts w:ascii="Times New Roman" w:eastAsia="Times New Roman" w:hAnsi="Times New Roman"/>
          <w:sz w:val="28"/>
          <w:szCs w:val="28"/>
          <w:shd w:val="clear" w:color="auto" w:fill="FFFFFF"/>
          <w:lang w:eastAsia="es-MX"/>
        </w:rPr>
        <w:t xml:space="preserve">En efecto, al evaluar la idoneidad de los cargos de inconstitucionalidad es necesario tomar en consideración que a la Corte Constitucional le corresponde la guarda de la integridad y supremacía de la Constitución, </w:t>
      </w:r>
      <w:r w:rsidRPr="00992A2E">
        <w:rPr>
          <w:rFonts w:ascii="Times New Roman" w:eastAsia="Times New Roman" w:hAnsi="Times New Roman"/>
          <w:sz w:val="26"/>
          <w:szCs w:val="26"/>
          <w:shd w:val="clear" w:color="auto" w:fill="FFFFFF"/>
          <w:lang w:eastAsia="es-MX"/>
        </w:rPr>
        <w:t>«en los estrictos y precisos términos»</w:t>
      </w:r>
      <w:r w:rsidRPr="00992A2E">
        <w:rPr>
          <w:rFonts w:ascii="Times New Roman" w:eastAsia="Times New Roman" w:hAnsi="Times New Roman"/>
          <w:sz w:val="28"/>
          <w:szCs w:val="28"/>
          <w:shd w:val="clear" w:color="auto" w:fill="FFFFFF"/>
          <w:lang w:eastAsia="es-MX"/>
        </w:rPr>
        <w:t xml:space="preserve"> del artículo 241 CP y, según este precepto, la corporación debe decidir sobre las demandas ciudadanas (numerales 1, 4 y 5 </w:t>
      </w:r>
      <w:r w:rsidRPr="00992A2E">
        <w:rPr>
          <w:rFonts w:ascii="Times New Roman" w:eastAsia="Times New Roman" w:hAnsi="Times New Roman"/>
          <w:i/>
          <w:iCs/>
          <w:sz w:val="28"/>
          <w:szCs w:val="28"/>
          <w:shd w:val="clear" w:color="auto" w:fill="FFFFFF"/>
          <w:lang w:eastAsia="es-MX"/>
        </w:rPr>
        <w:t>ibidem</w:t>
      </w:r>
      <w:r w:rsidRPr="00992A2E">
        <w:rPr>
          <w:rFonts w:ascii="Times New Roman" w:eastAsia="Times New Roman" w:hAnsi="Times New Roman"/>
          <w:sz w:val="28"/>
          <w:szCs w:val="28"/>
          <w:shd w:val="clear" w:color="auto" w:fill="FFFFFF"/>
          <w:lang w:eastAsia="es-MX"/>
        </w:rPr>
        <w:t>), lo que quiere decir que, en el caso de las acciones públicas, esta corporación no está  habilitada para ejercer un control oficioso sobre normas en relación con las cuales no se presente una acusación en debida forma</w:t>
      </w:r>
      <w:r w:rsidRPr="00992A2E">
        <w:rPr>
          <w:rStyle w:val="Refdenotaalpie"/>
          <w:rFonts w:ascii="Times New Roman" w:eastAsia="Times New Roman" w:hAnsi="Times New Roman"/>
          <w:sz w:val="28"/>
          <w:szCs w:val="28"/>
          <w:shd w:val="clear" w:color="auto" w:fill="FFFFFF"/>
          <w:lang w:eastAsia="es-MX"/>
        </w:rPr>
        <w:footnoteReference w:id="36"/>
      </w:r>
      <w:r w:rsidRPr="00992A2E">
        <w:rPr>
          <w:rFonts w:ascii="Times New Roman" w:eastAsia="Times New Roman" w:hAnsi="Times New Roman"/>
          <w:sz w:val="28"/>
          <w:szCs w:val="28"/>
          <w:shd w:val="clear" w:color="auto" w:fill="FFFFFF"/>
          <w:lang w:eastAsia="es-MX"/>
        </w:rPr>
        <w:t xml:space="preserve">. </w:t>
      </w:r>
    </w:p>
    <w:p w14:paraId="00835186" w14:textId="77777777" w:rsidR="00901EDC" w:rsidRPr="00992A2E" w:rsidRDefault="00901EDC" w:rsidP="001E3603">
      <w:pPr>
        <w:pStyle w:val="Cuadrculamedia1-nfasis21"/>
        <w:spacing w:after="0" w:line="240" w:lineRule="auto"/>
        <w:ind w:left="0"/>
        <w:jc w:val="both"/>
        <w:rPr>
          <w:rFonts w:ascii="Times New Roman" w:hAnsi="Times New Roman"/>
          <w:bCs/>
          <w:sz w:val="28"/>
          <w:szCs w:val="28"/>
          <w:lang w:val="es-ES_tradnl" w:eastAsia="es-ES"/>
        </w:rPr>
      </w:pPr>
    </w:p>
    <w:p w14:paraId="48DB29C4" w14:textId="74F2F1F4" w:rsidR="00901EDC" w:rsidRPr="00992A2E" w:rsidRDefault="00901EDC" w:rsidP="001E3603">
      <w:pPr>
        <w:pStyle w:val="Cuadrculamedia1-nfasis21"/>
        <w:numPr>
          <w:ilvl w:val="0"/>
          <w:numId w:val="1"/>
        </w:numPr>
        <w:spacing w:after="0" w:line="240" w:lineRule="auto"/>
        <w:ind w:left="0" w:firstLine="0"/>
        <w:jc w:val="both"/>
        <w:rPr>
          <w:bCs/>
          <w:sz w:val="28"/>
          <w:szCs w:val="28"/>
          <w:lang w:val="es-ES_tradnl" w:eastAsia="es-ES"/>
        </w:rPr>
      </w:pPr>
      <w:r w:rsidRPr="00992A2E">
        <w:rPr>
          <w:rFonts w:ascii="Times New Roman" w:hAnsi="Times New Roman"/>
          <w:bCs/>
          <w:sz w:val="28"/>
          <w:szCs w:val="28"/>
          <w:lang w:val="es-ES_tradnl" w:eastAsia="es-ES"/>
        </w:rPr>
        <w:t xml:space="preserve">De acuerdo con los anteriores parámetros, procede la Sala Plena a constatar si en el caso concreto se cumplen las condiciones de claridad, certeza, especificidad, pertinencia y suficiencia respecto del </w:t>
      </w:r>
      <w:r w:rsidRPr="00992A2E">
        <w:rPr>
          <w:rFonts w:ascii="Times New Roman" w:hAnsi="Times New Roman"/>
          <w:bCs/>
          <w:i/>
          <w:iCs/>
          <w:sz w:val="28"/>
          <w:szCs w:val="28"/>
          <w:lang w:val="es-ES_tradnl" w:eastAsia="es-ES"/>
        </w:rPr>
        <w:t>concepto de violación</w:t>
      </w:r>
      <w:r w:rsidRPr="00992A2E">
        <w:rPr>
          <w:rFonts w:ascii="Times New Roman" w:hAnsi="Times New Roman"/>
          <w:bCs/>
          <w:sz w:val="28"/>
          <w:szCs w:val="28"/>
          <w:lang w:val="es-ES_tradnl" w:eastAsia="es-ES"/>
        </w:rPr>
        <w:t xml:space="preserve"> (artículo 2 del Decreto 2067 de 1991), que den lugar a activar el control abstracto de constitucionalidad.</w:t>
      </w:r>
    </w:p>
    <w:p w14:paraId="427F4632" w14:textId="77777777" w:rsidR="00901EDC" w:rsidRPr="00992A2E" w:rsidRDefault="00901EDC" w:rsidP="001E3603">
      <w:pPr>
        <w:pStyle w:val="Cuadrculamedia1-nfasis21"/>
        <w:tabs>
          <w:tab w:val="left" w:pos="90"/>
        </w:tabs>
        <w:spacing w:after="0" w:line="240" w:lineRule="auto"/>
        <w:ind w:left="0"/>
        <w:jc w:val="both"/>
        <w:rPr>
          <w:rFonts w:ascii="Times New Roman" w:hAnsi="Times New Roman"/>
          <w:b/>
          <w:sz w:val="28"/>
          <w:szCs w:val="28"/>
          <w:lang w:val="es-ES_tradnl" w:eastAsia="es-ES"/>
        </w:rPr>
      </w:pPr>
    </w:p>
    <w:p w14:paraId="27B4B91E" w14:textId="77777777" w:rsidR="00901EDC" w:rsidRPr="00992A2E" w:rsidRDefault="00901EDC" w:rsidP="001E3603">
      <w:pPr>
        <w:pStyle w:val="Cuadrculamedia1-nfasis21"/>
        <w:tabs>
          <w:tab w:val="left" w:pos="90"/>
        </w:tabs>
        <w:spacing w:after="0" w:line="240" w:lineRule="auto"/>
        <w:ind w:left="0"/>
        <w:jc w:val="both"/>
        <w:rPr>
          <w:rFonts w:ascii="Times New Roman" w:hAnsi="Times New Roman"/>
          <w:b/>
          <w:sz w:val="28"/>
          <w:szCs w:val="28"/>
          <w:lang w:val="es-ES_tradnl" w:eastAsia="es-ES"/>
        </w:rPr>
      </w:pPr>
      <w:r w:rsidRPr="00992A2E">
        <w:rPr>
          <w:rFonts w:ascii="Times New Roman" w:hAnsi="Times New Roman"/>
          <w:b/>
          <w:sz w:val="28"/>
          <w:szCs w:val="28"/>
          <w:lang w:val="es-ES_tradnl" w:eastAsia="es-ES"/>
        </w:rPr>
        <w:t>Caso concreto</w:t>
      </w:r>
    </w:p>
    <w:p w14:paraId="5B2E7C47" w14:textId="77777777" w:rsidR="00901EDC" w:rsidRPr="00992A2E" w:rsidRDefault="00901EDC" w:rsidP="001E3603">
      <w:pPr>
        <w:pStyle w:val="Estilo1"/>
        <w:tabs>
          <w:tab w:val="left" w:pos="426"/>
        </w:tabs>
        <w:rPr>
          <w:sz w:val="28"/>
          <w:szCs w:val="28"/>
        </w:rPr>
      </w:pPr>
    </w:p>
    <w:p w14:paraId="21629B78" w14:textId="6BEDD106" w:rsidR="00901EDC" w:rsidRPr="00992A2E" w:rsidRDefault="00901EDC" w:rsidP="001E3603">
      <w:pPr>
        <w:pStyle w:val="Prrafodelista"/>
        <w:numPr>
          <w:ilvl w:val="0"/>
          <w:numId w:val="1"/>
        </w:numPr>
        <w:autoSpaceDE w:val="0"/>
        <w:autoSpaceDN w:val="0"/>
        <w:adjustRightInd w:val="0"/>
        <w:ind w:left="0" w:firstLine="0"/>
        <w:jc w:val="both"/>
        <w:rPr>
          <w:rFonts w:eastAsiaTheme="minorHAnsi"/>
          <w:i/>
          <w:iCs/>
          <w:sz w:val="28"/>
          <w:szCs w:val="28"/>
          <w:lang w:val="es-ES" w:eastAsia="en-US"/>
          <w14:ligatures w14:val="standardContextual"/>
        </w:rPr>
      </w:pPr>
      <w:r w:rsidRPr="00992A2E">
        <w:rPr>
          <w:rFonts w:eastAsiaTheme="minorHAnsi"/>
          <w:sz w:val="28"/>
          <w:szCs w:val="28"/>
          <w:lang w:val="es-ES" w:eastAsia="en-US"/>
          <w14:ligatures w14:val="standardContextual"/>
        </w:rPr>
        <w:t>La Corte Constitucional considera que en el presente asunto el cargo único de inconstitucionalidad cumple con los presupuestos de claridad y pertinencia</w:t>
      </w:r>
      <w:r w:rsidR="00607271" w:rsidRPr="00992A2E">
        <w:rPr>
          <w:rFonts w:eastAsiaTheme="minorHAnsi"/>
          <w:sz w:val="28"/>
          <w:szCs w:val="28"/>
          <w:lang w:val="es-ES" w:eastAsia="en-US"/>
          <w14:ligatures w14:val="standardContextual"/>
        </w:rPr>
        <w:t xml:space="preserve">, </w:t>
      </w:r>
      <w:r w:rsidRPr="00992A2E">
        <w:rPr>
          <w:rFonts w:eastAsiaTheme="minorHAnsi"/>
          <w:sz w:val="28"/>
          <w:szCs w:val="28"/>
          <w:lang w:val="es-ES" w:eastAsia="en-US"/>
          <w14:ligatures w14:val="standardContextual"/>
        </w:rPr>
        <w:t>pero no con los de certeza, especificidad y suficiencia, como pasa a explicarse.</w:t>
      </w:r>
    </w:p>
    <w:p w14:paraId="5EF2FEBE" w14:textId="77777777" w:rsidR="00901EDC" w:rsidRPr="00992A2E" w:rsidRDefault="00901EDC" w:rsidP="001E3603">
      <w:pPr>
        <w:pStyle w:val="Prrafodelista"/>
        <w:autoSpaceDE w:val="0"/>
        <w:autoSpaceDN w:val="0"/>
        <w:adjustRightInd w:val="0"/>
        <w:ind w:left="0"/>
        <w:jc w:val="both"/>
        <w:rPr>
          <w:rFonts w:eastAsiaTheme="minorHAnsi"/>
          <w:i/>
          <w:iCs/>
          <w:sz w:val="28"/>
          <w:szCs w:val="28"/>
          <w:lang w:val="es-ES" w:eastAsia="en-US"/>
          <w14:ligatures w14:val="standardContextual"/>
        </w:rPr>
      </w:pPr>
    </w:p>
    <w:p w14:paraId="2B23A90C" w14:textId="77777777" w:rsidR="00901EDC" w:rsidRPr="00992A2E" w:rsidRDefault="00901EDC" w:rsidP="001E3603">
      <w:pPr>
        <w:pStyle w:val="Prrafodelista"/>
        <w:numPr>
          <w:ilvl w:val="0"/>
          <w:numId w:val="1"/>
        </w:numPr>
        <w:autoSpaceDE w:val="0"/>
        <w:autoSpaceDN w:val="0"/>
        <w:adjustRightInd w:val="0"/>
        <w:ind w:left="0" w:firstLine="0"/>
        <w:jc w:val="both"/>
        <w:rPr>
          <w:rFonts w:eastAsiaTheme="minorHAnsi"/>
          <w:i/>
          <w:iCs/>
          <w:sz w:val="28"/>
          <w:szCs w:val="28"/>
          <w:lang w:val="es-ES" w:eastAsia="en-US"/>
          <w14:ligatures w14:val="standardContextual"/>
        </w:rPr>
      </w:pPr>
      <w:r w:rsidRPr="00992A2E">
        <w:rPr>
          <w:sz w:val="28"/>
          <w:szCs w:val="28"/>
        </w:rPr>
        <w:t xml:space="preserve">El cargo cumple con el supuesto de </w:t>
      </w:r>
      <w:r w:rsidRPr="00992A2E">
        <w:rPr>
          <w:i/>
          <w:iCs/>
          <w:sz w:val="28"/>
          <w:szCs w:val="28"/>
        </w:rPr>
        <w:t xml:space="preserve">claridad. </w:t>
      </w:r>
      <w:r w:rsidRPr="00992A2E">
        <w:rPr>
          <w:sz w:val="28"/>
          <w:szCs w:val="28"/>
        </w:rPr>
        <w:t xml:space="preserve">Se reprocha que la expresión acusada </w:t>
      </w:r>
      <w:r w:rsidRPr="00992A2E">
        <w:rPr>
          <w:rFonts w:eastAsiaTheme="minorHAnsi"/>
          <w:sz w:val="28"/>
          <w:szCs w:val="28"/>
          <w:lang w:val="es-ES" w:eastAsia="en-US"/>
          <w14:ligatures w14:val="standardContextual"/>
        </w:rPr>
        <w:t>desconoce el derecho a la identidad de género de las personas que son sometidas a registros personales, pues las categoriza únicamente con fundamento en características físicas asociadas al sexo, sin tomar en consideración los diversos factores contextuales que confluyen en la manera en que se perciben, más allá de lo fisiológico</w:t>
      </w:r>
      <w:r w:rsidRPr="00992A2E">
        <w:rPr>
          <w:rFonts w:eastAsiaTheme="minorHAnsi"/>
          <w:i/>
          <w:iCs/>
          <w:sz w:val="28"/>
          <w:szCs w:val="28"/>
          <w:lang w:val="es-ES" w:eastAsia="en-US"/>
          <w14:ligatures w14:val="standardContextual"/>
        </w:rPr>
        <w:t>.</w:t>
      </w:r>
      <w:r w:rsidRPr="00992A2E">
        <w:rPr>
          <w:bCs/>
          <w:sz w:val="28"/>
          <w:szCs w:val="28"/>
          <w:lang w:val="es-ES_tradnl" w:eastAsia="es-ES"/>
        </w:rPr>
        <w:t xml:space="preserve"> Dicho planteamiento tiene una estructura lógica que permite comprender el contenido del reproche, a partir de la consideración sobre la dignidad.</w:t>
      </w:r>
    </w:p>
    <w:p w14:paraId="12190C07" w14:textId="77777777" w:rsidR="00901EDC" w:rsidRPr="00992A2E" w:rsidRDefault="00901EDC" w:rsidP="001E3603">
      <w:pPr>
        <w:pStyle w:val="Prrafodelista"/>
        <w:autoSpaceDE w:val="0"/>
        <w:autoSpaceDN w:val="0"/>
        <w:adjustRightInd w:val="0"/>
        <w:ind w:left="0"/>
        <w:jc w:val="both"/>
        <w:rPr>
          <w:rFonts w:eastAsiaTheme="minorHAnsi"/>
          <w:i/>
          <w:iCs/>
          <w:sz w:val="28"/>
          <w:szCs w:val="28"/>
          <w:lang w:val="es-ES" w:eastAsia="en-US"/>
          <w14:ligatures w14:val="standardContextual"/>
        </w:rPr>
      </w:pPr>
    </w:p>
    <w:p w14:paraId="65EF13C6" w14:textId="77777777" w:rsidR="00901EDC" w:rsidRPr="00992A2E" w:rsidRDefault="00901EDC" w:rsidP="001E3603">
      <w:pPr>
        <w:pStyle w:val="Prrafodelista"/>
        <w:numPr>
          <w:ilvl w:val="0"/>
          <w:numId w:val="1"/>
        </w:numPr>
        <w:autoSpaceDE w:val="0"/>
        <w:autoSpaceDN w:val="0"/>
        <w:adjustRightInd w:val="0"/>
        <w:ind w:left="0" w:firstLine="0"/>
        <w:jc w:val="both"/>
        <w:rPr>
          <w:rFonts w:eastAsiaTheme="minorHAnsi"/>
          <w:i/>
          <w:iCs/>
          <w:sz w:val="28"/>
          <w:szCs w:val="28"/>
          <w:lang w:val="es-ES" w:eastAsia="en-US"/>
          <w14:ligatures w14:val="standardContextual"/>
        </w:rPr>
      </w:pPr>
      <w:r w:rsidRPr="00992A2E">
        <w:rPr>
          <w:bCs/>
          <w:sz w:val="28"/>
          <w:szCs w:val="28"/>
          <w:lang w:val="es-ES_tradnl" w:eastAsia="es-ES"/>
        </w:rPr>
        <w:t xml:space="preserve">Por otra parte, se estima que el cargo es </w:t>
      </w:r>
      <w:r w:rsidRPr="00992A2E">
        <w:rPr>
          <w:bCs/>
          <w:i/>
          <w:iCs/>
          <w:sz w:val="28"/>
          <w:szCs w:val="28"/>
          <w:lang w:val="es-ES_tradnl" w:eastAsia="es-ES"/>
        </w:rPr>
        <w:t>pertinente</w:t>
      </w:r>
      <w:r w:rsidRPr="00992A2E">
        <w:rPr>
          <w:bCs/>
          <w:sz w:val="28"/>
          <w:szCs w:val="28"/>
          <w:lang w:val="es-ES_tradnl" w:eastAsia="es-ES"/>
        </w:rPr>
        <w:t>, dado que, aun cuando los demandantes incorporan argumentos sociológicos, en todo caso exponen un reproche de naturaleza constitucional, mediante el cotejo de la expresión censurada con normas superiores y respecto del entendimiento de la jurisprudencia constitucional sobre los derechos alegados.</w:t>
      </w:r>
    </w:p>
    <w:p w14:paraId="1FD68BB7" w14:textId="77777777" w:rsidR="00901EDC" w:rsidRPr="00992A2E" w:rsidRDefault="00901EDC" w:rsidP="001E3603">
      <w:pPr>
        <w:rPr>
          <w:sz w:val="28"/>
          <w:szCs w:val="28"/>
        </w:rPr>
      </w:pPr>
    </w:p>
    <w:p w14:paraId="2B9FD4D3" w14:textId="77777777" w:rsidR="00CA763A" w:rsidRPr="00992A2E" w:rsidRDefault="00901EDC" w:rsidP="00CA763A">
      <w:pPr>
        <w:pStyle w:val="Estilo1"/>
        <w:numPr>
          <w:ilvl w:val="0"/>
          <w:numId w:val="1"/>
        </w:numPr>
        <w:tabs>
          <w:tab w:val="left" w:pos="426"/>
        </w:tabs>
        <w:ind w:left="0" w:firstLine="0"/>
        <w:rPr>
          <w:sz w:val="28"/>
          <w:szCs w:val="28"/>
        </w:rPr>
      </w:pPr>
      <w:r w:rsidRPr="00992A2E">
        <w:rPr>
          <w:sz w:val="28"/>
          <w:szCs w:val="28"/>
        </w:rPr>
        <w:t xml:space="preserve">No obstante, la Sala Plena advierte que el cargo de inconstitucionalidad no cumple con las condiciones de </w:t>
      </w:r>
      <w:r w:rsidRPr="00992A2E">
        <w:rPr>
          <w:i/>
          <w:iCs/>
          <w:sz w:val="28"/>
          <w:szCs w:val="28"/>
        </w:rPr>
        <w:t>certeza</w:t>
      </w:r>
      <w:r w:rsidRPr="00992A2E">
        <w:rPr>
          <w:sz w:val="28"/>
          <w:szCs w:val="28"/>
        </w:rPr>
        <w:t xml:space="preserve">, </w:t>
      </w:r>
      <w:r w:rsidRPr="00992A2E">
        <w:rPr>
          <w:i/>
          <w:iCs/>
          <w:sz w:val="28"/>
          <w:szCs w:val="28"/>
        </w:rPr>
        <w:t>especificidad</w:t>
      </w:r>
      <w:r w:rsidRPr="00992A2E">
        <w:rPr>
          <w:sz w:val="28"/>
          <w:szCs w:val="28"/>
        </w:rPr>
        <w:t xml:space="preserve"> y </w:t>
      </w:r>
      <w:r w:rsidRPr="00992A2E">
        <w:rPr>
          <w:i/>
          <w:iCs/>
          <w:sz w:val="28"/>
          <w:szCs w:val="28"/>
        </w:rPr>
        <w:t>suficiencia</w:t>
      </w:r>
      <w:r w:rsidRPr="00992A2E">
        <w:rPr>
          <w:sz w:val="28"/>
          <w:szCs w:val="28"/>
        </w:rPr>
        <w:t xml:space="preserve">. En efecto, aun cuando en el auto admisorio se señaló que </w:t>
      </w:r>
      <w:r w:rsidRPr="00992A2E">
        <w:rPr>
          <w:rFonts w:ascii="TimesNewRomanPSMT" w:hAnsi="TimesNewRomanPSMT" w:cs="TimesNewRomanPSMT"/>
          <w:sz w:val="28"/>
          <w:szCs w:val="28"/>
        </w:rPr>
        <w:t>la acusación «</w:t>
      </w:r>
      <w:r w:rsidRPr="00992A2E">
        <w:rPr>
          <w:sz w:val="26"/>
          <w:szCs w:val="26"/>
        </w:rPr>
        <w:t xml:space="preserve">se basa en la </w:t>
      </w:r>
      <w:proofErr w:type="spellStart"/>
      <w:r w:rsidRPr="00992A2E">
        <w:rPr>
          <w:sz w:val="26"/>
          <w:szCs w:val="26"/>
        </w:rPr>
        <w:lastRenderedPageBreak/>
        <w:t>apreciación</w:t>
      </w:r>
      <w:proofErr w:type="spellEnd"/>
      <w:r w:rsidRPr="00992A2E">
        <w:rPr>
          <w:sz w:val="26"/>
          <w:szCs w:val="26"/>
        </w:rPr>
        <w:t xml:space="preserve"> literal del precepto refutado y recae en una </w:t>
      </w:r>
      <w:proofErr w:type="spellStart"/>
      <w:r w:rsidRPr="00992A2E">
        <w:rPr>
          <w:sz w:val="26"/>
          <w:szCs w:val="26"/>
        </w:rPr>
        <w:t>proposición</w:t>
      </w:r>
      <w:proofErr w:type="spellEnd"/>
      <w:r w:rsidRPr="00992A2E">
        <w:rPr>
          <w:sz w:val="26"/>
          <w:szCs w:val="26"/>
        </w:rPr>
        <w:t xml:space="preserve"> </w:t>
      </w:r>
      <w:proofErr w:type="spellStart"/>
      <w:r w:rsidRPr="00992A2E">
        <w:rPr>
          <w:sz w:val="26"/>
          <w:szCs w:val="26"/>
        </w:rPr>
        <w:t>jurídica</w:t>
      </w:r>
      <w:proofErr w:type="spellEnd"/>
      <w:r w:rsidRPr="00992A2E">
        <w:rPr>
          <w:sz w:val="26"/>
          <w:szCs w:val="26"/>
        </w:rPr>
        <w:t xml:space="preserve"> real y existente, que se desprende directamente del mismo</w:t>
      </w:r>
      <w:r w:rsidRPr="00992A2E">
        <w:rPr>
          <w:rFonts w:ascii="TimesNewRomanPSMT" w:hAnsi="TimesNewRomanPSMT" w:cs="TimesNewRomanPSMT"/>
          <w:sz w:val="28"/>
          <w:szCs w:val="28"/>
        </w:rPr>
        <w:t xml:space="preserve">», y por ello se consideró que la demanda era </w:t>
      </w:r>
      <w:r w:rsidR="00912A66" w:rsidRPr="00992A2E">
        <w:rPr>
          <w:rFonts w:ascii="TimesNewRomanPSMT" w:hAnsi="TimesNewRomanPSMT" w:cs="TimesNewRomanPSMT"/>
          <w:sz w:val="28"/>
          <w:szCs w:val="28"/>
        </w:rPr>
        <w:t>«</w:t>
      </w:r>
      <w:r w:rsidRPr="00992A2E">
        <w:rPr>
          <w:rFonts w:ascii="TimesNewRomanPSMT" w:hAnsi="TimesNewRomanPSMT" w:cs="TimesNewRomanPSMT"/>
          <w:sz w:val="28"/>
          <w:szCs w:val="28"/>
        </w:rPr>
        <w:t>cierta</w:t>
      </w:r>
      <w:r w:rsidR="00912A66" w:rsidRPr="00992A2E">
        <w:rPr>
          <w:rFonts w:ascii="TimesNewRomanPSMT" w:hAnsi="TimesNewRomanPSMT" w:cs="TimesNewRomanPSMT"/>
          <w:sz w:val="28"/>
          <w:szCs w:val="28"/>
        </w:rPr>
        <w:t>»</w:t>
      </w:r>
      <w:r w:rsidRPr="00992A2E">
        <w:rPr>
          <w:rFonts w:ascii="TimesNewRomanPSMT" w:hAnsi="TimesNewRomanPSMT" w:cs="TimesNewRomanPSMT"/>
          <w:sz w:val="28"/>
          <w:szCs w:val="28"/>
        </w:rPr>
        <w:t>, la Sala Plena se aparta de dicho criterio por las razones que se explican a continuación.</w:t>
      </w:r>
    </w:p>
    <w:p w14:paraId="2DB46EDB" w14:textId="77777777" w:rsidR="00CA763A" w:rsidRPr="00992A2E" w:rsidRDefault="00CA763A" w:rsidP="00CA763A">
      <w:pPr>
        <w:pStyle w:val="Prrafodelista"/>
        <w:rPr>
          <w:sz w:val="28"/>
          <w:szCs w:val="28"/>
        </w:rPr>
      </w:pPr>
    </w:p>
    <w:p w14:paraId="6F31A007" w14:textId="77777777" w:rsidR="00CA763A" w:rsidRPr="00992A2E" w:rsidRDefault="00901EDC" w:rsidP="009E6003">
      <w:pPr>
        <w:pStyle w:val="Estilo1"/>
        <w:numPr>
          <w:ilvl w:val="0"/>
          <w:numId w:val="1"/>
        </w:numPr>
        <w:tabs>
          <w:tab w:val="left" w:pos="426"/>
        </w:tabs>
        <w:ind w:left="0" w:firstLine="0"/>
        <w:rPr>
          <w:sz w:val="28"/>
          <w:szCs w:val="28"/>
        </w:rPr>
      </w:pPr>
      <w:r w:rsidRPr="00992A2E">
        <w:rPr>
          <w:sz w:val="28"/>
          <w:szCs w:val="28"/>
        </w:rPr>
        <w:t xml:space="preserve">La Corte Constitucional considera que no se cumple con el presupuesto de </w:t>
      </w:r>
      <w:r w:rsidRPr="00992A2E">
        <w:rPr>
          <w:i/>
          <w:iCs/>
          <w:sz w:val="28"/>
          <w:szCs w:val="28"/>
        </w:rPr>
        <w:t>certeza</w:t>
      </w:r>
      <w:r w:rsidRPr="00992A2E">
        <w:rPr>
          <w:sz w:val="28"/>
          <w:szCs w:val="28"/>
        </w:rPr>
        <w:t xml:space="preserve"> en el concepto de violación, pues los demandantes no tomaron en cuenta el contenido actualizado y completo de la norma en que se inserta la expresión acusada, ni el alcance de dicha disposición.</w:t>
      </w:r>
      <w:r w:rsidRPr="00992A2E">
        <w:rPr>
          <w:sz w:val="28"/>
          <w:szCs w:val="28"/>
          <w:lang w:val="es-ES"/>
        </w:rPr>
        <w:t xml:space="preserve"> En efecto, según la demanda, la expresión sexo «</w:t>
      </w:r>
      <w:r w:rsidRPr="00992A2E">
        <w:rPr>
          <w:sz w:val="26"/>
          <w:szCs w:val="26"/>
          <w:lang w:val="es-ES"/>
        </w:rPr>
        <w:t>se basa en un estereotipo que anula la autonomía del ser humano, al asociarlo a ‘nociones de determinismo biológico’ que afectan su honra y socavan la construcción de su plan de vida sin discriminación</w:t>
      </w:r>
      <w:r w:rsidRPr="00992A2E">
        <w:rPr>
          <w:sz w:val="28"/>
          <w:szCs w:val="28"/>
          <w:lang w:val="es-ES"/>
        </w:rPr>
        <w:t>»</w:t>
      </w:r>
      <w:r w:rsidR="005A3110" w:rsidRPr="00992A2E">
        <w:rPr>
          <w:sz w:val="28"/>
          <w:szCs w:val="28"/>
          <w:lang w:val="es-ES"/>
        </w:rPr>
        <w:t xml:space="preserve">, pero esta afirmación cae en el vacío porque los actores la predican de </w:t>
      </w:r>
      <w:r w:rsidR="00984B2A" w:rsidRPr="00992A2E">
        <w:rPr>
          <w:sz w:val="28"/>
          <w:szCs w:val="28"/>
          <w:lang w:val="es-ES"/>
        </w:rPr>
        <w:t xml:space="preserve">un contenido normativo </w:t>
      </w:r>
      <w:r w:rsidR="005A3110" w:rsidRPr="00992A2E">
        <w:rPr>
          <w:sz w:val="28"/>
          <w:szCs w:val="28"/>
          <w:lang w:val="es-ES"/>
        </w:rPr>
        <w:t>que no existe, como pasa a explicarse</w:t>
      </w:r>
      <w:r w:rsidR="00984B2A" w:rsidRPr="00992A2E">
        <w:rPr>
          <w:sz w:val="28"/>
          <w:szCs w:val="28"/>
          <w:lang w:val="es-ES"/>
        </w:rPr>
        <w:t xml:space="preserve">. </w:t>
      </w:r>
    </w:p>
    <w:p w14:paraId="5DD531B0" w14:textId="77777777" w:rsidR="00CA763A" w:rsidRPr="00992A2E" w:rsidRDefault="00CA763A" w:rsidP="00CA763A">
      <w:pPr>
        <w:pStyle w:val="Prrafodelista"/>
        <w:rPr>
          <w:sz w:val="28"/>
          <w:szCs w:val="28"/>
        </w:rPr>
      </w:pPr>
    </w:p>
    <w:p w14:paraId="013D6F61" w14:textId="77777777" w:rsidR="00CA763A" w:rsidRPr="00992A2E" w:rsidRDefault="00901EDC" w:rsidP="00CA763A">
      <w:pPr>
        <w:pStyle w:val="Estilo1"/>
        <w:numPr>
          <w:ilvl w:val="0"/>
          <w:numId w:val="1"/>
        </w:numPr>
        <w:tabs>
          <w:tab w:val="left" w:pos="426"/>
        </w:tabs>
        <w:ind w:left="0" w:firstLine="0"/>
        <w:rPr>
          <w:sz w:val="28"/>
          <w:szCs w:val="28"/>
        </w:rPr>
      </w:pPr>
      <w:r w:rsidRPr="00992A2E">
        <w:rPr>
          <w:sz w:val="28"/>
          <w:szCs w:val="28"/>
        </w:rPr>
        <w:t xml:space="preserve">En la Sentencia C-822 de 2005, la Corte se pronunció, entre otros preceptos, sobre la misma disposición que hoy es parcialmente demandada, esto es, el artículo 248 de la Ley 906 de 2004. </w:t>
      </w:r>
      <w:r w:rsidR="00130414" w:rsidRPr="00992A2E">
        <w:rPr>
          <w:sz w:val="28"/>
          <w:szCs w:val="28"/>
        </w:rPr>
        <w:t xml:space="preserve">El </w:t>
      </w:r>
      <w:r w:rsidRPr="00992A2E">
        <w:rPr>
          <w:sz w:val="28"/>
          <w:szCs w:val="28"/>
        </w:rPr>
        <w:t xml:space="preserve">problema jurídico analizado en esa oportunidad </w:t>
      </w:r>
      <w:r w:rsidR="00130414" w:rsidRPr="00992A2E">
        <w:rPr>
          <w:sz w:val="28"/>
          <w:szCs w:val="28"/>
        </w:rPr>
        <w:t>frente al citado artículo</w:t>
      </w:r>
      <w:r w:rsidRPr="00992A2E">
        <w:rPr>
          <w:sz w:val="28"/>
          <w:szCs w:val="28"/>
        </w:rPr>
        <w:t xml:space="preserve"> fue el siguiente: </w:t>
      </w:r>
      <w:r w:rsidRPr="00992A2E">
        <w:rPr>
          <w:rStyle w:val="apple-converted-space"/>
          <w:sz w:val="14"/>
          <w:szCs w:val="14"/>
        </w:rPr>
        <w:t> </w:t>
      </w:r>
      <w:r w:rsidRPr="00992A2E">
        <w:rPr>
          <w:sz w:val="28"/>
          <w:szCs w:val="28"/>
        </w:rPr>
        <w:t xml:space="preserve">¿resulta contrario a los derechos a la dignidad humana (Art. 1, CP), a no ser sometido a tratos crueles, inhumanos o degradantes (Art.12, CP), a la intimidad (Art.15, CP), a la presunción de inocencia, (Art.29, CP), a no </w:t>
      </w:r>
      <w:proofErr w:type="spellStart"/>
      <w:r w:rsidRPr="00992A2E">
        <w:rPr>
          <w:sz w:val="28"/>
          <w:szCs w:val="28"/>
        </w:rPr>
        <w:t>autoincriminarse</w:t>
      </w:r>
      <w:proofErr w:type="spellEnd"/>
      <w:r w:rsidRPr="00992A2E">
        <w:rPr>
          <w:sz w:val="28"/>
          <w:szCs w:val="28"/>
        </w:rPr>
        <w:t xml:space="preserve"> (Art.33, CP), el que el </w:t>
      </w:r>
      <w:r w:rsidR="00CA1CD3" w:rsidRPr="00992A2E">
        <w:rPr>
          <w:sz w:val="28"/>
          <w:szCs w:val="28"/>
        </w:rPr>
        <w:t>F</w:t>
      </w:r>
      <w:r w:rsidRPr="00992A2E">
        <w:rPr>
          <w:sz w:val="28"/>
          <w:szCs w:val="28"/>
        </w:rPr>
        <w:t>iscal o su delegado ordene el registro de una persona relacionada con la investigación, en las condiciones y con los requisitos previstos en el artículo 248 de la Ley 906 de 2004?</w:t>
      </w:r>
    </w:p>
    <w:p w14:paraId="2CE69D21" w14:textId="77777777" w:rsidR="00CA763A" w:rsidRPr="00992A2E" w:rsidRDefault="00CA763A" w:rsidP="00CA763A">
      <w:pPr>
        <w:pStyle w:val="Prrafodelista"/>
        <w:rPr>
          <w:sz w:val="28"/>
          <w:szCs w:val="28"/>
        </w:rPr>
      </w:pPr>
    </w:p>
    <w:p w14:paraId="29E1DDCF" w14:textId="252E6DF7" w:rsidR="00901EDC" w:rsidRPr="00992A2E" w:rsidRDefault="00901EDC" w:rsidP="00CA763A">
      <w:pPr>
        <w:pStyle w:val="Estilo1"/>
        <w:numPr>
          <w:ilvl w:val="0"/>
          <w:numId w:val="1"/>
        </w:numPr>
        <w:tabs>
          <w:tab w:val="left" w:pos="426"/>
        </w:tabs>
        <w:ind w:left="0" w:firstLine="0"/>
        <w:rPr>
          <w:sz w:val="28"/>
          <w:szCs w:val="28"/>
        </w:rPr>
      </w:pPr>
      <w:r w:rsidRPr="00992A2E">
        <w:rPr>
          <w:sz w:val="28"/>
          <w:szCs w:val="28"/>
        </w:rPr>
        <w:t>La Corte estableció que el registro personal persigue fines legítimos y constitucionalmente importantes,</w:t>
      </w:r>
      <w:r w:rsidRPr="00992A2E">
        <w:rPr>
          <w:rStyle w:val="apple-converted-space"/>
        </w:rPr>
        <w:t xml:space="preserve"> </w:t>
      </w:r>
      <w:r w:rsidRPr="00992A2E">
        <w:rPr>
          <w:sz w:val="28"/>
          <w:szCs w:val="28"/>
        </w:rPr>
        <w:t xml:space="preserve">expresamente consagrados en la Carta Política, en particular, la persecución del delito y el aseguramiento de los medios materiales probatorios y de la evidencia física, en aras de asegurar una pronta y cumplida justicia. Además, señaló que dicho procedimiento es necesario e idóneo porque permite recuperar elementos materiales probatorios y evidencia física adheridos a la superficie corporal o escondidos en la indumentaria, u ocultos en enseres portados por la persona afectada por el registro, o ubicados en el área inmediata bajo control físico de la persona, cuando no existe otro medio a través del cual se puedan recabar tales elementos. Asimismo, sobre el alcance de la medida, la citada sentencia indicó que, </w:t>
      </w:r>
      <w:r w:rsidRPr="00992A2E">
        <w:rPr>
          <w:sz w:val="26"/>
          <w:szCs w:val="26"/>
        </w:rPr>
        <w:t xml:space="preserve">«[e]n </w:t>
      </w:r>
      <w:proofErr w:type="gramStart"/>
      <w:r w:rsidRPr="00992A2E">
        <w:rPr>
          <w:sz w:val="26"/>
          <w:szCs w:val="26"/>
        </w:rPr>
        <w:t>cuanto</w:t>
      </w:r>
      <w:proofErr w:type="gramEnd"/>
      <w:r w:rsidRPr="00992A2E">
        <w:rPr>
          <w:sz w:val="26"/>
          <w:szCs w:val="26"/>
        </w:rPr>
        <w:t xml:space="preserve"> a las garantías, la disposición bajo estudio exige que quien realice el registro, sea del mismo </w:t>
      </w:r>
      <w:r w:rsidRPr="00992A2E">
        <w:rPr>
          <w:b/>
          <w:bCs/>
          <w:sz w:val="26"/>
          <w:szCs w:val="26"/>
        </w:rPr>
        <w:t>género</w:t>
      </w:r>
      <w:r w:rsidRPr="00992A2E">
        <w:rPr>
          <w:sz w:val="26"/>
          <w:szCs w:val="26"/>
        </w:rPr>
        <w:t xml:space="preserve"> que el afectado con el registro» (se resalta)</w:t>
      </w:r>
      <w:r w:rsidRPr="00992A2E">
        <w:rPr>
          <w:rStyle w:val="Refdenotaalpie"/>
          <w:sz w:val="26"/>
          <w:szCs w:val="26"/>
        </w:rPr>
        <w:footnoteReference w:id="37"/>
      </w:r>
      <w:r w:rsidRPr="00992A2E">
        <w:rPr>
          <w:sz w:val="28"/>
          <w:szCs w:val="28"/>
        </w:rPr>
        <w:t>.</w:t>
      </w:r>
    </w:p>
    <w:p w14:paraId="59071ED2" w14:textId="77777777" w:rsidR="00901EDC" w:rsidRPr="00992A2E" w:rsidRDefault="00901EDC" w:rsidP="001E3603">
      <w:pPr>
        <w:pStyle w:val="Estilo1"/>
        <w:tabs>
          <w:tab w:val="left" w:pos="426"/>
        </w:tabs>
        <w:rPr>
          <w:sz w:val="28"/>
          <w:szCs w:val="28"/>
        </w:rPr>
      </w:pPr>
    </w:p>
    <w:p w14:paraId="01364937" w14:textId="77777777" w:rsidR="00901EDC" w:rsidRPr="00992A2E" w:rsidRDefault="00901EDC" w:rsidP="001E3603">
      <w:pPr>
        <w:pStyle w:val="Estilo1"/>
        <w:numPr>
          <w:ilvl w:val="0"/>
          <w:numId w:val="1"/>
        </w:numPr>
        <w:tabs>
          <w:tab w:val="left" w:pos="426"/>
        </w:tabs>
        <w:ind w:left="0" w:firstLine="0"/>
        <w:rPr>
          <w:sz w:val="28"/>
          <w:szCs w:val="28"/>
        </w:rPr>
      </w:pPr>
      <w:r w:rsidRPr="00992A2E">
        <w:rPr>
          <w:sz w:val="28"/>
          <w:szCs w:val="28"/>
        </w:rPr>
        <w:t xml:space="preserve">Con todo, esta corporación señaló en el referido fallo que, en ciertos escenarios, tal medida puede resultar injustificada. Por ejemplo, cuando recae sobre el cuerpo desnudo de la persona o involucra el tocamiento de zonas erógenas, y lo único que se busca investigar es un delito de poca envergadura. Es decir, </w:t>
      </w:r>
      <w:r w:rsidRPr="00992A2E">
        <w:rPr>
          <w:sz w:val="28"/>
          <w:szCs w:val="28"/>
          <w:shd w:val="clear" w:color="auto" w:fill="FFFFFF"/>
        </w:rPr>
        <w:t xml:space="preserve">la carga impuesta al individuo puede resultar excesiva, al sopesar la gravedad del hecho delictivo, el bien jurídico tutelado, los derechos de las víctimas, el valor probatorio de la evidencia material buscada, la relación de la </w:t>
      </w:r>
      <w:r w:rsidRPr="00992A2E">
        <w:rPr>
          <w:sz w:val="28"/>
          <w:szCs w:val="28"/>
          <w:shd w:val="clear" w:color="auto" w:fill="FFFFFF"/>
        </w:rPr>
        <w:lastRenderedPageBreak/>
        <w:t xml:space="preserve">persona con la investigación, </w:t>
      </w:r>
      <w:r w:rsidRPr="00992A2E">
        <w:rPr>
          <w:sz w:val="28"/>
          <w:szCs w:val="28"/>
        </w:rPr>
        <w:t>las partes del cuerpo registradas, la mecánica misma del registro y la diferencia de género entre la persona que realice el registro y el registrado</w:t>
      </w:r>
      <w:r w:rsidRPr="00992A2E">
        <w:rPr>
          <w:sz w:val="28"/>
          <w:szCs w:val="28"/>
          <w:shd w:val="clear" w:color="auto" w:fill="FFFFFF"/>
        </w:rPr>
        <w:t>.</w:t>
      </w:r>
      <w:r w:rsidRPr="00992A2E">
        <w:rPr>
          <w:sz w:val="28"/>
          <w:szCs w:val="28"/>
        </w:rPr>
        <w:t xml:space="preserve"> En últimas, </w:t>
      </w:r>
      <w:r w:rsidRPr="00992A2E">
        <w:rPr>
          <w:sz w:val="26"/>
          <w:szCs w:val="26"/>
        </w:rPr>
        <w:t>«[a] mayor sea la incidencia de la medida, mayor importancia deben tener los bienes jurídicos tutelados y mayor impacto deberá tener el no realizar la inspección corporal para los derechos de las víctimas»</w:t>
      </w:r>
      <w:r w:rsidRPr="00992A2E">
        <w:rPr>
          <w:rStyle w:val="Refdenotaalpie"/>
          <w:sz w:val="28"/>
          <w:szCs w:val="28"/>
        </w:rPr>
        <w:footnoteReference w:id="38"/>
      </w:r>
      <w:r w:rsidRPr="00992A2E">
        <w:rPr>
          <w:sz w:val="26"/>
          <w:szCs w:val="26"/>
        </w:rPr>
        <w:t>.</w:t>
      </w:r>
    </w:p>
    <w:p w14:paraId="1AA37E2D" w14:textId="77777777" w:rsidR="00901EDC" w:rsidRPr="00992A2E" w:rsidRDefault="00901EDC" w:rsidP="001E3603">
      <w:pPr>
        <w:pStyle w:val="Prrafodelista"/>
        <w:rPr>
          <w:sz w:val="28"/>
          <w:szCs w:val="28"/>
        </w:rPr>
      </w:pPr>
    </w:p>
    <w:p w14:paraId="0D2C4ADC" w14:textId="77777777" w:rsidR="00901EDC" w:rsidRPr="00992A2E" w:rsidRDefault="00901EDC" w:rsidP="001E3603">
      <w:pPr>
        <w:pStyle w:val="Estilo1"/>
        <w:numPr>
          <w:ilvl w:val="0"/>
          <w:numId w:val="1"/>
        </w:numPr>
        <w:tabs>
          <w:tab w:val="left" w:pos="426"/>
        </w:tabs>
        <w:ind w:left="0" w:firstLine="0"/>
        <w:rPr>
          <w:sz w:val="28"/>
          <w:szCs w:val="28"/>
        </w:rPr>
      </w:pPr>
      <w:r w:rsidRPr="00992A2E">
        <w:rPr>
          <w:sz w:val="28"/>
          <w:szCs w:val="28"/>
          <w:shd w:val="clear" w:color="auto" w:fill="FFFFFF"/>
        </w:rPr>
        <w:t xml:space="preserve">Como todas estas circunstancias deben analizarse caso a caso, la Corte declaró exequible el artículo 248 de la Ley 906 de 2004, </w:t>
      </w:r>
      <w:r w:rsidRPr="00992A2E">
        <w:rPr>
          <w:sz w:val="26"/>
          <w:szCs w:val="26"/>
          <w:shd w:val="clear" w:color="auto" w:fill="FFFFFF"/>
        </w:rPr>
        <w:t>«por los cargos analizados»</w:t>
      </w:r>
      <w:r w:rsidRPr="00992A2E">
        <w:rPr>
          <w:sz w:val="28"/>
          <w:szCs w:val="28"/>
          <w:shd w:val="clear" w:color="auto" w:fill="FFFFFF"/>
        </w:rPr>
        <w:t>, en el entendido que:</w:t>
      </w:r>
    </w:p>
    <w:p w14:paraId="774095F9" w14:textId="77777777" w:rsidR="00901EDC" w:rsidRPr="00992A2E" w:rsidRDefault="00901EDC" w:rsidP="001E3603">
      <w:pPr>
        <w:pStyle w:val="Prrafodelista"/>
        <w:rPr>
          <w:sz w:val="28"/>
          <w:szCs w:val="28"/>
          <w:lang w:val="es-ES_tradnl"/>
        </w:rPr>
      </w:pPr>
    </w:p>
    <w:p w14:paraId="03C674EC" w14:textId="77777777" w:rsidR="00901EDC" w:rsidRPr="00992A2E" w:rsidRDefault="00901EDC" w:rsidP="001E3603">
      <w:pPr>
        <w:pStyle w:val="Estilo1"/>
        <w:tabs>
          <w:tab w:val="left" w:pos="426"/>
        </w:tabs>
        <w:ind w:left="709" w:right="709"/>
      </w:pPr>
      <w:r w:rsidRPr="00992A2E">
        <w:t>a) [S]</w:t>
      </w:r>
      <w:proofErr w:type="spellStart"/>
      <w:r w:rsidRPr="00992A2E">
        <w:t>alvo</w:t>
      </w:r>
      <w:proofErr w:type="spellEnd"/>
      <w:r w:rsidRPr="00992A2E">
        <w:t xml:space="preserve"> el registro incidental a la captura, el registro corporal requiere autorización previa del juez de control de garantías, el cual ponderará la solicitud del fiscal, o de la policía judicial en circunstancias excepcionales que ameriten extrema urgencia, para determinar si la medida específica es o no pertinente y, de serlo, si también es idónea, necesaria y proporcionada en las condiciones particulares del caso;</w:t>
      </w:r>
    </w:p>
    <w:p w14:paraId="6F803C8D" w14:textId="77777777" w:rsidR="00901EDC" w:rsidRPr="00992A2E" w:rsidRDefault="00901EDC" w:rsidP="001E3603">
      <w:pPr>
        <w:pStyle w:val="Estilo1"/>
        <w:tabs>
          <w:tab w:val="left" w:pos="426"/>
        </w:tabs>
        <w:ind w:left="709" w:right="709"/>
      </w:pPr>
    </w:p>
    <w:p w14:paraId="259FDD9E" w14:textId="77777777" w:rsidR="00901EDC" w:rsidRPr="00992A2E" w:rsidRDefault="00901EDC" w:rsidP="001E3603">
      <w:pPr>
        <w:pStyle w:val="Estilo1"/>
        <w:tabs>
          <w:tab w:val="left" w:pos="426"/>
        </w:tabs>
        <w:ind w:left="709" w:right="709"/>
      </w:pPr>
      <w:r w:rsidRPr="00992A2E">
        <w:t>b) el juez de control de garantías también definirá las condiciones bajo las cuales ésta se podrá practicar en el evento de que la persona sobre la cual recae el registro se niegue a permitir su práctica.</w:t>
      </w:r>
    </w:p>
    <w:p w14:paraId="0105BB90" w14:textId="77777777" w:rsidR="00901EDC" w:rsidRPr="00992A2E" w:rsidRDefault="00901EDC" w:rsidP="001E3603">
      <w:pPr>
        <w:pStyle w:val="Estilo1"/>
        <w:tabs>
          <w:tab w:val="left" w:pos="426"/>
        </w:tabs>
        <w:rPr>
          <w:sz w:val="28"/>
          <w:szCs w:val="28"/>
        </w:rPr>
      </w:pPr>
    </w:p>
    <w:p w14:paraId="4A23F8ED" w14:textId="70AB3D38" w:rsidR="00F23774" w:rsidRPr="00992A2E" w:rsidRDefault="00901EDC" w:rsidP="001E3603">
      <w:pPr>
        <w:pStyle w:val="Estilo1"/>
        <w:numPr>
          <w:ilvl w:val="0"/>
          <w:numId w:val="1"/>
        </w:numPr>
        <w:tabs>
          <w:tab w:val="left" w:pos="426"/>
        </w:tabs>
        <w:ind w:left="0" w:firstLine="0"/>
        <w:rPr>
          <w:sz w:val="28"/>
          <w:szCs w:val="28"/>
        </w:rPr>
      </w:pPr>
      <w:r w:rsidRPr="00992A2E">
        <w:rPr>
          <w:sz w:val="28"/>
          <w:szCs w:val="28"/>
        </w:rPr>
        <w:t xml:space="preserve">Así mismo, declaró inexequible la </w:t>
      </w:r>
      <w:r w:rsidRPr="00992A2E">
        <w:rPr>
          <w:sz w:val="26"/>
          <w:szCs w:val="26"/>
        </w:rPr>
        <w:t xml:space="preserve">expresión </w:t>
      </w:r>
      <w:r w:rsidR="00912A66" w:rsidRPr="00992A2E">
        <w:rPr>
          <w:sz w:val="26"/>
          <w:szCs w:val="26"/>
          <w:shd w:val="clear" w:color="auto" w:fill="FFFFFF"/>
        </w:rPr>
        <w:t>«</w:t>
      </w:r>
      <w:r w:rsidRPr="00992A2E">
        <w:rPr>
          <w:sz w:val="26"/>
          <w:szCs w:val="26"/>
        </w:rPr>
        <w:t>sin perjuicio de los procedimientos preventivos que adelanta la fuerza pública en cumplimiento de su deber constitucional, y…</w:t>
      </w:r>
      <w:r w:rsidR="00912A66" w:rsidRPr="00992A2E">
        <w:rPr>
          <w:sz w:val="28"/>
          <w:szCs w:val="28"/>
          <w:shd w:val="clear" w:color="auto" w:fill="FFFFFF"/>
        </w:rPr>
        <w:t>»</w:t>
      </w:r>
      <w:r w:rsidR="00305AEE" w:rsidRPr="00992A2E">
        <w:rPr>
          <w:sz w:val="28"/>
          <w:szCs w:val="28"/>
          <w:lang w:val="es-ES"/>
        </w:rPr>
        <w:t xml:space="preserve">. </w:t>
      </w:r>
      <w:r w:rsidR="00305AEE" w:rsidRPr="00992A2E">
        <w:rPr>
          <w:sz w:val="28"/>
          <w:szCs w:val="28"/>
        </w:rPr>
        <w:t xml:space="preserve">La Corte </w:t>
      </w:r>
      <w:r w:rsidR="00F23774" w:rsidRPr="00992A2E">
        <w:rPr>
          <w:sz w:val="28"/>
          <w:szCs w:val="28"/>
        </w:rPr>
        <w:t>sustentó</w:t>
      </w:r>
      <w:r w:rsidR="00305AEE" w:rsidRPr="00992A2E">
        <w:rPr>
          <w:sz w:val="28"/>
          <w:szCs w:val="28"/>
        </w:rPr>
        <w:t xml:space="preserve"> esta decisión </w:t>
      </w:r>
      <w:r w:rsidR="00F23774" w:rsidRPr="00992A2E">
        <w:rPr>
          <w:sz w:val="28"/>
          <w:szCs w:val="28"/>
        </w:rPr>
        <w:t>en que</w:t>
      </w:r>
      <w:r w:rsidR="00305AEE" w:rsidRPr="00992A2E">
        <w:rPr>
          <w:sz w:val="28"/>
          <w:szCs w:val="28"/>
        </w:rPr>
        <w:t xml:space="preserve"> los referidos procedimientos preventivos </w:t>
      </w:r>
      <w:r w:rsidR="00912A66" w:rsidRPr="00992A2E">
        <w:rPr>
          <w:sz w:val="26"/>
          <w:szCs w:val="26"/>
        </w:rPr>
        <w:t>«</w:t>
      </w:r>
      <w:r w:rsidR="00305AEE" w:rsidRPr="00992A2E">
        <w:rPr>
          <w:sz w:val="26"/>
          <w:szCs w:val="26"/>
        </w:rPr>
        <w:t>no forman parte de las investigaciones penales y, por lo tanto, su regulación no puede inscribirse dentro de una norma que se ocupa de diligencias encaminadas a obtener evidencias o elementos materiales probatorios, y que tienen, en este contexto, un significado y un alcance que rebasan la de los meros procedimientos preventivos a cargo de la fuerza pública</w:t>
      </w:r>
      <w:r w:rsidR="00912A66" w:rsidRPr="00992A2E">
        <w:rPr>
          <w:sz w:val="26"/>
          <w:szCs w:val="26"/>
        </w:rPr>
        <w:t>»</w:t>
      </w:r>
      <w:r w:rsidR="00F23774" w:rsidRPr="00992A2E">
        <w:rPr>
          <w:rStyle w:val="Refdenotaalpie"/>
          <w:sz w:val="28"/>
          <w:szCs w:val="28"/>
        </w:rPr>
        <w:footnoteReference w:id="39"/>
      </w:r>
      <w:r w:rsidR="00305AEE" w:rsidRPr="00992A2E">
        <w:rPr>
          <w:sz w:val="28"/>
          <w:szCs w:val="28"/>
        </w:rPr>
        <w:t>.</w:t>
      </w:r>
      <w:r w:rsidR="00305AEE" w:rsidRPr="00992A2E">
        <w:rPr>
          <w:sz w:val="20"/>
          <w:szCs w:val="20"/>
        </w:rPr>
        <w:t xml:space="preserve"> </w:t>
      </w:r>
    </w:p>
    <w:p w14:paraId="18BAEBF3" w14:textId="77777777" w:rsidR="00901EDC" w:rsidRPr="00992A2E" w:rsidRDefault="00901EDC" w:rsidP="001E3603">
      <w:pPr>
        <w:pStyle w:val="Estilo1"/>
        <w:tabs>
          <w:tab w:val="left" w:pos="426"/>
        </w:tabs>
        <w:rPr>
          <w:sz w:val="28"/>
          <w:szCs w:val="28"/>
          <w:lang w:val="es-ES"/>
        </w:rPr>
      </w:pPr>
    </w:p>
    <w:p w14:paraId="55FA884B" w14:textId="77777777" w:rsidR="00901EDC" w:rsidRPr="00992A2E" w:rsidRDefault="00901EDC" w:rsidP="001E3603">
      <w:pPr>
        <w:pStyle w:val="Estilo1"/>
        <w:numPr>
          <w:ilvl w:val="0"/>
          <w:numId w:val="1"/>
        </w:numPr>
        <w:tabs>
          <w:tab w:val="left" w:pos="426"/>
        </w:tabs>
        <w:ind w:left="0" w:firstLine="0"/>
        <w:rPr>
          <w:sz w:val="28"/>
          <w:szCs w:val="28"/>
        </w:rPr>
      </w:pPr>
      <w:r w:rsidRPr="00992A2E">
        <w:rPr>
          <w:sz w:val="28"/>
          <w:szCs w:val="28"/>
          <w:lang w:val="es-ES"/>
        </w:rPr>
        <w:t>Analizado lo anterior, se evidencia que el alcance que los accionantes otorgan a la expresión impugnada no corresponde al que objetivamente tiene, ya que aquella debe ser interpretada en el respectivo contexto normativo, esto es, tomando en consideración apartes no acusados del artículo 248 del Código de Procedimiento Penal, así como, especialmente, el condicionamiento que sobre esa misma disposición hizo la Corte Constitucional en la Sentencia C-822 de 2005 y que se integra normativamente a ella, por lo cual esta no puede ser leída sin considerar ese alcance. Además, debe tomarse en cuenta que el aparte normativo del artículo 248 referente al registro preventivo a cargo de la fuerza pública ya no está vigente, porque fue declarado inexequible en el mismo fallo, lo que fue desatendido por los accionantes.</w:t>
      </w:r>
    </w:p>
    <w:p w14:paraId="7BA59113" w14:textId="5BC39D78" w:rsidR="00305AEE" w:rsidRPr="00992A2E" w:rsidRDefault="00305AEE" w:rsidP="001E3603">
      <w:pPr>
        <w:jc w:val="both"/>
        <w:rPr>
          <w:sz w:val="20"/>
          <w:szCs w:val="20"/>
        </w:rPr>
      </w:pPr>
    </w:p>
    <w:p w14:paraId="74F5B091" w14:textId="42EF2D42" w:rsidR="00901EDC" w:rsidRPr="00992A2E" w:rsidRDefault="00F23774" w:rsidP="001E3603">
      <w:pPr>
        <w:pStyle w:val="Estilo1"/>
        <w:numPr>
          <w:ilvl w:val="0"/>
          <w:numId w:val="1"/>
        </w:numPr>
        <w:tabs>
          <w:tab w:val="left" w:pos="426"/>
        </w:tabs>
        <w:ind w:left="0" w:firstLine="0"/>
        <w:rPr>
          <w:sz w:val="28"/>
          <w:szCs w:val="28"/>
        </w:rPr>
      </w:pPr>
      <w:r w:rsidRPr="00992A2E">
        <w:rPr>
          <w:sz w:val="28"/>
          <w:szCs w:val="28"/>
          <w:lang w:val="es-ES"/>
        </w:rPr>
        <w:t xml:space="preserve">En efecto, no puede pasarse por alto al estudiar el alcance del cargo en esta actuación que el referido artículo 248, en su segundo inciso, establece que al practicar el registro </w:t>
      </w:r>
      <w:r w:rsidR="00912A66" w:rsidRPr="00992A2E">
        <w:rPr>
          <w:sz w:val="26"/>
          <w:szCs w:val="26"/>
          <w:lang w:val="es-ES"/>
        </w:rPr>
        <w:t>«</w:t>
      </w:r>
      <w:r w:rsidRPr="00992A2E">
        <w:rPr>
          <w:sz w:val="26"/>
          <w:szCs w:val="26"/>
          <w:lang w:val="es-ES"/>
        </w:rPr>
        <w:t>(…) se guardarán con ella toda clase de consideraciones compatibles con la dignidad humana</w:t>
      </w:r>
      <w:r w:rsidR="00912A66" w:rsidRPr="00992A2E">
        <w:rPr>
          <w:sz w:val="26"/>
          <w:szCs w:val="26"/>
          <w:lang w:val="es-ES"/>
        </w:rPr>
        <w:t>»</w:t>
      </w:r>
      <w:r w:rsidRPr="00992A2E">
        <w:rPr>
          <w:sz w:val="26"/>
          <w:szCs w:val="26"/>
          <w:lang w:val="es-ES"/>
        </w:rPr>
        <w:t>.</w:t>
      </w:r>
    </w:p>
    <w:p w14:paraId="1083B299" w14:textId="77777777" w:rsidR="00901EDC" w:rsidRPr="00992A2E" w:rsidRDefault="00901EDC" w:rsidP="001E3603">
      <w:pPr>
        <w:pStyle w:val="Prrafodelista"/>
        <w:rPr>
          <w:sz w:val="28"/>
          <w:szCs w:val="28"/>
        </w:rPr>
      </w:pPr>
    </w:p>
    <w:p w14:paraId="27675E3E" w14:textId="0E7DA873" w:rsidR="00901EDC" w:rsidRPr="00992A2E" w:rsidRDefault="00901EDC" w:rsidP="001E3603">
      <w:pPr>
        <w:pStyle w:val="Estilo1"/>
        <w:numPr>
          <w:ilvl w:val="0"/>
          <w:numId w:val="1"/>
        </w:numPr>
        <w:tabs>
          <w:tab w:val="left" w:pos="426"/>
        </w:tabs>
        <w:ind w:left="0" w:firstLine="0"/>
        <w:rPr>
          <w:sz w:val="28"/>
          <w:szCs w:val="28"/>
        </w:rPr>
      </w:pPr>
      <w:r w:rsidRPr="00992A2E">
        <w:rPr>
          <w:sz w:val="28"/>
          <w:szCs w:val="28"/>
          <w:lang w:val="es-CO"/>
        </w:rPr>
        <w:t xml:space="preserve">Sobre el particular, al </w:t>
      </w:r>
      <w:r w:rsidRPr="00992A2E">
        <w:rPr>
          <w:sz w:val="28"/>
          <w:szCs w:val="28"/>
        </w:rPr>
        <w:t xml:space="preserve">analizar el impacto de la medida sobre la </w:t>
      </w:r>
      <w:r w:rsidRPr="00992A2E">
        <w:rPr>
          <w:i/>
          <w:iCs/>
          <w:sz w:val="28"/>
          <w:szCs w:val="28"/>
        </w:rPr>
        <w:t>dignidad humana</w:t>
      </w:r>
      <w:r w:rsidRPr="00992A2E">
        <w:rPr>
          <w:sz w:val="28"/>
          <w:szCs w:val="28"/>
        </w:rPr>
        <w:t xml:space="preserve">, la Corte Constitucional señaló </w:t>
      </w:r>
      <w:r w:rsidR="003C7463" w:rsidRPr="00992A2E">
        <w:rPr>
          <w:sz w:val="28"/>
          <w:szCs w:val="28"/>
        </w:rPr>
        <w:t xml:space="preserve">en la sentencia aludida </w:t>
      </w:r>
      <w:r w:rsidRPr="00992A2E">
        <w:rPr>
          <w:sz w:val="28"/>
          <w:szCs w:val="28"/>
        </w:rPr>
        <w:t xml:space="preserve">que </w:t>
      </w:r>
      <w:r w:rsidR="00912A66" w:rsidRPr="00992A2E">
        <w:rPr>
          <w:sz w:val="26"/>
          <w:szCs w:val="26"/>
        </w:rPr>
        <w:t>«</w:t>
      </w:r>
      <w:r w:rsidRPr="00992A2E">
        <w:rPr>
          <w:sz w:val="26"/>
          <w:szCs w:val="26"/>
        </w:rPr>
        <w:t>el mecanismo de intervención debe efectuarse respetando los principios que las rigen, a la luz de los tratados internacionales que conforman el bloque de constitucionalidad, según los cuales las personas responsables de practicar el registro corporal deben hacerlo en condiciones de seguridad, higiene, confiabilidad y humanidad para la persona que debe ser registrada</w:t>
      </w:r>
      <w:r w:rsidR="00912A66" w:rsidRPr="00992A2E">
        <w:rPr>
          <w:sz w:val="26"/>
          <w:szCs w:val="26"/>
        </w:rPr>
        <w:t>»</w:t>
      </w:r>
      <w:r w:rsidRPr="00992A2E">
        <w:rPr>
          <w:sz w:val="28"/>
          <w:szCs w:val="28"/>
        </w:rPr>
        <w:t>.</w:t>
      </w:r>
    </w:p>
    <w:p w14:paraId="43972F04" w14:textId="77777777" w:rsidR="00901EDC" w:rsidRPr="00992A2E" w:rsidRDefault="00901EDC" w:rsidP="001E3603">
      <w:pPr>
        <w:rPr>
          <w:sz w:val="28"/>
          <w:szCs w:val="28"/>
          <w:lang w:val="es-ES"/>
        </w:rPr>
      </w:pPr>
    </w:p>
    <w:p w14:paraId="19F372AA" w14:textId="5125D649" w:rsidR="00901EDC" w:rsidRPr="00992A2E" w:rsidRDefault="00901EDC" w:rsidP="001E3603">
      <w:pPr>
        <w:pStyle w:val="Estilo1"/>
        <w:numPr>
          <w:ilvl w:val="0"/>
          <w:numId w:val="1"/>
        </w:numPr>
        <w:tabs>
          <w:tab w:val="left" w:pos="426"/>
        </w:tabs>
        <w:ind w:left="0" w:firstLine="0"/>
        <w:rPr>
          <w:sz w:val="28"/>
          <w:szCs w:val="28"/>
        </w:rPr>
      </w:pPr>
      <w:r w:rsidRPr="00992A2E">
        <w:rPr>
          <w:sz w:val="28"/>
          <w:szCs w:val="28"/>
          <w:lang w:val="es-ES"/>
        </w:rPr>
        <w:t xml:space="preserve">Además, como se </w:t>
      </w:r>
      <w:r w:rsidR="003C7463" w:rsidRPr="00992A2E">
        <w:rPr>
          <w:sz w:val="28"/>
          <w:szCs w:val="28"/>
          <w:lang w:val="es-ES"/>
        </w:rPr>
        <w:t xml:space="preserve">indicó </w:t>
      </w:r>
      <w:r w:rsidRPr="00992A2E">
        <w:rPr>
          <w:sz w:val="28"/>
          <w:szCs w:val="28"/>
          <w:lang w:val="es-ES"/>
        </w:rPr>
        <w:t>antes, el condicionamiento de la Sentencia C-822 de 2005 dispone que: (i) el registro corporal requiere autorización previa del juez de control de garantías, y (</w:t>
      </w:r>
      <w:proofErr w:type="spellStart"/>
      <w:r w:rsidRPr="00992A2E">
        <w:rPr>
          <w:sz w:val="28"/>
          <w:szCs w:val="28"/>
          <w:lang w:val="es-ES"/>
        </w:rPr>
        <w:t>ii</w:t>
      </w:r>
      <w:proofErr w:type="spellEnd"/>
      <w:r w:rsidRPr="00992A2E">
        <w:rPr>
          <w:sz w:val="28"/>
          <w:szCs w:val="28"/>
          <w:lang w:val="es-ES"/>
        </w:rPr>
        <w:t>) que el juez de control de garantías también definirá las condiciones bajo las cuales ésta se podrá practicar en el evento de que la persona sobre la cual recae el registro se niegue a permitir su práctica</w:t>
      </w:r>
      <w:r w:rsidR="00C30930" w:rsidRPr="00992A2E">
        <w:rPr>
          <w:rStyle w:val="Refdenotaalpie"/>
          <w:sz w:val="28"/>
          <w:szCs w:val="28"/>
          <w:lang w:val="es-ES"/>
        </w:rPr>
        <w:footnoteReference w:id="40"/>
      </w:r>
      <w:r w:rsidRPr="00992A2E">
        <w:rPr>
          <w:sz w:val="28"/>
          <w:szCs w:val="28"/>
          <w:lang w:val="es-ES"/>
        </w:rPr>
        <w:t xml:space="preserve">. </w:t>
      </w:r>
    </w:p>
    <w:p w14:paraId="2B829ECE" w14:textId="77777777" w:rsidR="00901EDC" w:rsidRPr="00992A2E" w:rsidRDefault="00901EDC" w:rsidP="001E3603">
      <w:pPr>
        <w:pStyle w:val="Prrafodelista"/>
        <w:rPr>
          <w:sz w:val="28"/>
          <w:szCs w:val="28"/>
        </w:rPr>
      </w:pPr>
    </w:p>
    <w:p w14:paraId="4D12FD68" w14:textId="29687856" w:rsidR="00901EDC" w:rsidRPr="00992A2E" w:rsidRDefault="00901EDC" w:rsidP="001E3603">
      <w:pPr>
        <w:pStyle w:val="Estilo1"/>
        <w:numPr>
          <w:ilvl w:val="0"/>
          <w:numId w:val="1"/>
        </w:numPr>
        <w:tabs>
          <w:tab w:val="left" w:pos="426"/>
        </w:tabs>
        <w:ind w:left="0" w:firstLine="0"/>
        <w:rPr>
          <w:sz w:val="28"/>
          <w:szCs w:val="28"/>
        </w:rPr>
      </w:pPr>
      <w:r w:rsidRPr="00992A2E">
        <w:rPr>
          <w:sz w:val="28"/>
          <w:szCs w:val="28"/>
          <w:lang w:val="es-ES"/>
        </w:rPr>
        <w:t xml:space="preserve"> Así pues, la palabra </w:t>
      </w:r>
      <w:r w:rsidR="00912A66" w:rsidRPr="00992A2E">
        <w:rPr>
          <w:sz w:val="28"/>
          <w:szCs w:val="28"/>
          <w:lang w:val="es-ES"/>
        </w:rPr>
        <w:t>«</w:t>
      </w:r>
      <w:r w:rsidRPr="00992A2E">
        <w:rPr>
          <w:sz w:val="28"/>
          <w:szCs w:val="28"/>
          <w:lang w:val="es-ES"/>
        </w:rPr>
        <w:t>sexo</w:t>
      </w:r>
      <w:r w:rsidR="00912A66" w:rsidRPr="00992A2E">
        <w:rPr>
          <w:sz w:val="28"/>
          <w:szCs w:val="28"/>
          <w:lang w:val="es-ES"/>
        </w:rPr>
        <w:t>»</w:t>
      </w:r>
      <w:r w:rsidRPr="00992A2E">
        <w:rPr>
          <w:sz w:val="28"/>
          <w:szCs w:val="28"/>
          <w:lang w:val="es-ES"/>
        </w:rPr>
        <w:t xml:space="preserve">, objeto de acusación, fue interpretada de manera aislada en la demanda, sin considerar que los apartes normativos que se acaban de </w:t>
      </w:r>
      <w:r w:rsidR="003C7463" w:rsidRPr="00992A2E">
        <w:rPr>
          <w:sz w:val="28"/>
          <w:szCs w:val="28"/>
          <w:lang w:val="es-ES"/>
        </w:rPr>
        <w:t>mencionar</w:t>
      </w:r>
      <w:r w:rsidR="00EB4AF7" w:rsidRPr="00992A2E">
        <w:rPr>
          <w:sz w:val="28"/>
          <w:szCs w:val="28"/>
          <w:lang w:val="es-ES"/>
        </w:rPr>
        <w:t xml:space="preserve"> </w:t>
      </w:r>
      <w:r w:rsidRPr="00992A2E">
        <w:rPr>
          <w:sz w:val="28"/>
          <w:szCs w:val="28"/>
          <w:lang w:val="es-ES"/>
        </w:rPr>
        <w:t>determinan su sentido y alcance respecto de la disposición en que se encuentra inserta. En particular, no puede desconocerse el condicionamiento que la Corte Constitucional dispuso sobre el artículo 248 de la Ley 906 de 2004 y que se incorporó materialmente al contenido normativo del precepto objeto de control abstracto de constitucionalidad, pues el pronunciamiento del juez constitucional modificó e integró el precepto dentro del cual se ubica la expresión objeto de juicio</w:t>
      </w:r>
      <w:r w:rsidRPr="00992A2E">
        <w:rPr>
          <w:rStyle w:val="Refdenotaalpie"/>
          <w:sz w:val="28"/>
          <w:szCs w:val="28"/>
          <w:lang w:val="es-ES"/>
        </w:rPr>
        <w:footnoteReference w:id="41"/>
      </w:r>
      <w:r w:rsidRPr="00992A2E">
        <w:rPr>
          <w:sz w:val="28"/>
          <w:szCs w:val="28"/>
          <w:lang w:val="es-ES"/>
        </w:rPr>
        <w:t>, y, en consecuencia, la disposición legal no puede ser interpretada ni aplicada sin dicho elemento normativo</w:t>
      </w:r>
      <w:r w:rsidRPr="00992A2E">
        <w:rPr>
          <w:rStyle w:val="Refdenotaalpie"/>
          <w:sz w:val="28"/>
          <w:szCs w:val="28"/>
          <w:lang w:val="es-ES"/>
        </w:rPr>
        <w:footnoteReference w:id="42"/>
      </w:r>
      <w:r w:rsidRPr="00992A2E">
        <w:rPr>
          <w:sz w:val="28"/>
          <w:szCs w:val="28"/>
          <w:lang w:val="es-ES"/>
        </w:rPr>
        <w:t xml:space="preserve">. Y tampoco es posible que el alcance de la norma censurada se defina tomando en consideración un apartado que fue expulsado del ordenamiento por contrariar la Carta, mediante sentencia de </w:t>
      </w:r>
      <w:proofErr w:type="spellStart"/>
      <w:r w:rsidRPr="00992A2E">
        <w:rPr>
          <w:sz w:val="28"/>
          <w:szCs w:val="28"/>
          <w:lang w:val="es-ES"/>
        </w:rPr>
        <w:t>inexequibilidad</w:t>
      </w:r>
      <w:proofErr w:type="spellEnd"/>
      <w:r w:rsidRPr="00992A2E">
        <w:rPr>
          <w:sz w:val="28"/>
          <w:szCs w:val="28"/>
          <w:lang w:val="es-ES"/>
        </w:rPr>
        <w:t>.</w:t>
      </w:r>
    </w:p>
    <w:p w14:paraId="6C905DF0" w14:textId="77777777" w:rsidR="00901EDC" w:rsidRPr="00992A2E" w:rsidRDefault="00901EDC" w:rsidP="001E3603">
      <w:pPr>
        <w:pStyle w:val="Prrafodelista"/>
        <w:rPr>
          <w:sz w:val="28"/>
          <w:szCs w:val="28"/>
        </w:rPr>
      </w:pPr>
    </w:p>
    <w:p w14:paraId="7970B440" w14:textId="77777777" w:rsidR="00901EDC" w:rsidRPr="00992A2E" w:rsidRDefault="00901EDC" w:rsidP="001E3603">
      <w:pPr>
        <w:pStyle w:val="Estilo1"/>
        <w:numPr>
          <w:ilvl w:val="0"/>
          <w:numId w:val="1"/>
        </w:numPr>
        <w:tabs>
          <w:tab w:val="left" w:pos="426"/>
        </w:tabs>
        <w:ind w:left="0" w:firstLine="0"/>
        <w:rPr>
          <w:sz w:val="28"/>
          <w:szCs w:val="28"/>
          <w:shd w:val="clear" w:color="auto" w:fill="FFFFFF"/>
        </w:rPr>
      </w:pPr>
      <w:r w:rsidRPr="00992A2E">
        <w:rPr>
          <w:sz w:val="28"/>
          <w:szCs w:val="28"/>
          <w:shd w:val="clear" w:color="auto" w:fill="FFFFFF"/>
        </w:rPr>
        <w:t xml:space="preserve">En este caso, encuentra la Sala que el sentido atribuido por los demandantes a la expresión y su contexto no es plausible, ni se deriva con certeza del contenido normativo en que se ubica, porque la demanda se orientó a considerar el alcance regulatorio previsto originalmente por el legislador, sin tener en cuenta que dicho contenido normativo posteriormente fue declarado inexequible en forma parcial y complementado por esta Corte mediante condicionamiento de </w:t>
      </w:r>
      <w:proofErr w:type="spellStart"/>
      <w:r w:rsidRPr="00992A2E">
        <w:rPr>
          <w:sz w:val="28"/>
          <w:szCs w:val="28"/>
          <w:shd w:val="clear" w:color="auto" w:fill="FFFFFF"/>
        </w:rPr>
        <w:t>exequibilidad</w:t>
      </w:r>
      <w:proofErr w:type="spellEnd"/>
      <w:r w:rsidRPr="00992A2E">
        <w:rPr>
          <w:sz w:val="28"/>
          <w:szCs w:val="28"/>
          <w:shd w:val="clear" w:color="auto" w:fill="FFFFFF"/>
        </w:rPr>
        <w:t xml:space="preserve">, con el fin de ajustarlo a los preceptos superiores. </w:t>
      </w:r>
    </w:p>
    <w:p w14:paraId="73BFE306" w14:textId="77777777" w:rsidR="00901EDC" w:rsidRPr="00992A2E" w:rsidRDefault="00901EDC" w:rsidP="001E3603">
      <w:pPr>
        <w:pStyle w:val="Prrafodelista"/>
        <w:rPr>
          <w:sz w:val="28"/>
          <w:szCs w:val="28"/>
          <w:lang w:val="es-ES"/>
        </w:rPr>
      </w:pPr>
    </w:p>
    <w:p w14:paraId="23754D0D" w14:textId="5749E600" w:rsidR="00901EDC" w:rsidRPr="00992A2E" w:rsidRDefault="00901EDC" w:rsidP="001E3603">
      <w:pPr>
        <w:pStyle w:val="Estilo1"/>
        <w:numPr>
          <w:ilvl w:val="0"/>
          <w:numId w:val="1"/>
        </w:numPr>
        <w:tabs>
          <w:tab w:val="left" w:pos="426"/>
        </w:tabs>
        <w:ind w:left="0" w:firstLine="0"/>
        <w:rPr>
          <w:sz w:val="28"/>
          <w:szCs w:val="28"/>
        </w:rPr>
      </w:pPr>
      <w:r w:rsidRPr="00992A2E">
        <w:rPr>
          <w:sz w:val="28"/>
          <w:szCs w:val="28"/>
          <w:lang w:val="es-ES"/>
        </w:rPr>
        <w:lastRenderedPageBreak/>
        <w:t xml:space="preserve">Se reitera pues que los referidos ajustes normativos no fueron tenidos en consideración por los demandantes, por lo que los argumentos en que se basa la censura carecen de certeza. En efecto, la demanda al explicar el procedimiento de </w:t>
      </w:r>
      <w:proofErr w:type="gramStart"/>
      <w:r w:rsidRPr="00992A2E">
        <w:rPr>
          <w:sz w:val="28"/>
          <w:szCs w:val="28"/>
          <w:lang w:val="es-ES"/>
        </w:rPr>
        <w:t>registro,</w:t>
      </w:r>
      <w:proofErr w:type="gramEnd"/>
      <w:r w:rsidRPr="00992A2E">
        <w:rPr>
          <w:sz w:val="28"/>
          <w:szCs w:val="28"/>
          <w:lang w:val="es-ES"/>
        </w:rPr>
        <w:t xml:space="preserve"> asumió que este es de carácter preventivo y que está a cargo de la Policía Nacional, sin reparar en que ese apartado del artículo 248 está excluido del ordenamiento jurídico como consecuencia de la Sentencia C-822 de 2005</w:t>
      </w:r>
      <w:r w:rsidR="00A66E84" w:rsidRPr="00992A2E">
        <w:rPr>
          <w:rStyle w:val="Refdenotaalpie"/>
          <w:sz w:val="28"/>
          <w:szCs w:val="28"/>
          <w:lang w:val="es-ES"/>
        </w:rPr>
        <w:footnoteReference w:id="43"/>
      </w:r>
      <w:r w:rsidRPr="00992A2E">
        <w:rPr>
          <w:sz w:val="28"/>
          <w:szCs w:val="28"/>
          <w:lang w:val="es-ES"/>
        </w:rPr>
        <w:t>.</w:t>
      </w:r>
    </w:p>
    <w:p w14:paraId="6619A68A" w14:textId="77777777" w:rsidR="00901EDC" w:rsidRPr="00992A2E" w:rsidRDefault="00901EDC" w:rsidP="001E3603">
      <w:pPr>
        <w:pStyle w:val="Prrafodelista"/>
        <w:rPr>
          <w:sz w:val="28"/>
          <w:szCs w:val="28"/>
          <w:lang w:val="es-ES"/>
        </w:rPr>
      </w:pPr>
    </w:p>
    <w:p w14:paraId="0116EC88" w14:textId="15C13B45" w:rsidR="00901EDC" w:rsidRPr="00992A2E" w:rsidRDefault="00901EDC" w:rsidP="001E3603">
      <w:pPr>
        <w:pStyle w:val="Estilo1"/>
        <w:numPr>
          <w:ilvl w:val="0"/>
          <w:numId w:val="1"/>
        </w:numPr>
        <w:tabs>
          <w:tab w:val="left" w:pos="426"/>
        </w:tabs>
        <w:ind w:left="0" w:firstLine="0"/>
        <w:rPr>
          <w:sz w:val="28"/>
          <w:szCs w:val="28"/>
        </w:rPr>
      </w:pPr>
      <w:r w:rsidRPr="00992A2E">
        <w:rPr>
          <w:sz w:val="28"/>
          <w:szCs w:val="28"/>
          <w:lang w:val="es-ES"/>
        </w:rPr>
        <w:t xml:space="preserve"> Por otra parte,</w:t>
      </w:r>
      <w:r w:rsidR="009B1404" w:rsidRPr="00992A2E">
        <w:rPr>
          <w:sz w:val="28"/>
          <w:szCs w:val="28"/>
          <w:lang w:val="es-ES"/>
        </w:rPr>
        <w:t xml:space="preserve"> los accionantes</w:t>
      </w:r>
      <w:r w:rsidRPr="00992A2E">
        <w:rPr>
          <w:sz w:val="28"/>
          <w:szCs w:val="28"/>
          <w:lang w:val="es-ES"/>
        </w:rPr>
        <w:t xml:space="preserve"> omitieron</w:t>
      </w:r>
      <w:r w:rsidR="009B1404" w:rsidRPr="00992A2E">
        <w:rPr>
          <w:sz w:val="28"/>
          <w:szCs w:val="28"/>
          <w:lang w:val="es-ES"/>
        </w:rPr>
        <w:t xml:space="preserve"> explicar por qué </w:t>
      </w:r>
      <w:r w:rsidR="002D18F3" w:rsidRPr="00992A2E">
        <w:rPr>
          <w:sz w:val="28"/>
          <w:szCs w:val="28"/>
          <w:lang w:val="es-ES"/>
        </w:rPr>
        <w:t>se desconoce la identidad de género en la diligencia de registro en el marco de la investigación judicial que, según lo dispone la norma, debe desarrollarse con el respeto a</w:t>
      </w:r>
      <w:r w:rsidR="009B1404" w:rsidRPr="00992A2E">
        <w:rPr>
          <w:sz w:val="28"/>
          <w:szCs w:val="28"/>
          <w:lang w:val="es-ES"/>
        </w:rPr>
        <w:t xml:space="preserve"> la dignidad humana de qui</w:t>
      </w:r>
      <w:r w:rsidR="00497FC6" w:rsidRPr="00992A2E">
        <w:rPr>
          <w:sz w:val="28"/>
          <w:szCs w:val="28"/>
          <w:lang w:val="es-ES"/>
        </w:rPr>
        <w:t>e</w:t>
      </w:r>
      <w:r w:rsidR="009B1404" w:rsidRPr="00992A2E">
        <w:rPr>
          <w:sz w:val="28"/>
          <w:szCs w:val="28"/>
          <w:lang w:val="es-ES"/>
        </w:rPr>
        <w:t xml:space="preserve">n se somete a </w:t>
      </w:r>
      <w:r w:rsidR="002D18F3" w:rsidRPr="00992A2E">
        <w:rPr>
          <w:sz w:val="28"/>
          <w:szCs w:val="28"/>
          <w:lang w:val="es-ES"/>
        </w:rPr>
        <w:t>tal procedimiento</w:t>
      </w:r>
      <w:r w:rsidR="00992A2E" w:rsidRPr="00992A2E">
        <w:rPr>
          <w:sz w:val="28"/>
          <w:szCs w:val="28"/>
          <w:lang w:val="es-ES"/>
        </w:rPr>
        <w:t xml:space="preserve">. </w:t>
      </w:r>
      <w:r w:rsidR="00E24E00">
        <w:rPr>
          <w:sz w:val="28"/>
          <w:szCs w:val="28"/>
          <w:lang w:val="es-ES"/>
        </w:rPr>
        <w:t>En su argumentación, dejan</w:t>
      </w:r>
      <w:r w:rsidR="008A2003">
        <w:rPr>
          <w:sz w:val="28"/>
          <w:szCs w:val="28"/>
          <w:lang w:val="es-ES"/>
        </w:rPr>
        <w:t xml:space="preserve"> de lado </w:t>
      </w:r>
      <w:r w:rsidRPr="00992A2E">
        <w:rPr>
          <w:sz w:val="28"/>
          <w:szCs w:val="28"/>
          <w:lang w:val="es-ES"/>
        </w:rPr>
        <w:t xml:space="preserve">que la persona sujeta a registro puede negarse a la práctica del procedimiento, reservándose al juez la definición sobre las condiciones de la diligencia, para que esta se practique en forma obligatoria y definitiva. </w:t>
      </w:r>
    </w:p>
    <w:p w14:paraId="677CBC33" w14:textId="77777777" w:rsidR="00901EDC" w:rsidRPr="00E24E00" w:rsidRDefault="00901EDC" w:rsidP="001E3603">
      <w:pPr>
        <w:pStyle w:val="Prrafodelista"/>
        <w:rPr>
          <w:sz w:val="28"/>
          <w:szCs w:val="28"/>
          <w:lang w:val="es-ES_tradnl"/>
        </w:rPr>
      </w:pPr>
    </w:p>
    <w:p w14:paraId="7D3D5AC2" w14:textId="77777777" w:rsidR="00CA763A" w:rsidRPr="00992A2E" w:rsidRDefault="00901EDC" w:rsidP="00CA763A">
      <w:pPr>
        <w:pStyle w:val="Estilo1"/>
        <w:numPr>
          <w:ilvl w:val="0"/>
          <w:numId w:val="1"/>
        </w:numPr>
        <w:tabs>
          <w:tab w:val="left" w:pos="426"/>
        </w:tabs>
        <w:ind w:left="0" w:firstLine="0"/>
        <w:rPr>
          <w:sz w:val="28"/>
          <w:szCs w:val="28"/>
        </w:rPr>
      </w:pPr>
      <w:r w:rsidRPr="00992A2E">
        <w:rPr>
          <w:sz w:val="28"/>
          <w:szCs w:val="28"/>
          <w:lang w:val="es-ES"/>
        </w:rPr>
        <w:t xml:space="preserve">Así las cosas, la expresión demandada, entendida en su contexto normativo y respecto del alcance regulatorio definido por esta Corte, no cobija el registro policial al que aludió la demanda y tampoco niega ni restringe </w:t>
      </w:r>
      <w:r w:rsidRPr="00992A2E">
        <w:rPr>
          <w:i/>
          <w:iCs/>
          <w:sz w:val="28"/>
          <w:szCs w:val="28"/>
          <w:lang w:val="es-ES"/>
        </w:rPr>
        <w:t>per se</w:t>
      </w:r>
      <w:r w:rsidRPr="00992A2E">
        <w:rPr>
          <w:sz w:val="28"/>
          <w:szCs w:val="28"/>
          <w:lang w:val="es-ES"/>
        </w:rPr>
        <w:t xml:space="preserve"> la opción de expresar una identidad de género que no sea determinada o limitada por el aspecto meramente biológico, como lo alegan los demandantes, pues ello está incorporado al concepto de dignidad humana, principio que guía el procedimiento de registro corporal. La demanda omitió completamente argumentación alguna sobre el particular y desconoció que el texto normativo en el que se ubica la expresión censurada se integra con las reglas definidas por </w:t>
      </w:r>
      <w:r w:rsidR="00160758" w:rsidRPr="00992A2E">
        <w:rPr>
          <w:sz w:val="28"/>
          <w:szCs w:val="28"/>
          <w:lang w:val="es-ES"/>
        </w:rPr>
        <w:t>las decisiones contenidas</w:t>
      </w:r>
      <w:r w:rsidRPr="00992A2E">
        <w:rPr>
          <w:sz w:val="28"/>
          <w:szCs w:val="28"/>
          <w:lang w:val="es-ES"/>
        </w:rPr>
        <w:t xml:space="preserve"> en la Sentencia C-822 de 2005.</w:t>
      </w:r>
    </w:p>
    <w:p w14:paraId="35CFC953" w14:textId="77777777" w:rsidR="00CA763A" w:rsidRPr="00992A2E" w:rsidRDefault="00CA763A" w:rsidP="00CA763A">
      <w:pPr>
        <w:pStyle w:val="Prrafodelista"/>
        <w:rPr>
          <w:sz w:val="28"/>
          <w:szCs w:val="28"/>
        </w:rPr>
      </w:pPr>
    </w:p>
    <w:p w14:paraId="74E534AE" w14:textId="4F4C6329" w:rsidR="00CA763A" w:rsidRPr="00992A2E" w:rsidRDefault="00336D26" w:rsidP="00CA763A">
      <w:pPr>
        <w:pStyle w:val="Estilo1"/>
        <w:numPr>
          <w:ilvl w:val="0"/>
          <w:numId w:val="1"/>
        </w:numPr>
        <w:tabs>
          <w:tab w:val="left" w:pos="426"/>
        </w:tabs>
        <w:ind w:left="0" w:firstLine="0"/>
        <w:rPr>
          <w:sz w:val="28"/>
          <w:szCs w:val="28"/>
        </w:rPr>
      </w:pPr>
      <w:r w:rsidRPr="00992A2E">
        <w:rPr>
          <w:sz w:val="28"/>
          <w:szCs w:val="28"/>
        </w:rPr>
        <w:t>En efecto, en la sentencia en comento</w:t>
      </w:r>
      <w:r w:rsidR="00412C1B" w:rsidRPr="00992A2E">
        <w:rPr>
          <w:sz w:val="28"/>
          <w:szCs w:val="28"/>
        </w:rPr>
        <w:t>,</w:t>
      </w:r>
      <w:r w:rsidRPr="00992A2E">
        <w:rPr>
          <w:sz w:val="28"/>
          <w:szCs w:val="28"/>
        </w:rPr>
        <w:t xml:space="preserve"> la Sala </w:t>
      </w:r>
      <w:r w:rsidR="00072A1C" w:rsidRPr="00992A2E">
        <w:rPr>
          <w:sz w:val="28"/>
          <w:szCs w:val="28"/>
        </w:rPr>
        <w:t xml:space="preserve">al analizar </w:t>
      </w:r>
      <w:r w:rsidRPr="00992A2E">
        <w:rPr>
          <w:sz w:val="28"/>
          <w:szCs w:val="28"/>
        </w:rPr>
        <w:t xml:space="preserve">el </w:t>
      </w:r>
      <w:r w:rsidR="00072A1C" w:rsidRPr="00992A2E">
        <w:rPr>
          <w:sz w:val="28"/>
          <w:szCs w:val="28"/>
        </w:rPr>
        <w:t xml:space="preserve">alcance del </w:t>
      </w:r>
      <w:r w:rsidRPr="00992A2E">
        <w:rPr>
          <w:sz w:val="28"/>
          <w:szCs w:val="28"/>
        </w:rPr>
        <w:t>artículo</w:t>
      </w:r>
      <w:r w:rsidR="00072A1C" w:rsidRPr="00992A2E">
        <w:rPr>
          <w:sz w:val="28"/>
          <w:szCs w:val="28"/>
        </w:rPr>
        <w:t xml:space="preserve"> del </w:t>
      </w:r>
      <w:r w:rsidR="00D80A46" w:rsidRPr="00992A2E">
        <w:rPr>
          <w:sz w:val="28"/>
          <w:szCs w:val="28"/>
        </w:rPr>
        <w:t>Código de Procedimiento Penal</w:t>
      </w:r>
      <w:r w:rsidRPr="00992A2E">
        <w:rPr>
          <w:sz w:val="28"/>
          <w:szCs w:val="28"/>
        </w:rPr>
        <w:t>,</w:t>
      </w:r>
      <w:r w:rsidR="00072A1C" w:rsidRPr="00992A2E">
        <w:rPr>
          <w:sz w:val="28"/>
          <w:szCs w:val="28"/>
        </w:rPr>
        <w:t xml:space="preserve"> también estudió </w:t>
      </w:r>
      <w:r w:rsidRPr="00992A2E">
        <w:rPr>
          <w:sz w:val="28"/>
          <w:szCs w:val="28"/>
        </w:rPr>
        <w:t xml:space="preserve">las circunstancias a las cuales se refiere </w:t>
      </w:r>
      <w:r w:rsidR="00072A1C" w:rsidRPr="00992A2E">
        <w:rPr>
          <w:sz w:val="28"/>
          <w:szCs w:val="28"/>
        </w:rPr>
        <w:t xml:space="preserve">esa </w:t>
      </w:r>
      <w:r w:rsidRPr="00992A2E">
        <w:rPr>
          <w:sz w:val="28"/>
          <w:szCs w:val="28"/>
        </w:rPr>
        <w:t>norma, su finalidad, las personas sobre las que recae el registro, los requisitos materiales y formales para realizarlo y las garantías que deben respetarse. En el análisis de las circunstancias, como puede verse en el FJ 5.3.1 y ss., se precisa que lo regula</w:t>
      </w:r>
      <w:r w:rsidR="00072A1C" w:rsidRPr="00992A2E">
        <w:rPr>
          <w:sz w:val="28"/>
          <w:szCs w:val="28"/>
        </w:rPr>
        <w:t>do</w:t>
      </w:r>
      <w:r w:rsidRPr="00992A2E">
        <w:rPr>
          <w:sz w:val="28"/>
          <w:szCs w:val="28"/>
        </w:rPr>
        <w:t xml:space="preserve"> en la </w:t>
      </w:r>
      <w:r w:rsidR="00D80A46" w:rsidRPr="00992A2E">
        <w:rPr>
          <w:sz w:val="28"/>
          <w:szCs w:val="28"/>
        </w:rPr>
        <w:t xml:space="preserve">disposición </w:t>
      </w:r>
      <w:r w:rsidRPr="00992A2E">
        <w:rPr>
          <w:i/>
          <w:iCs/>
          <w:sz w:val="28"/>
          <w:szCs w:val="28"/>
        </w:rPr>
        <w:t xml:space="preserve">sub examine </w:t>
      </w:r>
      <w:r w:rsidRPr="00992A2E">
        <w:rPr>
          <w:sz w:val="28"/>
          <w:szCs w:val="28"/>
        </w:rPr>
        <w:t xml:space="preserve">es lo relativo a los registros realizados en el marco de procesos penales, a partir de una decisión del correspondiente fiscal, siguiendo el plan metodológico de la investigación, y, desde luego, con autorización judicial. La demanda </w:t>
      </w:r>
      <w:r w:rsidR="00072A1C" w:rsidRPr="00992A2E">
        <w:rPr>
          <w:sz w:val="28"/>
          <w:szCs w:val="28"/>
        </w:rPr>
        <w:t xml:space="preserve">que ahora es objeto de </w:t>
      </w:r>
      <w:proofErr w:type="gramStart"/>
      <w:r w:rsidR="00072A1C" w:rsidRPr="00992A2E">
        <w:rPr>
          <w:sz w:val="28"/>
          <w:szCs w:val="28"/>
        </w:rPr>
        <w:t>examen,</w:t>
      </w:r>
      <w:proofErr w:type="gramEnd"/>
      <w:r w:rsidR="00072A1C" w:rsidRPr="00992A2E">
        <w:rPr>
          <w:sz w:val="28"/>
          <w:szCs w:val="28"/>
        </w:rPr>
        <w:t xml:space="preserve"> </w:t>
      </w:r>
      <w:r w:rsidRPr="00992A2E">
        <w:rPr>
          <w:sz w:val="28"/>
          <w:szCs w:val="28"/>
        </w:rPr>
        <w:t xml:space="preserve">no considera que </w:t>
      </w:r>
      <w:r w:rsidR="00072A1C" w:rsidRPr="00992A2E">
        <w:rPr>
          <w:sz w:val="28"/>
          <w:szCs w:val="28"/>
        </w:rPr>
        <w:t>aquel sea</w:t>
      </w:r>
      <w:r w:rsidRPr="00992A2E">
        <w:rPr>
          <w:sz w:val="28"/>
          <w:szCs w:val="28"/>
        </w:rPr>
        <w:t xml:space="preserve"> el </w:t>
      </w:r>
      <w:r w:rsidR="00D80A46" w:rsidRPr="00992A2E">
        <w:rPr>
          <w:sz w:val="28"/>
          <w:szCs w:val="28"/>
        </w:rPr>
        <w:t>ámbito</w:t>
      </w:r>
      <w:r w:rsidRPr="00992A2E">
        <w:rPr>
          <w:sz w:val="28"/>
          <w:szCs w:val="28"/>
        </w:rPr>
        <w:t xml:space="preserve"> de la norma y, por el contrario, asume que</w:t>
      </w:r>
      <w:r w:rsidR="00072A1C" w:rsidRPr="00992A2E">
        <w:rPr>
          <w:sz w:val="28"/>
          <w:szCs w:val="28"/>
        </w:rPr>
        <w:t xml:space="preserve"> el registro es una</w:t>
      </w:r>
      <w:r w:rsidRPr="00992A2E">
        <w:rPr>
          <w:sz w:val="28"/>
          <w:szCs w:val="28"/>
        </w:rPr>
        <w:t xml:space="preserve"> </w:t>
      </w:r>
      <w:r w:rsidR="00072A1C" w:rsidRPr="00992A2E">
        <w:rPr>
          <w:color w:val="000000" w:themeColor="text1"/>
          <w:sz w:val="28"/>
          <w:szCs w:val="28"/>
        </w:rPr>
        <w:t>«</w:t>
      </w:r>
      <w:r w:rsidRPr="00992A2E">
        <w:rPr>
          <w:sz w:val="26"/>
          <w:szCs w:val="26"/>
        </w:rPr>
        <w:t>una medida preventiva implementada por la Policía Nacional para resguardar el orden público</w:t>
      </w:r>
      <w:r w:rsidR="00072A1C" w:rsidRPr="00992A2E">
        <w:rPr>
          <w:color w:val="000000" w:themeColor="text1"/>
          <w:sz w:val="28"/>
          <w:szCs w:val="28"/>
        </w:rPr>
        <w:t>».</w:t>
      </w:r>
      <w:r w:rsidRPr="00992A2E">
        <w:rPr>
          <w:i/>
          <w:iCs/>
          <w:sz w:val="28"/>
          <w:szCs w:val="28"/>
        </w:rPr>
        <w:t xml:space="preserve"> </w:t>
      </w:r>
      <w:r w:rsidRPr="00992A2E">
        <w:rPr>
          <w:sz w:val="28"/>
          <w:szCs w:val="28"/>
        </w:rPr>
        <w:t xml:space="preserve">La anterior comprensión de la norma demandada, que se hace prescindiendo de la Sentencia C-822 de 2005, </w:t>
      </w:r>
      <w:r w:rsidR="00072A1C" w:rsidRPr="00992A2E">
        <w:rPr>
          <w:sz w:val="28"/>
          <w:szCs w:val="28"/>
        </w:rPr>
        <w:t>implica</w:t>
      </w:r>
      <w:r w:rsidRPr="00992A2E">
        <w:rPr>
          <w:sz w:val="28"/>
          <w:szCs w:val="28"/>
        </w:rPr>
        <w:t xml:space="preserve"> que la demanda no tenga en cuenta que al estar de por medio una autorización u orden judicial, impartida por el juez de control de garantías, </w:t>
      </w:r>
      <w:r w:rsidR="00D80A46" w:rsidRPr="00992A2E">
        <w:rPr>
          <w:sz w:val="28"/>
          <w:szCs w:val="28"/>
        </w:rPr>
        <w:t xml:space="preserve">existe </w:t>
      </w:r>
      <w:r w:rsidRPr="00992A2E">
        <w:rPr>
          <w:sz w:val="28"/>
          <w:szCs w:val="28"/>
        </w:rPr>
        <w:t xml:space="preserve">una providencia judicial que se refiere a las condiciones </w:t>
      </w:r>
      <w:r w:rsidR="00D80A46" w:rsidRPr="00992A2E">
        <w:rPr>
          <w:sz w:val="28"/>
          <w:szCs w:val="28"/>
        </w:rPr>
        <w:t xml:space="preserve">para la </w:t>
      </w:r>
      <w:r w:rsidRPr="00992A2E">
        <w:rPr>
          <w:sz w:val="28"/>
          <w:szCs w:val="28"/>
        </w:rPr>
        <w:t>realización del registro</w:t>
      </w:r>
      <w:r w:rsidR="00D80A46" w:rsidRPr="00992A2E">
        <w:rPr>
          <w:sz w:val="28"/>
          <w:szCs w:val="28"/>
        </w:rPr>
        <w:t xml:space="preserve"> y </w:t>
      </w:r>
      <w:r w:rsidRPr="00992A2E">
        <w:rPr>
          <w:sz w:val="28"/>
          <w:szCs w:val="28"/>
        </w:rPr>
        <w:t xml:space="preserve">a la persona sobre la que este recae (que solo puede ser una persona relacionada con el proceso). Por tanto, lejos de tratarse de </w:t>
      </w:r>
      <w:r w:rsidR="00D80A46" w:rsidRPr="00992A2E">
        <w:rPr>
          <w:sz w:val="28"/>
          <w:szCs w:val="28"/>
        </w:rPr>
        <w:t>una actuación</w:t>
      </w:r>
      <w:r w:rsidRPr="00992A2E">
        <w:rPr>
          <w:sz w:val="28"/>
          <w:szCs w:val="28"/>
        </w:rPr>
        <w:t xml:space="preserve"> </w:t>
      </w:r>
      <w:r w:rsidR="00D80A46" w:rsidRPr="00992A2E">
        <w:rPr>
          <w:sz w:val="28"/>
          <w:szCs w:val="28"/>
        </w:rPr>
        <w:t xml:space="preserve">arbitraria </w:t>
      </w:r>
      <w:r w:rsidRPr="00992A2E">
        <w:rPr>
          <w:sz w:val="28"/>
          <w:szCs w:val="28"/>
        </w:rPr>
        <w:t xml:space="preserve">o </w:t>
      </w:r>
      <w:r w:rsidR="00D80A46" w:rsidRPr="00992A2E">
        <w:rPr>
          <w:sz w:val="28"/>
          <w:szCs w:val="28"/>
        </w:rPr>
        <w:t>inopinada</w:t>
      </w:r>
      <w:r w:rsidRPr="00992A2E">
        <w:rPr>
          <w:sz w:val="28"/>
          <w:szCs w:val="28"/>
        </w:rPr>
        <w:t xml:space="preserve">, que puede realizarse de cualquier modo, el registro </w:t>
      </w:r>
      <w:r w:rsidR="00D80A46" w:rsidRPr="00992A2E">
        <w:rPr>
          <w:sz w:val="28"/>
          <w:szCs w:val="28"/>
        </w:rPr>
        <w:t xml:space="preserve">está acotado por </w:t>
      </w:r>
      <w:r w:rsidRPr="00992A2E">
        <w:rPr>
          <w:sz w:val="28"/>
          <w:szCs w:val="28"/>
        </w:rPr>
        <w:t xml:space="preserve">una serie de pautas que, unidas al sentido y alcance que esta Corte </w:t>
      </w:r>
      <w:r w:rsidRPr="00992A2E">
        <w:rPr>
          <w:sz w:val="28"/>
          <w:szCs w:val="28"/>
        </w:rPr>
        <w:lastRenderedPageBreak/>
        <w:t xml:space="preserve">determinó </w:t>
      </w:r>
      <w:r w:rsidR="00D80A46" w:rsidRPr="00992A2E">
        <w:rPr>
          <w:sz w:val="28"/>
          <w:szCs w:val="28"/>
        </w:rPr>
        <w:t>sobre</w:t>
      </w:r>
      <w:r w:rsidRPr="00992A2E">
        <w:rPr>
          <w:sz w:val="28"/>
          <w:szCs w:val="28"/>
        </w:rPr>
        <w:t xml:space="preserve"> el artículo 248 del CPP, hacen que la lectura que propone la demanda no corresponda al contenido normativo objetivo de dicho precepto.</w:t>
      </w:r>
    </w:p>
    <w:p w14:paraId="0E9A120C" w14:textId="77777777" w:rsidR="00CA763A" w:rsidRPr="00992A2E" w:rsidRDefault="00CA763A" w:rsidP="00CA763A">
      <w:pPr>
        <w:pStyle w:val="Estilo1"/>
        <w:tabs>
          <w:tab w:val="left" w:pos="426"/>
        </w:tabs>
        <w:rPr>
          <w:sz w:val="28"/>
          <w:szCs w:val="28"/>
        </w:rPr>
      </w:pPr>
    </w:p>
    <w:p w14:paraId="6C8E641C" w14:textId="4084EB18" w:rsidR="00336D26" w:rsidRPr="00992A2E" w:rsidRDefault="00336D26" w:rsidP="00CA763A">
      <w:pPr>
        <w:pStyle w:val="Estilo1"/>
        <w:numPr>
          <w:ilvl w:val="0"/>
          <w:numId w:val="1"/>
        </w:numPr>
        <w:tabs>
          <w:tab w:val="left" w:pos="426"/>
        </w:tabs>
        <w:ind w:left="0" w:firstLine="0"/>
        <w:rPr>
          <w:sz w:val="28"/>
          <w:szCs w:val="28"/>
        </w:rPr>
      </w:pPr>
      <w:r w:rsidRPr="00992A2E">
        <w:rPr>
          <w:sz w:val="28"/>
          <w:szCs w:val="28"/>
        </w:rPr>
        <w:t xml:space="preserve">Esta falta de certeza es la que permite comprender el empeño de los demandantes por cuestionar el procedimiento de registro, que </w:t>
      </w:r>
      <w:r w:rsidR="00D80A46" w:rsidRPr="00992A2E">
        <w:rPr>
          <w:sz w:val="28"/>
          <w:szCs w:val="28"/>
        </w:rPr>
        <w:t xml:space="preserve">estos </w:t>
      </w:r>
      <w:r w:rsidRPr="00992A2E">
        <w:rPr>
          <w:sz w:val="28"/>
          <w:szCs w:val="28"/>
        </w:rPr>
        <w:t xml:space="preserve">entienden a cargo de la Policía Nacional, en el marco de una actividad preventiva, pues este escenario es ajeno a la realidad objetiva de la norma y solo corresponde a la particular inteligencia </w:t>
      </w:r>
      <w:proofErr w:type="gramStart"/>
      <w:r w:rsidRPr="00992A2E">
        <w:rPr>
          <w:sz w:val="28"/>
          <w:szCs w:val="28"/>
        </w:rPr>
        <w:t>que</w:t>
      </w:r>
      <w:proofErr w:type="gramEnd"/>
      <w:r w:rsidRPr="00992A2E">
        <w:rPr>
          <w:sz w:val="28"/>
          <w:szCs w:val="28"/>
        </w:rPr>
        <w:t xml:space="preserve"> de ella, de manera subjetiva e injustificada, se hace en la demanda. </w:t>
      </w:r>
    </w:p>
    <w:p w14:paraId="1BBF49F6" w14:textId="77777777" w:rsidR="00901EDC" w:rsidRPr="00992A2E" w:rsidRDefault="00901EDC" w:rsidP="001E3603">
      <w:pPr>
        <w:pStyle w:val="Estilo1"/>
        <w:tabs>
          <w:tab w:val="left" w:pos="426"/>
        </w:tabs>
        <w:rPr>
          <w:sz w:val="28"/>
          <w:szCs w:val="28"/>
          <w:lang w:val="es-ES"/>
        </w:rPr>
      </w:pPr>
    </w:p>
    <w:p w14:paraId="14853444" w14:textId="77777777" w:rsidR="00901EDC" w:rsidRPr="00992A2E" w:rsidRDefault="00901EDC" w:rsidP="001E3603">
      <w:pPr>
        <w:pStyle w:val="Estilo1"/>
        <w:numPr>
          <w:ilvl w:val="0"/>
          <w:numId w:val="1"/>
        </w:numPr>
        <w:tabs>
          <w:tab w:val="left" w:pos="426"/>
        </w:tabs>
        <w:ind w:left="0" w:firstLine="0"/>
        <w:rPr>
          <w:sz w:val="28"/>
          <w:szCs w:val="28"/>
        </w:rPr>
      </w:pPr>
      <w:r w:rsidRPr="00992A2E">
        <w:rPr>
          <w:sz w:val="28"/>
          <w:szCs w:val="28"/>
          <w:lang w:val="es-ES"/>
        </w:rPr>
        <w:t xml:space="preserve"> De manera que al formular la demanda no se tuvo en cuenta que con la intervención específica de la autoridad judicial que autoriza el procedimiento, la cual debe actuar dentro del marco axiológico normativo definido por el legislador y precisado por el juez constitucional, bajo estándares de proporcionalidad y razonabilidad, se habrá de ponderar en cada caso las circunstancias en pro del respeto, entre otros, de la identidad de género de la persona sometida a la diligencia de registro corporal. Esta consideración no fue objeto de análisis al ejercer la acción, por lo cual se evidencia la ineptitud del cargo por carecer de certeza.</w:t>
      </w:r>
    </w:p>
    <w:p w14:paraId="5532DCA2" w14:textId="77777777" w:rsidR="00901EDC" w:rsidRPr="00992A2E" w:rsidRDefault="00901EDC" w:rsidP="00336D26">
      <w:pPr>
        <w:pStyle w:val="Estilo1"/>
        <w:tabs>
          <w:tab w:val="left" w:pos="426"/>
        </w:tabs>
        <w:rPr>
          <w:sz w:val="28"/>
          <w:szCs w:val="28"/>
        </w:rPr>
      </w:pPr>
    </w:p>
    <w:p w14:paraId="1B471B14" w14:textId="78F1571B" w:rsidR="00901EDC" w:rsidRPr="00992A2E" w:rsidRDefault="00901EDC" w:rsidP="001E3603">
      <w:pPr>
        <w:pStyle w:val="Estilo1"/>
        <w:numPr>
          <w:ilvl w:val="0"/>
          <w:numId w:val="1"/>
        </w:numPr>
        <w:tabs>
          <w:tab w:val="left" w:pos="426"/>
        </w:tabs>
        <w:ind w:left="0" w:firstLine="0"/>
        <w:rPr>
          <w:sz w:val="28"/>
          <w:szCs w:val="28"/>
        </w:rPr>
      </w:pPr>
      <w:r w:rsidRPr="00992A2E">
        <w:rPr>
          <w:sz w:val="28"/>
          <w:szCs w:val="28"/>
          <w:shd w:val="clear" w:color="auto" w:fill="FFFFFF"/>
        </w:rPr>
        <w:t xml:space="preserve">La demanda también carece de </w:t>
      </w:r>
      <w:r w:rsidRPr="00992A2E">
        <w:rPr>
          <w:i/>
          <w:iCs/>
          <w:sz w:val="28"/>
          <w:szCs w:val="28"/>
          <w:shd w:val="clear" w:color="auto" w:fill="FFFFFF"/>
        </w:rPr>
        <w:t xml:space="preserve">especificidad. </w:t>
      </w:r>
      <w:r w:rsidRPr="00992A2E">
        <w:rPr>
          <w:sz w:val="28"/>
          <w:szCs w:val="28"/>
          <w:shd w:val="clear" w:color="auto" w:fill="FFFFFF"/>
        </w:rPr>
        <w:t>E</w:t>
      </w:r>
      <w:r w:rsidRPr="00992A2E">
        <w:rPr>
          <w:sz w:val="28"/>
          <w:szCs w:val="28"/>
          <w:lang w:val="es-ES"/>
        </w:rPr>
        <w:t xml:space="preserve">n el auto admisorio </w:t>
      </w:r>
      <w:r w:rsidR="003E327A" w:rsidRPr="00992A2E">
        <w:rPr>
          <w:sz w:val="28"/>
          <w:szCs w:val="28"/>
          <w:lang w:val="es-ES"/>
        </w:rPr>
        <w:t xml:space="preserve">en </w:t>
      </w:r>
      <w:r w:rsidRPr="00992A2E">
        <w:rPr>
          <w:sz w:val="28"/>
          <w:szCs w:val="28"/>
          <w:lang w:val="es-ES"/>
        </w:rPr>
        <w:t xml:space="preserve">aplicación del principio </w:t>
      </w:r>
      <w:r w:rsidRPr="00992A2E">
        <w:rPr>
          <w:i/>
          <w:iCs/>
          <w:sz w:val="28"/>
          <w:szCs w:val="28"/>
          <w:lang w:val="es-ES"/>
        </w:rPr>
        <w:t xml:space="preserve">pro </w:t>
      </w:r>
      <w:proofErr w:type="spellStart"/>
      <w:r w:rsidRPr="00992A2E">
        <w:rPr>
          <w:i/>
          <w:iCs/>
          <w:sz w:val="28"/>
          <w:szCs w:val="28"/>
          <w:lang w:val="es-ES"/>
        </w:rPr>
        <w:t>actione</w:t>
      </w:r>
      <w:proofErr w:type="spellEnd"/>
      <w:r w:rsidRPr="00992A2E">
        <w:rPr>
          <w:sz w:val="28"/>
          <w:szCs w:val="28"/>
          <w:lang w:val="es-ES"/>
        </w:rPr>
        <w:t xml:space="preserve">, y dado que la acusación y sus explicaciones se enfocaban </w:t>
      </w:r>
      <w:r w:rsidR="003E327A" w:rsidRPr="00992A2E">
        <w:rPr>
          <w:sz w:val="28"/>
          <w:szCs w:val="28"/>
          <w:lang w:val="es-ES"/>
        </w:rPr>
        <w:t>en</w:t>
      </w:r>
      <w:r w:rsidRPr="00992A2E">
        <w:rPr>
          <w:sz w:val="28"/>
          <w:szCs w:val="28"/>
          <w:lang w:val="es-ES"/>
        </w:rPr>
        <w:t xml:space="preserve"> la palabra </w:t>
      </w:r>
      <w:r w:rsidR="00912A66" w:rsidRPr="00992A2E">
        <w:rPr>
          <w:sz w:val="28"/>
          <w:szCs w:val="28"/>
          <w:lang w:val="es-ES"/>
        </w:rPr>
        <w:t>«</w:t>
      </w:r>
      <w:r w:rsidRPr="00992A2E">
        <w:rPr>
          <w:sz w:val="28"/>
          <w:szCs w:val="28"/>
          <w:lang w:val="es-ES"/>
        </w:rPr>
        <w:t>sexo</w:t>
      </w:r>
      <w:r w:rsidR="00912A66" w:rsidRPr="00992A2E">
        <w:rPr>
          <w:sz w:val="28"/>
          <w:szCs w:val="28"/>
          <w:lang w:val="es-ES"/>
        </w:rPr>
        <w:t>»</w:t>
      </w:r>
      <w:r w:rsidRPr="00992A2E">
        <w:rPr>
          <w:sz w:val="28"/>
          <w:szCs w:val="28"/>
          <w:lang w:val="es-ES"/>
        </w:rPr>
        <w:t xml:space="preserve"> y que los accionantes señalaron expresamente que dirigían su ataque contra el inciso segundo del artículo 248 del Código de Procedimiento Penal, el despacho sustanciador consideró que la demanda reunía las condiciones necesarias para activar el juicio de constitucionalidad. No obstante, encuentra la Sala Plena que cuando los demandantes se refieren en particular al alcance del registro personal, aluden únicamente al realizado por la Policía Nacional de manera preventiva -hipótesis contemplada en el texto de la norma original, pero que desapareció por efecto de su declaratoria de </w:t>
      </w:r>
      <w:proofErr w:type="spellStart"/>
      <w:r w:rsidRPr="00992A2E">
        <w:rPr>
          <w:sz w:val="28"/>
          <w:szCs w:val="28"/>
          <w:lang w:val="es-ES"/>
        </w:rPr>
        <w:t>inexequibilidad</w:t>
      </w:r>
      <w:proofErr w:type="spellEnd"/>
      <w:r w:rsidRPr="00992A2E">
        <w:rPr>
          <w:sz w:val="28"/>
          <w:szCs w:val="28"/>
          <w:lang w:val="es-ES"/>
        </w:rPr>
        <w:t>.</w:t>
      </w:r>
    </w:p>
    <w:p w14:paraId="11E69B25" w14:textId="77777777" w:rsidR="00901EDC" w:rsidRPr="00992A2E" w:rsidRDefault="00901EDC" w:rsidP="001E3603">
      <w:pPr>
        <w:pStyle w:val="Estilo1"/>
        <w:tabs>
          <w:tab w:val="left" w:pos="426"/>
        </w:tabs>
        <w:rPr>
          <w:sz w:val="28"/>
          <w:szCs w:val="28"/>
        </w:rPr>
      </w:pPr>
    </w:p>
    <w:p w14:paraId="56DA9BDA" w14:textId="77777777" w:rsidR="00901EDC" w:rsidRPr="00992A2E" w:rsidRDefault="00901EDC" w:rsidP="001E3603">
      <w:pPr>
        <w:pStyle w:val="Estilo1"/>
        <w:numPr>
          <w:ilvl w:val="0"/>
          <w:numId w:val="1"/>
        </w:numPr>
        <w:tabs>
          <w:tab w:val="left" w:pos="426"/>
        </w:tabs>
        <w:ind w:left="0" w:firstLine="0"/>
        <w:rPr>
          <w:sz w:val="28"/>
          <w:szCs w:val="28"/>
          <w:lang w:val="es-ES"/>
        </w:rPr>
      </w:pPr>
      <w:r w:rsidRPr="00992A2E">
        <w:rPr>
          <w:sz w:val="28"/>
          <w:szCs w:val="28"/>
          <w:lang w:val="es-CO"/>
        </w:rPr>
        <w:t xml:space="preserve">Al respecto, es importante señalar que </w:t>
      </w:r>
      <w:r w:rsidRPr="00992A2E">
        <w:rPr>
          <w:sz w:val="28"/>
          <w:szCs w:val="28"/>
        </w:rPr>
        <w:t>el artículo 248 del Código de Procedimiento Penal, en su texto original, se refería a tres figuras (i) el registro realizado en desarrollo de procedimientos preventivos, a cargo de la fuerza pública y en cumplimiento de su función constitucional; (</w:t>
      </w:r>
      <w:proofErr w:type="spellStart"/>
      <w:r w:rsidRPr="00992A2E">
        <w:rPr>
          <w:sz w:val="28"/>
          <w:szCs w:val="28"/>
        </w:rPr>
        <w:t>ii</w:t>
      </w:r>
      <w:proofErr w:type="spellEnd"/>
      <w:r w:rsidRPr="00992A2E">
        <w:rPr>
          <w:sz w:val="28"/>
          <w:szCs w:val="28"/>
        </w:rPr>
        <w:t>) el registro incidental a la captura y (</w:t>
      </w:r>
      <w:proofErr w:type="spellStart"/>
      <w:r w:rsidRPr="00992A2E">
        <w:rPr>
          <w:sz w:val="28"/>
          <w:szCs w:val="28"/>
        </w:rPr>
        <w:t>iii</w:t>
      </w:r>
      <w:proofErr w:type="spellEnd"/>
      <w:r w:rsidRPr="00992A2E">
        <w:rPr>
          <w:sz w:val="28"/>
          <w:szCs w:val="28"/>
        </w:rPr>
        <w:t xml:space="preserve">) el registro personal que se efectúa para recuperar evidencia física con fines de investigación penal. </w:t>
      </w:r>
    </w:p>
    <w:p w14:paraId="1B99E9FE" w14:textId="77777777" w:rsidR="00901EDC" w:rsidRPr="00992A2E" w:rsidRDefault="00901EDC" w:rsidP="001E3603">
      <w:pPr>
        <w:pStyle w:val="Prrafodelista"/>
        <w:rPr>
          <w:sz w:val="28"/>
          <w:szCs w:val="28"/>
        </w:rPr>
      </w:pPr>
    </w:p>
    <w:p w14:paraId="7AB2690C" w14:textId="5B93B5CF" w:rsidR="00901EDC" w:rsidRPr="00992A2E" w:rsidRDefault="00901EDC" w:rsidP="001E3603">
      <w:pPr>
        <w:pStyle w:val="Estilo1"/>
        <w:numPr>
          <w:ilvl w:val="0"/>
          <w:numId w:val="1"/>
        </w:numPr>
        <w:tabs>
          <w:tab w:val="left" w:pos="426"/>
        </w:tabs>
        <w:ind w:left="0" w:firstLine="0"/>
        <w:rPr>
          <w:sz w:val="28"/>
          <w:szCs w:val="28"/>
          <w:lang w:val="es-ES"/>
        </w:rPr>
      </w:pPr>
      <w:r w:rsidRPr="00992A2E">
        <w:rPr>
          <w:sz w:val="28"/>
          <w:szCs w:val="28"/>
        </w:rPr>
        <w:t xml:space="preserve">La primera figura (el registro que realiza la fuerza pública, de carácter preventivo), como se advirtió, fue declarada inexequible mediante la Sentencia C-822 de 2005, por tanto, desapareció del mundo jurídico. </w:t>
      </w:r>
    </w:p>
    <w:p w14:paraId="2974DEE8" w14:textId="77777777" w:rsidR="00901EDC" w:rsidRPr="00992A2E" w:rsidRDefault="00901EDC" w:rsidP="001E3603">
      <w:pPr>
        <w:pStyle w:val="Prrafodelista"/>
        <w:rPr>
          <w:sz w:val="28"/>
          <w:szCs w:val="28"/>
        </w:rPr>
      </w:pPr>
    </w:p>
    <w:p w14:paraId="03983357" w14:textId="66448FD6" w:rsidR="00901EDC" w:rsidRPr="00992A2E" w:rsidRDefault="00901EDC" w:rsidP="001E3603">
      <w:pPr>
        <w:pStyle w:val="Estilo1"/>
        <w:numPr>
          <w:ilvl w:val="0"/>
          <w:numId w:val="1"/>
        </w:numPr>
        <w:tabs>
          <w:tab w:val="left" w:pos="426"/>
        </w:tabs>
        <w:ind w:left="0" w:firstLine="0"/>
        <w:rPr>
          <w:sz w:val="28"/>
          <w:szCs w:val="28"/>
          <w:lang w:val="es-ES"/>
        </w:rPr>
      </w:pPr>
      <w:r w:rsidRPr="00992A2E">
        <w:rPr>
          <w:sz w:val="28"/>
          <w:szCs w:val="28"/>
        </w:rPr>
        <w:t>El registro incidental de captura tiene como finalidad asegurar la eficacia misma de la captura y evitar la destrucción o el ocultamiento</w:t>
      </w:r>
      <w:r w:rsidR="00C30930" w:rsidRPr="00992A2E">
        <w:rPr>
          <w:sz w:val="28"/>
          <w:szCs w:val="28"/>
        </w:rPr>
        <w:t xml:space="preserve"> de</w:t>
      </w:r>
      <w:r w:rsidRPr="00992A2E">
        <w:rPr>
          <w:sz w:val="28"/>
          <w:szCs w:val="28"/>
        </w:rPr>
        <w:t xml:space="preserve"> elementos materiales probatorios o evidencia física que se encuentren en posesión de la persona capturada. </w:t>
      </w:r>
      <w:r w:rsidR="00912A66" w:rsidRPr="00992A2E">
        <w:rPr>
          <w:sz w:val="28"/>
          <w:szCs w:val="28"/>
        </w:rPr>
        <w:t>«</w:t>
      </w:r>
      <w:r w:rsidRPr="00992A2E">
        <w:rPr>
          <w:sz w:val="26"/>
          <w:szCs w:val="26"/>
        </w:rPr>
        <w:t xml:space="preserve">Comprende, por lo tanto, la revisión superficial del individuo, de la indumentaria que porta, y de objetos bajo control físico de la persona capturada, </w:t>
      </w:r>
      <w:r w:rsidRPr="00992A2E">
        <w:rPr>
          <w:sz w:val="26"/>
          <w:szCs w:val="26"/>
        </w:rPr>
        <w:lastRenderedPageBreak/>
        <w:t>como un bolso, como quiera que por su cercanía física éstos pueden ser usados para ocultar armas o evidencia física</w:t>
      </w:r>
      <w:r w:rsidR="00912A66" w:rsidRPr="00992A2E">
        <w:rPr>
          <w:sz w:val="28"/>
          <w:szCs w:val="28"/>
        </w:rPr>
        <w:t>»</w:t>
      </w:r>
      <w:r w:rsidRPr="00992A2E">
        <w:rPr>
          <w:rStyle w:val="Refdenotaalpie"/>
          <w:sz w:val="28"/>
          <w:szCs w:val="28"/>
        </w:rPr>
        <w:footnoteReference w:id="44"/>
      </w:r>
      <w:r w:rsidRPr="00992A2E">
        <w:rPr>
          <w:sz w:val="28"/>
          <w:szCs w:val="28"/>
        </w:rPr>
        <w:t>.</w:t>
      </w:r>
    </w:p>
    <w:p w14:paraId="00F647E8" w14:textId="178BCE9C" w:rsidR="00901EDC" w:rsidRPr="00992A2E" w:rsidRDefault="00901EDC" w:rsidP="001E3603">
      <w:pPr>
        <w:ind w:left="420" w:hanging="420"/>
        <w:jc w:val="both"/>
        <w:rPr>
          <w:sz w:val="22"/>
          <w:szCs w:val="22"/>
        </w:rPr>
      </w:pPr>
    </w:p>
    <w:p w14:paraId="033144B6" w14:textId="4CB2AA14" w:rsidR="00901EDC" w:rsidRPr="00992A2E" w:rsidRDefault="00901EDC" w:rsidP="001E3603">
      <w:pPr>
        <w:pStyle w:val="Estilo1"/>
        <w:numPr>
          <w:ilvl w:val="0"/>
          <w:numId w:val="1"/>
        </w:numPr>
        <w:tabs>
          <w:tab w:val="left" w:pos="426"/>
        </w:tabs>
        <w:ind w:left="0" w:firstLine="0"/>
        <w:rPr>
          <w:sz w:val="28"/>
          <w:szCs w:val="28"/>
          <w:lang w:val="es-ES"/>
        </w:rPr>
      </w:pPr>
      <w:r w:rsidRPr="00992A2E">
        <w:rPr>
          <w:sz w:val="28"/>
          <w:szCs w:val="28"/>
        </w:rPr>
        <w:t>La tercera modalidad, que es la propiamente regulada en el citado artículo 248, se refiere al registro de quien es sujeto de investigación, o de un tercero relacionado con la actuación penal</w:t>
      </w:r>
      <w:r w:rsidRPr="00992A2E">
        <w:rPr>
          <w:rStyle w:val="Refdenotaalpie"/>
          <w:sz w:val="28"/>
          <w:szCs w:val="28"/>
        </w:rPr>
        <w:footnoteReference w:id="45"/>
      </w:r>
      <w:r w:rsidRPr="00992A2E">
        <w:rPr>
          <w:sz w:val="28"/>
          <w:szCs w:val="28"/>
        </w:rPr>
        <w:t xml:space="preserve">. </w:t>
      </w:r>
    </w:p>
    <w:p w14:paraId="14259ACA" w14:textId="77777777" w:rsidR="00901EDC" w:rsidRPr="007B3227" w:rsidRDefault="00901EDC" w:rsidP="007B3227">
      <w:pPr>
        <w:rPr>
          <w:sz w:val="28"/>
          <w:szCs w:val="28"/>
          <w:lang w:val="es-ES"/>
        </w:rPr>
      </w:pPr>
    </w:p>
    <w:p w14:paraId="01AFFDDB" w14:textId="7D339FF9" w:rsidR="00901EDC" w:rsidRPr="00992A2E" w:rsidRDefault="00901EDC" w:rsidP="001E3603">
      <w:pPr>
        <w:pStyle w:val="Estilo1"/>
        <w:numPr>
          <w:ilvl w:val="0"/>
          <w:numId w:val="1"/>
        </w:numPr>
        <w:tabs>
          <w:tab w:val="left" w:pos="426"/>
        </w:tabs>
        <w:ind w:left="0" w:firstLine="0"/>
        <w:rPr>
          <w:sz w:val="28"/>
          <w:szCs w:val="28"/>
        </w:rPr>
      </w:pPr>
      <w:r w:rsidRPr="00992A2E">
        <w:rPr>
          <w:sz w:val="28"/>
          <w:szCs w:val="28"/>
          <w:shd w:val="clear" w:color="auto" w:fill="FFFFFF"/>
        </w:rPr>
        <w:t xml:space="preserve">Pues bien, los demandantes, aunque hacen un esfuerzo por explicar por qué el criterio basado en el sexo en relación con los registros personales, genera un trato discriminatorio y atentatorio de derechos, cuando se detienen en la explicación de cómo entienden el procedimiento, aluden a una hipótesis que ya no está prevista en la norma, esto es, la del registro preventivo a cargo de la fuerza pública, pero guardan silencio sobre el registro personal </w:t>
      </w:r>
      <w:r w:rsidRPr="00992A2E">
        <w:rPr>
          <w:sz w:val="28"/>
          <w:szCs w:val="28"/>
        </w:rPr>
        <w:t>para recuperar evidencia física con fines de investigación penal, cuyo</w:t>
      </w:r>
      <w:r w:rsidRPr="00992A2E">
        <w:rPr>
          <w:sz w:val="28"/>
          <w:szCs w:val="28"/>
          <w:shd w:val="clear" w:color="auto" w:fill="FFFFFF"/>
        </w:rPr>
        <w:t xml:space="preserve"> desarrollo se da en el ámbito judicial, con las garantías que esto comporta.</w:t>
      </w:r>
      <w:r w:rsidRPr="00992A2E">
        <w:rPr>
          <w:sz w:val="28"/>
          <w:szCs w:val="28"/>
        </w:rPr>
        <w:t xml:space="preserve"> </w:t>
      </w:r>
    </w:p>
    <w:p w14:paraId="57AA63CE" w14:textId="77777777" w:rsidR="00901EDC" w:rsidRPr="007B3227" w:rsidRDefault="00901EDC" w:rsidP="007B3227">
      <w:pPr>
        <w:rPr>
          <w:sz w:val="28"/>
          <w:szCs w:val="28"/>
        </w:rPr>
      </w:pPr>
    </w:p>
    <w:p w14:paraId="41EB005B" w14:textId="77777777" w:rsidR="00CA763A" w:rsidRPr="00992A2E" w:rsidRDefault="00901EDC" w:rsidP="00331AC4">
      <w:pPr>
        <w:pStyle w:val="Estilo1"/>
        <w:numPr>
          <w:ilvl w:val="0"/>
          <w:numId w:val="1"/>
        </w:numPr>
        <w:tabs>
          <w:tab w:val="left" w:pos="426"/>
        </w:tabs>
        <w:ind w:left="0" w:firstLine="0"/>
        <w:rPr>
          <w:sz w:val="28"/>
          <w:szCs w:val="28"/>
        </w:rPr>
      </w:pPr>
      <w:r w:rsidRPr="00992A2E">
        <w:rPr>
          <w:sz w:val="28"/>
          <w:szCs w:val="28"/>
          <w:lang w:val="es-CO"/>
        </w:rPr>
        <w:t xml:space="preserve">De manera que, más allá de las deficiencias de la demanda en términos de </w:t>
      </w:r>
      <w:r w:rsidRPr="00992A2E">
        <w:rPr>
          <w:i/>
          <w:iCs/>
          <w:sz w:val="28"/>
          <w:szCs w:val="28"/>
          <w:lang w:val="es-CO"/>
        </w:rPr>
        <w:t xml:space="preserve">certeza </w:t>
      </w:r>
      <w:r w:rsidRPr="00992A2E">
        <w:rPr>
          <w:sz w:val="28"/>
          <w:szCs w:val="28"/>
          <w:lang w:val="es-CO"/>
        </w:rPr>
        <w:t xml:space="preserve">del cargo, lo antes descrito también involucra una falencia frente al presupuesto de </w:t>
      </w:r>
      <w:r w:rsidRPr="00992A2E">
        <w:rPr>
          <w:i/>
          <w:iCs/>
          <w:sz w:val="28"/>
          <w:szCs w:val="28"/>
          <w:lang w:val="es-CO"/>
        </w:rPr>
        <w:t>especificidad</w:t>
      </w:r>
      <w:r w:rsidRPr="00992A2E">
        <w:rPr>
          <w:sz w:val="28"/>
          <w:szCs w:val="28"/>
          <w:lang w:val="es-CO"/>
        </w:rPr>
        <w:t xml:space="preserve">, </w:t>
      </w:r>
      <w:r w:rsidR="000E5D2E" w:rsidRPr="00992A2E">
        <w:rPr>
          <w:sz w:val="28"/>
          <w:szCs w:val="28"/>
          <w:lang w:val="es-CO"/>
        </w:rPr>
        <w:t xml:space="preserve">porque no se logra </w:t>
      </w:r>
      <w:r w:rsidR="000E5D2E" w:rsidRPr="00992A2E">
        <w:rPr>
          <w:sz w:val="28"/>
          <w:szCs w:val="28"/>
          <w:shd w:val="clear" w:color="auto" w:fill="FFFFFF"/>
        </w:rPr>
        <w:t xml:space="preserve">identificar una oposición objetiva entre la disposición acusada y la Constitución. Ello porque </w:t>
      </w:r>
      <w:r w:rsidRPr="00992A2E">
        <w:rPr>
          <w:sz w:val="28"/>
          <w:szCs w:val="28"/>
          <w:lang w:val="es-CO"/>
        </w:rPr>
        <w:t>los esfuerzos argumentativos se concentran en el debate por aplicar el concepto de sexo respecto de la dignidad y la identidad de género, y se quedan sin justificar ni demostrar cómo o de qué manera la expresión acusada viola la Constitución frente a un procedimiento que se surte en el ámbito de la investigación penal. Así las cosas, los reproches resultan siendo vagos</w:t>
      </w:r>
      <w:r w:rsidR="003A2291" w:rsidRPr="00992A2E">
        <w:rPr>
          <w:sz w:val="28"/>
          <w:szCs w:val="28"/>
          <w:lang w:val="es-CO"/>
        </w:rPr>
        <w:t>, abstractos e</w:t>
      </w:r>
      <w:r w:rsidRPr="00992A2E">
        <w:rPr>
          <w:sz w:val="28"/>
          <w:szCs w:val="28"/>
          <w:lang w:val="es-CO"/>
        </w:rPr>
        <w:t xml:space="preserve"> imprecisos en el ámbito normativo.</w:t>
      </w:r>
    </w:p>
    <w:p w14:paraId="6F796897" w14:textId="77777777" w:rsidR="00CA763A" w:rsidRPr="00992A2E" w:rsidRDefault="00CA763A" w:rsidP="00CA763A">
      <w:pPr>
        <w:pStyle w:val="Prrafodelista"/>
        <w:rPr>
          <w:sz w:val="28"/>
          <w:szCs w:val="28"/>
        </w:rPr>
      </w:pPr>
    </w:p>
    <w:p w14:paraId="76921176" w14:textId="6320C891" w:rsidR="00CA763A" w:rsidRPr="00992A2E" w:rsidRDefault="00331AC4" w:rsidP="00CA763A">
      <w:pPr>
        <w:pStyle w:val="Estilo1"/>
        <w:numPr>
          <w:ilvl w:val="0"/>
          <w:numId w:val="1"/>
        </w:numPr>
        <w:tabs>
          <w:tab w:val="left" w:pos="426"/>
        </w:tabs>
        <w:ind w:left="0" w:firstLine="0"/>
        <w:rPr>
          <w:sz w:val="28"/>
          <w:szCs w:val="28"/>
        </w:rPr>
      </w:pPr>
      <w:r w:rsidRPr="00992A2E">
        <w:rPr>
          <w:sz w:val="28"/>
          <w:szCs w:val="28"/>
        </w:rPr>
        <w:t xml:space="preserve">En </w:t>
      </w:r>
      <w:proofErr w:type="gramStart"/>
      <w:r w:rsidRPr="00992A2E">
        <w:rPr>
          <w:sz w:val="28"/>
          <w:szCs w:val="28"/>
        </w:rPr>
        <w:t>realidad</w:t>
      </w:r>
      <w:proofErr w:type="gramEnd"/>
      <w:r w:rsidRPr="00992A2E">
        <w:rPr>
          <w:sz w:val="28"/>
          <w:szCs w:val="28"/>
        </w:rPr>
        <w:t xml:space="preserve"> lo propuesto en la acusación para establecer la </w:t>
      </w:r>
      <w:r w:rsidR="00D80A46" w:rsidRPr="00992A2E">
        <w:rPr>
          <w:sz w:val="28"/>
          <w:szCs w:val="28"/>
        </w:rPr>
        <w:t>in</w:t>
      </w:r>
      <w:r w:rsidRPr="00992A2E">
        <w:rPr>
          <w:sz w:val="28"/>
          <w:szCs w:val="28"/>
        </w:rPr>
        <w:t xml:space="preserve">compatibilidad entre la norma demandada y la Constitución </w:t>
      </w:r>
      <w:r w:rsidR="00D80A46" w:rsidRPr="00992A2E">
        <w:rPr>
          <w:sz w:val="28"/>
          <w:szCs w:val="28"/>
        </w:rPr>
        <w:t>carece de sustento</w:t>
      </w:r>
      <w:r w:rsidRPr="00992A2E">
        <w:rPr>
          <w:sz w:val="28"/>
          <w:szCs w:val="28"/>
        </w:rPr>
        <w:t xml:space="preserve">, </w:t>
      </w:r>
      <w:r w:rsidR="00D80A46" w:rsidRPr="00992A2E">
        <w:rPr>
          <w:sz w:val="28"/>
          <w:szCs w:val="28"/>
        </w:rPr>
        <w:t>pues según ello</w:t>
      </w:r>
      <w:r w:rsidRPr="00992A2E">
        <w:rPr>
          <w:sz w:val="28"/>
          <w:szCs w:val="28"/>
        </w:rPr>
        <w:t xml:space="preserve"> en el artículo 248 del CPP se prevé un registro preventivo, cuestión que, como ya se explicó, no corresponde al contenido </w:t>
      </w:r>
      <w:r w:rsidR="00D80A46" w:rsidRPr="00992A2E">
        <w:rPr>
          <w:sz w:val="28"/>
          <w:szCs w:val="28"/>
        </w:rPr>
        <w:t xml:space="preserve">actual </w:t>
      </w:r>
      <w:r w:rsidRPr="00992A2E">
        <w:rPr>
          <w:sz w:val="28"/>
          <w:szCs w:val="28"/>
        </w:rPr>
        <w:t xml:space="preserve">de la norma demandada. </w:t>
      </w:r>
      <w:r w:rsidR="00D80A46" w:rsidRPr="00992A2E">
        <w:rPr>
          <w:sz w:val="28"/>
          <w:szCs w:val="28"/>
        </w:rPr>
        <w:t>En efecto</w:t>
      </w:r>
      <w:r w:rsidRPr="00992A2E">
        <w:rPr>
          <w:sz w:val="28"/>
          <w:szCs w:val="28"/>
        </w:rPr>
        <w:t>,</w:t>
      </w:r>
      <w:r w:rsidR="00F81FF0" w:rsidRPr="00992A2E">
        <w:rPr>
          <w:sz w:val="28"/>
          <w:szCs w:val="28"/>
        </w:rPr>
        <w:t xml:space="preserve"> lo que</w:t>
      </w:r>
      <w:r w:rsidRPr="00992A2E">
        <w:rPr>
          <w:sz w:val="28"/>
          <w:szCs w:val="28"/>
        </w:rPr>
        <w:t xml:space="preserve"> se pretende decir</w:t>
      </w:r>
      <w:r w:rsidR="00F81FF0" w:rsidRPr="00992A2E">
        <w:rPr>
          <w:sz w:val="28"/>
          <w:szCs w:val="28"/>
        </w:rPr>
        <w:t xml:space="preserve"> es</w:t>
      </w:r>
      <w:r w:rsidRPr="00992A2E">
        <w:rPr>
          <w:sz w:val="28"/>
          <w:szCs w:val="28"/>
        </w:rPr>
        <w:t xml:space="preserve"> que </w:t>
      </w:r>
      <w:r w:rsidR="00D80A46" w:rsidRPr="00992A2E">
        <w:rPr>
          <w:sz w:val="28"/>
          <w:szCs w:val="28"/>
        </w:rPr>
        <w:t xml:space="preserve">dicha </w:t>
      </w:r>
      <w:r w:rsidRPr="00992A2E">
        <w:rPr>
          <w:sz w:val="28"/>
          <w:szCs w:val="28"/>
        </w:rPr>
        <w:t xml:space="preserve">norma es incompatible con la Constitución por lo que ella no dice, lo cual, desde luego, no puede </w:t>
      </w:r>
      <w:r w:rsidR="00D80A46" w:rsidRPr="00992A2E">
        <w:rPr>
          <w:sz w:val="28"/>
          <w:szCs w:val="28"/>
        </w:rPr>
        <w:t xml:space="preserve">ser </w:t>
      </w:r>
      <w:r w:rsidRPr="00992A2E">
        <w:rPr>
          <w:sz w:val="28"/>
          <w:szCs w:val="28"/>
        </w:rPr>
        <w:t xml:space="preserve">aceptable de cara a demostrar </w:t>
      </w:r>
      <w:r w:rsidR="00D80A46" w:rsidRPr="00992A2E">
        <w:rPr>
          <w:sz w:val="28"/>
          <w:szCs w:val="28"/>
        </w:rPr>
        <w:t>la</w:t>
      </w:r>
      <w:r w:rsidRPr="00992A2E">
        <w:rPr>
          <w:sz w:val="28"/>
          <w:szCs w:val="28"/>
        </w:rPr>
        <w:t xml:space="preserve"> incompatibilidad</w:t>
      </w:r>
      <w:r w:rsidR="00D80A46" w:rsidRPr="00992A2E">
        <w:rPr>
          <w:sz w:val="28"/>
          <w:szCs w:val="28"/>
        </w:rPr>
        <w:t xml:space="preserve"> constitucional que se predica</w:t>
      </w:r>
      <w:r w:rsidRPr="00992A2E">
        <w:rPr>
          <w:sz w:val="28"/>
          <w:szCs w:val="28"/>
        </w:rPr>
        <w:t xml:space="preserve">. </w:t>
      </w:r>
    </w:p>
    <w:p w14:paraId="5CB4C165" w14:textId="77777777" w:rsidR="00CA763A" w:rsidRPr="00992A2E" w:rsidRDefault="00CA763A" w:rsidP="00CA763A">
      <w:pPr>
        <w:pStyle w:val="Prrafodelista"/>
        <w:rPr>
          <w:sz w:val="28"/>
          <w:szCs w:val="28"/>
        </w:rPr>
      </w:pPr>
    </w:p>
    <w:p w14:paraId="3CDB2BE3" w14:textId="7BBB5D54" w:rsidR="00CA763A" w:rsidRPr="00992A2E" w:rsidRDefault="00844138" w:rsidP="00CA763A">
      <w:pPr>
        <w:pStyle w:val="Estilo1"/>
        <w:numPr>
          <w:ilvl w:val="0"/>
          <w:numId w:val="1"/>
        </w:numPr>
        <w:tabs>
          <w:tab w:val="left" w:pos="426"/>
        </w:tabs>
        <w:ind w:left="0" w:firstLine="0"/>
        <w:rPr>
          <w:sz w:val="28"/>
          <w:szCs w:val="28"/>
        </w:rPr>
      </w:pPr>
      <w:r w:rsidRPr="00992A2E">
        <w:rPr>
          <w:sz w:val="28"/>
          <w:szCs w:val="28"/>
        </w:rPr>
        <w:t xml:space="preserve">En efecto, los actores entienden equivocadamente que la norma acusada contempla </w:t>
      </w:r>
      <w:r w:rsidR="00CA763A" w:rsidRPr="00992A2E">
        <w:rPr>
          <w:sz w:val="28"/>
          <w:szCs w:val="28"/>
        </w:rPr>
        <w:t>«</w:t>
      </w:r>
      <w:r w:rsidRPr="00992A2E">
        <w:rPr>
          <w:sz w:val="28"/>
          <w:szCs w:val="28"/>
        </w:rPr>
        <w:t>una medida preventiva implementada por la Policía Nacional con la finalidad de preservar el orden público</w:t>
      </w:r>
      <w:r w:rsidR="00CA763A" w:rsidRPr="00992A2E">
        <w:rPr>
          <w:sz w:val="28"/>
          <w:szCs w:val="28"/>
        </w:rPr>
        <w:t>»</w:t>
      </w:r>
      <w:r w:rsidRPr="00992A2E">
        <w:rPr>
          <w:sz w:val="28"/>
          <w:szCs w:val="28"/>
        </w:rPr>
        <w:t xml:space="preserve">, y citan apartes de la Sentencia C-789 de 2006, en </w:t>
      </w:r>
      <w:r w:rsidR="00D80A46" w:rsidRPr="00992A2E">
        <w:rPr>
          <w:sz w:val="28"/>
          <w:szCs w:val="28"/>
        </w:rPr>
        <w:t xml:space="preserve">los </w:t>
      </w:r>
      <w:r w:rsidRPr="00992A2E">
        <w:rPr>
          <w:sz w:val="28"/>
          <w:szCs w:val="28"/>
        </w:rPr>
        <w:t xml:space="preserve">que se alude a </w:t>
      </w:r>
      <w:r w:rsidR="00CA763A" w:rsidRPr="00992A2E">
        <w:rPr>
          <w:sz w:val="28"/>
          <w:szCs w:val="28"/>
        </w:rPr>
        <w:t>«</w:t>
      </w:r>
      <w:r w:rsidRPr="00992A2E">
        <w:rPr>
          <w:sz w:val="28"/>
          <w:szCs w:val="28"/>
        </w:rPr>
        <w:t>un procedimiento para prevenir la comisión de una conducta punible o contraria a la convivencia</w:t>
      </w:r>
      <w:r w:rsidR="00CA763A" w:rsidRPr="00992A2E">
        <w:rPr>
          <w:sz w:val="28"/>
          <w:szCs w:val="28"/>
        </w:rPr>
        <w:t>»</w:t>
      </w:r>
      <w:r w:rsidRPr="00992A2E">
        <w:rPr>
          <w:sz w:val="28"/>
          <w:szCs w:val="28"/>
        </w:rPr>
        <w:t xml:space="preserve">, para lo cual </w:t>
      </w:r>
      <w:r w:rsidR="00CA763A" w:rsidRPr="00992A2E">
        <w:rPr>
          <w:rFonts w:ascii="TimesNewRomanPS" w:hAnsi="TimesNewRomanPS"/>
          <w:i/>
          <w:iCs/>
          <w:color w:val="2B2B2B"/>
          <w:sz w:val="28"/>
          <w:szCs w:val="28"/>
        </w:rPr>
        <w:t>«</w:t>
      </w:r>
      <w:r w:rsidRPr="00992A2E">
        <w:rPr>
          <w:color w:val="2B2B2B"/>
          <w:sz w:val="26"/>
          <w:szCs w:val="26"/>
        </w:rPr>
        <w:t xml:space="preserve">la </w:t>
      </w:r>
      <w:proofErr w:type="spellStart"/>
      <w:r w:rsidRPr="00992A2E">
        <w:rPr>
          <w:color w:val="2B2B2B"/>
          <w:sz w:val="26"/>
          <w:szCs w:val="26"/>
        </w:rPr>
        <w:t>policía</w:t>
      </w:r>
      <w:proofErr w:type="spellEnd"/>
      <w:r w:rsidRPr="00992A2E">
        <w:rPr>
          <w:color w:val="2B2B2B"/>
          <w:sz w:val="26"/>
          <w:szCs w:val="26"/>
        </w:rPr>
        <w:t xml:space="preserve"> </w:t>
      </w:r>
      <w:r w:rsidRPr="00992A2E">
        <w:rPr>
          <w:color w:val="2B2B2B"/>
          <w:sz w:val="26"/>
          <w:szCs w:val="26"/>
        </w:rPr>
        <w:lastRenderedPageBreak/>
        <w:t xml:space="preserve">necesita contar con una actitud de </w:t>
      </w:r>
      <w:proofErr w:type="spellStart"/>
      <w:r w:rsidRPr="00992A2E">
        <w:rPr>
          <w:color w:val="2B2B2B"/>
          <w:sz w:val="26"/>
          <w:szCs w:val="26"/>
        </w:rPr>
        <w:t>colaboración</w:t>
      </w:r>
      <w:proofErr w:type="spellEnd"/>
      <w:r w:rsidRPr="00992A2E">
        <w:rPr>
          <w:color w:val="2B2B2B"/>
          <w:sz w:val="26"/>
          <w:szCs w:val="26"/>
        </w:rPr>
        <w:t xml:space="preserve"> ciudadana frente a su </w:t>
      </w:r>
      <w:proofErr w:type="spellStart"/>
      <w:r w:rsidRPr="00992A2E">
        <w:rPr>
          <w:color w:val="2B2B2B"/>
          <w:sz w:val="26"/>
          <w:szCs w:val="26"/>
        </w:rPr>
        <w:t>práctica</w:t>
      </w:r>
      <w:proofErr w:type="spellEnd"/>
      <w:r w:rsidRPr="00992A2E">
        <w:rPr>
          <w:color w:val="2B2B2B"/>
          <w:sz w:val="26"/>
          <w:szCs w:val="26"/>
        </w:rPr>
        <w:t xml:space="preserve">, como </w:t>
      </w:r>
      <w:proofErr w:type="spellStart"/>
      <w:r w:rsidRPr="00992A2E">
        <w:rPr>
          <w:color w:val="2B2B2B"/>
          <w:sz w:val="26"/>
          <w:szCs w:val="26"/>
        </w:rPr>
        <w:t>expresión</w:t>
      </w:r>
      <w:proofErr w:type="spellEnd"/>
      <w:r w:rsidRPr="00992A2E">
        <w:rPr>
          <w:color w:val="2B2B2B"/>
          <w:sz w:val="26"/>
          <w:szCs w:val="26"/>
        </w:rPr>
        <w:t xml:space="preserve"> del deber constitucional de respeto y apoyo a las autoridades </w:t>
      </w:r>
      <w:proofErr w:type="spellStart"/>
      <w:r w:rsidRPr="00992A2E">
        <w:rPr>
          <w:color w:val="2B2B2B"/>
          <w:sz w:val="26"/>
          <w:szCs w:val="26"/>
        </w:rPr>
        <w:t>democráticas</w:t>
      </w:r>
      <w:proofErr w:type="spellEnd"/>
      <w:r w:rsidRPr="00992A2E">
        <w:rPr>
          <w:color w:val="2B2B2B"/>
          <w:sz w:val="26"/>
          <w:szCs w:val="26"/>
        </w:rPr>
        <w:t xml:space="preserve"> (art. 95 Const.</w:t>
      </w:r>
      <w:r w:rsidR="00E73BF9" w:rsidRPr="00992A2E">
        <w:rPr>
          <w:color w:val="2B2B2B"/>
          <w:sz w:val="26"/>
          <w:szCs w:val="26"/>
        </w:rPr>
        <w:t>”</w:t>
      </w:r>
      <w:r w:rsidRPr="00992A2E">
        <w:rPr>
          <w:color w:val="2B2B2B"/>
          <w:sz w:val="26"/>
          <w:szCs w:val="26"/>
        </w:rPr>
        <w:t xml:space="preserve">), </w:t>
      </w:r>
      <w:r w:rsidR="00E73BF9" w:rsidRPr="00992A2E">
        <w:rPr>
          <w:color w:val="2B2B2B"/>
          <w:sz w:val="26"/>
          <w:szCs w:val="26"/>
        </w:rPr>
        <w:t>y</w:t>
      </w:r>
      <w:r w:rsidRPr="00992A2E">
        <w:rPr>
          <w:color w:val="2B2B2B"/>
          <w:sz w:val="26"/>
          <w:szCs w:val="26"/>
        </w:rPr>
        <w:t xml:space="preserve"> </w:t>
      </w:r>
      <w:r w:rsidR="00E73BF9" w:rsidRPr="00992A2E">
        <w:rPr>
          <w:color w:val="2B2B2B"/>
          <w:sz w:val="26"/>
          <w:szCs w:val="26"/>
        </w:rPr>
        <w:t>con el fin de lograr</w:t>
      </w:r>
      <w:r w:rsidRPr="00992A2E">
        <w:rPr>
          <w:color w:val="2B2B2B"/>
          <w:sz w:val="26"/>
          <w:szCs w:val="26"/>
        </w:rPr>
        <w:t xml:space="preserve"> </w:t>
      </w:r>
      <w:r w:rsidR="00E73BF9" w:rsidRPr="00992A2E">
        <w:rPr>
          <w:color w:val="2B2B2B"/>
          <w:sz w:val="26"/>
          <w:szCs w:val="26"/>
        </w:rPr>
        <w:t>dicho</w:t>
      </w:r>
      <w:r w:rsidRPr="00992A2E">
        <w:rPr>
          <w:color w:val="2B2B2B"/>
          <w:sz w:val="26"/>
          <w:szCs w:val="26"/>
        </w:rPr>
        <w:t xml:space="preserve"> propósito</w:t>
      </w:r>
      <w:r w:rsidR="00E73BF9" w:rsidRPr="00992A2E">
        <w:rPr>
          <w:color w:val="2B2B2B"/>
          <w:sz w:val="26"/>
          <w:szCs w:val="26"/>
        </w:rPr>
        <w:t>, los demandantes aseveran que</w:t>
      </w:r>
      <w:r w:rsidRPr="00992A2E">
        <w:rPr>
          <w:color w:val="2B2B2B"/>
          <w:sz w:val="26"/>
          <w:szCs w:val="26"/>
        </w:rPr>
        <w:t xml:space="preserve"> </w:t>
      </w:r>
      <w:r w:rsidR="00536C92" w:rsidRPr="00992A2E">
        <w:rPr>
          <w:sz w:val="26"/>
          <w:szCs w:val="26"/>
        </w:rPr>
        <w:t>«</w:t>
      </w:r>
      <w:r w:rsidRPr="00992A2E">
        <w:rPr>
          <w:color w:val="2B2B2B"/>
          <w:sz w:val="26"/>
          <w:szCs w:val="26"/>
        </w:rPr>
        <w:t>se debe propender por la comodidad de sobre</w:t>
      </w:r>
      <w:r w:rsidR="00E73BF9" w:rsidRPr="00992A2E">
        <w:rPr>
          <w:color w:val="2B2B2B"/>
          <w:sz w:val="26"/>
          <w:szCs w:val="26"/>
        </w:rPr>
        <w:t xml:space="preserve"> (sic)</w:t>
      </w:r>
      <w:r w:rsidRPr="00992A2E">
        <w:rPr>
          <w:color w:val="2B2B2B"/>
          <w:sz w:val="26"/>
          <w:szCs w:val="26"/>
        </w:rPr>
        <w:t xml:space="preserve"> quienes recaiga esta </w:t>
      </w:r>
      <w:proofErr w:type="spellStart"/>
      <w:r w:rsidRPr="00992A2E">
        <w:rPr>
          <w:color w:val="2B2B2B"/>
          <w:sz w:val="26"/>
          <w:szCs w:val="26"/>
        </w:rPr>
        <w:t>práctica</w:t>
      </w:r>
      <w:proofErr w:type="spellEnd"/>
      <w:r w:rsidRPr="00992A2E">
        <w:rPr>
          <w:color w:val="2B2B2B"/>
          <w:sz w:val="26"/>
          <w:szCs w:val="26"/>
        </w:rPr>
        <w:t xml:space="preserve">, teniendo en cuenta los </w:t>
      </w:r>
      <w:proofErr w:type="spellStart"/>
      <w:r w:rsidRPr="00992A2E">
        <w:rPr>
          <w:color w:val="2B2B2B"/>
          <w:sz w:val="26"/>
          <w:szCs w:val="26"/>
        </w:rPr>
        <w:t>límites</w:t>
      </w:r>
      <w:proofErr w:type="spellEnd"/>
      <w:r w:rsidRPr="00992A2E">
        <w:rPr>
          <w:color w:val="2B2B2B"/>
          <w:sz w:val="26"/>
          <w:szCs w:val="26"/>
        </w:rPr>
        <w:t xml:space="preserve"> constitucionales establecidos para dicha (sic), esto, en el entendido de que si quien es objeto del registro personal posee una identidad de </w:t>
      </w:r>
      <w:proofErr w:type="spellStart"/>
      <w:r w:rsidRPr="00992A2E">
        <w:rPr>
          <w:color w:val="2B2B2B"/>
          <w:sz w:val="26"/>
          <w:szCs w:val="26"/>
        </w:rPr>
        <w:t>género</w:t>
      </w:r>
      <w:proofErr w:type="spellEnd"/>
      <w:r w:rsidRPr="00992A2E">
        <w:rPr>
          <w:color w:val="2B2B2B"/>
          <w:sz w:val="26"/>
          <w:szCs w:val="26"/>
        </w:rPr>
        <w:t xml:space="preserve"> diversa de la impuesta socialmente, va a preferir que el funcionario con su misma identidad o de la cual se sienta </w:t>
      </w:r>
      <w:proofErr w:type="spellStart"/>
      <w:r w:rsidRPr="00992A2E">
        <w:rPr>
          <w:color w:val="2B2B2B"/>
          <w:sz w:val="26"/>
          <w:szCs w:val="26"/>
        </w:rPr>
        <w:t>más</w:t>
      </w:r>
      <w:proofErr w:type="spellEnd"/>
      <w:r w:rsidRPr="00992A2E">
        <w:rPr>
          <w:color w:val="2B2B2B"/>
          <w:sz w:val="26"/>
          <w:szCs w:val="26"/>
        </w:rPr>
        <w:t xml:space="preserve"> </w:t>
      </w:r>
      <w:proofErr w:type="spellStart"/>
      <w:r w:rsidRPr="00992A2E">
        <w:rPr>
          <w:color w:val="2B2B2B"/>
          <w:sz w:val="26"/>
          <w:szCs w:val="26"/>
        </w:rPr>
        <w:t>cómodo</w:t>
      </w:r>
      <w:proofErr w:type="spellEnd"/>
      <w:r w:rsidRPr="00992A2E">
        <w:rPr>
          <w:color w:val="2B2B2B"/>
          <w:sz w:val="26"/>
          <w:szCs w:val="26"/>
        </w:rPr>
        <w:t xml:space="preserve"> sea quien lleve a cabo el registro, sin menoscabar el respeto a la autoridad y </w:t>
      </w:r>
      <w:proofErr w:type="spellStart"/>
      <w:r w:rsidRPr="00992A2E">
        <w:rPr>
          <w:color w:val="2B2B2B"/>
          <w:sz w:val="26"/>
          <w:szCs w:val="26"/>
        </w:rPr>
        <w:t>demás</w:t>
      </w:r>
      <w:proofErr w:type="spellEnd"/>
      <w:r w:rsidRPr="00992A2E">
        <w:rPr>
          <w:color w:val="2B2B2B"/>
          <w:sz w:val="26"/>
          <w:szCs w:val="26"/>
        </w:rPr>
        <w:t xml:space="preserve"> </w:t>
      </w:r>
      <w:proofErr w:type="spellStart"/>
      <w:r w:rsidRPr="00992A2E">
        <w:rPr>
          <w:color w:val="2B2B2B"/>
          <w:sz w:val="26"/>
          <w:szCs w:val="26"/>
        </w:rPr>
        <w:t>límites</w:t>
      </w:r>
      <w:proofErr w:type="spellEnd"/>
      <w:r w:rsidRPr="00992A2E">
        <w:rPr>
          <w:color w:val="2B2B2B"/>
          <w:sz w:val="26"/>
          <w:szCs w:val="26"/>
        </w:rPr>
        <w:t xml:space="preserve"> integrados</w:t>
      </w:r>
      <w:r w:rsidR="00CA763A" w:rsidRPr="00992A2E">
        <w:rPr>
          <w:rFonts w:ascii="TimesNewRomanPSMT" w:hAnsi="TimesNewRomanPSMT"/>
          <w:color w:val="2B2B2B"/>
          <w:sz w:val="28"/>
          <w:szCs w:val="28"/>
        </w:rPr>
        <w:t>»</w:t>
      </w:r>
      <w:r w:rsidRPr="00992A2E">
        <w:rPr>
          <w:rFonts w:ascii="TimesNewRomanPSMT" w:hAnsi="TimesNewRomanPSMT"/>
          <w:color w:val="2B2B2B"/>
          <w:sz w:val="28"/>
          <w:szCs w:val="28"/>
        </w:rPr>
        <w:t xml:space="preserve">. </w:t>
      </w:r>
    </w:p>
    <w:p w14:paraId="02ED0C9C" w14:textId="77777777" w:rsidR="00CA763A" w:rsidRPr="00992A2E" w:rsidRDefault="00CA763A" w:rsidP="00CA763A">
      <w:pPr>
        <w:pStyle w:val="Estilo1"/>
        <w:tabs>
          <w:tab w:val="left" w:pos="426"/>
        </w:tabs>
        <w:rPr>
          <w:sz w:val="28"/>
          <w:szCs w:val="28"/>
        </w:rPr>
      </w:pPr>
    </w:p>
    <w:p w14:paraId="72EEAB99" w14:textId="3A9A587D" w:rsidR="00E73BF9" w:rsidRPr="00992A2E" w:rsidRDefault="00E73BF9" w:rsidP="00CA763A">
      <w:pPr>
        <w:pStyle w:val="Estilo1"/>
        <w:numPr>
          <w:ilvl w:val="0"/>
          <w:numId w:val="1"/>
        </w:numPr>
        <w:tabs>
          <w:tab w:val="left" w:pos="426"/>
        </w:tabs>
        <w:ind w:left="0" w:firstLine="0"/>
        <w:rPr>
          <w:sz w:val="28"/>
          <w:szCs w:val="28"/>
        </w:rPr>
      </w:pPr>
      <w:r w:rsidRPr="00992A2E">
        <w:rPr>
          <w:rFonts w:ascii="TimesNewRomanPSMT" w:hAnsi="TimesNewRomanPSMT"/>
          <w:color w:val="2B2B2B"/>
          <w:sz w:val="28"/>
          <w:szCs w:val="28"/>
        </w:rPr>
        <w:t xml:space="preserve">Cabe </w:t>
      </w:r>
      <w:r w:rsidR="0049563B" w:rsidRPr="00992A2E">
        <w:rPr>
          <w:rFonts w:ascii="TimesNewRomanPSMT" w:hAnsi="TimesNewRomanPSMT"/>
          <w:color w:val="2B2B2B"/>
          <w:sz w:val="28"/>
          <w:szCs w:val="28"/>
        </w:rPr>
        <w:t>resaltar</w:t>
      </w:r>
      <w:r w:rsidRPr="00992A2E">
        <w:rPr>
          <w:rFonts w:ascii="TimesNewRomanPSMT" w:hAnsi="TimesNewRomanPSMT"/>
          <w:color w:val="2B2B2B"/>
          <w:sz w:val="28"/>
          <w:szCs w:val="28"/>
        </w:rPr>
        <w:t xml:space="preserve"> que los apartes de la Sentencia C-789 de 2006 que citan los accionantes, se refieren a</w:t>
      </w:r>
      <w:r w:rsidRPr="00992A2E">
        <w:rPr>
          <w:color w:val="2D2D2D"/>
          <w:sz w:val="28"/>
          <w:szCs w:val="28"/>
        </w:rPr>
        <w:t xml:space="preserve">l análisis del artículo 208 de la Ley 906 de 2004, relativo a </w:t>
      </w:r>
      <w:r w:rsidR="00CA763A" w:rsidRPr="00992A2E">
        <w:rPr>
          <w:color w:val="2D2D2D"/>
          <w:sz w:val="28"/>
          <w:szCs w:val="28"/>
        </w:rPr>
        <w:t>«</w:t>
      </w:r>
      <w:r w:rsidRPr="00992A2E">
        <w:rPr>
          <w:color w:val="2D2D2D"/>
          <w:sz w:val="26"/>
          <w:szCs w:val="26"/>
        </w:rPr>
        <w:t>la actividad de policía administrativa, desde la óptica de los procedimientos preventivos</w:t>
      </w:r>
      <w:r w:rsidR="00CA763A" w:rsidRPr="00992A2E">
        <w:rPr>
          <w:color w:val="2D2D2D"/>
          <w:sz w:val="28"/>
          <w:szCs w:val="28"/>
        </w:rPr>
        <w:t>»</w:t>
      </w:r>
      <w:r w:rsidRPr="00992A2E">
        <w:rPr>
          <w:color w:val="2D2D2D"/>
          <w:sz w:val="28"/>
          <w:szCs w:val="28"/>
        </w:rPr>
        <w:t>.</w:t>
      </w:r>
      <w:r w:rsidR="0049563B" w:rsidRPr="00992A2E">
        <w:rPr>
          <w:color w:val="2D2D2D"/>
          <w:sz w:val="28"/>
          <w:szCs w:val="28"/>
        </w:rPr>
        <w:t xml:space="preserve"> Todo ello reafirma </w:t>
      </w:r>
      <w:r w:rsidR="00536C92" w:rsidRPr="00992A2E">
        <w:rPr>
          <w:color w:val="2D2D2D"/>
          <w:sz w:val="28"/>
          <w:szCs w:val="28"/>
        </w:rPr>
        <w:t>aún</w:t>
      </w:r>
      <w:r w:rsidR="0049563B" w:rsidRPr="00992A2E">
        <w:rPr>
          <w:color w:val="2D2D2D"/>
          <w:sz w:val="28"/>
          <w:szCs w:val="28"/>
        </w:rPr>
        <w:t xml:space="preserve"> más que </w:t>
      </w:r>
      <w:r w:rsidR="0049563B" w:rsidRPr="00992A2E">
        <w:rPr>
          <w:sz w:val="28"/>
          <w:szCs w:val="28"/>
        </w:rPr>
        <w:t>la argumentación que se expone en la demanda sobre el sentido y alcance de la norma acusada conduce a construir una hipótesis particular de lo que significa la expresión sexo, que prescinde del contexto en el cual se usa. Ese empeño por caracterizar lo que la demanda entiende por sexo y, por ende, las pretendidas exclusiones que de dicho entendimiento se siguen, no muestra</w:t>
      </w:r>
      <w:r w:rsidR="00992A2E" w:rsidRPr="00992A2E">
        <w:rPr>
          <w:sz w:val="28"/>
          <w:szCs w:val="28"/>
        </w:rPr>
        <w:t>n</w:t>
      </w:r>
      <w:r w:rsidR="0049563B" w:rsidRPr="00992A2E">
        <w:rPr>
          <w:sz w:val="28"/>
          <w:szCs w:val="28"/>
        </w:rPr>
        <w:t xml:space="preserve"> de qué modo la norma demandada es contraria al ordenamiento superior. </w:t>
      </w:r>
    </w:p>
    <w:p w14:paraId="770D37D4" w14:textId="77777777" w:rsidR="00901EDC" w:rsidRPr="00992A2E" w:rsidRDefault="00901EDC" w:rsidP="00CA763A"/>
    <w:p w14:paraId="5123AE76" w14:textId="5DB2919C" w:rsidR="00901EDC" w:rsidRPr="00992A2E" w:rsidRDefault="00901EDC" w:rsidP="001E3603">
      <w:pPr>
        <w:pStyle w:val="Estilo1"/>
        <w:numPr>
          <w:ilvl w:val="0"/>
          <w:numId w:val="1"/>
        </w:numPr>
        <w:tabs>
          <w:tab w:val="left" w:pos="426"/>
        </w:tabs>
        <w:ind w:left="0" w:firstLine="0"/>
        <w:rPr>
          <w:sz w:val="28"/>
          <w:szCs w:val="28"/>
        </w:rPr>
      </w:pPr>
      <w:r w:rsidRPr="00992A2E">
        <w:rPr>
          <w:sz w:val="28"/>
          <w:szCs w:val="28"/>
        </w:rPr>
        <w:t xml:space="preserve">Por otra parte, según los demandantes, la norma al utilizar la expresión “sexo” otorga un trato discriminatorio a las personas que no se identifican con las categorías de femenino y masculino, en función de las características </w:t>
      </w:r>
      <w:r w:rsidRPr="00992A2E">
        <w:rPr>
          <w:rFonts w:eastAsiaTheme="minorHAnsi"/>
          <w:sz w:val="28"/>
          <w:szCs w:val="28"/>
          <w:lang w:eastAsia="en-US"/>
        </w:rPr>
        <w:t xml:space="preserve">biológicas de los seres humanos, por lo cual se reprocha que de esta manera se desconoce la identidad de género. Al respecto </w:t>
      </w:r>
      <w:r w:rsidRPr="00992A2E">
        <w:rPr>
          <w:sz w:val="28"/>
          <w:szCs w:val="28"/>
        </w:rPr>
        <w:t xml:space="preserve">es pertinente anotar, como lo resaltó la Academia Colombiana de Jurisprudencia, que esta Corte en la Sentencia C-822 de 2005 señaló que una de las garantías del procedimiento «exige que quien realice el registro, sea del mismo </w:t>
      </w:r>
      <w:r w:rsidRPr="00992A2E">
        <w:rPr>
          <w:b/>
          <w:bCs/>
          <w:sz w:val="28"/>
          <w:szCs w:val="28"/>
        </w:rPr>
        <w:t>género</w:t>
      </w:r>
      <w:r w:rsidRPr="00992A2E">
        <w:rPr>
          <w:sz w:val="28"/>
          <w:szCs w:val="28"/>
        </w:rPr>
        <w:t xml:space="preserve"> que el afectado con el registro» (se resalta)</w:t>
      </w:r>
      <w:r w:rsidR="00D629D9" w:rsidRPr="00992A2E">
        <w:rPr>
          <w:rStyle w:val="Refdenotaalpie"/>
          <w:sz w:val="28"/>
          <w:szCs w:val="28"/>
        </w:rPr>
        <w:footnoteReference w:id="46"/>
      </w:r>
      <w:r w:rsidRPr="00992A2E">
        <w:rPr>
          <w:sz w:val="28"/>
          <w:szCs w:val="28"/>
        </w:rPr>
        <w:t>.</w:t>
      </w:r>
    </w:p>
    <w:p w14:paraId="60E8B4D0" w14:textId="77777777" w:rsidR="00901EDC" w:rsidRPr="00992A2E" w:rsidRDefault="00901EDC" w:rsidP="001E3603">
      <w:pPr>
        <w:pStyle w:val="Prrafodelista"/>
        <w:rPr>
          <w:sz w:val="28"/>
          <w:szCs w:val="28"/>
        </w:rPr>
      </w:pPr>
    </w:p>
    <w:p w14:paraId="5A6D887F" w14:textId="1FA5AB69" w:rsidR="00901EDC" w:rsidRPr="00992A2E" w:rsidRDefault="00901EDC" w:rsidP="001E3603">
      <w:pPr>
        <w:pStyle w:val="Estilo1"/>
        <w:numPr>
          <w:ilvl w:val="0"/>
          <w:numId w:val="1"/>
        </w:numPr>
        <w:tabs>
          <w:tab w:val="left" w:pos="426"/>
        </w:tabs>
        <w:ind w:left="0" w:firstLine="0"/>
        <w:rPr>
          <w:sz w:val="28"/>
          <w:szCs w:val="28"/>
          <w:shd w:val="clear" w:color="auto" w:fill="FFFFFF"/>
        </w:rPr>
      </w:pPr>
      <w:r w:rsidRPr="00992A2E">
        <w:rPr>
          <w:sz w:val="28"/>
          <w:szCs w:val="28"/>
        </w:rPr>
        <w:t xml:space="preserve"> </w:t>
      </w:r>
      <w:r w:rsidRPr="00992A2E">
        <w:rPr>
          <w:rFonts w:eastAsiaTheme="minorHAnsi"/>
          <w:sz w:val="28"/>
          <w:szCs w:val="28"/>
          <w:lang w:eastAsia="en-US"/>
        </w:rPr>
        <w:t>La Sala considera que los accionantes omitieron señalar por qué las citadas expresiones del aludido fallo no satisfac</w:t>
      </w:r>
      <w:r w:rsidR="00844138" w:rsidRPr="00992A2E">
        <w:rPr>
          <w:rFonts w:eastAsiaTheme="minorHAnsi"/>
          <w:sz w:val="28"/>
          <w:szCs w:val="28"/>
          <w:lang w:eastAsia="en-US"/>
        </w:rPr>
        <w:t>e</w:t>
      </w:r>
      <w:r w:rsidRPr="00992A2E">
        <w:rPr>
          <w:rFonts w:eastAsiaTheme="minorHAnsi"/>
          <w:sz w:val="28"/>
          <w:szCs w:val="28"/>
          <w:lang w:eastAsia="en-US"/>
        </w:rPr>
        <w:t xml:space="preserve">n la alegada falencia de la norma. Ese ejercicio argumentativo corresponde a una carga de quienes </w:t>
      </w:r>
      <w:r w:rsidR="00160758" w:rsidRPr="00992A2E">
        <w:rPr>
          <w:rFonts w:eastAsiaTheme="minorHAnsi"/>
          <w:sz w:val="28"/>
          <w:szCs w:val="28"/>
          <w:lang w:eastAsia="en-US"/>
        </w:rPr>
        <w:t xml:space="preserve">demandan </w:t>
      </w:r>
      <w:r w:rsidRPr="00992A2E">
        <w:rPr>
          <w:rFonts w:eastAsiaTheme="minorHAnsi"/>
          <w:sz w:val="28"/>
          <w:szCs w:val="28"/>
          <w:lang w:eastAsia="en-US"/>
        </w:rPr>
        <w:t xml:space="preserve">y no a esta corporación, pues la Corte no puede suplir las omisiones u olvidos de la demanda para construir adecuadamente un cargo de inconstitucionalidad.  Ello implicaría desnaturalizar la acción pública que es eminentemente rogada y que se dirige a desvirtuar una fuente del derecho (en este caso, una ley de la República). </w:t>
      </w:r>
    </w:p>
    <w:p w14:paraId="371A506C" w14:textId="77777777" w:rsidR="00901EDC" w:rsidRPr="00992A2E" w:rsidRDefault="00901EDC" w:rsidP="001E3603">
      <w:pPr>
        <w:pStyle w:val="Estilo1"/>
        <w:tabs>
          <w:tab w:val="left" w:pos="426"/>
        </w:tabs>
        <w:rPr>
          <w:sz w:val="28"/>
          <w:szCs w:val="28"/>
          <w:shd w:val="clear" w:color="auto" w:fill="FFFFFF"/>
          <w:lang w:val="es-CO"/>
        </w:rPr>
      </w:pPr>
    </w:p>
    <w:p w14:paraId="078C0260" w14:textId="77777777" w:rsidR="00901EDC" w:rsidRPr="00992A2E" w:rsidRDefault="00901EDC" w:rsidP="001E3603">
      <w:pPr>
        <w:pStyle w:val="Estilo1"/>
        <w:numPr>
          <w:ilvl w:val="0"/>
          <w:numId w:val="1"/>
        </w:numPr>
        <w:tabs>
          <w:tab w:val="left" w:pos="426"/>
        </w:tabs>
        <w:ind w:left="0" w:firstLine="0"/>
        <w:rPr>
          <w:sz w:val="28"/>
          <w:szCs w:val="28"/>
          <w:shd w:val="clear" w:color="auto" w:fill="FFFFFF"/>
        </w:rPr>
      </w:pPr>
      <w:r w:rsidRPr="00992A2E">
        <w:rPr>
          <w:sz w:val="28"/>
          <w:szCs w:val="28"/>
          <w:shd w:val="clear" w:color="auto" w:fill="FFFFFF"/>
          <w:lang w:val="es-CO"/>
        </w:rPr>
        <w:lastRenderedPageBreak/>
        <w:t xml:space="preserve">Además, y por las razones anteriormente expresadas, la demanda tampoco cumplió con el supuesto de </w:t>
      </w:r>
      <w:r w:rsidRPr="00992A2E">
        <w:rPr>
          <w:i/>
          <w:iCs/>
          <w:sz w:val="28"/>
          <w:szCs w:val="28"/>
          <w:shd w:val="clear" w:color="auto" w:fill="FFFFFF"/>
          <w:lang w:val="es-CO"/>
        </w:rPr>
        <w:t xml:space="preserve">suficiencia, </w:t>
      </w:r>
      <w:r w:rsidRPr="00992A2E">
        <w:rPr>
          <w:sz w:val="28"/>
          <w:szCs w:val="28"/>
          <w:shd w:val="clear" w:color="auto" w:fill="FFFFFF"/>
          <w:lang w:val="es-CO"/>
        </w:rPr>
        <w:t>pues</w:t>
      </w:r>
      <w:r w:rsidRPr="00992A2E">
        <w:rPr>
          <w:sz w:val="28"/>
          <w:szCs w:val="28"/>
          <w:lang w:val="es-ES"/>
        </w:rPr>
        <w:t xml:space="preserve"> </w:t>
      </w:r>
      <w:r w:rsidRPr="00992A2E">
        <w:rPr>
          <w:sz w:val="28"/>
          <w:szCs w:val="28"/>
        </w:rPr>
        <w:t xml:space="preserve">no consiguió despertar una duda mínima sobre la inconstitucionalidad de la expresión demandada, ya que el cargo se fundó en una apreciación literal y aislada que pierde de vista la lectura actual y sistemática </w:t>
      </w:r>
      <w:r w:rsidRPr="00992A2E">
        <w:rPr>
          <w:sz w:val="28"/>
          <w:szCs w:val="28"/>
          <w:shd w:val="clear" w:color="auto" w:fill="FFFFFF"/>
          <w:lang w:val="es-CO"/>
        </w:rPr>
        <w:t>de la misma, en el ámbito de la disposición en la cual se inserta.</w:t>
      </w:r>
    </w:p>
    <w:p w14:paraId="2143C6C3" w14:textId="77777777" w:rsidR="00901EDC" w:rsidRPr="00992A2E" w:rsidRDefault="00901EDC" w:rsidP="001E3603">
      <w:pPr>
        <w:pStyle w:val="Estilo1"/>
        <w:tabs>
          <w:tab w:val="left" w:pos="426"/>
        </w:tabs>
        <w:rPr>
          <w:sz w:val="28"/>
          <w:szCs w:val="28"/>
          <w:shd w:val="clear" w:color="auto" w:fill="FFFFFF"/>
        </w:rPr>
      </w:pPr>
    </w:p>
    <w:p w14:paraId="402CEEEC" w14:textId="77777777" w:rsidR="00901EDC" w:rsidRPr="00992A2E" w:rsidRDefault="00901EDC" w:rsidP="001E3603">
      <w:pPr>
        <w:pStyle w:val="Estilo1"/>
        <w:numPr>
          <w:ilvl w:val="0"/>
          <w:numId w:val="1"/>
        </w:numPr>
        <w:tabs>
          <w:tab w:val="left" w:pos="426"/>
        </w:tabs>
        <w:ind w:left="0" w:firstLine="0"/>
        <w:rPr>
          <w:sz w:val="28"/>
          <w:szCs w:val="28"/>
          <w:shd w:val="clear" w:color="auto" w:fill="FFFFFF"/>
        </w:rPr>
      </w:pPr>
      <w:r w:rsidRPr="00992A2E">
        <w:rPr>
          <w:sz w:val="28"/>
          <w:szCs w:val="28"/>
          <w:shd w:val="clear" w:color="auto" w:fill="FFFFFF"/>
          <w:lang w:val="es-CO"/>
        </w:rPr>
        <w:t>En conclusión, debido a que la demanda carece de aptitud sustantiva para suscitar un pronunciamiento de fondo, por falta de certeza, especificidad y suficiencia, la Sala Plena proferirá fallo inhibitorio.</w:t>
      </w:r>
    </w:p>
    <w:p w14:paraId="16D6A389" w14:textId="77777777" w:rsidR="00901EDC" w:rsidRPr="00992A2E" w:rsidRDefault="00901EDC" w:rsidP="001E3603">
      <w:pPr>
        <w:pStyle w:val="Estilo1"/>
        <w:tabs>
          <w:tab w:val="left" w:pos="426"/>
        </w:tabs>
        <w:rPr>
          <w:sz w:val="28"/>
          <w:szCs w:val="28"/>
          <w:shd w:val="clear" w:color="auto" w:fill="FFFFFF"/>
        </w:rPr>
      </w:pPr>
    </w:p>
    <w:p w14:paraId="434C8367" w14:textId="77777777" w:rsidR="00901EDC" w:rsidRPr="00992A2E" w:rsidRDefault="00901EDC" w:rsidP="001E3603">
      <w:pPr>
        <w:pStyle w:val="Estilo1"/>
        <w:numPr>
          <w:ilvl w:val="0"/>
          <w:numId w:val="1"/>
        </w:numPr>
        <w:tabs>
          <w:tab w:val="left" w:pos="426"/>
        </w:tabs>
        <w:ind w:left="0" w:firstLine="0"/>
        <w:rPr>
          <w:sz w:val="28"/>
          <w:szCs w:val="28"/>
          <w:shd w:val="clear" w:color="auto" w:fill="FFFFFF"/>
        </w:rPr>
      </w:pPr>
      <w:r w:rsidRPr="00992A2E">
        <w:rPr>
          <w:sz w:val="28"/>
          <w:szCs w:val="28"/>
          <w:shd w:val="clear" w:color="auto" w:fill="FFFFFF"/>
        </w:rPr>
        <w:t>Finalmente, es importante advertir que la decisión inhibitoria no hace tránsito a cosa juzgada, ni restringe el derecho de acción de los ciudadanos, de manera que, si así lo estiman pertinente, pueden presentar una nueva demanda, ajustándose a las exigencias de los artículos 40.6 y 241 de la Carta Política, en concordancia con lo dispuesto en el Decreto 2067 de 1991 y en la jurisprudencia constitucional.</w:t>
      </w:r>
    </w:p>
    <w:p w14:paraId="6959EEF1" w14:textId="77777777" w:rsidR="00901EDC" w:rsidRPr="00992A2E" w:rsidRDefault="00901EDC" w:rsidP="001E3603">
      <w:pPr>
        <w:pStyle w:val="Estilo1"/>
        <w:tabs>
          <w:tab w:val="left" w:pos="426"/>
        </w:tabs>
        <w:rPr>
          <w:rStyle w:val="apple-converted-space"/>
          <w:sz w:val="28"/>
          <w:szCs w:val="28"/>
          <w:lang w:val="es-CO"/>
        </w:rPr>
      </w:pPr>
    </w:p>
    <w:p w14:paraId="3A307C4D" w14:textId="33FC9B42" w:rsidR="00901EDC" w:rsidRPr="00992A2E" w:rsidRDefault="00901EDC" w:rsidP="001E3603">
      <w:pPr>
        <w:ind w:right="50"/>
        <w:jc w:val="both"/>
        <w:rPr>
          <w:lang w:val="es-ES_tradnl"/>
        </w:rPr>
      </w:pPr>
      <w:r w:rsidRPr="00992A2E">
        <w:rPr>
          <w:b/>
          <w:bCs/>
          <w:sz w:val="28"/>
          <w:szCs w:val="28"/>
          <w:lang w:val="es-ES_tradnl"/>
        </w:rPr>
        <w:t>VII</w:t>
      </w:r>
      <w:r w:rsidR="006A5D12">
        <w:rPr>
          <w:b/>
          <w:bCs/>
          <w:sz w:val="28"/>
          <w:szCs w:val="28"/>
          <w:lang w:val="es-ES_tradnl"/>
        </w:rPr>
        <w:t>I</w:t>
      </w:r>
      <w:r w:rsidRPr="00992A2E">
        <w:rPr>
          <w:b/>
          <w:bCs/>
          <w:sz w:val="28"/>
          <w:szCs w:val="28"/>
          <w:lang w:val="es-ES_tradnl"/>
        </w:rPr>
        <w:t>.</w:t>
      </w:r>
      <w:r w:rsidRPr="00992A2E">
        <w:rPr>
          <w:rStyle w:val="apple-converted-space"/>
          <w:b/>
          <w:bCs/>
          <w:lang w:val="es-ES_tradnl"/>
        </w:rPr>
        <w:t xml:space="preserve"> </w:t>
      </w:r>
      <w:r w:rsidRPr="00992A2E">
        <w:rPr>
          <w:b/>
          <w:bCs/>
          <w:sz w:val="28"/>
          <w:szCs w:val="28"/>
          <w:lang w:val="es-ES_tradnl"/>
        </w:rPr>
        <w:t>DECISIÓN</w:t>
      </w:r>
    </w:p>
    <w:p w14:paraId="711D6D43" w14:textId="77777777" w:rsidR="00901EDC" w:rsidRPr="00992A2E" w:rsidRDefault="00901EDC" w:rsidP="001E3603">
      <w:pPr>
        <w:ind w:right="50"/>
        <w:jc w:val="both"/>
        <w:rPr>
          <w:lang w:val="es-ES_tradnl"/>
        </w:rPr>
      </w:pPr>
    </w:p>
    <w:p w14:paraId="10F594A2" w14:textId="77777777" w:rsidR="00901EDC" w:rsidRPr="00992A2E" w:rsidRDefault="00901EDC" w:rsidP="001E3603">
      <w:pPr>
        <w:ind w:right="50"/>
        <w:jc w:val="both"/>
        <w:rPr>
          <w:lang w:val="es-ES_tradnl"/>
        </w:rPr>
      </w:pPr>
      <w:r w:rsidRPr="00992A2E">
        <w:rPr>
          <w:sz w:val="28"/>
          <w:szCs w:val="28"/>
          <w:lang w:val="es-ES_tradnl"/>
        </w:rPr>
        <w:t>En mérito de lo expuesto, la Sala Plena de la Corte Constitucional, administrando justicia, en nombre del Pueblo y por mandato de la Constitución,</w:t>
      </w:r>
    </w:p>
    <w:p w14:paraId="036843C6" w14:textId="77777777" w:rsidR="00901EDC" w:rsidRPr="00992A2E" w:rsidRDefault="00901EDC" w:rsidP="001E3603">
      <w:pPr>
        <w:ind w:right="50"/>
        <w:jc w:val="both"/>
        <w:rPr>
          <w:lang w:val="es-ES_tradnl"/>
        </w:rPr>
      </w:pPr>
    </w:p>
    <w:p w14:paraId="51FCACF7" w14:textId="77777777" w:rsidR="00901EDC" w:rsidRPr="00992A2E" w:rsidRDefault="00901EDC" w:rsidP="001E3603">
      <w:pPr>
        <w:ind w:right="50"/>
        <w:jc w:val="center"/>
        <w:rPr>
          <w:lang w:val="es-ES_tradnl"/>
        </w:rPr>
      </w:pPr>
      <w:r w:rsidRPr="00992A2E">
        <w:rPr>
          <w:b/>
          <w:bCs/>
          <w:sz w:val="28"/>
          <w:szCs w:val="28"/>
          <w:lang w:val="es-ES_tradnl"/>
        </w:rPr>
        <w:t>RESUELVE</w:t>
      </w:r>
    </w:p>
    <w:p w14:paraId="658455BF" w14:textId="77777777" w:rsidR="00901EDC" w:rsidRPr="00992A2E" w:rsidRDefault="00901EDC" w:rsidP="001E3603">
      <w:pPr>
        <w:ind w:right="50"/>
        <w:jc w:val="center"/>
        <w:rPr>
          <w:lang w:val="es-ES_tradnl"/>
        </w:rPr>
      </w:pPr>
    </w:p>
    <w:p w14:paraId="20DA6E4F" w14:textId="77777777" w:rsidR="00901EDC" w:rsidRPr="00992A2E" w:rsidRDefault="00901EDC" w:rsidP="001E3603">
      <w:pPr>
        <w:pStyle w:val="Estilo1"/>
        <w:tabs>
          <w:tab w:val="left" w:pos="426"/>
        </w:tabs>
        <w:rPr>
          <w:sz w:val="28"/>
          <w:szCs w:val="28"/>
        </w:rPr>
      </w:pPr>
      <w:proofErr w:type="gramStart"/>
      <w:r w:rsidRPr="00992A2E">
        <w:rPr>
          <w:b/>
          <w:bCs/>
          <w:sz w:val="28"/>
          <w:szCs w:val="28"/>
        </w:rPr>
        <w:t>ÚNICO.-</w:t>
      </w:r>
      <w:proofErr w:type="gramEnd"/>
      <w:r w:rsidRPr="00992A2E">
        <w:rPr>
          <w:sz w:val="28"/>
          <w:szCs w:val="28"/>
        </w:rPr>
        <w:t xml:space="preserve"> Declararse</w:t>
      </w:r>
      <w:r w:rsidRPr="00992A2E">
        <w:rPr>
          <w:rStyle w:val="apple-converted-space"/>
        </w:rPr>
        <w:t xml:space="preserve"> </w:t>
      </w:r>
      <w:r w:rsidRPr="00992A2E">
        <w:rPr>
          <w:b/>
          <w:bCs/>
          <w:sz w:val="28"/>
          <w:szCs w:val="28"/>
        </w:rPr>
        <w:t>INHIBIDA</w:t>
      </w:r>
      <w:r w:rsidRPr="00992A2E">
        <w:rPr>
          <w:sz w:val="28"/>
          <w:szCs w:val="28"/>
        </w:rPr>
        <w:t xml:space="preserve"> para pronunciarse de fondo sobre la demanda de inconstitucionalidad contra el artículo 248 (parcial) de la Ley 906 de 2004, presentada por los ciudadanos Paulina Morales Ospina, Juliana Sepúlveda Londoño, Francisco Esteban Aristizábal </w:t>
      </w:r>
      <w:proofErr w:type="spellStart"/>
      <w:r w:rsidRPr="00992A2E">
        <w:rPr>
          <w:sz w:val="28"/>
          <w:szCs w:val="28"/>
        </w:rPr>
        <w:t>Ibarbo</w:t>
      </w:r>
      <w:proofErr w:type="spellEnd"/>
      <w:r w:rsidRPr="00992A2E">
        <w:rPr>
          <w:sz w:val="28"/>
          <w:szCs w:val="28"/>
        </w:rPr>
        <w:t xml:space="preserve"> y Valentina Rivera </w:t>
      </w:r>
      <w:proofErr w:type="spellStart"/>
      <w:r w:rsidRPr="00992A2E">
        <w:rPr>
          <w:sz w:val="28"/>
          <w:szCs w:val="28"/>
        </w:rPr>
        <w:t>Rivera</w:t>
      </w:r>
      <w:proofErr w:type="spellEnd"/>
      <w:r w:rsidRPr="00992A2E">
        <w:rPr>
          <w:sz w:val="28"/>
          <w:szCs w:val="28"/>
        </w:rPr>
        <w:t>, por las razones expuestas en esta providencia.</w:t>
      </w:r>
    </w:p>
    <w:p w14:paraId="76C69214" w14:textId="77777777" w:rsidR="00901EDC" w:rsidRPr="00992A2E" w:rsidRDefault="00901EDC" w:rsidP="001E3603">
      <w:pPr>
        <w:pStyle w:val="Estilo1"/>
        <w:tabs>
          <w:tab w:val="left" w:pos="426"/>
        </w:tabs>
      </w:pPr>
    </w:p>
    <w:p w14:paraId="68848984" w14:textId="4B835D48" w:rsidR="00C309AC" w:rsidRDefault="00901EDC" w:rsidP="001F5A6A">
      <w:pPr>
        <w:ind w:right="50"/>
        <w:jc w:val="both"/>
        <w:rPr>
          <w:sz w:val="28"/>
          <w:szCs w:val="28"/>
          <w:lang w:val="es-ES_tradnl"/>
        </w:rPr>
      </w:pPr>
      <w:r w:rsidRPr="00992A2E">
        <w:rPr>
          <w:sz w:val="28"/>
          <w:szCs w:val="28"/>
          <w:lang w:val="es-ES_tradnl"/>
        </w:rPr>
        <w:t>Notifíquese, comuníquese y cúmplase.</w:t>
      </w:r>
    </w:p>
    <w:p w14:paraId="099E73AB" w14:textId="1EC818CD" w:rsidR="00E83F99" w:rsidRDefault="00E83F99" w:rsidP="001F5A6A">
      <w:pPr>
        <w:ind w:right="50"/>
        <w:jc w:val="both"/>
      </w:pPr>
    </w:p>
    <w:p w14:paraId="7D6C345B" w14:textId="1CF443A0" w:rsidR="00E83F99" w:rsidRDefault="00E83F99" w:rsidP="001F5A6A">
      <w:pPr>
        <w:ind w:right="50"/>
        <w:jc w:val="both"/>
      </w:pPr>
    </w:p>
    <w:p w14:paraId="0DD0C3CD" w14:textId="6B38342B" w:rsidR="00E83F99" w:rsidRDefault="00E83F99" w:rsidP="00E83F99">
      <w:pPr>
        <w:ind w:right="50"/>
        <w:jc w:val="center"/>
        <w:rPr>
          <w:sz w:val="28"/>
        </w:rPr>
      </w:pPr>
      <w:r w:rsidRPr="00E83F99">
        <w:rPr>
          <w:sz w:val="28"/>
        </w:rPr>
        <w:t>JOSE FERNANDO REYES CUARTAS</w:t>
      </w:r>
    </w:p>
    <w:p w14:paraId="66364E7A" w14:textId="24560D21" w:rsidR="00E83F99" w:rsidRDefault="00E83F99" w:rsidP="00E83F99">
      <w:pPr>
        <w:ind w:right="50"/>
        <w:jc w:val="center"/>
        <w:rPr>
          <w:sz w:val="28"/>
        </w:rPr>
      </w:pPr>
      <w:r w:rsidRPr="00E83F99">
        <w:rPr>
          <w:sz w:val="28"/>
        </w:rPr>
        <w:t>Presidente</w:t>
      </w:r>
    </w:p>
    <w:p w14:paraId="144276BE" w14:textId="31F08D9F" w:rsidR="00E83F99" w:rsidRDefault="00E83F99" w:rsidP="00E83F99">
      <w:pPr>
        <w:ind w:right="50"/>
        <w:jc w:val="center"/>
        <w:rPr>
          <w:sz w:val="28"/>
        </w:rPr>
      </w:pPr>
    </w:p>
    <w:p w14:paraId="7475E267" w14:textId="697B7ADB" w:rsidR="00E83F99" w:rsidRDefault="00E83F99" w:rsidP="00E83F99">
      <w:pPr>
        <w:ind w:right="50"/>
        <w:jc w:val="center"/>
        <w:rPr>
          <w:sz w:val="28"/>
        </w:rPr>
      </w:pPr>
    </w:p>
    <w:p w14:paraId="41252410" w14:textId="48E540FF" w:rsidR="00E83F99" w:rsidRDefault="00E83F99" w:rsidP="00E83F99">
      <w:pPr>
        <w:ind w:right="50"/>
        <w:jc w:val="center"/>
        <w:rPr>
          <w:sz w:val="28"/>
        </w:rPr>
      </w:pPr>
    </w:p>
    <w:p w14:paraId="1C9597E3" w14:textId="7D6D535F" w:rsidR="00E83F99" w:rsidRDefault="00E83F99" w:rsidP="00E83F99">
      <w:pPr>
        <w:ind w:right="50"/>
        <w:jc w:val="center"/>
        <w:rPr>
          <w:sz w:val="28"/>
        </w:rPr>
      </w:pPr>
      <w:r w:rsidRPr="00E83F99">
        <w:rPr>
          <w:sz w:val="28"/>
        </w:rPr>
        <w:t>NATALIA ÁNGEL CABO</w:t>
      </w:r>
    </w:p>
    <w:p w14:paraId="66245028" w14:textId="70C9BCD5" w:rsidR="00E83F99" w:rsidRDefault="00E83F99" w:rsidP="00E83F99">
      <w:pPr>
        <w:ind w:right="50"/>
        <w:jc w:val="center"/>
        <w:rPr>
          <w:sz w:val="28"/>
        </w:rPr>
      </w:pPr>
      <w:r w:rsidRPr="00E83F99">
        <w:rPr>
          <w:sz w:val="28"/>
        </w:rPr>
        <w:t>Magistrada</w:t>
      </w:r>
    </w:p>
    <w:p w14:paraId="065E350A" w14:textId="5B637C81" w:rsidR="00E83F99" w:rsidRDefault="00E83F99" w:rsidP="00E83F99">
      <w:pPr>
        <w:ind w:right="50"/>
        <w:jc w:val="center"/>
        <w:rPr>
          <w:sz w:val="28"/>
        </w:rPr>
      </w:pPr>
    </w:p>
    <w:p w14:paraId="12AC5801" w14:textId="78B8CA7E" w:rsidR="00E83F99" w:rsidRDefault="00E83F99" w:rsidP="00E83F99">
      <w:pPr>
        <w:ind w:right="50"/>
        <w:jc w:val="center"/>
        <w:rPr>
          <w:sz w:val="28"/>
        </w:rPr>
      </w:pPr>
    </w:p>
    <w:p w14:paraId="643D4373" w14:textId="1D518066" w:rsidR="00E83F99" w:rsidRDefault="00E83F99" w:rsidP="00E83F99">
      <w:pPr>
        <w:ind w:right="50"/>
        <w:jc w:val="center"/>
        <w:rPr>
          <w:sz w:val="28"/>
        </w:rPr>
      </w:pPr>
    </w:p>
    <w:p w14:paraId="20AB0174" w14:textId="5A8C8037" w:rsidR="00E83F99" w:rsidRDefault="00E83F99" w:rsidP="00E83F99">
      <w:pPr>
        <w:ind w:right="50"/>
        <w:jc w:val="center"/>
        <w:rPr>
          <w:sz w:val="28"/>
        </w:rPr>
      </w:pPr>
      <w:r w:rsidRPr="00E83F99">
        <w:rPr>
          <w:sz w:val="28"/>
        </w:rPr>
        <w:t>JUAN CARLOS CORTÉS GONZÁLEZ</w:t>
      </w:r>
    </w:p>
    <w:p w14:paraId="5B1FA71B" w14:textId="74832C73" w:rsidR="00E83F99" w:rsidRDefault="00E83F99" w:rsidP="00E83F99">
      <w:pPr>
        <w:ind w:right="50"/>
        <w:jc w:val="center"/>
        <w:rPr>
          <w:sz w:val="28"/>
        </w:rPr>
      </w:pPr>
      <w:r w:rsidRPr="00E83F99">
        <w:rPr>
          <w:sz w:val="28"/>
        </w:rPr>
        <w:t>Magistrado</w:t>
      </w:r>
    </w:p>
    <w:p w14:paraId="674D2C10" w14:textId="09E69B44" w:rsidR="00E83F99" w:rsidRDefault="00E83F99" w:rsidP="00E83F99">
      <w:pPr>
        <w:ind w:right="50"/>
        <w:jc w:val="center"/>
        <w:rPr>
          <w:sz w:val="28"/>
        </w:rPr>
      </w:pPr>
    </w:p>
    <w:p w14:paraId="6EDF3BF1" w14:textId="050B8E41" w:rsidR="00E83F99" w:rsidRDefault="00E83F99" w:rsidP="00E83F99">
      <w:pPr>
        <w:ind w:right="50"/>
        <w:jc w:val="center"/>
        <w:rPr>
          <w:sz w:val="28"/>
        </w:rPr>
      </w:pPr>
    </w:p>
    <w:p w14:paraId="275D1746" w14:textId="3952B318" w:rsidR="00E83F99" w:rsidRDefault="00E83F99" w:rsidP="00E83F99">
      <w:pPr>
        <w:ind w:right="50"/>
        <w:jc w:val="center"/>
        <w:rPr>
          <w:sz w:val="28"/>
        </w:rPr>
      </w:pPr>
    </w:p>
    <w:p w14:paraId="21530B56" w14:textId="5F37112D" w:rsidR="00E83F99" w:rsidRDefault="00E83F99" w:rsidP="00E83F99">
      <w:pPr>
        <w:ind w:right="50"/>
        <w:jc w:val="center"/>
        <w:rPr>
          <w:sz w:val="28"/>
        </w:rPr>
      </w:pPr>
      <w:r w:rsidRPr="00E83F99">
        <w:rPr>
          <w:sz w:val="28"/>
        </w:rPr>
        <w:lastRenderedPageBreak/>
        <w:t>DIANA FAJARDO RIVERA</w:t>
      </w:r>
    </w:p>
    <w:p w14:paraId="5E9ADD2A" w14:textId="47C22C93" w:rsidR="00E83F99" w:rsidRDefault="00E83F99" w:rsidP="00E83F99">
      <w:pPr>
        <w:ind w:right="50"/>
        <w:jc w:val="center"/>
        <w:rPr>
          <w:sz w:val="28"/>
        </w:rPr>
      </w:pPr>
      <w:r w:rsidRPr="00E83F99">
        <w:rPr>
          <w:sz w:val="28"/>
        </w:rPr>
        <w:t>Magistrada</w:t>
      </w:r>
    </w:p>
    <w:p w14:paraId="7F34D67F" w14:textId="3853CB90" w:rsidR="00E83F99" w:rsidRDefault="00E83F99" w:rsidP="00E83F99">
      <w:pPr>
        <w:ind w:right="50"/>
        <w:jc w:val="center"/>
        <w:rPr>
          <w:sz w:val="28"/>
        </w:rPr>
      </w:pPr>
    </w:p>
    <w:p w14:paraId="01B5291C" w14:textId="1DF6C9D3" w:rsidR="00E83F99" w:rsidRDefault="00E83F99" w:rsidP="00E83F99">
      <w:pPr>
        <w:ind w:right="50"/>
        <w:jc w:val="center"/>
        <w:rPr>
          <w:sz w:val="28"/>
        </w:rPr>
      </w:pPr>
    </w:p>
    <w:p w14:paraId="1FA97567" w14:textId="4309C16A" w:rsidR="00E83F99" w:rsidRDefault="00E83F99" w:rsidP="00E83F99">
      <w:pPr>
        <w:ind w:right="50"/>
        <w:jc w:val="center"/>
        <w:rPr>
          <w:sz w:val="28"/>
        </w:rPr>
      </w:pPr>
    </w:p>
    <w:p w14:paraId="402DCE65" w14:textId="129AC6F7" w:rsidR="00E83F99" w:rsidRDefault="00E83F99" w:rsidP="00E83F99">
      <w:pPr>
        <w:ind w:right="50"/>
        <w:jc w:val="center"/>
        <w:rPr>
          <w:sz w:val="28"/>
        </w:rPr>
      </w:pPr>
      <w:r w:rsidRPr="00E83F99">
        <w:rPr>
          <w:sz w:val="28"/>
        </w:rPr>
        <w:t>VLADIMIR FERNÁNDEZ ANDRADE</w:t>
      </w:r>
    </w:p>
    <w:p w14:paraId="56CFB70A" w14:textId="1CD6D678" w:rsidR="00E83F99" w:rsidRDefault="00E83F99" w:rsidP="00E83F99">
      <w:pPr>
        <w:ind w:right="50"/>
        <w:jc w:val="center"/>
        <w:rPr>
          <w:sz w:val="28"/>
        </w:rPr>
      </w:pPr>
      <w:r w:rsidRPr="00E83F99">
        <w:rPr>
          <w:sz w:val="28"/>
        </w:rPr>
        <w:t>Magistrado</w:t>
      </w:r>
    </w:p>
    <w:p w14:paraId="78EE6DF7" w14:textId="5D7AEF33" w:rsidR="00E83F99" w:rsidRDefault="00E83F99" w:rsidP="00E83F99">
      <w:pPr>
        <w:ind w:right="50"/>
        <w:jc w:val="center"/>
        <w:rPr>
          <w:sz w:val="28"/>
        </w:rPr>
      </w:pPr>
    </w:p>
    <w:p w14:paraId="50376479" w14:textId="781653D7" w:rsidR="00E83F99" w:rsidRDefault="00E83F99" w:rsidP="00E83F99">
      <w:pPr>
        <w:ind w:right="50"/>
        <w:jc w:val="center"/>
        <w:rPr>
          <w:sz w:val="28"/>
        </w:rPr>
      </w:pPr>
    </w:p>
    <w:p w14:paraId="0B9B4FCD" w14:textId="60512624" w:rsidR="00E83F99" w:rsidRDefault="00E83F99" w:rsidP="00E83F99">
      <w:pPr>
        <w:ind w:right="50"/>
        <w:jc w:val="center"/>
        <w:rPr>
          <w:sz w:val="28"/>
        </w:rPr>
      </w:pPr>
    </w:p>
    <w:p w14:paraId="354970D8" w14:textId="3AD7C1D0" w:rsidR="00E83F99" w:rsidRDefault="00E83F99" w:rsidP="00E83F99">
      <w:pPr>
        <w:ind w:right="50"/>
        <w:jc w:val="center"/>
        <w:rPr>
          <w:sz w:val="28"/>
        </w:rPr>
      </w:pPr>
      <w:r w:rsidRPr="00E83F99">
        <w:rPr>
          <w:sz w:val="28"/>
        </w:rPr>
        <w:t xml:space="preserve">JORGE ENRIQUE IBÁÑEZ NAJAR </w:t>
      </w:r>
    </w:p>
    <w:p w14:paraId="02331B83" w14:textId="5CEB8CCE" w:rsidR="00E83F99" w:rsidRDefault="00E83F99" w:rsidP="00E83F99">
      <w:pPr>
        <w:ind w:right="50"/>
        <w:jc w:val="center"/>
        <w:rPr>
          <w:sz w:val="28"/>
        </w:rPr>
      </w:pPr>
      <w:r w:rsidRPr="00E83F99">
        <w:rPr>
          <w:sz w:val="28"/>
        </w:rPr>
        <w:t>Magistrado</w:t>
      </w:r>
    </w:p>
    <w:p w14:paraId="5385A3F6" w14:textId="1B573459" w:rsidR="00E83F99" w:rsidRDefault="00E83F99" w:rsidP="00E83F99">
      <w:pPr>
        <w:ind w:right="50"/>
        <w:jc w:val="center"/>
        <w:rPr>
          <w:sz w:val="28"/>
        </w:rPr>
      </w:pPr>
    </w:p>
    <w:p w14:paraId="7B7FEA35" w14:textId="7548F613" w:rsidR="00E83F99" w:rsidRDefault="00E83F99" w:rsidP="00E83F99">
      <w:pPr>
        <w:ind w:right="50"/>
        <w:jc w:val="center"/>
        <w:rPr>
          <w:sz w:val="28"/>
        </w:rPr>
      </w:pPr>
    </w:p>
    <w:p w14:paraId="0B153CCE" w14:textId="48CA4EBA" w:rsidR="00E83F99" w:rsidRDefault="00E83F99" w:rsidP="00E83F99">
      <w:pPr>
        <w:ind w:right="50"/>
        <w:jc w:val="center"/>
        <w:rPr>
          <w:sz w:val="28"/>
        </w:rPr>
      </w:pPr>
    </w:p>
    <w:p w14:paraId="36A96367" w14:textId="29BE68FD" w:rsidR="00E83F99" w:rsidRDefault="00E83F99" w:rsidP="00E83F99">
      <w:pPr>
        <w:ind w:right="50"/>
        <w:jc w:val="center"/>
        <w:rPr>
          <w:sz w:val="28"/>
        </w:rPr>
      </w:pPr>
      <w:r w:rsidRPr="00E83F99">
        <w:rPr>
          <w:sz w:val="28"/>
        </w:rPr>
        <w:t>ANTONIO JOSÉ LIZARAZO OCAMPO</w:t>
      </w:r>
    </w:p>
    <w:p w14:paraId="08CE8143" w14:textId="72EB1DEE" w:rsidR="00E83F99" w:rsidRDefault="00E83F99" w:rsidP="00E83F99">
      <w:pPr>
        <w:ind w:right="50"/>
        <w:jc w:val="center"/>
        <w:rPr>
          <w:sz w:val="28"/>
        </w:rPr>
      </w:pPr>
      <w:r w:rsidRPr="00E83F99">
        <w:rPr>
          <w:sz w:val="28"/>
        </w:rPr>
        <w:t>Magistrado</w:t>
      </w:r>
    </w:p>
    <w:p w14:paraId="40E81A0A" w14:textId="16845278" w:rsidR="00E83F99" w:rsidRDefault="00E83F99" w:rsidP="00E83F99">
      <w:pPr>
        <w:ind w:right="50"/>
        <w:jc w:val="center"/>
        <w:rPr>
          <w:sz w:val="28"/>
        </w:rPr>
      </w:pPr>
    </w:p>
    <w:p w14:paraId="6D5C7A7E" w14:textId="0FD416C2" w:rsidR="00E83F99" w:rsidRDefault="00E83F99" w:rsidP="00E83F99">
      <w:pPr>
        <w:ind w:right="50"/>
        <w:jc w:val="center"/>
        <w:rPr>
          <w:sz w:val="28"/>
        </w:rPr>
      </w:pPr>
    </w:p>
    <w:p w14:paraId="5679C201" w14:textId="18147CAD" w:rsidR="00E83F99" w:rsidRDefault="00E83F99" w:rsidP="00E83F99">
      <w:pPr>
        <w:ind w:right="50"/>
        <w:jc w:val="center"/>
        <w:rPr>
          <w:sz w:val="28"/>
        </w:rPr>
      </w:pPr>
    </w:p>
    <w:p w14:paraId="4611089D" w14:textId="63BE954E" w:rsidR="00E83F99" w:rsidRDefault="00E83F99" w:rsidP="00E83F99">
      <w:pPr>
        <w:ind w:right="50"/>
        <w:jc w:val="center"/>
        <w:rPr>
          <w:sz w:val="28"/>
        </w:rPr>
      </w:pPr>
      <w:r w:rsidRPr="00E83F99">
        <w:rPr>
          <w:sz w:val="28"/>
        </w:rPr>
        <w:t>PAOLA ANDREA MENESES MOSQUERA</w:t>
      </w:r>
    </w:p>
    <w:p w14:paraId="2172C254" w14:textId="73CDFC6B" w:rsidR="00E83F99" w:rsidRDefault="00E83F99" w:rsidP="00E83F99">
      <w:pPr>
        <w:ind w:right="50"/>
        <w:jc w:val="center"/>
        <w:rPr>
          <w:sz w:val="28"/>
        </w:rPr>
      </w:pPr>
      <w:r w:rsidRPr="00E83F99">
        <w:rPr>
          <w:sz w:val="28"/>
        </w:rPr>
        <w:t>Magistrada</w:t>
      </w:r>
    </w:p>
    <w:p w14:paraId="40598A22" w14:textId="63CDA942" w:rsidR="00E83F99" w:rsidRDefault="00E83F99" w:rsidP="00E83F99">
      <w:pPr>
        <w:ind w:right="50"/>
        <w:jc w:val="center"/>
        <w:rPr>
          <w:sz w:val="28"/>
        </w:rPr>
      </w:pPr>
    </w:p>
    <w:p w14:paraId="63E32489" w14:textId="1BFD9AA0" w:rsidR="00E83F99" w:rsidRDefault="00E83F99" w:rsidP="00E83F99">
      <w:pPr>
        <w:ind w:right="50"/>
        <w:jc w:val="center"/>
        <w:rPr>
          <w:sz w:val="28"/>
        </w:rPr>
      </w:pPr>
    </w:p>
    <w:p w14:paraId="6B21B374" w14:textId="06EE665A" w:rsidR="00E83F99" w:rsidRDefault="00E83F99" w:rsidP="00E83F99">
      <w:pPr>
        <w:ind w:right="50"/>
        <w:jc w:val="center"/>
        <w:rPr>
          <w:sz w:val="28"/>
        </w:rPr>
      </w:pPr>
    </w:p>
    <w:p w14:paraId="33411BA0" w14:textId="1903EC1B" w:rsidR="00E83F99" w:rsidRDefault="00E83F99" w:rsidP="00E83F99">
      <w:pPr>
        <w:ind w:right="50"/>
        <w:jc w:val="center"/>
        <w:rPr>
          <w:sz w:val="28"/>
        </w:rPr>
      </w:pPr>
      <w:r w:rsidRPr="00E83F99">
        <w:rPr>
          <w:sz w:val="28"/>
        </w:rPr>
        <w:t>CRISTINA PARDO SCHLESINGER</w:t>
      </w:r>
    </w:p>
    <w:p w14:paraId="468577FD" w14:textId="35040B01" w:rsidR="00E83F99" w:rsidRDefault="00E83F99" w:rsidP="00E83F99">
      <w:pPr>
        <w:ind w:right="50"/>
        <w:jc w:val="center"/>
        <w:rPr>
          <w:sz w:val="28"/>
        </w:rPr>
      </w:pPr>
      <w:r w:rsidRPr="00E83F99">
        <w:rPr>
          <w:sz w:val="28"/>
        </w:rPr>
        <w:t>Magistrada</w:t>
      </w:r>
    </w:p>
    <w:p w14:paraId="7726E31A" w14:textId="14663B74" w:rsidR="00E83F99" w:rsidRDefault="00E83F99" w:rsidP="00E83F99">
      <w:pPr>
        <w:ind w:right="50"/>
        <w:jc w:val="center"/>
        <w:rPr>
          <w:sz w:val="28"/>
        </w:rPr>
      </w:pPr>
    </w:p>
    <w:p w14:paraId="310382AB" w14:textId="6EB8B66E" w:rsidR="00E83F99" w:rsidRDefault="00E83F99" w:rsidP="00E83F99">
      <w:pPr>
        <w:ind w:right="50"/>
        <w:jc w:val="center"/>
        <w:rPr>
          <w:sz w:val="28"/>
        </w:rPr>
      </w:pPr>
    </w:p>
    <w:p w14:paraId="3F3B91C6" w14:textId="6B541D7D" w:rsidR="00E83F99" w:rsidRDefault="00E83F99" w:rsidP="00E83F99">
      <w:pPr>
        <w:ind w:right="50"/>
        <w:jc w:val="center"/>
        <w:rPr>
          <w:sz w:val="28"/>
        </w:rPr>
      </w:pPr>
    </w:p>
    <w:p w14:paraId="108333C8" w14:textId="2237E79B" w:rsidR="00E83F99" w:rsidRDefault="00E83F99" w:rsidP="00E83F99">
      <w:pPr>
        <w:ind w:right="50"/>
        <w:jc w:val="center"/>
        <w:rPr>
          <w:sz w:val="28"/>
        </w:rPr>
      </w:pPr>
      <w:r w:rsidRPr="00E83F99">
        <w:rPr>
          <w:sz w:val="28"/>
        </w:rPr>
        <w:t>ANDREA LILIANA ROMERO LOPEZ</w:t>
      </w:r>
    </w:p>
    <w:p w14:paraId="55BCEB84" w14:textId="6EE1905A" w:rsidR="00E83F99" w:rsidRDefault="00E83F99" w:rsidP="00E83F99">
      <w:pPr>
        <w:ind w:right="50"/>
        <w:jc w:val="center"/>
        <w:rPr>
          <w:sz w:val="28"/>
        </w:rPr>
      </w:pPr>
      <w:r w:rsidRPr="00E83F99">
        <w:rPr>
          <w:sz w:val="28"/>
        </w:rPr>
        <w:t>Secretaria General</w:t>
      </w:r>
    </w:p>
    <w:sectPr w:rsidR="00E83F99" w:rsidSect="006F07E3">
      <w:headerReference w:type="default" r:id="rId9"/>
      <w:footerReference w:type="default" r:id="rId10"/>
      <w:footerReference w:type="first" r:id="rId11"/>
      <w:pgSz w:w="12242" w:h="18722" w:code="14"/>
      <w:pgMar w:top="1463" w:right="1610" w:bottom="1466" w:left="1701" w:header="709" w:footer="401"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22FFF8F" w14:textId="77777777" w:rsidR="00986D71" w:rsidRDefault="00986D71" w:rsidP="00901EDC">
      <w:r>
        <w:separator/>
      </w:r>
    </w:p>
  </w:endnote>
  <w:endnote w:type="continuationSeparator" w:id="0">
    <w:p w14:paraId="25041A17" w14:textId="77777777" w:rsidR="00986D71" w:rsidRDefault="00986D71" w:rsidP="00901E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Arial MT">
    <w:altName w:val="Arial"/>
    <w:charset w:val="01"/>
    <w:family w:val="swiss"/>
    <w:pitch w:val="variable"/>
  </w:font>
  <w:font w:name="Arial">
    <w:altName w:val="Arial"/>
    <w:panose1 w:val="020B0604020202020204"/>
    <w:charset w:val="00"/>
    <w:family w:val="swiss"/>
    <w:pitch w:val="variable"/>
    <w:sig w:usb0="E0002EFF" w:usb1="C000785B" w:usb2="00000009" w:usb3="00000000" w:csb0="000001FF" w:csb1="00000000"/>
  </w:font>
  <w:font w:name="TimesNewRomanPSMT">
    <w:altName w:val="Times New Roman"/>
    <w:panose1 w:val="00000000000000000000"/>
    <w:charset w:val="00"/>
    <w:family w:val="roman"/>
    <w:notTrueType/>
    <w:pitch w:val="default"/>
  </w:font>
  <w:font w:name="TimesNewRomanPS">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938138768"/>
      <w:docPartObj>
        <w:docPartGallery w:val="Page Numbers (Bottom of Page)"/>
        <w:docPartUnique/>
      </w:docPartObj>
    </w:sdtPr>
    <w:sdtEndPr/>
    <w:sdtContent>
      <w:p w14:paraId="3C9DB1C4" w14:textId="77777777" w:rsidR="009073CD" w:rsidRDefault="009A1078">
        <w:pPr>
          <w:pStyle w:val="Piedepgina"/>
          <w:jc w:val="right"/>
        </w:pPr>
        <w:r>
          <w:fldChar w:fldCharType="begin"/>
        </w:r>
        <w:r>
          <w:instrText>PAGE   \* MERGEFORMAT</w:instrText>
        </w:r>
        <w:r>
          <w:fldChar w:fldCharType="separate"/>
        </w:r>
        <w:r>
          <w:rPr>
            <w:lang w:val="es-ES"/>
          </w:rPr>
          <w:t>2</w:t>
        </w:r>
        <w:r>
          <w:fldChar w:fldCharType="end"/>
        </w:r>
      </w:p>
    </w:sdtContent>
  </w:sdt>
  <w:p w14:paraId="08B986F2" w14:textId="77777777" w:rsidR="009073CD" w:rsidRDefault="009073CD" w:rsidP="00423536"/>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BF6E134" w14:textId="77777777" w:rsidR="009073CD" w:rsidRDefault="009073CD" w:rsidP="00423536">
    <w:pPr>
      <w:pStyle w:val="Piedepgina"/>
      <w:tabs>
        <w:tab w:val="clear" w:pos="4419"/>
        <w:tab w:val="clear" w:pos="8838"/>
        <w:tab w:val="left" w:pos="4999"/>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1701BAD" w14:textId="77777777" w:rsidR="00986D71" w:rsidRDefault="00986D71" w:rsidP="00901EDC">
      <w:r>
        <w:separator/>
      </w:r>
    </w:p>
  </w:footnote>
  <w:footnote w:type="continuationSeparator" w:id="0">
    <w:p w14:paraId="24E2C39C" w14:textId="77777777" w:rsidR="00986D71" w:rsidRDefault="00986D71" w:rsidP="00901EDC">
      <w:r>
        <w:continuationSeparator/>
      </w:r>
    </w:p>
  </w:footnote>
  <w:footnote w:id="1">
    <w:p w14:paraId="7AD24410" w14:textId="77777777" w:rsidR="00901EDC" w:rsidRPr="00992A2E" w:rsidRDefault="00901EDC" w:rsidP="00901EDC">
      <w:pPr>
        <w:pStyle w:val="Textonotapie"/>
        <w:jc w:val="both"/>
        <w:rPr>
          <w:color w:val="000000" w:themeColor="text1"/>
        </w:rPr>
      </w:pPr>
      <w:r w:rsidRPr="00497FC6">
        <w:rPr>
          <w:rStyle w:val="Refdenotaalpie"/>
          <w:color w:val="000000" w:themeColor="text1"/>
        </w:rPr>
        <w:footnoteRef/>
      </w:r>
      <w:r w:rsidRPr="00497FC6">
        <w:rPr>
          <w:color w:val="000000" w:themeColor="text1"/>
        </w:rPr>
        <w:t xml:space="preserve"> La redacción original de la norma iniciaba por: «[s]in </w:t>
      </w:r>
      <w:r w:rsidRPr="00992A2E">
        <w:rPr>
          <w:color w:val="000000" w:themeColor="text1"/>
        </w:rPr>
        <w:t>perjuicio de los procedimientos preventivos que adelanta</w:t>
      </w:r>
    </w:p>
    <w:p w14:paraId="6F8A112C" w14:textId="77777777" w:rsidR="00901EDC" w:rsidRPr="00992A2E" w:rsidRDefault="00901EDC" w:rsidP="00901EDC">
      <w:pPr>
        <w:pStyle w:val="Textonotapie"/>
        <w:jc w:val="both"/>
        <w:rPr>
          <w:color w:val="000000" w:themeColor="text1"/>
        </w:rPr>
      </w:pPr>
      <w:r w:rsidRPr="00992A2E">
        <w:rPr>
          <w:color w:val="000000" w:themeColor="text1"/>
        </w:rPr>
        <w:t>la fuerza pública en cumplimiento de su deber constitucional, y […]»; no obstante, este aparte fue declarado inexequible, en la Sentencia C-822 de 2005, M.P. Manuel José Cepeda Espinosa.</w:t>
      </w:r>
    </w:p>
  </w:footnote>
  <w:footnote w:id="2">
    <w:p w14:paraId="1EC1C364" w14:textId="77777777" w:rsidR="00901EDC" w:rsidRPr="00992A2E" w:rsidRDefault="00901EDC" w:rsidP="00901EDC">
      <w:pPr>
        <w:pStyle w:val="Textonotapie"/>
        <w:jc w:val="both"/>
        <w:rPr>
          <w:color w:val="000000" w:themeColor="text1"/>
        </w:rPr>
      </w:pPr>
      <w:r w:rsidRPr="00992A2E">
        <w:rPr>
          <w:rStyle w:val="Refdenotaalpie"/>
          <w:color w:val="000000" w:themeColor="text1"/>
        </w:rPr>
        <w:footnoteRef/>
      </w:r>
      <w:r w:rsidRPr="00992A2E">
        <w:rPr>
          <w:color w:val="000000" w:themeColor="text1"/>
        </w:rPr>
        <w:t xml:space="preserve"> Escrito de demanda página 4.</w:t>
      </w:r>
    </w:p>
  </w:footnote>
  <w:footnote w:id="3">
    <w:p w14:paraId="0A71974B" w14:textId="77777777" w:rsidR="00901EDC" w:rsidRPr="00992A2E" w:rsidRDefault="00901EDC" w:rsidP="00901EDC">
      <w:pPr>
        <w:pStyle w:val="Textonotapie"/>
        <w:jc w:val="both"/>
        <w:rPr>
          <w:color w:val="000000" w:themeColor="text1"/>
          <w:lang w:val="es-ES"/>
        </w:rPr>
      </w:pPr>
      <w:r w:rsidRPr="00992A2E">
        <w:rPr>
          <w:rStyle w:val="Refdenotaalpie"/>
          <w:color w:val="000000" w:themeColor="text1"/>
        </w:rPr>
        <w:footnoteRef/>
      </w:r>
      <w:r w:rsidRPr="00992A2E">
        <w:rPr>
          <w:color w:val="000000" w:themeColor="text1"/>
        </w:rPr>
        <w:t xml:space="preserve"> Academia Colombia de Jurisprudencia y Harold Eduardo Súa Montaña.</w:t>
      </w:r>
    </w:p>
  </w:footnote>
  <w:footnote w:id="4">
    <w:p w14:paraId="42C5C20E" w14:textId="77777777" w:rsidR="00901EDC" w:rsidRPr="00992A2E" w:rsidRDefault="00901EDC" w:rsidP="00901EDC">
      <w:pPr>
        <w:pStyle w:val="Textonotapie"/>
        <w:jc w:val="both"/>
        <w:rPr>
          <w:color w:val="000000" w:themeColor="text1"/>
        </w:rPr>
      </w:pPr>
      <w:r w:rsidRPr="00992A2E">
        <w:rPr>
          <w:rStyle w:val="Refdenotaalpie"/>
          <w:color w:val="000000" w:themeColor="text1"/>
        </w:rPr>
        <w:footnoteRef/>
      </w:r>
      <w:r w:rsidRPr="00992A2E">
        <w:rPr>
          <w:color w:val="000000" w:themeColor="text1"/>
        </w:rPr>
        <w:t xml:space="preserve"> Colombia Diversa, PAIIS, Instituto Colombiano de Derecho Procesal, Dani García Pulgarín, Ministerio de Justicia, Universidades Libre, Javeriana, de Medellín, de Antioquia, Santo Tomás de Bucaramanga, EAFIT.</w:t>
      </w:r>
    </w:p>
  </w:footnote>
  <w:footnote w:id="5">
    <w:p w14:paraId="37B27A90" w14:textId="77777777" w:rsidR="00901EDC" w:rsidRPr="00992A2E" w:rsidRDefault="00901EDC" w:rsidP="00901EDC">
      <w:pPr>
        <w:pStyle w:val="Textonotapie"/>
        <w:rPr>
          <w:color w:val="000000" w:themeColor="text1"/>
        </w:rPr>
      </w:pPr>
      <w:r w:rsidRPr="00992A2E">
        <w:rPr>
          <w:rStyle w:val="Refdenotaalpie"/>
          <w:color w:val="000000" w:themeColor="text1"/>
        </w:rPr>
        <w:footnoteRef/>
      </w:r>
      <w:r w:rsidRPr="00992A2E">
        <w:rPr>
          <w:color w:val="000000" w:themeColor="text1"/>
        </w:rPr>
        <w:t xml:space="preserve"> Intervención del Ministerio de Justicia y del Derecho, pg. 7.</w:t>
      </w:r>
    </w:p>
  </w:footnote>
  <w:footnote w:id="6">
    <w:p w14:paraId="5514BA3B" w14:textId="77777777" w:rsidR="00901EDC" w:rsidRPr="00992A2E" w:rsidRDefault="00901EDC" w:rsidP="00901EDC">
      <w:pPr>
        <w:pStyle w:val="Textonotapie"/>
        <w:rPr>
          <w:color w:val="000000" w:themeColor="text1"/>
        </w:rPr>
      </w:pPr>
      <w:r w:rsidRPr="00992A2E">
        <w:rPr>
          <w:rStyle w:val="Refdenotaalpie"/>
          <w:color w:val="000000" w:themeColor="text1"/>
        </w:rPr>
        <w:footnoteRef/>
      </w:r>
      <w:r w:rsidRPr="00992A2E">
        <w:rPr>
          <w:color w:val="000000" w:themeColor="text1"/>
        </w:rPr>
        <w:t xml:space="preserve"> Intervención Harold Eduardo </w:t>
      </w:r>
      <w:r w:rsidRPr="00992A2E">
        <w:rPr>
          <w:color w:val="000000" w:themeColor="text1"/>
        </w:rPr>
        <w:t xml:space="preserve">Sua Montaña, pg. 2. </w:t>
      </w:r>
    </w:p>
  </w:footnote>
  <w:footnote w:id="7">
    <w:p w14:paraId="1739540F" w14:textId="77777777" w:rsidR="00901EDC" w:rsidRPr="00992A2E" w:rsidRDefault="00901EDC" w:rsidP="00901EDC">
      <w:pPr>
        <w:pStyle w:val="Textonotapie"/>
        <w:jc w:val="both"/>
        <w:rPr>
          <w:color w:val="000000" w:themeColor="text1"/>
        </w:rPr>
      </w:pPr>
      <w:r w:rsidRPr="00992A2E">
        <w:rPr>
          <w:rStyle w:val="Refdenotaalpie"/>
          <w:color w:val="000000" w:themeColor="text1"/>
        </w:rPr>
        <w:footnoteRef/>
      </w:r>
      <w:r w:rsidRPr="00992A2E">
        <w:rPr>
          <w:color w:val="000000" w:themeColor="text1"/>
        </w:rPr>
        <w:t xml:space="preserve"> Al respecto, explicó que «[c]</w:t>
      </w:r>
      <w:r w:rsidRPr="00992A2E">
        <w:rPr>
          <w:color w:val="000000" w:themeColor="text1"/>
        </w:rPr>
        <w:t>uando un individuo presenta una condición que dificulta esa diferenciación biológica, se denomina que posee un Trastorno en el Desarrollo Sexual (TDS o DSD por sus siglas en inglés), el cual puede ser de muchos tipos. Por ejemplo, el trastorno de Hiperplasia Adrenal Congénita genera dificultades de diferenciación del sexo aparente y el sexo genital (Pang, S.Y. et al, 1998), y por su parte la Disgenecia Gonadal Mixta genera dificultades para determinar el sexo tanto aparente y genital, como gonadal (Skakkebaek, N.E., 2003). Estos dos son los TDS más comunes, pero existen muchos otros que pueden oscurecer la determinación del sexo de una persona en los diferentes criterios mencionados de formas muy variadas».</w:t>
      </w:r>
    </w:p>
  </w:footnote>
  <w:footnote w:id="8">
    <w:p w14:paraId="0D5A8923" w14:textId="4AE38F6B" w:rsidR="00901EDC" w:rsidRPr="00992A2E" w:rsidRDefault="00901EDC" w:rsidP="00901EDC">
      <w:pPr>
        <w:pStyle w:val="Textonotapie"/>
        <w:rPr>
          <w:color w:val="000000" w:themeColor="text1"/>
        </w:rPr>
      </w:pPr>
      <w:r w:rsidRPr="00992A2E">
        <w:rPr>
          <w:rStyle w:val="Refdenotaalpie"/>
          <w:color w:val="000000" w:themeColor="text1"/>
        </w:rPr>
        <w:footnoteRef/>
      </w:r>
      <w:r w:rsidRPr="00992A2E">
        <w:rPr>
          <w:color w:val="000000" w:themeColor="text1"/>
        </w:rPr>
        <w:t xml:space="preserve"> Al respecto, citó la Sentencia SU-440 de 2021.</w:t>
      </w:r>
      <w:r w:rsidR="005D7FEA" w:rsidRPr="00992A2E">
        <w:rPr>
          <w:color w:val="000000" w:themeColor="text1"/>
        </w:rPr>
        <w:t xml:space="preserve"> M.P. Paola Andrea Meneses Mosquera.</w:t>
      </w:r>
    </w:p>
  </w:footnote>
  <w:footnote w:id="9">
    <w:p w14:paraId="654BB457" w14:textId="77777777" w:rsidR="00901EDC" w:rsidRPr="00992A2E" w:rsidRDefault="00901EDC" w:rsidP="00901EDC">
      <w:pPr>
        <w:pStyle w:val="Textonotapie"/>
        <w:rPr>
          <w:color w:val="000000" w:themeColor="text1"/>
        </w:rPr>
      </w:pPr>
      <w:r w:rsidRPr="00992A2E">
        <w:rPr>
          <w:rStyle w:val="Refdenotaalpie"/>
          <w:color w:val="000000" w:themeColor="text1"/>
        </w:rPr>
        <w:footnoteRef/>
      </w:r>
      <w:r w:rsidRPr="00992A2E">
        <w:rPr>
          <w:color w:val="000000" w:themeColor="text1"/>
        </w:rPr>
        <w:t xml:space="preserve"> La intervención de Colombia Diversa y PAIIS se hizo en conjunto mediante un solo escrito.</w:t>
      </w:r>
    </w:p>
  </w:footnote>
  <w:footnote w:id="10">
    <w:p w14:paraId="24526964" w14:textId="77777777" w:rsidR="00901EDC" w:rsidRPr="00992A2E" w:rsidRDefault="00901EDC" w:rsidP="00901EDC">
      <w:pPr>
        <w:pStyle w:val="Textonotapie"/>
        <w:jc w:val="both"/>
        <w:rPr>
          <w:color w:val="000000" w:themeColor="text1"/>
        </w:rPr>
      </w:pPr>
      <w:r w:rsidRPr="00992A2E">
        <w:rPr>
          <w:rStyle w:val="Refdenotaalpie"/>
          <w:color w:val="000000" w:themeColor="text1"/>
        </w:rPr>
        <w:footnoteRef/>
      </w:r>
      <w:r w:rsidRPr="00992A2E">
        <w:rPr>
          <w:color w:val="000000" w:themeColor="text1"/>
        </w:rPr>
        <w:t xml:space="preserve"> Sexo, género, orientación sexual, identidad de género, expresión de género, intersexualidad, sexo asignado al nacer, personas trans, personas no binarias, sistema binario del sexo/género, cisnormatividad y heteronormatividad.</w:t>
      </w:r>
    </w:p>
  </w:footnote>
  <w:footnote w:id="11">
    <w:p w14:paraId="08A1D781" w14:textId="77777777" w:rsidR="00901EDC" w:rsidRPr="00992A2E" w:rsidRDefault="00901EDC" w:rsidP="00901ED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eastAsiaTheme="minorHAnsi"/>
          <w:color w:val="000000" w:themeColor="text1"/>
          <w:sz w:val="20"/>
          <w:szCs w:val="20"/>
          <w:lang w:val="es-MX" w:eastAsia="en-US"/>
          <w14:ligatures w14:val="standardContextual"/>
        </w:rPr>
      </w:pPr>
      <w:r w:rsidRPr="00992A2E">
        <w:rPr>
          <w:rStyle w:val="Refdenotaalpie"/>
          <w:color w:val="000000" w:themeColor="text1"/>
          <w:sz w:val="20"/>
          <w:szCs w:val="20"/>
        </w:rPr>
        <w:footnoteRef/>
      </w:r>
      <w:r w:rsidRPr="00992A2E">
        <w:rPr>
          <w:color w:val="000000" w:themeColor="text1"/>
          <w:sz w:val="20"/>
          <w:szCs w:val="20"/>
        </w:rPr>
        <w:t xml:space="preserve"> </w:t>
      </w:r>
      <w:r w:rsidRPr="00992A2E">
        <w:rPr>
          <w:rFonts w:eastAsiaTheme="minorHAnsi"/>
          <w:color w:val="000000" w:themeColor="text1"/>
          <w:sz w:val="20"/>
          <w:szCs w:val="20"/>
          <w:lang w:eastAsia="en-US"/>
          <w14:ligatures w14:val="standardContextual"/>
        </w:rPr>
        <w:t xml:space="preserve">SU-337 de 1999, M.P. Alejandro Martínez Caballero; T-1025 de 2002, M.P. Rodrigo Escobar Gil ; T-152 de 2007, M.P. Rodrigo Escobar Gil; T-062 de 2011, Luis Ernesto Vargas Silva; T-314 de 2011, Jorge Iván Palacio </w:t>
      </w:r>
      <w:r w:rsidRPr="00992A2E">
        <w:rPr>
          <w:rFonts w:eastAsiaTheme="minorHAnsi"/>
          <w:color w:val="000000" w:themeColor="text1"/>
          <w:sz w:val="20"/>
          <w:szCs w:val="20"/>
          <w:lang w:eastAsia="en-US"/>
          <w14:ligatures w14:val="standardContextual"/>
        </w:rPr>
        <w:t>Palacio; T-918 de 2012, M.P. Jorge Iván Palacio Palacio; T-977 de 2012, M.P. Alexei Julio Estrada; T-565 de 2013, M.P. Luis Ernesto Vargas Silva; T-063 de 2015, M.P. María Victoria Calle Correa, T-447 de 2019, Gloria Stella Ortiz Delgado; SU-440 de 2021, M.P. Paola Andrea Meneses Mosquera y T-033 de 2022, M.P. Gloria Stella Ortiz Delgado.</w:t>
      </w:r>
    </w:p>
  </w:footnote>
  <w:footnote w:id="12">
    <w:p w14:paraId="43D52FDA" w14:textId="77777777" w:rsidR="00901EDC" w:rsidRPr="00992A2E" w:rsidRDefault="00901EDC" w:rsidP="00901EDC">
      <w:pPr>
        <w:pStyle w:val="Textonotapie"/>
        <w:jc w:val="both"/>
        <w:rPr>
          <w:color w:val="000000" w:themeColor="text1"/>
        </w:rPr>
      </w:pPr>
      <w:r w:rsidRPr="00992A2E">
        <w:rPr>
          <w:rStyle w:val="Refdenotaalpie"/>
          <w:color w:val="000000" w:themeColor="text1"/>
        </w:rPr>
        <w:footnoteRef/>
      </w:r>
      <w:r w:rsidRPr="00992A2E">
        <w:rPr>
          <w:color w:val="000000" w:themeColor="text1"/>
        </w:rPr>
        <w:t xml:space="preserve"> Los intervinientes también trajeron a colación diversas cifras que exhiben que «las personas trans se encuentran constantemente expuestas a la violencia en las situaciones de requisas o solicitud de documentos cuando no se expresa su inclusión en la redacción de las normas». En ese sentido, citaron el informe «La realidad de la Discriminación» en el que la organización Colombia Diversa indicó que «se registraron 97 casos de violencia policial y abuso de autoridad contra personas LGBTIQ+ durante el 2022, de los cuales 42 son hechos de violencia policial contra personas trans, que involucraron a 50 víctimas, lo que significa el 43,3 % de los hechos y el 46,7% de las víctimas totales pertenecientes a la población LGBTIQ+ […]». Además, explicaron que «están mayormente expuestas aquellas personas trans que no han cambiado sus documentos de identidad, pues ello es utilizado por los funcionarios para efectuar registros personales que vulneran su identidad de género».</w:t>
      </w:r>
    </w:p>
  </w:footnote>
  <w:footnote w:id="13">
    <w:p w14:paraId="64999CAE" w14:textId="77777777" w:rsidR="00901EDC" w:rsidRPr="00992A2E" w:rsidRDefault="00901EDC" w:rsidP="00901EDC">
      <w:pPr>
        <w:pStyle w:val="Textonotapie"/>
        <w:jc w:val="both"/>
        <w:rPr>
          <w:color w:val="000000" w:themeColor="text1"/>
        </w:rPr>
      </w:pPr>
      <w:r w:rsidRPr="00992A2E">
        <w:rPr>
          <w:rStyle w:val="Refdenotaalpie"/>
          <w:color w:val="000000" w:themeColor="text1"/>
        </w:rPr>
        <w:footnoteRef/>
      </w:r>
      <w:r w:rsidRPr="00992A2E">
        <w:rPr>
          <w:color w:val="000000" w:themeColor="text1"/>
        </w:rPr>
        <w:t xml:space="preserve"> Citó las sentencias: T- 675 de 2017, M.P. Alejandro Linares Cantillo; T-143 de 2018, M.P. José Fernando Reyes Cuartas; T- 218 de 2022, M.P. Gloria Stella Ortiz Delgado y C-408 de 2023, M.P. Antonio José Lizarazo Ocampo, entre otras.</w:t>
      </w:r>
    </w:p>
  </w:footnote>
  <w:footnote w:id="14">
    <w:p w14:paraId="741C9AEC" w14:textId="77777777" w:rsidR="00901EDC" w:rsidRPr="00992A2E" w:rsidRDefault="00901EDC" w:rsidP="00901EDC">
      <w:pPr>
        <w:pStyle w:val="Textonotapie"/>
        <w:jc w:val="both"/>
        <w:rPr>
          <w:color w:val="000000" w:themeColor="text1"/>
        </w:rPr>
      </w:pPr>
      <w:r w:rsidRPr="00992A2E">
        <w:rPr>
          <w:rStyle w:val="Refdenotaalpie"/>
          <w:color w:val="000000" w:themeColor="text1"/>
        </w:rPr>
        <w:footnoteRef/>
      </w:r>
      <w:r w:rsidRPr="00992A2E">
        <w:rPr>
          <w:color w:val="000000" w:themeColor="text1"/>
        </w:rPr>
        <w:t xml:space="preserve"> Al respecto, se hizo referencia a diversos datos producidos por Colombia Diversa, según los cuales «las mujeres trans siguen siendo el grupo más vulnerable dentro de la población LGBTIQ+ en lo que respecta a la violencia policial en el país». Dani García Pulgarín también refirió que personas con experiencias de vida trans, travestis y no-binaria se han visto expuestas, de manera recurrente, a tratos humillantes y degradantes por parte de las autoridades militares y de policía.</w:t>
      </w:r>
    </w:p>
  </w:footnote>
  <w:footnote w:id="15">
    <w:p w14:paraId="0870362A" w14:textId="77777777" w:rsidR="00901EDC" w:rsidRPr="00992A2E" w:rsidRDefault="00901EDC" w:rsidP="00901EDC">
      <w:pPr>
        <w:pStyle w:val="Textonotapie"/>
        <w:rPr>
          <w:color w:val="000000" w:themeColor="text1"/>
        </w:rPr>
      </w:pPr>
      <w:r w:rsidRPr="00992A2E">
        <w:rPr>
          <w:rStyle w:val="Refdenotaalpie"/>
          <w:color w:val="000000" w:themeColor="text1"/>
        </w:rPr>
        <w:footnoteRef/>
      </w:r>
      <w:r w:rsidRPr="00992A2E">
        <w:rPr>
          <w:color w:val="000000" w:themeColor="text1"/>
        </w:rPr>
        <w:t xml:space="preserve"> Intervención Dani García Pulgarín, pg. 7.</w:t>
      </w:r>
    </w:p>
  </w:footnote>
  <w:footnote w:id="16">
    <w:p w14:paraId="53DAA86C" w14:textId="77777777" w:rsidR="00901EDC" w:rsidRPr="00992A2E" w:rsidRDefault="00901EDC" w:rsidP="00901EDC">
      <w:pPr>
        <w:pStyle w:val="Textonotapie"/>
        <w:jc w:val="both"/>
        <w:rPr>
          <w:color w:val="000000" w:themeColor="text1"/>
        </w:rPr>
      </w:pPr>
      <w:r w:rsidRPr="00992A2E">
        <w:rPr>
          <w:rStyle w:val="Refdenotaalpie"/>
          <w:color w:val="000000" w:themeColor="text1"/>
        </w:rPr>
        <w:footnoteRef/>
      </w:r>
      <w:r w:rsidRPr="00992A2E">
        <w:rPr>
          <w:color w:val="000000" w:themeColor="text1"/>
        </w:rPr>
        <w:t xml:space="preserve"> De conformidad con los artículos </w:t>
      </w:r>
      <w:r w:rsidRPr="00992A2E">
        <w:rPr>
          <w:color w:val="000000" w:themeColor="text1"/>
        </w:rPr>
        <w:t xml:space="preserve">1.° de la Convención Americana de Derechos Humanos y 26 del Pacto Internacional de Derechos Civiles y Políticos, así como los Principios de Yogyakarta. </w:t>
      </w:r>
    </w:p>
  </w:footnote>
  <w:footnote w:id="17">
    <w:p w14:paraId="067C15CC" w14:textId="77777777" w:rsidR="00901EDC" w:rsidRPr="00992A2E" w:rsidRDefault="00901EDC" w:rsidP="00901EDC">
      <w:pPr>
        <w:pStyle w:val="Textonotapie"/>
        <w:rPr>
          <w:color w:val="000000" w:themeColor="text1"/>
        </w:rPr>
      </w:pPr>
      <w:r w:rsidRPr="00992A2E">
        <w:rPr>
          <w:rStyle w:val="Refdenotaalpie"/>
          <w:color w:val="000000" w:themeColor="text1"/>
        </w:rPr>
        <w:footnoteRef/>
      </w:r>
      <w:r w:rsidRPr="00992A2E">
        <w:rPr>
          <w:color w:val="000000" w:themeColor="text1"/>
        </w:rPr>
        <w:t xml:space="preserve"> M.P. Manuel José Cepeda Espinosa.</w:t>
      </w:r>
    </w:p>
  </w:footnote>
  <w:footnote w:id="18">
    <w:p w14:paraId="615CEF6D" w14:textId="77777777" w:rsidR="00901EDC" w:rsidRPr="00992A2E" w:rsidRDefault="00901EDC" w:rsidP="00901EDC">
      <w:pPr>
        <w:pStyle w:val="Textonotapie"/>
        <w:jc w:val="both"/>
        <w:rPr>
          <w:color w:val="000000" w:themeColor="text1"/>
        </w:rPr>
      </w:pPr>
      <w:r w:rsidRPr="00992A2E">
        <w:rPr>
          <w:rStyle w:val="Refdenotaalpie"/>
          <w:color w:val="000000" w:themeColor="text1"/>
        </w:rPr>
        <w:footnoteRef/>
      </w:r>
      <w:r w:rsidRPr="00992A2E">
        <w:rPr>
          <w:color w:val="000000" w:themeColor="text1"/>
        </w:rPr>
        <w:t xml:space="preserve"> Esto implicaría también involucrar a organizaciones y líderes comunitarios LGTBIQ+ en el diseño e implementación de políticas y protocolos relacionados con el registro personal. Su experiencia y conocimiento pueden ser valiosos para garantizar que las medidas adoptadas sean inclusivas, respetuosas y sensibles a las necesidades de la comunidad. Igualmente, se debe establecer un sistema de supervisión y monitoreo para asegurar que los protocolos y medidas adoptadas se implementen correctamente y se respeten los derechos de las personas registradas. Esto puede incluir la revisión periódica de prácticas y procedimientos, así como la investigación de quejas o denuncias relacionadas con el registro personal.</w:t>
      </w:r>
    </w:p>
  </w:footnote>
  <w:footnote w:id="19">
    <w:p w14:paraId="455A0AE7" w14:textId="77777777" w:rsidR="00901EDC" w:rsidRPr="00992A2E" w:rsidRDefault="00901EDC" w:rsidP="00901EDC">
      <w:pPr>
        <w:pStyle w:val="Textonotapie"/>
        <w:jc w:val="both"/>
        <w:rPr>
          <w:color w:val="000000" w:themeColor="text1"/>
        </w:rPr>
      </w:pPr>
      <w:r w:rsidRPr="00992A2E">
        <w:rPr>
          <w:rStyle w:val="Refdenotaalpie"/>
          <w:color w:val="000000" w:themeColor="text1"/>
        </w:rPr>
        <w:footnoteRef/>
      </w:r>
      <w:r w:rsidRPr="00992A2E">
        <w:rPr>
          <w:color w:val="000000" w:themeColor="text1"/>
        </w:rPr>
        <w:t xml:space="preserve"> Intervención Universidad Santo Tomás de Bucaramanga, Pg. 7</w:t>
      </w:r>
    </w:p>
  </w:footnote>
  <w:footnote w:id="20">
    <w:p w14:paraId="2A6125BF" w14:textId="77777777" w:rsidR="00901EDC" w:rsidRPr="00992A2E" w:rsidRDefault="00901EDC" w:rsidP="00901EDC">
      <w:pPr>
        <w:pStyle w:val="Textonotapie"/>
        <w:jc w:val="both"/>
        <w:rPr>
          <w:color w:val="000000" w:themeColor="text1"/>
        </w:rPr>
      </w:pPr>
      <w:r w:rsidRPr="00992A2E">
        <w:rPr>
          <w:rStyle w:val="Refdenotaalpie"/>
          <w:color w:val="000000" w:themeColor="text1"/>
        </w:rPr>
        <w:footnoteRef/>
      </w:r>
      <w:r w:rsidRPr="00992A2E">
        <w:rPr>
          <w:color w:val="000000" w:themeColor="text1"/>
        </w:rPr>
        <w:t xml:space="preserve"> En consonancia con lo establecido en el artículo </w:t>
      </w:r>
      <w:r w:rsidRPr="00992A2E">
        <w:rPr>
          <w:color w:val="000000" w:themeColor="text1"/>
        </w:rPr>
        <w:t xml:space="preserve">2.° del Pacto Internacional de Derechos Económicos Sociales y Culturales, las Comisiones de Derechos Humanos de Naciones Unidas. Igualmente, teniendo en cuenta la jurisprudencia del Tribunal Europeo de Derechos Humanos en torno a la interpretación dinámica y extensiva del artículo 8.º de la Convención Europea de Derechos Humanos, que describe el concepto de la vida privada y el derecho a la intimidad, como se precisa en la sentencia Christine Goodwin V. </w:t>
      </w:r>
      <w:r w:rsidRPr="00992A2E">
        <w:rPr>
          <w:color w:val="000000" w:themeColor="text1"/>
        </w:rPr>
        <w:t>The United Kingdom.</w:t>
      </w:r>
    </w:p>
  </w:footnote>
  <w:footnote w:id="21">
    <w:p w14:paraId="6BF1E474" w14:textId="39E57201" w:rsidR="00901EDC" w:rsidRPr="00992A2E" w:rsidRDefault="00901EDC" w:rsidP="00901EDC">
      <w:pPr>
        <w:pStyle w:val="Cuadrculamedia1-nfasis21"/>
        <w:tabs>
          <w:tab w:val="left" w:pos="90"/>
        </w:tabs>
        <w:spacing w:after="0" w:line="240" w:lineRule="auto"/>
        <w:ind w:left="0"/>
        <w:jc w:val="both"/>
        <w:rPr>
          <w:rFonts w:ascii="Times New Roman" w:hAnsi="Times New Roman"/>
          <w:bCs/>
          <w:color w:val="000000" w:themeColor="text1"/>
          <w:sz w:val="20"/>
          <w:szCs w:val="20"/>
          <w:lang w:val="es-ES_tradnl" w:eastAsia="es-ES"/>
        </w:rPr>
      </w:pPr>
      <w:r w:rsidRPr="00992A2E">
        <w:rPr>
          <w:rStyle w:val="Refdenotaalpie"/>
          <w:rFonts w:ascii="Times New Roman" w:hAnsi="Times New Roman"/>
          <w:color w:val="000000" w:themeColor="text1"/>
          <w:sz w:val="20"/>
          <w:szCs w:val="20"/>
        </w:rPr>
        <w:footnoteRef/>
      </w:r>
      <w:r w:rsidRPr="00992A2E">
        <w:rPr>
          <w:rFonts w:ascii="Times New Roman" w:hAnsi="Times New Roman"/>
          <w:color w:val="000000" w:themeColor="text1"/>
          <w:sz w:val="20"/>
          <w:szCs w:val="20"/>
        </w:rPr>
        <w:t xml:space="preserve"> Sentencia C-212 de 2022, M.P. Alejandro Linares Cantillo. </w:t>
      </w:r>
      <w:r w:rsidRPr="00992A2E">
        <w:rPr>
          <w:rFonts w:ascii="Times New Roman" w:hAnsi="Times New Roman"/>
          <w:color w:val="000000" w:themeColor="text1"/>
          <w:sz w:val="20"/>
          <w:szCs w:val="20"/>
          <w:shd w:val="clear" w:color="auto" w:fill="FFFFFF"/>
        </w:rPr>
        <w:t>Al respecto, en Sentencia C-623 de 2008, se señaló que “</w:t>
      </w:r>
      <w:r w:rsidRPr="00992A2E">
        <w:rPr>
          <w:rFonts w:ascii="Times New Roman" w:hAnsi="Times New Roman"/>
          <w:i/>
          <w:iCs/>
          <w:color w:val="000000" w:themeColor="text1"/>
          <w:sz w:val="20"/>
          <w:szCs w:val="20"/>
        </w:rPr>
        <w:t>(…) Aun cuando en principio, es en el auto admisorio donde se define si la demanda cumple o no con los requisitos mínimos de procedibilidad, ese primer análisis responde a una valoración apenas sumaria de la acción, llevada a cabo únicamente por cuenta del Magistrado Ponente, razón por la cual, la misma no compromete ni define la competencia del Pleno de la corte, que es en quien reside la función constitucional de decidir de fondo sobre las demandas de inconstitucionalidad que presenten los ciudadanos contra las leyes y los decretos con fuerza de ley (C.P. art. 241-4-5)</w:t>
      </w:r>
      <w:r w:rsidRPr="00992A2E">
        <w:rPr>
          <w:rFonts w:ascii="Times New Roman" w:hAnsi="Times New Roman"/>
          <w:color w:val="000000" w:themeColor="text1"/>
          <w:sz w:val="20"/>
          <w:szCs w:val="20"/>
          <w:shd w:val="clear" w:color="auto" w:fill="FFFFFF"/>
        </w:rPr>
        <w:t>”.</w:t>
      </w:r>
    </w:p>
  </w:footnote>
  <w:footnote w:id="22">
    <w:p w14:paraId="39D62EB3" w14:textId="1424B00F" w:rsidR="00901EDC" w:rsidRPr="00992A2E" w:rsidRDefault="00901EDC" w:rsidP="00901EDC">
      <w:pPr>
        <w:pStyle w:val="Textonotapie"/>
        <w:rPr>
          <w:color w:val="000000" w:themeColor="text1"/>
        </w:rPr>
      </w:pPr>
      <w:r w:rsidRPr="00992A2E">
        <w:rPr>
          <w:rStyle w:val="Refdenotaalpie"/>
          <w:color w:val="000000" w:themeColor="text1"/>
        </w:rPr>
        <w:footnoteRef/>
      </w:r>
      <w:r w:rsidRPr="00992A2E">
        <w:rPr>
          <w:color w:val="000000" w:themeColor="text1"/>
        </w:rPr>
        <w:t xml:space="preserve"> </w:t>
      </w:r>
      <w:r w:rsidRPr="00992A2E">
        <w:rPr>
          <w:color w:val="000000" w:themeColor="text1"/>
          <w:shd w:val="clear" w:color="auto" w:fill="FFFFFF"/>
        </w:rPr>
        <w:t>Sentencia C-493 de 2020. M.P. Diana Fajardo Rivera, C-120 de 2023, M.P. Diana Fajardo Rivera;</w:t>
      </w:r>
      <w:r w:rsidR="004F4E03" w:rsidRPr="00992A2E">
        <w:rPr>
          <w:color w:val="000000" w:themeColor="text1"/>
          <w:shd w:val="clear" w:color="auto" w:fill="FFFFFF"/>
        </w:rPr>
        <w:t xml:space="preserve"> </w:t>
      </w:r>
      <w:r w:rsidRPr="00992A2E">
        <w:rPr>
          <w:color w:val="000000" w:themeColor="text1"/>
          <w:shd w:val="clear" w:color="auto" w:fill="FFFFFF"/>
        </w:rPr>
        <w:t>C-050 de 2024, M.P. Juan Carlos Cortés González.</w:t>
      </w:r>
    </w:p>
  </w:footnote>
  <w:footnote w:id="23">
    <w:p w14:paraId="68CA6CE8" w14:textId="77777777" w:rsidR="00901EDC" w:rsidRPr="00992A2E" w:rsidRDefault="00901EDC" w:rsidP="00901EDC">
      <w:pPr>
        <w:pStyle w:val="Textonotapie"/>
        <w:rPr>
          <w:color w:val="000000" w:themeColor="text1"/>
        </w:rPr>
      </w:pPr>
      <w:r w:rsidRPr="00992A2E">
        <w:rPr>
          <w:rStyle w:val="Refdenotaalpie"/>
          <w:color w:val="000000" w:themeColor="text1"/>
        </w:rPr>
        <w:footnoteRef/>
      </w:r>
      <w:r w:rsidRPr="00992A2E">
        <w:rPr>
          <w:color w:val="000000" w:themeColor="text1"/>
        </w:rPr>
        <w:t xml:space="preserve"> Sentencia C-120 de 2024, M.P. Diana Fajardo Rivera.</w:t>
      </w:r>
    </w:p>
  </w:footnote>
  <w:footnote w:id="24">
    <w:p w14:paraId="29BA3ED5" w14:textId="1FADE029" w:rsidR="00E2050F" w:rsidRPr="00992A2E" w:rsidRDefault="00E2050F" w:rsidP="00E2050F">
      <w:pPr>
        <w:pStyle w:val="Textonotapie"/>
        <w:jc w:val="both"/>
        <w:rPr>
          <w:color w:val="000000" w:themeColor="text1"/>
        </w:rPr>
      </w:pPr>
      <w:r w:rsidRPr="00992A2E">
        <w:rPr>
          <w:color w:val="000000" w:themeColor="text1"/>
          <w:vertAlign w:val="superscript"/>
        </w:rPr>
        <w:footnoteRef/>
      </w:r>
      <w:r w:rsidRPr="00992A2E">
        <w:rPr>
          <w:color w:val="000000" w:themeColor="text1"/>
        </w:rPr>
        <w:t xml:space="preserve"> Sentencia C-493 de 2020. M.P. Diana Fajardo Rivera.</w:t>
      </w:r>
    </w:p>
  </w:footnote>
  <w:footnote w:id="25">
    <w:p w14:paraId="5A378087" w14:textId="77777777" w:rsidR="00901EDC" w:rsidRPr="00992A2E" w:rsidRDefault="00901EDC" w:rsidP="00901EDC">
      <w:pPr>
        <w:pStyle w:val="Textonotapie"/>
        <w:jc w:val="both"/>
        <w:rPr>
          <w:color w:val="000000" w:themeColor="text1"/>
        </w:rPr>
      </w:pPr>
      <w:r w:rsidRPr="00992A2E">
        <w:rPr>
          <w:rStyle w:val="Refdenotaalpie"/>
          <w:color w:val="000000" w:themeColor="text1"/>
        </w:rPr>
        <w:footnoteRef/>
      </w:r>
      <w:r w:rsidRPr="00992A2E">
        <w:rPr>
          <w:color w:val="000000" w:themeColor="text1"/>
        </w:rPr>
        <w:t xml:space="preserve"> Ver expediente digital D-15582, intervención Academia Colombiana de Jurisprudencia, pg. 7. Al respecto, la Academia Colombiana de Jurisprudencia explica </w:t>
      </w:r>
      <w:r w:rsidRPr="00992A2E">
        <w:rPr>
          <w:color w:val="000000" w:themeColor="text1"/>
        </w:rPr>
        <w:t xml:space="preserve">que si los demandantes hubieran tenido en cuenta la </w:t>
      </w:r>
      <w:r w:rsidRPr="00992A2E">
        <w:rPr>
          <w:color w:val="000000" w:themeColor="text1"/>
        </w:rPr>
        <w:t>interpretación constitucional de la norma, “hubieran podido advertir que el juez de control de garantías se encuentra en la obligación de hacer un test de proporcionalidad antes de proceder a otorgar la autorización del registro y que, por supuesto, dentro de esas valoraciones debe analizar aspectos como los relativos al respeto a la diversidad de género”.</w:t>
      </w:r>
    </w:p>
  </w:footnote>
  <w:footnote w:id="26">
    <w:p w14:paraId="1E4A951C" w14:textId="281B813C" w:rsidR="00901EDC" w:rsidRPr="00992A2E" w:rsidRDefault="00901EDC" w:rsidP="00901EDC">
      <w:pPr>
        <w:pStyle w:val="Textonotapie"/>
        <w:rPr>
          <w:color w:val="000000" w:themeColor="text1"/>
        </w:rPr>
      </w:pPr>
      <w:r w:rsidRPr="00992A2E">
        <w:rPr>
          <w:rStyle w:val="Refdenotaalpie"/>
          <w:color w:val="000000" w:themeColor="text1"/>
        </w:rPr>
        <w:footnoteRef/>
      </w:r>
      <w:r w:rsidRPr="00992A2E">
        <w:rPr>
          <w:color w:val="000000" w:themeColor="text1"/>
        </w:rPr>
        <w:t xml:space="preserve"> </w:t>
      </w:r>
      <w:r w:rsidRPr="00992A2E">
        <w:rPr>
          <w:color w:val="000000" w:themeColor="text1"/>
        </w:rPr>
        <w:t>Idem</w:t>
      </w:r>
      <w:r w:rsidR="005D7FEA" w:rsidRPr="00992A2E">
        <w:rPr>
          <w:color w:val="000000" w:themeColor="text1"/>
        </w:rPr>
        <w:t>.</w:t>
      </w:r>
    </w:p>
  </w:footnote>
  <w:footnote w:id="27">
    <w:p w14:paraId="2E471363" w14:textId="77777777" w:rsidR="00901EDC" w:rsidRPr="00992A2E" w:rsidRDefault="00901EDC" w:rsidP="00901EDC">
      <w:pPr>
        <w:pStyle w:val="Textonotapie"/>
        <w:rPr>
          <w:color w:val="000000" w:themeColor="text1"/>
        </w:rPr>
      </w:pPr>
      <w:r w:rsidRPr="00992A2E">
        <w:rPr>
          <w:rStyle w:val="Refdenotaalpie"/>
          <w:color w:val="000000" w:themeColor="text1"/>
        </w:rPr>
        <w:footnoteRef/>
      </w:r>
      <w:r w:rsidRPr="00992A2E">
        <w:rPr>
          <w:color w:val="000000" w:themeColor="text1"/>
        </w:rPr>
        <w:t xml:space="preserve"> Al respecto, ver la Sentencia C-035 de 2024, M.P. Jorge Enrique Ibáñez Najar.</w:t>
      </w:r>
    </w:p>
  </w:footnote>
  <w:footnote w:id="28">
    <w:p w14:paraId="1946A37F" w14:textId="70711842" w:rsidR="0000250B" w:rsidRPr="00992A2E" w:rsidRDefault="0000250B" w:rsidP="00C015D6">
      <w:pPr>
        <w:pStyle w:val="Textonotapie"/>
        <w:jc w:val="both"/>
        <w:rPr>
          <w:color w:val="000000" w:themeColor="text1"/>
        </w:rPr>
      </w:pPr>
      <w:r w:rsidRPr="00992A2E">
        <w:rPr>
          <w:rStyle w:val="Refdenotaalpie"/>
          <w:color w:val="000000" w:themeColor="text1"/>
        </w:rPr>
        <w:footnoteRef/>
      </w:r>
      <w:r w:rsidRPr="00992A2E">
        <w:rPr>
          <w:color w:val="000000" w:themeColor="text1"/>
        </w:rPr>
        <w:t xml:space="preserve"> Por ello se ha señalo que </w:t>
      </w:r>
      <w:r w:rsidRPr="00992A2E">
        <w:rPr>
          <w:color w:val="000000" w:themeColor="text1"/>
          <w:shd w:val="clear" w:color="auto" w:fill="FFFFFF"/>
        </w:rPr>
        <w:t>su ejercicio “no debe requerir el cumplimiento de cargas extraordinarias, fincadas en conocimientos particulares o técnicas especializadas, que anulen su carácter universal”. Sentencia C-292 de 2019, M.P. José Fernando Reyes Cuartas.</w:t>
      </w:r>
    </w:p>
  </w:footnote>
  <w:footnote w:id="29">
    <w:p w14:paraId="77BF89FD" w14:textId="77777777" w:rsidR="00901EDC" w:rsidRPr="00992A2E" w:rsidRDefault="00901EDC" w:rsidP="00901EDC">
      <w:pPr>
        <w:pStyle w:val="Textonotapie"/>
        <w:jc w:val="both"/>
        <w:rPr>
          <w:color w:val="000000" w:themeColor="text1"/>
        </w:rPr>
      </w:pPr>
      <w:r w:rsidRPr="00992A2E">
        <w:rPr>
          <w:rStyle w:val="Refdenotaalpie"/>
          <w:color w:val="000000" w:themeColor="text1"/>
        </w:rPr>
        <w:footnoteRef/>
      </w:r>
      <w:r w:rsidRPr="00992A2E">
        <w:rPr>
          <w:color w:val="000000" w:themeColor="text1"/>
        </w:rPr>
        <w:t xml:space="preserve"> Sentencia C-120 de 2023, M.P. Gloria Stella Ortiz Delgado.</w:t>
      </w:r>
    </w:p>
  </w:footnote>
  <w:footnote w:id="30">
    <w:p w14:paraId="2E414F64" w14:textId="6C7D367F" w:rsidR="00901EDC" w:rsidRPr="00992A2E" w:rsidRDefault="00901EDC" w:rsidP="00901EDC">
      <w:pPr>
        <w:pStyle w:val="Textonotapie"/>
        <w:jc w:val="both"/>
        <w:rPr>
          <w:color w:val="000000" w:themeColor="text1"/>
        </w:rPr>
      </w:pPr>
      <w:r w:rsidRPr="00992A2E">
        <w:rPr>
          <w:rStyle w:val="Refdenotaalpie"/>
          <w:color w:val="000000" w:themeColor="text1"/>
        </w:rPr>
        <w:footnoteRef/>
      </w:r>
      <w:r w:rsidRPr="00992A2E">
        <w:rPr>
          <w:color w:val="000000" w:themeColor="text1"/>
        </w:rPr>
        <w:t xml:space="preserve"> Auto 288 de 2001, M.P. Jorge Iván Palacio </w:t>
      </w:r>
      <w:r w:rsidRPr="00992A2E">
        <w:rPr>
          <w:color w:val="000000" w:themeColor="text1"/>
        </w:rPr>
        <w:t>Palacio, y las sentencias C-1052 de 2001, M.P. Manuel José Cepeda Espinosa; C-568 de 2004, M.P. Manuel José Cepeda Espinosa; C-980 de 2005, M.P. Rodrigo Escobar</w:t>
      </w:r>
      <w:r w:rsidR="005D7FEA" w:rsidRPr="00992A2E">
        <w:rPr>
          <w:color w:val="000000" w:themeColor="text1"/>
        </w:rPr>
        <w:t xml:space="preserve"> </w:t>
      </w:r>
      <w:r w:rsidRPr="00992A2E">
        <w:rPr>
          <w:color w:val="000000" w:themeColor="text1"/>
        </w:rPr>
        <w:t>Gil, entre otras.</w:t>
      </w:r>
    </w:p>
  </w:footnote>
  <w:footnote w:id="31">
    <w:p w14:paraId="1A8F6AD3" w14:textId="30D212A2" w:rsidR="00901EDC" w:rsidRPr="00992A2E" w:rsidRDefault="00901EDC" w:rsidP="00901EDC">
      <w:pPr>
        <w:pStyle w:val="Textonotapie"/>
        <w:rPr>
          <w:color w:val="000000" w:themeColor="text1"/>
          <w:lang w:val="es-ES"/>
        </w:rPr>
      </w:pPr>
      <w:r w:rsidRPr="00992A2E">
        <w:rPr>
          <w:rStyle w:val="Refdenotaalpie"/>
          <w:color w:val="000000" w:themeColor="text1"/>
        </w:rPr>
        <w:footnoteRef/>
      </w:r>
      <w:r w:rsidRPr="00992A2E">
        <w:rPr>
          <w:color w:val="000000" w:themeColor="text1"/>
        </w:rPr>
        <w:t xml:space="preserve"> </w:t>
      </w:r>
      <w:r w:rsidRPr="00992A2E">
        <w:rPr>
          <w:color w:val="000000" w:themeColor="text1"/>
          <w:lang w:val="es-ES"/>
        </w:rPr>
        <w:t>Sentencia C-980 de 2005.</w:t>
      </w:r>
      <w:r w:rsidR="00C354BC" w:rsidRPr="00992A2E">
        <w:rPr>
          <w:color w:val="000000" w:themeColor="text1"/>
          <w:lang w:val="es-ES"/>
        </w:rPr>
        <w:t xml:space="preserve"> M.P. Rodrigo Escobar Gil. </w:t>
      </w:r>
    </w:p>
  </w:footnote>
  <w:footnote w:id="32">
    <w:p w14:paraId="0B01DCAC" w14:textId="5EA18BC2" w:rsidR="00901EDC" w:rsidRPr="00992A2E" w:rsidRDefault="00901EDC" w:rsidP="00901EDC">
      <w:pPr>
        <w:pStyle w:val="Textonotapie"/>
        <w:jc w:val="both"/>
        <w:rPr>
          <w:color w:val="000000" w:themeColor="text1"/>
          <w:lang w:val="es-ES"/>
        </w:rPr>
      </w:pPr>
      <w:r w:rsidRPr="00992A2E">
        <w:rPr>
          <w:rStyle w:val="Refdenotaalpie"/>
          <w:color w:val="000000" w:themeColor="text1"/>
        </w:rPr>
        <w:footnoteRef/>
      </w:r>
      <w:r w:rsidRPr="00992A2E">
        <w:rPr>
          <w:color w:val="000000" w:themeColor="text1"/>
        </w:rPr>
        <w:t xml:space="preserve"> </w:t>
      </w:r>
      <w:r w:rsidRPr="00992A2E">
        <w:rPr>
          <w:color w:val="000000" w:themeColor="text1"/>
          <w:lang w:val="es-ES"/>
        </w:rPr>
        <w:t>Su origen remoto se puede encontrar en la Constitución de Cundinamarca de 1811, y ya de manera más perfeccionada y similar al esquema actual, en la reforma constitucional de 1</w:t>
      </w:r>
      <w:r w:rsidR="004F4E03" w:rsidRPr="00992A2E">
        <w:rPr>
          <w:color w:val="000000" w:themeColor="text1"/>
          <w:lang w:val="es-ES"/>
        </w:rPr>
        <w:t>9</w:t>
      </w:r>
      <w:r w:rsidRPr="00992A2E">
        <w:rPr>
          <w:color w:val="000000" w:themeColor="text1"/>
          <w:lang w:val="es-ES"/>
        </w:rPr>
        <w:t>10 (Acto Legislativo 03).</w:t>
      </w:r>
    </w:p>
  </w:footnote>
  <w:footnote w:id="33">
    <w:p w14:paraId="1E149019" w14:textId="16C76B83" w:rsidR="00C354BC" w:rsidRPr="00992A2E" w:rsidRDefault="00C354BC">
      <w:pPr>
        <w:pStyle w:val="Textonotapie"/>
        <w:rPr>
          <w:color w:val="000000" w:themeColor="text1"/>
        </w:rPr>
      </w:pPr>
      <w:r w:rsidRPr="00992A2E">
        <w:rPr>
          <w:rStyle w:val="Refdenotaalpie"/>
          <w:color w:val="000000" w:themeColor="text1"/>
        </w:rPr>
        <w:footnoteRef/>
      </w:r>
      <w:r w:rsidRPr="00992A2E">
        <w:rPr>
          <w:color w:val="000000" w:themeColor="text1"/>
        </w:rPr>
        <w:t xml:space="preserve"> Sentencia C-407 de 2021. Jorge Enrique Ibáñez Najar. </w:t>
      </w:r>
    </w:p>
  </w:footnote>
  <w:footnote w:id="34">
    <w:p w14:paraId="617B78EA" w14:textId="77777777" w:rsidR="00901EDC" w:rsidRPr="00992A2E" w:rsidRDefault="00901EDC" w:rsidP="00901EDC">
      <w:pPr>
        <w:pStyle w:val="Textonotapie"/>
        <w:jc w:val="both"/>
        <w:rPr>
          <w:color w:val="000000" w:themeColor="text1"/>
          <w:lang w:val="es-ES"/>
        </w:rPr>
      </w:pPr>
      <w:r w:rsidRPr="00992A2E">
        <w:rPr>
          <w:rStyle w:val="Refdenotaalpie"/>
          <w:color w:val="000000" w:themeColor="text1"/>
        </w:rPr>
        <w:footnoteRef/>
      </w:r>
      <w:r w:rsidRPr="00992A2E">
        <w:rPr>
          <w:color w:val="000000" w:themeColor="text1"/>
        </w:rPr>
        <w:t xml:space="preserve"> </w:t>
      </w:r>
      <w:r w:rsidRPr="00992A2E">
        <w:rPr>
          <w:color w:val="000000" w:themeColor="text1"/>
          <w:lang w:val="es-ES"/>
        </w:rPr>
        <w:t>Sentencia C- 190 de 2023, M.P. José Fernando Reyes Cuartas.</w:t>
      </w:r>
    </w:p>
  </w:footnote>
  <w:footnote w:id="35">
    <w:p w14:paraId="16CC1205" w14:textId="2CF77C17" w:rsidR="003B4EC7" w:rsidRPr="00992A2E" w:rsidRDefault="003B4EC7">
      <w:pPr>
        <w:pStyle w:val="Textonotapie"/>
        <w:rPr>
          <w:color w:val="000000" w:themeColor="text1"/>
        </w:rPr>
      </w:pPr>
      <w:r w:rsidRPr="00992A2E">
        <w:rPr>
          <w:rStyle w:val="Refdenotaalpie"/>
          <w:color w:val="000000" w:themeColor="text1"/>
        </w:rPr>
        <w:footnoteRef/>
      </w:r>
      <w:r w:rsidRPr="00992A2E">
        <w:rPr>
          <w:color w:val="000000" w:themeColor="text1"/>
        </w:rPr>
        <w:t xml:space="preserve"> Sentencia C-292 de 2019. M.P. José Fernando Reyes Cuartas.</w:t>
      </w:r>
    </w:p>
  </w:footnote>
  <w:footnote w:id="36">
    <w:p w14:paraId="58DA9F52" w14:textId="1AA0896B" w:rsidR="00901EDC" w:rsidRPr="00992A2E" w:rsidRDefault="00901EDC" w:rsidP="00901EDC">
      <w:pPr>
        <w:pStyle w:val="Textonotapie"/>
        <w:rPr>
          <w:color w:val="000000" w:themeColor="text1"/>
          <w:lang w:val="es-ES"/>
        </w:rPr>
      </w:pPr>
      <w:r w:rsidRPr="00992A2E">
        <w:rPr>
          <w:rStyle w:val="Refdenotaalpie"/>
          <w:color w:val="000000" w:themeColor="text1"/>
        </w:rPr>
        <w:footnoteRef/>
      </w:r>
      <w:r w:rsidRPr="00992A2E">
        <w:rPr>
          <w:color w:val="000000" w:themeColor="text1"/>
        </w:rPr>
        <w:t xml:space="preserve"> Sentencia</w:t>
      </w:r>
      <w:r w:rsidR="005D7FEA" w:rsidRPr="00992A2E">
        <w:rPr>
          <w:color w:val="000000" w:themeColor="text1"/>
        </w:rPr>
        <w:t>s</w:t>
      </w:r>
      <w:r w:rsidRPr="00992A2E">
        <w:rPr>
          <w:color w:val="000000" w:themeColor="text1"/>
        </w:rPr>
        <w:t xml:space="preserve"> C-447 de 1997</w:t>
      </w:r>
      <w:r w:rsidR="005D7FEA" w:rsidRPr="00992A2E">
        <w:rPr>
          <w:color w:val="000000" w:themeColor="text1"/>
        </w:rPr>
        <w:t>, M.P. Alejandro Martínez Caballero y C-325 de 2021, M.P. Gloria Stella Ortiz Delgado.</w:t>
      </w:r>
    </w:p>
  </w:footnote>
  <w:footnote w:id="37">
    <w:p w14:paraId="1BD7954B" w14:textId="77777777" w:rsidR="00901EDC" w:rsidRPr="00992A2E" w:rsidRDefault="00901EDC" w:rsidP="00901EDC">
      <w:pPr>
        <w:pStyle w:val="Textonotapie"/>
        <w:rPr>
          <w:color w:val="000000" w:themeColor="text1"/>
        </w:rPr>
      </w:pPr>
      <w:r w:rsidRPr="00992A2E">
        <w:rPr>
          <w:rStyle w:val="Refdenotaalpie"/>
          <w:color w:val="000000" w:themeColor="text1"/>
        </w:rPr>
        <w:footnoteRef/>
      </w:r>
      <w:r w:rsidRPr="00992A2E">
        <w:rPr>
          <w:color w:val="000000" w:themeColor="text1"/>
        </w:rPr>
        <w:t xml:space="preserve"> Fundamento jurídico 11, Sentencia C-822 de 2005.</w:t>
      </w:r>
    </w:p>
  </w:footnote>
  <w:footnote w:id="38">
    <w:p w14:paraId="38870F2D" w14:textId="77777777" w:rsidR="00901EDC" w:rsidRPr="00992A2E" w:rsidRDefault="00901EDC" w:rsidP="00901EDC">
      <w:pPr>
        <w:pStyle w:val="Textonotapie"/>
        <w:rPr>
          <w:i/>
          <w:iCs/>
          <w:color w:val="000000" w:themeColor="text1"/>
        </w:rPr>
      </w:pPr>
      <w:r w:rsidRPr="00992A2E">
        <w:rPr>
          <w:rStyle w:val="Refdenotaalpie"/>
          <w:color w:val="000000" w:themeColor="text1"/>
        </w:rPr>
        <w:footnoteRef/>
      </w:r>
      <w:r w:rsidRPr="00992A2E">
        <w:rPr>
          <w:color w:val="000000" w:themeColor="text1"/>
        </w:rPr>
        <w:t xml:space="preserve"> </w:t>
      </w:r>
      <w:r w:rsidRPr="00992A2E">
        <w:rPr>
          <w:i/>
          <w:iCs/>
          <w:color w:val="000000" w:themeColor="text1"/>
        </w:rPr>
        <w:t xml:space="preserve">Ibidem. </w:t>
      </w:r>
    </w:p>
  </w:footnote>
  <w:footnote w:id="39">
    <w:p w14:paraId="1D0B2775" w14:textId="220E059E" w:rsidR="00F23774" w:rsidRPr="00992A2E" w:rsidRDefault="00F23774" w:rsidP="00C015D6">
      <w:pPr>
        <w:pStyle w:val="Textonotapie"/>
        <w:jc w:val="both"/>
        <w:rPr>
          <w:color w:val="000000" w:themeColor="text1"/>
        </w:rPr>
      </w:pPr>
      <w:r w:rsidRPr="00992A2E">
        <w:rPr>
          <w:rStyle w:val="Refdenotaalpie"/>
          <w:color w:val="000000" w:themeColor="text1"/>
        </w:rPr>
        <w:footnoteRef/>
      </w:r>
      <w:r w:rsidRPr="00992A2E">
        <w:rPr>
          <w:color w:val="000000" w:themeColor="text1"/>
        </w:rPr>
        <w:t xml:space="preserve"> Esta corporación anotó además en la referida sentencia que "tales procedimientos preventivos se encuentran previstos en las normas de policía sobre las cuales no emite pronunciamiento alguno en esta sentencia. Por lo tanto, dichas normas de policía continúan aplicándose sin que la </w:t>
      </w:r>
      <w:r w:rsidRPr="00992A2E">
        <w:rPr>
          <w:color w:val="000000" w:themeColor="text1"/>
        </w:rPr>
        <w:t>inexequibilidad de la expresión señalada impida que la fuerza pública cumpla las funciones que le son propias de conformidad con las leyes vigentes”. </w:t>
      </w:r>
    </w:p>
  </w:footnote>
  <w:footnote w:id="40">
    <w:p w14:paraId="6141161E" w14:textId="0C160C84" w:rsidR="00C30930" w:rsidRPr="00992A2E" w:rsidRDefault="00C30930" w:rsidP="00C30930">
      <w:pPr>
        <w:pStyle w:val="Textonotapie"/>
        <w:jc w:val="both"/>
        <w:rPr>
          <w:color w:val="000000" w:themeColor="text1"/>
        </w:rPr>
      </w:pPr>
      <w:r w:rsidRPr="00992A2E">
        <w:rPr>
          <w:rStyle w:val="Refdenotaalpie"/>
          <w:color w:val="000000" w:themeColor="text1"/>
        </w:rPr>
        <w:footnoteRef/>
      </w:r>
      <w:r w:rsidRPr="00992A2E">
        <w:rPr>
          <w:color w:val="000000" w:themeColor="text1"/>
        </w:rPr>
        <w:t xml:space="preserve"> </w:t>
      </w:r>
      <w:r w:rsidR="00937818" w:rsidRPr="00937818">
        <w:rPr>
          <w:color w:val="000000" w:themeColor="text1"/>
        </w:rPr>
        <w:t>Este condicionamiento se basó en el hecho de que la Sala Plena consideró que </w:t>
      </w:r>
      <w:r w:rsidR="00937818">
        <w:rPr>
          <w:color w:val="000000" w:themeColor="text1"/>
        </w:rPr>
        <w:t>«</w:t>
      </w:r>
      <w:r w:rsidR="00937818" w:rsidRPr="00937818">
        <w:rPr>
          <w:color w:val="000000" w:themeColor="text1"/>
        </w:rPr>
        <w:t>En lo que se refiere al grado de limitación de la dignidad humana, en sentencia C-822 de 2005, la Corte Constitucional expresamente manifestó que “el registro personal puede tener una incidencia media o alta en este derecho, dependiendo de factores tales como (i) las partes del cuerpo registradas, (</w:t>
      </w:r>
      <w:r w:rsidR="00937818" w:rsidRPr="00937818">
        <w:rPr>
          <w:color w:val="000000" w:themeColor="text1"/>
        </w:rPr>
        <w:t xml:space="preserve">ii) la mecánica misma del registro, o (iii) la diferencia de género entre la persona que realice el registro y el registrado. A mayor sea la incidencia de la medida, mayor importancia deben tener los bienes jurídicos tutelados y mayor impacto deberá tener el no realizar la inspección corporal para los derechos de las víctimas. Es por ello </w:t>
      </w:r>
      <w:r w:rsidR="00937818" w:rsidRPr="00937818">
        <w:rPr>
          <w:color w:val="000000" w:themeColor="text1"/>
        </w:rPr>
        <w:t>que este mecanismo de intervención debe efectuarse respetando los principios que las rigen, a la luz de los tratados internacionales que conforman el bloque de constitucionalidad, según los cuales las personas responsables de practicar el registro corporal deben hacerlo en condiciones de seguridad, higiene, confiabilidad y humanidad para la persona que debe ser registrada</w:t>
      </w:r>
      <w:r w:rsidR="00937818">
        <w:rPr>
          <w:color w:val="000000" w:themeColor="text1"/>
        </w:rPr>
        <w:t>»</w:t>
      </w:r>
      <w:r w:rsidRPr="00992A2E">
        <w:rPr>
          <w:color w:val="000000" w:themeColor="text1"/>
        </w:rPr>
        <w:t>.</w:t>
      </w:r>
    </w:p>
  </w:footnote>
  <w:footnote w:id="41">
    <w:p w14:paraId="4E017552" w14:textId="6B9EBF76" w:rsidR="00901EDC" w:rsidRPr="00992A2E" w:rsidRDefault="00901EDC" w:rsidP="00A66E84">
      <w:pPr>
        <w:pStyle w:val="Textonotapie"/>
        <w:jc w:val="both"/>
        <w:rPr>
          <w:color w:val="000000" w:themeColor="text1"/>
        </w:rPr>
      </w:pPr>
      <w:r w:rsidRPr="00992A2E">
        <w:rPr>
          <w:rStyle w:val="Refdenotaalpie"/>
          <w:color w:val="000000" w:themeColor="text1"/>
        </w:rPr>
        <w:footnoteRef/>
      </w:r>
      <w:r w:rsidRPr="00992A2E">
        <w:rPr>
          <w:color w:val="000000" w:themeColor="text1"/>
        </w:rPr>
        <w:t xml:space="preserve"> Esta técnica de decisión parte de </w:t>
      </w:r>
      <w:r w:rsidRPr="00992A2E">
        <w:rPr>
          <w:color w:val="000000" w:themeColor="text1"/>
          <w:shd w:val="clear" w:color="auto" w:fill="FFFFFF"/>
        </w:rPr>
        <w:t xml:space="preserve">aplicar el principio de la conservación del derecho, según el cual el juez constitucional debe procurar de manera preferente la conservación de las normas sometidas a juicio, en función de las interpretaciones que resulten compatibles con la Carta Política, y descartar las que son contrarias a esta. Ver Sentencia C-499 de 1998. </w:t>
      </w:r>
      <w:r w:rsidR="00DD61DD" w:rsidRPr="00992A2E">
        <w:rPr>
          <w:color w:val="000000" w:themeColor="text1"/>
          <w:shd w:val="clear" w:color="auto" w:fill="FFFFFF"/>
        </w:rPr>
        <w:t>M.P. Eduardo Cifuentes Muñoz.</w:t>
      </w:r>
    </w:p>
  </w:footnote>
  <w:footnote w:id="42">
    <w:p w14:paraId="28FE9B30" w14:textId="77777777" w:rsidR="00901EDC" w:rsidRPr="00992A2E" w:rsidRDefault="00901EDC" w:rsidP="00497FC6">
      <w:pPr>
        <w:pStyle w:val="Textonotapie"/>
        <w:jc w:val="both"/>
        <w:rPr>
          <w:color w:val="000000" w:themeColor="text1"/>
        </w:rPr>
      </w:pPr>
      <w:r w:rsidRPr="00992A2E">
        <w:rPr>
          <w:rStyle w:val="Refdenotaalpie"/>
          <w:color w:val="000000" w:themeColor="text1"/>
        </w:rPr>
        <w:footnoteRef/>
      </w:r>
      <w:r w:rsidRPr="00992A2E">
        <w:rPr>
          <w:color w:val="000000" w:themeColor="text1"/>
        </w:rPr>
        <w:t xml:space="preserve"> Al respecto ver las sentencias C-325 de 2009, M.P. Gabriel Eduardo Mendoza; C-182 de 2016, M.P. Gloria Stella Ortiz Delgado y C-055 de 2022, M.P. Antonio José Lizarazo Ocampo y Alberto Rojas Ríos. </w:t>
      </w:r>
    </w:p>
  </w:footnote>
  <w:footnote w:id="43">
    <w:p w14:paraId="49097C25" w14:textId="2A42A672" w:rsidR="00A66E84" w:rsidRPr="00992A2E" w:rsidRDefault="00A66E84" w:rsidP="00497FC6">
      <w:pPr>
        <w:pStyle w:val="Textonotapie"/>
        <w:jc w:val="both"/>
        <w:rPr>
          <w:color w:val="000000" w:themeColor="text1"/>
        </w:rPr>
      </w:pPr>
      <w:r w:rsidRPr="00992A2E">
        <w:rPr>
          <w:rStyle w:val="Refdenotaalpie"/>
          <w:color w:val="000000" w:themeColor="text1"/>
        </w:rPr>
        <w:footnoteRef/>
      </w:r>
      <w:r w:rsidRPr="00992A2E">
        <w:rPr>
          <w:color w:val="000000" w:themeColor="text1"/>
        </w:rPr>
        <w:t xml:space="preserve"> En concreto, en el escrito los demandantes señalaron que «El registro personal es entonces una medida preventiva implementada por la Policía Nacional con la finalidad de preservar el orden público»</w:t>
      </w:r>
      <w:r w:rsidR="00497FC6" w:rsidRPr="00992A2E">
        <w:rPr>
          <w:color w:val="000000" w:themeColor="text1"/>
        </w:rPr>
        <w:t>.</w:t>
      </w:r>
      <w:r w:rsidR="004A5B46" w:rsidRPr="00992A2E">
        <w:rPr>
          <w:color w:val="000000" w:themeColor="text1"/>
        </w:rPr>
        <w:t xml:space="preserve"> Ver expediente digital</w:t>
      </w:r>
      <w:r w:rsidR="000F085D" w:rsidRPr="00992A2E">
        <w:rPr>
          <w:color w:val="000000" w:themeColor="text1"/>
        </w:rPr>
        <w:t xml:space="preserve"> D-15582, escrito de demanda pg. 7. </w:t>
      </w:r>
    </w:p>
  </w:footnote>
  <w:footnote w:id="44">
    <w:p w14:paraId="30E7C133" w14:textId="1DD2A8CF" w:rsidR="00901EDC" w:rsidRPr="00992A2E" w:rsidRDefault="00901EDC" w:rsidP="00912A66">
      <w:pPr>
        <w:jc w:val="both"/>
        <w:rPr>
          <w:i/>
          <w:iCs/>
          <w:color w:val="000000" w:themeColor="text1"/>
          <w:sz w:val="20"/>
          <w:szCs w:val="20"/>
        </w:rPr>
      </w:pPr>
      <w:r w:rsidRPr="00992A2E">
        <w:rPr>
          <w:rStyle w:val="Refdenotaalpie"/>
          <w:color w:val="000000" w:themeColor="text1"/>
          <w:sz w:val="20"/>
          <w:szCs w:val="20"/>
        </w:rPr>
        <w:footnoteRef/>
      </w:r>
      <w:r w:rsidRPr="00992A2E">
        <w:rPr>
          <w:color w:val="000000" w:themeColor="text1"/>
          <w:sz w:val="20"/>
          <w:szCs w:val="20"/>
        </w:rPr>
        <w:t xml:space="preserve"> Sentencia C-822 de 2005. Al respecto en dicho fallo se señaló que </w:t>
      </w:r>
      <w:r w:rsidRPr="00992A2E">
        <w:rPr>
          <w:i/>
          <w:iCs/>
          <w:color w:val="000000" w:themeColor="text1"/>
          <w:sz w:val="20"/>
          <w:szCs w:val="20"/>
        </w:rPr>
        <w:t>“Para que tal registro incidental a la captura sea constitucionalmente admisible, se requiere que (i) se trate de una captura legítima, ordenada por un juez; (</w:t>
      </w:r>
      <w:r w:rsidRPr="00992A2E">
        <w:rPr>
          <w:i/>
          <w:iCs/>
          <w:color w:val="000000" w:themeColor="text1"/>
          <w:sz w:val="20"/>
          <w:szCs w:val="20"/>
        </w:rPr>
        <w:t>ii) se realice inmediatamente después de la captura; (iii) recaiga sobre la superficie de la persona, su indumentaria y de los enseres que lleve consigo; y (iv) no entrañe observar a la persona desnuda ni el tocamiento de órganos sexuales y senos</w:t>
      </w:r>
      <w:r w:rsidRPr="00992A2E">
        <w:rPr>
          <w:rStyle w:val="apple-converted-space"/>
          <w:i/>
          <w:iCs/>
          <w:color w:val="000000" w:themeColor="text1"/>
          <w:sz w:val="20"/>
          <w:szCs w:val="20"/>
        </w:rPr>
        <w:t> </w:t>
      </w:r>
      <w:r w:rsidRPr="00992A2E">
        <w:rPr>
          <w:i/>
          <w:iCs/>
          <w:color w:val="000000" w:themeColor="text1"/>
          <w:sz w:val="20"/>
          <w:szCs w:val="20"/>
        </w:rPr>
        <w:t xml:space="preserve">porque ello implicaría una afectación de los derechos de la persona capturada que sólo podría tener lugar con autorización judicial previa. Excepcionalmente, el registro incidental sin orden judicial previa de los órganos sexuales y los senos del imputado o imputada será posible, cuando sea visible o manifiestamente notorio que en dichos lugares se ocultan armas que puedan ser empleadas para impedir la captura o facilitar la huida. En todo caso, las autoridades encargadas de practicar dicha </w:t>
      </w:r>
      <w:r w:rsidRPr="00992A2E">
        <w:rPr>
          <w:i/>
          <w:iCs/>
          <w:color w:val="000000" w:themeColor="text1"/>
          <w:sz w:val="20"/>
          <w:szCs w:val="20"/>
        </w:rPr>
        <w:t>medida, deberán observar toda clase de consideraciones compatibles con la dignidad humana del capturado”.</w:t>
      </w:r>
    </w:p>
  </w:footnote>
  <w:footnote w:id="45">
    <w:p w14:paraId="45EB7CA5" w14:textId="1BC49B46" w:rsidR="00901EDC" w:rsidRPr="00992A2E" w:rsidRDefault="00901EDC" w:rsidP="00912A66">
      <w:pPr>
        <w:pStyle w:val="Textonotapie"/>
        <w:jc w:val="both"/>
        <w:rPr>
          <w:color w:val="000000" w:themeColor="text1"/>
          <w:lang w:val="es-ES"/>
        </w:rPr>
      </w:pPr>
      <w:r w:rsidRPr="00992A2E">
        <w:rPr>
          <w:rStyle w:val="Refdenotaalpie"/>
          <w:color w:val="000000" w:themeColor="text1"/>
        </w:rPr>
        <w:footnoteRef/>
      </w:r>
      <w:r w:rsidRPr="00992A2E">
        <w:rPr>
          <w:color w:val="000000" w:themeColor="text1"/>
        </w:rPr>
        <w:t xml:space="preserve"> </w:t>
      </w:r>
      <w:r w:rsidR="00762D87" w:rsidRPr="00992A2E">
        <w:rPr>
          <w:color w:val="000000" w:themeColor="text1"/>
          <w:lang w:val="es-ES"/>
        </w:rPr>
        <w:t>Idem</w:t>
      </w:r>
      <w:r w:rsidRPr="00992A2E">
        <w:rPr>
          <w:color w:val="000000" w:themeColor="text1"/>
          <w:lang w:val="es-ES"/>
        </w:rPr>
        <w:t>.</w:t>
      </w:r>
    </w:p>
  </w:footnote>
  <w:footnote w:id="46">
    <w:p w14:paraId="2688FD2B" w14:textId="673C74C3" w:rsidR="00D629D9" w:rsidRPr="00CA763A" w:rsidRDefault="00D629D9" w:rsidP="00CA763A">
      <w:pPr>
        <w:pStyle w:val="Textonotapie"/>
        <w:jc w:val="both"/>
        <w:rPr>
          <w:lang w:val="es-ES"/>
        </w:rPr>
      </w:pPr>
      <w:r w:rsidRPr="00992A2E">
        <w:rPr>
          <w:rStyle w:val="Refdenotaalpie"/>
        </w:rPr>
        <w:footnoteRef/>
      </w:r>
      <w:r w:rsidRPr="00992A2E">
        <w:t xml:space="preserve"> La interpretación </w:t>
      </w:r>
      <w:r w:rsidR="00EA1DD2" w:rsidRPr="00992A2E">
        <w:t xml:space="preserve">y alcance </w:t>
      </w:r>
      <w:r w:rsidRPr="00992A2E">
        <w:t xml:space="preserve">de la expresión </w:t>
      </w:r>
      <w:r w:rsidR="00F81FF0" w:rsidRPr="00992A2E">
        <w:rPr>
          <w:i/>
        </w:rPr>
        <w:t>«</w:t>
      </w:r>
      <w:r w:rsidRPr="00992A2E">
        <w:rPr>
          <w:iCs/>
        </w:rPr>
        <w:t>sex</w:t>
      </w:r>
      <w:r w:rsidRPr="00992A2E">
        <w:rPr>
          <w:i/>
        </w:rPr>
        <w:t>o</w:t>
      </w:r>
      <w:r w:rsidR="00F81FF0" w:rsidRPr="00992A2E">
        <w:rPr>
          <w:i/>
        </w:rPr>
        <w:t>»</w:t>
      </w:r>
      <w:r w:rsidR="000E4531" w:rsidRPr="00992A2E">
        <w:rPr>
          <w:iCs/>
        </w:rPr>
        <w:t xml:space="preserve"> también</w:t>
      </w:r>
      <w:r w:rsidRPr="00992A2E">
        <w:rPr>
          <w:i/>
        </w:rPr>
        <w:t xml:space="preserve"> </w:t>
      </w:r>
      <w:r w:rsidRPr="00992A2E">
        <w:rPr>
          <w:iCs/>
        </w:rPr>
        <w:t>ha</w:t>
      </w:r>
      <w:r w:rsidR="00992A2E" w:rsidRPr="00992A2E">
        <w:rPr>
          <w:iCs/>
        </w:rPr>
        <w:t xml:space="preserve"> sido</w:t>
      </w:r>
      <w:r w:rsidRPr="00992A2E">
        <w:rPr>
          <w:iCs/>
        </w:rPr>
        <w:t xml:space="preserve"> </w:t>
      </w:r>
      <w:r w:rsidR="000E4531" w:rsidRPr="00992A2E">
        <w:rPr>
          <w:iCs/>
        </w:rPr>
        <w:t>abordada</w:t>
      </w:r>
      <w:r w:rsidRPr="00992A2E">
        <w:rPr>
          <w:iCs/>
        </w:rPr>
        <w:t xml:space="preserve"> </w:t>
      </w:r>
      <w:r w:rsidR="00EA1DD2" w:rsidRPr="00992A2E">
        <w:rPr>
          <w:iCs/>
        </w:rPr>
        <w:t xml:space="preserve">por esta corporación </w:t>
      </w:r>
      <w:r w:rsidRPr="00992A2E">
        <w:rPr>
          <w:iCs/>
        </w:rPr>
        <w:t>en otros contextos</w:t>
      </w:r>
      <w:r w:rsidR="00EA1DD2" w:rsidRPr="00992A2E">
        <w:rPr>
          <w:iCs/>
        </w:rPr>
        <w:t xml:space="preserve"> normativos</w:t>
      </w:r>
      <w:r w:rsidRPr="00992A2E">
        <w:rPr>
          <w:iCs/>
        </w:rPr>
        <w:t xml:space="preserve">. Así ocurrió, por ejemplo, en la Sentencia C-584 de 2015, en la cual la Sala se inhibió de pronunciarse sobre la constitucionalidad de </w:t>
      </w:r>
      <w:r w:rsidRPr="00992A2E">
        <w:t xml:space="preserve">las normas previstas en los artículos 10, 14, 23, 24 y 25 de la Ley 48 de 1993. En </w:t>
      </w:r>
      <w:r w:rsidR="00EA1DD2" w:rsidRPr="00992A2E">
        <w:t>dicho</w:t>
      </w:r>
      <w:r w:rsidRPr="00992A2E">
        <w:t xml:space="preserve"> caso, el actor argumentaba que estas disposiciones incurrían en una omisión legislativa relativa al no regular la prestación del servicio militar obligatorio de las personas transexuales, pues solo hac</w:t>
      </w:r>
      <w:r w:rsidR="00992A2E" w:rsidRPr="00992A2E">
        <w:t>ían</w:t>
      </w:r>
      <w:r w:rsidRPr="00992A2E">
        <w:t xml:space="preserve"> referencia a los géneros de </w:t>
      </w:r>
      <w:r w:rsidR="00F81FF0" w:rsidRPr="00992A2E">
        <w:rPr>
          <w:i/>
          <w:iCs/>
        </w:rPr>
        <w:t>«</w:t>
      </w:r>
      <w:r w:rsidRPr="00992A2E">
        <w:t>varón</w:t>
      </w:r>
      <w:r w:rsidR="00F81FF0" w:rsidRPr="00992A2E">
        <w:rPr>
          <w:i/>
          <w:iCs/>
        </w:rPr>
        <w:t>»</w:t>
      </w:r>
      <w:r w:rsidRPr="00992A2E">
        <w:rPr>
          <w:i/>
          <w:iCs/>
        </w:rPr>
        <w:t xml:space="preserve"> </w:t>
      </w:r>
      <w:r w:rsidRPr="00992A2E">
        <w:t xml:space="preserve">y </w:t>
      </w:r>
      <w:r w:rsidR="00F81FF0" w:rsidRPr="00992A2E">
        <w:rPr>
          <w:i/>
          <w:iCs/>
        </w:rPr>
        <w:t>«</w:t>
      </w:r>
      <w:r w:rsidRPr="00992A2E">
        <w:t>mujer</w:t>
      </w:r>
      <w:r w:rsidR="00F81FF0" w:rsidRPr="00992A2E">
        <w:rPr>
          <w:i/>
          <w:iCs/>
        </w:rPr>
        <w:t>»</w:t>
      </w:r>
      <w:r w:rsidRPr="00992A2E">
        <w:rPr>
          <w:i/>
          <w:iCs/>
        </w:rPr>
        <w:t>.</w:t>
      </w:r>
      <w:r w:rsidRPr="00992A2E">
        <w:t xml:space="preserve"> La Sala concluyó que la demanda carecía de certeza, porque partía de una premisa equivocada: que la expresión </w:t>
      </w:r>
      <w:r w:rsidR="00F81FF0" w:rsidRPr="00992A2E">
        <w:rPr>
          <w:i/>
          <w:iCs/>
        </w:rPr>
        <w:t>«</w:t>
      </w:r>
      <w:r w:rsidRPr="00992A2E">
        <w:t>varones</w:t>
      </w:r>
      <w:r w:rsidR="00F81FF0" w:rsidRPr="00992A2E">
        <w:rPr>
          <w:i/>
          <w:iCs/>
        </w:rPr>
        <w:t>»</w:t>
      </w:r>
      <w:r w:rsidRPr="00992A2E">
        <w:t xml:space="preserve"> y </w:t>
      </w:r>
      <w:r w:rsidR="00F81FF0" w:rsidRPr="00992A2E">
        <w:rPr>
          <w:i/>
          <w:iCs/>
        </w:rPr>
        <w:t>«</w:t>
      </w:r>
      <w:r w:rsidRPr="00992A2E">
        <w:t>mujeres</w:t>
      </w:r>
      <w:r w:rsidR="00F81FF0" w:rsidRPr="00992A2E">
        <w:rPr>
          <w:i/>
          <w:iCs/>
        </w:rPr>
        <w:t>»</w:t>
      </w:r>
      <w:r w:rsidRPr="00992A2E">
        <w:t xml:space="preserve"> excluyen a las personas transgénero. La Sala explicó que diversas Salas de Revisión habían reconocido que dichas expresiones no </w:t>
      </w:r>
      <w:r w:rsidR="00F81FF0" w:rsidRPr="00992A2E">
        <w:rPr>
          <w:i/>
          <w:iCs/>
        </w:rPr>
        <w:t>«</w:t>
      </w:r>
      <w:r w:rsidRPr="00992A2E">
        <w:t>están relacionadas con el sexo biológico de los ciudadanos que les fue asignado al nacer, sino con la construcción identitaria y autónoma que cada uno hace de su propio género</w:t>
      </w:r>
      <w:r w:rsidRPr="00992A2E">
        <w:rPr>
          <w:i/>
          <w:iCs/>
        </w:rPr>
        <w:t>.</w:t>
      </w:r>
      <w:r w:rsidR="00F81FF0" w:rsidRPr="00992A2E">
        <w:rPr>
          <w:i/>
          <w:iCs/>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72DE7E5" w14:textId="77777777" w:rsidR="009073CD" w:rsidRPr="00510598" w:rsidRDefault="009A1078" w:rsidP="00CD52D9">
    <w:pPr>
      <w:pStyle w:val="Encabezado"/>
      <w:rPr>
        <w:i/>
        <w:iCs/>
        <w:sz w:val="40"/>
        <w:szCs w:val="40"/>
      </w:rPr>
    </w:pPr>
    <w:r w:rsidRPr="00613333">
      <w:rPr>
        <w:i/>
        <w:iCs/>
      </w:rPr>
      <w:t>Expediente D-15</w:t>
    </w:r>
    <w:r>
      <w:rPr>
        <w:i/>
        <w:iCs/>
      </w:rPr>
      <w:t>582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9B55E6"/>
    <w:multiLevelType w:val="hybridMultilevel"/>
    <w:tmpl w:val="00BEEE60"/>
    <w:lvl w:ilvl="0" w:tplc="63C86458">
      <w:start w:val="3"/>
      <w:numFmt w:val="bullet"/>
      <w:lvlText w:val="-"/>
      <w:lvlJc w:val="left"/>
      <w:pPr>
        <w:ind w:left="720" w:hanging="360"/>
      </w:pPr>
      <w:rPr>
        <w:rFonts w:ascii="Times New Roman" w:eastAsia="Calibri" w:hAnsi="Times New Roman"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76E4951"/>
    <w:multiLevelType w:val="hybridMultilevel"/>
    <w:tmpl w:val="806ABF8E"/>
    <w:lvl w:ilvl="0" w:tplc="31029098">
      <w:start w:val="1"/>
      <w:numFmt w:val="decimal"/>
      <w:lvlText w:val="%1."/>
      <w:lvlJc w:val="left"/>
      <w:pPr>
        <w:ind w:left="720" w:hanging="360"/>
      </w:pPr>
      <w:rPr>
        <w:rFonts w:hint="default"/>
        <w:b w:val="0"/>
        <w:bCs/>
        <w:i w:val="0"/>
        <w:iCs/>
        <w:sz w:val="28"/>
        <w:szCs w:val="2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0D0244D4"/>
    <w:multiLevelType w:val="hybridMultilevel"/>
    <w:tmpl w:val="D056FFC2"/>
    <w:lvl w:ilvl="0" w:tplc="E2CA1ECC">
      <w:start w:val="1"/>
      <w:numFmt w:val="upperRoman"/>
      <w:lvlText w:val="%1."/>
      <w:lvlJc w:val="left"/>
      <w:pPr>
        <w:ind w:left="1080" w:hanging="72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 w15:restartNumberingAfterBreak="0">
    <w:nsid w:val="11856093"/>
    <w:multiLevelType w:val="hybridMultilevel"/>
    <w:tmpl w:val="27821EB8"/>
    <w:lvl w:ilvl="0" w:tplc="2A66DC4E">
      <w:start w:val="1"/>
      <w:numFmt w:val="lowerRoman"/>
      <w:lvlText w:val="(%1)"/>
      <w:lvlJc w:val="left"/>
      <w:pPr>
        <w:ind w:left="1146" w:hanging="720"/>
      </w:pPr>
      <w:rPr>
        <w:rFonts w:hint="default"/>
      </w:rPr>
    </w:lvl>
    <w:lvl w:ilvl="1" w:tplc="240A0019" w:tentative="1">
      <w:start w:val="1"/>
      <w:numFmt w:val="lowerLetter"/>
      <w:lvlText w:val="%2."/>
      <w:lvlJc w:val="left"/>
      <w:pPr>
        <w:ind w:left="1506" w:hanging="360"/>
      </w:pPr>
    </w:lvl>
    <w:lvl w:ilvl="2" w:tplc="240A001B" w:tentative="1">
      <w:start w:val="1"/>
      <w:numFmt w:val="lowerRoman"/>
      <w:lvlText w:val="%3."/>
      <w:lvlJc w:val="right"/>
      <w:pPr>
        <w:ind w:left="2226" w:hanging="180"/>
      </w:pPr>
    </w:lvl>
    <w:lvl w:ilvl="3" w:tplc="240A000F" w:tentative="1">
      <w:start w:val="1"/>
      <w:numFmt w:val="decimal"/>
      <w:lvlText w:val="%4."/>
      <w:lvlJc w:val="left"/>
      <w:pPr>
        <w:ind w:left="2946" w:hanging="360"/>
      </w:pPr>
    </w:lvl>
    <w:lvl w:ilvl="4" w:tplc="240A0019" w:tentative="1">
      <w:start w:val="1"/>
      <w:numFmt w:val="lowerLetter"/>
      <w:lvlText w:val="%5."/>
      <w:lvlJc w:val="left"/>
      <w:pPr>
        <w:ind w:left="3666" w:hanging="360"/>
      </w:pPr>
    </w:lvl>
    <w:lvl w:ilvl="5" w:tplc="240A001B" w:tentative="1">
      <w:start w:val="1"/>
      <w:numFmt w:val="lowerRoman"/>
      <w:lvlText w:val="%6."/>
      <w:lvlJc w:val="right"/>
      <w:pPr>
        <w:ind w:left="4386" w:hanging="180"/>
      </w:pPr>
    </w:lvl>
    <w:lvl w:ilvl="6" w:tplc="240A000F" w:tentative="1">
      <w:start w:val="1"/>
      <w:numFmt w:val="decimal"/>
      <w:lvlText w:val="%7."/>
      <w:lvlJc w:val="left"/>
      <w:pPr>
        <w:ind w:left="5106" w:hanging="360"/>
      </w:pPr>
    </w:lvl>
    <w:lvl w:ilvl="7" w:tplc="240A0019" w:tentative="1">
      <w:start w:val="1"/>
      <w:numFmt w:val="lowerLetter"/>
      <w:lvlText w:val="%8."/>
      <w:lvlJc w:val="left"/>
      <w:pPr>
        <w:ind w:left="5826" w:hanging="360"/>
      </w:pPr>
    </w:lvl>
    <w:lvl w:ilvl="8" w:tplc="240A001B" w:tentative="1">
      <w:start w:val="1"/>
      <w:numFmt w:val="lowerRoman"/>
      <w:lvlText w:val="%9."/>
      <w:lvlJc w:val="right"/>
      <w:pPr>
        <w:ind w:left="6546" w:hanging="180"/>
      </w:pPr>
    </w:lvl>
  </w:abstractNum>
  <w:abstractNum w:abstractNumId="4" w15:restartNumberingAfterBreak="0">
    <w:nsid w:val="19EE07F1"/>
    <w:multiLevelType w:val="hybridMultilevel"/>
    <w:tmpl w:val="FFFFFFFF"/>
    <w:lvl w:ilvl="0" w:tplc="3DBA831C">
      <w:start w:val="1"/>
      <w:numFmt w:val="decimal"/>
      <w:lvlText w:val="%1."/>
      <w:lvlJc w:val="left"/>
      <w:pPr>
        <w:ind w:left="2204" w:hanging="360"/>
      </w:pPr>
      <w:rPr>
        <w:rFonts w:cs="Times New Roman" w:hint="default"/>
        <w:i w:val="0"/>
      </w:rPr>
    </w:lvl>
    <w:lvl w:ilvl="1" w:tplc="0C0A0019" w:tentative="1">
      <w:start w:val="1"/>
      <w:numFmt w:val="lowerLetter"/>
      <w:lvlText w:val="%2."/>
      <w:lvlJc w:val="left"/>
      <w:pPr>
        <w:ind w:left="2924" w:hanging="360"/>
      </w:pPr>
      <w:rPr>
        <w:rFonts w:cs="Times New Roman"/>
      </w:rPr>
    </w:lvl>
    <w:lvl w:ilvl="2" w:tplc="0C0A001B" w:tentative="1">
      <w:start w:val="1"/>
      <w:numFmt w:val="lowerRoman"/>
      <w:lvlText w:val="%3."/>
      <w:lvlJc w:val="right"/>
      <w:pPr>
        <w:ind w:left="3644" w:hanging="180"/>
      </w:pPr>
      <w:rPr>
        <w:rFonts w:cs="Times New Roman"/>
      </w:rPr>
    </w:lvl>
    <w:lvl w:ilvl="3" w:tplc="0C0A000F" w:tentative="1">
      <w:start w:val="1"/>
      <w:numFmt w:val="decimal"/>
      <w:lvlText w:val="%4."/>
      <w:lvlJc w:val="left"/>
      <w:pPr>
        <w:ind w:left="4364" w:hanging="360"/>
      </w:pPr>
      <w:rPr>
        <w:rFonts w:cs="Times New Roman"/>
      </w:rPr>
    </w:lvl>
    <w:lvl w:ilvl="4" w:tplc="0C0A0019" w:tentative="1">
      <w:start w:val="1"/>
      <w:numFmt w:val="lowerLetter"/>
      <w:lvlText w:val="%5."/>
      <w:lvlJc w:val="left"/>
      <w:pPr>
        <w:ind w:left="5084" w:hanging="360"/>
      </w:pPr>
      <w:rPr>
        <w:rFonts w:cs="Times New Roman"/>
      </w:rPr>
    </w:lvl>
    <w:lvl w:ilvl="5" w:tplc="0C0A001B" w:tentative="1">
      <w:start w:val="1"/>
      <w:numFmt w:val="lowerRoman"/>
      <w:lvlText w:val="%6."/>
      <w:lvlJc w:val="right"/>
      <w:pPr>
        <w:ind w:left="5804" w:hanging="180"/>
      </w:pPr>
      <w:rPr>
        <w:rFonts w:cs="Times New Roman"/>
      </w:rPr>
    </w:lvl>
    <w:lvl w:ilvl="6" w:tplc="0C0A000F" w:tentative="1">
      <w:start w:val="1"/>
      <w:numFmt w:val="decimal"/>
      <w:lvlText w:val="%7."/>
      <w:lvlJc w:val="left"/>
      <w:pPr>
        <w:ind w:left="6524" w:hanging="360"/>
      </w:pPr>
      <w:rPr>
        <w:rFonts w:cs="Times New Roman"/>
      </w:rPr>
    </w:lvl>
    <w:lvl w:ilvl="7" w:tplc="0C0A0019" w:tentative="1">
      <w:start w:val="1"/>
      <w:numFmt w:val="lowerLetter"/>
      <w:lvlText w:val="%8."/>
      <w:lvlJc w:val="left"/>
      <w:pPr>
        <w:ind w:left="7244" w:hanging="360"/>
      </w:pPr>
      <w:rPr>
        <w:rFonts w:cs="Times New Roman"/>
      </w:rPr>
    </w:lvl>
    <w:lvl w:ilvl="8" w:tplc="0C0A001B" w:tentative="1">
      <w:start w:val="1"/>
      <w:numFmt w:val="lowerRoman"/>
      <w:lvlText w:val="%9."/>
      <w:lvlJc w:val="right"/>
      <w:pPr>
        <w:ind w:left="7964" w:hanging="180"/>
      </w:pPr>
      <w:rPr>
        <w:rFonts w:cs="Times New Roman"/>
      </w:rPr>
    </w:lvl>
  </w:abstractNum>
  <w:abstractNum w:abstractNumId="5" w15:restartNumberingAfterBreak="0">
    <w:nsid w:val="1E177F96"/>
    <w:multiLevelType w:val="hybridMultilevel"/>
    <w:tmpl w:val="B5088EA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217A6E1E"/>
    <w:multiLevelType w:val="hybridMultilevel"/>
    <w:tmpl w:val="B5088EA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2319237D"/>
    <w:multiLevelType w:val="hybridMultilevel"/>
    <w:tmpl w:val="6C2A271A"/>
    <w:lvl w:ilvl="0" w:tplc="73FE3082">
      <w:start w:val="1"/>
      <w:numFmt w:val="lowerLetter"/>
      <w:lvlText w:val="%1)"/>
      <w:lvlJc w:val="left"/>
      <w:pPr>
        <w:ind w:left="927" w:hanging="360"/>
      </w:pPr>
      <w:rPr>
        <w:rFonts w:hint="default"/>
      </w:rPr>
    </w:lvl>
    <w:lvl w:ilvl="1" w:tplc="240A0019" w:tentative="1">
      <w:start w:val="1"/>
      <w:numFmt w:val="lowerLetter"/>
      <w:lvlText w:val="%2."/>
      <w:lvlJc w:val="left"/>
      <w:pPr>
        <w:ind w:left="1647" w:hanging="360"/>
      </w:pPr>
    </w:lvl>
    <w:lvl w:ilvl="2" w:tplc="240A001B" w:tentative="1">
      <w:start w:val="1"/>
      <w:numFmt w:val="lowerRoman"/>
      <w:lvlText w:val="%3."/>
      <w:lvlJc w:val="right"/>
      <w:pPr>
        <w:ind w:left="2367" w:hanging="180"/>
      </w:pPr>
    </w:lvl>
    <w:lvl w:ilvl="3" w:tplc="240A000F" w:tentative="1">
      <w:start w:val="1"/>
      <w:numFmt w:val="decimal"/>
      <w:lvlText w:val="%4."/>
      <w:lvlJc w:val="left"/>
      <w:pPr>
        <w:ind w:left="3087" w:hanging="360"/>
      </w:pPr>
    </w:lvl>
    <w:lvl w:ilvl="4" w:tplc="240A0019" w:tentative="1">
      <w:start w:val="1"/>
      <w:numFmt w:val="lowerLetter"/>
      <w:lvlText w:val="%5."/>
      <w:lvlJc w:val="left"/>
      <w:pPr>
        <w:ind w:left="3807" w:hanging="360"/>
      </w:pPr>
    </w:lvl>
    <w:lvl w:ilvl="5" w:tplc="240A001B" w:tentative="1">
      <w:start w:val="1"/>
      <w:numFmt w:val="lowerRoman"/>
      <w:lvlText w:val="%6."/>
      <w:lvlJc w:val="right"/>
      <w:pPr>
        <w:ind w:left="4527" w:hanging="180"/>
      </w:pPr>
    </w:lvl>
    <w:lvl w:ilvl="6" w:tplc="240A000F" w:tentative="1">
      <w:start w:val="1"/>
      <w:numFmt w:val="decimal"/>
      <w:lvlText w:val="%7."/>
      <w:lvlJc w:val="left"/>
      <w:pPr>
        <w:ind w:left="5247" w:hanging="360"/>
      </w:pPr>
    </w:lvl>
    <w:lvl w:ilvl="7" w:tplc="240A0019" w:tentative="1">
      <w:start w:val="1"/>
      <w:numFmt w:val="lowerLetter"/>
      <w:lvlText w:val="%8."/>
      <w:lvlJc w:val="left"/>
      <w:pPr>
        <w:ind w:left="5967" w:hanging="360"/>
      </w:pPr>
    </w:lvl>
    <w:lvl w:ilvl="8" w:tplc="240A001B" w:tentative="1">
      <w:start w:val="1"/>
      <w:numFmt w:val="lowerRoman"/>
      <w:lvlText w:val="%9."/>
      <w:lvlJc w:val="right"/>
      <w:pPr>
        <w:ind w:left="6687" w:hanging="180"/>
      </w:pPr>
    </w:lvl>
  </w:abstractNum>
  <w:abstractNum w:abstractNumId="8" w15:restartNumberingAfterBreak="0">
    <w:nsid w:val="23E07454"/>
    <w:multiLevelType w:val="multilevel"/>
    <w:tmpl w:val="3FFE85DA"/>
    <w:styleLink w:val="Listaactual1"/>
    <w:lvl w:ilvl="0">
      <w:start w:val="1"/>
      <w:numFmt w:val="decimal"/>
      <w:lvlText w:val="%1."/>
      <w:lvlJc w:val="left"/>
      <w:pPr>
        <w:ind w:left="6598" w:hanging="360"/>
      </w:pPr>
      <w:rPr>
        <w:rFonts w:ascii="Times New Roman" w:hAnsi="Times New Roman" w:cs="Times New Roman" w:hint="default"/>
        <w:b w:val="0"/>
        <w:bCs w:val="0"/>
        <w:i w:val="0"/>
        <w:iCs w:val="0"/>
        <w:sz w:val="28"/>
        <w:szCs w:val="28"/>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24E23382"/>
    <w:multiLevelType w:val="hybridMultilevel"/>
    <w:tmpl w:val="BCEC5B36"/>
    <w:lvl w:ilvl="0" w:tplc="3A008FB8">
      <w:start w:val="1"/>
      <w:numFmt w:val="decimal"/>
      <w:lvlText w:val="%1."/>
      <w:lvlJc w:val="left"/>
      <w:pPr>
        <w:ind w:left="1281" w:hanging="495"/>
      </w:pPr>
      <w:rPr>
        <w:rFonts w:ascii="Times New Roman" w:hAnsi="Times New Roman" w:cs="Times New Roman" w:hint="default"/>
        <w:b w:val="0"/>
        <w:bCs w:val="0"/>
        <w:i w:val="0"/>
        <w:iCs w:val="0"/>
        <w:strike w:val="0"/>
        <w:sz w:val="28"/>
        <w:szCs w:val="28"/>
      </w:rPr>
    </w:lvl>
    <w:lvl w:ilvl="1" w:tplc="240A0019" w:tentative="1">
      <w:start w:val="1"/>
      <w:numFmt w:val="lowerLetter"/>
      <w:lvlText w:val="%2."/>
      <w:lvlJc w:val="left"/>
      <w:pPr>
        <w:ind w:left="1866" w:hanging="360"/>
      </w:pPr>
    </w:lvl>
    <w:lvl w:ilvl="2" w:tplc="240A001B" w:tentative="1">
      <w:start w:val="1"/>
      <w:numFmt w:val="lowerRoman"/>
      <w:lvlText w:val="%3."/>
      <w:lvlJc w:val="right"/>
      <w:pPr>
        <w:ind w:left="2586" w:hanging="180"/>
      </w:pPr>
    </w:lvl>
    <w:lvl w:ilvl="3" w:tplc="240A000F" w:tentative="1">
      <w:start w:val="1"/>
      <w:numFmt w:val="decimal"/>
      <w:lvlText w:val="%4."/>
      <w:lvlJc w:val="left"/>
      <w:pPr>
        <w:ind w:left="3306" w:hanging="360"/>
      </w:pPr>
    </w:lvl>
    <w:lvl w:ilvl="4" w:tplc="240A0019" w:tentative="1">
      <w:start w:val="1"/>
      <w:numFmt w:val="lowerLetter"/>
      <w:lvlText w:val="%5."/>
      <w:lvlJc w:val="left"/>
      <w:pPr>
        <w:ind w:left="4026" w:hanging="360"/>
      </w:pPr>
    </w:lvl>
    <w:lvl w:ilvl="5" w:tplc="240A001B" w:tentative="1">
      <w:start w:val="1"/>
      <w:numFmt w:val="lowerRoman"/>
      <w:lvlText w:val="%6."/>
      <w:lvlJc w:val="right"/>
      <w:pPr>
        <w:ind w:left="4746" w:hanging="180"/>
      </w:pPr>
    </w:lvl>
    <w:lvl w:ilvl="6" w:tplc="240A000F" w:tentative="1">
      <w:start w:val="1"/>
      <w:numFmt w:val="decimal"/>
      <w:lvlText w:val="%7."/>
      <w:lvlJc w:val="left"/>
      <w:pPr>
        <w:ind w:left="5466" w:hanging="360"/>
      </w:pPr>
    </w:lvl>
    <w:lvl w:ilvl="7" w:tplc="240A0019" w:tentative="1">
      <w:start w:val="1"/>
      <w:numFmt w:val="lowerLetter"/>
      <w:lvlText w:val="%8."/>
      <w:lvlJc w:val="left"/>
      <w:pPr>
        <w:ind w:left="6186" w:hanging="360"/>
      </w:pPr>
    </w:lvl>
    <w:lvl w:ilvl="8" w:tplc="240A001B" w:tentative="1">
      <w:start w:val="1"/>
      <w:numFmt w:val="lowerRoman"/>
      <w:lvlText w:val="%9."/>
      <w:lvlJc w:val="right"/>
      <w:pPr>
        <w:ind w:left="6906" w:hanging="180"/>
      </w:pPr>
    </w:lvl>
  </w:abstractNum>
  <w:abstractNum w:abstractNumId="10" w15:restartNumberingAfterBreak="0">
    <w:nsid w:val="26897C6B"/>
    <w:multiLevelType w:val="hybridMultilevel"/>
    <w:tmpl w:val="408A5E8A"/>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1" w15:restartNumberingAfterBreak="0">
    <w:nsid w:val="30DE7FCF"/>
    <w:multiLevelType w:val="hybridMultilevel"/>
    <w:tmpl w:val="F24AAED8"/>
    <w:lvl w:ilvl="0" w:tplc="7DEAE6A6">
      <w:start w:val="15"/>
      <w:numFmt w:val="bullet"/>
      <w:lvlText w:val="-"/>
      <w:lvlJc w:val="left"/>
      <w:pPr>
        <w:ind w:left="720" w:hanging="360"/>
      </w:pPr>
      <w:rPr>
        <w:rFonts w:ascii="Times New Roman" w:eastAsia="Calibri" w:hAnsi="Times New Roman"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3D744289"/>
    <w:multiLevelType w:val="multilevel"/>
    <w:tmpl w:val="191E05AA"/>
    <w:lvl w:ilvl="0">
      <w:start w:val="1"/>
      <w:numFmt w:val="decimal"/>
      <w:suff w:val="space"/>
      <w:lvlText w:val="%1."/>
      <w:lvlJc w:val="left"/>
      <w:pPr>
        <w:ind w:left="0" w:firstLine="0"/>
      </w:pPr>
      <w:rPr>
        <w:rFonts w:hint="default"/>
        <w:i w:val="0"/>
        <w:iCs w:val="0"/>
        <w:sz w:val="28"/>
        <w:szCs w:val="28"/>
        <w:lang w:val="es-ES"/>
      </w:rPr>
    </w:lvl>
    <w:lvl w:ilvl="1">
      <w:start w:val="1"/>
      <w:numFmt w:val="decimal"/>
      <w:lvlText w:val="%1.%2."/>
      <w:lvlJc w:val="left"/>
      <w:pPr>
        <w:ind w:left="0" w:firstLine="0"/>
      </w:pPr>
      <w:rPr>
        <w:rFonts w:hint="default"/>
      </w:rPr>
    </w:lvl>
    <w:lvl w:ilvl="2">
      <w:start w:val="1"/>
      <w:numFmt w:val="decimal"/>
      <w:lvlText w:val="%1.%2.%3."/>
      <w:lvlJc w:val="left"/>
      <w:pPr>
        <w:ind w:left="0" w:firstLine="0"/>
      </w:pPr>
      <w:rPr>
        <w:rFonts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13" w15:restartNumberingAfterBreak="0">
    <w:nsid w:val="417E34AC"/>
    <w:multiLevelType w:val="multilevel"/>
    <w:tmpl w:val="723ABFAE"/>
    <w:lvl w:ilvl="0">
      <w:start w:val="4"/>
      <w:numFmt w:val="decimal"/>
      <w:lvlText w:val="%1."/>
      <w:lvlJc w:val="left"/>
      <w:pPr>
        <w:ind w:left="720" w:hanging="360"/>
      </w:pPr>
      <w:rPr>
        <w:rFonts w:hint="default"/>
      </w:rPr>
    </w:lvl>
    <w:lvl w:ilvl="1">
      <w:start w:val="1"/>
      <w:numFmt w:val="decimal"/>
      <w:isLgl/>
      <w:lvlText w:val="%1.%2."/>
      <w:lvlJc w:val="left"/>
      <w:pPr>
        <w:ind w:left="1080" w:hanging="720"/>
      </w:pPr>
      <w:rPr>
        <w:rFonts w:hint="default"/>
        <w:b/>
        <w:bCs/>
        <w:i w:val="0"/>
        <w:iCs w:val="0"/>
      </w:rPr>
    </w:lvl>
    <w:lvl w:ilvl="2">
      <w:start w:val="1"/>
      <w:numFmt w:val="decimal"/>
      <w:isLgl/>
      <w:lvlText w:val="%1.%2.%3."/>
      <w:lvlJc w:val="left"/>
      <w:pPr>
        <w:ind w:left="1080" w:hanging="720"/>
      </w:pPr>
      <w:rPr>
        <w:rFonts w:hint="default"/>
        <w:b/>
        <w:bCs/>
        <w:i/>
        <w:iCs/>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4" w15:restartNumberingAfterBreak="0">
    <w:nsid w:val="460E5BC2"/>
    <w:multiLevelType w:val="hybridMultilevel"/>
    <w:tmpl w:val="CC50D840"/>
    <w:lvl w:ilvl="0" w:tplc="A8869360">
      <w:start w:val="1"/>
      <w:numFmt w:val="decimal"/>
      <w:lvlText w:val="%1."/>
      <w:lvlJc w:val="left"/>
      <w:pPr>
        <w:ind w:left="990" w:hanging="360"/>
      </w:pPr>
      <w:rPr>
        <w:rFonts w:hint="default"/>
        <w:b w:val="0"/>
        <w:bCs/>
        <w:i w:val="0"/>
        <w:iCs w:val="0"/>
        <w:color w:val="auto"/>
        <w:sz w:val="28"/>
        <w:szCs w:val="28"/>
        <w:lang w:val="es-ES_tradnl"/>
      </w:rPr>
    </w:lvl>
    <w:lvl w:ilvl="1" w:tplc="240A0019">
      <w:start w:val="1"/>
      <w:numFmt w:val="lowerLetter"/>
      <w:lvlText w:val="%2."/>
      <w:lvlJc w:val="left"/>
      <w:pPr>
        <w:ind w:left="2070" w:hanging="360"/>
      </w:pPr>
    </w:lvl>
    <w:lvl w:ilvl="2" w:tplc="240A001B" w:tentative="1">
      <w:start w:val="1"/>
      <w:numFmt w:val="lowerRoman"/>
      <w:lvlText w:val="%3."/>
      <w:lvlJc w:val="right"/>
      <w:pPr>
        <w:ind w:left="2790" w:hanging="180"/>
      </w:pPr>
    </w:lvl>
    <w:lvl w:ilvl="3" w:tplc="240A000F" w:tentative="1">
      <w:start w:val="1"/>
      <w:numFmt w:val="decimal"/>
      <w:lvlText w:val="%4."/>
      <w:lvlJc w:val="left"/>
      <w:pPr>
        <w:ind w:left="3510" w:hanging="360"/>
      </w:pPr>
    </w:lvl>
    <w:lvl w:ilvl="4" w:tplc="240A0019" w:tentative="1">
      <w:start w:val="1"/>
      <w:numFmt w:val="lowerLetter"/>
      <w:lvlText w:val="%5."/>
      <w:lvlJc w:val="left"/>
      <w:pPr>
        <w:ind w:left="4230" w:hanging="360"/>
      </w:pPr>
    </w:lvl>
    <w:lvl w:ilvl="5" w:tplc="240A001B" w:tentative="1">
      <w:start w:val="1"/>
      <w:numFmt w:val="lowerRoman"/>
      <w:lvlText w:val="%6."/>
      <w:lvlJc w:val="right"/>
      <w:pPr>
        <w:ind w:left="4950" w:hanging="180"/>
      </w:pPr>
    </w:lvl>
    <w:lvl w:ilvl="6" w:tplc="240A000F" w:tentative="1">
      <w:start w:val="1"/>
      <w:numFmt w:val="decimal"/>
      <w:lvlText w:val="%7."/>
      <w:lvlJc w:val="left"/>
      <w:pPr>
        <w:ind w:left="5670" w:hanging="360"/>
      </w:pPr>
    </w:lvl>
    <w:lvl w:ilvl="7" w:tplc="240A0019" w:tentative="1">
      <w:start w:val="1"/>
      <w:numFmt w:val="lowerLetter"/>
      <w:lvlText w:val="%8."/>
      <w:lvlJc w:val="left"/>
      <w:pPr>
        <w:ind w:left="6390" w:hanging="360"/>
      </w:pPr>
    </w:lvl>
    <w:lvl w:ilvl="8" w:tplc="240A001B" w:tentative="1">
      <w:start w:val="1"/>
      <w:numFmt w:val="lowerRoman"/>
      <w:lvlText w:val="%9."/>
      <w:lvlJc w:val="right"/>
      <w:pPr>
        <w:ind w:left="7110" w:hanging="180"/>
      </w:pPr>
    </w:lvl>
  </w:abstractNum>
  <w:abstractNum w:abstractNumId="15" w15:restartNumberingAfterBreak="0">
    <w:nsid w:val="4C180109"/>
    <w:multiLevelType w:val="hybridMultilevel"/>
    <w:tmpl w:val="0E0EAF9E"/>
    <w:lvl w:ilvl="0" w:tplc="08306012">
      <w:start w:val="1"/>
      <w:numFmt w:val="lowerRoman"/>
      <w:lvlText w:val="(%1)"/>
      <w:lvlJc w:val="left"/>
      <w:pPr>
        <w:ind w:left="1080" w:hanging="720"/>
      </w:pPr>
      <w:rPr>
        <w:rFonts w:hint="default"/>
        <w:i/>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4CFF2897"/>
    <w:multiLevelType w:val="hybridMultilevel"/>
    <w:tmpl w:val="3FFE85DA"/>
    <w:lvl w:ilvl="0" w:tplc="75DE642C">
      <w:start w:val="1"/>
      <w:numFmt w:val="decimal"/>
      <w:lvlText w:val="%1."/>
      <w:lvlJc w:val="left"/>
      <w:pPr>
        <w:ind w:left="4680" w:hanging="360"/>
      </w:pPr>
      <w:rPr>
        <w:rFonts w:ascii="Times New Roman" w:hAnsi="Times New Roman" w:cs="Times New Roman" w:hint="default"/>
        <w:b w:val="0"/>
        <w:bCs w:val="0"/>
        <w:i w:val="0"/>
        <w:iCs w:val="0"/>
        <w:sz w:val="28"/>
        <w:szCs w:val="28"/>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4DE63ED2"/>
    <w:multiLevelType w:val="hybridMultilevel"/>
    <w:tmpl w:val="EB189450"/>
    <w:lvl w:ilvl="0" w:tplc="240A000F">
      <w:start w:val="1"/>
      <w:numFmt w:val="decimal"/>
      <w:lvlText w:val="%1."/>
      <w:lvlJc w:val="left"/>
      <w:pPr>
        <w:ind w:left="720" w:hanging="360"/>
      </w:p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start w:val="1"/>
      <w:numFmt w:val="decimal"/>
      <w:lvlText w:val="%4."/>
      <w:lvlJc w:val="left"/>
      <w:pPr>
        <w:ind w:left="2880" w:hanging="360"/>
      </w:pPr>
    </w:lvl>
    <w:lvl w:ilvl="4" w:tplc="240A0019">
      <w:start w:val="1"/>
      <w:numFmt w:val="lowerLetter"/>
      <w:lvlText w:val="%5."/>
      <w:lvlJc w:val="left"/>
      <w:pPr>
        <w:ind w:left="3600" w:hanging="360"/>
      </w:pPr>
    </w:lvl>
    <w:lvl w:ilvl="5" w:tplc="240A001B">
      <w:start w:val="1"/>
      <w:numFmt w:val="lowerRoman"/>
      <w:lvlText w:val="%6."/>
      <w:lvlJc w:val="right"/>
      <w:pPr>
        <w:ind w:left="4320" w:hanging="180"/>
      </w:pPr>
    </w:lvl>
    <w:lvl w:ilvl="6" w:tplc="240A000F">
      <w:start w:val="1"/>
      <w:numFmt w:val="decimal"/>
      <w:lvlText w:val="%7."/>
      <w:lvlJc w:val="left"/>
      <w:pPr>
        <w:ind w:left="5040" w:hanging="360"/>
      </w:pPr>
    </w:lvl>
    <w:lvl w:ilvl="7" w:tplc="240A0019">
      <w:start w:val="1"/>
      <w:numFmt w:val="lowerLetter"/>
      <w:lvlText w:val="%8."/>
      <w:lvlJc w:val="left"/>
      <w:pPr>
        <w:ind w:left="5760" w:hanging="360"/>
      </w:pPr>
    </w:lvl>
    <w:lvl w:ilvl="8" w:tplc="240A001B">
      <w:start w:val="1"/>
      <w:numFmt w:val="lowerRoman"/>
      <w:lvlText w:val="%9."/>
      <w:lvlJc w:val="right"/>
      <w:pPr>
        <w:ind w:left="6480" w:hanging="180"/>
      </w:pPr>
    </w:lvl>
  </w:abstractNum>
  <w:abstractNum w:abstractNumId="18" w15:restartNumberingAfterBreak="0">
    <w:nsid w:val="4E402B15"/>
    <w:multiLevelType w:val="hybridMultilevel"/>
    <w:tmpl w:val="FAA8A81E"/>
    <w:lvl w:ilvl="0" w:tplc="080A000F">
      <w:start w:val="1"/>
      <w:numFmt w:val="decimal"/>
      <w:lvlText w:val="%1."/>
      <w:lvlJc w:val="left"/>
      <w:pPr>
        <w:ind w:left="720" w:hanging="360"/>
      </w:pPr>
      <w:rPr>
        <w:rFonts w:hint="default"/>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51C77C4D"/>
    <w:multiLevelType w:val="hybridMultilevel"/>
    <w:tmpl w:val="81B0A8CA"/>
    <w:lvl w:ilvl="0" w:tplc="FFFFFFFF">
      <w:start w:val="1"/>
      <w:numFmt w:val="decimal"/>
      <w:lvlText w:val="%1."/>
      <w:lvlJc w:val="left"/>
      <w:pPr>
        <w:ind w:left="720" w:hanging="360"/>
      </w:pPr>
      <w:rPr>
        <w:b w:val="0"/>
        <w:bCs w:val="0"/>
        <w:i w:val="0"/>
        <w:iCs w:val="0"/>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51DF165D"/>
    <w:multiLevelType w:val="hybridMultilevel"/>
    <w:tmpl w:val="5DF85536"/>
    <w:lvl w:ilvl="0" w:tplc="EE027ABE">
      <w:start w:val="1"/>
      <w:numFmt w:val="upperRoman"/>
      <w:lvlText w:val="%1."/>
      <w:lvlJc w:val="left"/>
      <w:pPr>
        <w:ind w:left="1080" w:hanging="72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1" w15:restartNumberingAfterBreak="0">
    <w:nsid w:val="55B54E9D"/>
    <w:multiLevelType w:val="hybridMultilevel"/>
    <w:tmpl w:val="46D84ED2"/>
    <w:lvl w:ilvl="0" w:tplc="6AA2587E">
      <w:start w:val="4"/>
      <w:numFmt w:val="bullet"/>
      <w:lvlText w:val="-"/>
      <w:lvlJc w:val="left"/>
      <w:pPr>
        <w:ind w:left="720" w:hanging="360"/>
      </w:pPr>
      <w:rPr>
        <w:rFonts w:ascii="Calibri" w:eastAsiaTheme="minorHAnsi" w:hAnsi="Calibri" w:cs="Calibr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15:restartNumberingAfterBreak="0">
    <w:nsid w:val="5AC32F61"/>
    <w:multiLevelType w:val="multilevel"/>
    <w:tmpl w:val="CA8A9C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65943727"/>
    <w:multiLevelType w:val="hybridMultilevel"/>
    <w:tmpl w:val="F4B8D9A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6FE749CE"/>
    <w:multiLevelType w:val="hybridMultilevel"/>
    <w:tmpl w:val="A870812E"/>
    <w:lvl w:ilvl="0" w:tplc="3AE23E98">
      <w:start w:val="7"/>
      <w:numFmt w:val="bullet"/>
      <w:lvlText w:val="-"/>
      <w:lvlJc w:val="left"/>
      <w:pPr>
        <w:ind w:left="720" w:hanging="360"/>
      </w:pPr>
      <w:rPr>
        <w:rFonts w:ascii="Aptos" w:eastAsiaTheme="minorHAnsi" w:hAnsi="Aptos" w:cstheme="minorBidi"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5" w15:restartNumberingAfterBreak="0">
    <w:nsid w:val="74496645"/>
    <w:multiLevelType w:val="hybridMultilevel"/>
    <w:tmpl w:val="21504100"/>
    <w:lvl w:ilvl="0" w:tplc="ED463654">
      <w:start w:val="5"/>
      <w:numFmt w:val="decimal"/>
      <w:lvlText w:val="%1."/>
      <w:lvlJc w:val="left"/>
      <w:rPr>
        <w:rFonts w:hint="default"/>
        <w:b w:val="0"/>
        <w:bCs/>
        <w:i w:val="0"/>
        <w:iCs w:val="0"/>
        <w:color w:val="auto"/>
        <w:sz w:val="28"/>
        <w:szCs w:val="28"/>
      </w:rPr>
    </w:lvl>
    <w:lvl w:ilvl="1" w:tplc="240A0019">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16cid:durableId="1351300809">
    <w:abstractNumId w:val="16"/>
  </w:num>
  <w:num w:numId="2" w16cid:durableId="495994138">
    <w:abstractNumId w:val="9"/>
  </w:num>
  <w:num w:numId="3" w16cid:durableId="72051976">
    <w:abstractNumId w:val="22"/>
  </w:num>
  <w:num w:numId="4" w16cid:durableId="801385260">
    <w:abstractNumId w:val="0"/>
  </w:num>
  <w:num w:numId="5" w16cid:durableId="982083108">
    <w:abstractNumId w:val="11"/>
  </w:num>
  <w:num w:numId="6" w16cid:durableId="617958299">
    <w:abstractNumId w:val="6"/>
  </w:num>
  <w:num w:numId="7" w16cid:durableId="2094204994">
    <w:abstractNumId w:val="5"/>
  </w:num>
  <w:num w:numId="8" w16cid:durableId="1192303527">
    <w:abstractNumId w:val="12"/>
  </w:num>
  <w:num w:numId="9" w16cid:durableId="618226613">
    <w:abstractNumId w:val="19"/>
  </w:num>
  <w:num w:numId="10" w16cid:durableId="747730583">
    <w:abstractNumId w:val="13"/>
  </w:num>
  <w:num w:numId="11" w16cid:durableId="1256208390">
    <w:abstractNumId w:val="1"/>
  </w:num>
  <w:num w:numId="12" w16cid:durableId="18506921">
    <w:abstractNumId w:val="25"/>
  </w:num>
  <w:num w:numId="13" w16cid:durableId="2064255399">
    <w:abstractNumId w:val="21"/>
  </w:num>
  <w:num w:numId="14" w16cid:durableId="1689211360">
    <w:abstractNumId w:val="23"/>
  </w:num>
  <w:num w:numId="15" w16cid:durableId="336930130">
    <w:abstractNumId w:val="8"/>
  </w:num>
  <w:num w:numId="16" w16cid:durableId="788554085">
    <w:abstractNumId w:val="14"/>
  </w:num>
  <w:num w:numId="17" w16cid:durableId="1237790317">
    <w:abstractNumId w:val="15"/>
  </w:num>
  <w:num w:numId="18" w16cid:durableId="996693344">
    <w:abstractNumId w:val="24"/>
  </w:num>
  <w:num w:numId="19" w16cid:durableId="1384327706">
    <w:abstractNumId w:val="18"/>
  </w:num>
  <w:num w:numId="20" w16cid:durableId="57116447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997416599">
    <w:abstractNumId w:val="7"/>
  </w:num>
  <w:num w:numId="22" w16cid:durableId="995379015">
    <w:abstractNumId w:val="20"/>
  </w:num>
  <w:num w:numId="23" w16cid:durableId="227107559">
    <w:abstractNumId w:val="2"/>
  </w:num>
  <w:num w:numId="24" w16cid:durableId="1546523460">
    <w:abstractNumId w:val="3"/>
  </w:num>
  <w:num w:numId="25" w16cid:durableId="453788147">
    <w:abstractNumId w:val="10"/>
  </w:num>
  <w:num w:numId="26" w16cid:durableId="150563297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01EDC"/>
    <w:rsid w:val="0000250B"/>
    <w:rsid w:val="00055E38"/>
    <w:rsid w:val="00072A1C"/>
    <w:rsid w:val="000C5FFA"/>
    <w:rsid w:val="000C6A2E"/>
    <w:rsid w:val="000E1CF3"/>
    <w:rsid w:val="000E4531"/>
    <w:rsid w:val="000E5D2E"/>
    <w:rsid w:val="000F085D"/>
    <w:rsid w:val="00130414"/>
    <w:rsid w:val="00152C61"/>
    <w:rsid w:val="00160758"/>
    <w:rsid w:val="00161DAB"/>
    <w:rsid w:val="00163FB4"/>
    <w:rsid w:val="001867F6"/>
    <w:rsid w:val="001C5FFA"/>
    <w:rsid w:val="001D3445"/>
    <w:rsid w:val="001E3603"/>
    <w:rsid w:val="001F5A6A"/>
    <w:rsid w:val="00213006"/>
    <w:rsid w:val="00254E07"/>
    <w:rsid w:val="00265172"/>
    <w:rsid w:val="00284E8B"/>
    <w:rsid w:val="002A01DF"/>
    <w:rsid w:val="002B08DA"/>
    <w:rsid w:val="002B6968"/>
    <w:rsid w:val="002D18F3"/>
    <w:rsid w:val="00304D1C"/>
    <w:rsid w:val="00305AEE"/>
    <w:rsid w:val="00331AC4"/>
    <w:rsid w:val="00336D26"/>
    <w:rsid w:val="0035547E"/>
    <w:rsid w:val="003A2291"/>
    <w:rsid w:val="003B4EC7"/>
    <w:rsid w:val="003C7463"/>
    <w:rsid w:val="003E1B49"/>
    <w:rsid w:val="003E327A"/>
    <w:rsid w:val="0040564D"/>
    <w:rsid w:val="00412C1B"/>
    <w:rsid w:val="00417CDD"/>
    <w:rsid w:val="00465EEB"/>
    <w:rsid w:val="0047418D"/>
    <w:rsid w:val="0049563B"/>
    <w:rsid w:val="00497FC6"/>
    <w:rsid w:val="004A5B46"/>
    <w:rsid w:val="004A5E81"/>
    <w:rsid w:val="004F4E03"/>
    <w:rsid w:val="00536C92"/>
    <w:rsid w:val="00546CEA"/>
    <w:rsid w:val="0059745A"/>
    <w:rsid w:val="005A3110"/>
    <w:rsid w:val="005A5268"/>
    <w:rsid w:val="005D7FEA"/>
    <w:rsid w:val="00607271"/>
    <w:rsid w:val="0062550C"/>
    <w:rsid w:val="006A1248"/>
    <w:rsid w:val="006A1C24"/>
    <w:rsid w:val="006A5D12"/>
    <w:rsid w:val="00762D87"/>
    <w:rsid w:val="007B3227"/>
    <w:rsid w:val="007C7736"/>
    <w:rsid w:val="007D29F9"/>
    <w:rsid w:val="00844138"/>
    <w:rsid w:val="00862AA2"/>
    <w:rsid w:val="0089167F"/>
    <w:rsid w:val="00896835"/>
    <w:rsid w:val="008A1C0F"/>
    <w:rsid w:val="008A2003"/>
    <w:rsid w:val="008D28E0"/>
    <w:rsid w:val="00901EDC"/>
    <w:rsid w:val="009073CD"/>
    <w:rsid w:val="00912A66"/>
    <w:rsid w:val="009144A6"/>
    <w:rsid w:val="00937818"/>
    <w:rsid w:val="00984B2A"/>
    <w:rsid w:val="00986D71"/>
    <w:rsid w:val="00992A2E"/>
    <w:rsid w:val="009A1078"/>
    <w:rsid w:val="009B1404"/>
    <w:rsid w:val="009E6003"/>
    <w:rsid w:val="00A66E84"/>
    <w:rsid w:val="00A7567B"/>
    <w:rsid w:val="00AD356E"/>
    <w:rsid w:val="00B05885"/>
    <w:rsid w:val="00B412F1"/>
    <w:rsid w:val="00B46DB4"/>
    <w:rsid w:val="00B63FD8"/>
    <w:rsid w:val="00BA2FE9"/>
    <w:rsid w:val="00BB0D77"/>
    <w:rsid w:val="00BE0063"/>
    <w:rsid w:val="00C015D6"/>
    <w:rsid w:val="00C30930"/>
    <w:rsid w:val="00C309AC"/>
    <w:rsid w:val="00C354BC"/>
    <w:rsid w:val="00C45769"/>
    <w:rsid w:val="00C65F6F"/>
    <w:rsid w:val="00CA1CD3"/>
    <w:rsid w:val="00CA763A"/>
    <w:rsid w:val="00CB1660"/>
    <w:rsid w:val="00CC6A05"/>
    <w:rsid w:val="00D132FC"/>
    <w:rsid w:val="00D629D9"/>
    <w:rsid w:val="00D675F7"/>
    <w:rsid w:val="00D80A46"/>
    <w:rsid w:val="00DC4886"/>
    <w:rsid w:val="00DD61DD"/>
    <w:rsid w:val="00E2050F"/>
    <w:rsid w:val="00E24E00"/>
    <w:rsid w:val="00E34681"/>
    <w:rsid w:val="00E73BF9"/>
    <w:rsid w:val="00E83F99"/>
    <w:rsid w:val="00EA1DD2"/>
    <w:rsid w:val="00EB4AF7"/>
    <w:rsid w:val="00ED5733"/>
    <w:rsid w:val="00F20336"/>
    <w:rsid w:val="00F2139E"/>
    <w:rsid w:val="00F23774"/>
    <w:rsid w:val="00F62828"/>
    <w:rsid w:val="00F81FF0"/>
    <w:rsid w:val="00FE7046"/>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0F47C0"/>
  <w15:chartTrackingRefBased/>
  <w15:docId w15:val="{69736BFA-80E0-F947-9FE1-61210972B0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s-CO"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73BF9"/>
    <w:rPr>
      <w:rFonts w:ascii="Times New Roman" w:eastAsia="Times New Roman" w:hAnsi="Times New Roman" w:cs="Times New Roman"/>
      <w:kern w:val="0"/>
      <w:lang w:eastAsia="es-MX"/>
      <w14:ligatures w14:val="none"/>
    </w:rPr>
  </w:style>
  <w:style w:type="paragraph" w:styleId="Ttulo3">
    <w:name w:val="heading 3"/>
    <w:basedOn w:val="Normal"/>
    <w:next w:val="Normal"/>
    <w:link w:val="Ttulo3Car"/>
    <w:uiPriority w:val="9"/>
    <w:semiHidden/>
    <w:unhideWhenUsed/>
    <w:qFormat/>
    <w:rsid w:val="00901EDC"/>
    <w:pPr>
      <w:keepNext/>
      <w:keepLines/>
      <w:spacing w:before="40"/>
      <w:outlineLvl w:val="2"/>
    </w:pPr>
    <w:rPr>
      <w:rFonts w:asciiTheme="majorHAnsi" w:eastAsiaTheme="majorEastAsia" w:hAnsiTheme="majorHAnsi" w:cstheme="majorBidi"/>
      <w:color w:val="1F3763" w:themeColor="accent1" w:themeShade="7F"/>
    </w:rPr>
  </w:style>
  <w:style w:type="paragraph" w:styleId="Ttulo4">
    <w:name w:val="heading 4"/>
    <w:basedOn w:val="Normal"/>
    <w:next w:val="Normal"/>
    <w:link w:val="Ttulo4Car"/>
    <w:uiPriority w:val="9"/>
    <w:semiHidden/>
    <w:unhideWhenUsed/>
    <w:qFormat/>
    <w:rsid w:val="00901EDC"/>
    <w:pPr>
      <w:keepNext/>
      <w:keepLines/>
      <w:spacing w:before="40"/>
      <w:outlineLvl w:val="3"/>
    </w:pPr>
    <w:rPr>
      <w:rFonts w:asciiTheme="majorHAnsi" w:eastAsiaTheme="majorEastAsia" w:hAnsiTheme="majorHAnsi" w:cstheme="majorBidi"/>
      <w:i/>
      <w:iCs/>
      <w:color w:val="2F5496" w:themeColor="accent1" w:themeShade="BF"/>
    </w:rPr>
  </w:style>
  <w:style w:type="paragraph" w:styleId="Ttulo7">
    <w:name w:val="heading 7"/>
    <w:basedOn w:val="Normal"/>
    <w:next w:val="Normal"/>
    <w:link w:val="Ttulo7Car"/>
    <w:uiPriority w:val="9"/>
    <w:semiHidden/>
    <w:unhideWhenUsed/>
    <w:qFormat/>
    <w:rsid w:val="00901EDC"/>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eastAsia="en-US"/>
      <w14:ligatures w14:val="standardContextua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3Car">
    <w:name w:val="Título 3 Car"/>
    <w:basedOn w:val="Fuentedeprrafopredeter"/>
    <w:link w:val="Ttulo3"/>
    <w:uiPriority w:val="9"/>
    <w:semiHidden/>
    <w:rsid w:val="00901EDC"/>
    <w:rPr>
      <w:rFonts w:asciiTheme="majorHAnsi" w:eastAsiaTheme="majorEastAsia" w:hAnsiTheme="majorHAnsi" w:cstheme="majorBidi"/>
      <w:color w:val="1F3763" w:themeColor="accent1" w:themeShade="7F"/>
      <w:kern w:val="0"/>
      <w:lang w:eastAsia="es-MX"/>
      <w14:ligatures w14:val="none"/>
    </w:rPr>
  </w:style>
  <w:style w:type="character" w:customStyle="1" w:styleId="Ttulo4Car">
    <w:name w:val="Título 4 Car"/>
    <w:basedOn w:val="Fuentedeprrafopredeter"/>
    <w:link w:val="Ttulo4"/>
    <w:uiPriority w:val="9"/>
    <w:semiHidden/>
    <w:rsid w:val="00901EDC"/>
    <w:rPr>
      <w:rFonts w:asciiTheme="majorHAnsi" w:eastAsiaTheme="majorEastAsia" w:hAnsiTheme="majorHAnsi" w:cstheme="majorBidi"/>
      <w:i/>
      <w:iCs/>
      <w:color w:val="2F5496" w:themeColor="accent1" w:themeShade="BF"/>
      <w:kern w:val="0"/>
      <w:lang w:eastAsia="es-MX"/>
      <w14:ligatures w14:val="none"/>
    </w:rPr>
  </w:style>
  <w:style w:type="character" w:customStyle="1" w:styleId="Ttulo7Car">
    <w:name w:val="Título 7 Car"/>
    <w:basedOn w:val="Fuentedeprrafopredeter"/>
    <w:link w:val="Ttulo7"/>
    <w:uiPriority w:val="9"/>
    <w:semiHidden/>
    <w:rsid w:val="00901EDC"/>
    <w:rPr>
      <w:rFonts w:eastAsiaTheme="majorEastAsia" w:cstheme="majorBidi"/>
      <w:color w:val="595959" w:themeColor="text1" w:themeTint="A6"/>
      <w:sz w:val="22"/>
      <w:szCs w:val="22"/>
    </w:rPr>
  </w:style>
  <w:style w:type="paragraph" w:styleId="Encabezado">
    <w:name w:val="header"/>
    <w:basedOn w:val="Normal"/>
    <w:link w:val="EncabezadoCar"/>
    <w:uiPriority w:val="99"/>
    <w:rsid w:val="00901EDC"/>
    <w:pPr>
      <w:tabs>
        <w:tab w:val="center" w:pos="4419"/>
        <w:tab w:val="right" w:pos="8838"/>
      </w:tabs>
    </w:pPr>
  </w:style>
  <w:style w:type="character" w:customStyle="1" w:styleId="EncabezadoCar">
    <w:name w:val="Encabezado Car"/>
    <w:basedOn w:val="Fuentedeprrafopredeter"/>
    <w:link w:val="Encabezado"/>
    <w:uiPriority w:val="99"/>
    <w:rsid w:val="00901EDC"/>
    <w:rPr>
      <w:rFonts w:ascii="Times New Roman" w:eastAsia="Times New Roman" w:hAnsi="Times New Roman" w:cs="Times New Roman"/>
      <w:kern w:val="0"/>
      <w:lang w:eastAsia="es-MX"/>
      <w14:ligatures w14:val="none"/>
    </w:rPr>
  </w:style>
  <w:style w:type="paragraph" w:styleId="Piedepgina">
    <w:name w:val="footer"/>
    <w:basedOn w:val="Normal"/>
    <w:link w:val="PiedepginaCar"/>
    <w:uiPriority w:val="99"/>
    <w:rsid w:val="00901EDC"/>
    <w:pPr>
      <w:tabs>
        <w:tab w:val="center" w:pos="4419"/>
        <w:tab w:val="right" w:pos="8838"/>
      </w:tabs>
    </w:pPr>
  </w:style>
  <w:style w:type="character" w:customStyle="1" w:styleId="PiedepginaCar">
    <w:name w:val="Pie de página Car"/>
    <w:basedOn w:val="Fuentedeprrafopredeter"/>
    <w:link w:val="Piedepgina"/>
    <w:uiPriority w:val="99"/>
    <w:rsid w:val="00901EDC"/>
    <w:rPr>
      <w:rFonts w:ascii="Times New Roman" w:eastAsia="Times New Roman" w:hAnsi="Times New Roman" w:cs="Times New Roman"/>
      <w:kern w:val="0"/>
      <w:lang w:eastAsia="es-MX"/>
      <w14:ligatures w14:val="none"/>
    </w:rPr>
  </w:style>
  <w:style w:type="character" w:styleId="Hipervnculo">
    <w:name w:val="Hyperlink"/>
    <w:uiPriority w:val="99"/>
    <w:semiHidden/>
    <w:rsid w:val="00901EDC"/>
    <w:rPr>
      <w:rFonts w:cs="Times New Roman"/>
      <w:color w:val="0000FF"/>
      <w:u w:val="single"/>
    </w:rPr>
  </w:style>
  <w:style w:type="character" w:customStyle="1" w:styleId="apple-converted-space">
    <w:name w:val="apple-converted-space"/>
    <w:basedOn w:val="Fuentedeprrafopredeter"/>
    <w:rsid w:val="00901EDC"/>
  </w:style>
  <w:style w:type="paragraph" w:customStyle="1" w:styleId="Estilo1">
    <w:name w:val="Estilo1"/>
    <w:basedOn w:val="Prrafodelista"/>
    <w:qFormat/>
    <w:rsid w:val="00901EDC"/>
    <w:pPr>
      <w:spacing w:line="220" w:lineRule="atLeast"/>
      <w:ind w:left="0" w:right="51"/>
      <w:jc w:val="both"/>
    </w:pPr>
    <w:rPr>
      <w:rFonts w:eastAsia="Calibri"/>
      <w:lang w:val="es-ES_tradnl" w:eastAsia="es-ES_tradnl"/>
    </w:rPr>
  </w:style>
  <w:style w:type="paragraph" w:styleId="Prrafodelista">
    <w:name w:val="List Paragraph"/>
    <w:aliases w:val="Colorful List - Accent 11,Ha,List Paragraph1,lp1,Normal2,List Paragraph2,Lista vistosa - Énfasis 11,Footnote,List1,titulo 3,Párrafo de lista1,Bullets,Párrafo de lista2,Cuadrícula clara - Énfasis 31,Dot pt,F5 List Paragraph,No Spacing1,B"/>
    <w:basedOn w:val="Normal"/>
    <w:link w:val="PrrafodelistaCar"/>
    <w:uiPriority w:val="34"/>
    <w:qFormat/>
    <w:rsid w:val="00901EDC"/>
    <w:pPr>
      <w:ind w:left="720"/>
      <w:contextualSpacing/>
    </w:pPr>
  </w:style>
  <w:style w:type="paragraph" w:styleId="Textonotapie">
    <w:name w:val="footnote text"/>
    <w:aliases w:val="Footnote Text Char Char Char Char Char,Footnote Text Char Char Char Char,Footnote reference,FA Fu,Footnote Text Char Char Char,texto de nota al pie,Footnote Text Char,Ref. de nota al pie1,referencia nota al pie,Footnote Text Cha,Footnote "/>
    <w:basedOn w:val="Normal"/>
    <w:link w:val="TextonotapieCar"/>
    <w:uiPriority w:val="99"/>
    <w:unhideWhenUsed/>
    <w:qFormat/>
    <w:rsid w:val="00901EDC"/>
    <w:rPr>
      <w:sz w:val="20"/>
      <w:szCs w:val="20"/>
    </w:rPr>
  </w:style>
  <w:style w:type="character" w:customStyle="1" w:styleId="TextonotapieCar">
    <w:name w:val="Texto nota pie Car"/>
    <w:aliases w:val="Footnote Text Char Char Char Char Char Car1,Footnote Text Char Char Char Char Car1,Footnote reference Car1,FA Fu Car1,Footnote Text Char Char Char Car1,texto de nota al pie Car1,Footnote Text Char Car1,Ref. de nota al pie1 Car1"/>
    <w:basedOn w:val="Fuentedeprrafopredeter"/>
    <w:link w:val="Textonotapie"/>
    <w:uiPriority w:val="99"/>
    <w:qFormat/>
    <w:rsid w:val="00901EDC"/>
    <w:rPr>
      <w:rFonts w:ascii="Times New Roman" w:eastAsia="Times New Roman" w:hAnsi="Times New Roman" w:cs="Times New Roman"/>
      <w:kern w:val="0"/>
      <w:sz w:val="20"/>
      <w:szCs w:val="20"/>
      <w:lang w:eastAsia="es-MX"/>
      <w14:ligatures w14:val="none"/>
    </w:rPr>
  </w:style>
  <w:style w:type="character" w:styleId="Refdenotaalpie">
    <w:name w:val="footnote reference"/>
    <w:aliases w:val="Texto de nota al pie,Footnotes refss,Appel note de bas de page,Ref,de nota al pie,Ref1, de nota al pie,Footnote number,BVI fnr,f,Nota de pie,Texto nota al pie,Ref. de nota al pie 2,Nota a pie,Footnote Text Char1 Car Car Car Car,4_G,R"/>
    <w:basedOn w:val="Fuentedeprrafopredeter"/>
    <w:link w:val="Piedepagina"/>
    <w:uiPriority w:val="99"/>
    <w:unhideWhenUsed/>
    <w:qFormat/>
    <w:rsid w:val="00901EDC"/>
    <w:rPr>
      <w:vertAlign w:val="superscript"/>
    </w:rPr>
  </w:style>
  <w:style w:type="character" w:styleId="Hipervnculovisitado">
    <w:name w:val="FollowedHyperlink"/>
    <w:basedOn w:val="Fuentedeprrafopredeter"/>
    <w:uiPriority w:val="99"/>
    <w:semiHidden/>
    <w:unhideWhenUsed/>
    <w:rsid w:val="00901EDC"/>
    <w:rPr>
      <w:color w:val="954F72" w:themeColor="followedHyperlink"/>
      <w:u w:val="single"/>
    </w:rPr>
  </w:style>
  <w:style w:type="character" w:customStyle="1" w:styleId="PrrafodelistaCar">
    <w:name w:val="Párrafo de lista Car"/>
    <w:aliases w:val="Colorful List - Accent 11 Car,Ha Car,List Paragraph1 Car,lp1 Car,Normal2 Car,List Paragraph2 Car,Lista vistosa - Énfasis 11 Car,Footnote Car,List1 Car,titulo 3 Car,Párrafo de lista1 Car,Bullets Car,Párrafo de lista2 Car,Dot pt Car"/>
    <w:link w:val="Prrafodelista"/>
    <w:uiPriority w:val="34"/>
    <w:qFormat/>
    <w:locked/>
    <w:rsid w:val="00901EDC"/>
    <w:rPr>
      <w:rFonts w:ascii="Times New Roman" w:eastAsia="Times New Roman" w:hAnsi="Times New Roman" w:cs="Times New Roman"/>
      <w:kern w:val="0"/>
      <w:lang w:eastAsia="es-MX"/>
      <w14:ligatures w14:val="none"/>
    </w:rPr>
  </w:style>
  <w:style w:type="table" w:styleId="Tablaconcuadrcula">
    <w:name w:val="Table Grid"/>
    <w:basedOn w:val="Tablanormal"/>
    <w:uiPriority w:val="39"/>
    <w:rsid w:val="00901E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901EDC"/>
    <w:pPr>
      <w:spacing w:before="100" w:beforeAutospacing="1" w:after="100" w:afterAutospacing="1"/>
    </w:pPr>
  </w:style>
  <w:style w:type="paragraph" w:styleId="Textoindependiente">
    <w:name w:val="Body Text"/>
    <w:basedOn w:val="Normal"/>
    <w:link w:val="TextoindependienteCar"/>
    <w:uiPriority w:val="99"/>
    <w:unhideWhenUsed/>
    <w:rsid w:val="00901EDC"/>
    <w:pPr>
      <w:spacing w:before="100" w:beforeAutospacing="1" w:after="100" w:afterAutospacing="1"/>
    </w:pPr>
  </w:style>
  <w:style w:type="character" w:customStyle="1" w:styleId="TextoindependienteCar">
    <w:name w:val="Texto independiente Car"/>
    <w:basedOn w:val="Fuentedeprrafopredeter"/>
    <w:link w:val="Textoindependiente"/>
    <w:uiPriority w:val="99"/>
    <w:rsid w:val="00901EDC"/>
    <w:rPr>
      <w:rFonts w:ascii="Times New Roman" w:eastAsia="Times New Roman" w:hAnsi="Times New Roman" w:cs="Times New Roman"/>
      <w:kern w:val="0"/>
      <w:lang w:eastAsia="es-MX"/>
      <w14:ligatures w14:val="none"/>
    </w:rPr>
  </w:style>
  <w:style w:type="paragraph" w:customStyle="1" w:styleId="bodytext21">
    <w:name w:val="bodytext21"/>
    <w:basedOn w:val="Normal"/>
    <w:rsid w:val="00901EDC"/>
    <w:pPr>
      <w:spacing w:before="100" w:beforeAutospacing="1" w:after="100" w:afterAutospacing="1"/>
    </w:pPr>
  </w:style>
  <w:style w:type="paragraph" w:customStyle="1" w:styleId="citascorte">
    <w:name w:val="citascorte"/>
    <w:basedOn w:val="Normal"/>
    <w:rsid w:val="00901EDC"/>
    <w:pPr>
      <w:spacing w:before="100" w:beforeAutospacing="1" w:after="100" w:afterAutospacing="1"/>
    </w:pPr>
  </w:style>
  <w:style w:type="paragraph" w:styleId="Sinespaciado">
    <w:name w:val="No Spacing"/>
    <w:basedOn w:val="Normal"/>
    <w:uiPriority w:val="1"/>
    <w:qFormat/>
    <w:rsid w:val="00901EDC"/>
    <w:pPr>
      <w:spacing w:before="100" w:beforeAutospacing="1" w:after="100" w:afterAutospacing="1"/>
    </w:pPr>
  </w:style>
  <w:style w:type="character" w:customStyle="1" w:styleId="TextonotapieCar1">
    <w:name w:val="Texto nota pie Car1"/>
    <w:aliases w:val="Footnote Text Char Char Char Char Char Car,Footnote Text Char Char Char Char Car,Footnote reference Car,FA Fu Car,Footnote Text Char Char Char Car,texto de nota al pie Car,Footnote Text Char Car,Ref. de nota al pie1 Car,Footnote  Car"/>
    <w:uiPriority w:val="99"/>
    <w:qFormat/>
    <w:locked/>
    <w:rsid w:val="00901EDC"/>
    <w:rPr>
      <w:rFonts w:ascii="Bookman Old Style" w:eastAsia="Times New Roman" w:hAnsi="Bookman Old Style" w:cs="Times New Roman"/>
      <w:sz w:val="20"/>
      <w:szCs w:val="20"/>
      <w:lang w:val="es-ES_tradnl" w:eastAsia="es-ES"/>
    </w:rPr>
  </w:style>
  <w:style w:type="paragraph" w:customStyle="1" w:styleId="Piedepagina">
    <w:name w:val="Pie de pagina"/>
    <w:aliases w:val="Ref. de nota al pie2"/>
    <w:basedOn w:val="Normal"/>
    <w:link w:val="Refdenotaalpie"/>
    <w:uiPriority w:val="99"/>
    <w:rsid w:val="00901EDC"/>
    <w:pPr>
      <w:spacing w:after="160" w:line="240" w:lineRule="exact"/>
    </w:pPr>
    <w:rPr>
      <w:rFonts w:asciiTheme="minorHAnsi" w:eastAsiaTheme="minorHAnsi" w:hAnsiTheme="minorHAnsi" w:cstheme="minorBidi"/>
      <w:kern w:val="2"/>
      <w:vertAlign w:val="superscript"/>
      <w:lang w:eastAsia="en-US"/>
      <w14:ligatures w14:val="standardContextual"/>
    </w:rPr>
  </w:style>
  <w:style w:type="paragraph" w:customStyle="1" w:styleId="cuerpotexto">
    <w:name w:val="cuerpotexto"/>
    <w:basedOn w:val="Normal"/>
    <w:rsid w:val="00901EDC"/>
    <w:pPr>
      <w:spacing w:before="100" w:beforeAutospacing="1" w:after="100" w:afterAutospacing="1"/>
    </w:pPr>
  </w:style>
  <w:style w:type="paragraph" w:styleId="Textoindependiente3">
    <w:name w:val="Body Text 3"/>
    <w:basedOn w:val="Normal"/>
    <w:link w:val="Textoindependiente3Car"/>
    <w:uiPriority w:val="99"/>
    <w:semiHidden/>
    <w:unhideWhenUsed/>
    <w:rsid w:val="00901EDC"/>
    <w:pPr>
      <w:spacing w:after="120"/>
    </w:pPr>
    <w:rPr>
      <w:sz w:val="16"/>
      <w:szCs w:val="16"/>
    </w:rPr>
  </w:style>
  <w:style w:type="character" w:customStyle="1" w:styleId="Textoindependiente3Car">
    <w:name w:val="Texto independiente 3 Car"/>
    <w:basedOn w:val="Fuentedeprrafopredeter"/>
    <w:link w:val="Textoindependiente3"/>
    <w:uiPriority w:val="99"/>
    <w:semiHidden/>
    <w:rsid w:val="00901EDC"/>
    <w:rPr>
      <w:rFonts w:ascii="Times New Roman" w:eastAsia="Times New Roman" w:hAnsi="Times New Roman" w:cs="Times New Roman"/>
      <w:kern w:val="0"/>
      <w:sz w:val="16"/>
      <w:szCs w:val="16"/>
      <w:lang w:eastAsia="es-MX"/>
      <w14:ligatures w14:val="none"/>
    </w:rPr>
  </w:style>
  <w:style w:type="paragraph" w:customStyle="1" w:styleId="sangradetindependiente">
    <w:name w:val="sangradetindependiente"/>
    <w:basedOn w:val="Normal"/>
    <w:rsid w:val="00901EDC"/>
    <w:pPr>
      <w:spacing w:before="100" w:beforeAutospacing="1" w:after="100" w:afterAutospacing="1"/>
    </w:pPr>
  </w:style>
  <w:style w:type="character" w:styleId="Refdecomentario">
    <w:name w:val="annotation reference"/>
    <w:basedOn w:val="Fuentedeprrafopredeter"/>
    <w:uiPriority w:val="99"/>
    <w:semiHidden/>
    <w:unhideWhenUsed/>
    <w:rsid w:val="00901EDC"/>
    <w:rPr>
      <w:sz w:val="16"/>
      <w:szCs w:val="16"/>
    </w:rPr>
  </w:style>
  <w:style w:type="paragraph" w:styleId="Textocomentario">
    <w:name w:val="annotation text"/>
    <w:basedOn w:val="Normal"/>
    <w:link w:val="TextocomentarioCar"/>
    <w:uiPriority w:val="99"/>
    <w:unhideWhenUsed/>
    <w:rsid w:val="00901EDC"/>
    <w:rPr>
      <w:sz w:val="20"/>
      <w:szCs w:val="20"/>
    </w:rPr>
  </w:style>
  <w:style w:type="character" w:customStyle="1" w:styleId="TextocomentarioCar">
    <w:name w:val="Texto comentario Car"/>
    <w:basedOn w:val="Fuentedeprrafopredeter"/>
    <w:link w:val="Textocomentario"/>
    <w:uiPriority w:val="99"/>
    <w:rsid w:val="00901EDC"/>
    <w:rPr>
      <w:rFonts w:ascii="Times New Roman" w:eastAsia="Times New Roman" w:hAnsi="Times New Roman" w:cs="Times New Roman"/>
      <w:kern w:val="0"/>
      <w:sz w:val="20"/>
      <w:szCs w:val="20"/>
      <w:lang w:eastAsia="es-MX"/>
      <w14:ligatures w14:val="none"/>
    </w:rPr>
  </w:style>
  <w:style w:type="paragraph" w:styleId="Asuntodelcomentario">
    <w:name w:val="annotation subject"/>
    <w:basedOn w:val="Textocomentario"/>
    <w:next w:val="Textocomentario"/>
    <w:link w:val="AsuntodelcomentarioCar"/>
    <w:uiPriority w:val="99"/>
    <w:semiHidden/>
    <w:unhideWhenUsed/>
    <w:rsid w:val="00901EDC"/>
    <w:rPr>
      <w:b/>
      <w:bCs/>
    </w:rPr>
  </w:style>
  <w:style w:type="character" w:customStyle="1" w:styleId="AsuntodelcomentarioCar">
    <w:name w:val="Asunto del comentario Car"/>
    <w:basedOn w:val="TextocomentarioCar"/>
    <w:link w:val="Asuntodelcomentario"/>
    <w:uiPriority w:val="99"/>
    <w:semiHidden/>
    <w:rsid w:val="00901EDC"/>
    <w:rPr>
      <w:rFonts w:ascii="Times New Roman" w:eastAsia="Times New Roman" w:hAnsi="Times New Roman" w:cs="Times New Roman"/>
      <w:b/>
      <w:bCs/>
      <w:kern w:val="0"/>
      <w:sz w:val="20"/>
      <w:szCs w:val="20"/>
      <w:lang w:eastAsia="es-MX"/>
      <w14:ligatures w14:val="none"/>
    </w:rPr>
  </w:style>
  <w:style w:type="table" w:styleId="Tablanormal1">
    <w:name w:val="Plain Table 1"/>
    <w:basedOn w:val="Tablanormal"/>
    <w:uiPriority w:val="41"/>
    <w:rsid w:val="00901EDC"/>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4GChar">
    <w:name w:val="4_G Char"/>
    <w:aliases w:val="Appel note de bas de page Char,Appel note de bas de page Char Char Char Char Char Char Char Char Char Char Char Char Char Char Char Char Char Char Char,Appel note de bas de page Char Char Char Char"/>
    <w:basedOn w:val="Normal"/>
    <w:uiPriority w:val="99"/>
    <w:rsid w:val="00901EDC"/>
    <w:pPr>
      <w:jc w:val="both"/>
    </w:pPr>
    <w:rPr>
      <w:rFonts w:asciiTheme="minorHAnsi" w:eastAsiaTheme="minorHAnsi" w:hAnsiTheme="minorHAnsi" w:cstheme="minorBidi"/>
      <w:vertAlign w:val="superscript"/>
      <w:lang w:eastAsia="en-US"/>
    </w:rPr>
  </w:style>
  <w:style w:type="paragraph" w:styleId="Revisin">
    <w:name w:val="Revision"/>
    <w:hidden/>
    <w:uiPriority w:val="99"/>
    <w:semiHidden/>
    <w:rsid w:val="00901EDC"/>
    <w:rPr>
      <w:rFonts w:ascii="Times New Roman" w:eastAsia="Times New Roman" w:hAnsi="Times New Roman" w:cs="Times New Roman"/>
      <w:kern w:val="0"/>
      <w:lang w:eastAsia="es-MX"/>
      <w14:ligatures w14:val="none"/>
    </w:rPr>
  </w:style>
  <w:style w:type="character" w:customStyle="1" w:styleId="Cuadrculaclara-nfasis3Car">
    <w:name w:val="Cuadrícula clara - Énfasis 3 Car"/>
    <w:uiPriority w:val="34"/>
    <w:locked/>
    <w:rsid w:val="00901EDC"/>
    <w:rPr>
      <w:rFonts w:ascii="Times New Roman" w:eastAsia="Times New Roman" w:hAnsi="Times New Roman"/>
      <w:sz w:val="24"/>
      <w:szCs w:val="24"/>
    </w:rPr>
  </w:style>
  <w:style w:type="character" w:customStyle="1" w:styleId="ref">
    <w:name w:val="ref"/>
    <w:basedOn w:val="Fuentedeprrafopredeter"/>
    <w:rsid w:val="00901EDC"/>
  </w:style>
  <w:style w:type="character" w:customStyle="1" w:styleId="refdenotaalpie1">
    <w:name w:val="refdenotaalpie1"/>
    <w:basedOn w:val="Fuentedeprrafopredeter"/>
    <w:rsid w:val="00901EDC"/>
  </w:style>
  <w:style w:type="character" w:styleId="Textodelmarcadordeposicin">
    <w:name w:val="Placeholder Text"/>
    <w:basedOn w:val="Fuentedeprrafopredeter"/>
    <w:uiPriority w:val="99"/>
    <w:semiHidden/>
    <w:rsid w:val="00901EDC"/>
    <w:rPr>
      <w:color w:val="666666"/>
    </w:rPr>
  </w:style>
  <w:style w:type="table" w:styleId="Tablaconcuadrculaclara">
    <w:name w:val="Grid Table Light"/>
    <w:basedOn w:val="Tablanormal"/>
    <w:uiPriority w:val="40"/>
    <w:rsid w:val="00901EDC"/>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Sangra2detindependiente">
    <w:name w:val="Body Text Indent 2"/>
    <w:basedOn w:val="Normal"/>
    <w:link w:val="Sangra2detindependienteCar"/>
    <w:uiPriority w:val="99"/>
    <w:semiHidden/>
    <w:unhideWhenUsed/>
    <w:rsid w:val="00901EDC"/>
    <w:pPr>
      <w:spacing w:after="120" w:line="480" w:lineRule="auto"/>
      <w:ind w:left="283"/>
    </w:pPr>
  </w:style>
  <w:style w:type="character" w:customStyle="1" w:styleId="Sangra2detindependienteCar">
    <w:name w:val="Sangría 2 de t. independiente Car"/>
    <w:basedOn w:val="Fuentedeprrafopredeter"/>
    <w:link w:val="Sangra2detindependiente"/>
    <w:uiPriority w:val="99"/>
    <w:semiHidden/>
    <w:rsid w:val="00901EDC"/>
    <w:rPr>
      <w:rFonts w:ascii="Times New Roman" w:eastAsia="Times New Roman" w:hAnsi="Times New Roman" w:cs="Times New Roman"/>
      <w:kern w:val="0"/>
      <w:lang w:eastAsia="es-MX"/>
      <w14:ligatures w14:val="none"/>
    </w:rPr>
  </w:style>
  <w:style w:type="numbering" w:customStyle="1" w:styleId="Listaactual1">
    <w:name w:val="Lista actual1"/>
    <w:uiPriority w:val="99"/>
    <w:rsid w:val="00901EDC"/>
    <w:pPr>
      <w:numPr>
        <w:numId w:val="15"/>
      </w:numPr>
    </w:pPr>
  </w:style>
  <w:style w:type="character" w:customStyle="1" w:styleId="ttulo1car">
    <w:name w:val="ttulo1car"/>
    <w:basedOn w:val="Fuentedeprrafopredeter"/>
    <w:rsid w:val="00901EDC"/>
  </w:style>
  <w:style w:type="table" w:customStyle="1" w:styleId="TableNormal1">
    <w:name w:val="Table Normal1"/>
    <w:uiPriority w:val="2"/>
    <w:semiHidden/>
    <w:unhideWhenUsed/>
    <w:qFormat/>
    <w:rsid w:val="00901EDC"/>
    <w:pPr>
      <w:widowControl w:val="0"/>
      <w:autoSpaceDE w:val="0"/>
      <w:autoSpaceDN w:val="0"/>
    </w:pPr>
    <w:rPr>
      <w:kern w:val="0"/>
      <w:sz w:val="22"/>
      <w:szCs w:val="22"/>
      <w:lang w:val="en-US"/>
      <w14:ligatures w14:val="none"/>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901EDC"/>
    <w:pPr>
      <w:widowControl w:val="0"/>
      <w:autoSpaceDE w:val="0"/>
      <w:autoSpaceDN w:val="0"/>
      <w:spacing w:before="44"/>
      <w:ind w:left="561" w:right="549"/>
      <w:jc w:val="center"/>
    </w:pPr>
    <w:rPr>
      <w:rFonts w:ascii="Arial MT" w:eastAsia="Arial MT" w:hAnsi="Arial MT" w:cs="Arial MT"/>
      <w:sz w:val="22"/>
      <w:szCs w:val="22"/>
      <w:lang w:val="es-ES" w:eastAsia="en-US"/>
    </w:rPr>
  </w:style>
  <w:style w:type="paragraph" w:customStyle="1" w:styleId="Cuadrculamedia1-nfasis21">
    <w:name w:val="Cuadrícula media 1 - Énfasis 21"/>
    <w:basedOn w:val="Normal"/>
    <w:link w:val="Cuadrculamedia1-nfasis2Car"/>
    <w:uiPriority w:val="34"/>
    <w:qFormat/>
    <w:rsid w:val="00901EDC"/>
    <w:pPr>
      <w:spacing w:after="160" w:line="259" w:lineRule="auto"/>
      <w:ind w:left="720"/>
      <w:contextualSpacing/>
    </w:pPr>
    <w:rPr>
      <w:rFonts w:ascii="Calibri" w:eastAsia="Calibri" w:hAnsi="Calibri"/>
      <w:sz w:val="22"/>
      <w:szCs w:val="22"/>
      <w:lang w:eastAsia="en-US"/>
    </w:rPr>
  </w:style>
  <w:style w:type="character" w:customStyle="1" w:styleId="Cuadrculamedia1-nfasis2Car">
    <w:name w:val="Cuadrícula media 1 - Énfasis 2 Car"/>
    <w:link w:val="Cuadrculamedia1-nfasis21"/>
    <w:uiPriority w:val="34"/>
    <w:locked/>
    <w:rsid w:val="00901EDC"/>
    <w:rPr>
      <w:rFonts w:ascii="Calibri" w:eastAsia="Calibri" w:hAnsi="Calibri" w:cs="Times New Roman"/>
      <w:kern w:val="0"/>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51163005">
      <w:bodyDiv w:val="1"/>
      <w:marLeft w:val="0"/>
      <w:marRight w:val="0"/>
      <w:marTop w:val="0"/>
      <w:marBottom w:val="0"/>
      <w:divBdr>
        <w:top w:val="none" w:sz="0" w:space="0" w:color="auto"/>
        <w:left w:val="none" w:sz="0" w:space="0" w:color="auto"/>
        <w:bottom w:val="none" w:sz="0" w:space="0" w:color="auto"/>
        <w:right w:val="none" w:sz="0" w:space="0" w:color="auto"/>
      </w:divBdr>
      <w:divsChild>
        <w:div w:id="1077434140">
          <w:marLeft w:val="0"/>
          <w:marRight w:val="0"/>
          <w:marTop w:val="0"/>
          <w:marBottom w:val="0"/>
          <w:divBdr>
            <w:top w:val="none" w:sz="0" w:space="0" w:color="auto"/>
            <w:left w:val="none" w:sz="0" w:space="0" w:color="auto"/>
            <w:bottom w:val="none" w:sz="0" w:space="0" w:color="auto"/>
            <w:right w:val="none" w:sz="0" w:space="0" w:color="auto"/>
          </w:divBdr>
          <w:divsChild>
            <w:div w:id="1375890171">
              <w:marLeft w:val="0"/>
              <w:marRight w:val="0"/>
              <w:marTop w:val="0"/>
              <w:marBottom w:val="0"/>
              <w:divBdr>
                <w:top w:val="none" w:sz="0" w:space="0" w:color="auto"/>
                <w:left w:val="none" w:sz="0" w:space="0" w:color="auto"/>
                <w:bottom w:val="none" w:sz="0" w:space="0" w:color="auto"/>
                <w:right w:val="none" w:sz="0" w:space="0" w:color="auto"/>
              </w:divBdr>
              <w:divsChild>
                <w:div w:id="896093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496543">
          <w:marLeft w:val="0"/>
          <w:marRight w:val="0"/>
          <w:marTop w:val="0"/>
          <w:marBottom w:val="0"/>
          <w:divBdr>
            <w:top w:val="none" w:sz="0" w:space="0" w:color="auto"/>
            <w:left w:val="none" w:sz="0" w:space="0" w:color="auto"/>
            <w:bottom w:val="none" w:sz="0" w:space="0" w:color="auto"/>
            <w:right w:val="none" w:sz="0" w:space="0" w:color="auto"/>
          </w:divBdr>
          <w:divsChild>
            <w:div w:id="1326205659">
              <w:marLeft w:val="0"/>
              <w:marRight w:val="0"/>
              <w:marTop w:val="0"/>
              <w:marBottom w:val="0"/>
              <w:divBdr>
                <w:top w:val="none" w:sz="0" w:space="0" w:color="auto"/>
                <w:left w:val="none" w:sz="0" w:space="0" w:color="auto"/>
                <w:bottom w:val="none" w:sz="0" w:space="0" w:color="auto"/>
                <w:right w:val="none" w:sz="0" w:space="0" w:color="auto"/>
              </w:divBdr>
              <w:divsChild>
                <w:div w:id="1552959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6884476">
      <w:bodyDiv w:val="1"/>
      <w:marLeft w:val="0"/>
      <w:marRight w:val="0"/>
      <w:marTop w:val="0"/>
      <w:marBottom w:val="0"/>
      <w:divBdr>
        <w:top w:val="none" w:sz="0" w:space="0" w:color="auto"/>
        <w:left w:val="none" w:sz="0" w:space="0" w:color="auto"/>
        <w:bottom w:val="none" w:sz="0" w:space="0" w:color="auto"/>
        <w:right w:val="none" w:sz="0" w:space="0" w:color="auto"/>
      </w:divBdr>
      <w:divsChild>
        <w:div w:id="138806150">
          <w:marLeft w:val="0"/>
          <w:marRight w:val="0"/>
          <w:marTop w:val="0"/>
          <w:marBottom w:val="0"/>
          <w:divBdr>
            <w:top w:val="none" w:sz="0" w:space="0" w:color="auto"/>
            <w:left w:val="none" w:sz="0" w:space="0" w:color="auto"/>
            <w:bottom w:val="none" w:sz="0" w:space="0" w:color="auto"/>
            <w:right w:val="none" w:sz="0" w:space="0" w:color="auto"/>
          </w:divBdr>
          <w:divsChild>
            <w:div w:id="1674602387">
              <w:marLeft w:val="0"/>
              <w:marRight w:val="0"/>
              <w:marTop w:val="0"/>
              <w:marBottom w:val="0"/>
              <w:divBdr>
                <w:top w:val="none" w:sz="0" w:space="0" w:color="auto"/>
                <w:left w:val="none" w:sz="0" w:space="0" w:color="auto"/>
                <w:bottom w:val="none" w:sz="0" w:space="0" w:color="auto"/>
                <w:right w:val="none" w:sz="0" w:space="0" w:color="auto"/>
              </w:divBdr>
              <w:divsChild>
                <w:div w:id="1384450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0918624">
      <w:bodyDiv w:val="1"/>
      <w:marLeft w:val="0"/>
      <w:marRight w:val="0"/>
      <w:marTop w:val="0"/>
      <w:marBottom w:val="0"/>
      <w:divBdr>
        <w:top w:val="none" w:sz="0" w:space="0" w:color="auto"/>
        <w:left w:val="none" w:sz="0" w:space="0" w:color="auto"/>
        <w:bottom w:val="none" w:sz="0" w:space="0" w:color="auto"/>
        <w:right w:val="none" w:sz="0" w:space="0" w:color="auto"/>
      </w:divBdr>
    </w:div>
    <w:div w:id="13413549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A0B098A-FA7C-486F-BB94-8A13941217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26</Pages>
  <Words>10392</Words>
  <Characters>57161</Characters>
  <Application>Microsoft Office Word</Application>
  <DocSecurity>0</DocSecurity>
  <Lines>476</Lines>
  <Paragraphs>134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67419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OSPINA MEJIA</dc:creator>
  <cp:keywords/>
  <dc:description/>
  <cp:lastModifiedBy>Paulino Jose Solano Camargo</cp:lastModifiedBy>
  <cp:revision>2</cp:revision>
  <dcterms:created xsi:type="dcterms:W3CDTF">2024-10-09T19:21:00Z</dcterms:created>
  <dcterms:modified xsi:type="dcterms:W3CDTF">2024-10-09T19:21:00Z</dcterms:modified>
</cp:coreProperties>
</file>