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BE7BF" w14:textId="46834C5C" w:rsidR="0090417C" w:rsidRPr="00B41EAD" w:rsidRDefault="0090417C" w:rsidP="00CF3BA3">
      <w:pPr>
        <w:pStyle w:val="Encabezado"/>
        <w:jc w:val="center"/>
        <w:rPr>
          <w:b/>
          <w:bCs/>
          <w:color w:val="000000" w:themeColor="text1"/>
          <w:sz w:val="28"/>
          <w:szCs w:val="28"/>
          <w:lang w:val="es-ES"/>
        </w:rPr>
      </w:pPr>
      <w:r w:rsidRPr="00B41EAD">
        <w:rPr>
          <w:b/>
          <w:bCs/>
          <w:color w:val="000000" w:themeColor="text1"/>
          <w:sz w:val="28"/>
          <w:szCs w:val="28"/>
          <w:lang w:val="es-ES"/>
        </w:rPr>
        <w:t>REPÚBLICA DE COLOMBIA</w:t>
      </w:r>
    </w:p>
    <w:p w14:paraId="1A8655C4" w14:textId="4400635D" w:rsidR="0090417C" w:rsidRPr="00B41EAD" w:rsidRDefault="00CF3BA3" w:rsidP="00CF3BA3">
      <w:pPr>
        <w:pStyle w:val="Encabezado"/>
        <w:tabs>
          <w:tab w:val="clear" w:pos="4419"/>
        </w:tabs>
        <w:jc w:val="center"/>
        <w:rPr>
          <w:b/>
          <w:bCs/>
          <w:color w:val="000000" w:themeColor="text1"/>
          <w:sz w:val="28"/>
          <w:szCs w:val="28"/>
          <w:lang w:val="es-ES"/>
        </w:rPr>
      </w:pPr>
      <w:r>
        <w:rPr>
          <w:b/>
          <w:bCs/>
          <w:noProof/>
          <w:color w:val="000000" w:themeColor="text1"/>
          <w:sz w:val="28"/>
          <w:szCs w:val="28"/>
          <w:lang w:val="es-ES"/>
        </w:rPr>
        <w:drawing>
          <wp:inline distT="0" distB="0" distL="0" distR="0" wp14:anchorId="3131AA40" wp14:editId="1AAEEE80">
            <wp:extent cx="792480" cy="792480"/>
            <wp:effectExtent l="0" t="0" r="7620" b="7620"/>
            <wp:docPr id="168238786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inline>
        </w:drawing>
      </w:r>
    </w:p>
    <w:p w14:paraId="6F5D19D5" w14:textId="38440754" w:rsidR="0090417C" w:rsidRPr="00B41EAD" w:rsidRDefault="0090417C" w:rsidP="00CF3BA3">
      <w:pPr>
        <w:pStyle w:val="Encabezado"/>
        <w:jc w:val="center"/>
        <w:rPr>
          <w:b/>
          <w:bCs/>
          <w:color w:val="000000" w:themeColor="text1"/>
          <w:sz w:val="28"/>
          <w:szCs w:val="28"/>
          <w:lang w:val="es-ES"/>
        </w:rPr>
      </w:pPr>
      <w:r w:rsidRPr="00B41EAD">
        <w:rPr>
          <w:b/>
          <w:bCs/>
          <w:color w:val="000000" w:themeColor="text1"/>
          <w:sz w:val="28"/>
          <w:szCs w:val="28"/>
          <w:lang w:val="es-ES"/>
        </w:rPr>
        <w:t>CORTE CONSTITUCIONAL</w:t>
      </w:r>
    </w:p>
    <w:p w14:paraId="499EC54C" w14:textId="6A94B761" w:rsidR="00FC28C0" w:rsidRPr="00B41EAD" w:rsidRDefault="00FC28C0" w:rsidP="005C4D23">
      <w:pPr>
        <w:contextualSpacing/>
        <w:jc w:val="center"/>
        <w:rPr>
          <w:color w:val="000000" w:themeColor="text1"/>
          <w:sz w:val="28"/>
          <w:szCs w:val="28"/>
          <w:lang w:val="es-ES"/>
        </w:rPr>
      </w:pPr>
    </w:p>
    <w:p w14:paraId="664BE891" w14:textId="3B7FB43F" w:rsidR="001A1855" w:rsidRPr="00B41EAD" w:rsidRDefault="002E2624" w:rsidP="105B277E">
      <w:pPr>
        <w:contextualSpacing/>
        <w:jc w:val="center"/>
        <w:rPr>
          <w:b/>
          <w:bCs/>
          <w:color w:val="000000" w:themeColor="text1"/>
          <w:sz w:val="28"/>
          <w:szCs w:val="28"/>
          <w:lang w:val="es-ES"/>
        </w:rPr>
      </w:pPr>
      <w:r w:rsidRPr="00B41EAD">
        <w:rPr>
          <w:b/>
          <w:bCs/>
          <w:color w:val="000000" w:themeColor="text1"/>
          <w:sz w:val="28"/>
          <w:szCs w:val="28"/>
          <w:lang w:val="es-ES"/>
        </w:rPr>
        <w:t xml:space="preserve">Sentencia </w:t>
      </w:r>
      <w:r w:rsidR="000F3E5C" w:rsidRPr="00B41EAD">
        <w:rPr>
          <w:b/>
          <w:bCs/>
          <w:color w:val="000000" w:themeColor="text1"/>
          <w:sz w:val="28"/>
          <w:szCs w:val="28"/>
          <w:lang w:val="es-ES"/>
        </w:rPr>
        <w:t>SU-</w:t>
      </w:r>
      <w:r w:rsidR="008A74FD" w:rsidRPr="00B41EAD">
        <w:rPr>
          <w:b/>
          <w:bCs/>
          <w:color w:val="000000" w:themeColor="text1"/>
          <w:sz w:val="28"/>
          <w:szCs w:val="28"/>
          <w:lang w:val="es-ES"/>
        </w:rPr>
        <w:t>439</w:t>
      </w:r>
      <w:r w:rsidR="000F3E5C" w:rsidRPr="00B41EAD">
        <w:rPr>
          <w:b/>
          <w:bCs/>
          <w:color w:val="000000" w:themeColor="text1"/>
          <w:sz w:val="28"/>
          <w:szCs w:val="28"/>
          <w:lang w:val="es-ES"/>
        </w:rPr>
        <w:t xml:space="preserve"> </w:t>
      </w:r>
      <w:r w:rsidRPr="00B41EAD">
        <w:rPr>
          <w:b/>
          <w:bCs/>
          <w:color w:val="000000" w:themeColor="text1"/>
          <w:sz w:val="28"/>
          <w:szCs w:val="28"/>
          <w:lang w:val="es-ES"/>
        </w:rPr>
        <w:t>de 2024</w:t>
      </w:r>
    </w:p>
    <w:p w14:paraId="066C9365" w14:textId="02C2592D" w:rsidR="105B277E" w:rsidRPr="00B41EAD" w:rsidRDefault="105B277E" w:rsidP="105B277E">
      <w:pPr>
        <w:contextualSpacing/>
        <w:jc w:val="center"/>
        <w:rPr>
          <w:color w:val="000000" w:themeColor="text1"/>
          <w:sz w:val="28"/>
          <w:szCs w:val="28"/>
          <w:lang w:val="es-ES"/>
        </w:rPr>
      </w:pPr>
    </w:p>
    <w:p w14:paraId="1C4EF160" w14:textId="5E4BDD6A" w:rsidR="005939C4" w:rsidRPr="00B41EAD" w:rsidRDefault="005939C4" w:rsidP="00B41EAD">
      <w:pPr>
        <w:ind w:left="4820"/>
        <w:jc w:val="both"/>
        <w:rPr>
          <w:color w:val="000000" w:themeColor="text1"/>
          <w:sz w:val="28"/>
          <w:szCs w:val="28"/>
          <w:lang w:val="es-ES"/>
        </w:rPr>
      </w:pPr>
      <w:r w:rsidRPr="00B41EAD">
        <w:rPr>
          <w:b/>
          <w:bCs/>
          <w:color w:val="000000" w:themeColor="text1"/>
          <w:sz w:val="28"/>
          <w:szCs w:val="28"/>
          <w:lang w:val="es-ES"/>
        </w:rPr>
        <w:t>Referencia:</w:t>
      </w:r>
      <w:r w:rsidRPr="00B41EAD">
        <w:rPr>
          <w:color w:val="000000" w:themeColor="text1"/>
          <w:sz w:val="28"/>
          <w:szCs w:val="28"/>
          <w:lang w:val="es-ES"/>
        </w:rPr>
        <w:t xml:space="preserve"> expedientes acumulados T</w:t>
      </w:r>
      <w:r w:rsidR="2C612D5C" w:rsidRPr="00B41EAD">
        <w:rPr>
          <w:color w:val="000000" w:themeColor="text1"/>
          <w:sz w:val="28"/>
          <w:szCs w:val="28"/>
          <w:lang w:val="es-ES"/>
        </w:rPr>
        <w:t>-</w:t>
      </w:r>
      <w:r w:rsidRPr="00B41EAD">
        <w:rPr>
          <w:color w:val="000000" w:themeColor="text1"/>
          <w:sz w:val="28"/>
          <w:szCs w:val="28"/>
          <w:lang w:val="es-ES"/>
        </w:rPr>
        <w:t>10.001.552 y T-10.007.411</w:t>
      </w:r>
      <w:r w:rsidR="1F3A8758" w:rsidRPr="00B41EAD">
        <w:rPr>
          <w:color w:val="000000" w:themeColor="text1"/>
          <w:sz w:val="28"/>
          <w:szCs w:val="28"/>
          <w:lang w:val="es-ES"/>
        </w:rPr>
        <w:t>.</w:t>
      </w:r>
    </w:p>
    <w:p w14:paraId="1B8EBF3A" w14:textId="77777777" w:rsidR="005939C4" w:rsidRPr="00B41EAD" w:rsidRDefault="005939C4" w:rsidP="00B41EAD">
      <w:pPr>
        <w:ind w:left="4820"/>
        <w:jc w:val="both"/>
        <w:rPr>
          <w:color w:val="000000" w:themeColor="text1"/>
          <w:sz w:val="28"/>
          <w:szCs w:val="28"/>
          <w:lang w:val="es-ES"/>
        </w:rPr>
      </w:pPr>
    </w:p>
    <w:p w14:paraId="4E4AD542" w14:textId="06E42354" w:rsidR="005939C4" w:rsidRPr="00B41EAD" w:rsidRDefault="005939C4" w:rsidP="00B41EAD">
      <w:pPr>
        <w:ind w:left="4820"/>
        <w:jc w:val="both"/>
        <w:rPr>
          <w:color w:val="000000" w:themeColor="text1"/>
          <w:sz w:val="28"/>
          <w:szCs w:val="28"/>
          <w:lang w:val="es-ES"/>
        </w:rPr>
      </w:pPr>
      <w:r w:rsidRPr="00B41EAD">
        <w:rPr>
          <w:b/>
          <w:bCs/>
          <w:color w:val="000000" w:themeColor="text1"/>
          <w:sz w:val="28"/>
          <w:szCs w:val="28"/>
          <w:lang w:val="es-ES"/>
        </w:rPr>
        <w:t xml:space="preserve">Expediente T-10.001.552: </w:t>
      </w:r>
      <w:r w:rsidRPr="00B41EAD">
        <w:rPr>
          <w:color w:val="000000" w:themeColor="text1"/>
          <w:sz w:val="28"/>
          <w:szCs w:val="28"/>
          <w:lang w:val="es-ES"/>
        </w:rPr>
        <w:t>acción de tutela</w:t>
      </w:r>
      <w:r w:rsidR="7F49D75C" w:rsidRPr="00B41EAD">
        <w:rPr>
          <w:color w:val="000000" w:themeColor="text1"/>
          <w:sz w:val="28"/>
          <w:szCs w:val="28"/>
          <w:lang w:val="es-ES"/>
        </w:rPr>
        <w:t xml:space="preserve"> </w:t>
      </w:r>
      <w:r w:rsidRPr="00B41EAD">
        <w:rPr>
          <w:color w:val="000000" w:themeColor="text1"/>
          <w:sz w:val="28"/>
          <w:szCs w:val="28"/>
          <w:lang w:val="es-ES"/>
        </w:rPr>
        <w:t xml:space="preserve">instaurada por Paola Andrea Durango </w:t>
      </w:r>
      <w:proofErr w:type="spellStart"/>
      <w:r w:rsidRPr="00B41EAD">
        <w:rPr>
          <w:color w:val="000000" w:themeColor="text1"/>
          <w:sz w:val="28"/>
          <w:szCs w:val="28"/>
          <w:lang w:val="es-ES"/>
        </w:rPr>
        <w:t>Tilano</w:t>
      </w:r>
      <w:proofErr w:type="spellEnd"/>
      <w:r w:rsidR="00136A3F" w:rsidRPr="00B41EAD">
        <w:rPr>
          <w:color w:val="000000" w:themeColor="text1"/>
          <w:sz w:val="28"/>
          <w:szCs w:val="28"/>
          <w:lang w:val="es-ES"/>
        </w:rPr>
        <w:t xml:space="preserve"> </w:t>
      </w:r>
      <w:r w:rsidRPr="00B41EAD">
        <w:rPr>
          <w:color w:val="000000" w:themeColor="text1"/>
          <w:sz w:val="28"/>
          <w:szCs w:val="28"/>
          <w:lang w:val="es-ES"/>
        </w:rPr>
        <w:t xml:space="preserve">contra el Consejo de Estado, Sección Tercera </w:t>
      </w:r>
      <w:r w:rsidR="00FC681E" w:rsidRPr="00B41EAD">
        <w:rPr>
          <w:color w:val="000000" w:themeColor="text1"/>
          <w:sz w:val="28"/>
          <w:szCs w:val="28"/>
          <w:lang w:val="es-ES"/>
        </w:rPr>
        <w:t>-</w:t>
      </w:r>
      <w:r w:rsidRPr="00B41EAD">
        <w:rPr>
          <w:color w:val="000000" w:themeColor="text1"/>
          <w:sz w:val="28"/>
          <w:szCs w:val="28"/>
          <w:lang w:val="es-ES"/>
        </w:rPr>
        <w:t xml:space="preserve"> Subsección C. </w:t>
      </w:r>
    </w:p>
    <w:p w14:paraId="27E41FDE" w14:textId="77777777" w:rsidR="005939C4" w:rsidRPr="00B41EAD" w:rsidRDefault="005939C4" w:rsidP="00B41EAD">
      <w:pPr>
        <w:ind w:left="4820"/>
        <w:jc w:val="both"/>
        <w:rPr>
          <w:color w:val="000000" w:themeColor="text1"/>
          <w:sz w:val="28"/>
          <w:szCs w:val="28"/>
          <w:lang w:val="es-ES"/>
        </w:rPr>
      </w:pPr>
    </w:p>
    <w:p w14:paraId="75A747C9" w14:textId="3941142D" w:rsidR="005939C4" w:rsidRPr="00B41EAD" w:rsidRDefault="005939C4" w:rsidP="00B41EAD">
      <w:pPr>
        <w:ind w:left="4820"/>
        <w:jc w:val="both"/>
        <w:rPr>
          <w:color w:val="000000" w:themeColor="text1"/>
          <w:sz w:val="28"/>
          <w:szCs w:val="28"/>
          <w:lang w:val="es-ES"/>
        </w:rPr>
      </w:pPr>
      <w:r w:rsidRPr="00B41EAD">
        <w:rPr>
          <w:b/>
          <w:bCs/>
          <w:color w:val="000000" w:themeColor="text1"/>
          <w:sz w:val="28"/>
          <w:szCs w:val="28"/>
          <w:lang w:val="es-ES"/>
        </w:rPr>
        <w:t>Expediente T-10.007.411</w:t>
      </w:r>
      <w:r w:rsidRPr="00B41EAD">
        <w:rPr>
          <w:color w:val="000000" w:themeColor="text1"/>
          <w:sz w:val="28"/>
          <w:szCs w:val="28"/>
          <w:lang w:val="es-ES"/>
        </w:rPr>
        <w:t xml:space="preserve">: acción de tutela formulada por Diana Marcela Cortés Herrera </w:t>
      </w:r>
      <w:r w:rsidR="000A6D20" w:rsidRPr="00B41EAD">
        <w:rPr>
          <w:color w:val="000000" w:themeColor="text1"/>
          <w:sz w:val="28"/>
          <w:szCs w:val="28"/>
          <w:lang w:val="es-ES"/>
        </w:rPr>
        <w:t xml:space="preserve">y otro </w:t>
      </w:r>
      <w:r w:rsidRPr="00B41EAD">
        <w:rPr>
          <w:color w:val="000000" w:themeColor="text1"/>
          <w:sz w:val="28"/>
          <w:szCs w:val="28"/>
          <w:lang w:val="es-ES"/>
        </w:rPr>
        <w:t>contra el Tribunal Administrativo del Tolima</w:t>
      </w:r>
      <w:r w:rsidR="002E2624" w:rsidRPr="00B41EAD">
        <w:rPr>
          <w:color w:val="000000" w:themeColor="text1"/>
          <w:sz w:val="28"/>
          <w:szCs w:val="28"/>
          <w:lang w:val="es-ES"/>
        </w:rPr>
        <w:t>.</w:t>
      </w:r>
    </w:p>
    <w:p w14:paraId="365DCEF3" w14:textId="47D91E89" w:rsidR="000811E5" w:rsidRPr="00B41EAD" w:rsidRDefault="000811E5" w:rsidP="00B41EAD">
      <w:pPr>
        <w:ind w:left="4820"/>
        <w:jc w:val="both"/>
        <w:rPr>
          <w:color w:val="000000" w:themeColor="text1"/>
          <w:sz w:val="28"/>
          <w:szCs w:val="28"/>
          <w:lang w:val="es-ES"/>
        </w:rPr>
      </w:pPr>
    </w:p>
    <w:p w14:paraId="36248099" w14:textId="77777777" w:rsidR="005939C4" w:rsidRPr="00B41EAD" w:rsidRDefault="005939C4" w:rsidP="00B41EAD">
      <w:pPr>
        <w:ind w:left="4820"/>
        <w:jc w:val="both"/>
        <w:rPr>
          <w:color w:val="000000" w:themeColor="text1"/>
          <w:sz w:val="28"/>
          <w:szCs w:val="28"/>
          <w:lang w:val="es-ES"/>
        </w:rPr>
      </w:pPr>
      <w:r w:rsidRPr="00B41EAD">
        <w:rPr>
          <w:b/>
          <w:color w:val="000000" w:themeColor="text1"/>
          <w:sz w:val="28"/>
          <w:szCs w:val="28"/>
          <w:lang w:val="es-ES"/>
        </w:rPr>
        <w:t>Magistrada sustanciadora:</w:t>
      </w:r>
    </w:p>
    <w:p w14:paraId="3166355D" w14:textId="770F033C" w:rsidR="005939C4" w:rsidRPr="00B41EAD" w:rsidRDefault="005939C4" w:rsidP="00B41EAD">
      <w:pPr>
        <w:ind w:left="4820"/>
        <w:jc w:val="both"/>
        <w:rPr>
          <w:color w:val="000000" w:themeColor="text1"/>
          <w:sz w:val="28"/>
          <w:szCs w:val="28"/>
          <w:lang w:val="es-ES"/>
        </w:rPr>
      </w:pPr>
      <w:r w:rsidRPr="00B41EAD">
        <w:rPr>
          <w:color w:val="000000" w:themeColor="text1"/>
          <w:sz w:val="28"/>
          <w:szCs w:val="28"/>
          <w:lang w:val="es-ES"/>
        </w:rPr>
        <w:t>Diana Fajardo Rivera</w:t>
      </w:r>
      <w:r w:rsidR="002E2624" w:rsidRPr="00B41EAD">
        <w:rPr>
          <w:color w:val="000000" w:themeColor="text1"/>
          <w:sz w:val="28"/>
          <w:szCs w:val="28"/>
          <w:lang w:val="es-ES"/>
        </w:rPr>
        <w:t>.</w:t>
      </w:r>
    </w:p>
    <w:p w14:paraId="3F5773C7" w14:textId="391A0B13" w:rsidR="005C4D23" w:rsidRPr="00B41EAD" w:rsidRDefault="005939C4" w:rsidP="005C4D23">
      <w:pPr>
        <w:tabs>
          <w:tab w:val="left" w:pos="2431"/>
          <w:tab w:val="left" w:pos="2618"/>
        </w:tabs>
        <w:contextualSpacing/>
        <w:jc w:val="both"/>
        <w:rPr>
          <w:color w:val="000000" w:themeColor="text1"/>
          <w:sz w:val="28"/>
          <w:szCs w:val="28"/>
          <w:lang w:val="es-ES"/>
        </w:rPr>
      </w:pPr>
      <w:r w:rsidRPr="00B41EAD">
        <w:rPr>
          <w:color w:val="000000" w:themeColor="text1"/>
          <w:sz w:val="28"/>
          <w:szCs w:val="28"/>
          <w:lang w:val="es-ES"/>
        </w:rPr>
        <w:t xml:space="preserve"> </w:t>
      </w:r>
    </w:p>
    <w:p w14:paraId="001A1622" w14:textId="584DE719" w:rsidR="006D732D" w:rsidRPr="00B41EAD" w:rsidRDefault="006D732D" w:rsidP="005C4D23">
      <w:pPr>
        <w:contextualSpacing/>
        <w:jc w:val="both"/>
        <w:rPr>
          <w:color w:val="000000" w:themeColor="text1"/>
          <w:sz w:val="28"/>
          <w:szCs w:val="28"/>
          <w:lang w:val="es-ES"/>
        </w:rPr>
      </w:pPr>
      <w:r w:rsidRPr="00B41EAD">
        <w:rPr>
          <w:color w:val="000000" w:themeColor="text1"/>
          <w:sz w:val="28"/>
          <w:szCs w:val="28"/>
          <w:lang w:val="es-ES"/>
        </w:rPr>
        <w:t xml:space="preserve">Bogotá, D.C., </w:t>
      </w:r>
      <w:r w:rsidR="00E23679" w:rsidRPr="00B41EAD">
        <w:rPr>
          <w:color w:val="000000" w:themeColor="text1"/>
          <w:sz w:val="28"/>
          <w:szCs w:val="28"/>
          <w:lang w:val="es-ES"/>
        </w:rPr>
        <w:t>dieciséis</w:t>
      </w:r>
      <w:r w:rsidR="00AB40F7" w:rsidRPr="00B41EAD">
        <w:rPr>
          <w:color w:val="000000" w:themeColor="text1"/>
          <w:sz w:val="28"/>
          <w:szCs w:val="28"/>
          <w:lang w:val="es-ES"/>
        </w:rPr>
        <w:t xml:space="preserve"> </w:t>
      </w:r>
      <w:r w:rsidR="0018420A" w:rsidRPr="00B41EAD">
        <w:rPr>
          <w:color w:val="000000" w:themeColor="text1"/>
          <w:sz w:val="28"/>
          <w:szCs w:val="28"/>
          <w:lang w:val="es-ES"/>
        </w:rPr>
        <w:t>(</w:t>
      </w:r>
      <w:r w:rsidR="00E23679" w:rsidRPr="00B41EAD">
        <w:rPr>
          <w:color w:val="000000" w:themeColor="text1"/>
          <w:sz w:val="28"/>
          <w:szCs w:val="28"/>
          <w:lang w:val="es-ES"/>
        </w:rPr>
        <w:t>16</w:t>
      </w:r>
      <w:r w:rsidR="1C04C369" w:rsidRPr="00B41EAD">
        <w:rPr>
          <w:color w:val="000000" w:themeColor="text1"/>
          <w:sz w:val="28"/>
          <w:szCs w:val="28"/>
          <w:lang w:val="es-ES"/>
        </w:rPr>
        <w:t>)</w:t>
      </w:r>
      <w:r w:rsidR="0018420A" w:rsidRPr="00B41EAD">
        <w:rPr>
          <w:color w:val="000000" w:themeColor="text1"/>
          <w:sz w:val="28"/>
          <w:szCs w:val="28"/>
          <w:lang w:val="es-ES"/>
        </w:rPr>
        <w:t xml:space="preserve"> de</w:t>
      </w:r>
      <w:r w:rsidR="00FB4672" w:rsidRPr="00B41EAD">
        <w:rPr>
          <w:color w:val="000000" w:themeColor="text1"/>
          <w:sz w:val="28"/>
          <w:szCs w:val="28"/>
          <w:lang w:val="es-ES"/>
        </w:rPr>
        <w:t xml:space="preserve"> </w:t>
      </w:r>
      <w:r w:rsidR="00E23679" w:rsidRPr="00B41EAD">
        <w:rPr>
          <w:color w:val="000000" w:themeColor="text1"/>
          <w:sz w:val="28"/>
          <w:szCs w:val="28"/>
          <w:lang w:val="es-ES"/>
        </w:rPr>
        <w:t>octubre</w:t>
      </w:r>
      <w:r w:rsidR="77E1F5E7" w:rsidRPr="00B41EAD">
        <w:rPr>
          <w:color w:val="000000" w:themeColor="text1"/>
          <w:sz w:val="28"/>
          <w:szCs w:val="28"/>
          <w:lang w:val="es-ES"/>
        </w:rPr>
        <w:t xml:space="preserve"> </w:t>
      </w:r>
      <w:r w:rsidR="00524042" w:rsidRPr="00B41EAD">
        <w:rPr>
          <w:color w:val="000000" w:themeColor="text1"/>
          <w:sz w:val="28"/>
          <w:szCs w:val="28"/>
          <w:lang w:val="es-ES"/>
        </w:rPr>
        <w:t xml:space="preserve">de dos mil </w:t>
      </w:r>
      <w:r w:rsidR="00CD0AAA" w:rsidRPr="00B41EAD">
        <w:rPr>
          <w:color w:val="000000" w:themeColor="text1"/>
          <w:sz w:val="28"/>
          <w:szCs w:val="28"/>
          <w:lang w:val="es-ES"/>
        </w:rPr>
        <w:t>v</w:t>
      </w:r>
      <w:r w:rsidR="0036730B" w:rsidRPr="00B41EAD">
        <w:rPr>
          <w:color w:val="000000" w:themeColor="text1"/>
          <w:sz w:val="28"/>
          <w:szCs w:val="28"/>
          <w:lang w:val="es-ES"/>
        </w:rPr>
        <w:t>einticuatro</w:t>
      </w:r>
      <w:r w:rsidR="00524042" w:rsidRPr="00B41EAD">
        <w:rPr>
          <w:color w:val="000000" w:themeColor="text1"/>
          <w:sz w:val="28"/>
          <w:szCs w:val="28"/>
          <w:lang w:val="es-ES"/>
        </w:rPr>
        <w:t xml:space="preserve"> (20</w:t>
      </w:r>
      <w:r w:rsidR="00FB4672" w:rsidRPr="00B41EAD">
        <w:rPr>
          <w:color w:val="000000" w:themeColor="text1"/>
          <w:sz w:val="28"/>
          <w:szCs w:val="28"/>
          <w:lang w:val="es-ES"/>
        </w:rPr>
        <w:t>2</w:t>
      </w:r>
      <w:r w:rsidR="0036730B" w:rsidRPr="00B41EAD">
        <w:rPr>
          <w:color w:val="000000" w:themeColor="text1"/>
          <w:sz w:val="28"/>
          <w:szCs w:val="28"/>
          <w:lang w:val="es-ES"/>
        </w:rPr>
        <w:t>4</w:t>
      </w:r>
      <w:r w:rsidRPr="00B41EAD">
        <w:rPr>
          <w:color w:val="000000" w:themeColor="text1"/>
          <w:sz w:val="28"/>
          <w:szCs w:val="28"/>
          <w:lang w:val="es-ES"/>
        </w:rPr>
        <w:t>)</w:t>
      </w:r>
      <w:r w:rsidR="005C4D23" w:rsidRPr="00B41EAD">
        <w:rPr>
          <w:color w:val="000000" w:themeColor="text1"/>
          <w:sz w:val="28"/>
          <w:szCs w:val="28"/>
          <w:lang w:val="es-ES"/>
        </w:rPr>
        <w:t>.</w:t>
      </w:r>
    </w:p>
    <w:p w14:paraId="01BD3EDC" w14:textId="7BD44CE0" w:rsidR="00CD0AAA" w:rsidRPr="00B41EAD" w:rsidRDefault="00CD0AAA" w:rsidP="105B277E">
      <w:pPr>
        <w:contextualSpacing/>
        <w:jc w:val="both"/>
        <w:rPr>
          <w:color w:val="000000" w:themeColor="text1"/>
          <w:sz w:val="28"/>
          <w:szCs w:val="28"/>
          <w:lang w:val="es-ES"/>
        </w:rPr>
      </w:pPr>
    </w:p>
    <w:p w14:paraId="4AD10DA0" w14:textId="5549434B" w:rsidR="764264E2" w:rsidRPr="00B41EAD" w:rsidRDefault="00C53C17" w:rsidP="105B277E">
      <w:pPr>
        <w:jc w:val="both"/>
        <w:rPr>
          <w:color w:val="000000" w:themeColor="text1"/>
          <w:sz w:val="28"/>
          <w:szCs w:val="28"/>
          <w:lang w:val="es-ES"/>
        </w:rPr>
      </w:pPr>
      <w:r w:rsidRPr="00B41EAD">
        <w:rPr>
          <w:color w:val="000000" w:themeColor="text1"/>
          <w:sz w:val="28"/>
          <w:szCs w:val="28"/>
          <w:lang w:val="es-ES"/>
        </w:rPr>
        <w:t>La Sala Plena de la Corte Constitucional</w:t>
      </w:r>
      <w:r w:rsidR="764264E2" w:rsidRPr="00B41EAD">
        <w:rPr>
          <w:color w:val="000000" w:themeColor="text1"/>
          <w:sz w:val="28"/>
          <w:szCs w:val="28"/>
          <w:lang w:val="es-ES"/>
        </w:rPr>
        <w:t>, en ejercicio de sus atribuciones</w:t>
      </w:r>
      <w:r w:rsidR="0C0EDA7F" w:rsidRPr="00B41EAD">
        <w:rPr>
          <w:color w:val="000000" w:themeColor="text1"/>
          <w:sz w:val="28"/>
          <w:szCs w:val="28"/>
          <w:lang w:val="es-ES"/>
        </w:rPr>
        <w:t xml:space="preserve"> </w:t>
      </w:r>
      <w:r w:rsidR="764264E2" w:rsidRPr="00B41EAD">
        <w:rPr>
          <w:color w:val="000000" w:themeColor="text1"/>
          <w:sz w:val="28"/>
          <w:szCs w:val="28"/>
          <w:lang w:val="es-ES"/>
        </w:rPr>
        <w:t xml:space="preserve">constitucionales, legales y reglamentarias, específicamente las previstas en los artículos 86 y 241 numeral 9 de la Constitución Política, </w:t>
      </w:r>
      <w:r w:rsidR="00192F55" w:rsidRPr="00B41EAD">
        <w:rPr>
          <w:color w:val="000000" w:themeColor="text1"/>
          <w:sz w:val="28"/>
          <w:szCs w:val="28"/>
          <w:lang w:val="es-ES" w:eastAsia="es-ES_tradnl"/>
        </w:rPr>
        <w:t xml:space="preserve">y </w:t>
      </w:r>
      <w:r w:rsidR="00DE439A" w:rsidRPr="00B41EAD">
        <w:rPr>
          <w:color w:val="000000" w:themeColor="text1"/>
          <w:sz w:val="28"/>
          <w:szCs w:val="28"/>
          <w:lang w:val="es-ES" w:eastAsia="es-ES_tradnl"/>
        </w:rPr>
        <w:t xml:space="preserve">los artículos 33 y siguientes del Decreto 2591 de 1991, </w:t>
      </w:r>
      <w:r w:rsidR="00192F55" w:rsidRPr="00B41EAD">
        <w:rPr>
          <w:color w:val="000000" w:themeColor="text1"/>
          <w:sz w:val="28"/>
          <w:szCs w:val="28"/>
          <w:lang w:val="es-ES" w:eastAsia="es-ES_tradnl"/>
        </w:rPr>
        <w:t>profiere</w:t>
      </w:r>
      <w:r w:rsidR="00DE439A" w:rsidRPr="00B41EAD">
        <w:rPr>
          <w:color w:val="000000" w:themeColor="text1"/>
          <w:sz w:val="28"/>
          <w:szCs w:val="28"/>
          <w:lang w:val="es-ES" w:eastAsia="es-ES_tradnl"/>
        </w:rPr>
        <w:t xml:space="preserve"> la siguiente</w:t>
      </w:r>
      <w:r w:rsidR="001D5483" w:rsidRPr="00B41EAD">
        <w:rPr>
          <w:color w:val="000000" w:themeColor="text1"/>
          <w:sz w:val="28"/>
          <w:szCs w:val="28"/>
          <w:lang w:val="es-ES" w:eastAsia="es-ES_tradnl"/>
        </w:rPr>
        <w:t>:</w:t>
      </w:r>
    </w:p>
    <w:p w14:paraId="3988B59D" w14:textId="40744266" w:rsidR="105B277E" w:rsidRPr="00B41EAD" w:rsidRDefault="105B277E" w:rsidP="105B277E">
      <w:pPr>
        <w:jc w:val="both"/>
        <w:rPr>
          <w:color w:val="000000" w:themeColor="text1"/>
          <w:sz w:val="28"/>
          <w:szCs w:val="28"/>
          <w:lang w:val="es-ES"/>
        </w:rPr>
      </w:pPr>
    </w:p>
    <w:p w14:paraId="5D305AEF" w14:textId="2E33D51C" w:rsidR="00F8075C" w:rsidRPr="00B41EAD" w:rsidRDefault="00F8075C" w:rsidP="00F8075C">
      <w:pPr>
        <w:jc w:val="center"/>
        <w:rPr>
          <w:b/>
          <w:color w:val="000000" w:themeColor="text1"/>
          <w:sz w:val="28"/>
          <w:szCs w:val="28"/>
          <w:lang w:val="es-ES" w:eastAsia="es-ES_tradnl"/>
        </w:rPr>
      </w:pPr>
      <w:r w:rsidRPr="00B41EAD">
        <w:rPr>
          <w:b/>
          <w:color w:val="000000" w:themeColor="text1"/>
          <w:sz w:val="28"/>
          <w:szCs w:val="28"/>
          <w:lang w:val="es-ES" w:eastAsia="es-ES_tradnl"/>
        </w:rPr>
        <w:t>SENTENCIA</w:t>
      </w:r>
    </w:p>
    <w:p w14:paraId="7F87E16E" w14:textId="77777777" w:rsidR="00AB40F7" w:rsidRPr="00B41EAD" w:rsidRDefault="00AB40F7" w:rsidP="00A76B5F">
      <w:pPr>
        <w:jc w:val="both"/>
        <w:rPr>
          <w:color w:val="000000" w:themeColor="text1"/>
          <w:sz w:val="28"/>
          <w:szCs w:val="28"/>
          <w:lang w:val="es-ES"/>
        </w:rPr>
      </w:pPr>
    </w:p>
    <w:p w14:paraId="1AC30728" w14:textId="77777777" w:rsidR="006E2DD2" w:rsidRPr="00B41EAD" w:rsidRDefault="00A71A9A" w:rsidP="00A76B5F">
      <w:pPr>
        <w:jc w:val="both"/>
        <w:rPr>
          <w:color w:val="000000" w:themeColor="text1"/>
          <w:sz w:val="28"/>
          <w:szCs w:val="28"/>
          <w:lang w:val="es-ES"/>
        </w:rPr>
      </w:pPr>
      <w:r w:rsidRPr="00B41EAD">
        <w:rPr>
          <w:color w:val="000000" w:themeColor="text1"/>
          <w:sz w:val="28"/>
          <w:szCs w:val="28"/>
          <w:lang w:val="es-ES"/>
        </w:rPr>
        <w:t>En el trámite de revisión de</w:t>
      </w:r>
      <w:r w:rsidR="006E2DD2" w:rsidRPr="00B41EAD">
        <w:rPr>
          <w:color w:val="000000" w:themeColor="text1"/>
          <w:sz w:val="28"/>
          <w:szCs w:val="28"/>
          <w:lang w:val="es-ES"/>
        </w:rPr>
        <w:t xml:space="preserve"> las siguientes providencias: </w:t>
      </w:r>
    </w:p>
    <w:p w14:paraId="11836FB5" w14:textId="77777777" w:rsidR="006E2DD2" w:rsidRPr="00B41EAD" w:rsidRDefault="006E2DD2" w:rsidP="00A76B5F">
      <w:pPr>
        <w:jc w:val="both"/>
        <w:rPr>
          <w:color w:val="000000" w:themeColor="text1"/>
          <w:sz w:val="28"/>
          <w:szCs w:val="28"/>
          <w:lang w:val="es-ES"/>
        </w:rPr>
      </w:pPr>
    </w:p>
    <w:p w14:paraId="27FB3E18" w14:textId="535065BE" w:rsidR="006E2DD2" w:rsidRPr="00B41EAD" w:rsidRDefault="006E2DD2" w:rsidP="006E2DD2">
      <w:pPr>
        <w:pStyle w:val="Prrafodelista"/>
        <w:numPr>
          <w:ilvl w:val="0"/>
          <w:numId w:val="9"/>
        </w:numPr>
        <w:ind w:left="0" w:firstLine="0"/>
        <w:jc w:val="both"/>
        <w:rPr>
          <w:color w:val="000000" w:themeColor="text1"/>
          <w:sz w:val="28"/>
          <w:szCs w:val="28"/>
          <w:lang w:val="es-ES"/>
        </w:rPr>
      </w:pPr>
      <w:r w:rsidRPr="00B41EAD">
        <w:rPr>
          <w:color w:val="000000" w:themeColor="text1"/>
          <w:sz w:val="28"/>
          <w:szCs w:val="28"/>
          <w:lang w:val="es-ES"/>
        </w:rPr>
        <w:t xml:space="preserve">En el expediente </w:t>
      </w:r>
      <w:r w:rsidRPr="00B41EAD">
        <w:rPr>
          <w:b/>
          <w:bCs/>
          <w:color w:val="000000" w:themeColor="text1"/>
          <w:sz w:val="28"/>
          <w:szCs w:val="28"/>
          <w:lang w:val="es-ES"/>
        </w:rPr>
        <w:t xml:space="preserve">T-10.001.552, </w:t>
      </w:r>
      <w:r w:rsidRPr="00B41EAD">
        <w:rPr>
          <w:color w:val="000000" w:themeColor="text1"/>
          <w:sz w:val="28"/>
          <w:szCs w:val="28"/>
          <w:lang w:val="es-ES"/>
        </w:rPr>
        <w:t>l</w:t>
      </w:r>
      <w:r w:rsidR="00A71A9A" w:rsidRPr="00B41EAD">
        <w:rPr>
          <w:color w:val="000000" w:themeColor="text1"/>
          <w:sz w:val="28"/>
          <w:szCs w:val="28"/>
          <w:lang w:val="es-ES"/>
        </w:rPr>
        <w:t xml:space="preserve">a </w:t>
      </w:r>
      <w:r w:rsidR="00DC096A" w:rsidRPr="00B41EAD">
        <w:rPr>
          <w:color w:val="000000" w:themeColor="text1"/>
          <w:sz w:val="28"/>
          <w:szCs w:val="28"/>
          <w:lang w:val="es-ES"/>
        </w:rPr>
        <w:t>S</w:t>
      </w:r>
      <w:r w:rsidR="00A71A9A" w:rsidRPr="00B41EAD">
        <w:rPr>
          <w:color w:val="000000" w:themeColor="text1"/>
          <w:sz w:val="28"/>
          <w:szCs w:val="28"/>
          <w:lang w:val="es-ES"/>
        </w:rPr>
        <w:t xml:space="preserve">entencia </w:t>
      </w:r>
      <w:r w:rsidRPr="00B41EAD">
        <w:rPr>
          <w:color w:val="000000" w:themeColor="text1"/>
          <w:sz w:val="28"/>
          <w:szCs w:val="28"/>
          <w:lang w:val="es-ES"/>
        </w:rPr>
        <w:t>d</w:t>
      </w:r>
      <w:r w:rsidR="000E5E7D" w:rsidRPr="00B41EAD">
        <w:rPr>
          <w:color w:val="000000" w:themeColor="text1"/>
          <w:sz w:val="28"/>
          <w:szCs w:val="28"/>
          <w:lang w:val="es-ES"/>
        </w:rPr>
        <w:t xml:space="preserve">el </w:t>
      </w:r>
      <w:r w:rsidR="00FE7E62" w:rsidRPr="00B41EAD">
        <w:rPr>
          <w:color w:val="000000" w:themeColor="text1"/>
          <w:sz w:val="28"/>
          <w:szCs w:val="28"/>
          <w:lang w:val="es-ES"/>
        </w:rPr>
        <w:t>11</w:t>
      </w:r>
      <w:r w:rsidR="000E5E7D" w:rsidRPr="00B41EAD">
        <w:rPr>
          <w:color w:val="000000" w:themeColor="text1"/>
          <w:sz w:val="28"/>
          <w:szCs w:val="28"/>
          <w:lang w:val="es-ES"/>
        </w:rPr>
        <w:t xml:space="preserve"> de </w:t>
      </w:r>
      <w:r w:rsidR="00FE7E62" w:rsidRPr="00B41EAD">
        <w:rPr>
          <w:color w:val="000000" w:themeColor="text1"/>
          <w:sz w:val="28"/>
          <w:szCs w:val="28"/>
          <w:lang w:val="es-ES"/>
        </w:rPr>
        <w:t>agosto</w:t>
      </w:r>
      <w:r w:rsidR="00925936" w:rsidRPr="00B41EAD">
        <w:rPr>
          <w:color w:val="000000" w:themeColor="text1"/>
          <w:sz w:val="28"/>
          <w:szCs w:val="28"/>
          <w:lang w:val="es-ES"/>
        </w:rPr>
        <w:t xml:space="preserve"> de 202</w:t>
      </w:r>
      <w:r w:rsidR="00FE7E62" w:rsidRPr="00B41EAD">
        <w:rPr>
          <w:color w:val="000000" w:themeColor="text1"/>
          <w:sz w:val="28"/>
          <w:szCs w:val="28"/>
          <w:lang w:val="es-ES"/>
        </w:rPr>
        <w:t>3</w:t>
      </w:r>
      <w:r w:rsidR="00925936" w:rsidRPr="00B41EAD">
        <w:rPr>
          <w:color w:val="000000" w:themeColor="text1"/>
          <w:sz w:val="28"/>
          <w:szCs w:val="28"/>
          <w:lang w:val="es-ES"/>
        </w:rPr>
        <w:t xml:space="preserve">, proferida </w:t>
      </w:r>
      <w:r w:rsidR="00154108" w:rsidRPr="00B41EAD">
        <w:rPr>
          <w:color w:val="000000" w:themeColor="text1"/>
          <w:sz w:val="28"/>
          <w:szCs w:val="28"/>
          <w:lang w:val="es-ES"/>
        </w:rPr>
        <w:t xml:space="preserve">en primera instancia </w:t>
      </w:r>
      <w:r w:rsidR="00925936" w:rsidRPr="00B41EAD">
        <w:rPr>
          <w:color w:val="000000" w:themeColor="text1"/>
          <w:sz w:val="28"/>
          <w:szCs w:val="28"/>
          <w:lang w:val="es-ES"/>
        </w:rPr>
        <w:t xml:space="preserve">por la Subsección </w:t>
      </w:r>
      <w:r w:rsidR="00FE7E62" w:rsidRPr="00B41EAD">
        <w:rPr>
          <w:color w:val="000000" w:themeColor="text1"/>
          <w:sz w:val="28"/>
          <w:szCs w:val="28"/>
          <w:lang w:val="es-ES"/>
        </w:rPr>
        <w:t>B</w:t>
      </w:r>
      <w:r w:rsidR="00925936" w:rsidRPr="00B41EAD">
        <w:rPr>
          <w:color w:val="000000" w:themeColor="text1"/>
          <w:sz w:val="28"/>
          <w:szCs w:val="28"/>
          <w:lang w:val="es-ES"/>
        </w:rPr>
        <w:t xml:space="preserve"> de la Sección </w:t>
      </w:r>
      <w:r w:rsidR="00FE7E62" w:rsidRPr="00B41EAD">
        <w:rPr>
          <w:color w:val="000000" w:themeColor="text1"/>
          <w:sz w:val="28"/>
          <w:szCs w:val="28"/>
          <w:lang w:val="es-ES"/>
        </w:rPr>
        <w:t>Segunda</w:t>
      </w:r>
      <w:r w:rsidR="00925936" w:rsidRPr="00B41EAD">
        <w:rPr>
          <w:color w:val="000000" w:themeColor="text1"/>
          <w:sz w:val="28"/>
          <w:szCs w:val="28"/>
          <w:lang w:val="es-ES"/>
        </w:rPr>
        <w:t xml:space="preserve"> del Consejo de Estado</w:t>
      </w:r>
      <w:r w:rsidR="00154108" w:rsidRPr="00B41EAD">
        <w:rPr>
          <w:color w:val="000000" w:themeColor="text1"/>
          <w:sz w:val="28"/>
          <w:szCs w:val="28"/>
          <w:lang w:val="es-ES"/>
        </w:rPr>
        <w:t>, y la sentencia del 11 de diciembre de 2023</w:t>
      </w:r>
      <w:r w:rsidR="00D64836" w:rsidRPr="00B41EAD">
        <w:rPr>
          <w:color w:val="000000" w:themeColor="text1"/>
          <w:sz w:val="28"/>
          <w:szCs w:val="28"/>
          <w:lang w:val="es-ES"/>
        </w:rPr>
        <w:t>, proferida en segunda instancia por la Subsección B de la Sección Tercera</w:t>
      </w:r>
      <w:r w:rsidR="00EA2949" w:rsidRPr="00B41EAD">
        <w:rPr>
          <w:color w:val="000000" w:themeColor="text1"/>
          <w:sz w:val="28"/>
          <w:szCs w:val="28"/>
          <w:lang w:val="es-ES"/>
        </w:rPr>
        <w:t xml:space="preserve"> del Consejo de Estado, en relación con la acción de tutela instaurada por </w:t>
      </w:r>
      <w:r w:rsidR="00BA265F" w:rsidRPr="00B41EAD">
        <w:rPr>
          <w:color w:val="000000" w:themeColor="text1"/>
          <w:sz w:val="28"/>
          <w:szCs w:val="28"/>
          <w:lang w:val="es-ES"/>
        </w:rPr>
        <w:t>la señora Paola</w:t>
      </w:r>
      <w:r w:rsidR="00475EC1" w:rsidRPr="00B41EAD">
        <w:rPr>
          <w:color w:val="000000" w:themeColor="text1"/>
          <w:sz w:val="28"/>
          <w:szCs w:val="28"/>
          <w:lang w:val="es-ES"/>
        </w:rPr>
        <w:t xml:space="preserve"> Andrea Durango </w:t>
      </w:r>
      <w:proofErr w:type="spellStart"/>
      <w:r w:rsidR="00475EC1" w:rsidRPr="00B41EAD">
        <w:rPr>
          <w:color w:val="000000" w:themeColor="text1"/>
          <w:sz w:val="28"/>
          <w:szCs w:val="28"/>
          <w:lang w:val="es-ES"/>
        </w:rPr>
        <w:t>Tilano</w:t>
      </w:r>
      <w:proofErr w:type="spellEnd"/>
      <w:r w:rsidR="00475EC1" w:rsidRPr="00B41EAD">
        <w:rPr>
          <w:color w:val="000000" w:themeColor="text1"/>
          <w:sz w:val="28"/>
          <w:szCs w:val="28"/>
          <w:lang w:val="es-ES"/>
        </w:rPr>
        <w:t xml:space="preserve"> contra </w:t>
      </w:r>
      <w:r w:rsidR="005555F0" w:rsidRPr="00B41EAD">
        <w:rPr>
          <w:color w:val="000000" w:themeColor="text1"/>
          <w:sz w:val="28"/>
          <w:szCs w:val="28"/>
          <w:lang w:val="es-ES"/>
        </w:rPr>
        <w:t>la Su</w:t>
      </w:r>
      <w:r w:rsidR="004D46FD" w:rsidRPr="00B41EAD">
        <w:rPr>
          <w:color w:val="000000" w:themeColor="text1"/>
          <w:sz w:val="28"/>
          <w:szCs w:val="28"/>
          <w:lang w:val="es-ES"/>
        </w:rPr>
        <w:t>bsección C de la Sección Tercera d</w:t>
      </w:r>
      <w:r w:rsidR="005555F0" w:rsidRPr="00B41EAD">
        <w:rPr>
          <w:color w:val="000000" w:themeColor="text1"/>
          <w:sz w:val="28"/>
          <w:szCs w:val="28"/>
          <w:lang w:val="es-ES"/>
        </w:rPr>
        <w:t>el Consejo de Estado</w:t>
      </w:r>
      <w:r w:rsidR="001B1CC5" w:rsidRPr="00B41EAD">
        <w:rPr>
          <w:color w:val="000000" w:themeColor="text1"/>
          <w:sz w:val="28"/>
          <w:szCs w:val="28"/>
          <w:lang w:val="es-ES"/>
        </w:rPr>
        <w:t xml:space="preserve">, con ocasión de la </w:t>
      </w:r>
      <w:r w:rsidRPr="00B41EAD">
        <w:rPr>
          <w:color w:val="000000" w:themeColor="text1"/>
          <w:sz w:val="28"/>
          <w:szCs w:val="28"/>
          <w:lang w:val="es-ES"/>
        </w:rPr>
        <w:t>providencia</w:t>
      </w:r>
      <w:r w:rsidR="001B1CC5" w:rsidRPr="00B41EAD">
        <w:rPr>
          <w:color w:val="000000" w:themeColor="text1"/>
          <w:sz w:val="28"/>
          <w:szCs w:val="28"/>
          <w:lang w:val="es-ES"/>
        </w:rPr>
        <w:t xml:space="preserve"> que emitió esta autoridad judicial </w:t>
      </w:r>
      <w:r w:rsidR="006C3562" w:rsidRPr="00B41EAD">
        <w:rPr>
          <w:color w:val="000000" w:themeColor="text1"/>
          <w:sz w:val="28"/>
          <w:szCs w:val="28"/>
          <w:lang w:val="es-ES"/>
        </w:rPr>
        <w:t>en segunda instancia</w:t>
      </w:r>
      <w:r w:rsidRPr="00B41EAD">
        <w:rPr>
          <w:color w:val="000000" w:themeColor="text1"/>
          <w:sz w:val="28"/>
          <w:szCs w:val="28"/>
          <w:lang w:val="es-ES"/>
        </w:rPr>
        <w:t>,</w:t>
      </w:r>
      <w:r w:rsidR="006C3562" w:rsidRPr="00B41EAD">
        <w:rPr>
          <w:color w:val="000000" w:themeColor="text1"/>
          <w:sz w:val="28"/>
          <w:szCs w:val="28"/>
          <w:lang w:val="es-ES"/>
        </w:rPr>
        <w:t xml:space="preserve"> </w:t>
      </w:r>
      <w:r w:rsidR="001B1CC5" w:rsidRPr="00B41EAD">
        <w:rPr>
          <w:color w:val="000000" w:themeColor="text1"/>
          <w:sz w:val="28"/>
          <w:szCs w:val="28"/>
          <w:lang w:val="es-ES"/>
        </w:rPr>
        <w:t>el 7 de septiembre de 2022</w:t>
      </w:r>
      <w:r w:rsidR="00E02D4B" w:rsidRPr="00B41EAD">
        <w:rPr>
          <w:color w:val="000000" w:themeColor="text1"/>
          <w:sz w:val="28"/>
          <w:szCs w:val="28"/>
          <w:lang w:val="es-ES"/>
        </w:rPr>
        <w:t>, en el marco de un proceso de reparación directa</w:t>
      </w:r>
      <w:r w:rsidR="00333AF9" w:rsidRPr="00B41EAD">
        <w:rPr>
          <w:color w:val="000000" w:themeColor="text1"/>
          <w:sz w:val="28"/>
          <w:szCs w:val="28"/>
          <w:lang w:val="es-ES"/>
        </w:rPr>
        <w:t xml:space="preserve"> </w:t>
      </w:r>
      <w:r w:rsidR="00B22BE0" w:rsidRPr="00B41EAD">
        <w:rPr>
          <w:color w:val="000000" w:themeColor="text1"/>
          <w:sz w:val="28"/>
          <w:szCs w:val="28"/>
          <w:lang w:val="es-ES"/>
        </w:rPr>
        <w:t xml:space="preserve">iniciado en </w:t>
      </w:r>
      <w:r w:rsidR="00333AF9" w:rsidRPr="00B41EAD">
        <w:rPr>
          <w:color w:val="000000" w:themeColor="text1"/>
          <w:sz w:val="28"/>
          <w:szCs w:val="28"/>
          <w:lang w:val="es-ES"/>
        </w:rPr>
        <w:t>contra</w:t>
      </w:r>
      <w:r w:rsidR="00B22BE0" w:rsidRPr="00B41EAD">
        <w:rPr>
          <w:color w:val="000000" w:themeColor="text1"/>
          <w:sz w:val="28"/>
          <w:szCs w:val="28"/>
          <w:lang w:val="es-ES"/>
        </w:rPr>
        <w:t xml:space="preserve"> del </w:t>
      </w:r>
      <w:r w:rsidR="00333AF9" w:rsidRPr="00B41EAD">
        <w:rPr>
          <w:color w:val="000000" w:themeColor="text1"/>
          <w:sz w:val="28"/>
          <w:szCs w:val="28"/>
          <w:lang w:val="es-ES"/>
        </w:rPr>
        <w:t xml:space="preserve">Ministerio de Defensa y </w:t>
      </w:r>
      <w:r w:rsidR="0059032A" w:rsidRPr="00B41EAD">
        <w:rPr>
          <w:color w:val="000000" w:themeColor="text1"/>
          <w:sz w:val="28"/>
          <w:szCs w:val="28"/>
          <w:lang w:val="es-ES"/>
        </w:rPr>
        <w:t>el Ejército Nacional</w:t>
      </w:r>
      <w:r w:rsidR="00B22BE0" w:rsidRPr="00B41EAD">
        <w:rPr>
          <w:color w:val="000000" w:themeColor="text1"/>
          <w:sz w:val="28"/>
          <w:szCs w:val="28"/>
          <w:lang w:val="es-ES"/>
        </w:rPr>
        <w:t>, por el fallecimiento del señor Carlos Mario Durango Vallejo</w:t>
      </w:r>
      <w:r w:rsidRPr="00B41EAD">
        <w:rPr>
          <w:color w:val="000000" w:themeColor="text1"/>
          <w:sz w:val="28"/>
          <w:szCs w:val="28"/>
          <w:lang w:val="es-ES"/>
        </w:rPr>
        <w:t xml:space="preserve">. </w:t>
      </w:r>
    </w:p>
    <w:p w14:paraId="72277D86" w14:textId="77777777" w:rsidR="00B85349" w:rsidRPr="00B41EAD" w:rsidRDefault="00B85349" w:rsidP="00B85349">
      <w:pPr>
        <w:pStyle w:val="Prrafodelista"/>
        <w:ind w:left="0"/>
        <w:jc w:val="both"/>
        <w:rPr>
          <w:color w:val="000000" w:themeColor="text1"/>
          <w:sz w:val="28"/>
          <w:szCs w:val="28"/>
          <w:lang w:val="es-ES"/>
        </w:rPr>
      </w:pPr>
    </w:p>
    <w:p w14:paraId="69C3EE42" w14:textId="3D381831" w:rsidR="00F8075C" w:rsidRPr="00B41EAD" w:rsidRDefault="006E2DD2" w:rsidP="006E2DD2">
      <w:pPr>
        <w:pStyle w:val="Prrafodelista"/>
        <w:numPr>
          <w:ilvl w:val="0"/>
          <w:numId w:val="9"/>
        </w:numPr>
        <w:ind w:left="0" w:firstLine="0"/>
        <w:jc w:val="both"/>
        <w:rPr>
          <w:color w:val="000000" w:themeColor="text1"/>
          <w:sz w:val="28"/>
          <w:szCs w:val="28"/>
          <w:lang w:val="es-ES"/>
        </w:rPr>
      </w:pPr>
      <w:r w:rsidRPr="00B41EAD">
        <w:rPr>
          <w:color w:val="000000" w:themeColor="text1"/>
          <w:sz w:val="28"/>
          <w:szCs w:val="28"/>
          <w:lang w:val="es-ES"/>
        </w:rPr>
        <w:lastRenderedPageBreak/>
        <w:t xml:space="preserve">En el expediente </w:t>
      </w:r>
      <w:r w:rsidRPr="00B41EAD">
        <w:rPr>
          <w:b/>
          <w:bCs/>
          <w:color w:val="000000" w:themeColor="text1"/>
          <w:sz w:val="28"/>
          <w:szCs w:val="28"/>
          <w:lang w:val="es-ES"/>
        </w:rPr>
        <w:t xml:space="preserve">T-10.007.411, </w:t>
      </w:r>
      <w:r w:rsidR="008F4DA9" w:rsidRPr="00B41EAD">
        <w:rPr>
          <w:color w:val="000000" w:themeColor="text1"/>
          <w:sz w:val="28"/>
          <w:szCs w:val="28"/>
          <w:lang w:val="es-ES"/>
        </w:rPr>
        <w:t xml:space="preserve">la </w:t>
      </w:r>
      <w:r w:rsidR="00DC096A" w:rsidRPr="00B41EAD">
        <w:rPr>
          <w:color w:val="000000" w:themeColor="text1"/>
          <w:sz w:val="28"/>
          <w:szCs w:val="28"/>
          <w:lang w:val="es-ES"/>
        </w:rPr>
        <w:t>S</w:t>
      </w:r>
      <w:r w:rsidR="008F4DA9" w:rsidRPr="00B41EAD">
        <w:rPr>
          <w:color w:val="000000" w:themeColor="text1"/>
          <w:sz w:val="28"/>
          <w:szCs w:val="28"/>
          <w:lang w:val="es-ES"/>
        </w:rPr>
        <w:t xml:space="preserve">entencia </w:t>
      </w:r>
      <w:r w:rsidRPr="00B41EAD">
        <w:rPr>
          <w:color w:val="000000" w:themeColor="text1"/>
          <w:sz w:val="28"/>
          <w:szCs w:val="28"/>
          <w:lang w:val="es-ES"/>
        </w:rPr>
        <w:t>d</w:t>
      </w:r>
      <w:r w:rsidR="001E0307" w:rsidRPr="00B41EAD">
        <w:rPr>
          <w:color w:val="000000" w:themeColor="text1"/>
          <w:sz w:val="28"/>
          <w:szCs w:val="28"/>
          <w:lang w:val="es-ES"/>
        </w:rPr>
        <w:t xml:space="preserve">el 13 de julio de 2023, proferida en primera instancia por la Subsección A de la Sección Segunda del Consejo de Estado, y la sentencia </w:t>
      </w:r>
      <w:r w:rsidR="008E6D36" w:rsidRPr="00B41EAD">
        <w:rPr>
          <w:color w:val="000000" w:themeColor="text1"/>
          <w:sz w:val="28"/>
          <w:szCs w:val="28"/>
          <w:lang w:val="es-ES"/>
        </w:rPr>
        <w:t>del 1 de noviembre de 2023, proferida en segunda instancia por la S</w:t>
      </w:r>
      <w:r w:rsidR="00DC107D" w:rsidRPr="00B41EAD">
        <w:rPr>
          <w:color w:val="000000" w:themeColor="text1"/>
          <w:sz w:val="28"/>
          <w:szCs w:val="28"/>
          <w:lang w:val="es-ES"/>
        </w:rPr>
        <w:t xml:space="preserve">ubsección B de la Sección Segunda </w:t>
      </w:r>
      <w:r w:rsidR="008618A1" w:rsidRPr="00B41EAD">
        <w:rPr>
          <w:color w:val="000000" w:themeColor="text1"/>
          <w:sz w:val="28"/>
          <w:szCs w:val="28"/>
          <w:lang w:val="es-ES"/>
        </w:rPr>
        <w:t xml:space="preserve">del Consejo de Estado, frente a la acción de tutela </w:t>
      </w:r>
      <w:r w:rsidR="00BB6740" w:rsidRPr="00B41EAD">
        <w:rPr>
          <w:color w:val="000000" w:themeColor="text1"/>
          <w:sz w:val="28"/>
          <w:szCs w:val="28"/>
          <w:lang w:val="es-ES"/>
        </w:rPr>
        <w:t>instaurada por la señora Diana Marcela Cortes Herrera</w:t>
      </w:r>
      <w:r w:rsidR="00652832" w:rsidRPr="00B41EAD">
        <w:rPr>
          <w:color w:val="000000" w:themeColor="text1"/>
          <w:sz w:val="28"/>
          <w:szCs w:val="28"/>
          <w:lang w:val="es-ES"/>
        </w:rPr>
        <w:t xml:space="preserve"> y otro contra el Tribunal Administrativo del Tolima</w:t>
      </w:r>
      <w:r w:rsidR="0059032A" w:rsidRPr="00B41EAD">
        <w:rPr>
          <w:color w:val="000000" w:themeColor="text1"/>
          <w:sz w:val="28"/>
          <w:szCs w:val="28"/>
          <w:lang w:val="es-ES"/>
        </w:rPr>
        <w:t xml:space="preserve">, </w:t>
      </w:r>
      <w:r w:rsidR="00CC3B82" w:rsidRPr="00B41EAD">
        <w:rPr>
          <w:color w:val="000000" w:themeColor="text1"/>
          <w:sz w:val="28"/>
          <w:szCs w:val="28"/>
          <w:lang w:val="es-ES"/>
        </w:rPr>
        <w:t>con motivo de</w:t>
      </w:r>
      <w:r w:rsidR="0059032A" w:rsidRPr="00B41EAD">
        <w:rPr>
          <w:color w:val="000000" w:themeColor="text1"/>
          <w:sz w:val="28"/>
          <w:szCs w:val="28"/>
          <w:lang w:val="es-ES"/>
        </w:rPr>
        <w:t xml:space="preserve"> la</w:t>
      </w:r>
      <w:r w:rsidRPr="00B41EAD">
        <w:rPr>
          <w:color w:val="000000" w:themeColor="text1"/>
          <w:sz w:val="28"/>
          <w:szCs w:val="28"/>
          <w:lang w:val="es-ES"/>
        </w:rPr>
        <w:t xml:space="preserve"> providencia judicial </w:t>
      </w:r>
      <w:r w:rsidR="00704D27" w:rsidRPr="00B41EAD">
        <w:rPr>
          <w:color w:val="000000" w:themeColor="text1"/>
          <w:sz w:val="28"/>
          <w:szCs w:val="28"/>
          <w:lang w:val="es-ES"/>
        </w:rPr>
        <w:t xml:space="preserve">que esta autoridad </w:t>
      </w:r>
      <w:r w:rsidRPr="00B41EAD">
        <w:rPr>
          <w:color w:val="000000" w:themeColor="text1"/>
          <w:sz w:val="28"/>
          <w:szCs w:val="28"/>
          <w:lang w:val="es-ES"/>
        </w:rPr>
        <w:t xml:space="preserve">judicial </w:t>
      </w:r>
      <w:r w:rsidR="00CC3B82" w:rsidRPr="00B41EAD">
        <w:rPr>
          <w:color w:val="000000" w:themeColor="text1"/>
          <w:sz w:val="28"/>
          <w:szCs w:val="28"/>
          <w:lang w:val="es-ES"/>
        </w:rPr>
        <w:t>profirió</w:t>
      </w:r>
      <w:r w:rsidR="00F974D1" w:rsidRPr="00B41EAD">
        <w:rPr>
          <w:color w:val="000000" w:themeColor="text1"/>
          <w:sz w:val="28"/>
          <w:szCs w:val="28"/>
          <w:lang w:val="es-ES"/>
        </w:rPr>
        <w:t xml:space="preserve"> el 2 de marzo de 2023</w:t>
      </w:r>
      <w:r w:rsidRPr="00B41EAD">
        <w:rPr>
          <w:color w:val="000000" w:themeColor="text1"/>
          <w:sz w:val="28"/>
          <w:szCs w:val="28"/>
          <w:lang w:val="es-ES"/>
        </w:rPr>
        <w:t>,</w:t>
      </w:r>
      <w:r w:rsidR="008D00C1" w:rsidRPr="00B41EAD">
        <w:rPr>
          <w:color w:val="000000" w:themeColor="text1"/>
          <w:sz w:val="28"/>
          <w:szCs w:val="28"/>
          <w:lang w:val="es-ES"/>
        </w:rPr>
        <w:t xml:space="preserve"> dentro </w:t>
      </w:r>
      <w:r w:rsidRPr="00B41EAD">
        <w:rPr>
          <w:color w:val="000000" w:themeColor="text1"/>
          <w:sz w:val="28"/>
          <w:szCs w:val="28"/>
          <w:lang w:val="es-ES"/>
        </w:rPr>
        <w:t>del proceso de</w:t>
      </w:r>
      <w:r w:rsidR="008D00C1" w:rsidRPr="00B41EAD">
        <w:rPr>
          <w:color w:val="000000" w:themeColor="text1"/>
          <w:sz w:val="28"/>
          <w:szCs w:val="28"/>
          <w:lang w:val="es-ES"/>
        </w:rPr>
        <w:t xml:space="preserve"> reparación directa </w:t>
      </w:r>
      <w:r w:rsidRPr="00B41EAD">
        <w:rPr>
          <w:color w:val="000000" w:themeColor="text1"/>
          <w:sz w:val="28"/>
          <w:szCs w:val="28"/>
          <w:lang w:val="es-ES"/>
        </w:rPr>
        <w:t xml:space="preserve">promovido </w:t>
      </w:r>
      <w:r w:rsidR="008D00C1" w:rsidRPr="00B41EAD">
        <w:rPr>
          <w:color w:val="000000" w:themeColor="text1"/>
          <w:sz w:val="28"/>
          <w:szCs w:val="28"/>
          <w:lang w:val="es-ES"/>
        </w:rPr>
        <w:t xml:space="preserve">contra </w:t>
      </w:r>
      <w:r w:rsidR="00B22BE0" w:rsidRPr="00B41EAD">
        <w:rPr>
          <w:color w:val="000000" w:themeColor="text1"/>
          <w:sz w:val="28"/>
          <w:szCs w:val="28"/>
          <w:lang w:val="es-ES"/>
        </w:rPr>
        <w:t>el</w:t>
      </w:r>
      <w:r w:rsidR="008D00C1" w:rsidRPr="00B41EAD">
        <w:rPr>
          <w:color w:val="000000" w:themeColor="text1"/>
          <w:sz w:val="28"/>
          <w:szCs w:val="28"/>
          <w:lang w:val="es-ES"/>
        </w:rPr>
        <w:t xml:space="preserve"> Ministerio de Defensa y el </w:t>
      </w:r>
      <w:r w:rsidR="00001E19" w:rsidRPr="00B41EAD">
        <w:rPr>
          <w:color w:val="000000" w:themeColor="text1"/>
          <w:sz w:val="28"/>
          <w:szCs w:val="28"/>
          <w:lang w:val="es-ES"/>
        </w:rPr>
        <w:t>Ejército Nacional</w:t>
      </w:r>
      <w:r w:rsidRPr="00B41EAD">
        <w:rPr>
          <w:color w:val="000000" w:themeColor="text1"/>
          <w:sz w:val="28"/>
          <w:szCs w:val="28"/>
          <w:lang w:val="es-ES"/>
        </w:rPr>
        <w:t xml:space="preserve">, con ocasión del fallecimiento del señor </w:t>
      </w:r>
      <w:r w:rsidR="00B22BE0" w:rsidRPr="00B41EAD">
        <w:rPr>
          <w:color w:val="000000" w:themeColor="text1"/>
          <w:sz w:val="28"/>
          <w:szCs w:val="28"/>
          <w:lang w:val="es-ES"/>
        </w:rPr>
        <w:t>Jorge Armando Guevara Pérez.</w:t>
      </w:r>
    </w:p>
    <w:p w14:paraId="179838A0" w14:textId="77777777" w:rsidR="00F8075C" w:rsidRPr="00B41EAD" w:rsidRDefault="00F8075C" w:rsidP="00A76B5F">
      <w:pPr>
        <w:jc w:val="both"/>
        <w:rPr>
          <w:color w:val="000000" w:themeColor="text1"/>
          <w:sz w:val="28"/>
          <w:szCs w:val="28"/>
          <w:lang w:val="es-ES"/>
        </w:rPr>
      </w:pPr>
    </w:p>
    <w:p w14:paraId="195412DF" w14:textId="718B761E" w:rsidR="00F8075C" w:rsidRPr="00B41EAD" w:rsidRDefault="002D09D3" w:rsidP="002D09D3">
      <w:pPr>
        <w:pStyle w:val="Ttulo1"/>
        <w:numPr>
          <w:ilvl w:val="0"/>
          <w:numId w:val="0"/>
        </w:numPr>
        <w:ind w:right="-1"/>
        <w:jc w:val="center"/>
        <w:rPr>
          <w:b/>
          <w:bCs/>
          <w:color w:val="000000" w:themeColor="text1"/>
          <w:sz w:val="28"/>
          <w:szCs w:val="28"/>
          <w:lang w:val="es-ES"/>
        </w:rPr>
      </w:pPr>
      <w:r w:rsidRPr="00B41EAD">
        <w:rPr>
          <w:b/>
          <w:bCs/>
          <w:color w:val="000000" w:themeColor="text1"/>
          <w:sz w:val="28"/>
          <w:szCs w:val="28"/>
          <w:lang w:val="es-ES"/>
        </w:rPr>
        <w:t>Síntesis de la decisión</w:t>
      </w:r>
    </w:p>
    <w:p w14:paraId="45D31C91" w14:textId="2D3983C1" w:rsidR="00F8075C" w:rsidRPr="00B41EAD" w:rsidRDefault="00F8075C" w:rsidP="002D09D3">
      <w:pPr>
        <w:jc w:val="both"/>
        <w:rPr>
          <w:color w:val="000000" w:themeColor="text1"/>
          <w:sz w:val="28"/>
          <w:szCs w:val="28"/>
          <w:lang w:val="es-ES"/>
        </w:rPr>
      </w:pPr>
    </w:p>
    <w:p w14:paraId="34D87F9B" w14:textId="77777777"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La Sala Plena de la Corte Constitucional estudió dos acciones de tutela promovidas en contra de decisiones judiciales que declararon la caducidad de las demandas de reparación directa formuladas por la comisión de presuntas ejecuciones extrajudiciales atribuidas a agentes del Estado. </w:t>
      </w:r>
    </w:p>
    <w:p w14:paraId="70A43F63" w14:textId="77777777" w:rsidR="002D09D3" w:rsidRPr="00B41EAD" w:rsidRDefault="002D09D3" w:rsidP="002D09D3">
      <w:pPr>
        <w:jc w:val="both"/>
        <w:rPr>
          <w:color w:val="000000" w:themeColor="text1"/>
          <w:sz w:val="28"/>
          <w:szCs w:val="28"/>
          <w:lang w:val="es-ES"/>
        </w:rPr>
      </w:pPr>
    </w:p>
    <w:p w14:paraId="6820B040" w14:textId="77777777"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En el primer caso analizado, la Subsección C de la Sección Tercera del Consejo de Estado había declarado la caducidad del medio de control de reparación directa formulado por la presunta ejecución extrajudicial del señor Carlos Mario Durango Vallejo, al considerar que el término debía contarse desde el momento en el que ocurrió el deceso. </w:t>
      </w:r>
    </w:p>
    <w:p w14:paraId="491667AF" w14:textId="77777777" w:rsidR="002D09D3" w:rsidRPr="00B41EAD" w:rsidRDefault="002D09D3" w:rsidP="002D09D3">
      <w:pPr>
        <w:jc w:val="both"/>
        <w:rPr>
          <w:color w:val="000000" w:themeColor="text1"/>
          <w:sz w:val="28"/>
          <w:szCs w:val="28"/>
          <w:lang w:val="es-ES"/>
        </w:rPr>
      </w:pPr>
    </w:p>
    <w:p w14:paraId="7B9475A5" w14:textId="77777777"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En el segundo caso, el Tribunal Administrativo del Tolima declaró la caducidad del medio de control formulado con ocasión de la presunta ejecución extrajudicial del señor Jorge Armando Guevara Pérez, al considerar que el término debía contarse a partir de una entrevista rendida ante la </w:t>
      </w:r>
      <w:proofErr w:type="gramStart"/>
      <w:r w:rsidRPr="00B41EAD">
        <w:rPr>
          <w:color w:val="000000" w:themeColor="text1"/>
          <w:sz w:val="28"/>
          <w:szCs w:val="28"/>
          <w:lang w:val="es-ES"/>
        </w:rPr>
        <w:t>Fiscalía General</w:t>
      </w:r>
      <w:proofErr w:type="gramEnd"/>
      <w:r w:rsidRPr="00B41EAD">
        <w:rPr>
          <w:color w:val="000000" w:themeColor="text1"/>
          <w:sz w:val="28"/>
          <w:szCs w:val="28"/>
          <w:lang w:val="es-ES"/>
        </w:rPr>
        <w:t xml:space="preserve"> de la Nación, en la que la demandante afirmó haber escuchado que el deceso de la víctima pudo haber sido un "falso positivo".</w:t>
      </w:r>
    </w:p>
    <w:p w14:paraId="09722950" w14:textId="77777777" w:rsidR="002D09D3" w:rsidRPr="00B41EAD" w:rsidRDefault="002D09D3" w:rsidP="002D09D3">
      <w:pPr>
        <w:jc w:val="both"/>
        <w:rPr>
          <w:color w:val="000000" w:themeColor="text1"/>
          <w:sz w:val="28"/>
          <w:szCs w:val="28"/>
          <w:lang w:val="es-ES"/>
        </w:rPr>
      </w:pPr>
    </w:p>
    <w:p w14:paraId="7BA7AAF7" w14:textId="77777777"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Bajo estas circunstancias, y en consideración de los argumentos expuestos por los tutelantes, la Sala se ocupó de resolver los siguientes problemas jurídicos: </w:t>
      </w:r>
    </w:p>
    <w:p w14:paraId="6A56BBD1" w14:textId="77777777" w:rsidR="002D09D3" w:rsidRPr="00B41EAD" w:rsidRDefault="002D09D3" w:rsidP="002D09D3">
      <w:pPr>
        <w:ind w:left="284"/>
        <w:jc w:val="both"/>
        <w:rPr>
          <w:color w:val="000000" w:themeColor="text1"/>
          <w:sz w:val="28"/>
          <w:szCs w:val="28"/>
          <w:lang w:val="es-ES"/>
        </w:rPr>
      </w:pPr>
    </w:p>
    <w:p w14:paraId="1C7024F5" w14:textId="2C04D5C9" w:rsidR="002D09D3" w:rsidRPr="00B41EAD" w:rsidRDefault="002D09D3" w:rsidP="002D09D3">
      <w:pPr>
        <w:numPr>
          <w:ilvl w:val="1"/>
          <w:numId w:val="8"/>
        </w:numPr>
        <w:ind w:left="284" w:firstLine="0"/>
        <w:jc w:val="both"/>
        <w:rPr>
          <w:color w:val="000000" w:themeColor="text1"/>
          <w:sz w:val="28"/>
          <w:szCs w:val="28"/>
          <w:lang w:val="es-ES"/>
        </w:rPr>
      </w:pPr>
      <w:r w:rsidRPr="00B41EAD">
        <w:rPr>
          <w:color w:val="000000" w:themeColor="text1"/>
          <w:sz w:val="28"/>
          <w:szCs w:val="28"/>
          <w:lang w:val="es-ES"/>
        </w:rPr>
        <w:t xml:space="preserve">¿En la providencia del 7 de septiembre de 2022, la  Subsección C de la Sección Tercera del Consejo de Estado incurrió en los defectos  fáctico y desconocimiento del precedente contenido en la </w:t>
      </w:r>
      <w:r w:rsidR="00DC096A" w:rsidRPr="00B41EAD">
        <w:rPr>
          <w:color w:val="000000" w:themeColor="text1"/>
          <w:sz w:val="28"/>
          <w:szCs w:val="28"/>
          <w:lang w:val="es-ES"/>
        </w:rPr>
        <w:t>S</w:t>
      </w:r>
      <w:r w:rsidRPr="00B41EAD">
        <w:rPr>
          <w:color w:val="000000" w:themeColor="text1"/>
          <w:sz w:val="28"/>
          <w:szCs w:val="28"/>
          <w:lang w:val="es-ES"/>
        </w:rPr>
        <w:t>entencia de unificación del 29 de enero de 2020</w:t>
      </w:r>
      <w:r w:rsidRPr="00B41EAD">
        <w:rPr>
          <w:color w:val="000000" w:themeColor="text1"/>
          <w:sz w:val="28"/>
          <w:szCs w:val="28"/>
          <w:vertAlign w:val="superscript"/>
          <w:lang w:val="es-ES"/>
        </w:rPr>
        <w:footnoteReference w:id="1"/>
      </w:r>
      <w:r w:rsidRPr="00B41EAD">
        <w:rPr>
          <w:color w:val="000000" w:themeColor="text1"/>
          <w:sz w:val="28"/>
          <w:szCs w:val="28"/>
          <w:lang w:val="es-ES"/>
        </w:rPr>
        <w:t>, al declarar la caducidad del medio de control de reparación directa promovido con ocasión de la presunta ejecución extrajudicial del señor Carlos Mario Durango Vallejo, tomando como fecha de inicio para la contabilización del término de caducidad el día del deceso de la víctima directa, al considerar que desde ese momento los demandantes conocían las circunstancias en las que ocurrieron los hechos?</w:t>
      </w:r>
    </w:p>
    <w:p w14:paraId="1546914A" w14:textId="77777777" w:rsidR="002D09D3" w:rsidRPr="00B41EAD" w:rsidRDefault="002D09D3" w:rsidP="002D09D3">
      <w:pPr>
        <w:ind w:left="284"/>
        <w:jc w:val="both"/>
        <w:rPr>
          <w:color w:val="000000" w:themeColor="text1"/>
          <w:sz w:val="28"/>
          <w:szCs w:val="28"/>
          <w:lang w:val="es-ES"/>
        </w:rPr>
      </w:pPr>
    </w:p>
    <w:p w14:paraId="4F4085E5" w14:textId="22836AC0" w:rsidR="002D09D3" w:rsidRPr="00B41EAD" w:rsidRDefault="002D09D3" w:rsidP="002D09D3">
      <w:pPr>
        <w:numPr>
          <w:ilvl w:val="0"/>
          <w:numId w:val="8"/>
        </w:numPr>
        <w:ind w:left="284" w:firstLine="0"/>
        <w:jc w:val="both"/>
        <w:rPr>
          <w:color w:val="000000" w:themeColor="text1"/>
          <w:sz w:val="28"/>
          <w:szCs w:val="28"/>
          <w:lang w:val="es-ES"/>
        </w:rPr>
      </w:pPr>
      <w:r w:rsidRPr="00B41EAD">
        <w:rPr>
          <w:color w:val="000000" w:themeColor="text1"/>
          <w:sz w:val="28"/>
          <w:szCs w:val="28"/>
          <w:lang w:val="es-ES"/>
        </w:rPr>
        <w:lastRenderedPageBreak/>
        <w:t xml:space="preserve">¿En la </w:t>
      </w:r>
      <w:r w:rsidR="00DC096A" w:rsidRPr="00B41EAD">
        <w:rPr>
          <w:color w:val="000000" w:themeColor="text1"/>
          <w:sz w:val="28"/>
          <w:szCs w:val="28"/>
          <w:lang w:val="es-ES"/>
        </w:rPr>
        <w:t>S</w:t>
      </w:r>
      <w:r w:rsidRPr="00B41EAD">
        <w:rPr>
          <w:color w:val="000000" w:themeColor="text1"/>
          <w:sz w:val="28"/>
          <w:szCs w:val="28"/>
          <w:lang w:val="es-ES"/>
        </w:rPr>
        <w:t xml:space="preserve">entencia del 2 de marzo de 2023, el Tribunal Administrativo del Tolima incurrió en defecto fáctico al declarar que el término de caducidad del medio de control de reparación directa promovido con ocasión de la presunta ejecución extrajudicial del señor Jorge Armando Guevara Pérez debía contabilizarse desde el 17 de marzo de 2010, cuando la demandante rindió una entrevista ante la Fiscalía General de la Nación en la que afirmó que el deceso de la víctima pudo haberse tratado de “un falso positivo”, sin </w:t>
      </w:r>
      <w:r w:rsidR="00DC096A" w:rsidRPr="00B41EAD">
        <w:rPr>
          <w:color w:val="000000" w:themeColor="text1"/>
          <w:sz w:val="28"/>
          <w:szCs w:val="28"/>
          <w:lang w:val="es-ES"/>
        </w:rPr>
        <w:t xml:space="preserve">considerar </w:t>
      </w:r>
      <w:r w:rsidRPr="00B41EAD">
        <w:rPr>
          <w:color w:val="000000" w:themeColor="text1"/>
          <w:sz w:val="28"/>
          <w:szCs w:val="28"/>
          <w:lang w:val="es-ES"/>
        </w:rPr>
        <w:t>ningún elemento de prueba adicional?</w:t>
      </w:r>
    </w:p>
    <w:p w14:paraId="795D7D00" w14:textId="77777777" w:rsidR="002D09D3" w:rsidRPr="00B41EAD" w:rsidRDefault="002D09D3" w:rsidP="002D09D3">
      <w:pPr>
        <w:ind w:left="284"/>
        <w:jc w:val="both"/>
        <w:rPr>
          <w:color w:val="000000" w:themeColor="text1"/>
          <w:sz w:val="28"/>
          <w:szCs w:val="28"/>
          <w:lang w:val="es-ES"/>
        </w:rPr>
      </w:pPr>
    </w:p>
    <w:p w14:paraId="12916EE6" w14:textId="5A1AA1B3" w:rsidR="002D09D3" w:rsidRPr="00B41EAD" w:rsidRDefault="002D09D3" w:rsidP="002D09D3">
      <w:pPr>
        <w:numPr>
          <w:ilvl w:val="0"/>
          <w:numId w:val="8"/>
        </w:numPr>
        <w:ind w:left="284" w:firstLine="0"/>
        <w:jc w:val="both"/>
        <w:rPr>
          <w:color w:val="000000" w:themeColor="text1"/>
          <w:sz w:val="28"/>
          <w:szCs w:val="28"/>
          <w:lang w:val="es-ES"/>
        </w:rPr>
      </w:pPr>
      <w:r w:rsidRPr="00B41EAD">
        <w:rPr>
          <w:color w:val="000000" w:themeColor="text1"/>
          <w:sz w:val="28"/>
          <w:szCs w:val="28"/>
          <w:lang w:val="es-ES"/>
        </w:rPr>
        <w:t xml:space="preserve">¿En la </w:t>
      </w:r>
      <w:r w:rsidR="00DC096A" w:rsidRPr="00B41EAD">
        <w:rPr>
          <w:color w:val="000000" w:themeColor="text1"/>
          <w:sz w:val="28"/>
          <w:szCs w:val="28"/>
          <w:lang w:val="es-ES"/>
        </w:rPr>
        <w:t>S</w:t>
      </w:r>
      <w:r w:rsidRPr="00B41EAD">
        <w:rPr>
          <w:color w:val="000000" w:themeColor="text1"/>
          <w:sz w:val="28"/>
          <w:szCs w:val="28"/>
          <w:lang w:val="es-ES"/>
        </w:rPr>
        <w:t xml:space="preserve">entencia del 2 de marzo de 2023, el Tribunal Administrativo del Tolima </w:t>
      </w:r>
      <w:proofErr w:type="gramStart"/>
      <w:r w:rsidRPr="00B41EAD">
        <w:rPr>
          <w:color w:val="000000" w:themeColor="text1"/>
          <w:sz w:val="28"/>
          <w:szCs w:val="28"/>
          <w:lang w:val="es-ES"/>
        </w:rPr>
        <w:t>incurrió  en</w:t>
      </w:r>
      <w:proofErr w:type="gramEnd"/>
      <w:r w:rsidRPr="00B41EAD">
        <w:rPr>
          <w:color w:val="000000" w:themeColor="text1"/>
          <w:sz w:val="28"/>
          <w:szCs w:val="28"/>
          <w:lang w:val="es-ES"/>
        </w:rPr>
        <w:t xml:space="preserve"> desconocimiento del precedente judicial contenido en la </w:t>
      </w:r>
      <w:r w:rsidR="00DC096A" w:rsidRPr="00B41EAD">
        <w:rPr>
          <w:color w:val="000000" w:themeColor="text1"/>
          <w:sz w:val="28"/>
          <w:szCs w:val="28"/>
          <w:lang w:val="es-ES"/>
        </w:rPr>
        <w:t>S</w:t>
      </w:r>
      <w:r w:rsidRPr="00B41EAD">
        <w:rPr>
          <w:color w:val="000000" w:themeColor="text1"/>
          <w:sz w:val="28"/>
          <w:szCs w:val="28"/>
          <w:lang w:val="es-ES"/>
        </w:rPr>
        <w:t xml:space="preserve">entencia del 30 de agosto de 2021, emitida por la Subsección B de la Sección Tercera del Consejo de Estado, sobre la valoración garantista del término de la caducidad del medio de control de reparación directa, y en la </w:t>
      </w:r>
      <w:r w:rsidR="00DC096A" w:rsidRPr="00B41EAD">
        <w:rPr>
          <w:color w:val="000000" w:themeColor="text1"/>
          <w:sz w:val="28"/>
          <w:szCs w:val="28"/>
          <w:lang w:val="es-ES"/>
        </w:rPr>
        <w:t>S</w:t>
      </w:r>
      <w:r w:rsidRPr="00B41EAD">
        <w:rPr>
          <w:color w:val="000000" w:themeColor="text1"/>
          <w:sz w:val="28"/>
          <w:szCs w:val="28"/>
          <w:lang w:val="es-ES"/>
        </w:rPr>
        <w:t>entencia SU-060 de 2021 de la Corte Constitucional sobre la labor judicial en casos de graves violaciones de derechos humanos?</w:t>
      </w:r>
    </w:p>
    <w:p w14:paraId="705837CE" w14:textId="77777777" w:rsidR="002D09D3" w:rsidRPr="00B41EAD" w:rsidRDefault="002D09D3" w:rsidP="002D09D3">
      <w:pPr>
        <w:ind w:left="284"/>
        <w:jc w:val="both"/>
        <w:rPr>
          <w:color w:val="000000" w:themeColor="text1"/>
          <w:sz w:val="28"/>
          <w:szCs w:val="28"/>
          <w:lang w:val="es-ES"/>
        </w:rPr>
      </w:pPr>
    </w:p>
    <w:p w14:paraId="0361DA44" w14:textId="3F5FC211"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Para dar respuestas a estos interrogantes, la Sala reiteró la jurisprudencia actualmente vigente en materia de valoración de la caducidad del medio de control de reparación directa, en casos de presuntas graves violaciones de derechos humanos. En particular, recordó que el principal precedente judicial vinculante en este tipo de asuntos es, por un lado, la </w:t>
      </w:r>
      <w:r w:rsidR="00DC096A" w:rsidRPr="00B41EAD">
        <w:rPr>
          <w:color w:val="000000" w:themeColor="text1"/>
          <w:sz w:val="28"/>
          <w:szCs w:val="28"/>
          <w:lang w:val="es-ES"/>
        </w:rPr>
        <w:t>S</w:t>
      </w:r>
      <w:r w:rsidRPr="00B41EAD">
        <w:rPr>
          <w:color w:val="000000" w:themeColor="text1"/>
          <w:sz w:val="28"/>
          <w:szCs w:val="28"/>
          <w:lang w:val="es-ES"/>
        </w:rPr>
        <w:t>entencia de unificación del 29 de enero de 2020, adoptada por la Sala Plena de la Sección Tercera del Consejo de Estado y, por otro lado, la Sentencia SU-312 de 2020</w:t>
      </w:r>
      <w:r w:rsidRPr="00B41EAD">
        <w:rPr>
          <w:color w:val="000000" w:themeColor="text1"/>
          <w:sz w:val="28"/>
          <w:szCs w:val="28"/>
          <w:vertAlign w:val="superscript"/>
          <w:lang w:val="es-ES"/>
        </w:rPr>
        <w:footnoteReference w:id="2"/>
      </w:r>
      <w:r w:rsidRPr="00B41EAD">
        <w:rPr>
          <w:color w:val="000000" w:themeColor="text1"/>
          <w:sz w:val="28"/>
          <w:szCs w:val="28"/>
          <w:lang w:val="es-ES"/>
        </w:rPr>
        <w:t xml:space="preserve"> de la Corte Constitucional, en la que se fijaron las subreglas jurisprudenciales aplicables en la materia</w:t>
      </w:r>
      <w:r w:rsidR="008A74FD" w:rsidRPr="00B41EAD">
        <w:rPr>
          <w:color w:val="000000" w:themeColor="text1"/>
          <w:sz w:val="28"/>
          <w:szCs w:val="28"/>
          <w:lang w:val="es-ES"/>
        </w:rPr>
        <w:t xml:space="preserve">; así como el desarrollo que ha tenido esta línea jurisprudencial en decisiones posteriores, como lo son las </w:t>
      </w:r>
      <w:r w:rsidR="00FC681E" w:rsidRPr="00B41EAD">
        <w:rPr>
          <w:color w:val="000000" w:themeColor="text1"/>
          <w:sz w:val="28"/>
          <w:szCs w:val="28"/>
          <w:lang w:val="es-ES"/>
        </w:rPr>
        <w:t>s</w:t>
      </w:r>
      <w:r w:rsidR="008A74FD" w:rsidRPr="00B41EAD">
        <w:rPr>
          <w:color w:val="000000" w:themeColor="text1"/>
          <w:sz w:val="28"/>
          <w:szCs w:val="28"/>
          <w:lang w:val="es-ES"/>
        </w:rPr>
        <w:t>entencias T-044 de 2022</w:t>
      </w:r>
      <w:r w:rsidR="008A74FD" w:rsidRPr="00B41EAD">
        <w:rPr>
          <w:rStyle w:val="Refdenotaalpie"/>
          <w:color w:val="000000" w:themeColor="text1"/>
          <w:sz w:val="28"/>
          <w:szCs w:val="28"/>
          <w:lang w:val="es-ES"/>
        </w:rPr>
        <w:footnoteReference w:id="3"/>
      </w:r>
      <w:r w:rsidR="008A74FD" w:rsidRPr="00B41EAD">
        <w:rPr>
          <w:color w:val="000000" w:themeColor="text1"/>
          <w:sz w:val="28"/>
          <w:szCs w:val="28"/>
          <w:lang w:val="es-ES"/>
        </w:rPr>
        <w:t xml:space="preserve"> y SU-167 de 2023</w:t>
      </w:r>
      <w:r w:rsidR="008A74FD" w:rsidRPr="00B41EAD">
        <w:rPr>
          <w:rStyle w:val="Refdenotaalpie"/>
          <w:color w:val="000000" w:themeColor="text1"/>
          <w:sz w:val="28"/>
          <w:szCs w:val="28"/>
          <w:lang w:val="es-ES"/>
        </w:rPr>
        <w:footnoteReference w:id="4"/>
      </w:r>
      <w:r w:rsidR="008A74FD" w:rsidRPr="00B41EAD">
        <w:rPr>
          <w:color w:val="000000" w:themeColor="text1"/>
          <w:sz w:val="28"/>
          <w:szCs w:val="28"/>
          <w:lang w:val="es-ES"/>
        </w:rPr>
        <w:t>.</w:t>
      </w:r>
    </w:p>
    <w:p w14:paraId="5BFF2311" w14:textId="77777777" w:rsidR="002D09D3" w:rsidRPr="00B41EAD" w:rsidRDefault="002D09D3" w:rsidP="002D09D3">
      <w:pPr>
        <w:jc w:val="both"/>
        <w:rPr>
          <w:color w:val="000000" w:themeColor="text1"/>
          <w:sz w:val="28"/>
          <w:szCs w:val="28"/>
          <w:lang w:val="es-ES"/>
        </w:rPr>
      </w:pPr>
    </w:p>
    <w:p w14:paraId="65F11E23" w14:textId="356F8A67"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Así, en relación con el primer problema jurídico, la Sala concluyó que la autoridad judicial accionada incurrió concurrentemente en un defecto fáctico por indebida valoración probatoria y en desconocimiento de los precedentes previamente citados. En particular, estableció que en la providencia controvertida se dejó de lado que el término de caducidad debía contabilizarse a partir de dos presupuestos: (i) desde el momento en que los demandantes hubieran tenido conocimiento de que el menoscabo fue causado por el Estado y (</w:t>
      </w:r>
      <w:proofErr w:type="spellStart"/>
      <w:r w:rsidRPr="00B41EAD">
        <w:rPr>
          <w:color w:val="000000" w:themeColor="text1"/>
          <w:sz w:val="28"/>
          <w:szCs w:val="28"/>
          <w:lang w:val="es-ES"/>
        </w:rPr>
        <w:t>ii</w:t>
      </w:r>
      <w:proofErr w:type="spellEnd"/>
      <w:r w:rsidRPr="00B41EAD">
        <w:rPr>
          <w:color w:val="000000" w:themeColor="text1"/>
          <w:sz w:val="28"/>
          <w:szCs w:val="28"/>
          <w:lang w:val="es-ES"/>
        </w:rPr>
        <w:t xml:space="preserve">) desde el momento en que la parte demandante se encuentre en capacidad material de imputarle el </w:t>
      </w:r>
      <w:r w:rsidR="00DC096A" w:rsidRPr="00B41EAD">
        <w:rPr>
          <w:color w:val="000000" w:themeColor="text1"/>
          <w:sz w:val="28"/>
          <w:szCs w:val="28"/>
          <w:lang w:val="es-ES"/>
        </w:rPr>
        <w:t xml:space="preserve">daño al Estado </w:t>
      </w:r>
      <w:r w:rsidRPr="00B41EAD">
        <w:rPr>
          <w:color w:val="000000" w:themeColor="text1"/>
          <w:sz w:val="28"/>
          <w:szCs w:val="28"/>
          <w:lang w:val="es-ES"/>
        </w:rPr>
        <w:t xml:space="preserve">ante el aparato </w:t>
      </w:r>
      <w:r w:rsidR="00DC096A" w:rsidRPr="00B41EAD">
        <w:rPr>
          <w:color w:val="000000" w:themeColor="text1"/>
          <w:sz w:val="28"/>
          <w:szCs w:val="28"/>
          <w:lang w:val="es-ES"/>
        </w:rPr>
        <w:t>judicial</w:t>
      </w:r>
      <w:r w:rsidRPr="00B41EAD">
        <w:rPr>
          <w:color w:val="000000" w:themeColor="text1"/>
          <w:sz w:val="28"/>
          <w:szCs w:val="28"/>
          <w:lang w:val="es-ES"/>
        </w:rPr>
        <w:t xml:space="preserve">. </w:t>
      </w:r>
    </w:p>
    <w:p w14:paraId="6E1E122F" w14:textId="77777777" w:rsidR="002D09D3" w:rsidRPr="00B41EAD" w:rsidRDefault="002D09D3" w:rsidP="002D09D3">
      <w:pPr>
        <w:jc w:val="both"/>
        <w:rPr>
          <w:color w:val="000000" w:themeColor="text1"/>
          <w:sz w:val="28"/>
          <w:szCs w:val="28"/>
          <w:lang w:val="es-ES"/>
        </w:rPr>
      </w:pPr>
    </w:p>
    <w:p w14:paraId="12AC7D61" w14:textId="77777777"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La Corte subrayó, además, que en estos casos la valoración de las pruebas debe obedecer a criterios contextuales y garantistas, de modo que la aplicación de las reglas procesales no puede darse rígidamente, con el propósito de obstaculizar injustificadamente el acceso efectivo a la administración de justicia, en desmedro de las garantías constitucionales de las víctimas de graves violaciones de derechos humanos. </w:t>
      </w:r>
    </w:p>
    <w:p w14:paraId="7E529FB7" w14:textId="77777777" w:rsidR="002D09D3" w:rsidRPr="00B41EAD" w:rsidRDefault="002D09D3" w:rsidP="002D09D3">
      <w:pPr>
        <w:jc w:val="both"/>
        <w:rPr>
          <w:color w:val="000000" w:themeColor="text1"/>
          <w:sz w:val="28"/>
          <w:szCs w:val="28"/>
          <w:lang w:val="es-ES"/>
        </w:rPr>
      </w:pPr>
    </w:p>
    <w:p w14:paraId="42C63980" w14:textId="729D983B"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Sobre el segundo problema jurídico, </w:t>
      </w:r>
      <w:r w:rsidR="00DC096A" w:rsidRPr="00B41EAD">
        <w:rPr>
          <w:color w:val="000000" w:themeColor="text1"/>
          <w:sz w:val="28"/>
          <w:szCs w:val="28"/>
          <w:lang w:val="es-ES"/>
        </w:rPr>
        <w:t xml:space="preserve">consideró </w:t>
      </w:r>
      <w:r w:rsidRPr="00B41EAD">
        <w:rPr>
          <w:color w:val="000000" w:themeColor="text1"/>
          <w:sz w:val="28"/>
          <w:szCs w:val="28"/>
          <w:lang w:val="es-ES"/>
        </w:rPr>
        <w:t xml:space="preserve">que la afirmación según la cual el caso pudo tratarse de “un falso positivo”, hecha por la demandante en una entrevista rendida ante la </w:t>
      </w:r>
      <w:proofErr w:type="gramStart"/>
      <w:r w:rsidRPr="00B41EAD">
        <w:rPr>
          <w:color w:val="000000" w:themeColor="text1"/>
          <w:sz w:val="28"/>
          <w:szCs w:val="28"/>
          <w:lang w:val="es-ES"/>
        </w:rPr>
        <w:t>Fiscalía General</w:t>
      </w:r>
      <w:proofErr w:type="gramEnd"/>
      <w:r w:rsidRPr="00B41EAD">
        <w:rPr>
          <w:color w:val="000000" w:themeColor="text1"/>
          <w:sz w:val="28"/>
          <w:szCs w:val="28"/>
          <w:lang w:val="es-ES"/>
        </w:rPr>
        <w:t xml:space="preserve"> de la Nación, era insuficiente para iniciar el cómputo del término de caducidad del medio de control.  Para la Sala, exigir a las víctimas que actúen basadas en simples sospechas o especulaciones, sin contar con elementos probatorios relevantes, resulta irrazonable y vulnera sus derechos fundamentales al debido proceso y al acceso efectivo a la administración de justicia, así como las garantías de verdad, reparación integral y no repetición. </w:t>
      </w:r>
    </w:p>
    <w:p w14:paraId="4998AD74" w14:textId="77777777" w:rsidR="002D09D3" w:rsidRPr="00B41EAD" w:rsidRDefault="002D09D3" w:rsidP="002D09D3">
      <w:pPr>
        <w:jc w:val="both"/>
        <w:rPr>
          <w:color w:val="000000" w:themeColor="text1"/>
          <w:sz w:val="28"/>
          <w:szCs w:val="28"/>
          <w:lang w:val="es-ES"/>
        </w:rPr>
      </w:pPr>
    </w:p>
    <w:p w14:paraId="01431FB3" w14:textId="292B6D56"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Respecto del tercer problema jurídico, </w:t>
      </w:r>
      <w:r w:rsidR="00DC096A" w:rsidRPr="00B41EAD">
        <w:rPr>
          <w:color w:val="000000" w:themeColor="text1"/>
          <w:sz w:val="28"/>
          <w:szCs w:val="28"/>
          <w:lang w:val="es-ES"/>
        </w:rPr>
        <w:t xml:space="preserve">la Sala </w:t>
      </w:r>
      <w:r w:rsidRPr="00B41EAD">
        <w:rPr>
          <w:color w:val="000000" w:themeColor="text1"/>
          <w:sz w:val="28"/>
          <w:szCs w:val="28"/>
          <w:lang w:val="es-ES"/>
        </w:rPr>
        <w:t xml:space="preserve">decidió que el Tribunal Administrativo del Tolima no incurrió en un defecto por desconocimiento del precedente judicial, ya que, al momento de valorar la caducidad del medio de control de reparación directa, se basó en las subreglas establecidas en la </w:t>
      </w:r>
      <w:r w:rsidR="00DC096A" w:rsidRPr="00B41EAD">
        <w:rPr>
          <w:color w:val="000000" w:themeColor="text1"/>
          <w:sz w:val="28"/>
          <w:szCs w:val="28"/>
          <w:lang w:val="es-ES"/>
        </w:rPr>
        <w:t>S</w:t>
      </w:r>
      <w:r w:rsidRPr="00B41EAD">
        <w:rPr>
          <w:color w:val="000000" w:themeColor="text1"/>
          <w:sz w:val="28"/>
          <w:szCs w:val="28"/>
          <w:lang w:val="es-ES"/>
        </w:rPr>
        <w:t xml:space="preserve">entencia de unificación del 29 de enero de 2020, la cual era el precedente vigente y obligatorio al momento de adoptarse la providencia cuestionada. En consecuencia, descartó que hubiera </w:t>
      </w:r>
      <w:r w:rsidR="00DC096A" w:rsidRPr="00B41EAD">
        <w:rPr>
          <w:color w:val="000000" w:themeColor="text1"/>
          <w:sz w:val="28"/>
          <w:szCs w:val="28"/>
          <w:lang w:val="es-ES"/>
        </w:rPr>
        <w:t xml:space="preserve">ignorado </w:t>
      </w:r>
      <w:r w:rsidRPr="00B41EAD">
        <w:rPr>
          <w:color w:val="000000" w:themeColor="text1"/>
          <w:sz w:val="28"/>
          <w:szCs w:val="28"/>
          <w:lang w:val="es-ES"/>
        </w:rPr>
        <w:t xml:space="preserve">los precedentes invocados por los accionantes, como la </w:t>
      </w:r>
      <w:r w:rsidR="00DC096A" w:rsidRPr="00B41EAD">
        <w:rPr>
          <w:color w:val="000000" w:themeColor="text1"/>
          <w:sz w:val="28"/>
          <w:szCs w:val="28"/>
          <w:lang w:val="es-ES"/>
        </w:rPr>
        <w:t>S</w:t>
      </w:r>
      <w:r w:rsidRPr="00B41EAD">
        <w:rPr>
          <w:color w:val="000000" w:themeColor="text1"/>
          <w:sz w:val="28"/>
          <w:szCs w:val="28"/>
          <w:lang w:val="es-ES"/>
        </w:rPr>
        <w:t xml:space="preserve">entencia del 30 de agosto de 2021 del Consejo de Estado y la Sentencia SU-060 de 2021, pues la primera no constituía el precedente vigente y la segunda no se había pronunciado sobre un caso estrictamente similar al ahora analizado. </w:t>
      </w:r>
    </w:p>
    <w:p w14:paraId="0723C05E" w14:textId="77777777" w:rsidR="002D09D3" w:rsidRPr="00B41EAD" w:rsidRDefault="002D09D3" w:rsidP="002D09D3">
      <w:pPr>
        <w:jc w:val="both"/>
        <w:rPr>
          <w:color w:val="000000" w:themeColor="text1"/>
          <w:sz w:val="28"/>
          <w:szCs w:val="28"/>
          <w:lang w:val="es-ES"/>
        </w:rPr>
      </w:pPr>
    </w:p>
    <w:p w14:paraId="01977B51" w14:textId="77777777"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De este modo, la Corte reafirmó, en general, la necesidad de aplicar un enfoque flexible y </w:t>
      </w:r>
      <w:proofErr w:type="gramStart"/>
      <w:r w:rsidRPr="00B41EAD">
        <w:rPr>
          <w:color w:val="000000" w:themeColor="text1"/>
          <w:sz w:val="28"/>
          <w:szCs w:val="28"/>
          <w:lang w:val="es-ES"/>
        </w:rPr>
        <w:t>pro víctima</w:t>
      </w:r>
      <w:proofErr w:type="gramEnd"/>
      <w:r w:rsidRPr="00B41EAD">
        <w:rPr>
          <w:color w:val="000000" w:themeColor="text1"/>
          <w:sz w:val="28"/>
          <w:szCs w:val="28"/>
          <w:lang w:val="es-ES"/>
        </w:rPr>
        <w:t xml:space="preserve"> en la interpretación de las reglas procesales, especialmente en casos que involucren presuntas ejecuciones extrajudiciales y otras formas de violaciones graves a los derechos humanos. En ese sentido, indicó que estos contextos exigen que las autoridades judiciales valoren las pruebas de manera más comprensiva y contextual, reconociendo las barreras estructurales que enfrentan las víctimas para acceder a la verdad y a la justicia, tales como las dificultades para obtener información veraz y desvirtuar, al menos </w:t>
      </w:r>
      <w:r w:rsidRPr="00B41EAD">
        <w:rPr>
          <w:i/>
          <w:iCs/>
          <w:color w:val="000000" w:themeColor="text1"/>
          <w:sz w:val="28"/>
          <w:szCs w:val="28"/>
          <w:lang w:val="es-ES"/>
        </w:rPr>
        <w:t>prima facie</w:t>
      </w:r>
      <w:r w:rsidRPr="00B41EAD">
        <w:rPr>
          <w:color w:val="000000" w:themeColor="text1"/>
          <w:sz w:val="28"/>
          <w:szCs w:val="28"/>
          <w:lang w:val="es-ES"/>
        </w:rPr>
        <w:t xml:space="preserve">, las versiones oficiales de los hechos. </w:t>
      </w:r>
    </w:p>
    <w:p w14:paraId="2B629500" w14:textId="77777777" w:rsidR="002D09D3" w:rsidRPr="00B41EAD" w:rsidRDefault="002D09D3" w:rsidP="002D09D3">
      <w:pPr>
        <w:jc w:val="both"/>
        <w:rPr>
          <w:color w:val="000000" w:themeColor="text1"/>
          <w:sz w:val="28"/>
          <w:szCs w:val="28"/>
          <w:lang w:val="es-ES"/>
        </w:rPr>
      </w:pPr>
    </w:p>
    <w:p w14:paraId="7FFAF687" w14:textId="7376D09D" w:rsidR="002D09D3" w:rsidRPr="00B41EAD" w:rsidRDefault="002D09D3" w:rsidP="002D09D3">
      <w:pPr>
        <w:jc w:val="both"/>
        <w:rPr>
          <w:color w:val="000000" w:themeColor="text1"/>
          <w:sz w:val="28"/>
          <w:szCs w:val="28"/>
          <w:lang w:val="es-ES"/>
        </w:rPr>
      </w:pPr>
      <w:r w:rsidRPr="00B41EAD">
        <w:rPr>
          <w:color w:val="000000" w:themeColor="text1"/>
          <w:sz w:val="28"/>
          <w:szCs w:val="28"/>
          <w:lang w:val="es-ES"/>
        </w:rPr>
        <w:t xml:space="preserve">En consecuencia, </w:t>
      </w:r>
      <w:r w:rsidR="00B85349" w:rsidRPr="00B41EAD">
        <w:rPr>
          <w:color w:val="000000" w:themeColor="text1"/>
          <w:sz w:val="28"/>
          <w:szCs w:val="28"/>
          <w:lang w:val="es-ES"/>
        </w:rPr>
        <w:t xml:space="preserve">se </w:t>
      </w:r>
      <w:r w:rsidRPr="00B41EAD">
        <w:rPr>
          <w:color w:val="000000" w:themeColor="text1"/>
          <w:sz w:val="28"/>
          <w:szCs w:val="28"/>
          <w:lang w:val="es-ES"/>
        </w:rPr>
        <w:t>decidió revocar las providencias proferidas por las autoridades judiciales accionadas y concedió el amparo de los derechos fundamentales al debido proceso, al acceso a la administración de justicia y a las garantías de verdad, reparación integral y no repetición. A modo de remedio judicial, se ordenó a la Subsección C de la Sección Tercera del Consejo de Estado y al Tribunal Administrativo del Tolima que, en un plazo máximo de veinte días, emitan nuevas providencias en las que valoren la caducidad de las demandas conforme a los lineamientos establecidos en la parte motiva de esta sentencia. Con esta decisión, la Corte reiteró su compromiso con la protección de los derechos de las víctimas y la necesidad de interpretar las reglas procesales de manera tal que no se constituyan en obstáculos irrazonables para acceder a la justicia y a la reparación.</w:t>
      </w:r>
    </w:p>
    <w:p w14:paraId="3A88CD52" w14:textId="77777777" w:rsidR="002D09D3" w:rsidRPr="00B41EAD" w:rsidRDefault="002D09D3" w:rsidP="002D09D3">
      <w:pPr>
        <w:jc w:val="both"/>
        <w:rPr>
          <w:color w:val="000000" w:themeColor="text1"/>
          <w:sz w:val="28"/>
          <w:szCs w:val="28"/>
          <w:lang w:val="es-ES"/>
        </w:rPr>
      </w:pPr>
    </w:p>
    <w:p w14:paraId="1F58333E" w14:textId="45C107C6" w:rsidR="00AB40F7" w:rsidRPr="00B41EAD" w:rsidRDefault="00192F55" w:rsidP="006C0D35">
      <w:pPr>
        <w:pStyle w:val="Ttulo1"/>
        <w:tabs>
          <w:tab w:val="clear" w:pos="720"/>
        </w:tabs>
        <w:rPr>
          <w:color w:val="000000" w:themeColor="text1"/>
          <w:sz w:val="28"/>
          <w:szCs w:val="28"/>
          <w:lang w:val="es-ES"/>
        </w:rPr>
      </w:pPr>
      <w:r w:rsidRPr="00B41EAD">
        <w:rPr>
          <w:b/>
          <w:bCs/>
          <w:color w:val="000000" w:themeColor="text1"/>
          <w:sz w:val="28"/>
          <w:szCs w:val="28"/>
          <w:lang w:val="es-ES"/>
        </w:rPr>
        <w:t>ANTECEDENTES</w:t>
      </w:r>
    </w:p>
    <w:p w14:paraId="36285407" w14:textId="24D01BB9" w:rsidR="00C0240F" w:rsidRPr="00B41EAD" w:rsidRDefault="00C0240F" w:rsidP="004F58D1">
      <w:pPr>
        <w:ind w:left="708" w:hanging="708"/>
        <w:jc w:val="both"/>
        <w:rPr>
          <w:color w:val="000000" w:themeColor="text1"/>
          <w:sz w:val="28"/>
          <w:szCs w:val="28"/>
          <w:lang w:val="es-ES"/>
        </w:rPr>
      </w:pPr>
    </w:p>
    <w:p w14:paraId="2F7296C1" w14:textId="5720469A" w:rsidR="00B80C61" w:rsidRPr="00B41EAD" w:rsidRDefault="00340FA1">
      <w:pPr>
        <w:pStyle w:val="Ttulo2"/>
        <w:numPr>
          <w:ilvl w:val="0"/>
          <w:numId w:val="4"/>
        </w:numPr>
        <w:ind w:left="567" w:hanging="567"/>
        <w:rPr>
          <w:color w:val="000000" w:themeColor="text1"/>
          <w:sz w:val="28"/>
          <w:szCs w:val="28"/>
          <w:lang w:val="es-ES"/>
        </w:rPr>
      </w:pPr>
      <w:r w:rsidRPr="00B41EAD">
        <w:rPr>
          <w:color w:val="000000" w:themeColor="text1"/>
          <w:sz w:val="28"/>
          <w:szCs w:val="28"/>
          <w:lang w:val="es-ES"/>
        </w:rPr>
        <w:t>Expediente T-10.001.552</w:t>
      </w:r>
    </w:p>
    <w:p w14:paraId="0C416C6C" w14:textId="77777777" w:rsidR="006C0D35" w:rsidRPr="00B41EAD" w:rsidRDefault="006C0D35" w:rsidP="006C0D35">
      <w:pPr>
        <w:rPr>
          <w:color w:val="000000" w:themeColor="text1"/>
          <w:lang w:val="es-ES"/>
        </w:rPr>
      </w:pPr>
    </w:p>
    <w:p w14:paraId="53F11AAD" w14:textId="44E922FB" w:rsidR="00A55608" w:rsidRPr="00B41EAD" w:rsidRDefault="006C3F08" w:rsidP="006C3F08">
      <w:pPr>
        <w:pStyle w:val="Ttulo3"/>
        <w:numPr>
          <w:ilvl w:val="0"/>
          <w:numId w:val="0"/>
        </w:numPr>
        <w:rPr>
          <w:color w:val="000000" w:themeColor="text1"/>
          <w:sz w:val="28"/>
          <w:szCs w:val="28"/>
          <w:lang w:val="es-ES"/>
        </w:rPr>
      </w:pPr>
      <w:r w:rsidRPr="00B41EAD">
        <w:rPr>
          <w:color w:val="000000" w:themeColor="text1"/>
          <w:sz w:val="28"/>
          <w:szCs w:val="28"/>
          <w:lang w:val="es-ES"/>
        </w:rPr>
        <w:lastRenderedPageBreak/>
        <w:t>Proceso de reparación directa</w:t>
      </w:r>
    </w:p>
    <w:p w14:paraId="0890A492" w14:textId="77777777" w:rsidR="00A55608" w:rsidRPr="00B41EAD" w:rsidRDefault="00A55608" w:rsidP="00C0240F">
      <w:pPr>
        <w:jc w:val="both"/>
        <w:rPr>
          <w:color w:val="000000" w:themeColor="text1"/>
          <w:sz w:val="28"/>
          <w:szCs w:val="28"/>
          <w:lang w:val="es-ES"/>
        </w:rPr>
      </w:pPr>
    </w:p>
    <w:p w14:paraId="04F66296" w14:textId="389B81B3" w:rsidR="008D3BAC" w:rsidRPr="00B41EAD" w:rsidRDefault="009D3F10">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Hechos</w:t>
      </w:r>
      <w:r w:rsidR="00141D06" w:rsidRPr="00B41EAD">
        <w:rPr>
          <w:b/>
          <w:bCs/>
          <w:i/>
          <w:iCs/>
          <w:color w:val="000000" w:themeColor="text1"/>
          <w:sz w:val="28"/>
          <w:szCs w:val="28"/>
          <w:lang w:val="es-ES"/>
        </w:rPr>
        <w:t xml:space="preserve">. </w:t>
      </w:r>
      <w:r w:rsidR="00C0240F" w:rsidRPr="00B41EAD">
        <w:rPr>
          <w:color w:val="000000" w:themeColor="text1"/>
          <w:sz w:val="28"/>
          <w:szCs w:val="28"/>
          <w:lang w:val="es-ES"/>
        </w:rPr>
        <w:t xml:space="preserve">El 19 de agosto de 1996, en la </w:t>
      </w:r>
      <w:r w:rsidR="00B22BE0" w:rsidRPr="00B41EAD">
        <w:rPr>
          <w:color w:val="000000" w:themeColor="text1"/>
          <w:sz w:val="28"/>
          <w:szCs w:val="28"/>
          <w:lang w:val="es-ES"/>
        </w:rPr>
        <w:t>H</w:t>
      </w:r>
      <w:r w:rsidR="00C0240F" w:rsidRPr="00B41EAD">
        <w:rPr>
          <w:color w:val="000000" w:themeColor="text1"/>
          <w:sz w:val="28"/>
          <w:szCs w:val="28"/>
          <w:lang w:val="es-ES"/>
        </w:rPr>
        <w:t xml:space="preserve">acienda San Felipe </w:t>
      </w:r>
      <w:r w:rsidR="009F0728" w:rsidRPr="00B41EAD">
        <w:rPr>
          <w:color w:val="000000" w:themeColor="text1"/>
          <w:sz w:val="28"/>
          <w:szCs w:val="28"/>
          <w:lang w:val="es-ES"/>
        </w:rPr>
        <w:t xml:space="preserve">de </w:t>
      </w:r>
      <w:r w:rsidR="00C0240F" w:rsidRPr="00B41EAD">
        <w:rPr>
          <w:color w:val="000000" w:themeColor="text1"/>
          <w:sz w:val="28"/>
          <w:szCs w:val="28"/>
          <w:lang w:val="es-ES"/>
        </w:rPr>
        <w:t>propiedad de</w:t>
      </w:r>
      <w:r w:rsidR="008D3BAC" w:rsidRPr="00B41EAD">
        <w:rPr>
          <w:color w:val="000000" w:themeColor="text1"/>
          <w:sz w:val="28"/>
          <w:szCs w:val="28"/>
          <w:lang w:val="es-ES"/>
        </w:rPr>
        <w:t xml:space="preserve">l señor </w:t>
      </w:r>
      <w:r w:rsidR="00C0240F" w:rsidRPr="00B41EAD">
        <w:rPr>
          <w:color w:val="000000" w:themeColor="text1"/>
          <w:sz w:val="28"/>
          <w:szCs w:val="28"/>
          <w:lang w:val="es-ES"/>
        </w:rPr>
        <w:t xml:space="preserve">Elkin Castañeda, ubicada en </w:t>
      </w:r>
      <w:r w:rsidR="008C5D54" w:rsidRPr="00B41EAD">
        <w:rPr>
          <w:color w:val="000000" w:themeColor="text1"/>
          <w:sz w:val="28"/>
          <w:szCs w:val="28"/>
          <w:lang w:val="es-ES"/>
        </w:rPr>
        <w:t xml:space="preserve">el sector de </w:t>
      </w:r>
      <w:proofErr w:type="spellStart"/>
      <w:r w:rsidR="00C0240F" w:rsidRPr="00B41EAD">
        <w:rPr>
          <w:color w:val="000000" w:themeColor="text1"/>
          <w:sz w:val="28"/>
          <w:szCs w:val="28"/>
          <w:lang w:val="es-ES"/>
        </w:rPr>
        <w:t>Surrambay</w:t>
      </w:r>
      <w:proofErr w:type="spellEnd"/>
      <w:r w:rsidR="008C5D54" w:rsidRPr="00B41EAD">
        <w:rPr>
          <w:color w:val="000000" w:themeColor="text1"/>
          <w:sz w:val="28"/>
          <w:szCs w:val="28"/>
          <w:lang w:val="es-ES"/>
        </w:rPr>
        <w:t xml:space="preserve"> en el municipio de</w:t>
      </w:r>
      <w:r w:rsidR="00C0240F" w:rsidRPr="00B41EAD">
        <w:rPr>
          <w:color w:val="000000" w:themeColor="text1"/>
          <w:sz w:val="28"/>
          <w:szCs w:val="28"/>
          <w:lang w:val="es-ES"/>
        </w:rPr>
        <w:t xml:space="preserve"> Mutatá</w:t>
      </w:r>
      <w:r w:rsidR="0074013A" w:rsidRPr="00B41EAD">
        <w:rPr>
          <w:color w:val="000000" w:themeColor="text1"/>
          <w:sz w:val="28"/>
          <w:szCs w:val="28"/>
          <w:lang w:val="es-ES"/>
        </w:rPr>
        <w:t xml:space="preserve">, </w:t>
      </w:r>
      <w:r w:rsidR="00C0240F" w:rsidRPr="00B41EAD">
        <w:rPr>
          <w:color w:val="000000" w:themeColor="text1"/>
          <w:sz w:val="28"/>
          <w:szCs w:val="28"/>
          <w:lang w:val="es-ES"/>
        </w:rPr>
        <w:t xml:space="preserve">Antioquia, Carlos Mario Durango Vallejo, </w:t>
      </w:r>
      <w:r w:rsidR="00FF62F8" w:rsidRPr="00B41EAD">
        <w:rPr>
          <w:color w:val="000000" w:themeColor="text1"/>
          <w:sz w:val="28"/>
          <w:szCs w:val="28"/>
          <w:lang w:val="es-ES"/>
        </w:rPr>
        <w:t xml:space="preserve">quien trabajaba como jornalero </w:t>
      </w:r>
      <w:r w:rsidR="00C0240F" w:rsidRPr="00B41EAD">
        <w:rPr>
          <w:color w:val="000000" w:themeColor="text1"/>
          <w:sz w:val="28"/>
          <w:szCs w:val="28"/>
          <w:lang w:val="es-ES"/>
        </w:rPr>
        <w:t>en dicha hacienda</w:t>
      </w:r>
      <w:r w:rsidR="006D0D9E" w:rsidRPr="00B41EAD">
        <w:rPr>
          <w:color w:val="000000" w:themeColor="text1"/>
          <w:sz w:val="28"/>
          <w:szCs w:val="28"/>
          <w:lang w:val="es-ES"/>
        </w:rPr>
        <w:t xml:space="preserve">, </w:t>
      </w:r>
      <w:r w:rsidR="00C0240F" w:rsidRPr="00B41EAD">
        <w:rPr>
          <w:color w:val="000000" w:themeColor="text1"/>
          <w:sz w:val="28"/>
          <w:szCs w:val="28"/>
          <w:lang w:val="es-ES"/>
        </w:rPr>
        <w:t>fue confrontado por un grupo del Ejército Nacional</w:t>
      </w:r>
      <w:r w:rsidR="00B22BE0" w:rsidRPr="00B41EAD">
        <w:rPr>
          <w:color w:val="000000" w:themeColor="text1"/>
          <w:sz w:val="28"/>
          <w:szCs w:val="28"/>
          <w:lang w:val="es-ES"/>
        </w:rPr>
        <w:t xml:space="preserve"> mientras se desplazaba a su lugar de trabajo</w:t>
      </w:r>
      <w:r w:rsidR="00C0240F" w:rsidRPr="00B41EAD">
        <w:rPr>
          <w:color w:val="000000" w:themeColor="text1"/>
          <w:sz w:val="28"/>
          <w:szCs w:val="28"/>
          <w:lang w:val="es-ES"/>
        </w:rPr>
        <w:t xml:space="preserve">, quienes </w:t>
      </w:r>
      <w:r w:rsidR="008D3BAC" w:rsidRPr="00B41EAD">
        <w:rPr>
          <w:color w:val="000000" w:themeColor="text1"/>
          <w:sz w:val="28"/>
          <w:szCs w:val="28"/>
          <w:lang w:val="es-ES"/>
        </w:rPr>
        <w:t xml:space="preserve">presuntamente </w:t>
      </w:r>
      <w:r w:rsidR="00C0240F" w:rsidRPr="00B41EAD">
        <w:rPr>
          <w:color w:val="000000" w:themeColor="text1"/>
          <w:sz w:val="28"/>
          <w:szCs w:val="28"/>
          <w:lang w:val="es-ES"/>
        </w:rPr>
        <w:t>lo dejaron en estado de indefensión y le dispararon</w:t>
      </w:r>
      <w:r w:rsidR="00B22BE0" w:rsidRPr="00B41EAD">
        <w:rPr>
          <w:color w:val="000000" w:themeColor="text1"/>
          <w:sz w:val="28"/>
          <w:szCs w:val="28"/>
          <w:lang w:val="es-ES"/>
        </w:rPr>
        <w:t xml:space="preserve">, </w:t>
      </w:r>
      <w:r w:rsidR="00C0240F" w:rsidRPr="00B41EAD">
        <w:rPr>
          <w:color w:val="000000" w:themeColor="text1"/>
          <w:sz w:val="28"/>
          <w:szCs w:val="28"/>
          <w:lang w:val="es-ES"/>
        </w:rPr>
        <w:t>causándole la muerte</w:t>
      </w:r>
      <w:r w:rsidR="006D0D9E" w:rsidRPr="00B41EAD">
        <w:rPr>
          <w:rStyle w:val="Refdenotaalpie"/>
          <w:color w:val="000000" w:themeColor="text1"/>
          <w:sz w:val="28"/>
          <w:szCs w:val="28"/>
          <w:lang w:val="es-ES"/>
        </w:rPr>
        <w:footnoteReference w:id="5"/>
      </w:r>
      <w:r w:rsidR="00C0240F" w:rsidRPr="00B41EAD">
        <w:rPr>
          <w:color w:val="000000" w:themeColor="text1"/>
          <w:sz w:val="28"/>
          <w:szCs w:val="28"/>
          <w:lang w:val="es-ES"/>
        </w:rPr>
        <w:t>.</w:t>
      </w:r>
    </w:p>
    <w:p w14:paraId="34722AB8" w14:textId="77777777" w:rsidR="00B47DF8" w:rsidRPr="00B41EAD" w:rsidRDefault="00B47DF8" w:rsidP="0021398C">
      <w:pPr>
        <w:rPr>
          <w:color w:val="000000" w:themeColor="text1"/>
          <w:sz w:val="28"/>
          <w:szCs w:val="28"/>
          <w:lang w:val="es-ES"/>
        </w:rPr>
      </w:pPr>
    </w:p>
    <w:p w14:paraId="409A6778" w14:textId="020E4201" w:rsidR="00AB51B0" w:rsidRPr="00B41EAD" w:rsidRDefault="00AB51B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El mismo 19 de agosto de 1996, </w:t>
      </w:r>
      <w:r w:rsidR="0085359F" w:rsidRPr="00B41EAD">
        <w:rPr>
          <w:color w:val="000000" w:themeColor="text1"/>
          <w:sz w:val="28"/>
          <w:szCs w:val="28"/>
          <w:lang w:val="es-ES"/>
        </w:rPr>
        <w:t xml:space="preserve">un inspector </w:t>
      </w:r>
      <w:r w:rsidR="00B22BE0" w:rsidRPr="00B41EAD">
        <w:rPr>
          <w:color w:val="000000" w:themeColor="text1"/>
          <w:sz w:val="28"/>
          <w:szCs w:val="28"/>
          <w:lang w:val="es-ES"/>
        </w:rPr>
        <w:t xml:space="preserve">de </w:t>
      </w:r>
      <w:r w:rsidR="001557C6" w:rsidRPr="00B41EAD">
        <w:rPr>
          <w:color w:val="000000" w:themeColor="text1"/>
          <w:sz w:val="28"/>
          <w:szCs w:val="28"/>
          <w:lang w:val="es-ES"/>
        </w:rPr>
        <w:t>P</w:t>
      </w:r>
      <w:r w:rsidR="00B22BE0" w:rsidRPr="00B41EAD">
        <w:rPr>
          <w:color w:val="000000" w:themeColor="text1"/>
          <w:sz w:val="28"/>
          <w:szCs w:val="28"/>
          <w:lang w:val="es-ES"/>
        </w:rPr>
        <w:t xml:space="preserve">olicía </w:t>
      </w:r>
      <w:r w:rsidR="0085359F" w:rsidRPr="00B41EAD">
        <w:rPr>
          <w:color w:val="000000" w:themeColor="text1"/>
          <w:sz w:val="28"/>
          <w:szCs w:val="28"/>
          <w:lang w:val="es-ES"/>
        </w:rPr>
        <w:t xml:space="preserve">del municipio de Mutatá ordenó el traslado de dos cuerpos </w:t>
      </w:r>
      <w:r w:rsidR="00CF17C7" w:rsidRPr="00B41EAD">
        <w:rPr>
          <w:color w:val="000000" w:themeColor="text1"/>
          <w:sz w:val="28"/>
          <w:szCs w:val="28"/>
          <w:lang w:val="es-ES"/>
        </w:rPr>
        <w:t>a la cabecera municipal</w:t>
      </w:r>
      <w:r w:rsidR="00F70F5F" w:rsidRPr="00B41EAD">
        <w:rPr>
          <w:color w:val="000000" w:themeColor="text1"/>
          <w:sz w:val="28"/>
          <w:szCs w:val="28"/>
          <w:lang w:val="es-ES"/>
        </w:rPr>
        <w:t xml:space="preserve">. Esto, en razón a la información que fue suministrada </w:t>
      </w:r>
      <w:r w:rsidR="00123A45" w:rsidRPr="00B41EAD">
        <w:rPr>
          <w:color w:val="000000" w:themeColor="text1"/>
          <w:sz w:val="28"/>
          <w:szCs w:val="28"/>
          <w:lang w:val="es-ES"/>
        </w:rPr>
        <w:t>por parte del Ejército Nacional</w:t>
      </w:r>
      <w:r w:rsidR="00B22BE0" w:rsidRPr="00B41EAD">
        <w:rPr>
          <w:color w:val="000000" w:themeColor="text1"/>
          <w:sz w:val="28"/>
          <w:szCs w:val="28"/>
          <w:lang w:val="es-ES"/>
        </w:rPr>
        <w:t xml:space="preserve"> y que estaría asociada a los hechos en los cuales habría fallecido el señor Durango Vallejo</w:t>
      </w:r>
      <w:r w:rsidR="00783FC6" w:rsidRPr="00B41EAD">
        <w:rPr>
          <w:color w:val="000000" w:themeColor="text1"/>
          <w:sz w:val="28"/>
          <w:szCs w:val="28"/>
          <w:lang w:val="es-ES"/>
        </w:rPr>
        <w:t>.</w:t>
      </w:r>
      <w:r w:rsidR="00F70F5F" w:rsidRPr="00B41EAD">
        <w:rPr>
          <w:color w:val="000000" w:themeColor="text1"/>
          <w:sz w:val="28"/>
          <w:szCs w:val="28"/>
          <w:lang w:val="es-ES"/>
        </w:rPr>
        <w:t xml:space="preserve"> </w:t>
      </w:r>
    </w:p>
    <w:p w14:paraId="7E803CC2" w14:textId="77777777" w:rsidR="00AB51B0" w:rsidRPr="00B41EAD" w:rsidRDefault="00AB51B0" w:rsidP="00AB51B0">
      <w:pPr>
        <w:pStyle w:val="Prrafodelista"/>
        <w:rPr>
          <w:color w:val="000000" w:themeColor="text1"/>
          <w:sz w:val="28"/>
          <w:szCs w:val="28"/>
          <w:lang w:val="es-ES"/>
        </w:rPr>
      </w:pPr>
    </w:p>
    <w:p w14:paraId="4883056C" w14:textId="7806D7F5" w:rsidR="00340FA1" w:rsidRPr="00B41EAD" w:rsidRDefault="00C0240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la diligencia de inspección </w:t>
      </w:r>
      <w:r w:rsidR="009F3591" w:rsidRPr="00B41EAD">
        <w:rPr>
          <w:color w:val="000000" w:themeColor="text1"/>
          <w:sz w:val="28"/>
          <w:szCs w:val="28"/>
          <w:lang w:val="es-ES"/>
        </w:rPr>
        <w:t>de los dos</w:t>
      </w:r>
      <w:r w:rsidRPr="00B41EAD">
        <w:rPr>
          <w:color w:val="000000" w:themeColor="text1"/>
          <w:sz w:val="28"/>
          <w:szCs w:val="28"/>
          <w:lang w:val="es-ES"/>
        </w:rPr>
        <w:t xml:space="preserve"> </w:t>
      </w:r>
      <w:r w:rsidR="009F3591" w:rsidRPr="00B41EAD">
        <w:rPr>
          <w:color w:val="000000" w:themeColor="text1"/>
          <w:sz w:val="28"/>
          <w:szCs w:val="28"/>
          <w:lang w:val="es-ES"/>
        </w:rPr>
        <w:t>cadáveres</w:t>
      </w:r>
      <w:r w:rsidRPr="00B41EAD">
        <w:rPr>
          <w:color w:val="000000" w:themeColor="text1"/>
          <w:sz w:val="28"/>
          <w:szCs w:val="28"/>
          <w:lang w:val="es-ES"/>
        </w:rPr>
        <w:t xml:space="preserve">, el cuerpo de Carlos Mario Durango Vallejo fue identificado por </w:t>
      </w:r>
      <w:r w:rsidR="00F70F5F" w:rsidRPr="00B41EAD">
        <w:rPr>
          <w:color w:val="000000" w:themeColor="text1"/>
          <w:sz w:val="28"/>
          <w:szCs w:val="28"/>
          <w:lang w:val="es-ES"/>
        </w:rPr>
        <w:t xml:space="preserve">el señor </w:t>
      </w:r>
      <w:r w:rsidRPr="00B41EAD">
        <w:rPr>
          <w:color w:val="000000" w:themeColor="text1"/>
          <w:sz w:val="28"/>
          <w:szCs w:val="28"/>
          <w:lang w:val="es-ES"/>
        </w:rPr>
        <w:t xml:space="preserve">Elkin Castañeda. Durante esta diligencia, el inspector de </w:t>
      </w:r>
      <w:r w:rsidR="001557C6" w:rsidRPr="00B41EAD">
        <w:rPr>
          <w:color w:val="000000" w:themeColor="text1"/>
          <w:sz w:val="28"/>
          <w:szCs w:val="28"/>
          <w:lang w:val="es-ES"/>
        </w:rPr>
        <w:t>P</w:t>
      </w:r>
      <w:r w:rsidRPr="00B41EAD">
        <w:rPr>
          <w:color w:val="000000" w:themeColor="text1"/>
          <w:sz w:val="28"/>
          <w:szCs w:val="28"/>
          <w:lang w:val="es-ES"/>
        </w:rPr>
        <w:t xml:space="preserve">olicía </w:t>
      </w:r>
      <w:r w:rsidR="000C662E" w:rsidRPr="00B41EAD">
        <w:rPr>
          <w:color w:val="000000" w:themeColor="text1"/>
          <w:sz w:val="28"/>
          <w:szCs w:val="28"/>
          <w:lang w:val="es-ES"/>
        </w:rPr>
        <w:t>dejó constancia</w:t>
      </w:r>
      <w:r w:rsidRPr="00B41EAD">
        <w:rPr>
          <w:color w:val="000000" w:themeColor="text1"/>
          <w:sz w:val="28"/>
          <w:szCs w:val="28"/>
          <w:lang w:val="es-ES"/>
        </w:rPr>
        <w:t xml:space="preserve"> que el capitán Carlos Julio Infante Ríos informó que estaban realizando un registro en la zona cuando se enfrentaron </w:t>
      </w:r>
      <w:r w:rsidR="00FE78AD" w:rsidRPr="00B41EAD">
        <w:rPr>
          <w:color w:val="000000" w:themeColor="text1"/>
          <w:sz w:val="28"/>
          <w:szCs w:val="28"/>
          <w:lang w:val="es-ES"/>
        </w:rPr>
        <w:t>con unos</w:t>
      </w:r>
      <w:r w:rsidRPr="00B41EAD">
        <w:rPr>
          <w:color w:val="000000" w:themeColor="text1"/>
          <w:sz w:val="28"/>
          <w:szCs w:val="28"/>
          <w:lang w:val="es-ES"/>
        </w:rPr>
        <w:t xml:space="preserve"> subversivos, </w:t>
      </w:r>
      <w:r w:rsidR="00036433" w:rsidRPr="00B41EAD">
        <w:rPr>
          <w:color w:val="000000" w:themeColor="text1"/>
          <w:sz w:val="28"/>
          <w:szCs w:val="28"/>
          <w:lang w:val="es-ES"/>
        </w:rPr>
        <w:t xml:space="preserve">lo cual </w:t>
      </w:r>
      <w:r w:rsidR="00FC2888" w:rsidRPr="00B41EAD">
        <w:rPr>
          <w:color w:val="000000" w:themeColor="text1"/>
          <w:sz w:val="28"/>
          <w:szCs w:val="28"/>
          <w:lang w:val="es-ES"/>
        </w:rPr>
        <w:t>conllevó a la baja</w:t>
      </w:r>
      <w:r w:rsidRPr="00B41EAD">
        <w:rPr>
          <w:color w:val="000000" w:themeColor="text1"/>
          <w:sz w:val="28"/>
          <w:szCs w:val="28"/>
          <w:lang w:val="es-ES"/>
        </w:rPr>
        <w:t xml:space="preserve"> de Carlos Mario Durango Vallejo y </w:t>
      </w:r>
      <w:r w:rsidR="00061224" w:rsidRPr="00B41EAD">
        <w:rPr>
          <w:color w:val="000000" w:themeColor="text1"/>
          <w:sz w:val="28"/>
          <w:szCs w:val="28"/>
          <w:lang w:val="es-ES"/>
        </w:rPr>
        <w:t xml:space="preserve">el </w:t>
      </w:r>
      <w:r w:rsidRPr="00B41EAD">
        <w:rPr>
          <w:color w:val="000000" w:themeColor="text1"/>
          <w:sz w:val="28"/>
          <w:szCs w:val="28"/>
          <w:lang w:val="es-ES"/>
        </w:rPr>
        <w:t xml:space="preserve">otro individuo </w:t>
      </w:r>
      <w:r w:rsidR="00061224" w:rsidRPr="00B41EAD">
        <w:rPr>
          <w:color w:val="000000" w:themeColor="text1"/>
          <w:sz w:val="28"/>
          <w:szCs w:val="28"/>
          <w:lang w:val="es-ES"/>
        </w:rPr>
        <w:t xml:space="preserve">que </w:t>
      </w:r>
      <w:r w:rsidRPr="00B41EAD">
        <w:rPr>
          <w:color w:val="000000" w:themeColor="text1"/>
          <w:sz w:val="28"/>
          <w:szCs w:val="28"/>
          <w:lang w:val="es-ES"/>
        </w:rPr>
        <w:t xml:space="preserve">no </w:t>
      </w:r>
      <w:r w:rsidR="00061224" w:rsidRPr="00B41EAD">
        <w:rPr>
          <w:color w:val="000000" w:themeColor="text1"/>
          <w:sz w:val="28"/>
          <w:szCs w:val="28"/>
          <w:lang w:val="es-ES"/>
        </w:rPr>
        <w:t xml:space="preserve">fue </w:t>
      </w:r>
      <w:r w:rsidRPr="00B41EAD">
        <w:rPr>
          <w:color w:val="000000" w:themeColor="text1"/>
          <w:sz w:val="28"/>
          <w:szCs w:val="28"/>
          <w:lang w:val="es-ES"/>
        </w:rPr>
        <w:t>identificado</w:t>
      </w:r>
      <w:r w:rsidR="00FC2888" w:rsidRPr="00B41EAD">
        <w:rPr>
          <w:rStyle w:val="Refdenotaalpie"/>
          <w:color w:val="000000" w:themeColor="text1"/>
          <w:sz w:val="28"/>
          <w:szCs w:val="28"/>
          <w:lang w:val="es-ES"/>
        </w:rPr>
        <w:footnoteReference w:id="6"/>
      </w:r>
      <w:r w:rsidRPr="00B41EAD">
        <w:rPr>
          <w:color w:val="000000" w:themeColor="text1"/>
          <w:sz w:val="28"/>
          <w:szCs w:val="28"/>
          <w:lang w:val="es-ES"/>
        </w:rPr>
        <w:t>.</w:t>
      </w:r>
    </w:p>
    <w:p w14:paraId="6573D61A" w14:textId="77777777" w:rsidR="00340FA1" w:rsidRPr="00B41EAD" w:rsidRDefault="00340FA1" w:rsidP="00340FA1">
      <w:pPr>
        <w:pStyle w:val="Prrafodelista"/>
        <w:rPr>
          <w:color w:val="000000" w:themeColor="text1"/>
          <w:sz w:val="28"/>
          <w:szCs w:val="28"/>
          <w:lang w:val="es-ES"/>
        </w:rPr>
      </w:pPr>
    </w:p>
    <w:p w14:paraId="3482040A" w14:textId="57A4D2D4" w:rsidR="00CB7B1B" w:rsidRPr="00B41EAD" w:rsidRDefault="009D3F10">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Investigación penal. </w:t>
      </w:r>
      <w:r w:rsidRPr="00B41EAD">
        <w:rPr>
          <w:color w:val="000000" w:themeColor="text1"/>
          <w:sz w:val="28"/>
          <w:szCs w:val="28"/>
          <w:lang w:val="es-ES"/>
        </w:rPr>
        <w:t xml:space="preserve">A raíz de los hechos anteriores, </w:t>
      </w:r>
      <w:r w:rsidR="00F3386E" w:rsidRPr="00B41EAD">
        <w:rPr>
          <w:color w:val="000000" w:themeColor="text1"/>
          <w:sz w:val="28"/>
          <w:szCs w:val="28"/>
          <w:lang w:val="es-ES"/>
        </w:rPr>
        <w:t xml:space="preserve">se realizó la indagación preliminar </w:t>
      </w:r>
      <w:r w:rsidR="00FC681E" w:rsidRPr="00B41EAD">
        <w:rPr>
          <w:color w:val="000000" w:themeColor="text1"/>
          <w:sz w:val="28"/>
          <w:szCs w:val="28"/>
          <w:lang w:val="es-ES"/>
        </w:rPr>
        <w:t>n.º</w:t>
      </w:r>
      <w:r w:rsidR="00F3386E" w:rsidRPr="00B41EAD">
        <w:rPr>
          <w:color w:val="000000" w:themeColor="text1"/>
          <w:sz w:val="28"/>
          <w:szCs w:val="28"/>
          <w:lang w:val="es-ES"/>
        </w:rPr>
        <w:t xml:space="preserve"> 121 a cargo inicialmente del Juzgado 114 de Instrucción Penal Militar de Carepa, Antioquia, y, luego, en cabeza del Juzgado 94 de Instrucción Penal Militar de ese mismo municipio y departamento. </w:t>
      </w:r>
    </w:p>
    <w:p w14:paraId="7AE1B5B7" w14:textId="77777777" w:rsidR="00CB7B1B" w:rsidRPr="00B41EAD" w:rsidRDefault="00CB7B1B" w:rsidP="00CB7B1B">
      <w:pPr>
        <w:pStyle w:val="Prrafodelista"/>
        <w:rPr>
          <w:color w:val="000000" w:themeColor="text1"/>
          <w:sz w:val="28"/>
          <w:szCs w:val="28"/>
          <w:lang w:val="es-ES"/>
        </w:rPr>
      </w:pPr>
    </w:p>
    <w:p w14:paraId="0040057E" w14:textId="3CDF6CDB" w:rsidR="009D3F10" w:rsidRPr="00B41EAD" w:rsidRDefault="00982D9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Dicha indagación </w:t>
      </w:r>
      <w:r w:rsidR="009331C7" w:rsidRPr="00B41EAD">
        <w:rPr>
          <w:color w:val="000000" w:themeColor="text1"/>
          <w:sz w:val="28"/>
          <w:szCs w:val="28"/>
          <w:lang w:val="es-ES"/>
        </w:rPr>
        <w:t>culminó con providencia del 20 de diciembre de 1996, en la cual se resolvió abstenerse de abrir investigación penal</w:t>
      </w:r>
      <w:r w:rsidR="00DD2558" w:rsidRPr="00B41EAD">
        <w:rPr>
          <w:color w:val="000000" w:themeColor="text1"/>
          <w:sz w:val="28"/>
          <w:szCs w:val="28"/>
          <w:lang w:val="es-ES"/>
        </w:rPr>
        <w:t xml:space="preserve">, </w:t>
      </w:r>
      <w:r w:rsidR="000652EB" w:rsidRPr="00B41EAD">
        <w:rPr>
          <w:color w:val="000000" w:themeColor="text1"/>
          <w:sz w:val="28"/>
          <w:szCs w:val="28"/>
          <w:lang w:val="es-ES"/>
        </w:rPr>
        <w:t xml:space="preserve">dado que, si bien el comportamiento </w:t>
      </w:r>
      <w:r w:rsidR="00D1171E" w:rsidRPr="00B41EAD">
        <w:rPr>
          <w:color w:val="000000" w:themeColor="text1"/>
          <w:sz w:val="28"/>
          <w:szCs w:val="28"/>
          <w:lang w:val="es-ES"/>
        </w:rPr>
        <w:t>“</w:t>
      </w:r>
      <w:r w:rsidR="00320759" w:rsidRPr="00B41EAD">
        <w:rPr>
          <w:color w:val="000000" w:themeColor="text1"/>
          <w:sz w:val="28"/>
          <w:szCs w:val="28"/>
          <w:lang w:val="es-ES"/>
        </w:rPr>
        <w:t xml:space="preserve">[…] </w:t>
      </w:r>
      <w:r w:rsidR="000652EB" w:rsidRPr="00B41EAD">
        <w:rPr>
          <w:color w:val="000000" w:themeColor="text1"/>
          <w:sz w:val="28"/>
          <w:szCs w:val="28"/>
          <w:lang w:val="es-ES"/>
        </w:rPr>
        <w:t xml:space="preserve">de los militares es típico </w:t>
      </w:r>
      <w:r w:rsidR="00D1171E" w:rsidRPr="00B41EAD">
        <w:rPr>
          <w:color w:val="000000" w:themeColor="text1"/>
          <w:sz w:val="28"/>
          <w:szCs w:val="28"/>
          <w:lang w:val="es-ES"/>
        </w:rPr>
        <w:t>del punible de homicidio, no es antijurídico ni culpable, ya que actuaron en estricto cumplimiento de un deber legal</w:t>
      </w:r>
      <w:r w:rsidR="009C5EDC" w:rsidRPr="00B41EAD">
        <w:rPr>
          <w:color w:val="000000" w:themeColor="text1"/>
          <w:sz w:val="28"/>
          <w:szCs w:val="28"/>
          <w:lang w:val="es-ES"/>
        </w:rPr>
        <w:t xml:space="preserve">, en ejercicio de un cargo público y por la necesidad de defender sus vidas y la de sus compañeros contra injusta </w:t>
      </w:r>
      <w:r w:rsidR="00CD62E1" w:rsidRPr="00B41EAD">
        <w:rPr>
          <w:color w:val="000000" w:themeColor="text1"/>
          <w:sz w:val="28"/>
          <w:szCs w:val="28"/>
          <w:lang w:val="es-ES"/>
        </w:rPr>
        <w:t>agresión</w:t>
      </w:r>
      <w:r w:rsidR="00C5392A" w:rsidRPr="00B41EAD">
        <w:rPr>
          <w:color w:val="000000" w:themeColor="text1"/>
          <w:sz w:val="28"/>
          <w:szCs w:val="28"/>
          <w:lang w:val="es-ES"/>
        </w:rPr>
        <w:t xml:space="preserve"> </w:t>
      </w:r>
      <w:r w:rsidR="00CD62E1" w:rsidRPr="00B41EAD">
        <w:rPr>
          <w:color w:val="000000" w:themeColor="text1"/>
          <w:sz w:val="28"/>
          <w:szCs w:val="28"/>
          <w:lang w:val="es-ES"/>
        </w:rPr>
        <w:t xml:space="preserve">de </w:t>
      </w:r>
      <w:r w:rsidR="00C5392A" w:rsidRPr="00B41EAD">
        <w:rPr>
          <w:color w:val="000000" w:themeColor="text1"/>
          <w:sz w:val="28"/>
          <w:szCs w:val="28"/>
          <w:lang w:val="es-ES"/>
        </w:rPr>
        <w:t>que fueron objeto por parte de la guerrilla</w:t>
      </w:r>
      <w:r w:rsidR="000652EB" w:rsidRPr="00B41EAD">
        <w:rPr>
          <w:color w:val="000000" w:themeColor="text1"/>
          <w:sz w:val="28"/>
          <w:szCs w:val="28"/>
          <w:lang w:val="es-ES"/>
        </w:rPr>
        <w:t xml:space="preserve"> </w:t>
      </w:r>
      <w:r w:rsidR="00CD62E1" w:rsidRPr="00B41EAD">
        <w:rPr>
          <w:color w:val="000000" w:themeColor="text1"/>
          <w:sz w:val="28"/>
          <w:szCs w:val="28"/>
          <w:lang w:val="es-ES"/>
        </w:rPr>
        <w:t>[…]”</w:t>
      </w:r>
      <w:r w:rsidR="00CD62E1" w:rsidRPr="00B41EAD">
        <w:rPr>
          <w:rStyle w:val="Refdenotaalpie"/>
          <w:color w:val="000000" w:themeColor="text1"/>
          <w:sz w:val="28"/>
          <w:szCs w:val="28"/>
          <w:lang w:val="es-ES"/>
        </w:rPr>
        <w:footnoteReference w:id="7"/>
      </w:r>
      <w:r w:rsidR="00CD62E1" w:rsidRPr="00B41EAD">
        <w:rPr>
          <w:color w:val="000000" w:themeColor="text1"/>
          <w:sz w:val="28"/>
          <w:szCs w:val="28"/>
          <w:lang w:val="es-ES"/>
        </w:rPr>
        <w:t>.</w:t>
      </w:r>
    </w:p>
    <w:p w14:paraId="331F5504" w14:textId="77777777" w:rsidR="009D3F10" w:rsidRPr="00B41EAD" w:rsidRDefault="009D3F10" w:rsidP="009D3F10">
      <w:pPr>
        <w:pStyle w:val="Prrafodelista"/>
        <w:rPr>
          <w:b/>
          <w:bCs/>
          <w:i/>
          <w:iCs/>
          <w:color w:val="000000" w:themeColor="text1"/>
          <w:sz w:val="28"/>
          <w:szCs w:val="28"/>
          <w:lang w:val="es-ES"/>
        </w:rPr>
      </w:pPr>
    </w:p>
    <w:p w14:paraId="4E6A9C01" w14:textId="55515571" w:rsidR="00340FA1" w:rsidRPr="00B41EAD" w:rsidRDefault="009D3F10">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Presentación del medio de control de reparación directa</w:t>
      </w:r>
      <w:r w:rsidRPr="00B41EAD">
        <w:rPr>
          <w:color w:val="000000" w:themeColor="text1"/>
          <w:sz w:val="28"/>
          <w:szCs w:val="28"/>
          <w:lang w:val="es-ES"/>
        </w:rPr>
        <w:t xml:space="preserve">. </w:t>
      </w:r>
      <w:r w:rsidR="00CF7DCB" w:rsidRPr="00B41EAD">
        <w:rPr>
          <w:color w:val="000000" w:themeColor="text1"/>
          <w:sz w:val="28"/>
          <w:szCs w:val="28"/>
          <w:lang w:val="es-ES"/>
        </w:rPr>
        <w:t xml:space="preserve">Con base en lo </w:t>
      </w:r>
      <w:r w:rsidR="009721C7" w:rsidRPr="00B41EAD">
        <w:rPr>
          <w:color w:val="000000" w:themeColor="text1"/>
          <w:sz w:val="28"/>
          <w:szCs w:val="28"/>
          <w:lang w:val="es-ES"/>
        </w:rPr>
        <w:t>expuesto</w:t>
      </w:r>
      <w:r w:rsidR="00880147" w:rsidRPr="00B41EAD">
        <w:rPr>
          <w:color w:val="000000" w:themeColor="text1"/>
          <w:sz w:val="28"/>
          <w:szCs w:val="28"/>
          <w:lang w:val="es-ES"/>
        </w:rPr>
        <w:t>, y específicamente por motivo de la muerte de Carlos Mario Durango Vallejo, e</w:t>
      </w:r>
      <w:r w:rsidR="00C0240F" w:rsidRPr="00B41EAD">
        <w:rPr>
          <w:color w:val="000000" w:themeColor="text1"/>
          <w:sz w:val="28"/>
          <w:szCs w:val="28"/>
          <w:lang w:val="es-ES"/>
        </w:rPr>
        <w:t xml:space="preserve">l 4 de mayo de 2021, Paola Andrea Durango </w:t>
      </w:r>
      <w:proofErr w:type="spellStart"/>
      <w:r w:rsidR="00C0240F" w:rsidRPr="00B41EAD">
        <w:rPr>
          <w:color w:val="000000" w:themeColor="text1"/>
          <w:sz w:val="28"/>
          <w:szCs w:val="28"/>
          <w:lang w:val="es-ES"/>
        </w:rPr>
        <w:t>Tilano</w:t>
      </w:r>
      <w:proofErr w:type="spellEnd"/>
      <w:r w:rsidR="00C0240F" w:rsidRPr="00B41EAD">
        <w:rPr>
          <w:color w:val="000000" w:themeColor="text1"/>
          <w:sz w:val="28"/>
          <w:szCs w:val="28"/>
          <w:lang w:val="es-ES"/>
        </w:rPr>
        <w:t xml:space="preserve"> y otros</w:t>
      </w:r>
      <w:r w:rsidR="00B22BE0" w:rsidRPr="00B41EAD">
        <w:rPr>
          <w:color w:val="000000" w:themeColor="text1"/>
          <w:sz w:val="28"/>
          <w:szCs w:val="28"/>
          <w:lang w:val="es-ES"/>
        </w:rPr>
        <w:t xml:space="preserve">, en calidad de familiares de Carlos Mario Durango </w:t>
      </w:r>
      <w:proofErr w:type="gramStart"/>
      <w:r w:rsidR="00B22BE0" w:rsidRPr="00B41EAD">
        <w:rPr>
          <w:color w:val="000000" w:themeColor="text1"/>
          <w:sz w:val="28"/>
          <w:szCs w:val="28"/>
          <w:lang w:val="es-ES"/>
        </w:rPr>
        <w:t xml:space="preserve">Vallejo, </w:t>
      </w:r>
      <w:r w:rsidR="00C0240F" w:rsidRPr="00B41EAD">
        <w:rPr>
          <w:color w:val="000000" w:themeColor="text1"/>
          <w:sz w:val="28"/>
          <w:szCs w:val="28"/>
          <w:lang w:val="es-ES"/>
        </w:rPr>
        <w:t xml:space="preserve"> presentaron</w:t>
      </w:r>
      <w:proofErr w:type="gramEnd"/>
      <w:r w:rsidR="00C0240F" w:rsidRPr="00B41EAD">
        <w:rPr>
          <w:color w:val="000000" w:themeColor="text1"/>
          <w:sz w:val="28"/>
          <w:szCs w:val="28"/>
          <w:lang w:val="es-ES"/>
        </w:rPr>
        <w:t xml:space="preserve"> una demanda de reparación directa contra</w:t>
      </w:r>
      <w:r w:rsidR="00CF7DCB" w:rsidRPr="00B41EAD">
        <w:rPr>
          <w:color w:val="000000" w:themeColor="text1"/>
          <w:sz w:val="28"/>
          <w:szCs w:val="28"/>
          <w:lang w:val="es-ES"/>
        </w:rPr>
        <w:t xml:space="preserve"> el</w:t>
      </w:r>
      <w:r w:rsidR="00C0240F" w:rsidRPr="00B41EAD">
        <w:rPr>
          <w:color w:val="000000" w:themeColor="text1"/>
          <w:sz w:val="28"/>
          <w:szCs w:val="28"/>
          <w:lang w:val="es-ES"/>
        </w:rPr>
        <w:t xml:space="preserve"> Ministerio de Defensa </w:t>
      </w:r>
      <w:r w:rsidR="00CF7DCB" w:rsidRPr="00B41EAD">
        <w:rPr>
          <w:color w:val="000000" w:themeColor="text1"/>
          <w:sz w:val="28"/>
          <w:szCs w:val="28"/>
          <w:lang w:val="es-ES"/>
        </w:rPr>
        <w:t>y el</w:t>
      </w:r>
      <w:r w:rsidR="00C0240F" w:rsidRPr="00B41EAD">
        <w:rPr>
          <w:color w:val="000000" w:themeColor="text1"/>
          <w:sz w:val="28"/>
          <w:szCs w:val="28"/>
          <w:lang w:val="es-ES"/>
        </w:rPr>
        <w:t xml:space="preserve"> Ejército Nacional</w:t>
      </w:r>
      <w:r w:rsidR="00880147" w:rsidRPr="00B41EAD">
        <w:rPr>
          <w:rStyle w:val="Refdenotaalpie"/>
          <w:color w:val="000000" w:themeColor="text1"/>
          <w:sz w:val="28"/>
          <w:szCs w:val="28"/>
          <w:lang w:val="es-ES"/>
        </w:rPr>
        <w:footnoteReference w:id="8"/>
      </w:r>
      <w:r w:rsidR="00C0240F" w:rsidRPr="00B41EAD">
        <w:rPr>
          <w:color w:val="000000" w:themeColor="text1"/>
          <w:sz w:val="28"/>
          <w:szCs w:val="28"/>
          <w:lang w:val="es-ES"/>
        </w:rPr>
        <w:t>.</w:t>
      </w:r>
      <w:r w:rsidR="009D20CE" w:rsidRPr="00B41EAD">
        <w:rPr>
          <w:color w:val="000000" w:themeColor="text1"/>
          <w:sz w:val="28"/>
          <w:szCs w:val="28"/>
          <w:lang w:val="es-ES"/>
        </w:rPr>
        <w:t xml:space="preserve"> En dicho escrito, el apoderado judicial subrayó, entre otras cosas, las razones por las cuales, </w:t>
      </w:r>
      <w:r w:rsidR="009D20CE" w:rsidRPr="00B41EAD">
        <w:rPr>
          <w:color w:val="000000" w:themeColor="text1"/>
          <w:sz w:val="28"/>
          <w:szCs w:val="28"/>
          <w:lang w:val="es-ES"/>
        </w:rPr>
        <w:lastRenderedPageBreak/>
        <w:t>para el momento de lo ocurrido, las presuntas víctimas no conocían o no tenían información acerca de una posible responsabilidad del Estado. En concreto, se expuso que, debido al nivel socioeconómico y al ignorar el presunto actuar ilegal de los miembros del Ejército Nacional, los demandantes no conocían las circunstancias en que ocurrió el homicidio</w:t>
      </w:r>
      <w:r w:rsidR="009D20CE" w:rsidRPr="00B41EAD">
        <w:rPr>
          <w:rStyle w:val="Refdenotaalpie"/>
          <w:color w:val="000000" w:themeColor="text1"/>
          <w:sz w:val="28"/>
          <w:szCs w:val="28"/>
          <w:lang w:val="es-ES"/>
        </w:rPr>
        <w:footnoteReference w:id="9"/>
      </w:r>
      <w:r w:rsidR="009D20CE" w:rsidRPr="00B41EAD">
        <w:rPr>
          <w:color w:val="000000" w:themeColor="text1"/>
          <w:sz w:val="28"/>
          <w:szCs w:val="28"/>
          <w:lang w:val="es-ES"/>
        </w:rPr>
        <w:t>.</w:t>
      </w:r>
    </w:p>
    <w:p w14:paraId="6AEFA1B6" w14:textId="77777777" w:rsidR="00340FA1" w:rsidRPr="00B41EAD" w:rsidRDefault="00340FA1" w:rsidP="00340FA1">
      <w:pPr>
        <w:pStyle w:val="Prrafodelista"/>
        <w:rPr>
          <w:color w:val="000000" w:themeColor="text1"/>
          <w:sz w:val="28"/>
          <w:szCs w:val="28"/>
          <w:lang w:val="es-ES"/>
        </w:rPr>
      </w:pPr>
    </w:p>
    <w:p w14:paraId="0DDF0DF0" w14:textId="3997C9AB" w:rsidR="00340FA1" w:rsidRPr="00B41EAD" w:rsidRDefault="00FC20CE">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P</w:t>
      </w:r>
      <w:r w:rsidR="00D667BB" w:rsidRPr="00B41EAD">
        <w:rPr>
          <w:b/>
          <w:bCs/>
          <w:i/>
          <w:iCs/>
          <w:color w:val="000000" w:themeColor="text1"/>
          <w:sz w:val="28"/>
          <w:szCs w:val="28"/>
          <w:lang w:val="es-ES"/>
        </w:rPr>
        <w:t xml:space="preserve">rimera instancia en el trámite del medio de control de reparación directa. </w:t>
      </w:r>
      <w:r w:rsidR="00DA7518" w:rsidRPr="00B41EAD">
        <w:rPr>
          <w:color w:val="000000" w:themeColor="text1"/>
          <w:sz w:val="28"/>
          <w:szCs w:val="28"/>
          <w:lang w:val="es-ES"/>
        </w:rPr>
        <w:t>En primera instancia, el asunto le correspondió a</w:t>
      </w:r>
      <w:r w:rsidR="00C0240F" w:rsidRPr="00B41EAD">
        <w:rPr>
          <w:color w:val="000000" w:themeColor="text1"/>
          <w:sz w:val="28"/>
          <w:szCs w:val="28"/>
          <w:lang w:val="es-ES"/>
        </w:rPr>
        <w:t>l Tribunal Administrativo de Antioquia</w:t>
      </w:r>
      <w:r w:rsidR="00DA7518" w:rsidRPr="00B41EAD">
        <w:rPr>
          <w:color w:val="000000" w:themeColor="text1"/>
          <w:sz w:val="28"/>
          <w:szCs w:val="28"/>
          <w:lang w:val="es-ES"/>
        </w:rPr>
        <w:t xml:space="preserve">. </w:t>
      </w:r>
      <w:r w:rsidR="00231D1C" w:rsidRPr="00B41EAD">
        <w:rPr>
          <w:color w:val="000000" w:themeColor="text1"/>
          <w:sz w:val="28"/>
          <w:szCs w:val="28"/>
          <w:lang w:val="es-ES"/>
        </w:rPr>
        <w:t xml:space="preserve">Por medio de </w:t>
      </w:r>
      <w:r w:rsidR="001557C6" w:rsidRPr="00B41EAD">
        <w:rPr>
          <w:color w:val="000000" w:themeColor="text1"/>
          <w:sz w:val="28"/>
          <w:szCs w:val="28"/>
          <w:lang w:val="es-ES"/>
        </w:rPr>
        <w:t>A</w:t>
      </w:r>
      <w:r w:rsidR="00231D1C" w:rsidRPr="00B41EAD">
        <w:rPr>
          <w:color w:val="000000" w:themeColor="text1"/>
          <w:sz w:val="28"/>
          <w:szCs w:val="28"/>
          <w:lang w:val="es-ES"/>
        </w:rPr>
        <w:t>uto del 2 de noviembre de 2021</w:t>
      </w:r>
      <w:r w:rsidR="00C0240F" w:rsidRPr="00B41EAD">
        <w:rPr>
          <w:color w:val="000000" w:themeColor="text1"/>
          <w:sz w:val="28"/>
          <w:szCs w:val="28"/>
          <w:lang w:val="es-ES"/>
        </w:rPr>
        <w:t xml:space="preserve">, </w:t>
      </w:r>
      <w:r w:rsidR="003F3D0A" w:rsidRPr="00B41EAD">
        <w:rPr>
          <w:color w:val="000000" w:themeColor="text1"/>
          <w:sz w:val="28"/>
          <w:szCs w:val="28"/>
          <w:lang w:val="es-ES"/>
        </w:rPr>
        <w:t xml:space="preserve">la </w:t>
      </w:r>
      <w:r w:rsidR="00C0240F" w:rsidRPr="00B41EAD">
        <w:rPr>
          <w:color w:val="000000" w:themeColor="text1"/>
          <w:sz w:val="28"/>
          <w:szCs w:val="28"/>
          <w:lang w:val="es-ES"/>
        </w:rPr>
        <w:t>Sala Primera de Decisión</w:t>
      </w:r>
      <w:r w:rsidR="00231D1C" w:rsidRPr="00B41EAD">
        <w:rPr>
          <w:color w:val="000000" w:themeColor="text1"/>
          <w:sz w:val="28"/>
          <w:szCs w:val="28"/>
          <w:lang w:val="es-ES"/>
        </w:rPr>
        <w:t xml:space="preserve"> de dicho </w:t>
      </w:r>
      <w:r w:rsidR="00DF72A2" w:rsidRPr="00B41EAD">
        <w:rPr>
          <w:color w:val="000000" w:themeColor="text1"/>
          <w:sz w:val="28"/>
          <w:szCs w:val="28"/>
          <w:lang w:val="es-ES"/>
        </w:rPr>
        <w:t>T</w:t>
      </w:r>
      <w:r w:rsidR="00231D1C" w:rsidRPr="00B41EAD">
        <w:rPr>
          <w:color w:val="000000" w:themeColor="text1"/>
          <w:sz w:val="28"/>
          <w:szCs w:val="28"/>
          <w:lang w:val="es-ES"/>
        </w:rPr>
        <w:t>ribunal</w:t>
      </w:r>
      <w:r w:rsidR="00C0240F" w:rsidRPr="00B41EAD">
        <w:rPr>
          <w:color w:val="000000" w:themeColor="text1"/>
          <w:sz w:val="28"/>
          <w:szCs w:val="28"/>
          <w:lang w:val="es-ES"/>
        </w:rPr>
        <w:t xml:space="preserve"> </w:t>
      </w:r>
      <w:r w:rsidR="00231D1C" w:rsidRPr="00B41EAD">
        <w:rPr>
          <w:color w:val="000000" w:themeColor="text1"/>
          <w:sz w:val="28"/>
          <w:szCs w:val="28"/>
          <w:lang w:val="es-ES"/>
        </w:rPr>
        <w:t xml:space="preserve">resolvió rechazar </w:t>
      </w:r>
      <w:r w:rsidR="4F1EF437" w:rsidRPr="00B41EAD">
        <w:rPr>
          <w:color w:val="000000" w:themeColor="text1"/>
          <w:sz w:val="28"/>
          <w:szCs w:val="28"/>
          <w:lang w:val="es-ES"/>
        </w:rPr>
        <w:t xml:space="preserve">la demanda al encontrar </w:t>
      </w:r>
      <w:r w:rsidR="00E91ED5" w:rsidRPr="00B41EAD">
        <w:rPr>
          <w:color w:val="000000" w:themeColor="text1"/>
          <w:sz w:val="28"/>
          <w:szCs w:val="28"/>
          <w:lang w:val="es-ES"/>
        </w:rPr>
        <w:t xml:space="preserve">que había </w:t>
      </w:r>
      <w:r w:rsidR="00576CD8" w:rsidRPr="00B41EAD">
        <w:rPr>
          <w:color w:val="000000" w:themeColor="text1"/>
          <w:sz w:val="28"/>
          <w:szCs w:val="28"/>
          <w:lang w:val="es-ES"/>
        </w:rPr>
        <w:t>operado la caducidad</w:t>
      </w:r>
      <w:r w:rsidR="00E91ED5" w:rsidRPr="00B41EAD">
        <w:rPr>
          <w:color w:val="000000" w:themeColor="text1"/>
          <w:sz w:val="28"/>
          <w:szCs w:val="28"/>
          <w:lang w:val="es-ES"/>
        </w:rPr>
        <w:t xml:space="preserve"> del medio de control.</w:t>
      </w:r>
      <w:r w:rsidR="00C0240F" w:rsidRPr="00B41EAD">
        <w:rPr>
          <w:color w:val="000000" w:themeColor="text1"/>
          <w:sz w:val="28"/>
          <w:szCs w:val="28"/>
          <w:lang w:val="es-ES"/>
        </w:rPr>
        <w:t xml:space="preserve"> </w:t>
      </w:r>
      <w:r w:rsidR="008115B8" w:rsidRPr="00B41EAD">
        <w:rPr>
          <w:color w:val="000000" w:themeColor="text1"/>
          <w:sz w:val="28"/>
          <w:szCs w:val="28"/>
          <w:lang w:val="es-ES"/>
        </w:rPr>
        <w:t>La decisión se soportó</w:t>
      </w:r>
      <w:r w:rsidR="00E91ED5" w:rsidRPr="00B41EAD">
        <w:rPr>
          <w:color w:val="000000" w:themeColor="text1"/>
          <w:sz w:val="28"/>
          <w:szCs w:val="28"/>
          <w:lang w:val="es-ES"/>
        </w:rPr>
        <w:t xml:space="preserve"> </w:t>
      </w:r>
      <w:r w:rsidR="00C0240F" w:rsidRPr="00B41EAD">
        <w:rPr>
          <w:color w:val="000000" w:themeColor="text1"/>
          <w:sz w:val="28"/>
          <w:szCs w:val="28"/>
          <w:lang w:val="es-ES"/>
        </w:rPr>
        <w:t xml:space="preserve">en </w:t>
      </w:r>
      <w:r w:rsidR="003F3D0A" w:rsidRPr="00B41EAD">
        <w:rPr>
          <w:color w:val="000000" w:themeColor="text1"/>
          <w:sz w:val="28"/>
          <w:szCs w:val="28"/>
          <w:lang w:val="es-ES"/>
        </w:rPr>
        <w:t xml:space="preserve">la </w:t>
      </w:r>
      <w:r w:rsidR="00C0240F" w:rsidRPr="00B41EAD">
        <w:rPr>
          <w:color w:val="000000" w:themeColor="text1"/>
          <w:sz w:val="28"/>
          <w:szCs w:val="28"/>
          <w:lang w:val="es-ES"/>
        </w:rPr>
        <w:t xml:space="preserve">aplicación de la sentencia de unificación emitida por la Sección Tercera del Consejo de Estado </w:t>
      </w:r>
      <w:r w:rsidR="000E551B" w:rsidRPr="00B41EAD">
        <w:rPr>
          <w:color w:val="000000" w:themeColor="text1"/>
          <w:sz w:val="28"/>
          <w:szCs w:val="28"/>
          <w:lang w:val="es-ES"/>
        </w:rPr>
        <w:t>d</w:t>
      </w:r>
      <w:r w:rsidR="00C0240F" w:rsidRPr="00B41EAD">
        <w:rPr>
          <w:color w:val="000000" w:themeColor="text1"/>
          <w:sz w:val="28"/>
          <w:szCs w:val="28"/>
          <w:lang w:val="es-ES"/>
        </w:rPr>
        <w:t>el 29 de enero de 2020</w:t>
      </w:r>
      <w:r w:rsidR="00F03B0B" w:rsidRPr="00B41EAD">
        <w:rPr>
          <w:color w:val="000000" w:themeColor="text1"/>
          <w:sz w:val="28"/>
          <w:szCs w:val="28"/>
          <w:lang w:val="es-ES"/>
        </w:rPr>
        <w:t>. Con base en lo anterior,</w:t>
      </w:r>
      <w:r w:rsidR="00576CD8" w:rsidRPr="00B41EAD">
        <w:rPr>
          <w:color w:val="000000" w:themeColor="text1"/>
          <w:sz w:val="28"/>
          <w:szCs w:val="28"/>
          <w:lang w:val="es-ES"/>
        </w:rPr>
        <w:t xml:space="preserve"> e</w:t>
      </w:r>
      <w:r w:rsidR="00C0240F" w:rsidRPr="00B41EAD">
        <w:rPr>
          <w:color w:val="000000" w:themeColor="text1"/>
          <w:sz w:val="28"/>
          <w:szCs w:val="28"/>
          <w:lang w:val="es-ES"/>
        </w:rPr>
        <w:t xml:space="preserve">l Tribunal determinó que la demanda debió presentarse dentro de los dos años siguientes a la presunta ejecución extrajudicial de Carlos Mario Durango Vallejo, plazo </w:t>
      </w:r>
      <w:r w:rsidR="003F3D0A" w:rsidRPr="00B41EAD">
        <w:rPr>
          <w:color w:val="000000" w:themeColor="text1"/>
          <w:sz w:val="28"/>
          <w:szCs w:val="28"/>
          <w:lang w:val="es-ES"/>
        </w:rPr>
        <w:t xml:space="preserve">que </w:t>
      </w:r>
      <w:r w:rsidR="00C0240F" w:rsidRPr="00B41EAD">
        <w:rPr>
          <w:color w:val="000000" w:themeColor="text1"/>
          <w:sz w:val="28"/>
          <w:szCs w:val="28"/>
          <w:lang w:val="es-ES"/>
        </w:rPr>
        <w:t xml:space="preserve">expiró el 21 de agosto de 1998, puesto que </w:t>
      </w:r>
      <w:r w:rsidR="003F3D0A" w:rsidRPr="00B41EAD">
        <w:rPr>
          <w:color w:val="000000" w:themeColor="text1"/>
          <w:sz w:val="28"/>
          <w:szCs w:val="28"/>
          <w:lang w:val="es-ES"/>
        </w:rPr>
        <w:t xml:space="preserve">no había duda de que </w:t>
      </w:r>
      <w:r w:rsidR="00C0240F" w:rsidRPr="00B41EAD">
        <w:rPr>
          <w:color w:val="000000" w:themeColor="text1"/>
          <w:sz w:val="28"/>
          <w:szCs w:val="28"/>
          <w:lang w:val="es-ES"/>
        </w:rPr>
        <w:t xml:space="preserve">los demandantes </w:t>
      </w:r>
      <w:r w:rsidR="003F3D0A" w:rsidRPr="00B41EAD">
        <w:rPr>
          <w:color w:val="000000" w:themeColor="text1"/>
          <w:sz w:val="28"/>
          <w:szCs w:val="28"/>
          <w:lang w:val="es-ES"/>
        </w:rPr>
        <w:t>tuvieron</w:t>
      </w:r>
      <w:r w:rsidR="00C0240F" w:rsidRPr="00B41EAD">
        <w:rPr>
          <w:color w:val="000000" w:themeColor="text1"/>
          <w:sz w:val="28"/>
          <w:szCs w:val="28"/>
          <w:lang w:val="es-ES"/>
        </w:rPr>
        <w:t xml:space="preserve"> conocimiento de los hechos desde el 20 de agosto de 1996</w:t>
      </w:r>
      <w:r w:rsidR="00042079" w:rsidRPr="00B41EAD">
        <w:rPr>
          <w:rStyle w:val="Refdenotaalpie"/>
          <w:color w:val="000000" w:themeColor="text1"/>
          <w:sz w:val="28"/>
          <w:szCs w:val="28"/>
          <w:lang w:val="es-ES"/>
        </w:rPr>
        <w:footnoteReference w:id="10"/>
      </w:r>
      <w:r w:rsidR="00C0240F" w:rsidRPr="00B41EAD">
        <w:rPr>
          <w:color w:val="000000" w:themeColor="text1"/>
          <w:sz w:val="28"/>
          <w:szCs w:val="28"/>
          <w:lang w:val="es-ES"/>
        </w:rPr>
        <w:t>.</w:t>
      </w:r>
    </w:p>
    <w:p w14:paraId="412658B9" w14:textId="77777777" w:rsidR="00340FA1" w:rsidRPr="00B41EAD" w:rsidRDefault="00340FA1" w:rsidP="00340FA1">
      <w:pPr>
        <w:pStyle w:val="Prrafodelista"/>
        <w:rPr>
          <w:color w:val="000000" w:themeColor="text1"/>
          <w:sz w:val="28"/>
          <w:szCs w:val="28"/>
          <w:lang w:val="es-ES"/>
        </w:rPr>
      </w:pPr>
    </w:p>
    <w:p w14:paraId="11FD2DAE" w14:textId="150022CF" w:rsidR="003C4409" w:rsidRPr="00B41EAD" w:rsidRDefault="002F0B9D">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R</w:t>
      </w:r>
      <w:r w:rsidR="005D3272" w:rsidRPr="00B41EAD">
        <w:rPr>
          <w:b/>
          <w:bCs/>
          <w:i/>
          <w:iCs/>
          <w:color w:val="000000" w:themeColor="text1"/>
          <w:sz w:val="28"/>
          <w:szCs w:val="28"/>
          <w:lang w:val="es-ES"/>
        </w:rPr>
        <w:t xml:space="preserve">ecurso de apelación. </w:t>
      </w:r>
      <w:r w:rsidR="00C0240F" w:rsidRPr="00B41EAD">
        <w:rPr>
          <w:color w:val="000000" w:themeColor="text1"/>
          <w:sz w:val="28"/>
          <w:szCs w:val="28"/>
          <w:lang w:val="es-ES"/>
        </w:rPr>
        <w:t xml:space="preserve">Los demandantes apelaron </w:t>
      </w:r>
      <w:r w:rsidR="005D3272" w:rsidRPr="00B41EAD">
        <w:rPr>
          <w:color w:val="000000" w:themeColor="text1"/>
          <w:sz w:val="28"/>
          <w:szCs w:val="28"/>
          <w:lang w:val="es-ES"/>
        </w:rPr>
        <w:t>la anterior</w:t>
      </w:r>
      <w:r w:rsidR="00C0240F" w:rsidRPr="00B41EAD">
        <w:rPr>
          <w:color w:val="000000" w:themeColor="text1"/>
          <w:sz w:val="28"/>
          <w:szCs w:val="28"/>
          <w:lang w:val="es-ES"/>
        </w:rPr>
        <w:t xml:space="preserve"> decisión</w:t>
      </w:r>
      <w:r w:rsidR="00FA07E6" w:rsidRPr="00B41EAD">
        <w:rPr>
          <w:color w:val="000000" w:themeColor="text1"/>
          <w:sz w:val="28"/>
          <w:szCs w:val="28"/>
          <w:lang w:val="es-ES"/>
        </w:rPr>
        <w:t xml:space="preserve"> y el recurso fue concedido con aut</w:t>
      </w:r>
      <w:r w:rsidR="00891B7C" w:rsidRPr="00B41EAD">
        <w:rPr>
          <w:color w:val="000000" w:themeColor="text1"/>
          <w:sz w:val="28"/>
          <w:szCs w:val="28"/>
          <w:lang w:val="es-ES"/>
        </w:rPr>
        <w:t>o del 25 de enero de 2022 por parte del Tribunal Administrativo de Antioquia</w:t>
      </w:r>
      <w:r w:rsidR="00891B7C" w:rsidRPr="00B41EAD">
        <w:rPr>
          <w:rStyle w:val="Refdenotaalpie"/>
          <w:color w:val="000000" w:themeColor="text1"/>
          <w:sz w:val="28"/>
          <w:szCs w:val="28"/>
          <w:lang w:val="es-ES"/>
        </w:rPr>
        <w:footnoteReference w:id="11"/>
      </w:r>
      <w:r w:rsidR="00891B7C" w:rsidRPr="00B41EAD">
        <w:rPr>
          <w:color w:val="000000" w:themeColor="text1"/>
          <w:sz w:val="28"/>
          <w:szCs w:val="28"/>
          <w:lang w:val="es-ES"/>
        </w:rPr>
        <w:t xml:space="preserve">. </w:t>
      </w:r>
      <w:r w:rsidR="00A77D3E" w:rsidRPr="00B41EAD">
        <w:rPr>
          <w:color w:val="000000" w:themeColor="text1"/>
          <w:sz w:val="28"/>
          <w:szCs w:val="28"/>
          <w:lang w:val="es-ES"/>
        </w:rPr>
        <w:t>Se planteó que no fueron determinados varios aspectos</w:t>
      </w:r>
      <w:r w:rsidR="00CF5BEE" w:rsidRPr="00B41EAD">
        <w:rPr>
          <w:color w:val="000000" w:themeColor="text1"/>
          <w:sz w:val="28"/>
          <w:szCs w:val="28"/>
          <w:lang w:val="es-ES"/>
        </w:rPr>
        <w:t xml:space="preserve"> </w:t>
      </w:r>
      <w:r w:rsidR="006A0F63" w:rsidRPr="00B41EAD">
        <w:rPr>
          <w:color w:val="000000" w:themeColor="text1"/>
          <w:sz w:val="28"/>
          <w:szCs w:val="28"/>
          <w:lang w:val="es-ES"/>
        </w:rPr>
        <w:t>establecidos en el</w:t>
      </w:r>
      <w:r w:rsidR="00CF5BEE" w:rsidRPr="00B41EAD">
        <w:rPr>
          <w:color w:val="000000" w:themeColor="text1"/>
          <w:sz w:val="28"/>
          <w:szCs w:val="28"/>
          <w:lang w:val="es-ES"/>
        </w:rPr>
        <w:t xml:space="preserve"> precedente de unificación emitido por el Consejo de Estado</w:t>
      </w:r>
      <w:r w:rsidR="00AF13A9" w:rsidRPr="00B41EAD">
        <w:rPr>
          <w:color w:val="000000" w:themeColor="text1"/>
          <w:sz w:val="28"/>
          <w:szCs w:val="28"/>
          <w:lang w:val="es-ES"/>
        </w:rPr>
        <w:t xml:space="preserve">. Además, </w:t>
      </w:r>
      <w:r w:rsidR="00593FDA" w:rsidRPr="00B41EAD">
        <w:rPr>
          <w:color w:val="000000" w:themeColor="text1"/>
          <w:sz w:val="28"/>
          <w:szCs w:val="28"/>
          <w:lang w:val="es-ES"/>
        </w:rPr>
        <w:t>se expuso que la familia de Carlos Mario Durango Vallejo</w:t>
      </w:r>
      <w:r w:rsidR="00AF13A9" w:rsidRPr="00B41EAD">
        <w:rPr>
          <w:color w:val="000000" w:themeColor="text1"/>
          <w:sz w:val="28"/>
          <w:szCs w:val="28"/>
          <w:lang w:val="es-ES"/>
        </w:rPr>
        <w:t xml:space="preserve"> </w:t>
      </w:r>
      <w:r w:rsidR="00593FDA" w:rsidRPr="00B41EAD">
        <w:rPr>
          <w:color w:val="000000" w:themeColor="text1"/>
          <w:sz w:val="28"/>
          <w:szCs w:val="28"/>
          <w:lang w:val="es-ES"/>
        </w:rPr>
        <w:t xml:space="preserve">no estuvo presente en los hechos y </w:t>
      </w:r>
      <w:proofErr w:type="gramStart"/>
      <w:r w:rsidR="00593FDA" w:rsidRPr="00B41EAD">
        <w:rPr>
          <w:color w:val="000000" w:themeColor="text1"/>
          <w:sz w:val="28"/>
          <w:szCs w:val="28"/>
          <w:lang w:val="es-ES"/>
        </w:rPr>
        <w:t>que</w:t>
      </w:r>
      <w:proofErr w:type="gramEnd"/>
      <w:r w:rsidR="00593FDA" w:rsidRPr="00B41EAD">
        <w:rPr>
          <w:color w:val="000000" w:themeColor="text1"/>
          <w:sz w:val="28"/>
          <w:szCs w:val="28"/>
          <w:lang w:val="es-ES"/>
        </w:rPr>
        <w:t xml:space="preserve"> dadas sus condiciones socioeconómicas, su nivel de escolaridad y la situación de violencia de la zona, lo único que pudieron conocer fue el hecho de la muerte de su ser querido en el marco de un actuar </w:t>
      </w:r>
      <w:r w:rsidR="006A0F63" w:rsidRPr="00B41EAD">
        <w:rPr>
          <w:color w:val="000000" w:themeColor="text1"/>
          <w:sz w:val="28"/>
          <w:szCs w:val="28"/>
          <w:lang w:val="es-ES"/>
        </w:rPr>
        <w:t xml:space="preserve">aparentemente </w:t>
      </w:r>
      <w:r w:rsidR="00593FDA" w:rsidRPr="00B41EAD">
        <w:rPr>
          <w:color w:val="000000" w:themeColor="text1"/>
          <w:sz w:val="28"/>
          <w:szCs w:val="28"/>
          <w:lang w:val="es-ES"/>
        </w:rPr>
        <w:t>leg</w:t>
      </w:r>
      <w:r w:rsidR="006A0F63" w:rsidRPr="00B41EAD">
        <w:rPr>
          <w:color w:val="000000" w:themeColor="text1"/>
          <w:sz w:val="28"/>
          <w:szCs w:val="28"/>
          <w:lang w:val="es-ES"/>
        </w:rPr>
        <w:t>í</w:t>
      </w:r>
      <w:r w:rsidR="00593FDA" w:rsidRPr="00B41EAD">
        <w:rPr>
          <w:color w:val="000000" w:themeColor="text1"/>
          <w:sz w:val="28"/>
          <w:szCs w:val="28"/>
          <w:lang w:val="es-ES"/>
        </w:rPr>
        <w:t>timo del Ejército Nacional. Por ello, señalaron</w:t>
      </w:r>
      <w:r w:rsidR="00342883" w:rsidRPr="00B41EAD">
        <w:rPr>
          <w:color w:val="000000" w:themeColor="text1"/>
          <w:sz w:val="28"/>
          <w:szCs w:val="28"/>
          <w:lang w:val="es-ES"/>
        </w:rPr>
        <w:t xml:space="preserve"> que después de varios intentos para acceder a la información oficial y </w:t>
      </w:r>
      <w:r w:rsidR="003D20C5" w:rsidRPr="00B41EAD">
        <w:rPr>
          <w:color w:val="000000" w:themeColor="text1"/>
          <w:sz w:val="28"/>
          <w:szCs w:val="28"/>
          <w:lang w:val="es-ES"/>
        </w:rPr>
        <w:t>de la investigación</w:t>
      </w:r>
      <w:r w:rsidR="00342883" w:rsidRPr="00B41EAD">
        <w:rPr>
          <w:color w:val="000000" w:themeColor="text1"/>
          <w:sz w:val="28"/>
          <w:szCs w:val="28"/>
          <w:lang w:val="es-ES"/>
        </w:rPr>
        <w:t xml:space="preserve"> penal</w:t>
      </w:r>
      <w:r w:rsidR="00B41176" w:rsidRPr="00B41EAD">
        <w:rPr>
          <w:color w:val="000000" w:themeColor="text1"/>
          <w:sz w:val="28"/>
          <w:szCs w:val="28"/>
          <w:lang w:val="es-ES"/>
        </w:rPr>
        <w:t xml:space="preserve"> que se adelantó al respecto</w:t>
      </w:r>
      <w:r w:rsidR="00C21E14" w:rsidRPr="00B41EAD">
        <w:rPr>
          <w:color w:val="000000" w:themeColor="text1"/>
          <w:sz w:val="28"/>
          <w:szCs w:val="28"/>
          <w:lang w:val="es-ES"/>
        </w:rPr>
        <w:t>, solo</w:t>
      </w:r>
      <w:r w:rsidR="005E577E" w:rsidRPr="00B41EAD">
        <w:rPr>
          <w:color w:val="000000" w:themeColor="text1"/>
          <w:sz w:val="28"/>
          <w:szCs w:val="28"/>
          <w:lang w:val="es-ES"/>
        </w:rPr>
        <w:t xml:space="preserve"> </w:t>
      </w:r>
      <w:r w:rsidR="00065244" w:rsidRPr="00B41EAD">
        <w:rPr>
          <w:color w:val="000000" w:themeColor="text1"/>
          <w:sz w:val="28"/>
          <w:szCs w:val="28"/>
          <w:lang w:val="es-ES"/>
        </w:rPr>
        <w:t xml:space="preserve">lograron conocer en detalle los hechos y lo expuesto por los militares, </w:t>
      </w:r>
      <w:r w:rsidR="00554305" w:rsidRPr="00B41EAD">
        <w:rPr>
          <w:color w:val="000000" w:themeColor="text1"/>
          <w:sz w:val="28"/>
          <w:szCs w:val="28"/>
          <w:lang w:val="es-ES"/>
        </w:rPr>
        <w:t>a partir de una</w:t>
      </w:r>
      <w:r w:rsidR="005E577E" w:rsidRPr="00B41EAD">
        <w:rPr>
          <w:color w:val="000000" w:themeColor="text1"/>
          <w:sz w:val="28"/>
          <w:szCs w:val="28"/>
          <w:lang w:val="es-ES"/>
        </w:rPr>
        <w:t xml:space="preserve"> respuesta a un derecho de peti</w:t>
      </w:r>
      <w:r w:rsidR="006C62B0" w:rsidRPr="00B41EAD">
        <w:rPr>
          <w:color w:val="000000" w:themeColor="text1"/>
          <w:sz w:val="28"/>
          <w:szCs w:val="28"/>
          <w:lang w:val="es-ES"/>
        </w:rPr>
        <w:t>ción del 24 de julio de 2020</w:t>
      </w:r>
      <w:r w:rsidR="00F71B98" w:rsidRPr="00B41EAD">
        <w:rPr>
          <w:rStyle w:val="Refdenotaalpie"/>
          <w:color w:val="000000" w:themeColor="text1"/>
          <w:sz w:val="28"/>
          <w:szCs w:val="28"/>
          <w:lang w:val="es-ES"/>
        </w:rPr>
        <w:footnoteReference w:id="12"/>
      </w:r>
      <w:r w:rsidR="00554305" w:rsidRPr="00B41EAD">
        <w:rPr>
          <w:color w:val="000000" w:themeColor="text1"/>
          <w:sz w:val="28"/>
          <w:szCs w:val="28"/>
          <w:lang w:val="es-ES"/>
        </w:rPr>
        <w:t>.</w:t>
      </w:r>
    </w:p>
    <w:p w14:paraId="6D08B772" w14:textId="77777777" w:rsidR="009D20CE" w:rsidRPr="00B41EAD" w:rsidRDefault="009D20CE" w:rsidP="009D20CE">
      <w:pPr>
        <w:pStyle w:val="Prrafodelista"/>
        <w:rPr>
          <w:color w:val="000000" w:themeColor="text1"/>
          <w:sz w:val="28"/>
          <w:szCs w:val="28"/>
          <w:lang w:val="es-ES"/>
        </w:rPr>
      </w:pPr>
    </w:p>
    <w:p w14:paraId="6C47AA7D" w14:textId="463E9742" w:rsidR="009D20CE" w:rsidRPr="00B41EAD" w:rsidRDefault="009D20CE" w:rsidP="009D20C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Asimismo,</w:t>
      </w:r>
      <w:r w:rsidRPr="00B41EAD">
        <w:rPr>
          <w:color w:val="000000" w:themeColor="text1"/>
          <w:sz w:val="28"/>
          <w:szCs w:val="28"/>
        </w:rPr>
        <w:t xml:space="preserve"> en el recurso se alegó que, según un informe oficial del 20 de agosto de 1996, los miembros </w:t>
      </w:r>
      <w:r w:rsidR="004A2688" w:rsidRPr="00B41EAD">
        <w:rPr>
          <w:color w:val="000000" w:themeColor="text1"/>
          <w:sz w:val="28"/>
          <w:szCs w:val="28"/>
        </w:rPr>
        <w:t>del Ejército</w:t>
      </w:r>
      <w:r w:rsidRPr="00B41EAD">
        <w:rPr>
          <w:color w:val="000000" w:themeColor="text1"/>
          <w:sz w:val="28"/>
          <w:szCs w:val="28"/>
        </w:rPr>
        <w:t xml:space="preserve"> que habrían causado la muerte de la víctima actuaron en atención a que la patrulla “fue hostigada y la baja de los bandoleros se hizo haciendo uso de la legítima defensa”</w:t>
      </w:r>
      <w:r w:rsidRPr="00B41EAD">
        <w:rPr>
          <w:color w:val="000000" w:themeColor="text1"/>
          <w:sz w:val="28"/>
          <w:szCs w:val="28"/>
          <w:vertAlign w:val="superscript"/>
        </w:rPr>
        <w:footnoteReference w:id="13"/>
      </w:r>
      <w:r w:rsidR="00FC681E" w:rsidRPr="00B41EAD">
        <w:rPr>
          <w:color w:val="000000" w:themeColor="text1"/>
          <w:sz w:val="28"/>
          <w:szCs w:val="28"/>
        </w:rPr>
        <w:t>.</w:t>
      </w:r>
      <w:r w:rsidRPr="00B41EAD">
        <w:rPr>
          <w:color w:val="000000" w:themeColor="text1"/>
          <w:sz w:val="28"/>
          <w:szCs w:val="28"/>
        </w:rPr>
        <w:t xml:space="preserve"> Adicionalmente, al escrito de apelación se anexaron varias actas de agosto de 1996 en las cuales se indicó que la destrucción de granadas y los materiales de guerra incautados el 19 </w:t>
      </w:r>
      <w:r w:rsidRPr="00B41EAD">
        <w:rPr>
          <w:color w:val="000000" w:themeColor="text1"/>
          <w:sz w:val="28"/>
          <w:szCs w:val="28"/>
        </w:rPr>
        <w:lastRenderedPageBreak/>
        <w:t>de agosto de dicha anualidad tuvieron como origen la presencia de “dos antisociales de las FARC dados de baja”</w:t>
      </w:r>
      <w:r w:rsidRPr="00B41EAD">
        <w:rPr>
          <w:color w:val="000000" w:themeColor="text1"/>
          <w:sz w:val="28"/>
          <w:szCs w:val="28"/>
          <w:vertAlign w:val="superscript"/>
        </w:rPr>
        <w:footnoteReference w:id="14"/>
      </w:r>
      <w:r w:rsidR="00FC681E" w:rsidRPr="00B41EAD">
        <w:rPr>
          <w:color w:val="000000" w:themeColor="text1"/>
          <w:sz w:val="28"/>
          <w:szCs w:val="28"/>
        </w:rPr>
        <w:t>.</w:t>
      </w:r>
    </w:p>
    <w:p w14:paraId="638A5927" w14:textId="77777777" w:rsidR="009D20CE" w:rsidRPr="00B41EAD" w:rsidRDefault="009D20CE" w:rsidP="009D20CE">
      <w:pPr>
        <w:rPr>
          <w:color w:val="000000" w:themeColor="text1"/>
          <w:sz w:val="28"/>
          <w:szCs w:val="28"/>
          <w:lang w:val="es-ES"/>
        </w:rPr>
      </w:pPr>
    </w:p>
    <w:p w14:paraId="7E9EC252" w14:textId="4DA7B30B" w:rsidR="00C0240F" w:rsidRPr="00B41EAD" w:rsidRDefault="00FC20CE">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S</w:t>
      </w:r>
      <w:r w:rsidR="003C4409" w:rsidRPr="00B41EAD">
        <w:rPr>
          <w:b/>
          <w:bCs/>
          <w:i/>
          <w:iCs/>
          <w:color w:val="000000" w:themeColor="text1"/>
          <w:sz w:val="28"/>
          <w:szCs w:val="28"/>
          <w:lang w:val="es-ES"/>
        </w:rPr>
        <w:t xml:space="preserve">egunda instancia en el trámite del medio de control de reparación directa. </w:t>
      </w:r>
      <w:r w:rsidR="006D721A" w:rsidRPr="00B41EAD">
        <w:rPr>
          <w:color w:val="000000" w:themeColor="text1"/>
          <w:sz w:val="28"/>
          <w:szCs w:val="28"/>
          <w:lang w:val="es-ES"/>
        </w:rPr>
        <w:t xml:space="preserve">Mediante </w:t>
      </w:r>
      <w:r w:rsidRPr="00B41EAD">
        <w:rPr>
          <w:color w:val="000000" w:themeColor="text1"/>
          <w:sz w:val="28"/>
          <w:szCs w:val="28"/>
          <w:lang w:val="es-ES"/>
        </w:rPr>
        <w:t>auto</w:t>
      </w:r>
      <w:r w:rsidR="006D721A" w:rsidRPr="00B41EAD">
        <w:rPr>
          <w:color w:val="000000" w:themeColor="text1"/>
          <w:sz w:val="28"/>
          <w:szCs w:val="28"/>
          <w:lang w:val="es-ES"/>
        </w:rPr>
        <w:t xml:space="preserve"> </w:t>
      </w:r>
      <w:r w:rsidR="003D19CD" w:rsidRPr="00B41EAD">
        <w:rPr>
          <w:color w:val="000000" w:themeColor="text1"/>
          <w:sz w:val="28"/>
          <w:szCs w:val="28"/>
          <w:lang w:val="es-ES"/>
        </w:rPr>
        <w:t>de</w:t>
      </w:r>
      <w:r w:rsidR="006D721A" w:rsidRPr="00B41EAD">
        <w:rPr>
          <w:color w:val="000000" w:themeColor="text1"/>
          <w:sz w:val="28"/>
          <w:szCs w:val="28"/>
          <w:lang w:val="es-ES"/>
        </w:rPr>
        <w:t>l 7 de septiembre de 2022,</w:t>
      </w:r>
      <w:r w:rsidR="00C0240F" w:rsidRPr="00B41EAD">
        <w:rPr>
          <w:color w:val="000000" w:themeColor="text1"/>
          <w:sz w:val="28"/>
          <w:szCs w:val="28"/>
          <w:lang w:val="es-ES"/>
        </w:rPr>
        <w:t xml:space="preserve"> </w:t>
      </w:r>
      <w:r w:rsidR="006D721A" w:rsidRPr="00B41EAD">
        <w:rPr>
          <w:color w:val="000000" w:themeColor="text1"/>
          <w:sz w:val="28"/>
          <w:szCs w:val="28"/>
          <w:lang w:val="es-ES"/>
        </w:rPr>
        <w:t>la Subsección C de la Sección Tercera d</w:t>
      </w:r>
      <w:r w:rsidR="00C0240F" w:rsidRPr="00B41EAD">
        <w:rPr>
          <w:color w:val="000000" w:themeColor="text1"/>
          <w:sz w:val="28"/>
          <w:szCs w:val="28"/>
          <w:lang w:val="es-ES"/>
        </w:rPr>
        <w:t>el Consejo de Estado</w:t>
      </w:r>
      <w:r w:rsidR="006D721A" w:rsidRPr="00B41EAD">
        <w:rPr>
          <w:color w:val="000000" w:themeColor="text1"/>
          <w:sz w:val="28"/>
          <w:szCs w:val="28"/>
          <w:lang w:val="es-ES"/>
        </w:rPr>
        <w:t xml:space="preserve"> </w:t>
      </w:r>
      <w:r w:rsidR="00554305" w:rsidRPr="00B41EAD">
        <w:rPr>
          <w:color w:val="000000" w:themeColor="text1"/>
          <w:sz w:val="28"/>
          <w:szCs w:val="28"/>
          <w:lang w:val="es-ES"/>
        </w:rPr>
        <w:t>decidió confirmar</w:t>
      </w:r>
      <w:r w:rsidR="00C0240F" w:rsidRPr="00B41EAD">
        <w:rPr>
          <w:color w:val="000000" w:themeColor="text1"/>
          <w:sz w:val="28"/>
          <w:szCs w:val="28"/>
          <w:lang w:val="es-ES"/>
        </w:rPr>
        <w:t xml:space="preserve"> la </w:t>
      </w:r>
      <w:r w:rsidR="00A17D0B" w:rsidRPr="00B41EAD">
        <w:rPr>
          <w:color w:val="000000" w:themeColor="text1"/>
          <w:sz w:val="28"/>
          <w:szCs w:val="28"/>
          <w:lang w:val="es-ES"/>
        </w:rPr>
        <w:t xml:space="preserve">providencia </w:t>
      </w:r>
      <w:r w:rsidR="00C0240F" w:rsidRPr="00B41EAD">
        <w:rPr>
          <w:color w:val="000000" w:themeColor="text1"/>
          <w:sz w:val="28"/>
          <w:szCs w:val="28"/>
          <w:lang w:val="es-ES"/>
        </w:rPr>
        <w:t xml:space="preserve">de primera instancia. </w:t>
      </w:r>
      <w:r w:rsidR="00E454B9" w:rsidRPr="00B41EAD">
        <w:rPr>
          <w:color w:val="000000" w:themeColor="text1"/>
          <w:sz w:val="28"/>
          <w:szCs w:val="28"/>
          <w:lang w:val="es-ES"/>
        </w:rPr>
        <w:t>Indicó</w:t>
      </w:r>
      <w:r w:rsidR="00C0240F" w:rsidRPr="00B41EAD">
        <w:rPr>
          <w:color w:val="000000" w:themeColor="text1"/>
          <w:sz w:val="28"/>
          <w:szCs w:val="28"/>
          <w:lang w:val="es-ES"/>
        </w:rPr>
        <w:t xml:space="preserve"> que los demandantes tuvieron conocimiento de la muerte de Carlos Mario Durango Vallejo y </w:t>
      </w:r>
      <w:r w:rsidR="00CC2B2E" w:rsidRPr="00B41EAD">
        <w:rPr>
          <w:color w:val="000000" w:themeColor="text1"/>
          <w:sz w:val="28"/>
          <w:szCs w:val="28"/>
          <w:lang w:val="es-ES"/>
        </w:rPr>
        <w:t xml:space="preserve">de </w:t>
      </w:r>
      <w:r w:rsidR="00C0240F" w:rsidRPr="00B41EAD">
        <w:rPr>
          <w:color w:val="000000" w:themeColor="text1"/>
          <w:sz w:val="28"/>
          <w:szCs w:val="28"/>
          <w:lang w:val="es-ES"/>
        </w:rPr>
        <w:t>las circunstancias</w:t>
      </w:r>
      <w:r w:rsidR="00340FA1" w:rsidRPr="00B41EAD">
        <w:rPr>
          <w:color w:val="000000" w:themeColor="text1"/>
          <w:sz w:val="28"/>
          <w:szCs w:val="28"/>
          <w:lang w:val="es-ES"/>
        </w:rPr>
        <w:t xml:space="preserve"> en las que ocurrió</w:t>
      </w:r>
      <w:r w:rsidR="00C0240F" w:rsidRPr="00B41EAD">
        <w:rPr>
          <w:color w:val="000000" w:themeColor="text1"/>
          <w:sz w:val="28"/>
          <w:szCs w:val="28"/>
          <w:lang w:val="es-ES"/>
        </w:rPr>
        <w:t xml:space="preserve"> </w:t>
      </w:r>
      <w:r w:rsidR="00CC2B2E" w:rsidRPr="00B41EAD">
        <w:rPr>
          <w:color w:val="000000" w:themeColor="text1"/>
          <w:sz w:val="28"/>
          <w:szCs w:val="28"/>
          <w:lang w:val="es-ES"/>
        </w:rPr>
        <w:t xml:space="preserve">tal suceso </w:t>
      </w:r>
      <w:r w:rsidR="00C0240F" w:rsidRPr="00B41EAD">
        <w:rPr>
          <w:color w:val="000000" w:themeColor="text1"/>
          <w:sz w:val="28"/>
          <w:szCs w:val="28"/>
          <w:lang w:val="es-ES"/>
        </w:rPr>
        <w:t>desde el 19 de agosto de 1996</w:t>
      </w:r>
      <w:r w:rsidR="00F71B98" w:rsidRPr="00B41EAD">
        <w:rPr>
          <w:color w:val="000000" w:themeColor="text1"/>
          <w:sz w:val="28"/>
          <w:szCs w:val="28"/>
          <w:lang w:val="es-ES"/>
        </w:rPr>
        <w:t>,</w:t>
      </w:r>
      <w:r w:rsidR="00C0240F" w:rsidRPr="00B41EAD">
        <w:rPr>
          <w:color w:val="000000" w:themeColor="text1"/>
          <w:sz w:val="28"/>
          <w:szCs w:val="28"/>
          <w:lang w:val="es-ES"/>
        </w:rPr>
        <w:t xml:space="preserve"> y que la falta de asesoría legal no impidió materialmente el ejercicio </w:t>
      </w:r>
      <w:r w:rsidR="002A66AC" w:rsidRPr="00B41EAD">
        <w:rPr>
          <w:color w:val="000000" w:themeColor="text1"/>
          <w:sz w:val="28"/>
          <w:szCs w:val="28"/>
          <w:lang w:val="es-ES"/>
        </w:rPr>
        <w:t>de la</w:t>
      </w:r>
      <w:r w:rsidR="00C0240F" w:rsidRPr="00B41EAD">
        <w:rPr>
          <w:color w:val="000000" w:themeColor="text1"/>
          <w:sz w:val="28"/>
          <w:szCs w:val="28"/>
          <w:lang w:val="es-ES"/>
        </w:rPr>
        <w:t xml:space="preserve"> acción.</w:t>
      </w:r>
      <w:r w:rsidR="00E454B9" w:rsidRPr="00B41EAD">
        <w:rPr>
          <w:color w:val="000000" w:themeColor="text1"/>
          <w:sz w:val="28"/>
          <w:szCs w:val="28"/>
          <w:lang w:val="es-ES"/>
        </w:rPr>
        <w:t xml:space="preserve"> Se </w:t>
      </w:r>
      <w:r w:rsidR="00340FA1" w:rsidRPr="00B41EAD">
        <w:rPr>
          <w:color w:val="000000" w:themeColor="text1"/>
          <w:sz w:val="28"/>
          <w:szCs w:val="28"/>
          <w:lang w:val="es-ES"/>
        </w:rPr>
        <w:t xml:space="preserve">agregó </w:t>
      </w:r>
      <w:r w:rsidR="00C0240F" w:rsidRPr="00B41EAD">
        <w:rPr>
          <w:color w:val="000000" w:themeColor="text1"/>
          <w:sz w:val="28"/>
          <w:szCs w:val="28"/>
          <w:lang w:val="es-ES"/>
        </w:rPr>
        <w:t>que, según</w:t>
      </w:r>
      <w:r w:rsidR="00340FA1" w:rsidRPr="00B41EAD">
        <w:rPr>
          <w:color w:val="000000" w:themeColor="text1"/>
          <w:sz w:val="28"/>
          <w:szCs w:val="28"/>
          <w:lang w:val="es-ES"/>
        </w:rPr>
        <w:t xml:space="preserve"> el</w:t>
      </w:r>
      <w:r w:rsidR="00C0240F" w:rsidRPr="00B41EAD">
        <w:rPr>
          <w:color w:val="000000" w:themeColor="text1"/>
          <w:sz w:val="28"/>
          <w:szCs w:val="28"/>
          <w:lang w:val="es-ES"/>
        </w:rPr>
        <w:t xml:space="preserve"> criterio </w:t>
      </w:r>
      <w:r w:rsidR="00E454B9" w:rsidRPr="00B41EAD">
        <w:rPr>
          <w:color w:val="000000" w:themeColor="text1"/>
          <w:sz w:val="28"/>
          <w:szCs w:val="28"/>
          <w:lang w:val="es-ES"/>
        </w:rPr>
        <w:t>establecido</w:t>
      </w:r>
      <w:r w:rsidR="00677BB2" w:rsidRPr="00B41EAD">
        <w:rPr>
          <w:color w:val="000000" w:themeColor="text1"/>
          <w:sz w:val="28"/>
          <w:szCs w:val="28"/>
          <w:lang w:val="es-ES"/>
        </w:rPr>
        <w:t xml:space="preserve"> en la sentencia </w:t>
      </w:r>
      <w:r w:rsidR="00E454B9" w:rsidRPr="00B41EAD">
        <w:rPr>
          <w:color w:val="000000" w:themeColor="text1"/>
          <w:sz w:val="28"/>
          <w:szCs w:val="28"/>
          <w:lang w:val="es-ES"/>
        </w:rPr>
        <w:t>de unificación de</w:t>
      </w:r>
      <w:r w:rsidR="00AA22CB" w:rsidRPr="00B41EAD">
        <w:rPr>
          <w:color w:val="000000" w:themeColor="text1"/>
          <w:sz w:val="28"/>
          <w:szCs w:val="28"/>
          <w:lang w:val="es-ES"/>
        </w:rPr>
        <w:t>l mismo Consejo de Estado</w:t>
      </w:r>
      <w:r w:rsidR="00C0240F" w:rsidRPr="00B41EAD">
        <w:rPr>
          <w:color w:val="000000" w:themeColor="text1"/>
          <w:sz w:val="28"/>
          <w:szCs w:val="28"/>
          <w:lang w:val="es-ES"/>
        </w:rPr>
        <w:t xml:space="preserve">, las circunstancias que impiden materialmente el ejercicio del derecho de acción deben </w:t>
      </w:r>
      <w:r w:rsidR="00D16D17" w:rsidRPr="00B41EAD">
        <w:rPr>
          <w:color w:val="000000" w:themeColor="text1"/>
          <w:sz w:val="28"/>
          <w:szCs w:val="28"/>
          <w:lang w:val="es-ES"/>
        </w:rPr>
        <w:t xml:space="preserve">afectar de manera </w:t>
      </w:r>
      <w:r w:rsidR="00C3436E" w:rsidRPr="00B41EAD">
        <w:rPr>
          <w:color w:val="000000" w:themeColor="text1"/>
          <w:sz w:val="28"/>
          <w:szCs w:val="28"/>
          <w:lang w:val="es-ES"/>
        </w:rPr>
        <w:t>ostensible</w:t>
      </w:r>
      <w:r w:rsidR="00D16D17" w:rsidRPr="00B41EAD">
        <w:rPr>
          <w:color w:val="000000" w:themeColor="text1"/>
          <w:sz w:val="28"/>
          <w:szCs w:val="28"/>
          <w:lang w:val="es-ES"/>
        </w:rPr>
        <w:t xml:space="preserve"> los derechos al debido proceso y de acceso a la administración de justicia</w:t>
      </w:r>
      <w:r w:rsidR="00C3436E" w:rsidRPr="00B41EAD">
        <w:rPr>
          <w:color w:val="000000" w:themeColor="text1"/>
          <w:sz w:val="28"/>
          <w:szCs w:val="28"/>
          <w:lang w:val="es-ES"/>
        </w:rPr>
        <w:t xml:space="preserve">. Por ello, </w:t>
      </w:r>
      <w:r w:rsidR="002A66AC" w:rsidRPr="00B41EAD">
        <w:rPr>
          <w:color w:val="000000" w:themeColor="text1"/>
          <w:sz w:val="28"/>
          <w:szCs w:val="28"/>
          <w:lang w:val="es-ES"/>
        </w:rPr>
        <w:t>estos hacen</w:t>
      </w:r>
      <w:r w:rsidR="00C3436E" w:rsidRPr="00B41EAD">
        <w:rPr>
          <w:color w:val="000000" w:themeColor="text1"/>
          <w:sz w:val="28"/>
          <w:szCs w:val="28"/>
          <w:lang w:val="es-ES"/>
        </w:rPr>
        <w:t xml:space="preserve"> referencia a supuestos </w:t>
      </w:r>
      <w:r w:rsidR="00C0240F" w:rsidRPr="00B41EAD">
        <w:rPr>
          <w:color w:val="000000" w:themeColor="text1"/>
          <w:sz w:val="28"/>
          <w:szCs w:val="28"/>
          <w:lang w:val="es-ES"/>
        </w:rPr>
        <w:t>objetiv</w:t>
      </w:r>
      <w:r w:rsidR="00C3436E" w:rsidRPr="00B41EAD">
        <w:rPr>
          <w:color w:val="000000" w:themeColor="text1"/>
          <w:sz w:val="28"/>
          <w:szCs w:val="28"/>
          <w:lang w:val="es-ES"/>
        </w:rPr>
        <w:t>os</w:t>
      </w:r>
      <w:r w:rsidR="00C0240F" w:rsidRPr="00B41EAD">
        <w:rPr>
          <w:color w:val="000000" w:themeColor="text1"/>
          <w:sz w:val="28"/>
          <w:szCs w:val="28"/>
          <w:lang w:val="es-ES"/>
        </w:rPr>
        <w:t xml:space="preserve">, </w:t>
      </w:r>
      <w:proofErr w:type="gramStart"/>
      <w:r w:rsidR="00C0240F" w:rsidRPr="00B41EAD">
        <w:rPr>
          <w:color w:val="000000" w:themeColor="text1"/>
          <w:sz w:val="28"/>
          <w:szCs w:val="28"/>
          <w:lang w:val="es-ES"/>
        </w:rPr>
        <w:t>como</w:t>
      </w:r>
      <w:proofErr w:type="gramEnd"/>
      <w:r w:rsidR="7074B4D0" w:rsidRPr="00B41EAD">
        <w:rPr>
          <w:color w:val="000000" w:themeColor="text1"/>
          <w:sz w:val="28"/>
          <w:szCs w:val="28"/>
          <w:lang w:val="es-ES"/>
        </w:rPr>
        <w:t xml:space="preserve"> por ejemplo</w:t>
      </w:r>
      <w:r w:rsidR="00E454B9" w:rsidRPr="00B41EAD">
        <w:rPr>
          <w:color w:val="000000" w:themeColor="text1"/>
          <w:sz w:val="28"/>
          <w:szCs w:val="28"/>
          <w:lang w:val="es-ES"/>
        </w:rPr>
        <w:t>:</w:t>
      </w:r>
      <w:r w:rsidR="00C0240F" w:rsidRPr="00B41EAD">
        <w:rPr>
          <w:color w:val="000000" w:themeColor="text1"/>
          <w:sz w:val="28"/>
          <w:szCs w:val="28"/>
          <w:lang w:val="es-ES"/>
        </w:rPr>
        <w:t xml:space="preserve"> secuestros, enfermedades u otras situaciones que físicamente impidan </w:t>
      </w:r>
      <w:r w:rsidR="18AF03E6" w:rsidRPr="00B41EAD">
        <w:rPr>
          <w:color w:val="000000" w:themeColor="text1"/>
          <w:sz w:val="28"/>
          <w:szCs w:val="28"/>
          <w:lang w:val="es-ES"/>
        </w:rPr>
        <w:t xml:space="preserve">acudir </w:t>
      </w:r>
      <w:r w:rsidR="00C0240F" w:rsidRPr="00B41EAD">
        <w:rPr>
          <w:color w:val="000000" w:themeColor="text1"/>
          <w:sz w:val="28"/>
          <w:szCs w:val="28"/>
          <w:lang w:val="es-ES"/>
        </w:rPr>
        <w:t xml:space="preserve">a la jurisdicción. </w:t>
      </w:r>
      <w:r w:rsidR="31E8D5AA" w:rsidRPr="00B41EAD">
        <w:rPr>
          <w:color w:val="000000" w:themeColor="text1"/>
          <w:sz w:val="28"/>
          <w:szCs w:val="28"/>
          <w:lang w:val="es-ES"/>
        </w:rPr>
        <w:t>De esta manera, a</w:t>
      </w:r>
      <w:r w:rsidR="00C0240F" w:rsidRPr="00B41EAD">
        <w:rPr>
          <w:color w:val="000000" w:themeColor="text1"/>
          <w:sz w:val="28"/>
          <w:szCs w:val="28"/>
          <w:lang w:val="es-ES"/>
        </w:rPr>
        <w:t xml:space="preserve">l no encontrarse evidencia de tales circunstancias, </w:t>
      </w:r>
      <w:r w:rsidR="5F25C7DE" w:rsidRPr="00B41EAD">
        <w:rPr>
          <w:color w:val="000000" w:themeColor="text1"/>
          <w:sz w:val="28"/>
          <w:szCs w:val="28"/>
          <w:lang w:val="es-ES"/>
        </w:rPr>
        <w:t xml:space="preserve">dicha Corporación consideró que </w:t>
      </w:r>
      <w:r w:rsidR="00C0240F" w:rsidRPr="00B41EAD">
        <w:rPr>
          <w:color w:val="000000" w:themeColor="text1"/>
          <w:sz w:val="28"/>
          <w:szCs w:val="28"/>
          <w:lang w:val="es-ES"/>
        </w:rPr>
        <w:t>el término de caducidad comenzó a contar desde la ocurrencia del hecho y venció el 19 de agosto de 1998</w:t>
      </w:r>
      <w:r w:rsidR="00517E8F" w:rsidRPr="00B41EAD">
        <w:rPr>
          <w:rStyle w:val="Refdenotaalpie"/>
          <w:color w:val="000000" w:themeColor="text1"/>
          <w:sz w:val="28"/>
          <w:szCs w:val="28"/>
          <w:lang w:val="es-ES"/>
        </w:rPr>
        <w:footnoteReference w:id="15"/>
      </w:r>
      <w:r w:rsidR="00C0240F" w:rsidRPr="00B41EAD">
        <w:rPr>
          <w:color w:val="000000" w:themeColor="text1"/>
          <w:sz w:val="28"/>
          <w:szCs w:val="28"/>
          <w:lang w:val="es-ES"/>
        </w:rPr>
        <w:t>.</w:t>
      </w:r>
    </w:p>
    <w:p w14:paraId="6DE0A8ED" w14:textId="77777777" w:rsidR="00677BB2" w:rsidRPr="00B41EAD" w:rsidRDefault="00677BB2" w:rsidP="00677BB2">
      <w:pPr>
        <w:pStyle w:val="Prrafodelista"/>
        <w:rPr>
          <w:color w:val="000000" w:themeColor="text1"/>
          <w:sz w:val="28"/>
          <w:szCs w:val="28"/>
          <w:lang w:val="es-ES"/>
        </w:rPr>
      </w:pPr>
    </w:p>
    <w:p w14:paraId="67154315" w14:textId="7C7926A6" w:rsidR="006C3F08" w:rsidRPr="00B41EAD" w:rsidRDefault="00AA22CB" w:rsidP="006C3F08">
      <w:pPr>
        <w:pStyle w:val="Ttulo3"/>
        <w:numPr>
          <w:ilvl w:val="0"/>
          <w:numId w:val="0"/>
        </w:numPr>
        <w:rPr>
          <w:color w:val="000000" w:themeColor="text1"/>
          <w:sz w:val="28"/>
          <w:szCs w:val="28"/>
          <w:lang w:val="es-ES"/>
        </w:rPr>
      </w:pPr>
      <w:r w:rsidRPr="00B41EAD">
        <w:rPr>
          <w:color w:val="000000" w:themeColor="text1"/>
          <w:sz w:val="28"/>
          <w:szCs w:val="28"/>
          <w:lang w:val="es-ES"/>
        </w:rPr>
        <w:t>Acción de tutela</w:t>
      </w:r>
    </w:p>
    <w:p w14:paraId="5C69EF7C" w14:textId="77777777" w:rsidR="006C3F08" w:rsidRPr="00B41EAD" w:rsidRDefault="006C3F08" w:rsidP="006C3F08">
      <w:pPr>
        <w:rPr>
          <w:color w:val="000000" w:themeColor="text1"/>
          <w:sz w:val="28"/>
          <w:szCs w:val="28"/>
          <w:lang w:val="es-ES"/>
        </w:rPr>
      </w:pPr>
    </w:p>
    <w:p w14:paraId="4F2CE6CB" w14:textId="410BFD6F" w:rsidR="0096070F" w:rsidRPr="00B41EAD" w:rsidRDefault="00B22BE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w:t>
      </w:r>
      <w:r w:rsidR="00C23D0D" w:rsidRPr="00B41EAD">
        <w:rPr>
          <w:color w:val="000000" w:themeColor="text1"/>
          <w:sz w:val="28"/>
          <w:szCs w:val="28"/>
          <w:lang w:val="es-ES"/>
        </w:rPr>
        <w:t>l 28 de junio de 2023</w:t>
      </w:r>
      <w:r w:rsidRPr="00B41EAD">
        <w:rPr>
          <w:color w:val="000000" w:themeColor="text1"/>
          <w:sz w:val="28"/>
          <w:szCs w:val="28"/>
          <w:lang w:val="es-ES"/>
        </w:rPr>
        <w:t>,</w:t>
      </w:r>
      <w:r w:rsidR="00C23D0D" w:rsidRPr="00B41EAD">
        <w:rPr>
          <w:color w:val="000000" w:themeColor="text1"/>
          <w:sz w:val="28"/>
          <w:szCs w:val="28"/>
          <w:lang w:val="es-ES"/>
        </w:rPr>
        <w:t xml:space="preserve"> </w:t>
      </w:r>
      <w:r w:rsidR="00A718AE" w:rsidRPr="00B41EAD">
        <w:rPr>
          <w:color w:val="000000" w:themeColor="text1"/>
          <w:sz w:val="28"/>
          <w:szCs w:val="28"/>
          <w:lang w:val="es-ES"/>
        </w:rPr>
        <w:t xml:space="preserve">Paola Andrea Durango </w:t>
      </w:r>
      <w:proofErr w:type="spellStart"/>
      <w:r w:rsidR="00A718AE" w:rsidRPr="00B41EAD">
        <w:rPr>
          <w:color w:val="000000" w:themeColor="text1"/>
          <w:sz w:val="28"/>
          <w:szCs w:val="28"/>
          <w:lang w:val="es-ES"/>
        </w:rPr>
        <w:t>Tilano</w:t>
      </w:r>
      <w:proofErr w:type="spellEnd"/>
      <w:r w:rsidR="00A718AE" w:rsidRPr="00B41EAD">
        <w:rPr>
          <w:color w:val="000000" w:themeColor="text1"/>
          <w:sz w:val="28"/>
          <w:szCs w:val="28"/>
          <w:lang w:val="es-ES"/>
        </w:rPr>
        <w:t xml:space="preserve"> </w:t>
      </w:r>
      <w:r w:rsidR="000D73E6" w:rsidRPr="00B41EAD">
        <w:rPr>
          <w:color w:val="000000" w:themeColor="text1"/>
          <w:sz w:val="28"/>
          <w:szCs w:val="28"/>
          <w:lang w:val="es-ES"/>
        </w:rPr>
        <w:t xml:space="preserve">interpuso </w:t>
      </w:r>
      <w:r w:rsidR="00A718AE" w:rsidRPr="00B41EAD">
        <w:rPr>
          <w:color w:val="000000" w:themeColor="text1"/>
          <w:sz w:val="28"/>
          <w:szCs w:val="28"/>
          <w:lang w:val="es-ES"/>
        </w:rPr>
        <w:t xml:space="preserve">acción de tutela </w:t>
      </w:r>
      <w:r w:rsidR="0096070F" w:rsidRPr="00B41EAD">
        <w:rPr>
          <w:color w:val="000000" w:themeColor="text1"/>
          <w:sz w:val="28"/>
          <w:szCs w:val="28"/>
          <w:lang w:val="es-ES"/>
        </w:rPr>
        <w:t>contra la Subsección C de la Sección Tercera del Consejo de Estado, con</w:t>
      </w:r>
      <w:r w:rsidR="00A213D1" w:rsidRPr="00B41EAD">
        <w:rPr>
          <w:color w:val="000000" w:themeColor="text1"/>
          <w:sz w:val="28"/>
          <w:szCs w:val="28"/>
          <w:lang w:val="es-ES"/>
        </w:rPr>
        <w:t xml:space="preserve"> ocasión </w:t>
      </w:r>
      <w:r w:rsidR="00C61548" w:rsidRPr="00B41EAD">
        <w:rPr>
          <w:color w:val="000000" w:themeColor="text1"/>
          <w:sz w:val="28"/>
          <w:szCs w:val="28"/>
          <w:lang w:val="es-ES"/>
        </w:rPr>
        <w:t xml:space="preserve">de la providencia </w:t>
      </w:r>
      <w:r w:rsidR="00CC2799" w:rsidRPr="00B41EAD">
        <w:rPr>
          <w:color w:val="000000" w:themeColor="text1"/>
          <w:sz w:val="28"/>
          <w:szCs w:val="28"/>
          <w:lang w:val="es-ES"/>
        </w:rPr>
        <w:t>del 7 de septiembre de 2022</w:t>
      </w:r>
      <w:r w:rsidRPr="00B41EAD">
        <w:rPr>
          <w:color w:val="000000" w:themeColor="text1"/>
          <w:sz w:val="28"/>
          <w:szCs w:val="28"/>
          <w:lang w:val="es-ES"/>
        </w:rPr>
        <w:t xml:space="preserve"> en la </w:t>
      </w:r>
      <w:r w:rsidR="00E5700F" w:rsidRPr="00B41EAD">
        <w:rPr>
          <w:color w:val="000000" w:themeColor="text1"/>
          <w:sz w:val="28"/>
          <w:szCs w:val="28"/>
          <w:lang w:val="es-ES"/>
        </w:rPr>
        <w:t xml:space="preserve">que </w:t>
      </w:r>
      <w:r w:rsidRPr="00B41EAD">
        <w:rPr>
          <w:color w:val="000000" w:themeColor="text1"/>
          <w:sz w:val="28"/>
          <w:szCs w:val="28"/>
          <w:lang w:val="es-ES"/>
        </w:rPr>
        <w:t xml:space="preserve">se </w:t>
      </w:r>
      <w:r w:rsidR="00E5700F" w:rsidRPr="00B41EAD">
        <w:rPr>
          <w:color w:val="000000" w:themeColor="text1"/>
          <w:sz w:val="28"/>
          <w:szCs w:val="28"/>
          <w:lang w:val="es-ES"/>
        </w:rPr>
        <w:t>confirmó el rechazo de la demanda</w:t>
      </w:r>
      <w:r w:rsidRPr="00B41EAD">
        <w:rPr>
          <w:color w:val="000000" w:themeColor="text1"/>
          <w:sz w:val="28"/>
          <w:szCs w:val="28"/>
          <w:lang w:val="es-ES"/>
        </w:rPr>
        <w:t xml:space="preserve"> por acaecimiento de la caducidad del medio de control</w:t>
      </w:r>
      <w:r w:rsidR="00145616" w:rsidRPr="00B41EAD">
        <w:rPr>
          <w:color w:val="000000" w:themeColor="text1"/>
          <w:sz w:val="28"/>
          <w:szCs w:val="28"/>
          <w:lang w:val="es-ES"/>
        </w:rPr>
        <w:t xml:space="preserve">. Sobre el particular, </w:t>
      </w:r>
      <w:r w:rsidR="000D73E6" w:rsidRPr="00B41EAD">
        <w:rPr>
          <w:color w:val="000000" w:themeColor="text1"/>
          <w:sz w:val="28"/>
          <w:szCs w:val="28"/>
          <w:lang w:val="es-ES"/>
        </w:rPr>
        <w:t>consideró</w:t>
      </w:r>
      <w:r w:rsidR="00145616" w:rsidRPr="00B41EAD">
        <w:rPr>
          <w:color w:val="000000" w:themeColor="text1"/>
          <w:sz w:val="28"/>
          <w:szCs w:val="28"/>
          <w:lang w:val="es-ES"/>
        </w:rPr>
        <w:t xml:space="preserve"> </w:t>
      </w:r>
      <w:r w:rsidR="00C1385C" w:rsidRPr="00B41EAD">
        <w:rPr>
          <w:color w:val="000000" w:themeColor="text1"/>
          <w:sz w:val="28"/>
          <w:szCs w:val="28"/>
          <w:lang w:val="es-ES"/>
        </w:rPr>
        <w:t xml:space="preserve">vulnerados los derechos </w:t>
      </w:r>
      <w:r w:rsidRPr="00B41EAD">
        <w:rPr>
          <w:color w:val="000000" w:themeColor="text1"/>
          <w:sz w:val="28"/>
          <w:szCs w:val="28"/>
          <w:lang w:val="es-ES"/>
        </w:rPr>
        <w:t xml:space="preserve">al </w:t>
      </w:r>
      <w:r w:rsidR="00C1385C" w:rsidRPr="00B41EAD">
        <w:rPr>
          <w:color w:val="000000" w:themeColor="text1"/>
          <w:sz w:val="28"/>
          <w:szCs w:val="28"/>
          <w:lang w:val="es-ES"/>
        </w:rPr>
        <w:t xml:space="preserve">debido proceso, </w:t>
      </w:r>
      <w:r w:rsidRPr="00B41EAD">
        <w:rPr>
          <w:color w:val="000000" w:themeColor="text1"/>
          <w:sz w:val="28"/>
          <w:szCs w:val="28"/>
          <w:lang w:val="es-ES"/>
        </w:rPr>
        <w:t xml:space="preserve">al </w:t>
      </w:r>
      <w:r w:rsidR="00C1385C" w:rsidRPr="00B41EAD">
        <w:rPr>
          <w:color w:val="000000" w:themeColor="text1"/>
          <w:sz w:val="28"/>
          <w:szCs w:val="28"/>
          <w:lang w:val="es-ES"/>
        </w:rPr>
        <w:t xml:space="preserve">acceso a la justicia, </w:t>
      </w:r>
      <w:r w:rsidRPr="00B41EAD">
        <w:rPr>
          <w:color w:val="000000" w:themeColor="text1"/>
          <w:sz w:val="28"/>
          <w:szCs w:val="28"/>
          <w:lang w:val="es-ES"/>
        </w:rPr>
        <w:t xml:space="preserve">y </w:t>
      </w:r>
      <w:r w:rsidR="00C1385C" w:rsidRPr="00B41EAD">
        <w:rPr>
          <w:color w:val="000000" w:themeColor="text1"/>
          <w:sz w:val="28"/>
          <w:szCs w:val="28"/>
          <w:lang w:val="es-ES"/>
        </w:rPr>
        <w:t xml:space="preserve">a las </w:t>
      </w:r>
      <w:r w:rsidR="00EE429B" w:rsidRPr="00B41EAD">
        <w:rPr>
          <w:color w:val="000000" w:themeColor="text1"/>
          <w:sz w:val="28"/>
          <w:szCs w:val="28"/>
          <w:lang w:val="es-ES"/>
        </w:rPr>
        <w:t xml:space="preserve">garantías </w:t>
      </w:r>
      <w:r w:rsidR="00D80CB3" w:rsidRPr="00B41EAD">
        <w:rPr>
          <w:color w:val="000000" w:themeColor="text1"/>
          <w:sz w:val="28"/>
          <w:szCs w:val="28"/>
          <w:lang w:val="es-ES"/>
        </w:rPr>
        <w:t>constitucionales de las víctimas de violaciones de derechos humanos</w:t>
      </w:r>
      <w:r w:rsidR="009F68A2" w:rsidRPr="00B41EAD">
        <w:rPr>
          <w:rStyle w:val="Refdenotaalpie"/>
          <w:color w:val="000000" w:themeColor="text1"/>
          <w:sz w:val="28"/>
          <w:szCs w:val="28"/>
          <w:lang w:val="es-ES"/>
        </w:rPr>
        <w:footnoteReference w:id="16"/>
      </w:r>
      <w:r w:rsidR="009F68A2" w:rsidRPr="00B41EAD">
        <w:rPr>
          <w:color w:val="000000" w:themeColor="text1"/>
          <w:sz w:val="28"/>
          <w:szCs w:val="28"/>
          <w:lang w:val="es-ES"/>
        </w:rPr>
        <w:t>.</w:t>
      </w:r>
    </w:p>
    <w:p w14:paraId="50D18B88" w14:textId="77777777" w:rsidR="0096070F" w:rsidRPr="00B41EAD" w:rsidRDefault="0096070F" w:rsidP="0096070F">
      <w:pPr>
        <w:pStyle w:val="Prrafodelista"/>
        <w:ind w:left="0"/>
        <w:jc w:val="both"/>
        <w:rPr>
          <w:color w:val="000000" w:themeColor="text1"/>
          <w:sz w:val="28"/>
          <w:szCs w:val="28"/>
          <w:lang w:val="es-ES"/>
        </w:rPr>
      </w:pPr>
    </w:p>
    <w:p w14:paraId="19806648" w14:textId="2454013B" w:rsidR="00677BB2" w:rsidRPr="00B41EAD" w:rsidRDefault="00D80CB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la solicitud de amparo, </w:t>
      </w:r>
      <w:r w:rsidR="000D73E6" w:rsidRPr="00B41EAD">
        <w:rPr>
          <w:color w:val="000000" w:themeColor="text1"/>
          <w:sz w:val="28"/>
          <w:szCs w:val="28"/>
          <w:lang w:val="es-ES"/>
        </w:rPr>
        <w:t>la actora</w:t>
      </w:r>
      <w:r w:rsidR="00643F21" w:rsidRPr="00B41EAD">
        <w:rPr>
          <w:color w:val="000000" w:themeColor="text1"/>
          <w:sz w:val="28"/>
          <w:szCs w:val="28"/>
          <w:lang w:val="es-ES"/>
        </w:rPr>
        <w:t xml:space="preserve"> </w:t>
      </w:r>
      <w:r w:rsidRPr="00B41EAD">
        <w:rPr>
          <w:color w:val="000000" w:themeColor="text1"/>
          <w:sz w:val="28"/>
          <w:szCs w:val="28"/>
          <w:lang w:val="es-ES"/>
        </w:rPr>
        <w:t>manifest</w:t>
      </w:r>
      <w:r w:rsidR="000D73E6" w:rsidRPr="00B41EAD">
        <w:rPr>
          <w:color w:val="000000" w:themeColor="text1"/>
          <w:sz w:val="28"/>
          <w:szCs w:val="28"/>
          <w:lang w:val="es-ES"/>
        </w:rPr>
        <w:t>ó</w:t>
      </w:r>
      <w:r w:rsidRPr="00B41EAD">
        <w:rPr>
          <w:color w:val="000000" w:themeColor="text1"/>
          <w:sz w:val="28"/>
          <w:szCs w:val="28"/>
          <w:lang w:val="es-ES"/>
        </w:rPr>
        <w:t xml:space="preserve"> que, en su criterio, l</w:t>
      </w:r>
      <w:r w:rsidR="00901565" w:rsidRPr="00B41EAD">
        <w:rPr>
          <w:color w:val="000000" w:themeColor="text1"/>
          <w:sz w:val="28"/>
          <w:szCs w:val="28"/>
          <w:lang w:val="es-ES"/>
        </w:rPr>
        <w:t xml:space="preserve">a autoridad judicial accionada no tuvo en cuenta los argumentos del recurso de apelación, en el que se </w:t>
      </w:r>
      <w:r w:rsidR="00061632" w:rsidRPr="00B41EAD">
        <w:rPr>
          <w:color w:val="000000" w:themeColor="text1"/>
          <w:sz w:val="28"/>
          <w:szCs w:val="28"/>
          <w:lang w:val="es-ES"/>
        </w:rPr>
        <w:t>resaltó</w:t>
      </w:r>
      <w:r w:rsidR="00901565" w:rsidRPr="00B41EAD">
        <w:rPr>
          <w:color w:val="000000" w:themeColor="text1"/>
          <w:sz w:val="28"/>
          <w:szCs w:val="28"/>
          <w:lang w:val="es-ES"/>
        </w:rPr>
        <w:t xml:space="preserve"> que la caducidad no debía contarse desde el momento de la ocurrencia de los hechos, </w:t>
      </w:r>
      <w:r w:rsidR="00FA2796" w:rsidRPr="00B41EAD">
        <w:rPr>
          <w:color w:val="000000" w:themeColor="text1"/>
          <w:sz w:val="28"/>
          <w:szCs w:val="28"/>
          <w:lang w:val="es-ES"/>
        </w:rPr>
        <w:t>dado que, con base en la sentencia de unificación de</w:t>
      </w:r>
      <w:r w:rsidRPr="00B41EAD">
        <w:rPr>
          <w:color w:val="000000" w:themeColor="text1"/>
          <w:sz w:val="28"/>
          <w:szCs w:val="28"/>
          <w:lang w:val="es-ES"/>
        </w:rPr>
        <w:t xml:space="preserve"> </w:t>
      </w:r>
      <w:r w:rsidR="00FA2796" w:rsidRPr="00B41EAD">
        <w:rPr>
          <w:color w:val="000000" w:themeColor="text1"/>
          <w:sz w:val="28"/>
          <w:szCs w:val="28"/>
          <w:lang w:val="es-ES"/>
        </w:rPr>
        <w:t>l</w:t>
      </w:r>
      <w:r w:rsidRPr="00B41EAD">
        <w:rPr>
          <w:color w:val="000000" w:themeColor="text1"/>
          <w:sz w:val="28"/>
          <w:szCs w:val="28"/>
          <w:lang w:val="es-ES"/>
        </w:rPr>
        <w:t>a Sección Tercera del</w:t>
      </w:r>
      <w:r w:rsidR="00FA2796" w:rsidRPr="00B41EAD">
        <w:rPr>
          <w:color w:val="000000" w:themeColor="text1"/>
          <w:sz w:val="28"/>
          <w:szCs w:val="28"/>
          <w:lang w:val="es-ES"/>
        </w:rPr>
        <w:t xml:space="preserve"> Consejo de Estado</w:t>
      </w:r>
      <w:r w:rsidRPr="00B41EAD">
        <w:rPr>
          <w:color w:val="000000" w:themeColor="text1"/>
          <w:sz w:val="28"/>
          <w:szCs w:val="28"/>
          <w:lang w:val="es-ES"/>
        </w:rPr>
        <w:t>, proferida el 29 de enero de 2020</w:t>
      </w:r>
      <w:r w:rsidR="00DF6490" w:rsidRPr="00B41EAD">
        <w:rPr>
          <w:color w:val="000000" w:themeColor="text1"/>
          <w:sz w:val="28"/>
          <w:szCs w:val="28"/>
          <w:lang w:val="es-ES"/>
        </w:rPr>
        <w:t xml:space="preserve">, se establecieron dos factores </w:t>
      </w:r>
      <w:r w:rsidRPr="00B41EAD">
        <w:rPr>
          <w:color w:val="000000" w:themeColor="text1"/>
          <w:sz w:val="28"/>
          <w:szCs w:val="28"/>
          <w:lang w:val="es-ES"/>
        </w:rPr>
        <w:t>que determinan la valoración de la caducidad</w:t>
      </w:r>
      <w:r w:rsidR="00F95302" w:rsidRPr="00B41EAD">
        <w:rPr>
          <w:color w:val="000000" w:themeColor="text1"/>
          <w:sz w:val="28"/>
          <w:szCs w:val="28"/>
          <w:lang w:val="es-ES"/>
        </w:rPr>
        <w:t>, estos son</w:t>
      </w:r>
      <w:r w:rsidR="2A011E93" w:rsidRPr="00B41EAD">
        <w:rPr>
          <w:color w:val="000000" w:themeColor="text1"/>
          <w:sz w:val="28"/>
          <w:szCs w:val="28"/>
          <w:lang w:val="es-ES"/>
        </w:rPr>
        <w:t>:</w:t>
      </w:r>
      <w:r w:rsidR="00901565" w:rsidRPr="00B41EAD">
        <w:rPr>
          <w:color w:val="000000" w:themeColor="text1"/>
          <w:sz w:val="28"/>
          <w:szCs w:val="28"/>
          <w:lang w:val="es-ES"/>
        </w:rPr>
        <w:t xml:space="preserve"> (i) </w:t>
      </w:r>
      <w:r w:rsidR="00F95302" w:rsidRPr="00B41EAD">
        <w:rPr>
          <w:color w:val="000000" w:themeColor="text1"/>
          <w:sz w:val="28"/>
          <w:szCs w:val="28"/>
          <w:lang w:val="es-ES"/>
        </w:rPr>
        <w:t>el momento en el que</w:t>
      </w:r>
      <w:r w:rsidR="00901565" w:rsidRPr="00B41EAD">
        <w:rPr>
          <w:color w:val="000000" w:themeColor="text1"/>
          <w:sz w:val="28"/>
          <w:szCs w:val="28"/>
          <w:lang w:val="es-ES"/>
        </w:rPr>
        <w:t xml:space="preserve"> se tiene clar</w:t>
      </w:r>
      <w:r w:rsidR="00A1661D" w:rsidRPr="00B41EAD">
        <w:rPr>
          <w:color w:val="000000" w:themeColor="text1"/>
          <w:sz w:val="28"/>
          <w:szCs w:val="28"/>
          <w:lang w:val="es-ES"/>
        </w:rPr>
        <w:t>a</w:t>
      </w:r>
      <w:r w:rsidR="00901565" w:rsidRPr="00B41EAD">
        <w:rPr>
          <w:color w:val="000000" w:themeColor="text1"/>
          <w:sz w:val="28"/>
          <w:szCs w:val="28"/>
          <w:lang w:val="es-ES"/>
        </w:rPr>
        <w:t xml:space="preserve"> la participación por acción u omisión del Estado</w:t>
      </w:r>
      <w:r w:rsidR="63CBE5BE" w:rsidRPr="00B41EAD">
        <w:rPr>
          <w:color w:val="000000" w:themeColor="text1"/>
          <w:sz w:val="28"/>
          <w:szCs w:val="28"/>
          <w:lang w:val="es-ES"/>
        </w:rPr>
        <w:t>;</w:t>
      </w:r>
      <w:r w:rsidR="00901565" w:rsidRPr="00B41EAD">
        <w:rPr>
          <w:color w:val="000000" w:themeColor="text1"/>
          <w:sz w:val="28"/>
          <w:szCs w:val="28"/>
          <w:lang w:val="es-ES"/>
        </w:rPr>
        <w:t xml:space="preserve"> y</w:t>
      </w:r>
      <w:r w:rsidR="0F321DD6" w:rsidRPr="00B41EAD">
        <w:rPr>
          <w:color w:val="000000" w:themeColor="text1"/>
          <w:sz w:val="28"/>
          <w:szCs w:val="28"/>
          <w:lang w:val="es-ES"/>
        </w:rPr>
        <w:t>,</w:t>
      </w:r>
      <w:r w:rsidR="00901565" w:rsidRPr="00B41EAD">
        <w:rPr>
          <w:color w:val="000000" w:themeColor="text1"/>
          <w:sz w:val="28"/>
          <w:szCs w:val="28"/>
          <w:lang w:val="es-ES"/>
        </w:rPr>
        <w:t xml:space="preserve"> (</w:t>
      </w:r>
      <w:proofErr w:type="spellStart"/>
      <w:r w:rsidR="00901565" w:rsidRPr="00B41EAD">
        <w:rPr>
          <w:color w:val="000000" w:themeColor="text1"/>
          <w:sz w:val="28"/>
          <w:szCs w:val="28"/>
          <w:lang w:val="es-ES"/>
        </w:rPr>
        <w:t>ii</w:t>
      </w:r>
      <w:proofErr w:type="spellEnd"/>
      <w:r w:rsidR="00901565" w:rsidRPr="00B41EAD">
        <w:rPr>
          <w:color w:val="000000" w:themeColor="text1"/>
          <w:sz w:val="28"/>
          <w:szCs w:val="28"/>
          <w:lang w:val="es-ES"/>
        </w:rPr>
        <w:t xml:space="preserve">) </w:t>
      </w:r>
      <w:r w:rsidR="00FB2C0C" w:rsidRPr="00B41EAD">
        <w:rPr>
          <w:color w:val="000000" w:themeColor="text1"/>
          <w:sz w:val="28"/>
          <w:szCs w:val="28"/>
          <w:lang w:val="es-ES"/>
        </w:rPr>
        <w:t>el momento en el que se puede advertir</w:t>
      </w:r>
      <w:r w:rsidR="00901565" w:rsidRPr="00B41EAD">
        <w:rPr>
          <w:color w:val="000000" w:themeColor="text1"/>
          <w:sz w:val="28"/>
          <w:szCs w:val="28"/>
          <w:lang w:val="es-ES"/>
        </w:rPr>
        <w:t xml:space="preserve"> la posibilidad de </w:t>
      </w:r>
      <w:r w:rsidR="00103B26" w:rsidRPr="00B41EAD">
        <w:rPr>
          <w:color w:val="000000" w:themeColor="text1"/>
          <w:sz w:val="28"/>
          <w:szCs w:val="28"/>
          <w:lang w:val="es-ES"/>
        </w:rPr>
        <w:t>imputarle</w:t>
      </w:r>
      <w:r w:rsidR="00901565" w:rsidRPr="00B41EAD">
        <w:rPr>
          <w:color w:val="000000" w:themeColor="text1"/>
          <w:sz w:val="28"/>
          <w:szCs w:val="28"/>
          <w:lang w:val="es-ES"/>
        </w:rPr>
        <w:t xml:space="preserve"> </w:t>
      </w:r>
      <w:r w:rsidR="00103B26" w:rsidRPr="00B41EAD">
        <w:rPr>
          <w:color w:val="000000" w:themeColor="text1"/>
          <w:sz w:val="28"/>
          <w:szCs w:val="28"/>
          <w:lang w:val="es-ES"/>
        </w:rPr>
        <w:t>responsabilidad patrimonial al</w:t>
      </w:r>
      <w:r w:rsidR="00901565" w:rsidRPr="00B41EAD">
        <w:rPr>
          <w:color w:val="000000" w:themeColor="text1"/>
          <w:sz w:val="28"/>
          <w:szCs w:val="28"/>
          <w:lang w:val="es-ES"/>
        </w:rPr>
        <w:t xml:space="preserve"> Estado</w:t>
      </w:r>
      <w:r w:rsidR="00103B26" w:rsidRPr="00B41EAD">
        <w:rPr>
          <w:color w:val="000000" w:themeColor="text1"/>
          <w:sz w:val="28"/>
          <w:szCs w:val="28"/>
          <w:lang w:val="es-ES"/>
        </w:rPr>
        <w:t>.</w:t>
      </w:r>
    </w:p>
    <w:p w14:paraId="2D8A0C94" w14:textId="77777777" w:rsidR="00901565" w:rsidRPr="00B41EAD" w:rsidRDefault="00901565" w:rsidP="00901565">
      <w:pPr>
        <w:pStyle w:val="Prrafodelista"/>
        <w:rPr>
          <w:color w:val="000000" w:themeColor="text1"/>
          <w:sz w:val="28"/>
          <w:szCs w:val="28"/>
          <w:lang w:val="es-ES"/>
        </w:rPr>
      </w:pPr>
    </w:p>
    <w:p w14:paraId="4A09DC7F" w14:textId="521A0554" w:rsidR="00752170" w:rsidRPr="00B41EAD" w:rsidRDefault="00D80CB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Según </w:t>
      </w:r>
      <w:r w:rsidR="000D73E6" w:rsidRPr="00B41EAD">
        <w:rPr>
          <w:color w:val="000000" w:themeColor="text1"/>
          <w:sz w:val="28"/>
          <w:szCs w:val="28"/>
          <w:lang w:val="es-ES"/>
        </w:rPr>
        <w:t>la actora</w:t>
      </w:r>
      <w:r w:rsidR="00752170" w:rsidRPr="00B41EAD">
        <w:rPr>
          <w:color w:val="000000" w:themeColor="text1"/>
          <w:sz w:val="28"/>
          <w:szCs w:val="28"/>
          <w:lang w:val="es-ES"/>
        </w:rPr>
        <w:t xml:space="preserve">, </w:t>
      </w:r>
      <w:r w:rsidRPr="00B41EAD">
        <w:rPr>
          <w:color w:val="000000" w:themeColor="text1"/>
          <w:sz w:val="28"/>
          <w:szCs w:val="28"/>
          <w:lang w:val="es-ES"/>
        </w:rPr>
        <w:t>la autoridad judicial accionada no</w:t>
      </w:r>
      <w:r w:rsidR="000B5DA4" w:rsidRPr="00B41EAD">
        <w:rPr>
          <w:color w:val="000000" w:themeColor="text1"/>
          <w:sz w:val="28"/>
          <w:szCs w:val="28"/>
          <w:lang w:val="es-ES"/>
        </w:rPr>
        <w:t xml:space="preserve"> analizó </w:t>
      </w:r>
      <w:r w:rsidR="00A919F0" w:rsidRPr="00B41EAD">
        <w:rPr>
          <w:color w:val="000000" w:themeColor="text1"/>
          <w:sz w:val="28"/>
          <w:szCs w:val="28"/>
          <w:lang w:val="es-ES"/>
        </w:rPr>
        <w:t xml:space="preserve">efectivamente </w:t>
      </w:r>
      <w:r w:rsidR="00CF4665" w:rsidRPr="00B41EAD">
        <w:rPr>
          <w:color w:val="000000" w:themeColor="text1"/>
          <w:sz w:val="28"/>
          <w:szCs w:val="28"/>
          <w:lang w:val="es-ES"/>
        </w:rPr>
        <w:t xml:space="preserve">si el daño </w:t>
      </w:r>
      <w:r w:rsidR="005C06B9" w:rsidRPr="00B41EAD">
        <w:rPr>
          <w:color w:val="000000" w:themeColor="text1"/>
          <w:sz w:val="28"/>
          <w:szCs w:val="28"/>
          <w:lang w:val="es-ES"/>
        </w:rPr>
        <w:t>estaba dotado o no de antijuridicidad</w:t>
      </w:r>
      <w:r w:rsidR="0040584A" w:rsidRPr="00B41EAD">
        <w:rPr>
          <w:color w:val="000000" w:themeColor="text1"/>
          <w:sz w:val="28"/>
          <w:szCs w:val="28"/>
          <w:lang w:val="es-ES"/>
        </w:rPr>
        <w:t>, para determinar, con base en la sentencia de unificación del Consejo de Estado, cu</w:t>
      </w:r>
      <w:r w:rsidR="00EB795E" w:rsidRPr="00B41EAD">
        <w:rPr>
          <w:color w:val="000000" w:themeColor="text1"/>
          <w:sz w:val="28"/>
          <w:szCs w:val="28"/>
          <w:lang w:val="es-ES"/>
        </w:rPr>
        <w:t>á</w:t>
      </w:r>
      <w:r w:rsidR="0040584A" w:rsidRPr="00B41EAD">
        <w:rPr>
          <w:color w:val="000000" w:themeColor="text1"/>
          <w:sz w:val="28"/>
          <w:szCs w:val="28"/>
          <w:lang w:val="es-ES"/>
        </w:rPr>
        <w:t xml:space="preserve">ndo </w:t>
      </w:r>
      <w:r w:rsidR="00AB7477" w:rsidRPr="00B41EAD">
        <w:rPr>
          <w:color w:val="000000" w:themeColor="text1"/>
          <w:sz w:val="28"/>
          <w:szCs w:val="28"/>
          <w:lang w:val="es-ES"/>
        </w:rPr>
        <w:t>se conoció la posibilidad de imputarle responsabilidad patrimonial al Estado</w:t>
      </w:r>
      <w:r w:rsidR="005C06B9" w:rsidRPr="00B41EAD">
        <w:rPr>
          <w:color w:val="000000" w:themeColor="text1"/>
          <w:sz w:val="28"/>
          <w:szCs w:val="28"/>
          <w:lang w:val="es-ES"/>
        </w:rPr>
        <w:t xml:space="preserve">. Esto, </w:t>
      </w:r>
      <w:r w:rsidR="001E1B83" w:rsidRPr="00B41EAD">
        <w:rPr>
          <w:color w:val="000000" w:themeColor="text1"/>
          <w:sz w:val="28"/>
          <w:szCs w:val="28"/>
          <w:lang w:val="es-ES"/>
        </w:rPr>
        <w:t>debido a que cuando</w:t>
      </w:r>
      <w:r w:rsidR="005C06B9" w:rsidRPr="00B41EAD">
        <w:rPr>
          <w:color w:val="000000" w:themeColor="text1"/>
          <w:sz w:val="28"/>
          <w:szCs w:val="28"/>
          <w:lang w:val="es-ES"/>
        </w:rPr>
        <w:t xml:space="preserve"> </w:t>
      </w:r>
      <w:r w:rsidR="005C06B9" w:rsidRPr="00B41EAD">
        <w:rPr>
          <w:color w:val="000000" w:themeColor="text1"/>
          <w:sz w:val="28"/>
          <w:szCs w:val="28"/>
          <w:lang w:val="es-ES"/>
        </w:rPr>
        <w:lastRenderedPageBreak/>
        <w:t xml:space="preserve">conocieron </w:t>
      </w:r>
      <w:r w:rsidR="000B3FB9" w:rsidRPr="00B41EAD">
        <w:rPr>
          <w:color w:val="000000" w:themeColor="text1"/>
          <w:sz w:val="28"/>
          <w:szCs w:val="28"/>
          <w:lang w:val="es-ES"/>
        </w:rPr>
        <w:t xml:space="preserve">los hechos, el actuar de los militares estaba </w:t>
      </w:r>
      <w:r w:rsidR="00AB7477" w:rsidRPr="00B41EAD">
        <w:rPr>
          <w:color w:val="000000" w:themeColor="text1"/>
          <w:sz w:val="28"/>
          <w:szCs w:val="28"/>
          <w:lang w:val="es-ES"/>
        </w:rPr>
        <w:t xml:space="preserve">enmarcado </w:t>
      </w:r>
      <w:r w:rsidR="00E41F32" w:rsidRPr="00B41EAD">
        <w:rPr>
          <w:color w:val="000000" w:themeColor="text1"/>
          <w:sz w:val="28"/>
          <w:szCs w:val="28"/>
          <w:lang w:val="es-ES"/>
        </w:rPr>
        <w:t>en</w:t>
      </w:r>
      <w:r w:rsidR="000B3FB9" w:rsidRPr="00B41EAD">
        <w:rPr>
          <w:color w:val="000000" w:themeColor="text1"/>
          <w:sz w:val="28"/>
          <w:szCs w:val="28"/>
          <w:lang w:val="es-ES"/>
        </w:rPr>
        <w:t xml:space="preserve"> una presunción de legalidad. </w:t>
      </w:r>
    </w:p>
    <w:p w14:paraId="08538FF8" w14:textId="77777777" w:rsidR="00752170" w:rsidRPr="00B41EAD" w:rsidRDefault="00752170" w:rsidP="005D4482">
      <w:pPr>
        <w:rPr>
          <w:color w:val="000000" w:themeColor="text1"/>
          <w:sz w:val="28"/>
          <w:szCs w:val="28"/>
          <w:lang w:val="es-ES"/>
        </w:rPr>
      </w:pPr>
    </w:p>
    <w:p w14:paraId="748F0399" w14:textId="7F0085CD" w:rsidR="00901565" w:rsidRPr="00B41EAD" w:rsidRDefault="0062511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Por lo anterior,</w:t>
      </w:r>
      <w:r w:rsidR="00643F21" w:rsidRPr="00B41EAD">
        <w:rPr>
          <w:color w:val="000000" w:themeColor="text1"/>
          <w:sz w:val="28"/>
          <w:szCs w:val="28"/>
          <w:lang w:val="es-ES"/>
        </w:rPr>
        <w:t xml:space="preserve"> </w:t>
      </w:r>
      <w:r w:rsidR="000D73E6" w:rsidRPr="00B41EAD">
        <w:rPr>
          <w:color w:val="000000" w:themeColor="text1"/>
          <w:sz w:val="28"/>
          <w:szCs w:val="28"/>
          <w:lang w:val="es-ES"/>
        </w:rPr>
        <w:t>manifestó</w:t>
      </w:r>
      <w:r w:rsidR="00643F21" w:rsidRPr="00B41EAD">
        <w:rPr>
          <w:color w:val="000000" w:themeColor="text1"/>
          <w:sz w:val="28"/>
          <w:szCs w:val="28"/>
          <w:lang w:val="es-ES"/>
        </w:rPr>
        <w:t xml:space="preserve"> que</w:t>
      </w:r>
      <w:r w:rsidR="00196A40" w:rsidRPr="00B41EAD">
        <w:rPr>
          <w:color w:val="000000" w:themeColor="text1"/>
          <w:sz w:val="28"/>
          <w:szCs w:val="28"/>
          <w:lang w:val="es-ES"/>
        </w:rPr>
        <w:t xml:space="preserve"> se produjo</w:t>
      </w:r>
      <w:r w:rsidR="69386B5A" w:rsidRPr="00B41EAD">
        <w:rPr>
          <w:color w:val="000000" w:themeColor="text1"/>
          <w:sz w:val="28"/>
          <w:szCs w:val="28"/>
          <w:lang w:val="es-ES"/>
        </w:rPr>
        <w:t>:</w:t>
      </w:r>
      <w:r w:rsidR="00643F21" w:rsidRPr="00B41EAD">
        <w:rPr>
          <w:color w:val="000000" w:themeColor="text1"/>
          <w:sz w:val="28"/>
          <w:szCs w:val="28"/>
          <w:lang w:val="es-ES"/>
        </w:rPr>
        <w:t xml:space="preserve"> (i)</w:t>
      </w:r>
      <w:r w:rsidR="00701232" w:rsidRPr="00B41EAD">
        <w:rPr>
          <w:color w:val="000000" w:themeColor="text1"/>
          <w:sz w:val="28"/>
          <w:szCs w:val="28"/>
          <w:lang w:val="es-ES"/>
        </w:rPr>
        <w:t xml:space="preserve"> un defecto fáctico por indebida valoración </w:t>
      </w:r>
      <w:r w:rsidR="004A4F6A" w:rsidRPr="00B41EAD">
        <w:rPr>
          <w:color w:val="000000" w:themeColor="text1"/>
          <w:sz w:val="28"/>
          <w:szCs w:val="28"/>
          <w:lang w:val="es-ES"/>
        </w:rPr>
        <w:t>probatoria</w:t>
      </w:r>
      <w:r w:rsidR="007A2F20" w:rsidRPr="00B41EAD">
        <w:rPr>
          <w:color w:val="000000" w:themeColor="text1"/>
          <w:sz w:val="28"/>
          <w:szCs w:val="28"/>
          <w:lang w:val="es-ES"/>
        </w:rPr>
        <w:t xml:space="preserve">, respecto del momento en el </w:t>
      </w:r>
      <w:r w:rsidR="00B747B6" w:rsidRPr="00B41EAD">
        <w:rPr>
          <w:color w:val="000000" w:themeColor="text1"/>
          <w:sz w:val="28"/>
          <w:szCs w:val="28"/>
          <w:lang w:val="es-ES"/>
        </w:rPr>
        <w:t xml:space="preserve">que se conoció la posibilidad </w:t>
      </w:r>
      <w:r w:rsidR="00D80DB1" w:rsidRPr="00B41EAD">
        <w:rPr>
          <w:color w:val="000000" w:themeColor="text1"/>
          <w:sz w:val="28"/>
          <w:szCs w:val="28"/>
          <w:lang w:val="es-ES"/>
        </w:rPr>
        <w:t>“</w:t>
      </w:r>
      <w:r w:rsidR="00B747B6" w:rsidRPr="00B41EAD">
        <w:rPr>
          <w:color w:val="000000" w:themeColor="text1"/>
          <w:sz w:val="28"/>
          <w:szCs w:val="28"/>
          <w:lang w:val="es-ES"/>
        </w:rPr>
        <w:t>de</w:t>
      </w:r>
      <w:r w:rsidR="007A2F20" w:rsidRPr="00B41EAD">
        <w:rPr>
          <w:color w:val="000000" w:themeColor="text1"/>
          <w:sz w:val="28"/>
          <w:szCs w:val="28"/>
          <w:lang w:val="es-ES"/>
        </w:rPr>
        <w:t xml:space="preserve"> hacer una imputación de responsabilidad patrimonial</w:t>
      </w:r>
      <w:r w:rsidR="00D80DB1" w:rsidRPr="00B41EAD">
        <w:rPr>
          <w:color w:val="000000" w:themeColor="text1"/>
          <w:sz w:val="28"/>
          <w:szCs w:val="28"/>
          <w:lang w:val="es-ES"/>
        </w:rPr>
        <w:t>”</w:t>
      </w:r>
      <w:r w:rsidR="007A2F20" w:rsidRPr="00B41EAD">
        <w:rPr>
          <w:color w:val="000000" w:themeColor="text1"/>
          <w:sz w:val="28"/>
          <w:szCs w:val="28"/>
          <w:lang w:val="es-ES"/>
        </w:rPr>
        <w:t xml:space="preserve"> al Estado</w:t>
      </w:r>
      <w:r w:rsidR="00D80DB1" w:rsidRPr="00B41EAD">
        <w:rPr>
          <w:color w:val="000000" w:themeColor="text1"/>
          <w:sz w:val="28"/>
          <w:szCs w:val="28"/>
          <w:lang w:val="es-ES"/>
        </w:rPr>
        <w:t>; en particular, no se valoró si las víctimas tuvieron o no barreras “de índole material, técnico y jurídico para acceder a la jurisdicción”.</w:t>
      </w:r>
      <w:r w:rsidR="00E24A2D" w:rsidRPr="00B41EAD">
        <w:rPr>
          <w:color w:val="000000" w:themeColor="text1"/>
          <w:sz w:val="28"/>
          <w:szCs w:val="28"/>
          <w:lang w:val="es-ES"/>
        </w:rPr>
        <w:t xml:space="preserve"> (</w:t>
      </w:r>
      <w:proofErr w:type="spellStart"/>
      <w:r w:rsidR="00E24A2D" w:rsidRPr="00B41EAD">
        <w:rPr>
          <w:color w:val="000000" w:themeColor="text1"/>
          <w:sz w:val="28"/>
          <w:szCs w:val="28"/>
          <w:lang w:val="es-ES"/>
        </w:rPr>
        <w:t>ii</w:t>
      </w:r>
      <w:proofErr w:type="spellEnd"/>
      <w:r w:rsidR="00E24A2D" w:rsidRPr="00B41EAD">
        <w:rPr>
          <w:color w:val="000000" w:themeColor="text1"/>
          <w:sz w:val="28"/>
          <w:szCs w:val="28"/>
          <w:lang w:val="es-ES"/>
        </w:rPr>
        <w:t xml:space="preserve">) </w:t>
      </w:r>
      <w:r w:rsidR="00D80DB1" w:rsidRPr="00B41EAD">
        <w:rPr>
          <w:color w:val="000000" w:themeColor="text1"/>
          <w:sz w:val="28"/>
          <w:szCs w:val="28"/>
          <w:lang w:val="es-ES"/>
        </w:rPr>
        <w:t>U</w:t>
      </w:r>
      <w:r w:rsidR="00E24A2D" w:rsidRPr="00B41EAD">
        <w:rPr>
          <w:color w:val="000000" w:themeColor="text1"/>
          <w:sz w:val="28"/>
          <w:szCs w:val="28"/>
          <w:lang w:val="es-ES"/>
        </w:rPr>
        <w:t>n defecto</w:t>
      </w:r>
      <w:r w:rsidR="00643F21" w:rsidRPr="00B41EAD">
        <w:rPr>
          <w:color w:val="000000" w:themeColor="text1"/>
          <w:sz w:val="28"/>
          <w:szCs w:val="28"/>
          <w:lang w:val="es-ES"/>
        </w:rPr>
        <w:t xml:space="preserve"> </w:t>
      </w:r>
      <w:r w:rsidR="00E24A2D" w:rsidRPr="00B41EAD">
        <w:rPr>
          <w:color w:val="000000" w:themeColor="text1"/>
          <w:sz w:val="28"/>
          <w:szCs w:val="28"/>
          <w:lang w:val="es-ES"/>
        </w:rPr>
        <w:t>por desconocimiento</w:t>
      </w:r>
      <w:r w:rsidR="00643F21" w:rsidRPr="00B41EAD">
        <w:rPr>
          <w:color w:val="000000" w:themeColor="text1"/>
          <w:sz w:val="28"/>
          <w:szCs w:val="28"/>
          <w:lang w:val="es-ES"/>
        </w:rPr>
        <w:t xml:space="preserve"> </w:t>
      </w:r>
      <w:r w:rsidR="00E24A2D" w:rsidRPr="00B41EAD">
        <w:rPr>
          <w:color w:val="000000" w:themeColor="text1"/>
          <w:sz w:val="28"/>
          <w:szCs w:val="28"/>
          <w:lang w:val="es-ES"/>
        </w:rPr>
        <w:t>d</w:t>
      </w:r>
      <w:r w:rsidR="00643F21" w:rsidRPr="00B41EAD">
        <w:rPr>
          <w:color w:val="000000" w:themeColor="text1"/>
          <w:sz w:val="28"/>
          <w:szCs w:val="28"/>
          <w:lang w:val="es-ES"/>
        </w:rPr>
        <w:t>el precedente del Consejo de Estado</w:t>
      </w:r>
      <w:r w:rsidR="00D65365" w:rsidRPr="00B41EAD">
        <w:rPr>
          <w:color w:val="000000" w:themeColor="text1"/>
          <w:sz w:val="28"/>
          <w:szCs w:val="28"/>
          <w:lang w:val="es-ES"/>
        </w:rPr>
        <w:t>, concretamente, la sentencia de unificación del 29 de enero de 2020,</w:t>
      </w:r>
      <w:r w:rsidR="00643F21" w:rsidRPr="00B41EAD">
        <w:rPr>
          <w:color w:val="000000" w:themeColor="text1"/>
          <w:sz w:val="28"/>
          <w:szCs w:val="28"/>
          <w:lang w:val="es-ES"/>
        </w:rPr>
        <w:t xml:space="preserve"> </w:t>
      </w:r>
      <w:r w:rsidR="00D80CB3" w:rsidRPr="00B41EAD">
        <w:rPr>
          <w:color w:val="000000" w:themeColor="text1"/>
          <w:sz w:val="28"/>
          <w:szCs w:val="28"/>
          <w:lang w:val="es-ES"/>
        </w:rPr>
        <w:t>en la que se habrían fijado</w:t>
      </w:r>
      <w:r w:rsidR="00643F21" w:rsidRPr="00B41EAD">
        <w:rPr>
          <w:color w:val="000000" w:themeColor="text1"/>
          <w:sz w:val="28"/>
          <w:szCs w:val="28"/>
          <w:lang w:val="es-ES"/>
        </w:rPr>
        <w:t xml:space="preserve"> los criterios que determinan el análisis de</w:t>
      </w:r>
      <w:r w:rsidR="00DA3B44" w:rsidRPr="00B41EAD">
        <w:rPr>
          <w:color w:val="000000" w:themeColor="text1"/>
          <w:sz w:val="28"/>
          <w:szCs w:val="28"/>
          <w:lang w:val="es-ES"/>
        </w:rPr>
        <w:t>l término para</w:t>
      </w:r>
      <w:r w:rsidR="00643F21" w:rsidRPr="00B41EAD">
        <w:rPr>
          <w:color w:val="000000" w:themeColor="text1"/>
          <w:sz w:val="28"/>
          <w:szCs w:val="28"/>
          <w:lang w:val="es-ES"/>
        </w:rPr>
        <w:t xml:space="preserve"> la </w:t>
      </w:r>
      <w:r w:rsidR="00DA3B44" w:rsidRPr="00B41EAD">
        <w:rPr>
          <w:color w:val="000000" w:themeColor="text1"/>
          <w:sz w:val="28"/>
          <w:szCs w:val="28"/>
          <w:lang w:val="es-ES"/>
        </w:rPr>
        <w:t xml:space="preserve">configuración de la </w:t>
      </w:r>
      <w:r w:rsidR="00643F21" w:rsidRPr="00B41EAD">
        <w:rPr>
          <w:color w:val="000000" w:themeColor="text1"/>
          <w:sz w:val="28"/>
          <w:szCs w:val="28"/>
          <w:lang w:val="es-ES"/>
        </w:rPr>
        <w:t xml:space="preserve">caducidad; </w:t>
      </w:r>
      <w:r w:rsidR="00D80CB3" w:rsidRPr="00B41EAD">
        <w:rPr>
          <w:color w:val="000000" w:themeColor="text1"/>
          <w:sz w:val="28"/>
          <w:szCs w:val="28"/>
          <w:lang w:val="es-ES"/>
        </w:rPr>
        <w:t xml:space="preserve">y </w:t>
      </w:r>
      <w:r w:rsidR="00643F21" w:rsidRPr="00B41EAD">
        <w:rPr>
          <w:color w:val="000000" w:themeColor="text1"/>
          <w:sz w:val="28"/>
          <w:szCs w:val="28"/>
          <w:lang w:val="es-ES"/>
        </w:rPr>
        <w:t>(</w:t>
      </w:r>
      <w:proofErr w:type="spellStart"/>
      <w:r w:rsidR="00643F21" w:rsidRPr="00B41EAD">
        <w:rPr>
          <w:color w:val="000000" w:themeColor="text1"/>
          <w:sz w:val="28"/>
          <w:szCs w:val="28"/>
          <w:lang w:val="es-ES"/>
        </w:rPr>
        <w:t>i</w:t>
      </w:r>
      <w:r w:rsidR="0051201B" w:rsidRPr="00B41EAD">
        <w:rPr>
          <w:color w:val="000000" w:themeColor="text1"/>
          <w:sz w:val="28"/>
          <w:szCs w:val="28"/>
          <w:lang w:val="es-ES"/>
        </w:rPr>
        <w:t>i</w:t>
      </w:r>
      <w:r w:rsidR="00643F21" w:rsidRPr="00B41EAD">
        <w:rPr>
          <w:color w:val="000000" w:themeColor="text1"/>
          <w:sz w:val="28"/>
          <w:szCs w:val="28"/>
          <w:lang w:val="es-ES"/>
        </w:rPr>
        <w:t>i</w:t>
      </w:r>
      <w:proofErr w:type="spellEnd"/>
      <w:r w:rsidR="00643F21" w:rsidRPr="00B41EAD">
        <w:rPr>
          <w:color w:val="000000" w:themeColor="text1"/>
          <w:sz w:val="28"/>
          <w:szCs w:val="28"/>
          <w:lang w:val="es-ES"/>
        </w:rPr>
        <w:t xml:space="preserve">) </w:t>
      </w:r>
      <w:r w:rsidR="002F219B" w:rsidRPr="00B41EAD">
        <w:rPr>
          <w:color w:val="000000" w:themeColor="text1"/>
          <w:sz w:val="28"/>
          <w:szCs w:val="28"/>
          <w:lang w:val="es-ES"/>
        </w:rPr>
        <w:t xml:space="preserve">un defecto por </w:t>
      </w:r>
      <w:r w:rsidR="00D80CB3" w:rsidRPr="00B41EAD">
        <w:rPr>
          <w:color w:val="000000" w:themeColor="text1"/>
          <w:sz w:val="28"/>
          <w:szCs w:val="28"/>
          <w:lang w:val="es-ES"/>
        </w:rPr>
        <w:t xml:space="preserve">violación directa </w:t>
      </w:r>
      <w:r w:rsidR="002F219B" w:rsidRPr="00B41EAD">
        <w:rPr>
          <w:color w:val="000000" w:themeColor="text1"/>
          <w:sz w:val="28"/>
          <w:szCs w:val="28"/>
          <w:lang w:val="es-ES"/>
        </w:rPr>
        <w:t>de la Constitución Política,</w:t>
      </w:r>
      <w:r w:rsidR="00DC43C0" w:rsidRPr="00B41EAD">
        <w:rPr>
          <w:color w:val="000000" w:themeColor="text1"/>
          <w:sz w:val="28"/>
          <w:szCs w:val="28"/>
          <w:lang w:val="es-ES"/>
        </w:rPr>
        <w:t xml:space="preserve"> al obviarse </w:t>
      </w:r>
      <w:r w:rsidR="009D328F" w:rsidRPr="00B41EAD">
        <w:rPr>
          <w:color w:val="000000" w:themeColor="text1"/>
          <w:sz w:val="28"/>
          <w:szCs w:val="28"/>
          <w:lang w:val="es-ES"/>
        </w:rPr>
        <w:t>el criterio de antijuridicidad plasmado en el artícu</w:t>
      </w:r>
      <w:r w:rsidR="0051560D" w:rsidRPr="00B41EAD">
        <w:rPr>
          <w:color w:val="000000" w:themeColor="text1"/>
          <w:sz w:val="28"/>
          <w:szCs w:val="28"/>
          <w:lang w:val="es-ES"/>
        </w:rPr>
        <w:t>lo 90</w:t>
      </w:r>
      <w:r w:rsidR="00D80CB3" w:rsidRPr="00B41EAD">
        <w:rPr>
          <w:color w:val="000000" w:themeColor="text1"/>
          <w:sz w:val="28"/>
          <w:szCs w:val="28"/>
          <w:lang w:val="es-ES"/>
        </w:rPr>
        <w:t xml:space="preserve"> y transgredirse</w:t>
      </w:r>
      <w:r w:rsidR="00646937" w:rsidRPr="00B41EAD">
        <w:rPr>
          <w:color w:val="000000" w:themeColor="text1"/>
          <w:sz w:val="28"/>
          <w:szCs w:val="28"/>
          <w:lang w:val="es-ES"/>
        </w:rPr>
        <w:t xml:space="preserve"> los derechos </w:t>
      </w:r>
      <w:r w:rsidR="00752170" w:rsidRPr="00B41EAD">
        <w:rPr>
          <w:color w:val="000000" w:themeColor="text1"/>
          <w:sz w:val="28"/>
          <w:szCs w:val="28"/>
          <w:lang w:val="es-ES"/>
        </w:rPr>
        <w:t>al debido proceso</w:t>
      </w:r>
      <w:r w:rsidR="00D80CB3" w:rsidRPr="00B41EAD">
        <w:rPr>
          <w:color w:val="000000" w:themeColor="text1"/>
          <w:sz w:val="28"/>
          <w:szCs w:val="28"/>
          <w:lang w:val="es-ES"/>
        </w:rPr>
        <w:t xml:space="preserve"> y</w:t>
      </w:r>
      <w:r w:rsidR="00752170" w:rsidRPr="00B41EAD">
        <w:rPr>
          <w:color w:val="000000" w:themeColor="text1"/>
          <w:sz w:val="28"/>
          <w:szCs w:val="28"/>
          <w:lang w:val="es-ES"/>
        </w:rPr>
        <w:t xml:space="preserve"> al  acceso a la </w:t>
      </w:r>
      <w:r w:rsidR="00A1661D" w:rsidRPr="00B41EAD">
        <w:rPr>
          <w:color w:val="000000" w:themeColor="text1"/>
          <w:sz w:val="28"/>
          <w:szCs w:val="28"/>
          <w:lang w:val="es-ES"/>
        </w:rPr>
        <w:t xml:space="preserve">administración de </w:t>
      </w:r>
      <w:r w:rsidR="00752170" w:rsidRPr="00B41EAD">
        <w:rPr>
          <w:color w:val="000000" w:themeColor="text1"/>
          <w:sz w:val="28"/>
          <w:szCs w:val="28"/>
          <w:lang w:val="es-ES"/>
        </w:rPr>
        <w:t>justicia</w:t>
      </w:r>
      <w:r w:rsidR="00D80CB3" w:rsidRPr="00B41EAD">
        <w:rPr>
          <w:color w:val="000000" w:themeColor="text1"/>
          <w:sz w:val="28"/>
          <w:szCs w:val="28"/>
          <w:lang w:val="es-ES"/>
        </w:rPr>
        <w:t xml:space="preserve">, así como las garantías de que son titulares las víctimas de violaciones de derechos humanos.  </w:t>
      </w:r>
    </w:p>
    <w:p w14:paraId="13652363" w14:textId="77777777" w:rsidR="0098734D" w:rsidRPr="00B41EAD" w:rsidRDefault="0098734D" w:rsidP="0031697E">
      <w:pPr>
        <w:rPr>
          <w:b/>
          <w:bCs/>
          <w:i/>
          <w:iCs/>
          <w:color w:val="000000" w:themeColor="text1"/>
          <w:sz w:val="28"/>
          <w:szCs w:val="28"/>
          <w:lang w:val="es-ES"/>
        </w:rPr>
      </w:pPr>
    </w:p>
    <w:p w14:paraId="11E5EEF8" w14:textId="37DAA298" w:rsidR="00646937" w:rsidRPr="00B41EAD" w:rsidRDefault="00427F8D">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Sentencia de primera instancia del proceso de tutela. </w:t>
      </w:r>
      <w:r w:rsidR="005854F4" w:rsidRPr="00B41EAD">
        <w:rPr>
          <w:color w:val="000000" w:themeColor="text1"/>
          <w:sz w:val="28"/>
          <w:szCs w:val="28"/>
          <w:lang w:val="es-ES"/>
        </w:rPr>
        <w:t xml:space="preserve">Con providencia del </w:t>
      </w:r>
      <w:r w:rsidR="00FB1482" w:rsidRPr="00B41EAD">
        <w:rPr>
          <w:color w:val="000000" w:themeColor="text1"/>
          <w:sz w:val="28"/>
          <w:szCs w:val="28"/>
          <w:lang w:val="es-ES"/>
        </w:rPr>
        <w:t>11 de agosto de 2023, la Subsección B de</w:t>
      </w:r>
      <w:r w:rsidR="00646937" w:rsidRPr="00B41EAD">
        <w:rPr>
          <w:color w:val="000000" w:themeColor="text1"/>
          <w:sz w:val="28"/>
          <w:szCs w:val="28"/>
          <w:lang w:val="es-ES"/>
        </w:rPr>
        <w:t xml:space="preserve"> la Sección Segunda del Consejo de Estado </w:t>
      </w:r>
      <w:r w:rsidR="00FB1482" w:rsidRPr="00B41EAD">
        <w:rPr>
          <w:color w:val="000000" w:themeColor="text1"/>
          <w:sz w:val="28"/>
          <w:szCs w:val="28"/>
          <w:lang w:val="es-ES"/>
        </w:rPr>
        <w:t>resolvió negar</w:t>
      </w:r>
      <w:r w:rsidR="00646937" w:rsidRPr="00B41EAD">
        <w:rPr>
          <w:color w:val="000000" w:themeColor="text1"/>
          <w:sz w:val="28"/>
          <w:szCs w:val="28"/>
          <w:lang w:val="es-ES"/>
        </w:rPr>
        <w:t xml:space="preserve"> </w:t>
      </w:r>
      <w:r w:rsidR="1E0BE344" w:rsidRPr="00B41EAD">
        <w:rPr>
          <w:color w:val="000000" w:themeColor="text1"/>
          <w:sz w:val="28"/>
          <w:szCs w:val="28"/>
          <w:lang w:val="es-ES"/>
        </w:rPr>
        <w:t>el amparo</w:t>
      </w:r>
      <w:r w:rsidR="00FB1482" w:rsidRPr="00B41EAD">
        <w:rPr>
          <w:color w:val="000000" w:themeColor="text1"/>
          <w:sz w:val="28"/>
          <w:szCs w:val="28"/>
          <w:lang w:val="es-ES"/>
        </w:rPr>
        <w:t xml:space="preserve"> solicitado</w:t>
      </w:r>
      <w:r w:rsidR="00646937" w:rsidRPr="00B41EAD">
        <w:rPr>
          <w:color w:val="000000" w:themeColor="text1"/>
          <w:sz w:val="28"/>
          <w:szCs w:val="28"/>
          <w:lang w:val="es-ES"/>
        </w:rPr>
        <w:t>, tras considerar que en la providencia cuestionada no se incurrió en ningún defecto o violación de derechos fundamentales</w:t>
      </w:r>
      <w:r w:rsidR="0002290B" w:rsidRPr="00B41EAD">
        <w:rPr>
          <w:color w:val="000000" w:themeColor="text1"/>
          <w:sz w:val="28"/>
          <w:szCs w:val="28"/>
          <w:lang w:val="es-ES"/>
        </w:rPr>
        <w:t>. Esto,</w:t>
      </w:r>
      <w:r w:rsidR="00646937" w:rsidRPr="00B41EAD">
        <w:rPr>
          <w:color w:val="000000" w:themeColor="text1"/>
          <w:sz w:val="28"/>
          <w:szCs w:val="28"/>
          <w:lang w:val="es-ES"/>
        </w:rPr>
        <w:t xml:space="preserve"> dado que la valoración de</w:t>
      </w:r>
      <w:r w:rsidR="004D1668" w:rsidRPr="00B41EAD">
        <w:rPr>
          <w:color w:val="000000" w:themeColor="text1"/>
          <w:sz w:val="28"/>
          <w:szCs w:val="28"/>
          <w:lang w:val="es-ES"/>
        </w:rPr>
        <w:t xml:space="preserve"> la declaratoria de la caducidad</w:t>
      </w:r>
      <w:r w:rsidR="00646937" w:rsidRPr="00B41EAD">
        <w:rPr>
          <w:color w:val="000000" w:themeColor="text1"/>
          <w:sz w:val="28"/>
          <w:szCs w:val="28"/>
          <w:lang w:val="es-ES"/>
        </w:rPr>
        <w:t xml:space="preserve"> resultó razonabl</w:t>
      </w:r>
      <w:r w:rsidR="00695341" w:rsidRPr="00B41EAD">
        <w:rPr>
          <w:color w:val="000000" w:themeColor="text1"/>
          <w:sz w:val="28"/>
          <w:szCs w:val="28"/>
          <w:lang w:val="es-ES"/>
        </w:rPr>
        <w:t>e,</w:t>
      </w:r>
      <w:r w:rsidR="00646937" w:rsidRPr="00B41EAD">
        <w:rPr>
          <w:color w:val="000000" w:themeColor="text1"/>
          <w:sz w:val="28"/>
          <w:szCs w:val="28"/>
          <w:lang w:val="es-ES"/>
        </w:rPr>
        <w:t xml:space="preserve"> ajustada a derecho</w:t>
      </w:r>
      <w:r w:rsidR="00B632EB" w:rsidRPr="00B41EAD">
        <w:rPr>
          <w:color w:val="000000" w:themeColor="text1"/>
          <w:sz w:val="28"/>
          <w:szCs w:val="28"/>
          <w:lang w:val="es-ES"/>
        </w:rPr>
        <w:t>,</w:t>
      </w:r>
      <w:r w:rsidR="00F21D97" w:rsidRPr="00B41EAD">
        <w:rPr>
          <w:color w:val="000000" w:themeColor="text1"/>
          <w:sz w:val="28"/>
          <w:szCs w:val="28"/>
          <w:lang w:val="es-ES"/>
        </w:rPr>
        <w:t xml:space="preserve"> a la jurisprudencia y en concordancia con </w:t>
      </w:r>
      <w:r w:rsidR="0039347D" w:rsidRPr="00B41EAD">
        <w:rPr>
          <w:color w:val="000000" w:themeColor="text1"/>
          <w:sz w:val="28"/>
          <w:szCs w:val="28"/>
          <w:lang w:val="es-ES"/>
        </w:rPr>
        <w:t>las pruebas aportadas al expediente</w:t>
      </w:r>
      <w:r w:rsidR="00B44262" w:rsidRPr="00B41EAD">
        <w:rPr>
          <w:color w:val="000000" w:themeColor="text1"/>
          <w:sz w:val="28"/>
          <w:szCs w:val="28"/>
          <w:lang w:val="es-ES"/>
        </w:rPr>
        <w:t xml:space="preserve">. Así, </w:t>
      </w:r>
      <w:r w:rsidR="004D1668" w:rsidRPr="00B41EAD">
        <w:rPr>
          <w:color w:val="000000" w:themeColor="text1"/>
          <w:sz w:val="28"/>
          <w:szCs w:val="28"/>
          <w:lang w:val="es-ES"/>
        </w:rPr>
        <w:t xml:space="preserve">se </w:t>
      </w:r>
      <w:r w:rsidR="00B44262" w:rsidRPr="00B41EAD">
        <w:rPr>
          <w:color w:val="000000" w:themeColor="text1"/>
          <w:sz w:val="28"/>
          <w:szCs w:val="28"/>
          <w:lang w:val="es-ES"/>
        </w:rPr>
        <w:t>determinó que lo planteado denota una inconformidad con e</w:t>
      </w:r>
      <w:r w:rsidR="004D1668" w:rsidRPr="00B41EAD">
        <w:rPr>
          <w:color w:val="000000" w:themeColor="text1"/>
          <w:sz w:val="28"/>
          <w:szCs w:val="28"/>
          <w:lang w:val="es-ES"/>
        </w:rPr>
        <w:t>l</w:t>
      </w:r>
      <w:r w:rsidR="00B44262" w:rsidRPr="00B41EAD">
        <w:rPr>
          <w:color w:val="000000" w:themeColor="text1"/>
          <w:sz w:val="28"/>
          <w:szCs w:val="28"/>
          <w:lang w:val="es-ES"/>
        </w:rPr>
        <w:t xml:space="preserve"> resultado de la valoración </w:t>
      </w:r>
      <w:r w:rsidR="004D1668" w:rsidRPr="00B41EAD">
        <w:rPr>
          <w:color w:val="000000" w:themeColor="text1"/>
          <w:sz w:val="28"/>
          <w:szCs w:val="28"/>
          <w:lang w:val="es-ES"/>
        </w:rPr>
        <w:t xml:space="preserve">del juez </w:t>
      </w:r>
      <w:r w:rsidR="00B44262" w:rsidRPr="00B41EAD">
        <w:rPr>
          <w:color w:val="000000" w:themeColor="text1"/>
          <w:sz w:val="28"/>
          <w:szCs w:val="28"/>
          <w:lang w:val="es-ES"/>
        </w:rPr>
        <w:t xml:space="preserve">que no es atacable </w:t>
      </w:r>
      <w:r w:rsidR="004D1668" w:rsidRPr="00B41EAD">
        <w:rPr>
          <w:color w:val="000000" w:themeColor="text1"/>
          <w:sz w:val="28"/>
          <w:szCs w:val="28"/>
          <w:lang w:val="es-ES"/>
        </w:rPr>
        <w:t>vía</w:t>
      </w:r>
      <w:r w:rsidR="00B44262" w:rsidRPr="00B41EAD">
        <w:rPr>
          <w:color w:val="000000" w:themeColor="text1"/>
          <w:sz w:val="28"/>
          <w:szCs w:val="28"/>
          <w:lang w:val="es-ES"/>
        </w:rPr>
        <w:t xml:space="preserve"> tutela</w:t>
      </w:r>
      <w:r w:rsidR="004F1E6C" w:rsidRPr="00B41EAD">
        <w:rPr>
          <w:color w:val="000000" w:themeColor="text1"/>
          <w:sz w:val="28"/>
          <w:szCs w:val="28"/>
          <w:lang w:val="es-ES"/>
        </w:rPr>
        <w:t xml:space="preserve">, </w:t>
      </w:r>
      <w:r w:rsidR="004D1668" w:rsidRPr="00B41EAD">
        <w:rPr>
          <w:color w:val="000000" w:themeColor="text1"/>
          <w:sz w:val="28"/>
          <w:szCs w:val="28"/>
          <w:lang w:val="es-ES"/>
        </w:rPr>
        <w:t>en razón a</w:t>
      </w:r>
      <w:r w:rsidR="004F1E6C" w:rsidRPr="00B41EAD">
        <w:rPr>
          <w:color w:val="000000" w:themeColor="text1"/>
          <w:sz w:val="28"/>
          <w:szCs w:val="28"/>
          <w:lang w:val="es-ES"/>
        </w:rPr>
        <w:t xml:space="preserve"> que este mecanismo no se puede convertir en una tercera instancia</w:t>
      </w:r>
      <w:r w:rsidR="0039347D" w:rsidRPr="00B41EAD">
        <w:rPr>
          <w:rStyle w:val="Refdenotaalpie"/>
          <w:color w:val="000000" w:themeColor="text1"/>
          <w:sz w:val="28"/>
          <w:szCs w:val="28"/>
          <w:lang w:val="es-ES"/>
        </w:rPr>
        <w:footnoteReference w:id="17"/>
      </w:r>
      <w:r w:rsidR="0039347D" w:rsidRPr="00B41EAD">
        <w:rPr>
          <w:color w:val="000000" w:themeColor="text1"/>
          <w:sz w:val="28"/>
          <w:szCs w:val="28"/>
          <w:lang w:val="es-ES"/>
        </w:rPr>
        <w:t>.</w:t>
      </w:r>
      <w:r w:rsidR="00646937" w:rsidRPr="00B41EAD">
        <w:rPr>
          <w:color w:val="000000" w:themeColor="text1"/>
          <w:sz w:val="28"/>
          <w:szCs w:val="28"/>
          <w:lang w:val="es-ES"/>
        </w:rPr>
        <w:t xml:space="preserve"> </w:t>
      </w:r>
    </w:p>
    <w:p w14:paraId="36C87067" w14:textId="1ECF090C" w:rsidR="00646937" w:rsidRPr="00B41EAD" w:rsidRDefault="00646937" w:rsidP="105B277E">
      <w:pPr>
        <w:pStyle w:val="Prrafodelista"/>
        <w:ind w:left="0"/>
        <w:jc w:val="both"/>
        <w:rPr>
          <w:color w:val="000000" w:themeColor="text1"/>
          <w:sz w:val="28"/>
          <w:szCs w:val="28"/>
          <w:lang w:val="es-ES"/>
        </w:rPr>
      </w:pPr>
    </w:p>
    <w:p w14:paraId="466581A3" w14:textId="59FC7C66" w:rsidR="0031697E" w:rsidRPr="00B41EAD" w:rsidRDefault="0031697E">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Impugnación del fallo de tutela. </w:t>
      </w:r>
      <w:r w:rsidRPr="00B41EAD">
        <w:rPr>
          <w:color w:val="000000" w:themeColor="text1"/>
          <w:sz w:val="28"/>
          <w:szCs w:val="28"/>
          <w:lang w:val="es-ES"/>
        </w:rPr>
        <w:t>Los accionantes impugnaron la sentencia de primera instancia solicitando se considere de manera integral el escrito de tutela y se determiné la configuración de los defectos planteados</w:t>
      </w:r>
      <w:r w:rsidRPr="00B41EAD">
        <w:rPr>
          <w:rStyle w:val="Refdenotaalpie"/>
          <w:color w:val="000000" w:themeColor="text1"/>
          <w:sz w:val="28"/>
          <w:szCs w:val="28"/>
          <w:lang w:val="es-ES"/>
        </w:rPr>
        <w:footnoteReference w:id="18"/>
      </w:r>
      <w:r w:rsidRPr="00B41EAD">
        <w:rPr>
          <w:color w:val="000000" w:themeColor="text1"/>
          <w:sz w:val="28"/>
          <w:szCs w:val="28"/>
          <w:lang w:val="es-ES"/>
        </w:rPr>
        <w:t xml:space="preserve">. </w:t>
      </w:r>
    </w:p>
    <w:p w14:paraId="7715879B" w14:textId="77777777" w:rsidR="0031697E" w:rsidRPr="00B41EAD" w:rsidRDefault="0031697E" w:rsidP="105B277E">
      <w:pPr>
        <w:pStyle w:val="Prrafodelista"/>
        <w:ind w:left="0"/>
        <w:jc w:val="both"/>
        <w:rPr>
          <w:color w:val="000000" w:themeColor="text1"/>
          <w:sz w:val="28"/>
          <w:szCs w:val="28"/>
          <w:lang w:val="es-ES"/>
        </w:rPr>
      </w:pPr>
    </w:p>
    <w:p w14:paraId="0740E965" w14:textId="2C69B6F2" w:rsidR="00646937" w:rsidRPr="00B41EAD" w:rsidRDefault="00427F8D">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Sentencia de segunda instancia del proceso de tutela. </w:t>
      </w:r>
      <w:r w:rsidR="00DC477F" w:rsidRPr="00B41EAD">
        <w:rPr>
          <w:color w:val="000000" w:themeColor="text1"/>
          <w:sz w:val="28"/>
          <w:szCs w:val="28"/>
          <w:lang w:val="es-ES"/>
        </w:rPr>
        <w:t>En</w:t>
      </w:r>
      <w:r w:rsidR="00646937" w:rsidRPr="00B41EAD">
        <w:rPr>
          <w:color w:val="000000" w:themeColor="text1"/>
          <w:sz w:val="28"/>
          <w:szCs w:val="28"/>
          <w:lang w:val="es-ES"/>
        </w:rPr>
        <w:t xml:space="preserve"> </w:t>
      </w:r>
      <w:r w:rsidR="001320A9" w:rsidRPr="00B41EAD">
        <w:rPr>
          <w:color w:val="000000" w:themeColor="text1"/>
          <w:sz w:val="28"/>
          <w:szCs w:val="28"/>
          <w:lang w:val="es-ES"/>
        </w:rPr>
        <w:t xml:space="preserve">providencia del 11 </w:t>
      </w:r>
      <w:r w:rsidR="00A83D50" w:rsidRPr="00B41EAD">
        <w:rPr>
          <w:color w:val="000000" w:themeColor="text1"/>
          <w:sz w:val="28"/>
          <w:szCs w:val="28"/>
          <w:lang w:val="es-ES"/>
        </w:rPr>
        <w:t xml:space="preserve">de diciembre de 2023, </w:t>
      </w:r>
      <w:r w:rsidR="00646937" w:rsidRPr="00B41EAD">
        <w:rPr>
          <w:color w:val="000000" w:themeColor="text1"/>
          <w:sz w:val="28"/>
          <w:szCs w:val="28"/>
          <w:lang w:val="es-ES"/>
        </w:rPr>
        <w:t>la Subsección B de la Sección Tercera del Consejo de Estado</w:t>
      </w:r>
      <w:r w:rsidR="00A83D50" w:rsidRPr="00B41EAD">
        <w:rPr>
          <w:color w:val="000000" w:themeColor="text1"/>
          <w:sz w:val="28"/>
          <w:szCs w:val="28"/>
          <w:lang w:val="es-ES"/>
        </w:rPr>
        <w:t xml:space="preserve"> decidió revocar la sentencia </w:t>
      </w:r>
      <w:r w:rsidR="00D80CB3" w:rsidRPr="00B41EAD">
        <w:rPr>
          <w:color w:val="000000" w:themeColor="text1"/>
          <w:sz w:val="28"/>
          <w:szCs w:val="28"/>
          <w:lang w:val="es-ES"/>
        </w:rPr>
        <w:t>de primer grado</w:t>
      </w:r>
      <w:r w:rsidR="00004E4E" w:rsidRPr="00B41EAD">
        <w:rPr>
          <w:color w:val="000000" w:themeColor="text1"/>
          <w:sz w:val="28"/>
          <w:szCs w:val="28"/>
          <w:lang w:val="es-ES"/>
        </w:rPr>
        <w:t xml:space="preserve"> </w:t>
      </w:r>
      <w:r w:rsidR="00A83D50" w:rsidRPr="00B41EAD">
        <w:rPr>
          <w:color w:val="000000" w:themeColor="text1"/>
          <w:sz w:val="28"/>
          <w:szCs w:val="28"/>
          <w:lang w:val="es-ES"/>
        </w:rPr>
        <w:t>y, en su lugar, declarar</w:t>
      </w:r>
      <w:r w:rsidR="00004E4E" w:rsidRPr="00B41EAD">
        <w:rPr>
          <w:color w:val="000000" w:themeColor="text1"/>
          <w:sz w:val="28"/>
          <w:szCs w:val="28"/>
          <w:lang w:val="es-ES"/>
        </w:rPr>
        <w:t xml:space="preserve"> la improcedencia </w:t>
      </w:r>
      <w:r w:rsidR="00A83D50" w:rsidRPr="00B41EAD">
        <w:rPr>
          <w:color w:val="000000" w:themeColor="text1"/>
          <w:sz w:val="28"/>
          <w:szCs w:val="28"/>
          <w:lang w:val="es-ES"/>
        </w:rPr>
        <w:t>de la solicitud de amparo</w:t>
      </w:r>
      <w:r w:rsidR="00004E4E" w:rsidRPr="00B41EAD">
        <w:rPr>
          <w:color w:val="000000" w:themeColor="text1"/>
          <w:sz w:val="28"/>
          <w:szCs w:val="28"/>
          <w:lang w:val="es-ES"/>
        </w:rPr>
        <w:t>. Como fundamento</w:t>
      </w:r>
      <w:r w:rsidR="00A1661D" w:rsidRPr="00B41EAD">
        <w:rPr>
          <w:color w:val="000000" w:themeColor="text1"/>
          <w:sz w:val="28"/>
          <w:szCs w:val="28"/>
          <w:lang w:val="es-ES"/>
        </w:rPr>
        <w:t xml:space="preserve"> </w:t>
      </w:r>
      <w:r w:rsidR="00004E4E" w:rsidRPr="00B41EAD">
        <w:rPr>
          <w:color w:val="000000" w:themeColor="text1"/>
          <w:sz w:val="28"/>
          <w:szCs w:val="28"/>
          <w:lang w:val="es-ES"/>
        </w:rPr>
        <w:t>indicó</w:t>
      </w:r>
      <w:r w:rsidR="00615B4D" w:rsidRPr="00B41EAD">
        <w:rPr>
          <w:color w:val="000000" w:themeColor="text1"/>
          <w:sz w:val="28"/>
          <w:szCs w:val="28"/>
          <w:lang w:val="es-ES"/>
        </w:rPr>
        <w:t xml:space="preserve"> que</w:t>
      </w:r>
      <w:r w:rsidR="0005060A" w:rsidRPr="00B41EAD">
        <w:rPr>
          <w:color w:val="000000" w:themeColor="text1"/>
          <w:sz w:val="28"/>
          <w:szCs w:val="28"/>
          <w:lang w:val="es-ES"/>
        </w:rPr>
        <w:t>, por un lado,</w:t>
      </w:r>
      <w:r w:rsidR="00615B4D" w:rsidRPr="00B41EAD">
        <w:rPr>
          <w:color w:val="000000" w:themeColor="text1"/>
          <w:sz w:val="28"/>
          <w:szCs w:val="28"/>
          <w:lang w:val="es-ES"/>
        </w:rPr>
        <w:t xml:space="preserve"> </w:t>
      </w:r>
      <w:r w:rsidR="00D4629B" w:rsidRPr="00B41EAD">
        <w:rPr>
          <w:color w:val="000000" w:themeColor="text1"/>
          <w:sz w:val="28"/>
          <w:szCs w:val="28"/>
          <w:lang w:val="es-ES"/>
        </w:rPr>
        <w:t>no se acreditó el requisito de</w:t>
      </w:r>
      <w:r w:rsidR="00004E4E" w:rsidRPr="00B41EAD">
        <w:rPr>
          <w:color w:val="000000" w:themeColor="text1"/>
          <w:sz w:val="28"/>
          <w:szCs w:val="28"/>
          <w:lang w:val="es-ES"/>
        </w:rPr>
        <w:t xml:space="preserve"> relevancia constitucional </w:t>
      </w:r>
      <w:r w:rsidR="00615B4D" w:rsidRPr="00B41EAD">
        <w:rPr>
          <w:color w:val="000000" w:themeColor="text1"/>
          <w:sz w:val="28"/>
          <w:szCs w:val="28"/>
          <w:lang w:val="es-ES"/>
        </w:rPr>
        <w:t>frente a los defectos planteados</w:t>
      </w:r>
      <w:r w:rsidR="00D80CB3" w:rsidRPr="00B41EAD">
        <w:rPr>
          <w:color w:val="000000" w:themeColor="text1"/>
          <w:sz w:val="28"/>
          <w:szCs w:val="28"/>
          <w:lang w:val="es-ES"/>
        </w:rPr>
        <w:t xml:space="preserve">; </w:t>
      </w:r>
      <w:r w:rsidR="0005060A" w:rsidRPr="00B41EAD">
        <w:rPr>
          <w:color w:val="000000" w:themeColor="text1"/>
          <w:sz w:val="28"/>
          <w:szCs w:val="28"/>
          <w:lang w:val="es-ES"/>
        </w:rPr>
        <w:t>y, por otr</w:t>
      </w:r>
      <w:r w:rsidR="0020553D" w:rsidRPr="00B41EAD">
        <w:rPr>
          <w:color w:val="000000" w:themeColor="text1"/>
          <w:sz w:val="28"/>
          <w:szCs w:val="28"/>
          <w:lang w:val="es-ES"/>
        </w:rPr>
        <w:t>o</w:t>
      </w:r>
      <w:r w:rsidR="00D80CB3" w:rsidRPr="00B41EAD">
        <w:rPr>
          <w:color w:val="000000" w:themeColor="text1"/>
          <w:sz w:val="28"/>
          <w:szCs w:val="28"/>
          <w:lang w:val="es-ES"/>
        </w:rPr>
        <w:t xml:space="preserve"> lado</w:t>
      </w:r>
      <w:r w:rsidR="00004E4E" w:rsidRPr="00B41EAD">
        <w:rPr>
          <w:color w:val="000000" w:themeColor="text1"/>
          <w:sz w:val="28"/>
          <w:szCs w:val="28"/>
          <w:lang w:val="es-ES"/>
        </w:rPr>
        <w:t xml:space="preserve">, </w:t>
      </w:r>
      <w:r w:rsidR="00FF5C0A" w:rsidRPr="00B41EAD">
        <w:rPr>
          <w:color w:val="000000" w:themeColor="text1"/>
          <w:sz w:val="28"/>
          <w:szCs w:val="28"/>
          <w:lang w:val="es-ES"/>
        </w:rPr>
        <w:t>no se incurrió en un defecto fáctico n</w:t>
      </w:r>
      <w:r w:rsidR="0073119E" w:rsidRPr="00B41EAD">
        <w:rPr>
          <w:color w:val="000000" w:themeColor="text1"/>
          <w:sz w:val="28"/>
          <w:szCs w:val="28"/>
          <w:lang w:val="es-ES"/>
        </w:rPr>
        <w:t>i</w:t>
      </w:r>
      <w:r w:rsidR="00FF5C0A" w:rsidRPr="00B41EAD">
        <w:rPr>
          <w:color w:val="000000" w:themeColor="text1"/>
          <w:sz w:val="28"/>
          <w:szCs w:val="28"/>
          <w:lang w:val="es-ES"/>
        </w:rPr>
        <w:t xml:space="preserve"> </w:t>
      </w:r>
      <w:r w:rsidR="0073119E" w:rsidRPr="00B41EAD">
        <w:rPr>
          <w:color w:val="000000" w:themeColor="text1"/>
          <w:sz w:val="28"/>
          <w:szCs w:val="28"/>
          <w:lang w:val="es-ES"/>
        </w:rPr>
        <w:t>de desconocimiento de</w:t>
      </w:r>
      <w:r w:rsidR="00013FE4" w:rsidRPr="00B41EAD">
        <w:rPr>
          <w:color w:val="000000" w:themeColor="text1"/>
          <w:sz w:val="28"/>
          <w:szCs w:val="28"/>
          <w:lang w:val="es-ES"/>
        </w:rPr>
        <w:t>l</w:t>
      </w:r>
      <w:r w:rsidR="0073119E" w:rsidRPr="00B41EAD">
        <w:rPr>
          <w:color w:val="000000" w:themeColor="text1"/>
          <w:sz w:val="28"/>
          <w:szCs w:val="28"/>
          <w:lang w:val="es-ES"/>
        </w:rPr>
        <w:t xml:space="preserve"> precedente </w:t>
      </w:r>
      <w:r w:rsidR="00640B7E" w:rsidRPr="00B41EAD">
        <w:rPr>
          <w:color w:val="000000" w:themeColor="text1"/>
          <w:sz w:val="28"/>
          <w:szCs w:val="28"/>
          <w:lang w:val="es-ES"/>
        </w:rPr>
        <w:t xml:space="preserve">en razón a que </w:t>
      </w:r>
      <w:r w:rsidR="00013FE4" w:rsidRPr="00B41EAD">
        <w:rPr>
          <w:color w:val="000000" w:themeColor="text1"/>
          <w:sz w:val="28"/>
          <w:szCs w:val="28"/>
          <w:lang w:val="es-ES"/>
        </w:rPr>
        <w:t>d</w:t>
      </w:r>
      <w:r w:rsidR="00640B7E" w:rsidRPr="00B41EAD">
        <w:rPr>
          <w:color w:val="000000" w:themeColor="text1"/>
          <w:sz w:val="28"/>
          <w:szCs w:val="28"/>
          <w:lang w:val="es-ES"/>
        </w:rPr>
        <w:t xml:space="preserve">el análisis </w:t>
      </w:r>
      <w:r w:rsidR="008841F9" w:rsidRPr="00B41EAD">
        <w:rPr>
          <w:color w:val="000000" w:themeColor="text1"/>
          <w:sz w:val="28"/>
          <w:szCs w:val="28"/>
          <w:lang w:val="es-ES"/>
        </w:rPr>
        <w:t xml:space="preserve">efectuado </w:t>
      </w:r>
      <w:r w:rsidR="00640B7E" w:rsidRPr="00B41EAD">
        <w:rPr>
          <w:color w:val="000000" w:themeColor="text1"/>
          <w:sz w:val="28"/>
          <w:szCs w:val="28"/>
          <w:lang w:val="es-ES"/>
        </w:rPr>
        <w:t>d</w:t>
      </w:r>
      <w:r w:rsidR="00004E4E" w:rsidRPr="00B41EAD">
        <w:rPr>
          <w:color w:val="000000" w:themeColor="text1"/>
          <w:sz w:val="28"/>
          <w:szCs w:val="28"/>
          <w:lang w:val="es-ES"/>
        </w:rPr>
        <w:t>el término de caducidad</w:t>
      </w:r>
      <w:r w:rsidR="00013FE4" w:rsidRPr="00B41EAD">
        <w:rPr>
          <w:color w:val="000000" w:themeColor="text1"/>
          <w:sz w:val="28"/>
          <w:szCs w:val="28"/>
          <w:lang w:val="es-ES"/>
        </w:rPr>
        <w:t>,</w:t>
      </w:r>
      <w:r w:rsidR="00004E4E" w:rsidRPr="00B41EAD">
        <w:rPr>
          <w:color w:val="000000" w:themeColor="text1"/>
          <w:sz w:val="28"/>
          <w:szCs w:val="28"/>
          <w:lang w:val="es-ES"/>
        </w:rPr>
        <w:t xml:space="preserve"> </w:t>
      </w:r>
      <w:r w:rsidR="00013FE4" w:rsidRPr="00B41EAD">
        <w:rPr>
          <w:color w:val="000000" w:themeColor="text1"/>
          <w:sz w:val="28"/>
          <w:szCs w:val="28"/>
          <w:lang w:val="es-ES"/>
        </w:rPr>
        <w:t xml:space="preserve">no se acreditaron </w:t>
      </w:r>
      <w:r w:rsidR="007752E6" w:rsidRPr="00B41EAD">
        <w:rPr>
          <w:color w:val="000000" w:themeColor="text1"/>
          <w:sz w:val="28"/>
          <w:szCs w:val="28"/>
          <w:lang w:val="es-ES"/>
        </w:rPr>
        <w:t>aspectos</w:t>
      </w:r>
      <w:r w:rsidR="00013FE4" w:rsidRPr="00B41EAD">
        <w:rPr>
          <w:color w:val="000000" w:themeColor="text1"/>
          <w:sz w:val="28"/>
          <w:szCs w:val="28"/>
          <w:lang w:val="es-ES"/>
        </w:rPr>
        <w:t xml:space="preserve"> que llevaran a considerar que el </w:t>
      </w:r>
      <w:r w:rsidR="007752E6" w:rsidRPr="00B41EAD">
        <w:rPr>
          <w:color w:val="000000" w:themeColor="text1"/>
          <w:sz w:val="28"/>
          <w:szCs w:val="28"/>
          <w:lang w:val="es-ES"/>
        </w:rPr>
        <w:t xml:space="preserve">conteo del plazo </w:t>
      </w:r>
      <w:r w:rsidR="00013FE4" w:rsidRPr="00B41EAD">
        <w:rPr>
          <w:color w:val="000000" w:themeColor="text1"/>
          <w:sz w:val="28"/>
          <w:szCs w:val="28"/>
          <w:lang w:val="es-ES"/>
        </w:rPr>
        <w:t xml:space="preserve">no </w:t>
      </w:r>
      <w:r w:rsidR="007752E6" w:rsidRPr="00B41EAD">
        <w:rPr>
          <w:color w:val="000000" w:themeColor="text1"/>
          <w:sz w:val="28"/>
          <w:szCs w:val="28"/>
          <w:lang w:val="es-ES"/>
        </w:rPr>
        <w:t>iniciaba</w:t>
      </w:r>
      <w:r w:rsidR="00013FE4" w:rsidRPr="00B41EAD">
        <w:rPr>
          <w:color w:val="000000" w:themeColor="text1"/>
          <w:sz w:val="28"/>
          <w:szCs w:val="28"/>
          <w:lang w:val="es-ES"/>
        </w:rPr>
        <w:t xml:space="preserve"> desde la ocurrencia de los hechos</w:t>
      </w:r>
      <w:r w:rsidR="0020559D" w:rsidRPr="00B41EAD">
        <w:rPr>
          <w:color w:val="000000" w:themeColor="text1"/>
          <w:sz w:val="28"/>
          <w:szCs w:val="28"/>
          <w:lang w:val="es-ES"/>
        </w:rPr>
        <w:t xml:space="preserve">, como tampoco se advirtieron </w:t>
      </w:r>
      <w:r w:rsidR="00314CF4" w:rsidRPr="00B41EAD">
        <w:rPr>
          <w:color w:val="000000" w:themeColor="text1"/>
          <w:sz w:val="28"/>
          <w:szCs w:val="28"/>
          <w:lang w:val="es-ES"/>
        </w:rPr>
        <w:t xml:space="preserve">circunstancias que hubieran impedido materialmente la formulación de la demanda. </w:t>
      </w:r>
    </w:p>
    <w:p w14:paraId="23EBF3DE" w14:textId="7BC83A06" w:rsidR="0044683B" w:rsidRPr="00B41EAD" w:rsidRDefault="0044683B" w:rsidP="00F16DC5">
      <w:pPr>
        <w:jc w:val="both"/>
        <w:rPr>
          <w:color w:val="000000" w:themeColor="text1"/>
          <w:sz w:val="28"/>
          <w:szCs w:val="28"/>
          <w:lang w:val="es-ES"/>
        </w:rPr>
      </w:pPr>
    </w:p>
    <w:p w14:paraId="4B670319" w14:textId="6386D1EC" w:rsidR="00F16DC5" w:rsidRPr="00B41EAD" w:rsidRDefault="00F16DC5">
      <w:pPr>
        <w:pStyle w:val="Ttulo2"/>
        <w:numPr>
          <w:ilvl w:val="0"/>
          <w:numId w:val="4"/>
        </w:numPr>
        <w:ind w:left="567" w:hanging="567"/>
        <w:rPr>
          <w:b w:val="0"/>
          <w:color w:val="000000" w:themeColor="text1"/>
          <w:sz w:val="28"/>
          <w:szCs w:val="28"/>
          <w:lang w:val="es-ES"/>
        </w:rPr>
      </w:pPr>
      <w:r w:rsidRPr="00B41EAD">
        <w:rPr>
          <w:color w:val="000000" w:themeColor="text1"/>
          <w:sz w:val="28"/>
          <w:szCs w:val="28"/>
          <w:lang w:val="es-ES"/>
        </w:rPr>
        <w:lastRenderedPageBreak/>
        <w:t xml:space="preserve">Expediente </w:t>
      </w:r>
      <w:bookmarkStart w:id="0" w:name="_Hlk176846775"/>
      <w:r w:rsidRPr="00B41EAD">
        <w:rPr>
          <w:color w:val="000000" w:themeColor="text1"/>
          <w:sz w:val="28"/>
          <w:szCs w:val="28"/>
          <w:lang w:val="es-ES"/>
        </w:rPr>
        <w:t>T-10.007.411</w:t>
      </w:r>
      <w:bookmarkEnd w:id="0"/>
    </w:p>
    <w:p w14:paraId="4630464B" w14:textId="77777777" w:rsidR="00F16DC5" w:rsidRPr="00B41EAD" w:rsidRDefault="00F16DC5" w:rsidP="00F16DC5">
      <w:pPr>
        <w:jc w:val="both"/>
        <w:rPr>
          <w:color w:val="000000" w:themeColor="text1"/>
          <w:sz w:val="28"/>
          <w:szCs w:val="28"/>
          <w:lang w:val="es-ES"/>
        </w:rPr>
      </w:pPr>
    </w:p>
    <w:p w14:paraId="22389D0A" w14:textId="6E9C286B" w:rsidR="009C5878" w:rsidRPr="00B41EAD" w:rsidRDefault="009C5878" w:rsidP="009C5878">
      <w:pPr>
        <w:pStyle w:val="Ttulo3"/>
        <w:numPr>
          <w:ilvl w:val="0"/>
          <w:numId w:val="0"/>
        </w:numPr>
        <w:rPr>
          <w:color w:val="000000" w:themeColor="text1"/>
          <w:sz w:val="28"/>
          <w:szCs w:val="28"/>
          <w:lang w:val="es-ES"/>
        </w:rPr>
      </w:pPr>
      <w:r w:rsidRPr="00B41EAD">
        <w:rPr>
          <w:color w:val="000000" w:themeColor="text1"/>
          <w:sz w:val="28"/>
          <w:szCs w:val="28"/>
          <w:lang w:val="es-ES"/>
        </w:rPr>
        <w:t>Proceso de reparación directa</w:t>
      </w:r>
    </w:p>
    <w:p w14:paraId="58CE8857" w14:textId="77777777" w:rsidR="009C5878" w:rsidRPr="00B41EAD" w:rsidRDefault="009C5878" w:rsidP="00F16DC5">
      <w:pPr>
        <w:jc w:val="both"/>
        <w:rPr>
          <w:color w:val="000000" w:themeColor="text1"/>
          <w:sz w:val="28"/>
          <w:szCs w:val="28"/>
          <w:lang w:val="es-ES"/>
        </w:rPr>
      </w:pPr>
    </w:p>
    <w:p w14:paraId="46CA1ABC" w14:textId="23727518" w:rsidR="008022D0" w:rsidRPr="00B41EAD" w:rsidRDefault="0012682E">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Hechos. </w:t>
      </w:r>
      <w:r w:rsidR="007601A7" w:rsidRPr="00B41EAD">
        <w:rPr>
          <w:color w:val="000000" w:themeColor="text1"/>
          <w:sz w:val="28"/>
          <w:szCs w:val="28"/>
          <w:lang w:val="es-ES"/>
        </w:rPr>
        <w:t xml:space="preserve">El 30 de marzo de 2008, en la Finca Montana de la vereda </w:t>
      </w:r>
      <w:proofErr w:type="spellStart"/>
      <w:r w:rsidR="00380ADA" w:rsidRPr="00B41EAD">
        <w:rPr>
          <w:color w:val="000000" w:themeColor="text1"/>
          <w:sz w:val="28"/>
          <w:szCs w:val="28"/>
          <w:lang w:val="es-ES"/>
        </w:rPr>
        <w:t>Pringamosal</w:t>
      </w:r>
      <w:proofErr w:type="spellEnd"/>
      <w:r w:rsidR="007601A7" w:rsidRPr="00B41EAD">
        <w:rPr>
          <w:color w:val="000000" w:themeColor="text1"/>
          <w:sz w:val="28"/>
          <w:szCs w:val="28"/>
          <w:lang w:val="es-ES"/>
        </w:rPr>
        <w:t xml:space="preserve"> del municipio del Guamo</w:t>
      </w:r>
      <w:r w:rsidR="00567BA3" w:rsidRPr="00B41EAD">
        <w:rPr>
          <w:color w:val="000000" w:themeColor="text1"/>
          <w:sz w:val="28"/>
          <w:szCs w:val="28"/>
          <w:lang w:val="es-ES"/>
        </w:rPr>
        <w:t xml:space="preserve">, </w:t>
      </w:r>
      <w:r w:rsidR="007601A7" w:rsidRPr="00B41EAD">
        <w:rPr>
          <w:color w:val="000000" w:themeColor="text1"/>
          <w:sz w:val="28"/>
          <w:szCs w:val="28"/>
          <w:lang w:val="es-ES"/>
        </w:rPr>
        <w:t xml:space="preserve">Tolima, el grupo especial </w:t>
      </w:r>
      <w:r w:rsidR="00567BA3" w:rsidRPr="00B41EAD">
        <w:rPr>
          <w:color w:val="000000" w:themeColor="text1"/>
          <w:sz w:val="28"/>
          <w:szCs w:val="28"/>
          <w:lang w:val="es-ES"/>
        </w:rPr>
        <w:t xml:space="preserve">denominado </w:t>
      </w:r>
      <w:r w:rsidR="007601A7" w:rsidRPr="00B41EAD">
        <w:rPr>
          <w:i/>
          <w:iCs/>
          <w:color w:val="000000" w:themeColor="text1"/>
          <w:sz w:val="28"/>
          <w:szCs w:val="28"/>
          <w:lang w:val="es-ES"/>
        </w:rPr>
        <w:t>Depredador</w:t>
      </w:r>
      <w:r w:rsidR="00567BA3" w:rsidRPr="00B41EAD">
        <w:rPr>
          <w:color w:val="000000" w:themeColor="text1"/>
          <w:sz w:val="28"/>
          <w:szCs w:val="28"/>
          <w:lang w:val="es-ES"/>
        </w:rPr>
        <w:t>,</w:t>
      </w:r>
      <w:r w:rsidR="007601A7" w:rsidRPr="00B41EAD">
        <w:rPr>
          <w:color w:val="000000" w:themeColor="text1"/>
          <w:sz w:val="28"/>
          <w:szCs w:val="28"/>
          <w:lang w:val="es-ES"/>
        </w:rPr>
        <w:t xml:space="preserve"> adscrito al Batallón Jaime Rooke</w:t>
      </w:r>
      <w:r w:rsidR="00FA2167" w:rsidRPr="00B41EAD">
        <w:rPr>
          <w:color w:val="000000" w:themeColor="text1"/>
          <w:sz w:val="28"/>
          <w:szCs w:val="28"/>
          <w:lang w:val="es-ES"/>
        </w:rPr>
        <w:t xml:space="preserve"> de Ibagué, Tolima,</w:t>
      </w:r>
      <w:r w:rsidR="007601A7" w:rsidRPr="00B41EAD">
        <w:rPr>
          <w:color w:val="000000" w:themeColor="text1"/>
          <w:sz w:val="28"/>
          <w:szCs w:val="28"/>
          <w:lang w:val="es-ES"/>
        </w:rPr>
        <w:t xml:space="preserve"> bajo el mando del </w:t>
      </w:r>
      <w:r w:rsidR="007601A7" w:rsidRPr="00B41EAD">
        <w:rPr>
          <w:i/>
          <w:iCs/>
          <w:color w:val="000000" w:themeColor="text1"/>
          <w:sz w:val="28"/>
          <w:szCs w:val="28"/>
          <w:lang w:val="es-ES"/>
        </w:rPr>
        <w:t>SV. Gonzalo Gómez Rodríguez</w:t>
      </w:r>
      <w:r w:rsidR="007601A7" w:rsidRPr="00B41EAD">
        <w:rPr>
          <w:color w:val="000000" w:themeColor="text1"/>
          <w:sz w:val="28"/>
          <w:szCs w:val="28"/>
          <w:lang w:val="es-ES"/>
        </w:rPr>
        <w:t xml:space="preserve">, llevó a cabo </w:t>
      </w:r>
      <w:r w:rsidR="00FF10A8" w:rsidRPr="00B41EAD">
        <w:rPr>
          <w:color w:val="000000" w:themeColor="text1"/>
          <w:sz w:val="28"/>
          <w:szCs w:val="28"/>
          <w:lang w:val="es-ES"/>
        </w:rPr>
        <w:t>presuntamente l</w:t>
      </w:r>
      <w:r w:rsidR="007601A7" w:rsidRPr="00B41EAD">
        <w:rPr>
          <w:color w:val="000000" w:themeColor="text1"/>
          <w:sz w:val="28"/>
          <w:szCs w:val="28"/>
          <w:lang w:val="es-ES"/>
        </w:rPr>
        <w:t xml:space="preserve">a ejecución extrajudicial de </w:t>
      </w:r>
      <w:r w:rsidR="00F602E7" w:rsidRPr="00B41EAD">
        <w:rPr>
          <w:color w:val="000000" w:themeColor="text1"/>
          <w:sz w:val="28"/>
          <w:szCs w:val="28"/>
          <w:lang w:val="es-ES"/>
        </w:rPr>
        <w:t xml:space="preserve">los señores </w:t>
      </w:r>
      <w:r w:rsidR="007601A7" w:rsidRPr="00B41EAD">
        <w:rPr>
          <w:color w:val="000000" w:themeColor="text1"/>
          <w:sz w:val="28"/>
          <w:szCs w:val="28"/>
          <w:lang w:val="es-ES"/>
        </w:rPr>
        <w:t>Jorge Armando Guevara Pérez</w:t>
      </w:r>
      <w:r w:rsidR="00F602E7" w:rsidRPr="00B41EAD">
        <w:rPr>
          <w:color w:val="000000" w:themeColor="text1"/>
          <w:sz w:val="28"/>
          <w:szCs w:val="28"/>
          <w:lang w:val="es-ES"/>
        </w:rPr>
        <w:t xml:space="preserve"> </w:t>
      </w:r>
      <w:r w:rsidR="007601A7" w:rsidRPr="00B41EAD">
        <w:rPr>
          <w:color w:val="000000" w:themeColor="text1"/>
          <w:sz w:val="28"/>
          <w:szCs w:val="28"/>
          <w:lang w:val="es-ES"/>
        </w:rPr>
        <w:t xml:space="preserve">y Ferney Tabares Cardona, sin que </w:t>
      </w:r>
      <w:r w:rsidR="00F602E7" w:rsidRPr="00B41EAD">
        <w:rPr>
          <w:color w:val="000000" w:themeColor="text1"/>
          <w:sz w:val="28"/>
          <w:szCs w:val="28"/>
          <w:lang w:val="es-ES"/>
        </w:rPr>
        <w:t xml:space="preserve">se </w:t>
      </w:r>
      <w:r w:rsidR="007601A7" w:rsidRPr="00B41EAD">
        <w:rPr>
          <w:color w:val="000000" w:themeColor="text1"/>
          <w:sz w:val="28"/>
          <w:szCs w:val="28"/>
          <w:lang w:val="es-ES"/>
        </w:rPr>
        <w:t xml:space="preserve">hubiera </w:t>
      </w:r>
      <w:r w:rsidR="00F602E7" w:rsidRPr="00B41EAD">
        <w:rPr>
          <w:color w:val="000000" w:themeColor="text1"/>
          <w:sz w:val="28"/>
          <w:szCs w:val="28"/>
          <w:lang w:val="es-ES"/>
        </w:rPr>
        <w:t>presentado un</w:t>
      </w:r>
      <w:r w:rsidR="007601A7" w:rsidRPr="00B41EAD">
        <w:rPr>
          <w:color w:val="000000" w:themeColor="text1"/>
          <w:sz w:val="28"/>
          <w:szCs w:val="28"/>
          <w:lang w:val="es-ES"/>
        </w:rPr>
        <w:t xml:space="preserve"> enfrentamiento </w:t>
      </w:r>
      <w:r w:rsidR="00F602E7" w:rsidRPr="00B41EAD">
        <w:rPr>
          <w:color w:val="000000" w:themeColor="text1"/>
          <w:sz w:val="28"/>
          <w:szCs w:val="28"/>
          <w:lang w:val="es-ES"/>
        </w:rPr>
        <w:t>o</w:t>
      </w:r>
      <w:r w:rsidR="007601A7" w:rsidRPr="00B41EAD">
        <w:rPr>
          <w:color w:val="000000" w:themeColor="text1"/>
          <w:sz w:val="28"/>
          <w:szCs w:val="28"/>
          <w:lang w:val="es-ES"/>
        </w:rPr>
        <w:t xml:space="preserve"> resistencia por parte de las víctimas</w:t>
      </w:r>
      <w:r w:rsidR="0084491D" w:rsidRPr="00B41EAD">
        <w:rPr>
          <w:color w:val="000000" w:themeColor="text1"/>
          <w:sz w:val="28"/>
          <w:szCs w:val="28"/>
          <w:lang w:val="es-ES"/>
        </w:rPr>
        <w:t>. Luego</w:t>
      </w:r>
      <w:r w:rsidR="002C3AF3" w:rsidRPr="00B41EAD">
        <w:rPr>
          <w:color w:val="000000" w:themeColor="text1"/>
          <w:sz w:val="28"/>
          <w:szCs w:val="28"/>
          <w:lang w:val="es-ES"/>
        </w:rPr>
        <w:t>, estas personas fallecidas</w:t>
      </w:r>
      <w:r w:rsidR="00F602E7" w:rsidRPr="00B41EAD">
        <w:rPr>
          <w:color w:val="000000" w:themeColor="text1"/>
          <w:sz w:val="28"/>
          <w:szCs w:val="28"/>
          <w:lang w:val="es-ES"/>
        </w:rPr>
        <w:t xml:space="preserve"> </w:t>
      </w:r>
      <w:r w:rsidR="007601A7" w:rsidRPr="00B41EAD">
        <w:rPr>
          <w:color w:val="000000" w:themeColor="text1"/>
          <w:sz w:val="28"/>
          <w:szCs w:val="28"/>
          <w:lang w:val="es-ES"/>
        </w:rPr>
        <w:t>fueron señaladas como secuestradores dados de baja en combate</w:t>
      </w:r>
      <w:r w:rsidR="00F602E7" w:rsidRPr="00B41EAD">
        <w:rPr>
          <w:rStyle w:val="Refdenotaalpie"/>
          <w:color w:val="000000" w:themeColor="text1"/>
          <w:sz w:val="28"/>
          <w:szCs w:val="28"/>
          <w:lang w:val="es-ES"/>
        </w:rPr>
        <w:footnoteReference w:id="19"/>
      </w:r>
      <w:r w:rsidR="007601A7" w:rsidRPr="00B41EAD">
        <w:rPr>
          <w:color w:val="000000" w:themeColor="text1"/>
          <w:sz w:val="28"/>
          <w:szCs w:val="28"/>
          <w:lang w:val="es-ES"/>
        </w:rPr>
        <w:t xml:space="preserve">. </w:t>
      </w:r>
    </w:p>
    <w:p w14:paraId="5292B40A" w14:textId="77777777" w:rsidR="008022D0" w:rsidRPr="00B41EAD" w:rsidRDefault="008022D0" w:rsidP="008022D0">
      <w:pPr>
        <w:pStyle w:val="Prrafodelista"/>
        <w:ind w:left="0"/>
        <w:jc w:val="both"/>
        <w:rPr>
          <w:color w:val="000000" w:themeColor="text1"/>
          <w:sz w:val="28"/>
          <w:szCs w:val="28"/>
          <w:lang w:val="es-ES"/>
        </w:rPr>
      </w:pPr>
    </w:p>
    <w:p w14:paraId="50AD1DC5" w14:textId="33E872B6" w:rsidR="00FD4108" w:rsidRPr="00B41EAD" w:rsidRDefault="00FD4108">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Investigación penal. </w:t>
      </w:r>
      <w:r w:rsidR="00C714C7" w:rsidRPr="00B41EAD">
        <w:rPr>
          <w:color w:val="000000" w:themeColor="text1"/>
          <w:sz w:val="28"/>
          <w:szCs w:val="28"/>
          <w:lang w:val="es-ES" w:eastAsia="es-CO"/>
        </w:rPr>
        <w:t>Por</w:t>
      </w:r>
      <w:r w:rsidRPr="00B41EAD">
        <w:rPr>
          <w:color w:val="000000" w:themeColor="text1"/>
          <w:sz w:val="28"/>
          <w:szCs w:val="28"/>
          <w:lang w:val="es-ES" w:eastAsia="es-CO"/>
        </w:rPr>
        <w:t xml:space="preserve"> los hechos </w:t>
      </w:r>
      <w:r w:rsidR="00C714C7" w:rsidRPr="00B41EAD">
        <w:rPr>
          <w:color w:val="000000" w:themeColor="text1"/>
          <w:sz w:val="28"/>
          <w:szCs w:val="28"/>
          <w:lang w:val="es-ES" w:eastAsia="es-CO"/>
        </w:rPr>
        <w:t xml:space="preserve">descritos anteriormente, </w:t>
      </w:r>
      <w:r w:rsidRPr="00B41EAD">
        <w:rPr>
          <w:color w:val="000000" w:themeColor="text1"/>
          <w:sz w:val="28"/>
          <w:szCs w:val="28"/>
          <w:lang w:val="es-ES" w:eastAsia="es-CO"/>
        </w:rPr>
        <w:t xml:space="preserve">se inició </w:t>
      </w:r>
      <w:r w:rsidR="00C714C7" w:rsidRPr="00B41EAD">
        <w:rPr>
          <w:color w:val="000000" w:themeColor="text1"/>
          <w:sz w:val="28"/>
          <w:szCs w:val="28"/>
          <w:lang w:val="es-ES" w:eastAsia="es-CO"/>
        </w:rPr>
        <w:t xml:space="preserve">una investigación penal </w:t>
      </w:r>
      <w:r w:rsidRPr="00B41EAD">
        <w:rPr>
          <w:color w:val="000000" w:themeColor="text1"/>
          <w:sz w:val="28"/>
          <w:szCs w:val="28"/>
          <w:lang w:val="es-ES" w:eastAsia="es-CO"/>
        </w:rPr>
        <w:t xml:space="preserve">en la Fiscalía </w:t>
      </w:r>
      <w:r w:rsidR="00FB2A2E" w:rsidRPr="00B41EAD">
        <w:rPr>
          <w:color w:val="000000" w:themeColor="text1"/>
          <w:sz w:val="28"/>
          <w:szCs w:val="28"/>
          <w:lang w:val="es-ES" w:eastAsia="es-CO"/>
        </w:rPr>
        <w:t>No.</w:t>
      </w:r>
      <w:r w:rsidRPr="00B41EAD">
        <w:rPr>
          <w:color w:val="000000" w:themeColor="text1"/>
          <w:sz w:val="28"/>
          <w:szCs w:val="28"/>
          <w:lang w:val="es-ES" w:eastAsia="es-CO"/>
        </w:rPr>
        <w:t xml:space="preserve"> 5 URI del Guamo</w:t>
      </w:r>
      <w:r w:rsidR="00FB2A2E" w:rsidRPr="00B41EAD">
        <w:rPr>
          <w:color w:val="000000" w:themeColor="text1"/>
          <w:sz w:val="28"/>
          <w:szCs w:val="28"/>
          <w:lang w:val="es-ES" w:eastAsia="es-CO"/>
        </w:rPr>
        <w:t>, Tolima,</w:t>
      </w:r>
      <w:r w:rsidRPr="00B41EAD">
        <w:rPr>
          <w:color w:val="000000" w:themeColor="text1"/>
          <w:sz w:val="28"/>
          <w:szCs w:val="28"/>
          <w:lang w:val="es-ES" w:eastAsia="es-CO"/>
        </w:rPr>
        <w:t xml:space="preserve"> </w:t>
      </w:r>
      <w:r w:rsidR="00FB2A2E" w:rsidRPr="00B41EAD">
        <w:rPr>
          <w:color w:val="000000" w:themeColor="text1"/>
          <w:sz w:val="28"/>
          <w:szCs w:val="28"/>
          <w:lang w:val="es-ES" w:eastAsia="es-CO"/>
        </w:rPr>
        <w:t>la cual fue</w:t>
      </w:r>
      <w:r w:rsidRPr="00B41EAD">
        <w:rPr>
          <w:color w:val="000000" w:themeColor="text1"/>
          <w:sz w:val="28"/>
          <w:szCs w:val="28"/>
          <w:lang w:val="es-ES" w:eastAsia="es-CO"/>
        </w:rPr>
        <w:t xml:space="preserve"> remitida al Juzgado 79 de Instrucción Penal Militar de Ibagué,</w:t>
      </w:r>
      <w:r w:rsidR="00FB2A2E" w:rsidRPr="00B41EAD">
        <w:rPr>
          <w:color w:val="000000" w:themeColor="text1"/>
          <w:sz w:val="28"/>
          <w:szCs w:val="28"/>
          <w:lang w:val="es-ES" w:eastAsia="es-CO"/>
        </w:rPr>
        <w:t xml:space="preserve"> Tolima</w:t>
      </w:r>
      <w:r w:rsidR="00AB78ED" w:rsidRPr="00B41EAD">
        <w:rPr>
          <w:color w:val="000000" w:themeColor="text1"/>
          <w:sz w:val="28"/>
          <w:szCs w:val="28"/>
          <w:lang w:val="es-ES" w:eastAsia="es-CO"/>
        </w:rPr>
        <w:t xml:space="preserve">, autoridad que </w:t>
      </w:r>
      <w:r w:rsidR="00A8145E" w:rsidRPr="00B41EAD">
        <w:rPr>
          <w:color w:val="000000" w:themeColor="text1"/>
          <w:sz w:val="28"/>
          <w:szCs w:val="28"/>
          <w:lang w:val="es-ES" w:eastAsia="es-CO"/>
        </w:rPr>
        <w:t xml:space="preserve">inició una indagación preliminar. </w:t>
      </w:r>
      <w:r w:rsidRPr="00B41EAD">
        <w:rPr>
          <w:color w:val="000000" w:themeColor="text1"/>
          <w:sz w:val="28"/>
          <w:szCs w:val="28"/>
          <w:lang w:val="es-ES" w:eastAsia="es-CO"/>
        </w:rPr>
        <w:t xml:space="preserve">Posteriormente, </w:t>
      </w:r>
      <w:r w:rsidR="00F57835" w:rsidRPr="00B41EAD">
        <w:rPr>
          <w:color w:val="000000" w:themeColor="text1"/>
          <w:sz w:val="28"/>
          <w:szCs w:val="28"/>
          <w:lang w:val="es-ES" w:eastAsia="es-CO"/>
        </w:rPr>
        <w:t xml:space="preserve">la investigación penal fue asumida por </w:t>
      </w:r>
      <w:r w:rsidRPr="00B41EAD">
        <w:rPr>
          <w:color w:val="000000" w:themeColor="text1"/>
          <w:sz w:val="28"/>
          <w:szCs w:val="28"/>
          <w:lang w:val="es-ES" w:eastAsia="es-CO"/>
        </w:rPr>
        <w:t xml:space="preserve">la Fiscalía 39 Especializada </w:t>
      </w:r>
      <w:r w:rsidR="008F5565" w:rsidRPr="00B41EAD">
        <w:rPr>
          <w:color w:val="000000" w:themeColor="text1"/>
          <w:sz w:val="28"/>
          <w:szCs w:val="28"/>
          <w:lang w:val="es-ES" w:eastAsia="es-CO"/>
        </w:rPr>
        <w:t>contra las</w:t>
      </w:r>
      <w:r w:rsidRPr="00B41EAD">
        <w:rPr>
          <w:color w:val="000000" w:themeColor="text1"/>
          <w:sz w:val="28"/>
          <w:szCs w:val="28"/>
          <w:lang w:val="es-ES" w:eastAsia="es-CO"/>
        </w:rPr>
        <w:t xml:space="preserve"> Violaciones </w:t>
      </w:r>
      <w:r w:rsidR="008F5565" w:rsidRPr="00B41EAD">
        <w:rPr>
          <w:color w:val="000000" w:themeColor="text1"/>
          <w:sz w:val="28"/>
          <w:szCs w:val="28"/>
          <w:lang w:val="es-ES" w:eastAsia="es-CO"/>
        </w:rPr>
        <w:t>a los</w:t>
      </w:r>
      <w:r w:rsidRPr="00B41EAD">
        <w:rPr>
          <w:color w:val="000000" w:themeColor="text1"/>
          <w:sz w:val="28"/>
          <w:szCs w:val="28"/>
          <w:lang w:val="es-ES" w:eastAsia="es-CO"/>
        </w:rPr>
        <w:t xml:space="preserve"> Derechos Humanos de Bogotá</w:t>
      </w:r>
      <w:r w:rsidR="008F5565" w:rsidRPr="00B41EAD">
        <w:rPr>
          <w:color w:val="000000" w:themeColor="text1"/>
          <w:sz w:val="28"/>
          <w:szCs w:val="28"/>
          <w:lang w:val="es-ES" w:eastAsia="es-CO"/>
        </w:rPr>
        <w:t>.</w:t>
      </w:r>
    </w:p>
    <w:p w14:paraId="1C5BF43F" w14:textId="77777777" w:rsidR="00FD4108" w:rsidRPr="00B41EAD" w:rsidRDefault="00FD4108" w:rsidP="00FD4108">
      <w:pPr>
        <w:pStyle w:val="Prrafodelista"/>
        <w:rPr>
          <w:color w:val="000000" w:themeColor="text1"/>
          <w:sz w:val="28"/>
          <w:szCs w:val="28"/>
          <w:lang w:val="es-ES" w:eastAsia="es-CO"/>
        </w:rPr>
      </w:pPr>
    </w:p>
    <w:p w14:paraId="561F96CC" w14:textId="075177D5" w:rsidR="0012682E" w:rsidRPr="00B41EAD" w:rsidRDefault="00FD410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eastAsia="es-CO"/>
        </w:rPr>
        <w:t xml:space="preserve">En octubre de 2018, </w:t>
      </w:r>
      <w:r w:rsidR="006D596F" w:rsidRPr="00B41EAD">
        <w:rPr>
          <w:color w:val="000000" w:themeColor="text1"/>
          <w:sz w:val="28"/>
          <w:szCs w:val="28"/>
          <w:lang w:val="es-ES" w:eastAsia="es-CO"/>
        </w:rPr>
        <w:t xml:space="preserve">en la audiencia de imputación de cargos contra el señor Rubiel Bustos </w:t>
      </w:r>
      <w:proofErr w:type="spellStart"/>
      <w:r w:rsidR="00380ADA" w:rsidRPr="00B41EAD">
        <w:rPr>
          <w:color w:val="000000" w:themeColor="text1"/>
          <w:sz w:val="28"/>
          <w:szCs w:val="28"/>
          <w:lang w:val="es-ES" w:eastAsia="es-CO"/>
        </w:rPr>
        <w:t>Escárraga</w:t>
      </w:r>
      <w:proofErr w:type="spellEnd"/>
      <w:r w:rsidR="00863AF3" w:rsidRPr="00B41EAD">
        <w:rPr>
          <w:color w:val="000000" w:themeColor="text1"/>
          <w:sz w:val="28"/>
          <w:szCs w:val="28"/>
          <w:lang w:val="es-ES" w:eastAsia="es-CO"/>
        </w:rPr>
        <w:t>,</w:t>
      </w:r>
      <w:r w:rsidR="006D596F" w:rsidRPr="00B41EAD">
        <w:rPr>
          <w:color w:val="000000" w:themeColor="text1"/>
          <w:sz w:val="28"/>
          <w:szCs w:val="28"/>
          <w:lang w:val="es-ES" w:eastAsia="es-CO"/>
        </w:rPr>
        <w:t xml:space="preserve"> </w:t>
      </w:r>
      <w:r w:rsidR="003A7852" w:rsidRPr="00B41EAD">
        <w:rPr>
          <w:color w:val="000000" w:themeColor="text1"/>
          <w:sz w:val="28"/>
          <w:szCs w:val="28"/>
          <w:lang w:val="es-ES" w:eastAsia="es-CO"/>
        </w:rPr>
        <w:t>se</w:t>
      </w:r>
      <w:r w:rsidRPr="00B41EAD">
        <w:rPr>
          <w:color w:val="000000" w:themeColor="text1"/>
          <w:sz w:val="28"/>
          <w:szCs w:val="28"/>
          <w:lang w:val="es-ES" w:eastAsia="es-CO"/>
        </w:rPr>
        <w:t xml:space="preserve"> suscribió un preacuerdo con la Fiscalía por el delito de homicidio en persona protegida, </w:t>
      </w:r>
      <w:r w:rsidR="00D80CB3" w:rsidRPr="00B41EAD">
        <w:rPr>
          <w:color w:val="000000" w:themeColor="text1"/>
          <w:sz w:val="28"/>
          <w:szCs w:val="28"/>
          <w:lang w:val="es-ES" w:eastAsia="es-CO"/>
        </w:rPr>
        <w:t>y en</w:t>
      </w:r>
      <w:r w:rsidRPr="00B41EAD">
        <w:rPr>
          <w:color w:val="000000" w:themeColor="text1"/>
          <w:sz w:val="28"/>
          <w:szCs w:val="28"/>
          <w:lang w:val="es-ES" w:eastAsia="es-CO"/>
        </w:rPr>
        <w:t xml:space="preserve"> marzo de </w:t>
      </w:r>
      <w:r w:rsidR="00FA2FE2" w:rsidRPr="00B41EAD">
        <w:rPr>
          <w:color w:val="000000" w:themeColor="text1"/>
          <w:sz w:val="28"/>
          <w:szCs w:val="28"/>
          <w:lang w:val="es-ES" w:eastAsia="es-CO"/>
        </w:rPr>
        <w:t>2020</w:t>
      </w:r>
      <w:r w:rsidRPr="00B41EAD">
        <w:rPr>
          <w:color w:val="000000" w:themeColor="text1"/>
          <w:sz w:val="28"/>
          <w:szCs w:val="28"/>
          <w:lang w:val="es-ES" w:eastAsia="es-CO"/>
        </w:rPr>
        <w:t xml:space="preserve"> </w:t>
      </w:r>
      <w:r w:rsidR="00D80CB3" w:rsidRPr="00B41EAD">
        <w:rPr>
          <w:color w:val="000000" w:themeColor="text1"/>
          <w:sz w:val="28"/>
          <w:szCs w:val="28"/>
          <w:lang w:val="es-ES" w:eastAsia="es-CO"/>
        </w:rPr>
        <w:t xml:space="preserve">se celebró audiencia de verificación </w:t>
      </w:r>
      <w:proofErr w:type="gramStart"/>
      <w:r w:rsidR="00D80CB3" w:rsidRPr="00B41EAD">
        <w:rPr>
          <w:color w:val="000000" w:themeColor="text1"/>
          <w:sz w:val="28"/>
          <w:szCs w:val="28"/>
          <w:lang w:val="es-ES" w:eastAsia="es-CO"/>
        </w:rPr>
        <w:t>del mismo</w:t>
      </w:r>
      <w:proofErr w:type="gramEnd"/>
      <w:r w:rsidR="00D80CB3" w:rsidRPr="00B41EAD">
        <w:rPr>
          <w:color w:val="000000" w:themeColor="text1"/>
          <w:sz w:val="28"/>
          <w:szCs w:val="28"/>
          <w:lang w:val="es-ES" w:eastAsia="es-CO"/>
        </w:rPr>
        <w:t xml:space="preserve"> ante </w:t>
      </w:r>
      <w:r w:rsidRPr="00B41EAD">
        <w:rPr>
          <w:color w:val="000000" w:themeColor="text1"/>
          <w:sz w:val="28"/>
          <w:szCs w:val="28"/>
          <w:lang w:val="es-ES" w:eastAsia="es-CO"/>
        </w:rPr>
        <w:t xml:space="preserve">el Juzgado Segundo Penal del Circuito de Ibagué, </w:t>
      </w:r>
      <w:r w:rsidR="00F33A90" w:rsidRPr="00B41EAD">
        <w:rPr>
          <w:color w:val="000000" w:themeColor="text1"/>
          <w:sz w:val="28"/>
          <w:szCs w:val="28"/>
          <w:lang w:val="es-ES" w:eastAsia="es-CO"/>
        </w:rPr>
        <w:t>Tolima</w:t>
      </w:r>
      <w:r w:rsidR="00024B47" w:rsidRPr="00B41EAD">
        <w:rPr>
          <w:rStyle w:val="Refdenotaalpie"/>
          <w:color w:val="000000" w:themeColor="text1"/>
          <w:sz w:val="28"/>
          <w:szCs w:val="28"/>
          <w:lang w:val="es-ES" w:eastAsia="es-CO"/>
        </w:rPr>
        <w:footnoteReference w:id="20"/>
      </w:r>
      <w:r w:rsidR="00832022" w:rsidRPr="00B41EAD">
        <w:rPr>
          <w:color w:val="000000" w:themeColor="text1"/>
          <w:sz w:val="28"/>
          <w:szCs w:val="28"/>
          <w:lang w:val="es-ES" w:eastAsia="es-CO"/>
        </w:rPr>
        <w:t xml:space="preserve">. </w:t>
      </w:r>
    </w:p>
    <w:p w14:paraId="14E8E42F" w14:textId="77777777" w:rsidR="0012682E" w:rsidRPr="00B41EAD" w:rsidRDefault="0012682E" w:rsidP="0012682E">
      <w:pPr>
        <w:pStyle w:val="Prrafodelista"/>
        <w:rPr>
          <w:b/>
          <w:bCs/>
          <w:i/>
          <w:iCs/>
          <w:color w:val="000000" w:themeColor="text1"/>
          <w:sz w:val="28"/>
          <w:szCs w:val="28"/>
          <w:lang w:val="es-ES"/>
        </w:rPr>
      </w:pPr>
    </w:p>
    <w:p w14:paraId="254F1A56" w14:textId="6ADC0A3F" w:rsidR="00F16DC5" w:rsidRPr="00B41EAD" w:rsidRDefault="0012682E">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Presentación del medio de control de reparación directa. </w:t>
      </w:r>
      <w:r w:rsidR="00D80CB3" w:rsidRPr="00B41EAD">
        <w:rPr>
          <w:color w:val="000000" w:themeColor="text1"/>
          <w:sz w:val="28"/>
          <w:szCs w:val="28"/>
          <w:lang w:val="es-ES"/>
        </w:rPr>
        <w:t>El</w:t>
      </w:r>
      <w:r w:rsidR="008B40DD" w:rsidRPr="00B41EAD">
        <w:rPr>
          <w:color w:val="000000" w:themeColor="text1"/>
          <w:sz w:val="28"/>
          <w:szCs w:val="28"/>
          <w:lang w:val="es-ES"/>
        </w:rPr>
        <w:t xml:space="preserve"> 29 de mayo de 2019</w:t>
      </w:r>
      <w:r w:rsidR="00D80CB3" w:rsidRPr="00B41EAD">
        <w:rPr>
          <w:rStyle w:val="Refdenotaalpie"/>
          <w:color w:val="000000" w:themeColor="text1"/>
          <w:sz w:val="28"/>
          <w:szCs w:val="28"/>
          <w:lang w:val="es-ES"/>
        </w:rPr>
        <w:footnoteReference w:id="21"/>
      </w:r>
      <w:r w:rsidR="001557C6" w:rsidRPr="00B41EAD">
        <w:rPr>
          <w:color w:val="000000" w:themeColor="text1"/>
          <w:sz w:val="28"/>
          <w:szCs w:val="28"/>
          <w:lang w:val="es-ES"/>
        </w:rPr>
        <w:t>,</w:t>
      </w:r>
      <w:r w:rsidR="008B40DD" w:rsidRPr="00B41EAD">
        <w:rPr>
          <w:color w:val="000000" w:themeColor="text1"/>
          <w:sz w:val="28"/>
          <w:szCs w:val="28"/>
          <w:lang w:val="es-ES"/>
        </w:rPr>
        <w:t xml:space="preserve"> </w:t>
      </w:r>
      <w:r w:rsidR="00F16DC5" w:rsidRPr="00B41EAD">
        <w:rPr>
          <w:color w:val="000000" w:themeColor="text1"/>
          <w:sz w:val="28"/>
          <w:szCs w:val="28"/>
          <w:lang w:val="es-ES"/>
        </w:rPr>
        <w:t xml:space="preserve">Diana Marcela Cortés Herrera, </w:t>
      </w:r>
      <w:r w:rsidR="00B9239C" w:rsidRPr="00B41EAD">
        <w:rPr>
          <w:color w:val="000000" w:themeColor="text1"/>
          <w:sz w:val="28"/>
          <w:szCs w:val="28"/>
          <w:lang w:val="es-ES"/>
        </w:rPr>
        <w:t xml:space="preserve">compañera permanente </w:t>
      </w:r>
      <w:r w:rsidR="001557C6" w:rsidRPr="00B41EAD">
        <w:rPr>
          <w:color w:val="000000" w:themeColor="text1"/>
          <w:sz w:val="28"/>
          <w:szCs w:val="28"/>
          <w:lang w:val="es-ES"/>
        </w:rPr>
        <w:t>de</w:t>
      </w:r>
      <w:r w:rsidR="00B9239C" w:rsidRPr="00B41EAD">
        <w:rPr>
          <w:color w:val="000000" w:themeColor="text1"/>
          <w:sz w:val="28"/>
          <w:szCs w:val="28"/>
          <w:lang w:val="es-ES"/>
        </w:rPr>
        <w:t xml:space="preserve"> Jorge Armando Guevara Pérez, </w:t>
      </w:r>
      <w:r w:rsidR="003F2F5B" w:rsidRPr="00B41EAD">
        <w:rPr>
          <w:color w:val="000000" w:themeColor="text1"/>
          <w:sz w:val="28"/>
          <w:szCs w:val="28"/>
          <w:lang w:val="es-ES"/>
        </w:rPr>
        <w:t xml:space="preserve">actuando </w:t>
      </w:r>
      <w:r w:rsidR="001B7BA6" w:rsidRPr="00B41EAD">
        <w:rPr>
          <w:color w:val="000000" w:themeColor="text1"/>
          <w:sz w:val="28"/>
          <w:szCs w:val="28"/>
          <w:lang w:val="es-ES"/>
        </w:rPr>
        <w:t>en</w:t>
      </w:r>
      <w:r w:rsidR="00F16DC5" w:rsidRPr="00B41EAD">
        <w:rPr>
          <w:color w:val="000000" w:themeColor="text1"/>
          <w:sz w:val="28"/>
          <w:szCs w:val="28"/>
          <w:lang w:val="es-ES"/>
        </w:rPr>
        <w:t xml:space="preserve"> nombre propio y de su menor </w:t>
      </w:r>
      <w:r w:rsidR="00E506D8" w:rsidRPr="00B41EAD">
        <w:rPr>
          <w:color w:val="000000" w:themeColor="text1"/>
          <w:sz w:val="28"/>
          <w:szCs w:val="28"/>
          <w:lang w:val="es-ES"/>
        </w:rPr>
        <w:t>hija</w:t>
      </w:r>
      <w:r w:rsidR="00F16DC5" w:rsidRPr="00B41EAD">
        <w:rPr>
          <w:color w:val="000000" w:themeColor="text1"/>
          <w:sz w:val="28"/>
          <w:szCs w:val="28"/>
          <w:lang w:val="es-ES"/>
        </w:rPr>
        <w:t xml:space="preserve">, </w:t>
      </w:r>
      <w:r w:rsidR="003F2F5B" w:rsidRPr="00B41EAD">
        <w:rPr>
          <w:color w:val="000000" w:themeColor="text1"/>
          <w:sz w:val="28"/>
          <w:szCs w:val="28"/>
          <w:lang w:val="es-ES"/>
        </w:rPr>
        <w:t>presentó mediante apoderado judicial,</w:t>
      </w:r>
      <w:r w:rsidR="00F16DC5" w:rsidRPr="00B41EAD">
        <w:rPr>
          <w:color w:val="000000" w:themeColor="text1"/>
          <w:sz w:val="28"/>
          <w:szCs w:val="28"/>
          <w:lang w:val="es-ES"/>
        </w:rPr>
        <w:t xml:space="preserve"> demanda </w:t>
      </w:r>
      <w:r w:rsidR="003F2F5B" w:rsidRPr="00B41EAD">
        <w:rPr>
          <w:color w:val="000000" w:themeColor="text1"/>
          <w:sz w:val="28"/>
          <w:szCs w:val="28"/>
          <w:lang w:val="es-ES"/>
        </w:rPr>
        <w:t xml:space="preserve">a través </w:t>
      </w:r>
      <w:r w:rsidR="00F16DC5" w:rsidRPr="00B41EAD">
        <w:rPr>
          <w:color w:val="000000" w:themeColor="text1"/>
          <w:sz w:val="28"/>
          <w:szCs w:val="28"/>
          <w:lang w:val="es-ES"/>
        </w:rPr>
        <w:t>de</w:t>
      </w:r>
      <w:r w:rsidR="003F2F5B" w:rsidRPr="00B41EAD">
        <w:rPr>
          <w:color w:val="000000" w:themeColor="text1"/>
          <w:sz w:val="28"/>
          <w:szCs w:val="28"/>
          <w:lang w:val="es-ES"/>
        </w:rPr>
        <w:t>l medio de control de</w:t>
      </w:r>
      <w:r w:rsidR="00F16DC5" w:rsidRPr="00B41EAD">
        <w:rPr>
          <w:color w:val="000000" w:themeColor="text1"/>
          <w:sz w:val="28"/>
          <w:szCs w:val="28"/>
          <w:lang w:val="es-ES"/>
        </w:rPr>
        <w:t xml:space="preserve"> reparación directa contra el Ministerio de Defensa Nacional y el Ejército Nacional, con el fin de que se les declarara responsables por la presunta ejecución extrajudicial de su compañero, la cual habría ocurrido el 30 de marzo de 2008 </w:t>
      </w:r>
      <w:r w:rsidR="001A5838" w:rsidRPr="00B41EAD">
        <w:rPr>
          <w:color w:val="000000" w:themeColor="text1"/>
          <w:sz w:val="28"/>
          <w:szCs w:val="28"/>
          <w:lang w:val="es-ES"/>
        </w:rPr>
        <w:t>por parte d</w:t>
      </w:r>
      <w:r w:rsidR="00F16DC5" w:rsidRPr="00B41EAD">
        <w:rPr>
          <w:color w:val="000000" w:themeColor="text1"/>
          <w:sz w:val="28"/>
          <w:szCs w:val="28"/>
          <w:lang w:val="es-ES"/>
        </w:rPr>
        <w:t>el grupo "Depredador" adscrito al Batallón Jaime Rooke</w:t>
      </w:r>
      <w:r w:rsidR="00A1661D" w:rsidRPr="00B41EAD">
        <w:rPr>
          <w:color w:val="000000" w:themeColor="text1"/>
          <w:sz w:val="28"/>
          <w:szCs w:val="28"/>
          <w:lang w:val="es-ES"/>
        </w:rPr>
        <w:t xml:space="preserve"> del Ejército</w:t>
      </w:r>
      <w:r w:rsidR="00EC5ACA" w:rsidRPr="00B41EAD">
        <w:rPr>
          <w:rStyle w:val="Refdenotaalpie"/>
          <w:color w:val="000000" w:themeColor="text1"/>
          <w:sz w:val="28"/>
          <w:szCs w:val="28"/>
          <w:lang w:val="es-ES"/>
        </w:rPr>
        <w:footnoteReference w:id="22"/>
      </w:r>
      <w:r w:rsidR="00F16DC5" w:rsidRPr="00B41EAD">
        <w:rPr>
          <w:color w:val="000000" w:themeColor="text1"/>
          <w:sz w:val="28"/>
          <w:szCs w:val="28"/>
          <w:lang w:val="es-ES"/>
        </w:rPr>
        <w:t>.</w:t>
      </w:r>
    </w:p>
    <w:p w14:paraId="523E5D71" w14:textId="77777777" w:rsidR="006D5449" w:rsidRPr="00B41EAD" w:rsidRDefault="006D5449" w:rsidP="00EC5ACA">
      <w:pPr>
        <w:rPr>
          <w:color w:val="000000" w:themeColor="text1"/>
          <w:sz w:val="28"/>
          <w:szCs w:val="28"/>
          <w:lang w:val="es-ES"/>
        </w:rPr>
      </w:pPr>
    </w:p>
    <w:p w14:paraId="6FBF38E8" w14:textId="4E0BFFA0" w:rsidR="006D5449" w:rsidRPr="00B41EAD" w:rsidRDefault="006D544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La accionante </w:t>
      </w:r>
      <w:r w:rsidR="008C1E99" w:rsidRPr="00B41EAD">
        <w:rPr>
          <w:color w:val="000000" w:themeColor="text1"/>
          <w:sz w:val="28"/>
          <w:szCs w:val="28"/>
          <w:lang w:val="es-ES"/>
        </w:rPr>
        <w:t>afirmó</w:t>
      </w:r>
      <w:r w:rsidRPr="00B41EAD">
        <w:rPr>
          <w:color w:val="000000" w:themeColor="text1"/>
          <w:sz w:val="28"/>
          <w:szCs w:val="28"/>
          <w:lang w:val="es-ES"/>
        </w:rPr>
        <w:t xml:space="preserve"> que, antes de la operación militar, </w:t>
      </w:r>
      <w:r w:rsidR="00280BFF" w:rsidRPr="00B41EAD">
        <w:rPr>
          <w:color w:val="000000" w:themeColor="text1"/>
          <w:sz w:val="28"/>
          <w:szCs w:val="28"/>
          <w:lang w:val="es-ES"/>
        </w:rPr>
        <w:t xml:space="preserve">miembros de </w:t>
      </w:r>
      <w:r w:rsidRPr="00B41EAD">
        <w:rPr>
          <w:color w:val="000000" w:themeColor="text1"/>
          <w:sz w:val="28"/>
          <w:szCs w:val="28"/>
          <w:lang w:val="es-ES"/>
        </w:rPr>
        <w:t xml:space="preserve">la sección segunda de inteligencia del Ejército Nacional </w:t>
      </w:r>
      <w:r w:rsidR="004E65F9" w:rsidRPr="00B41EAD">
        <w:rPr>
          <w:color w:val="000000" w:themeColor="text1"/>
          <w:sz w:val="28"/>
          <w:szCs w:val="28"/>
          <w:lang w:val="es-ES"/>
        </w:rPr>
        <w:t>le solicitaron</w:t>
      </w:r>
      <w:r w:rsidRPr="00B41EAD">
        <w:rPr>
          <w:color w:val="000000" w:themeColor="text1"/>
          <w:sz w:val="28"/>
          <w:szCs w:val="28"/>
          <w:lang w:val="es-ES"/>
        </w:rPr>
        <w:t xml:space="preserve"> a</w:t>
      </w:r>
      <w:r w:rsidR="004E65F9" w:rsidRPr="00B41EAD">
        <w:rPr>
          <w:color w:val="000000" w:themeColor="text1"/>
          <w:sz w:val="28"/>
          <w:szCs w:val="28"/>
          <w:lang w:val="es-ES"/>
        </w:rPr>
        <w:t>l señor</w:t>
      </w:r>
      <w:r w:rsidRPr="00B41EAD">
        <w:rPr>
          <w:color w:val="000000" w:themeColor="text1"/>
          <w:sz w:val="28"/>
          <w:szCs w:val="28"/>
          <w:lang w:val="es-ES"/>
        </w:rPr>
        <w:t xml:space="preserve"> Luis Jhon Castro Ramírez, alias "el Zarco", miembro desmovilizado del ELN, que </w:t>
      </w:r>
      <w:r w:rsidR="00A1661D" w:rsidRPr="00B41EAD">
        <w:rPr>
          <w:color w:val="000000" w:themeColor="text1"/>
          <w:sz w:val="28"/>
          <w:szCs w:val="28"/>
          <w:lang w:val="es-ES"/>
        </w:rPr>
        <w:t>dirigiera</w:t>
      </w:r>
      <w:r w:rsidR="008C1E99" w:rsidRPr="00B41EAD">
        <w:rPr>
          <w:color w:val="000000" w:themeColor="text1"/>
          <w:sz w:val="28"/>
          <w:szCs w:val="28"/>
          <w:lang w:val="es-ES"/>
        </w:rPr>
        <w:t xml:space="preserve"> </w:t>
      </w:r>
      <w:r w:rsidRPr="00B41EAD">
        <w:rPr>
          <w:color w:val="000000" w:themeColor="text1"/>
          <w:sz w:val="28"/>
          <w:szCs w:val="28"/>
          <w:lang w:val="es-ES"/>
        </w:rPr>
        <w:t>a las víctimas al lugar acordado para</w:t>
      </w:r>
      <w:r w:rsidR="008C1E99" w:rsidRPr="00B41EAD">
        <w:rPr>
          <w:color w:val="000000" w:themeColor="text1"/>
          <w:sz w:val="28"/>
          <w:szCs w:val="28"/>
          <w:lang w:val="es-ES"/>
        </w:rPr>
        <w:t xml:space="preserve"> </w:t>
      </w:r>
      <w:r w:rsidR="00C55336" w:rsidRPr="00B41EAD">
        <w:rPr>
          <w:color w:val="000000" w:themeColor="text1"/>
          <w:sz w:val="28"/>
          <w:szCs w:val="28"/>
          <w:lang w:val="es-ES"/>
        </w:rPr>
        <w:t>que los integrantes del grupo "Depredador"</w:t>
      </w:r>
      <w:r w:rsidR="000573D5" w:rsidRPr="00B41EAD">
        <w:rPr>
          <w:color w:val="000000" w:themeColor="text1"/>
          <w:sz w:val="28"/>
          <w:szCs w:val="28"/>
          <w:lang w:val="es-ES"/>
        </w:rPr>
        <w:t>,</w:t>
      </w:r>
      <w:r w:rsidR="00C55336" w:rsidRPr="00B41EAD">
        <w:rPr>
          <w:color w:val="000000" w:themeColor="text1"/>
          <w:sz w:val="28"/>
          <w:szCs w:val="28"/>
          <w:lang w:val="es-ES"/>
        </w:rPr>
        <w:t xml:space="preserve"> pudiera</w:t>
      </w:r>
      <w:r w:rsidR="000573D5" w:rsidRPr="00B41EAD">
        <w:rPr>
          <w:color w:val="000000" w:themeColor="text1"/>
          <w:sz w:val="28"/>
          <w:szCs w:val="28"/>
          <w:lang w:val="es-ES"/>
        </w:rPr>
        <w:t>n</w:t>
      </w:r>
      <w:r w:rsidR="00C55336" w:rsidRPr="00B41EAD">
        <w:rPr>
          <w:color w:val="000000" w:themeColor="text1"/>
          <w:sz w:val="28"/>
          <w:szCs w:val="28"/>
          <w:lang w:val="es-ES"/>
        </w:rPr>
        <w:t xml:space="preserve"> </w:t>
      </w:r>
      <w:r w:rsidR="001E504F" w:rsidRPr="00B41EAD">
        <w:rPr>
          <w:color w:val="000000" w:themeColor="text1"/>
          <w:sz w:val="28"/>
          <w:szCs w:val="28"/>
          <w:lang w:val="es-ES"/>
        </w:rPr>
        <w:t xml:space="preserve">atacar </w:t>
      </w:r>
      <w:r w:rsidR="00C0764A" w:rsidRPr="00B41EAD">
        <w:rPr>
          <w:color w:val="000000" w:themeColor="text1"/>
          <w:sz w:val="28"/>
          <w:szCs w:val="28"/>
          <w:lang w:val="es-ES"/>
        </w:rPr>
        <w:t>de manera sorpresiva para</w:t>
      </w:r>
      <w:r w:rsidR="001E504F" w:rsidRPr="00B41EAD">
        <w:rPr>
          <w:color w:val="000000" w:themeColor="text1"/>
          <w:sz w:val="28"/>
          <w:szCs w:val="28"/>
          <w:lang w:val="es-ES"/>
        </w:rPr>
        <w:t xml:space="preserve"> presentar </w:t>
      </w:r>
      <w:r w:rsidR="00C0764A" w:rsidRPr="00B41EAD">
        <w:rPr>
          <w:color w:val="000000" w:themeColor="text1"/>
          <w:sz w:val="28"/>
          <w:szCs w:val="28"/>
          <w:lang w:val="es-ES"/>
        </w:rPr>
        <w:t xml:space="preserve">luego </w:t>
      </w:r>
      <w:r w:rsidR="001E504F" w:rsidRPr="00B41EAD">
        <w:rPr>
          <w:color w:val="000000" w:themeColor="text1"/>
          <w:sz w:val="28"/>
          <w:szCs w:val="28"/>
          <w:lang w:val="es-ES"/>
        </w:rPr>
        <w:t>a las víctimas como</w:t>
      </w:r>
      <w:r w:rsidR="00C0764A" w:rsidRPr="00B41EAD">
        <w:rPr>
          <w:color w:val="000000" w:themeColor="text1"/>
          <w:sz w:val="28"/>
          <w:szCs w:val="28"/>
          <w:lang w:val="es-ES"/>
        </w:rPr>
        <w:t xml:space="preserve"> un </w:t>
      </w:r>
      <w:r w:rsidR="008C1E99" w:rsidRPr="00B41EAD">
        <w:rPr>
          <w:color w:val="000000" w:themeColor="text1"/>
          <w:sz w:val="28"/>
          <w:szCs w:val="28"/>
          <w:lang w:val="es-ES"/>
        </w:rPr>
        <w:t>“</w:t>
      </w:r>
      <w:r w:rsidR="00C0764A" w:rsidRPr="00B41EAD">
        <w:rPr>
          <w:color w:val="000000" w:themeColor="text1"/>
          <w:sz w:val="28"/>
          <w:szCs w:val="28"/>
          <w:lang w:val="es-ES"/>
        </w:rPr>
        <w:t>TROFEO</w:t>
      </w:r>
      <w:r w:rsidR="008C1E99" w:rsidRPr="00B41EAD">
        <w:rPr>
          <w:color w:val="000000" w:themeColor="text1"/>
          <w:sz w:val="28"/>
          <w:szCs w:val="28"/>
          <w:lang w:val="es-ES"/>
        </w:rPr>
        <w:t>”</w:t>
      </w:r>
      <w:r w:rsidR="00C0764A" w:rsidRPr="00B41EAD">
        <w:rPr>
          <w:color w:val="000000" w:themeColor="text1"/>
          <w:sz w:val="28"/>
          <w:szCs w:val="28"/>
          <w:lang w:val="es-ES"/>
        </w:rPr>
        <w:t xml:space="preserve">, </w:t>
      </w:r>
      <w:r w:rsidR="00C019EA" w:rsidRPr="00B41EAD">
        <w:rPr>
          <w:color w:val="000000" w:themeColor="text1"/>
          <w:sz w:val="28"/>
          <w:szCs w:val="28"/>
          <w:lang w:val="es-ES"/>
        </w:rPr>
        <w:t>manifestando que eran secuestradores</w:t>
      </w:r>
      <w:r w:rsidR="00C019EA" w:rsidRPr="00B41EAD">
        <w:rPr>
          <w:rStyle w:val="Refdenotaalpie"/>
          <w:color w:val="000000" w:themeColor="text1"/>
          <w:sz w:val="28"/>
          <w:szCs w:val="28"/>
          <w:lang w:val="es-ES"/>
        </w:rPr>
        <w:footnoteReference w:id="23"/>
      </w:r>
      <w:r w:rsidR="00C019EA" w:rsidRPr="00B41EAD">
        <w:rPr>
          <w:color w:val="000000" w:themeColor="text1"/>
          <w:sz w:val="28"/>
          <w:szCs w:val="28"/>
          <w:lang w:val="es-ES"/>
        </w:rPr>
        <w:t>.</w:t>
      </w:r>
    </w:p>
    <w:p w14:paraId="0342180A" w14:textId="77777777" w:rsidR="006D5449" w:rsidRPr="00B41EAD" w:rsidRDefault="006D5449" w:rsidP="00D02675">
      <w:pPr>
        <w:rPr>
          <w:color w:val="000000" w:themeColor="text1"/>
          <w:sz w:val="28"/>
          <w:szCs w:val="28"/>
          <w:lang w:val="es-ES"/>
        </w:rPr>
      </w:pPr>
    </w:p>
    <w:p w14:paraId="5A10E811" w14:textId="0D2FD992" w:rsidR="00890051" w:rsidRPr="00B41EAD" w:rsidRDefault="00D02675">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lastRenderedPageBreak/>
        <w:t xml:space="preserve">Primera instancia en el trámite del medio de control de reparación directa. </w:t>
      </w:r>
      <w:r w:rsidR="00744F67" w:rsidRPr="00B41EAD">
        <w:rPr>
          <w:color w:val="000000" w:themeColor="text1"/>
          <w:sz w:val="28"/>
          <w:szCs w:val="28"/>
          <w:lang w:val="es-ES" w:eastAsia="es-CO"/>
        </w:rPr>
        <w:t xml:space="preserve">El proceso le correspondió por reparto en primera instancia </w:t>
      </w:r>
      <w:r w:rsidR="00744F67" w:rsidRPr="00B41EAD">
        <w:rPr>
          <w:color w:val="000000" w:themeColor="text1"/>
          <w:sz w:val="28"/>
          <w:szCs w:val="28"/>
          <w:lang w:val="es-ES"/>
        </w:rPr>
        <w:t>a</w:t>
      </w:r>
      <w:r w:rsidR="00F16DC5" w:rsidRPr="00B41EAD">
        <w:rPr>
          <w:color w:val="000000" w:themeColor="text1"/>
          <w:sz w:val="28"/>
          <w:szCs w:val="28"/>
          <w:lang w:val="es-ES"/>
        </w:rPr>
        <w:t xml:space="preserve">l Juzgado Tercero Administrativo </w:t>
      </w:r>
      <w:r w:rsidR="00744F67" w:rsidRPr="00B41EAD">
        <w:rPr>
          <w:color w:val="000000" w:themeColor="text1"/>
          <w:sz w:val="28"/>
          <w:szCs w:val="28"/>
          <w:lang w:val="es-ES"/>
        </w:rPr>
        <w:t xml:space="preserve">Oral </w:t>
      </w:r>
      <w:r w:rsidR="00F16DC5" w:rsidRPr="00B41EAD">
        <w:rPr>
          <w:color w:val="000000" w:themeColor="text1"/>
          <w:sz w:val="28"/>
          <w:szCs w:val="28"/>
          <w:lang w:val="es-ES"/>
        </w:rPr>
        <w:t xml:space="preserve">del Circuito de Ibagué, </w:t>
      </w:r>
      <w:r w:rsidR="00221D0C" w:rsidRPr="00B41EAD">
        <w:rPr>
          <w:color w:val="000000" w:themeColor="text1"/>
          <w:sz w:val="28"/>
          <w:szCs w:val="28"/>
          <w:lang w:val="es-ES"/>
        </w:rPr>
        <w:t xml:space="preserve">Tolima. Mediante </w:t>
      </w:r>
      <w:r w:rsidR="00F16DC5" w:rsidRPr="00B41EAD">
        <w:rPr>
          <w:color w:val="000000" w:themeColor="text1"/>
          <w:sz w:val="28"/>
          <w:szCs w:val="28"/>
          <w:lang w:val="es-ES"/>
        </w:rPr>
        <w:t>sentencia del 29 de abril de 2021,</w:t>
      </w:r>
      <w:r w:rsidR="6A1480E0" w:rsidRPr="00B41EAD">
        <w:rPr>
          <w:color w:val="000000" w:themeColor="text1"/>
          <w:sz w:val="28"/>
          <w:szCs w:val="28"/>
          <w:lang w:val="es-ES"/>
        </w:rPr>
        <w:t xml:space="preserve"> </w:t>
      </w:r>
      <w:r w:rsidR="00221D0C" w:rsidRPr="00B41EAD">
        <w:rPr>
          <w:color w:val="000000" w:themeColor="text1"/>
          <w:sz w:val="28"/>
          <w:szCs w:val="28"/>
          <w:lang w:val="es-ES"/>
        </w:rPr>
        <w:t>esta autoridad judicial</w:t>
      </w:r>
      <w:r w:rsidR="00F16DC5" w:rsidRPr="00B41EAD">
        <w:rPr>
          <w:color w:val="000000" w:themeColor="text1"/>
          <w:sz w:val="28"/>
          <w:szCs w:val="28"/>
          <w:lang w:val="es-ES"/>
        </w:rPr>
        <w:t xml:space="preserve"> </w:t>
      </w:r>
      <w:r w:rsidR="00613595" w:rsidRPr="00B41EAD">
        <w:rPr>
          <w:color w:val="000000" w:themeColor="text1"/>
          <w:sz w:val="28"/>
          <w:szCs w:val="28"/>
          <w:lang w:val="es-ES"/>
        </w:rPr>
        <w:t>resolvió, entre otras, declarar responsable</w:t>
      </w:r>
      <w:r w:rsidR="00385F05" w:rsidRPr="00B41EAD">
        <w:rPr>
          <w:color w:val="000000" w:themeColor="text1"/>
          <w:sz w:val="28"/>
          <w:szCs w:val="28"/>
          <w:lang w:val="es-ES"/>
        </w:rPr>
        <w:t xml:space="preserve"> administrativa y patrimonialmente al Ministerio de Defensa y al Ejército Nacional</w:t>
      </w:r>
      <w:r w:rsidR="00D72867" w:rsidRPr="00B41EAD">
        <w:rPr>
          <w:color w:val="000000" w:themeColor="text1"/>
          <w:sz w:val="28"/>
          <w:szCs w:val="28"/>
          <w:lang w:val="es-ES"/>
        </w:rPr>
        <w:t>,</w:t>
      </w:r>
      <w:r w:rsidR="00385F05" w:rsidRPr="00B41EAD">
        <w:rPr>
          <w:color w:val="000000" w:themeColor="text1"/>
          <w:sz w:val="28"/>
          <w:szCs w:val="28"/>
          <w:lang w:val="es-ES"/>
        </w:rPr>
        <w:t xml:space="preserve"> con ocasión de la muerte del señor Jorge Armando Guevara Pérez, </w:t>
      </w:r>
      <w:r w:rsidR="002F0B9D" w:rsidRPr="00B41EAD">
        <w:rPr>
          <w:color w:val="000000" w:themeColor="text1"/>
          <w:sz w:val="28"/>
          <w:szCs w:val="28"/>
          <w:lang w:val="es-ES"/>
        </w:rPr>
        <w:t>la cual</w:t>
      </w:r>
      <w:r w:rsidR="00385F05" w:rsidRPr="00B41EAD">
        <w:rPr>
          <w:color w:val="000000" w:themeColor="text1"/>
          <w:sz w:val="28"/>
          <w:szCs w:val="28"/>
          <w:lang w:val="es-ES"/>
        </w:rPr>
        <w:t xml:space="preserve"> fue producto de una ejecución extrajudicial</w:t>
      </w:r>
      <w:r w:rsidR="00890051" w:rsidRPr="00B41EAD">
        <w:rPr>
          <w:color w:val="000000" w:themeColor="text1"/>
          <w:sz w:val="28"/>
          <w:szCs w:val="28"/>
          <w:lang w:val="es-ES"/>
        </w:rPr>
        <w:t xml:space="preserve">. Por lo anterior, </w:t>
      </w:r>
      <w:r w:rsidR="002F0B9D" w:rsidRPr="00B41EAD">
        <w:rPr>
          <w:color w:val="000000" w:themeColor="text1"/>
          <w:sz w:val="28"/>
          <w:szCs w:val="28"/>
          <w:lang w:val="es-ES"/>
        </w:rPr>
        <w:t xml:space="preserve">se </w:t>
      </w:r>
      <w:r w:rsidR="00890051" w:rsidRPr="00B41EAD">
        <w:rPr>
          <w:color w:val="000000" w:themeColor="text1"/>
          <w:sz w:val="28"/>
          <w:szCs w:val="28"/>
          <w:lang w:val="es-ES"/>
        </w:rPr>
        <w:t>condenó a los demandados al pago de diferentes perjuicios</w:t>
      </w:r>
      <w:r w:rsidR="00890051" w:rsidRPr="00B41EAD">
        <w:rPr>
          <w:rStyle w:val="Refdenotaalpie"/>
          <w:color w:val="000000" w:themeColor="text1"/>
          <w:sz w:val="28"/>
          <w:szCs w:val="28"/>
          <w:lang w:val="es-ES"/>
        </w:rPr>
        <w:footnoteReference w:id="24"/>
      </w:r>
      <w:r w:rsidR="00890051" w:rsidRPr="00B41EAD">
        <w:rPr>
          <w:color w:val="000000" w:themeColor="text1"/>
          <w:sz w:val="28"/>
          <w:szCs w:val="28"/>
          <w:lang w:val="es-ES"/>
        </w:rPr>
        <w:t>.</w:t>
      </w:r>
    </w:p>
    <w:p w14:paraId="78AE2BEA" w14:textId="77777777" w:rsidR="003F517F" w:rsidRPr="00B41EAD" w:rsidRDefault="003F517F" w:rsidP="003F517F">
      <w:pPr>
        <w:pStyle w:val="Prrafodelista"/>
        <w:rPr>
          <w:color w:val="000000" w:themeColor="text1"/>
          <w:sz w:val="28"/>
          <w:szCs w:val="28"/>
          <w:lang w:val="es-ES"/>
        </w:rPr>
      </w:pPr>
    </w:p>
    <w:p w14:paraId="4D7766C3" w14:textId="1F459CB5" w:rsidR="003F517F" w:rsidRPr="00B41EAD" w:rsidRDefault="0024079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Respecto de la caducidad, la autoridad judicial </w:t>
      </w:r>
      <w:r w:rsidR="001D6264" w:rsidRPr="00B41EAD">
        <w:rPr>
          <w:color w:val="000000" w:themeColor="text1"/>
          <w:sz w:val="28"/>
          <w:szCs w:val="28"/>
          <w:lang w:val="es-ES"/>
        </w:rPr>
        <w:t xml:space="preserve">de primera instancia señaló que se apartaría de las reglas establecidas </w:t>
      </w:r>
      <w:r w:rsidR="00CC4A95" w:rsidRPr="00B41EAD">
        <w:rPr>
          <w:color w:val="000000" w:themeColor="text1"/>
          <w:sz w:val="28"/>
          <w:szCs w:val="28"/>
          <w:lang w:val="es-ES"/>
        </w:rPr>
        <w:t>en</w:t>
      </w:r>
      <w:r w:rsidR="001D6264" w:rsidRPr="00B41EAD">
        <w:rPr>
          <w:color w:val="000000" w:themeColor="text1"/>
          <w:sz w:val="28"/>
          <w:szCs w:val="28"/>
          <w:lang w:val="es-ES"/>
        </w:rPr>
        <w:t xml:space="preserve"> la sentencia de </w:t>
      </w:r>
      <w:r w:rsidR="00CC4A95" w:rsidRPr="00B41EAD">
        <w:rPr>
          <w:color w:val="000000" w:themeColor="text1"/>
          <w:sz w:val="28"/>
          <w:szCs w:val="28"/>
          <w:lang w:val="es-ES"/>
        </w:rPr>
        <w:t>unificación del Consejo de Estado de</w:t>
      </w:r>
      <w:r w:rsidR="006144E7" w:rsidRPr="00B41EAD">
        <w:rPr>
          <w:color w:val="000000" w:themeColor="text1"/>
          <w:sz w:val="28"/>
          <w:szCs w:val="28"/>
          <w:lang w:val="es-ES"/>
        </w:rPr>
        <w:t>l 29 de</w:t>
      </w:r>
      <w:r w:rsidR="00A519C5" w:rsidRPr="00B41EAD">
        <w:rPr>
          <w:color w:val="000000" w:themeColor="text1"/>
          <w:sz w:val="28"/>
          <w:szCs w:val="28"/>
          <w:lang w:val="es-ES"/>
        </w:rPr>
        <w:t xml:space="preserve"> enero de 2020, al considerar que constituyen una barrera injusta para el acceso de las víctimas a la administración de justicia</w:t>
      </w:r>
      <w:r w:rsidR="002F238D" w:rsidRPr="00B41EAD">
        <w:rPr>
          <w:color w:val="000000" w:themeColor="text1"/>
          <w:sz w:val="28"/>
          <w:szCs w:val="28"/>
          <w:lang w:val="es-ES"/>
        </w:rPr>
        <w:t>, además de desconocer el bloque de constitucionalidad</w:t>
      </w:r>
      <w:r w:rsidR="00A519C5" w:rsidRPr="00B41EAD">
        <w:rPr>
          <w:rStyle w:val="Refdenotaalpie"/>
          <w:color w:val="000000" w:themeColor="text1"/>
          <w:sz w:val="28"/>
          <w:szCs w:val="28"/>
          <w:lang w:val="es-ES"/>
        </w:rPr>
        <w:footnoteReference w:id="25"/>
      </w:r>
      <w:r w:rsidR="00A519C5" w:rsidRPr="00B41EAD">
        <w:rPr>
          <w:color w:val="000000" w:themeColor="text1"/>
          <w:sz w:val="28"/>
          <w:szCs w:val="28"/>
          <w:lang w:val="es-ES"/>
        </w:rPr>
        <w:t>.</w:t>
      </w:r>
    </w:p>
    <w:p w14:paraId="55A3AFAA" w14:textId="77777777" w:rsidR="00890051" w:rsidRPr="00B41EAD" w:rsidRDefault="00890051" w:rsidP="00890051">
      <w:pPr>
        <w:pStyle w:val="Prrafodelista"/>
        <w:rPr>
          <w:color w:val="000000" w:themeColor="text1"/>
          <w:sz w:val="28"/>
          <w:szCs w:val="28"/>
          <w:lang w:val="es-ES"/>
        </w:rPr>
      </w:pPr>
    </w:p>
    <w:p w14:paraId="494D771B" w14:textId="47CCC339" w:rsidR="00F16DC5" w:rsidRPr="00B41EAD" w:rsidRDefault="002F0B9D" w:rsidP="006144E7">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Recurso de apelación. </w:t>
      </w:r>
      <w:r w:rsidR="0015423A" w:rsidRPr="00B41EAD">
        <w:rPr>
          <w:color w:val="000000" w:themeColor="text1"/>
          <w:sz w:val="28"/>
          <w:szCs w:val="28"/>
          <w:lang w:val="es-ES"/>
        </w:rPr>
        <w:t xml:space="preserve">Por una parte, </w:t>
      </w:r>
      <w:r w:rsidR="004F580F" w:rsidRPr="00B41EAD">
        <w:rPr>
          <w:color w:val="000000" w:themeColor="text1"/>
          <w:sz w:val="28"/>
          <w:szCs w:val="28"/>
          <w:lang w:val="es-ES"/>
        </w:rPr>
        <w:t>los demandados apelaron la sentencia</w:t>
      </w:r>
      <w:r w:rsidR="00F16DC5" w:rsidRPr="00B41EAD">
        <w:rPr>
          <w:color w:val="000000" w:themeColor="text1"/>
          <w:sz w:val="28"/>
          <w:szCs w:val="28"/>
          <w:lang w:val="es-ES"/>
        </w:rPr>
        <w:t>.</w:t>
      </w:r>
      <w:r w:rsidR="004F580F" w:rsidRPr="00B41EAD">
        <w:rPr>
          <w:color w:val="000000" w:themeColor="text1"/>
          <w:sz w:val="28"/>
          <w:szCs w:val="28"/>
          <w:lang w:val="es-ES"/>
        </w:rPr>
        <w:t xml:space="preserve"> </w:t>
      </w:r>
      <w:r w:rsidR="00F7019A" w:rsidRPr="00B41EAD">
        <w:rPr>
          <w:color w:val="000000" w:themeColor="text1"/>
          <w:sz w:val="28"/>
          <w:szCs w:val="28"/>
          <w:lang w:val="es-ES"/>
        </w:rPr>
        <w:t>Indicaron que la providencia</w:t>
      </w:r>
      <w:r w:rsidR="00353D5C" w:rsidRPr="00B41EAD">
        <w:rPr>
          <w:color w:val="000000" w:themeColor="text1"/>
          <w:sz w:val="28"/>
          <w:szCs w:val="28"/>
          <w:lang w:val="es-ES"/>
        </w:rPr>
        <w:t xml:space="preserve"> </w:t>
      </w:r>
      <w:r w:rsidR="000C41F5" w:rsidRPr="00B41EAD">
        <w:rPr>
          <w:color w:val="000000" w:themeColor="text1"/>
          <w:sz w:val="28"/>
          <w:szCs w:val="28"/>
          <w:lang w:val="es-ES"/>
        </w:rPr>
        <w:t>vulneró el principio de congruencia</w:t>
      </w:r>
      <w:r w:rsidR="00315A08" w:rsidRPr="00B41EAD">
        <w:rPr>
          <w:color w:val="000000" w:themeColor="text1"/>
          <w:sz w:val="28"/>
          <w:szCs w:val="28"/>
          <w:lang w:val="es-ES"/>
        </w:rPr>
        <w:t xml:space="preserve"> y solicitaron que se aplique las reglas de unificación </w:t>
      </w:r>
      <w:r w:rsidR="0085435A" w:rsidRPr="00B41EAD">
        <w:rPr>
          <w:color w:val="000000" w:themeColor="text1"/>
          <w:sz w:val="28"/>
          <w:szCs w:val="28"/>
          <w:lang w:val="es-ES"/>
        </w:rPr>
        <w:t>sobre</w:t>
      </w:r>
      <w:r w:rsidR="00315A08" w:rsidRPr="00B41EAD">
        <w:rPr>
          <w:color w:val="000000" w:themeColor="text1"/>
          <w:sz w:val="28"/>
          <w:szCs w:val="28"/>
          <w:lang w:val="es-ES"/>
        </w:rPr>
        <w:t xml:space="preserve"> la materia dictada</w:t>
      </w:r>
      <w:r w:rsidR="0085435A" w:rsidRPr="00B41EAD">
        <w:rPr>
          <w:color w:val="000000" w:themeColor="text1"/>
          <w:sz w:val="28"/>
          <w:szCs w:val="28"/>
          <w:lang w:val="es-ES"/>
        </w:rPr>
        <w:t>s</w:t>
      </w:r>
      <w:r w:rsidR="00315A08" w:rsidRPr="00B41EAD">
        <w:rPr>
          <w:color w:val="000000" w:themeColor="text1"/>
          <w:sz w:val="28"/>
          <w:szCs w:val="28"/>
          <w:lang w:val="es-ES"/>
        </w:rPr>
        <w:t xml:space="preserve"> por el Consejo de Estado</w:t>
      </w:r>
      <w:r w:rsidR="00456AC3" w:rsidRPr="00B41EAD">
        <w:rPr>
          <w:color w:val="000000" w:themeColor="text1"/>
          <w:sz w:val="28"/>
          <w:szCs w:val="28"/>
          <w:lang w:val="es-ES"/>
        </w:rPr>
        <w:t xml:space="preserve">, ya que no se </w:t>
      </w:r>
      <w:r w:rsidR="001450D5" w:rsidRPr="00B41EAD">
        <w:rPr>
          <w:color w:val="000000" w:themeColor="text1"/>
          <w:sz w:val="28"/>
          <w:szCs w:val="28"/>
          <w:lang w:val="es-ES"/>
        </w:rPr>
        <w:t>evidenciaron</w:t>
      </w:r>
      <w:r w:rsidR="00456AC3" w:rsidRPr="00B41EAD">
        <w:rPr>
          <w:color w:val="000000" w:themeColor="text1"/>
          <w:sz w:val="28"/>
          <w:szCs w:val="28"/>
          <w:lang w:val="es-ES"/>
        </w:rPr>
        <w:t xml:space="preserve"> situaciones que hubieran impedido la presentación de la acción dentro del término</w:t>
      </w:r>
      <w:r w:rsidR="007336BD" w:rsidRPr="00B41EAD">
        <w:rPr>
          <w:rStyle w:val="Refdenotaalpie"/>
          <w:color w:val="000000" w:themeColor="text1"/>
          <w:sz w:val="28"/>
          <w:szCs w:val="28"/>
          <w:lang w:val="es-ES"/>
        </w:rPr>
        <w:footnoteReference w:id="26"/>
      </w:r>
      <w:r w:rsidR="00456AC3" w:rsidRPr="00B41EAD">
        <w:rPr>
          <w:color w:val="000000" w:themeColor="text1"/>
          <w:sz w:val="28"/>
          <w:szCs w:val="28"/>
          <w:lang w:val="es-ES"/>
        </w:rPr>
        <w:t xml:space="preserve">. Por otra parte, </w:t>
      </w:r>
      <w:r w:rsidR="007336BD" w:rsidRPr="00B41EAD">
        <w:rPr>
          <w:color w:val="000000" w:themeColor="text1"/>
          <w:sz w:val="28"/>
          <w:szCs w:val="28"/>
          <w:lang w:val="es-ES"/>
        </w:rPr>
        <w:t xml:space="preserve">la demandante también apeló la sentencia. </w:t>
      </w:r>
      <w:r w:rsidR="00543AB8" w:rsidRPr="00B41EAD">
        <w:rPr>
          <w:color w:val="000000" w:themeColor="text1"/>
          <w:sz w:val="28"/>
          <w:szCs w:val="28"/>
          <w:lang w:val="es-ES"/>
        </w:rPr>
        <w:t xml:space="preserve">Solicitó que se declara </w:t>
      </w:r>
      <w:r w:rsidR="002E1A29" w:rsidRPr="00B41EAD">
        <w:rPr>
          <w:color w:val="000000" w:themeColor="text1"/>
          <w:sz w:val="28"/>
          <w:szCs w:val="28"/>
          <w:lang w:val="es-ES"/>
        </w:rPr>
        <w:t>la responsabilidad agravada de los demandados y se</w:t>
      </w:r>
      <w:r w:rsidR="006144E7" w:rsidRPr="00B41EAD">
        <w:rPr>
          <w:color w:val="000000" w:themeColor="text1"/>
          <w:sz w:val="28"/>
          <w:szCs w:val="28"/>
          <w:lang w:val="es-ES"/>
        </w:rPr>
        <w:t xml:space="preserve"> valorara la </w:t>
      </w:r>
      <w:r w:rsidR="00C26BFC" w:rsidRPr="00B41EAD">
        <w:rPr>
          <w:color w:val="000000" w:themeColor="text1"/>
          <w:sz w:val="28"/>
          <w:szCs w:val="28"/>
          <w:lang w:val="es-ES"/>
        </w:rPr>
        <w:t>reparación de ciertos perjuicios</w:t>
      </w:r>
      <w:r w:rsidR="006144E7" w:rsidRPr="00B41EAD">
        <w:rPr>
          <w:color w:val="000000" w:themeColor="text1"/>
          <w:sz w:val="28"/>
          <w:szCs w:val="28"/>
          <w:lang w:val="es-ES"/>
        </w:rPr>
        <w:t xml:space="preserve"> que no fueron considerados en la providencia apelada</w:t>
      </w:r>
      <w:r w:rsidR="001A2629" w:rsidRPr="00B41EAD">
        <w:rPr>
          <w:rStyle w:val="Refdenotaalpie"/>
          <w:color w:val="000000" w:themeColor="text1"/>
          <w:sz w:val="28"/>
          <w:szCs w:val="28"/>
          <w:lang w:val="es-ES"/>
        </w:rPr>
        <w:footnoteReference w:id="27"/>
      </w:r>
      <w:r w:rsidR="001A2629" w:rsidRPr="00B41EAD">
        <w:rPr>
          <w:color w:val="000000" w:themeColor="text1"/>
          <w:sz w:val="28"/>
          <w:szCs w:val="28"/>
          <w:lang w:val="es-ES"/>
        </w:rPr>
        <w:t xml:space="preserve">. </w:t>
      </w:r>
    </w:p>
    <w:p w14:paraId="3BDF309C" w14:textId="77777777" w:rsidR="00F16DC5" w:rsidRPr="00B41EAD" w:rsidRDefault="00F16DC5" w:rsidP="00F16DC5">
      <w:pPr>
        <w:pStyle w:val="Prrafodelista"/>
        <w:rPr>
          <w:color w:val="000000" w:themeColor="text1"/>
          <w:sz w:val="28"/>
          <w:szCs w:val="28"/>
          <w:lang w:val="es-ES"/>
        </w:rPr>
      </w:pPr>
    </w:p>
    <w:p w14:paraId="587F8F39" w14:textId="67A14E33" w:rsidR="00E9653D" w:rsidRPr="00B41EAD" w:rsidRDefault="002F0B9D">
      <w:pPr>
        <w:pStyle w:val="Prrafodelista"/>
        <w:numPr>
          <w:ilvl w:val="0"/>
          <w:numId w:val="2"/>
        </w:numPr>
        <w:ind w:left="0" w:firstLine="0"/>
        <w:jc w:val="both"/>
        <w:rPr>
          <w:color w:val="000000" w:themeColor="text1"/>
          <w:sz w:val="28"/>
          <w:szCs w:val="28"/>
          <w:lang w:val="es-ES"/>
        </w:rPr>
      </w:pPr>
      <w:r w:rsidRPr="00B41EAD">
        <w:rPr>
          <w:b/>
          <w:bCs/>
          <w:i/>
          <w:iCs/>
          <w:color w:val="000000" w:themeColor="text1"/>
          <w:sz w:val="28"/>
          <w:szCs w:val="28"/>
          <w:lang w:val="es-ES"/>
        </w:rPr>
        <w:t xml:space="preserve">Segunda instancia en el trámite del medio de control de reparación directa. </w:t>
      </w:r>
      <w:r w:rsidR="00CA5AF7" w:rsidRPr="00B41EAD">
        <w:rPr>
          <w:color w:val="000000" w:themeColor="text1"/>
          <w:sz w:val="28"/>
          <w:szCs w:val="28"/>
          <w:lang w:val="es-ES"/>
        </w:rPr>
        <w:t>En segunda instancia, e</w:t>
      </w:r>
      <w:r w:rsidR="00F16DC5" w:rsidRPr="00B41EAD">
        <w:rPr>
          <w:color w:val="000000" w:themeColor="text1"/>
          <w:sz w:val="28"/>
          <w:szCs w:val="28"/>
          <w:lang w:val="es-ES"/>
        </w:rPr>
        <w:t xml:space="preserve">l Tribunal Administrativo del Tolima, mediante sentencia del 2 de marzo de 2023, revocó </w:t>
      </w:r>
      <w:r w:rsidR="0047104E" w:rsidRPr="00B41EAD">
        <w:rPr>
          <w:color w:val="000000" w:themeColor="text1"/>
          <w:sz w:val="28"/>
          <w:szCs w:val="28"/>
          <w:lang w:val="es-ES"/>
        </w:rPr>
        <w:t xml:space="preserve">la providencia de primera instancia </w:t>
      </w:r>
      <w:r w:rsidR="00F16DC5" w:rsidRPr="00B41EAD">
        <w:rPr>
          <w:color w:val="000000" w:themeColor="text1"/>
          <w:sz w:val="28"/>
          <w:szCs w:val="28"/>
          <w:lang w:val="es-ES"/>
        </w:rPr>
        <w:t xml:space="preserve">y declaró </w:t>
      </w:r>
      <w:r w:rsidR="0047104E" w:rsidRPr="00B41EAD">
        <w:rPr>
          <w:color w:val="000000" w:themeColor="text1"/>
          <w:sz w:val="28"/>
          <w:szCs w:val="28"/>
          <w:lang w:val="es-ES"/>
        </w:rPr>
        <w:t>de oficio la</w:t>
      </w:r>
      <w:r w:rsidR="00F16DC5" w:rsidRPr="00B41EAD">
        <w:rPr>
          <w:color w:val="000000" w:themeColor="text1"/>
          <w:sz w:val="28"/>
          <w:szCs w:val="28"/>
          <w:lang w:val="es-ES"/>
        </w:rPr>
        <w:t xml:space="preserve"> caducidad</w:t>
      </w:r>
      <w:r w:rsidR="0047104E" w:rsidRPr="00B41EAD">
        <w:rPr>
          <w:color w:val="000000" w:themeColor="text1"/>
          <w:sz w:val="28"/>
          <w:szCs w:val="28"/>
          <w:lang w:val="es-ES"/>
        </w:rPr>
        <w:t xml:space="preserve"> del medio de control</w:t>
      </w:r>
      <w:r w:rsidR="00CB7FDB" w:rsidRPr="00B41EAD">
        <w:rPr>
          <w:color w:val="000000" w:themeColor="text1"/>
          <w:sz w:val="28"/>
          <w:szCs w:val="28"/>
          <w:lang w:val="es-ES"/>
        </w:rPr>
        <w:t xml:space="preserve">. Manifestó </w:t>
      </w:r>
      <w:r w:rsidR="0022281F" w:rsidRPr="00B41EAD">
        <w:rPr>
          <w:color w:val="000000" w:themeColor="text1"/>
          <w:sz w:val="28"/>
          <w:szCs w:val="28"/>
          <w:lang w:val="es-ES"/>
        </w:rPr>
        <w:t xml:space="preserve">que los precedentes de las </w:t>
      </w:r>
      <w:r w:rsidR="006144E7" w:rsidRPr="00B41EAD">
        <w:rPr>
          <w:color w:val="000000" w:themeColor="text1"/>
          <w:sz w:val="28"/>
          <w:szCs w:val="28"/>
          <w:lang w:val="es-ES"/>
        </w:rPr>
        <w:t>a</w:t>
      </w:r>
      <w:r w:rsidR="0022281F" w:rsidRPr="00B41EAD">
        <w:rPr>
          <w:color w:val="000000" w:themeColor="text1"/>
          <w:sz w:val="28"/>
          <w:szCs w:val="28"/>
          <w:lang w:val="es-ES"/>
        </w:rPr>
        <w:t xml:space="preserve">ltas </w:t>
      </w:r>
      <w:r w:rsidR="006144E7" w:rsidRPr="00B41EAD">
        <w:rPr>
          <w:color w:val="000000" w:themeColor="text1"/>
          <w:sz w:val="28"/>
          <w:szCs w:val="28"/>
          <w:lang w:val="es-ES"/>
        </w:rPr>
        <w:t>c</w:t>
      </w:r>
      <w:r w:rsidR="0022281F" w:rsidRPr="00B41EAD">
        <w:rPr>
          <w:color w:val="000000" w:themeColor="text1"/>
          <w:sz w:val="28"/>
          <w:szCs w:val="28"/>
          <w:lang w:val="es-ES"/>
        </w:rPr>
        <w:t xml:space="preserve">ortes buscan garantizar los principios de </w:t>
      </w:r>
      <w:r w:rsidR="00E6727B" w:rsidRPr="00B41EAD">
        <w:rPr>
          <w:color w:val="000000" w:themeColor="text1"/>
          <w:sz w:val="28"/>
          <w:szCs w:val="28"/>
          <w:lang w:val="es-ES"/>
        </w:rPr>
        <w:t xml:space="preserve">igualdad y seguridad jurídica, </w:t>
      </w:r>
      <w:r w:rsidR="00CB7FDB" w:rsidRPr="00B41EAD">
        <w:rPr>
          <w:color w:val="000000" w:themeColor="text1"/>
          <w:sz w:val="28"/>
          <w:szCs w:val="28"/>
          <w:lang w:val="es-ES"/>
        </w:rPr>
        <w:t>que no se</w:t>
      </w:r>
      <w:r w:rsidR="00252D39" w:rsidRPr="00B41EAD">
        <w:rPr>
          <w:color w:val="000000" w:themeColor="text1"/>
          <w:sz w:val="28"/>
          <w:szCs w:val="28"/>
          <w:lang w:val="es-ES"/>
        </w:rPr>
        <w:t xml:space="preserve"> configuraron presupuestos fácticos para inaplicar el término de caducidad y </w:t>
      </w:r>
      <w:r w:rsidR="00E6727B" w:rsidRPr="00B41EAD">
        <w:rPr>
          <w:color w:val="000000" w:themeColor="text1"/>
          <w:sz w:val="28"/>
          <w:szCs w:val="28"/>
          <w:lang w:val="es-ES"/>
        </w:rPr>
        <w:t xml:space="preserve">que </w:t>
      </w:r>
      <w:r w:rsidR="00252D39" w:rsidRPr="00B41EAD">
        <w:rPr>
          <w:color w:val="000000" w:themeColor="text1"/>
          <w:sz w:val="28"/>
          <w:szCs w:val="28"/>
          <w:lang w:val="es-ES"/>
        </w:rPr>
        <w:t xml:space="preserve">tampoco se </w:t>
      </w:r>
      <w:r w:rsidR="00E6727B" w:rsidRPr="00B41EAD">
        <w:rPr>
          <w:color w:val="000000" w:themeColor="text1"/>
          <w:sz w:val="28"/>
          <w:szCs w:val="28"/>
          <w:lang w:val="es-ES"/>
        </w:rPr>
        <w:t>identificaron</w:t>
      </w:r>
      <w:r w:rsidR="00252D39" w:rsidRPr="00B41EAD">
        <w:rPr>
          <w:color w:val="000000" w:themeColor="text1"/>
          <w:sz w:val="28"/>
          <w:szCs w:val="28"/>
          <w:lang w:val="es-ES"/>
        </w:rPr>
        <w:t xml:space="preserve"> situaciones </w:t>
      </w:r>
      <w:r w:rsidR="004C6F7D" w:rsidRPr="00B41EAD">
        <w:rPr>
          <w:color w:val="000000" w:themeColor="text1"/>
          <w:sz w:val="28"/>
          <w:szCs w:val="28"/>
          <w:lang w:val="es-ES"/>
        </w:rPr>
        <w:t xml:space="preserve">válidas </w:t>
      </w:r>
      <w:r w:rsidR="00252D39" w:rsidRPr="00B41EAD">
        <w:rPr>
          <w:color w:val="000000" w:themeColor="text1"/>
          <w:sz w:val="28"/>
          <w:szCs w:val="28"/>
          <w:lang w:val="es-ES"/>
        </w:rPr>
        <w:t>que hubieran impedido la compa</w:t>
      </w:r>
      <w:r w:rsidR="00E01AE9" w:rsidRPr="00B41EAD">
        <w:rPr>
          <w:color w:val="000000" w:themeColor="text1"/>
          <w:sz w:val="28"/>
          <w:szCs w:val="28"/>
          <w:lang w:val="es-ES"/>
        </w:rPr>
        <w:t>recencia ante la administración de justicia</w:t>
      </w:r>
      <w:r w:rsidR="00BB1915" w:rsidRPr="00B41EAD">
        <w:rPr>
          <w:rStyle w:val="Refdenotaalpie"/>
          <w:color w:val="000000" w:themeColor="text1"/>
          <w:sz w:val="28"/>
          <w:szCs w:val="28"/>
          <w:lang w:val="es-ES"/>
        </w:rPr>
        <w:footnoteReference w:id="28"/>
      </w:r>
      <w:r w:rsidR="008C1E99" w:rsidRPr="00B41EAD">
        <w:rPr>
          <w:color w:val="000000" w:themeColor="text1"/>
          <w:sz w:val="28"/>
          <w:szCs w:val="28"/>
          <w:lang w:val="es-ES"/>
        </w:rPr>
        <w:t>.</w:t>
      </w:r>
    </w:p>
    <w:p w14:paraId="510D96F8" w14:textId="77777777" w:rsidR="00D02675" w:rsidRPr="00B41EAD" w:rsidRDefault="00D02675" w:rsidP="0012682E">
      <w:pPr>
        <w:rPr>
          <w:color w:val="000000" w:themeColor="text1"/>
          <w:sz w:val="28"/>
          <w:szCs w:val="28"/>
          <w:lang w:val="es-ES"/>
        </w:rPr>
      </w:pPr>
    </w:p>
    <w:p w14:paraId="4D3D1F18" w14:textId="3241E1C8" w:rsidR="00077A76" w:rsidRPr="00B41EAD" w:rsidRDefault="00077A76" w:rsidP="00077A76">
      <w:pPr>
        <w:pStyle w:val="Ttulo3"/>
        <w:numPr>
          <w:ilvl w:val="0"/>
          <w:numId w:val="0"/>
        </w:numPr>
        <w:rPr>
          <w:color w:val="000000" w:themeColor="text1"/>
          <w:sz w:val="28"/>
          <w:szCs w:val="28"/>
          <w:lang w:val="es-ES"/>
        </w:rPr>
      </w:pPr>
      <w:r w:rsidRPr="00B41EAD">
        <w:rPr>
          <w:color w:val="000000" w:themeColor="text1"/>
          <w:sz w:val="28"/>
          <w:szCs w:val="28"/>
          <w:lang w:val="es-ES"/>
        </w:rPr>
        <w:t>Proceso de tutela</w:t>
      </w:r>
    </w:p>
    <w:p w14:paraId="47B41770" w14:textId="77777777" w:rsidR="00077A76" w:rsidRPr="00B41EAD" w:rsidRDefault="00077A76" w:rsidP="00E9653D">
      <w:pPr>
        <w:pStyle w:val="Prrafodelista"/>
        <w:rPr>
          <w:color w:val="000000" w:themeColor="text1"/>
          <w:sz w:val="28"/>
          <w:szCs w:val="28"/>
          <w:lang w:val="es-ES"/>
        </w:rPr>
      </w:pPr>
    </w:p>
    <w:p w14:paraId="1A174C0A" w14:textId="48ABBB1B" w:rsidR="008E3BF7" w:rsidRPr="00B41EAD" w:rsidRDefault="00800B5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El 28 de abril de 2023</w:t>
      </w:r>
      <w:r w:rsidR="00C10D18" w:rsidRPr="00B41EAD">
        <w:rPr>
          <w:rStyle w:val="Refdenotaalpie"/>
          <w:color w:val="000000" w:themeColor="text1"/>
          <w:sz w:val="28"/>
          <w:szCs w:val="28"/>
          <w:lang w:val="es-ES"/>
        </w:rPr>
        <w:footnoteReference w:id="29"/>
      </w:r>
      <w:r w:rsidRPr="00B41EAD">
        <w:rPr>
          <w:color w:val="000000" w:themeColor="text1"/>
          <w:sz w:val="28"/>
          <w:szCs w:val="28"/>
          <w:lang w:val="es-ES"/>
        </w:rPr>
        <w:t xml:space="preserve">, </w:t>
      </w:r>
      <w:r w:rsidR="00AC4DB1" w:rsidRPr="00B41EAD">
        <w:rPr>
          <w:color w:val="000000" w:themeColor="text1"/>
          <w:sz w:val="28"/>
          <w:szCs w:val="28"/>
          <w:lang w:val="es-ES"/>
        </w:rPr>
        <w:t>Diana Marcela Cortés Herrera, actuando en nombre propio y de su menor hija, presentó mediante apoderado judicial</w:t>
      </w:r>
      <w:r w:rsidR="008E3BF7" w:rsidRPr="00B41EAD">
        <w:rPr>
          <w:color w:val="000000" w:themeColor="text1"/>
          <w:sz w:val="28"/>
          <w:szCs w:val="28"/>
          <w:lang w:val="es-ES"/>
        </w:rPr>
        <w:t>, acción de tutela contra el Tribunal Administrativo del Tolima</w:t>
      </w:r>
      <w:r w:rsidR="00C10D18" w:rsidRPr="00B41EAD">
        <w:rPr>
          <w:color w:val="000000" w:themeColor="text1"/>
          <w:sz w:val="28"/>
          <w:szCs w:val="28"/>
          <w:lang w:val="es-ES"/>
        </w:rPr>
        <w:t>, con ocasión de la sentencia de segunda instancia del 2 de marzo de 2023</w:t>
      </w:r>
      <w:r w:rsidR="007B0EAB" w:rsidRPr="00B41EAD">
        <w:rPr>
          <w:color w:val="000000" w:themeColor="text1"/>
          <w:sz w:val="28"/>
          <w:szCs w:val="28"/>
          <w:lang w:val="es-ES"/>
        </w:rPr>
        <w:t>, proferida dentro de</w:t>
      </w:r>
      <w:r w:rsidR="0065051C" w:rsidRPr="00B41EAD">
        <w:rPr>
          <w:color w:val="000000" w:themeColor="text1"/>
          <w:sz w:val="28"/>
          <w:szCs w:val="28"/>
          <w:lang w:val="es-ES"/>
        </w:rPr>
        <w:t>l proceso de</w:t>
      </w:r>
      <w:r w:rsidR="007B0EAB" w:rsidRPr="00B41EAD">
        <w:rPr>
          <w:color w:val="000000" w:themeColor="text1"/>
          <w:sz w:val="28"/>
          <w:szCs w:val="28"/>
          <w:lang w:val="es-ES"/>
        </w:rPr>
        <w:t xml:space="preserve"> reparación directa, por medio de la cual se declaró de oficio la caducidad del medio </w:t>
      </w:r>
      <w:r w:rsidR="007B0EAB" w:rsidRPr="00B41EAD">
        <w:rPr>
          <w:color w:val="000000" w:themeColor="text1"/>
          <w:sz w:val="28"/>
          <w:szCs w:val="28"/>
          <w:lang w:val="es-ES"/>
        </w:rPr>
        <w:lastRenderedPageBreak/>
        <w:t xml:space="preserve">de control. La acción de tutela fue admitida </w:t>
      </w:r>
      <w:r w:rsidR="006F4A27" w:rsidRPr="00B41EAD">
        <w:rPr>
          <w:color w:val="000000" w:themeColor="text1"/>
          <w:sz w:val="28"/>
          <w:szCs w:val="28"/>
          <w:lang w:val="es-ES"/>
        </w:rPr>
        <w:t>el 4 de mayo de 2023</w:t>
      </w:r>
      <w:r w:rsidR="0065051C" w:rsidRPr="00B41EAD">
        <w:rPr>
          <w:color w:val="000000" w:themeColor="text1"/>
          <w:sz w:val="28"/>
          <w:szCs w:val="28"/>
          <w:lang w:val="es-ES"/>
        </w:rPr>
        <w:t>,</w:t>
      </w:r>
      <w:r w:rsidR="006F4A27" w:rsidRPr="00B41EAD">
        <w:rPr>
          <w:color w:val="000000" w:themeColor="text1"/>
          <w:sz w:val="28"/>
          <w:szCs w:val="28"/>
          <w:lang w:val="es-ES"/>
        </w:rPr>
        <w:t xml:space="preserve"> por la Subsección A de la Sección Segunda del Consejo de Estado</w:t>
      </w:r>
      <w:r w:rsidR="006F4A27" w:rsidRPr="00B41EAD">
        <w:rPr>
          <w:rStyle w:val="Refdenotaalpie"/>
          <w:color w:val="000000" w:themeColor="text1"/>
          <w:sz w:val="28"/>
          <w:szCs w:val="28"/>
          <w:lang w:val="es-ES"/>
        </w:rPr>
        <w:footnoteReference w:id="30"/>
      </w:r>
      <w:r w:rsidR="006F4A27" w:rsidRPr="00B41EAD">
        <w:rPr>
          <w:color w:val="000000" w:themeColor="text1"/>
          <w:sz w:val="28"/>
          <w:szCs w:val="28"/>
          <w:lang w:val="es-ES"/>
        </w:rPr>
        <w:t>.</w:t>
      </w:r>
    </w:p>
    <w:p w14:paraId="6EEFEE4E" w14:textId="77777777" w:rsidR="008E3BF7" w:rsidRPr="00B41EAD" w:rsidRDefault="008E3BF7" w:rsidP="008E3BF7">
      <w:pPr>
        <w:pStyle w:val="Prrafodelista"/>
        <w:ind w:left="0"/>
        <w:jc w:val="both"/>
        <w:rPr>
          <w:color w:val="000000" w:themeColor="text1"/>
          <w:sz w:val="28"/>
          <w:szCs w:val="28"/>
          <w:lang w:val="es-ES"/>
        </w:rPr>
      </w:pPr>
    </w:p>
    <w:p w14:paraId="3B126279" w14:textId="2B6391F8" w:rsidR="00BC25BE" w:rsidRPr="00B41EAD" w:rsidRDefault="009119C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La accionante </w:t>
      </w:r>
      <w:r w:rsidR="00D1722F" w:rsidRPr="00B41EAD">
        <w:rPr>
          <w:color w:val="000000" w:themeColor="text1"/>
          <w:sz w:val="28"/>
          <w:szCs w:val="28"/>
          <w:lang w:val="es-ES"/>
        </w:rPr>
        <w:t>señaló que se vulneraron</w:t>
      </w:r>
      <w:r w:rsidR="00333CE2" w:rsidRPr="00B41EAD">
        <w:rPr>
          <w:color w:val="000000" w:themeColor="text1"/>
          <w:sz w:val="28"/>
          <w:szCs w:val="28"/>
          <w:lang w:val="es-ES"/>
        </w:rPr>
        <w:t xml:space="preserve"> sus derechos </w:t>
      </w:r>
      <w:r w:rsidR="00F16DC5" w:rsidRPr="00B41EAD">
        <w:rPr>
          <w:color w:val="000000" w:themeColor="text1"/>
          <w:sz w:val="28"/>
          <w:szCs w:val="28"/>
          <w:lang w:val="es-ES"/>
        </w:rPr>
        <w:t>fundamentales al debido proceso, al acceso a la administración de justicia</w:t>
      </w:r>
      <w:r w:rsidR="00D1722F" w:rsidRPr="00B41EAD">
        <w:rPr>
          <w:color w:val="000000" w:themeColor="text1"/>
          <w:sz w:val="28"/>
          <w:szCs w:val="28"/>
          <w:lang w:val="es-ES"/>
        </w:rPr>
        <w:t xml:space="preserve"> y a la reparación integral</w:t>
      </w:r>
      <w:r w:rsidR="00145532" w:rsidRPr="00B41EAD">
        <w:rPr>
          <w:color w:val="000000" w:themeColor="text1"/>
          <w:sz w:val="28"/>
          <w:szCs w:val="28"/>
          <w:lang w:val="es-ES"/>
        </w:rPr>
        <w:t xml:space="preserve"> derivada de la responsabilidad patrimonial del Estado</w:t>
      </w:r>
      <w:r w:rsidR="00145532" w:rsidRPr="00B41EAD">
        <w:rPr>
          <w:rStyle w:val="Refdenotaalpie"/>
          <w:color w:val="000000" w:themeColor="text1"/>
          <w:sz w:val="28"/>
          <w:szCs w:val="28"/>
          <w:lang w:val="es-ES"/>
        </w:rPr>
        <w:footnoteReference w:id="31"/>
      </w:r>
      <w:r w:rsidR="00145532" w:rsidRPr="00B41EAD">
        <w:rPr>
          <w:color w:val="000000" w:themeColor="text1"/>
          <w:sz w:val="28"/>
          <w:szCs w:val="28"/>
          <w:lang w:val="es-ES"/>
        </w:rPr>
        <w:t xml:space="preserve">. Asimismo, indicó que la providencia cuestionada </w:t>
      </w:r>
      <w:r w:rsidR="00A1661D" w:rsidRPr="00B41EAD">
        <w:rPr>
          <w:color w:val="000000" w:themeColor="text1"/>
          <w:sz w:val="28"/>
          <w:szCs w:val="28"/>
          <w:lang w:val="es-ES"/>
        </w:rPr>
        <w:t xml:space="preserve">incurrió </w:t>
      </w:r>
      <w:r w:rsidR="008C1E99" w:rsidRPr="00B41EAD">
        <w:rPr>
          <w:color w:val="000000" w:themeColor="text1"/>
          <w:sz w:val="28"/>
          <w:szCs w:val="28"/>
          <w:lang w:val="es-ES"/>
        </w:rPr>
        <w:t>en los siguientes defectos</w:t>
      </w:r>
      <w:r w:rsidR="00145532" w:rsidRPr="00B41EAD">
        <w:rPr>
          <w:rStyle w:val="Refdenotaalpie"/>
          <w:color w:val="000000" w:themeColor="text1"/>
          <w:sz w:val="28"/>
          <w:szCs w:val="28"/>
          <w:lang w:val="es-ES"/>
        </w:rPr>
        <w:footnoteReference w:id="32"/>
      </w:r>
      <w:r w:rsidR="008C1E99" w:rsidRPr="00B41EAD">
        <w:rPr>
          <w:color w:val="000000" w:themeColor="text1"/>
          <w:sz w:val="28"/>
          <w:szCs w:val="28"/>
          <w:lang w:val="es-ES"/>
        </w:rPr>
        <w:t xml:space="preserve">: </w:t>
      </w:r>
    </w:p>
    <w:p w14:paraId="4B587F18" w14:textId="77777777" w:rsidR="00BC25BE" w:rsidRPr="00B41EAD" w:rsidRDefault="00BC25BE" w:rsidP="00BC25BE">
      <w:pPr>
        <w:pStyle w:val="Prrafodelista"/>
        <w:rPr>
          <w:color w:val="000000" w:themeColor="text1"/>
          <w:sz w:val="28"/>
          <w:szCs w:val="28"/>
          <w:lang w:val="es-ES"/>
        </w:rPr>
      </w:pPr>
    </w:p>
    <w:p w14:paraId="0B758C68" w14:textId="5D76A203" w:rsidR="00736411" w:rsidRPr="00B41EAD" w:rsidRDefault="00BC25BE">
      <w:pPr>
        <w:pStyle w:val="Prrafodelista"/>
        <w:numPr>
          <w:ilvl w:val="0"/>
          <w:numId w:val="3"/>
        </w:numPr>
        <w:ind w:left="851" w:firstLine="0"/>
        <w:jc w:val="both"/>
        <w:rPr>
          <w:color w:val="000000" w:themeColor="text1"/>
          <w:sz w:val="28"/>
          <w:szCs w:val="28"/>
          <w:lang w:val="es-ES"/>
        </w:rPr>
      </w:pPr>
      <w:r w:rsidRPr="00B41EAD">
        <w:rPr>
          <w:color w:val="000000" w:themeColor="text1"/>
          <w:sz w:val="28"/>
          <w:szCs w:val="28"/>
          <w:lang w:val="es-ES"/>
        </w:rPr>
        <w:t>D</w:t>
      </w:r>
      <w:r w:rsidR="00F16DC5" w:rsidRPr="00B41EAD">
        <w:rPr>
          <w:color w:val="000000" w:themeColor="text1"/>
          <w:sz w:val="28"/>
          <w:szCs w:val="28"/>
          <w:lang w:val="es-ES"/>
        </w:rPr>
        <w:t xml:space="preserve">esconocimiento del precedente </w:t>
      </w:r>
      <w:r w:rsidR="008C1E99" w:rsidRPr="00B41EAD">
        <w:rPr>
          <w:color w:val="000000" w:themeColor="text1"/>
          <w:sz w:val="28"/>
          <w:szCs w:val="28"/>
          <w:lang w:val="es-ES"/>
        </w:rPr>
        <w:t xml:space="preserve">contenido en la </w:t>
      </w:r>
      <w:r w:rsidR="00F16DC5" w:rsidRPr="00B41EAD">
        <w:rPr>
          <w:color w:val="000000" w:themeColor="text1"/>
          <w:sz w:val="28"/>
          <w:szCs w:val="28"/>
          <w:lang w:val="es-ES"/>
        </w:rPr>
        <w:t xml:space="preserve">sentencia </w:t>
      </w:r>
      <w:r w:rsidR="008C1E99" w:rsidRPr="00B41EAD">
        <w:rPr>
          <w:color w:val="000000" w:themeColor="text1"/>
          <w:sz w:val="28"/>
          <w:szCs w:val="28"/>
          <w:lang w:val="es-ES"/>
        </w:rPr>
        <w:t xml:space="preserve">del </w:t>
      </w:r>
      <w:r w:rsidR="00F16DC5" w:rsidRPr="00B41EAD">
        <w:rPr>
          <w:color w:val="000000" w:themeColor="text1"/>
          <w:sz w:val="28"/>
          <w:szCs w:val="28"/>
          <w:lang w:val="es-ES"/>
        </w:rPr>
        <w:t xml:space="preserve">30 de agosto de </w:t>
      </w:r>
      <w:r w:rsidR="00665F7C" w:rsidRPr="00B41EAD">
        <w:rPr>
          <w:color w:val="000000" w:themeColor="text1"/>
          <w:sz w:val="28"/>
          <w:szCs w:val="28"/>
          <w:lang w:val="es-ES"/>
        </w:rPr>
        <w:t>2021,</w:t>
      </w:r>
      <w:r w:rsidR="00F16DC5" w:rsidRPr="00B41EAD">
        <w:rPr>
          <w:color w:val="000000" w:themeColor="text1"/>
          <w:sz w:val="28"/>
          <w:szCs w:val="28"/>
          <w:lang w:val="es-ES"/>
        </w:rPr>
        <w:t xml:space="preserve"> </w:t>
      </w:r>
      <w:r w:rsidR="008C1E99" w:rsidRPr="00B41EAD">
        <w:rPr>
          <w:color w:val="000000" w:themeColor="text1"/>
          <w:sz w:val="28"/>
          <w:szCs w:val="28"/>
          <w:lang w:val="es-ES"/>
        </w:rPr>
        <w:t xml:space="preserve">emitida </w:t>
      </w:r>
      <w:r w:rsidR="00F16DC5" w:rsidRPr="00B41EAD">
        <w:rPr>
          <w:color w:val="000000" w:themeColor="text1"/>
          <w:sz w:val="28"/>
          <w:szCs w:val="28"/>
          <w:lang w:val="es-ES"/>
        </w:rPr>
        <w:t xml:space="preserve">por </w:t>
      </w:r>
      <w:r w:rsidR="00665F7C" w:rsidRPr="00B41EAD">
        <w:rPr>
          <w:color w:val="000000" w:themeColor="text1"/>
          <w:sz w:val="28"/>
          <w:szCs w:val="28"/>
          <w:lang w:val="es-ES"/>
        </w:rPr>
        <w:t>la Subsección B de la Sección Tercera del</w:t>
      </w:r>
      <w:r w:rsidR="00F16DC5" w:rsidRPr="00B41EAD">
        <w:rPr>
          <w:color w:val="000000" w:themeColor="text1"/>
          <w:sz w:val="28"/>
          <w:szCs w:val="28"/>
          <w:lang w:val="es-ES"/>
        </w:rPr>
        <w:t xml:space="preserve"> Consejo de Estado</w:t>
      </w:r>
      <w:r w:rsidR="005F6D19" w:rsidRPr="00B41EAD">
        <w:rPr>
          <w:rStyle w:val="Refdenotaalpie"/>
          <w:color w:val="000000" w:themeColor="text1"/>
          <w:sz w:val="28"/>
          <w:szCs w:val="28"/>
          <w:lang w:val="es-ES"/>
        </w:rPr>
        <w:footnoteReference w:id="33"/>
      </w:r>
      <w:r w:rsidR="00F16DC5" w:rsidRPr="00B41EAD">
        <w:rPr>
          <w:color w:val="000000" w:themeColor="text1"/>
          <w:sz w:val="28"/>
          <w:szCs w:val="28"/>
          <w:lang w:val="es-ES"/>
        </w:rPr>
        <w:t xml:space="preserve">, </w:t>
      </w:r>
      <w:r w:rsidR="00DB0032" w:rsidRPr="00B41EAD">
        <w:rPr>
          <w:color w:val="000000" w:themeColor="text1"/>
          <w:sz w:val="28"/>
          <w:szCs w:val="28"/>
          <w:lang w:val="es-ES"/>
        </w:rPr>
        <w:t xml:space="preserve">frente </w:t>
      </w:r>
      <w:r w:rsidR="008940A5" w:rsidRPr="00B41EAD">
        <w:rPr>
          <w:color w:val="000000" w:themeColor="text1"/>
          <w:sz w:val="28"/>
          <w:szCs w:val="28"/>
          <w:lang w:val="es-ES"/>
        </w:rPr>
        <w:t xml:space="preserve">a la aplicación más garantista </w:t>
      </w:r>
      <w:r w:rsidR="009E35FB" w:rsidRPr="00B41EAD">
        <w:rPr>
          <w:color w:val="000000" w:themeColor="text1"/>
          <w:sz w:val="28"/>
          <w:szCs w:val="28"/>
          <w:lang w:val="es-ES"/>
        </w:rPr>
        <w:t xml:space="preserve">del término de la caducidad en relación con graves violaciones de derechos humanos </w:t>
      </w:r>
      <w:r w:rsidR="00F16DC5" w:rsidRPr="00B41EAD">
        <w:rPr>
          <w:color w:val="000000" w:themeColor="text1"/>
          <w:sz w:val="28"/>
          <w:szCs w:val="28"/>
          <w:lang w:val="es-ES"/>
        </w:rPr>
        <w:t xml:space="preserve">y en la </w:t>
      </w:r>
      <w:r w:rsidR="00E9653D" w:rsidRPr="00B41EAD">
        <w:rPr>
          <w:color w:val="000000" w:themeColor="text1"/>
          <w:sz w:val="28"/>
          <w:szCs w:val="28"/>
          <w:lang w:val="es-ES"/>
        </w:rPr>
        <w:t xml:space="preserve">sentencia </w:t>
      </w:r>
      <w:r w:rsidR="00F16DC5" w:rsidRPr="00B41EAD">
        <w:rPr>
          <w:color w:val="000000" w:themeColor="text1"/>
          <w:sz w:val="28"/>
          <w:szCs w:val="28"/>
          <w:lang w:val="es-ES"/>
        </w:rPr>
        <w:t>SU-060 de 2021 de la Corte Constitucional</w:t>
      </w:r>
      <w:r w:rsidR="00CA6BC5" w:rsidRPr="00B41EAD">
        <w:rPr>
          <w:color w:val="000000" w:themeColor="text1"/>
          <w:sz w:val="28"/>
          <w:szCs w:val="28"/>
          <w:lang w:val="es-ES"/>
        </w:rPr>
        <w:t>, respecto de la flexibilización del estándar de la valoración probatoria en casos de violaciones de derechos humanos</w:t>
      </w:r>
      <w:r w:rsidRPr="00B41EAD">
        <w:rPr>
          <w:color w:val="000000" w:themeColor="text1"/>
          <w:sz w:val="28"/>
          <w:szCs w:val="28"/>
          <w:lang w:val="es-ES"/>
        </w:rPr>
        <w:t xml:space="preserve">. </w:t>
      </w:r>
    </w:p>
    <w:p w14:paraId="62A668F9" w14:textId="77777777" w:rsidR="00736411" w:rsidRPr="00B41EAD" w:rsidRDefault="00736411" w:rsidP="00C23E34">
      <w:pPr>
        <w:pStyle w:val="Prrafodelista"/>
        <w:ind w:left="851"/>
        <w:jc w:val="both"/>
        <w:rPr>
          <w:color w:val="000000" w:themeColor="text1"/>
          <w:sz w:val="28"/>
          <w:szCs w:val="28"/>
          <w:lang w:val="es-ES"/>
        </w:rPr>
      </w:pPr>
    </w:p>
    <w:p w14:paraId="212ECE8A" w14:textId="6FF3EB92" w:rsidR="00736411" w:rsidRPr="00B41EAD" w:rsidRDefault="00BC25BE">
      <w:pPr>
        <w:pStyle w:val="Prrafodelista"/>
        <w:numPr>
          <w:ilvl w:val="0"/>
          <w:numId w:val="3"/>
        </w:numPr>
        <w:ind w:left="851" w:firstLine="0"/>
        <w:jc w:val="both"/>
        <w:rPr>
          <w:color w:val="000000" w:themeColor="text1"/>
          <w:sz w:val="28"/>
          <w:szCs w:val="28"/>
          <w:lang w:val="es-ES"/>
        </w:rPr>
      </w:pPr>
      <w:r w:rsidRPr="00B41EAD">
        <w:rPr>
          <w:color w:val="000000" w:themeColor="text1"/>
          <w:sz w:val="28"/>
          <w:szCs w:val="28"/>
          <w:lang w:val="es-ES"/>
        </w:rPr>
        <w:t>D</w:t>
      </w:r>
      <w:r w:rsidR="00F16DC5" w:rsidRPr="00B41EAD">
        <w:rPr>
          <w:color w:val="000000" w:themeColor="text1"/>
          <w:sz w:val="28"/>
          <w:szCs w:val="28"/>
          <w:lang w:val="es-ES"/>
        </w:rPr>
        <w:t>efecto fáctico derivado de una valoración inadecuada de las pruebas</w:t>
      </w:r>
      <w:r w:rsidR="0019195A" w:rsidRPr="00B41EAD">
        <w:rPr>
          <w:color w:val="000000" w:themeColor="text1"/>
          <w:sz w:val="28"/>
          <w:szCs w:val="28"/>
          <w:lang w:val="es-ES"/>
        </w:rPr>
        <w:t>. Un análisis correcto</w:t>
      </w:r>
      <w:r w:rsidR="00F16DC5" w:rsidRPr="00B41EAD">
        <w:rPr>
          <w:color w:val="000000" w:themeColor="text1"/>
          <w:sz w:val="28"/>
          <w:szCs w:val="28"/>
          <w:lang w:val="es-ES"/>
        </w:rPr>
        <w:t xml:space="preserve"> </w:t>
      </w:r>
      <w:r w:rsidR="00036F52" w:rsidRPr="00B41EAD">
        <w:rPr>
          <w:color w:val="000000" w:themeColor="text1"/>
          <w:sz w:val="28"/>
          <w:szCs w:val="28"/>
          <w:lang w:val="es-ES"/>
        </w:rPr>
        <w:t>conduciría a inferir razonablemente</w:t>
      </w:r>
      <w:r w:rsidRPr="00B41EAD">
        <w:rPr>
          <w:color w:val="000000" w:themeColor="text1"/>
          <w:sz w:val="28"/>
          <w:szCs w:val="28"/>
          <w:lang w:val="es-ES"/>
        </w:rPr>
        <w:t xml:space="preserve"> </w:t>
      </w:r>
      <w:r w:rsidR="00F16DC5" w:rsidRPr="00B41EAD">
        <w:rPr>
          <w:color w:val="000000" w:themeColor="text1"/>
          <w:sz w:val="28"/>
          <w:szCs w:val="28"/>
          <w:lang w:val="es-ES"/>
        </w:rPr>
        <w:t xml:space="preserve">que el homicidio de Jorge Armando Guevara Pérez por </w:t>
      </w:r>
      <w:r w:rsidR="00C20DED" w:rsidRPr="00B41EAD">
        <w:rPr>
          <w:color w:val="000000" w:themeColor="text1"/>
          <w:sz w:val="28"/>
          <w:szCs w:val="28"/>
          <w:lang w:val="es-ES"/>
        </w:rPr>
        <w:t xml:space="preserve">parte de </w:t>
      </w:r>
      <w:r w:rsidR="00F16DC5" w:rsidRPr="00B41EAD">
        <w:rPr>
          <w:color w:val="000000" w:themeColor="text1"/>
          <w:sz w:val="28"/>
          <w:szCs w:val="28"/>
          <w:lang w:val="es-ES"/>
        </w:rPr>
        <w:t xml:space="preserve">miembros del Ejército </w:t>
      </w:r>
      <w:r w:rsidR="006A43B0" w:rsidRPr="00B41EAD">
        <w:rPr>
          <w:color w:val="000000" w:themeColor="text1"/>
          <w:sz w:val="28"/>
          <w:szCs w:val="28"/>
          <w:lang w:val="es-ES"/>
        </w:rPr>
        <w:t>Nacional</w:t>
      </w:r>
      <w:r w:rsidR="00F16DC5" w:rsidRPr="00B41EAD">
        <w:rPr>
          <w:color w:val="000000" w:themeColor="text1"/>
          <w:sz w:val="28"/>
          <w:szCs w:val="28"/>
          <w:lang w:val="es-ES"/>
        </w:rPr>
        <w:t xml:space="preserve"> </w:t>
      </w:r>
      <w:r w:rsidR="00C20DED" w:rsidRPr="00B41EAD">
        <w:rPr>
          <w:color w:val="000000" w:themeColor="text1"/>
          <w:sz w:val="28"/>
          <w:szCs w:val="28"/>
          <w:lang w:val="es-ES"/>
        </w:rPr>
        <w:t>configura un</w:t>
      </w:r>
      <w:r w:rsidR="00F16DC5" w:rsidRPr="00B41EAD">
        <w:rPr>
          <w:color w:val="000000" w:themeColor="text1"/>
          <w:sz w:val="28"/>
          <w:szCs w:val="28"/>
          <w:lang w:val="es-ES"/>
        </w:rPr>
        <w:t xml:space="preserve"> </w:t>
      </w:r>
      <w:r w:rsidR="00C20DED" w:rsidRPr="00B41EAD">
        <w:rPr>
          <w:color w:val="000000" w:themeColor="text1"/>
          <w:sz w:val="28"/>
          <w:szCs w:val="28"/>
          <w:lang w:val="es-ES"/>
        </w:rPr>
        <w:t>delito</w:t>
      </w:r>
      <w:r w:rsidR="00F16DC5" w:rsidRPr="00B41EAD">
        <w:rPr>
          <w:color w:val="000000" w:themeColor="text1"/>
          <w:sz w:val="28"/>
          <w:szCs w:val="28"/>
          <w:lang w:val="es-ES"/>
        </w:rPr>
        <w:t xml:space="preserve"> de lesa humanidad</w:t>
      </w:r>
      <w:r w:rsidR="00C20DED" w:rsidRPr="00B41EAD">
        <w:rPr>
          <w:color w:val="000000" w:themeColor="text1"/>
          <w:sz w:val="28"/>
          <w:szCs w:val="28"/>
          <w:lang w:val="es-ES"/>
        </w:rPr>
        <w:t>,</w:t>
      </w:r>
      <w:r w:rsidRPr="00B41EAD">
        <w:rPr>
          <w:color w:val="000000" w:themeColor="text1"/>
          <w:sz w:val="28"/>
          <w:szCs w:val="28"/>
          <w:lang w:val="es-ES"/>
        </w:rPr>
        <w:t xml:space="preserve"> </w:t>
      </w:r>
      <w:r w:rsidR="00C20DED" w:rsidRPr="00B41EAD">
        <w:rPr>
          <w:color w:val="000000" w:themeColor="text1"/>
          <w:sz w:val="28"/>
          <w:szCs w:val="28"/>
          <w:lang w:val="es-ES"/>
        </w:rPr>
        <w:t xml:space="preserve">lo que le otorga un tratamiento especial. Además, porque </w:t>
      </w:r>
      <w:r w:rsidR="004C450E" w:rsidRPr="00B41EAD">
        <w:rPr>
          <w:color w:val="000000" w:themeColor="text1"/>
          <w:sz w:val="28"/>
          <w:szCs w:val="28"/>
          <w:lang w:val="es-ES"/>
        </w:rPr>
        <w:t>el análisis probatorio efectuado no se realizó correctamente d</w:t>
      </w:r>
      <w:r w:rsidR="00B94110" w:rsidRPr="00B41EAD">
        <w:rPr>
          <w:color w:val="000000" w:themeColor="text1"/>
          <w:sz w:val="28"/>
          <w:szCs w:val="28"/>
          <w:lang w:val="es-ES"/>
        </w:rPr>
        <w:t xml:space="preserve">e cara al parámetro establecido en la sentencia de unificación del Consejo de Estado, que permitía </w:t>
      </w:r>
      <w:r w:rsidR="003050D4" w:rsidRPr="00B41EAD">
        <w:rPr>
          <w:color w:val="000000" w:themeColor="text1"/>
          <w:sz w:val="28"/>
          <w:szCs w:val="28"/>
          <w:lang w:val="es-ES"/>
        </w:rPr>
        <w:t xml:space="preserve">reconocer </w:t>
      </w:r>
      <w:r w:rsidR="00396C00" w:rsidRPr="00B41EAD">
        <w:rPr>
          <w:color w:val="000000" w:themeColor="text1"/>
          <w:sz w:val="28"/>
          <w:szCs w:val="28"/>
          <w:lang w:val="es-ES"/>
        </w:rPr>
        <w:t xml:space="preserve">que los demandantes del proceso de reparación directa solo se enteraron de </w:t>
      </w:r>
      <w:r w:rsidR="0006343F" w:rsidRPr="00B41EAD">
        <w:rPr>
          <w:color w:val="000000" w:themeColor="text1"/>
          <w:sz w:val="28"/>
          <w:szCs w:val="28"/>
          <w:lang w:val="es-ES"/>
        </w:rPr>
        <w:t>la operación militar irregular, a tra</w:t>
      </w:r>
      <w:r w:rsidR="004F5608" w:rsidRPr="00B41EAD">
        <w:rPr>
          <w:color w:val="000000" w:themeColor="text1"/>
          <w:sz w:val="28"/>
          <w:szCs w:val="28"/>
          <w:lang w:val="es-ES"/>
        </w:rPr>
        <w:t xml:space="preserve">vés de los resultados de la investigación penal ordinaria, lo que </w:t>
      </w:r>
      <w:r w:rsidR="00ED5591" w:rsidRPr="00B41EAD">
        <w:rPr>
          <w:color w:val="000000" w:themeColor="text1"/>
          <w:sz w:val="28"/>
          <w:szCs w:val="28"/>
          <w:lang w:val="es-ES"/>
        </w:rPr>
        <w:t>con</w:t>
      </w:r>
      <w:r w:rsidR="004F5608" w:rsidRPr="00B41EAD">
        <w:rPr>
          <w:color w:val="000000" w:themeColor="text1"/>
          <w:sz w:val="28"/>
          <w:szCs w:val="28"/>
          <w:lang w:val="es-ES"/>
        </w:rPr>
        <w:t>llevaba a tomar una fecha distinta para el conteo del término.</w:t>
      </w:r>
      <w:r w:rsidR="00E9653D" w:rsidRPr="00B41EAD">
        <w:rPr>
          <w:color w:val="000000" w:themeColor="text1"/>
          <w:sz w:val="28"/>
          <w:szCs w:val="28"/>
          <w:lang w:val="es-ES"/>
        </w:rPr>
        <w:t xml:space="preserve"> </w:t>
      </w:r>
    </w:p>
    <w:p w14:paraId="1BB63909" w14:textId="77777777" w:rsidR="00736411" w:rsidRPr="00B41EAD" w:rsidRDefault="00736411" w:rsidP="00C23E34">
      <w:pPr>
        <w:pStyle w:val="Prrafodelista"/>
        <w:ind w:left="851"/>
        <w:rPr>
          <w:color w:val="000000" w:themeColor="text1"/>
          <w:sz w:val="28"/>
          <w:szCs w:val="28"/>
          <w:lang w:val="es-ES"/>
        </w:rPr>
      </w:pPr>
    </w:p>
    <w:p w14:paraId="350F977E" w14:textId="25493981" w:rsidR="00F16DC5" w:rsidRPr="00B41EAD" w:rsidRDefault="00BC25BE">
      <w:pPr>
        <w:pStyle w:val="Prrafodelista"/>
        <w:numPr>
          <w:ilvl w:val="0"/>
          <w:numId w:val="3"/>
        </w:numPr>
        <w:ind w:left="851" w:firstLine="0"/>
        <w:jc w:val="both"/>
        <w:rPr>
          <w:color w:val="000000" w:themeColor="text1"/>
          <w:sz w:val="28"/>
          <w:szCs w:val="28"/>
          <w:lang w:val="es-ES"/>
        </w:rPr>
      </w:pPr>
      <w:r w:rsidRPr="00B41EAD">
        <w:rPr>
          <w:color w:val="000000" w:themeColor="text1"/>
          <w:sz w:val="28"/>
          <w:szCs w:val="28"/>
          <w:lang w:val="es-ES"/>
        </w:rPr>
        <w:t>D</w:t>
      </w:r>
      <w:r w:rsidR="00F16DC5" w:rsidRPr="00B41EAD">
        <w:rPr>
          <w:color w:val="000000" w:themeColor="text1"/>
          <w:sz w:val="28"/>
          <w:szCs w:val="28"/>
          <w:lang w:val="es-ES"/>
        </w:rPr>
        <w:t xml:space="preserve">efecto sustantivo </w:t>
      </w:r>
      <w:r w:rsidR="0045666B" w:rsidRPr="00B41EAD">
        <w:rPr>
          <w:color w:val="000000" w:themeColor="text1"/>
          <w:sz w:val="28"/>
          <w:szCs w:val="28"/>
          <w:lang w:val="es-ES"/>
        </w:rPr>
        <w:t xml:space="preserve">por </w:t>
      </w:r>
      <w:r w:rsidR="001538A8" w:rsidRPr="00B41EAD">
        <w:rPr>
          <w:color w:val="000000" w:themeColor="text1"/>
          <w:sz w:val="28"/>
          <w:szCs w:val="28"/>
          <w:lang w:val="es-ES"/>
        </w:rPr>
        <w:t>haberse trasgredido los derechos a</w:t>
      </w:r>
      <w:r w:rsidR="00EF5664" w:rsidRPr="00B41EAD">
        <w:rPr>
          <w:color w:val="000000" w:themeColor="text1"/>
          <w:sz w:val="28"/>
          <w:szCs w:val="28"/>
          <w:lang w:val="es-ES"/>
        </w:rPr>
        <w:t>l debido proceso, al acceso efectivo a la administración de justicia, y a las garantías de verdad, reparación integral y no repetición, así como</w:t>
      </w:r>
      <w:r w:rsidR="00F16DC5" w:rsidRPr="00B41EAD">
        <w:rPr>
          <w:color w:val="000000" w:themeColor="text1"/>
          <w:sz w:val="28"/>
          <w:szCs w:val="28"/>
          <w:lang w:val="es-ES"/>
        </w:rPr>
        <w:t xml:space="preserve"> los </w:t>
      </w:r>
      <w:r w:rsidR="000E793E" w:rsidRPr="00B41EAD">
        <w:rPr>
          <w:color w:val="000000" w:themeColor="text1"/>
          <w:sz w:val="28"/>
          <w:szCs w:val="28"/>
          <w:lang w:val="es-ES"/>
        </w:rPr>
        <w:t>postulados</w:t>
      </w:r>
      <w:r w:rsidR="00F16DC5" w:rsidRPr="00B41EAD">
        <w:rPr>
          <w:color w:val="000000" w:themeColor="text1"/>
          <w:sz w:val="28"/>
          <w:szCs w:val="28"/>
          <w:lang w:val="es-ES"/>
        </w:rPr>
        <w:t xml:space="preserve"> de la Corte Interamericana de Derechos Humanos</w:t>
      </w:r>
      <w:r w:rsidRPr="00B41EAD">
        <w:rPr>
          <w:color w:val="000000" w:themeColor="text1"/>
          <w:sz w:val="28"/>
          <w:szCs w:val="28"/>
          <w:lang w:val="es-ES"/>
        </w:rPr>
        <w:t xml:space="preserve"> en materia de garantías judiciales de las víctimas en el marco de hechos cometidos por miembros de la fuerza pública</w:t>
      </w:r>
      <w:r w:rsidR="00F16DC5" w:rsidRPr="00B41EAD">
        <w:rPr>
          <w:color w:val="000000" w:themeColor="text1"/>
          <w:sz w:val="28"/>
          <w:szCs w:val="28"/>
          <w:lang w:val="es-ES"/>
        </w:rPr>
        <w:t>.</w:t>
      </w:r>
    </w:p>
    <w:p w14:paraId="04203F10" w14:textId="6610855D" w:rsidR="0044683B" w:rsidRPr="00B41EAD" w:rsidRDefault="0044683B" w:rsidP="00BC25BE">
      <w:pPr>
        <w:jc w:val="both"/>
        <w:rPr>
          <w:bCs/>
          <w:color w:val="000000" w:themeColor="text1"/>
          <w:sz w:val="28"/>
          <w:szCs w:val="28"/>
          <w:lang w:val="es-ES"/>
        </w:rPr>
      </w:pPr>
    </w:p>
    <w:p w14:paraId="053C1DFC" w14:textId="2CC1C1A6" w:rsidR="000811E5" w:rsidRPr="00B41EAD" w:rsidRDefault="003F6CBD" w:rsidP="000811E5">
      <w:pPr>
        <w:pStyle w:val="Prrafodelista"/>
        <w:numPr>
          <w:ilvl w:val="0"/>
          <w:numId w:val="2"/>
        </w:numPr>
        <w:ind w:left="0" w:firstLine="0"/>
        <w:jc w:val="both"/>
        <w:rPr>
          <w:bCs/>
          <w:color w:val="000000" w:themeColor="text1"/>
          <w:sz w:val="28"/>
          <w:szCs w:val="28"/>
          <w:lang w:val="es-ES"/>
        </w:rPr>
      </w:pPr>
      <w:r w:rsidRPr="00B41EAD">
        <w:rPr>
          <w:b/>
          <w:bCs/>
          <w:i/>
          <w:iCs/>
          <w:color w:val="000000" w:themeColor="text1"/>
          <w:sz w:val="28"/>
          <w:szCs w:val="28"/>
          <w:lang w:val="es-ES"/>
        </w:rPr>
        <w:t xml:space="preserve">Sentencia de primera instancia del proceso de tutela. </w:t>
      </w:r>
      <w:r w:rsidR="008071C7" w:rsidRPr="00B41EAD">
        <w:rPr>
          <w:bCs/>
          <w:color w:val="000000" w:themeColor="text1"/>
          <w:sz w:val="28"/>
          <w:szCs w:val="28"/>
          <w:lang w:val="es-ES"/>
        </w:rPr>
        <w:t xml:space="preserve">A través de la </w:t>
      </w:r>
      <w:r w:rsidR="001557C6" w:rsidRPr="00B41EAD">
        <w:rPr>
          <w:bCs/>
          <w:color w:val="000000" w:themeColor="text1"/>
          <w:sz w:val="28"/>
          <w:szCs w:val="28"/>
          <w:lang w:val="es-ES"/>
        </w:rPr>
        <w:t>S</w:t>
      </w:r>
      <w:r w:rsidR="008071C7" w:rsidRPr="00B41EAD">
        <w:rPr>
          <w:bCs/>
          <w:color w:val="000000" w:themeColor="text1"/>
          <w:sz w:val="28"/>
          <w:szCs w:val="28"/>
          <w:lang w:val="es-ES"/>
        </w:rPr>
        <w:t>entencia del 13 de julio de 2023</w:t>
      </w:r>
      <w:r w:rsidR="00BC25BE" w:rsidRPr="00B41EAD">
        <w:rPr>
          <w:bCs/>
          <w:color w:val="000000" w:themeColor="text1"/>
          <w:sz w:val="28"/>
          <w:szCs w:val="28"/>
          <w:lang w:val="es-ES"/>
        </w:rPr>
        <w:t xml:space="preserve">, la </w:t>
      </w:r>
      <w:r w:rsidR="008071C7" w:rsidRPr="00B41EAD">
        <w:rPr>
          <w:bCs/>
          <w:color w:val="000000" w:themeColor="text1"/>
          <w:sz w:val="28"/>
          <w:szCs w:val="28"/>
          <w:lang w:val="es-ES"/>
        </w:rPr>
        <w:t xml:space="preserve">Subsección A de la </w:t>
      </w:r>
      <w:r w:rsidR="00BC25BE" w:rsidRPr="00B41EAD">
        <w:rPr>
          <w:bCs/>
          <w:color w:val="000000" w:themeColor="text1"/>
          <w:sz w:val="28"/>
          <w:szCs w:val="28"/>
          <w:lang w:val="es-ES"/>
        </w:rPr>
        <w:t>Sección Segunda</w:t>
      </w:r>
      <w:r w:rsidR="008071C7" w:rsidRPr="00B41EAD">
        <w:rPr>
          <w:bCs/>
          <w:color w:val="000000" w:themeColor="text1"/>
          <w:sz w:val="28"/>
          <w:szCs w:val="28"/>
          <w:lang w:val="es-ES"/>
        </w:rPr>
        <w:t xml:space="preserve"> </w:t>
      </w:r>
      <w:r w:rsidR="00BC25BE" w:rsidRPr="00B41EAD">
        <w:rPr>
          <w:bCs/>
          <w:color w:val="000000" w:themeColor="text1"/>
          <w:sz w:val="28"/>
          <w:szCs w:val="28"/>
          <w:lang w:val="es-ES"/>
        </w:rPr>
        <w:t xml:space="preserve">del Consejo de Estado, </w:t>
      </w:r>
      <w:r w:rsidR="00C96F9D" w:rsidRPr="00B41EAD">
        <w:rPr>
          <w:bCs/>
          <w:color w:val="000000" w:themeColor="text1"/>
          <w:sz w:val="28"/>
          <w:szCs w:val="28"/>
          <w:lang w:val="es-ES"/>
        </w:rPr>
        <w:t>decidió amparar</w:t>
      </w:r>
      <w:r w:rsidR="00BC25BE" w:rsidRPr="00B41EAD">
        <w:rPr>
          <w:bCs/>
          <w:color w:val="000000" w:themeColor="text1"/>
          <w:sz w:val="28"/>
          <w:szCs w:val="28"/>
          <w:lang w:val="es-ES"/>
        </w:rPr>
        <w:t xml:space="preserve"> los derechos fundamentales </w:t>
      </w:r>
      <w:r w:rsidR="000811E5" w:rsidRPr="00B41EAD">
        <w:rPr>
          <w:bCs/>
          <w:color w:val="000000" w:themeColor="text1"/>
          <w:sz w:val="28"/>
          <w:szCs w:val="28"/>
          <w:lang w:val="es-ES"/>
        </w:rPr>
        <w:t xml:space="preserve">al debido proceso, </w:t>
      </w:r>
      <w:r w:rsidR="00C96F9D" w:rsidRPr="00B41EAD">
        <w:rPr>
          <w:bCs/>
          <w:color w:val="000000" w:themeColor="text1"/>
          <w:sz w:val="28"/>
          <w:szCs w:val="28"/>
          <w:lang w:val="es-ES"/>
        </w:rPr>
        <w:t xml:space="preserve">al </w:t>
      </w:r>
      <w:r w:rsidR="000811E5" w:rsidRPr="00B41EAD">
        <w:rPr>
          <w:bCs/>
          <w:color w:val="000000" w:themeColor="text1"/>
          <w:sz w:val="28"/>
          <w:szCs w:val="28"/>
          <w:lang w:val="es-ES"/>
        </w:rPr>
        <w:t xml:space="preserve">acceso a la administración de justicia y </w:t>
      </w:r>
      <w:r w:rsidR="00C96F9D" w:rsidRPr="00B41EAD">
        <w:rPr>
          <w:bCs/>
          <w:color w:val="000000" w:themeColor="text1"/>
          <w:sz w:val="28"/>
          <w:szCs w:val="28"/>
          <w:lang w:val="es-ES"/>
        </w:rPr>
        <w:t xml:space="preserve">a la </w:t>
      </w:r>
      <w:r w:rsidR="000811E5" w:rsidRPr="00B41EAD">
        <w:rPr>
          <w:bCs/>
          <w:color w:val="000000" w:themeColor="text1"/>
          <w:sz w:val="28"/>
          <w:szCs w:val="28"/>
          <w:lang w:val="es-ES"/>
        </w:rPr>
        <w:t xml:space="preserve">reparación integral </w:t>
      </w:r>
      <w:r w:rsidR="00BC25BE" w:rsidRPr="00B41EAD">
        <w:rPr>
          <w:bCs/>
          <w:color w:val="000000" w:themeColor="text1"/>
          <w:sz w:val="28"/>
          <w:szCs w:val="28"/>
          <w:lang w:val="es-ES"/>
        </w:rPr>
        <w:t>y</w:t>
      </w:r>
      <w:r w:rsidR="00C96F9D" w:rsidRPr="00B41EAD">
        <w:rPr>
          <w:bCs/>
          <w:color w:val="000000" w:themeColor="text1"/>
          <w:sz w:val="28"/>
          <w:szCs w:val="28"/>
          <w:lang w:val="es-ES"/>
        </w:rPr>
        <w:t>, en consecuencia,</w:t>
      </w:r>
      <w:r w:rsidR="00BC25BE" w:rsidRPr="00B41EAD">
        <w:rPr>
          <w:bCs/>
          <w:color w:val="000000" w:themeColor="text1"/>
          <w:sz w:val="28"/>
          <w:szCs w:val="28"/>
          <w:lang w:val="es-ES"/>
        </w:rPr>
        <w:t xml:space="preserve"> dejó sin efectos la </w:t>
      </w:r>
      <w:r w:rsidR="00AC77D8" w:rsidRPr="00B41EAD">
        <w:rPr>
          <w:bCs/>
          <w:color w:val="000000" w:themeColor="text1"/>
          <w:sz w:val="28"/>
          <w:szCs w:val="28"/>
          <w:lang w:val="es-ES"/>
        </w:rPr>
        <w:t>providencia</w:t>
      </w:r>
      <w:r w:rsidR="00BC25BE" w:rsidRPr="00B41EAD">
        <w:rPr>
          <w:bCs/>
          <w:color w:val="000000" w:themeColor="text1"/>
          <w:sz w:val="28"/>
          <w:szCs w:val="28"/>
          <w:lang w:val="es-ES"/>
        </w:rPr>
        <w:t xml:space="preserve"> </w:t>
      </w:r>
      <w:r w:rsidR="00AC77D8" w:rsidRPr="00B41EAD">
        <w:rPr>
          <w:bCs/>
          <w:color w:val="000000" w:themeColor="text1"/>
          <w:sz w:val="28"/>
          <w:szCs w:val="28"/>
          <w:lang w:val="es-ES"/>
        </w:rPr>
        <w:t>cuestionada</w:t>
      </w:r>
      <w:r w:rsidR="00BC25BE" w:rsidRPr="00B41EAD">
        <w:rPr>
          <w:bCs/>
          <w:color w:val="000000" w:themeColor="text1"/>
          <w:sz w:val="28"/>
          <w:szCs w:val="28"/>
          <w:lang w:val="es-ES"/>
        </w:rPr>
        <w:t>.</w:t>
      </w:r>
      <w:r w:rsidR="00AC77D8" w:rsidRPr="00B41EAD">
        <w:rPr>
          <w:bCs/>
          <w:color w:val="000000" w:themeColor="text1"/>
          <w:sz w:val="28"/>
          <w:szCs w:val="28"/>
          <w:lang w:val="es-ES"/>
        </w:rPr>
        <w:t xml:space="preserve"> Asimismo, </w:t>
      </w:r>
      <w:r w:rsidR="004D2F65" w:rsidRPr="00B41EAD">
        <w:rPr>
          <w:bCs/>
          <w:color w:val="000000" w:themeColor="text1"/>
          <w:sz w:val="28"/>
          <w:szCs w:val="28"/>
          <w:lang w:val="es-ES"/>
        </w:rPr>
        <w:t>ordenó</w:t>
      </w:r>
      <w:r w:rsidR="00AC77D8" w:rsidRPr="00B41EAD">
        <w:rPr>
          <w:bCs/>
          <w:color w:val="000000" w:themeColor="text1"/>
          <w:sz w:val="28"/>
          <w:szCs w:val="28"/>
          <w:lang w:val="es-ES"/>
        </w:rPr>
        <w:t xml:space="preserve"> al Tribunal Administrativo del Tolima </w:t>
      </w:r>
      <w:r w:rsidR="004957A5" w:rsidRPr="00B41EAD">
        <w:rPr>
          <w:bCs/>
          <w:color w:val="000000" w:themeColor="text1"/>
          <w:sz w:val="28"/>
          <w:szCs w:val="28"/>
          <w:lang w:val="es-ES"/>
        </w:rPr>
        <w:t xml:space="preserve">que procediera a dictar una nueva sentencia </w:t>
      </w:r>
      <w:r w:rsidR="004D2F65" w:rsidRPr="00B41EAD">
        <w:rPr>
          <w:bCs/>
          <w:color w:val="000000" w:themeColor="text1"/>
          <w:sz w:val="28"/>
          <w:szCs w:val="28"/>
          <w:lang w:val="es-ES"/>
        </w:rPr>
        <w:t xml:space="preserve">que contuviera un análisis de caso en consonancia con los argumentos expuestos en la demanda y en el recurso de apelación, </w:t>
      </w:r>
      <w:r w:rsidR="00B55F6D" w:rsidRPr="00B41EAD">
        <w:rPr>
          <w:bCs/>
          <w:color w:val="000000" w:themeColor="text1"/>
          <w:sz w:val="28"/>
          <w:szCs w:val="28"/>
          <w:lang w:val="es-ES"/>
        </w:rPr>
        <w:t>debido a que</w:t>
      </w:r>
      <w:r w:rsidR="004D2F65" w:rsidRPr="00B41EAD">
        <w:rPr>
          <w:bCs/>
          <w:color w:val="000000" w:themeColor="text1"/>
          <w:sz w:val="28"/>
          <w:szCs w:val="28"/>
          <w:lang w:val="es-ES"/>
        </w:rPr>
        <w:t xml:space="preserve"> solamente se aplicó con </w:t>
      </w:r>
      <w:r w:rsidR="004D2F65" w:rsidRPr="00B41EAD">
        <w:rPr>
          <w:bCs/>
          <w:color w:val="000000" w:themeColor="text1"/>
          <w:sz w:val="28"/>
          <w:szCs w:val="28"/>
          <w:lang w:val="es-ES"/>
        </w:rPr>
        <w:lastRenderedPageBreak/>
        <w:t xml:space="preserve">radicalidad, la sentencia de </w:t>
      </w:r>
      <w:r w:rsidR="00B55F6D" w:rsidRPr="00B41EAD">
        <w:rPr>
          <w:bCs/>
          <w:color w:val="000000" w:themeColor="text1"/>
          <w:sz w:val="28"/>
          <w:szCs w:val="28"/>
          <w:lang w:val="es-ES"/>
        </w:rPr>
        <w:t>unificación</w:t>
      </w:r>
      <w:r w:rsidR="004D2F65" w:rsidRPr="00B41EAD">
        <w:rPr>
          <w:bCs/>
          <w:color w:val="000000" w:themeColor="text1"/>
          <w:sz w:val="28"/>
          <w:szCs w:val="28"/>
          <w:lang w:val="es-ES"/>
        </w:rPr>
        <w:t xml:space="preserve"> del C</w:t>
      </w:r>
      <w:r w:rsidR="00B55F6D" w:rsidRPr="00B41EAD">
        <w:rPr>
          <w:bCs/>
          <w:color w:val="000000" w:themeColor="text1"/>
          <w:sz w:val="28"/>
          <w:szCs w:val="28"/>
          <w:lang w:val="es-ES"/>
        </w:rPr>
        <w:t>onsejo de Estado</w:t>
      </w:r>
      <w:r w:rsidR="007B32EC" w:rsidRPr="00B41EAD">
        <w:rPr>
          <w:bCs/>
          <w:color w:val="000000" w:themeColor="text1"/>
          <w:sz w:val="28"/>
          <w:szCs w:val="28"/>
          <w:lang w:val="es-ES"/>
        </w:rPr>
        <w:t xml:space="preserve">, que </w:t>
      </w:r>
      <w:r w:rsidR="00CD6C87" w:rsidRPr="00B41EAD">
        <w:rPr>
          <w:bCs/>
          <w:color w:val="000000" w:themeColor="text1"/>
          <w:sz w:val="28"/>
          <w:szCs w:val="28"/>
          <w:lang w:val="es-ES"/>
        </w:rPr>
        <w:t>en adición</w:t>
      </w:r>
      <w:r w:rsidR="007B32EC" w:rsidRPr="00B41EAD">
        <w:rPr>
          <w:bCs/>
          <w:color w:val="000000" w:themeColor="text1"/>
          <w:sz w:val="28"/>
          <w:szCs w:val="28"/>
          <w:lang w:val="es-ES"/>
        </w:rPr>
        <w:t xml:space="preserve"> no era</w:t>
      </w:r>
      <w:r w:rsidR="006A1A87" w:rsidRPr="00B41EAD">
        <w:rPr>
          <w:bCs/>
          <w:color w:val="000000" w:themeColor="text1"/>
          <w:sz w:val="28"/>
          <w:szCs w:val="28"/>
          <w:lang w:val="es-ES"/>
        </w:rPr>
        <w:t xml:space="preserve"> un criterio unificado cuando se surtieron las actuaciones</w:t>
      </w:r>
      <w:r w:rsidR="006A1A87" w:rsidRPr="00B41EAD">
        <w:rPr>
          <w:rStyle w:val="Refdenotaalpie"/>
          <w:bCs/>
          <w:color w:val="000000" w:themeColor="text1"/>
          <w:sz w:val="28"/>
          <w:szCs w:val="28"/>
          <w:lang w:val="es-ES"/>
        </w:rPr>
        <w:footnoteReference w:id="34"/>
      </w:r>
      <w:r w:rsidR="006A1A87" w:rsidRPr="00B41EAD">
        <w:rPr>
          <w:bCs/>
          <w:color w:val="000000" w:themeColor="text1"/>
          <w:sz w:val="28"/>
          <w:szCs w:val="28"/>
          <w:lang w:val="es-ES"/>
        </w:rPr>
        <w:t xml:space="preserve">. </w:t>
      </w:r>
    </w:p>
    <w:p w14:paraId="202EC46A" w14:textId="77777777" w:rsidR="00FE6AB5" w:rsidRPr="00B41EAD" w:rsidRDefault="00FE6AB5" w:rsidP="00FE6AB5">
      <w:pPr>
        <w:pStyle w:val="Prrafodelista"/>
        <w:ind w:left="0"/>
        <w:jc w:val="both"/>
        <w:rPr>
          <w:bCs/>
          <w:color w:val="000000" w:themeColor="text1"/>
          <w:sz w:val="28"/>
          <w:szCs w:val="28"/>
          <w:lang w:val="es-ES"/>
        </w:rPr>
      </w:pPr>
    </w:p>
    <w:p w14:paraId="76EAE78B" w14:textId="6A3D97FD" w:rsidR="00FE6AB5" w:rsidRPr="00B41EAD" w:rsidRDefault="00FE6AB5" w:rsidP="000811E5">
      <w:pPr>
        <w:pStyle w:val="Prrafodelista"/>
        <w:numPr>
          <w:ilvl w:val="0"/>
          <w:numId w:val="2"/>
        </w:numPr>
        <w:ind w:left="0" w:firstLine="0"/>
        <w:jc w:val="both"/>
        <w:rPr>
          <w:bCs/>
          <w:color w:val="000000" w:themeColor="text1"/>
          <w:sz w:val="28"/>
          <w:szCs w:val="28"/>
          <w:lang w:val="es-ES"/>
        </w:rPr>
      </w:pPr>
      <w:r w:rsidRPr="00B41EAD">
        <w:rPr>
          <w:bCs/>
          <w:color w:val="000000" w:themeColor="text1"/>
          <w:sz w:val="28"/>
          <w:szCs w:val="28"/>
        </w:rPr>
        <w:t xml:space="preserve">A raíz de la orden anterior, el Tribunal Administrativo del Tolima profirió una nueva </w:t>
      </w:r>
      <w:r w:rsidR="00FC681E" w:rsidRPr="00B41EAD">
        <w:rPr>
          <w:bCs/>
          <w:color w:val="000000" w:themeColor="text1"/>
          <w:sz w:val="28"/>
          <w:szCs w:val="28"/>
        </w:rPr>
        <w:t>S</w:t>
      </w:r>
      <w:r w:rsidRPr="00B41EAD">
        <w:rPr>
          <w:bCs/>
          <w:color w:val="000000" w:themeColor="text1"/>
          <w:sz w:val="28"/>
          <w:szCs w:val="28"/>
        </w:rPr>
        <w:t xml:space="preserve">entencia el 31 de agosto de 2023, en la cual decidió confirmar la sentencia de primera instancia emitida por el </w:t>
      </w:r>
      <w:r w:rsidRPr="00B41EAD">
        <w:rPr>
          <w:color w:val="000000" w:themeColor="text1"/>
          <w:sz w:val="28"/>
          <w:szCs w:val="28"/>
        </w:rPr>
        <w:t>Juzgado Tercero Administrativo Oral del Circuito de Ibagué, Tolima</w:t>
      </w:r>
      <w:r w:rsidRPr="00B41EAD">
        <w:rPr>
          <w:rStyle w:val="Refdenotaalpie"/>
          <w:color w:val="000000" w:themeColor="text1"/>
          <w:sz w:val="28"/>
          <w:szCs w:val="28"/>
        </w:rPr>
        <w:footnoteReference w:id="35"/>
      </w:r>
      <w:r w:rsidRPr="00B41EAD">
        <w:rPr>
          <w:color w:val="000000" w:themeColor="text1"/>
          <w:sz w:val="28"/>
          <w:szCs w:val="28"/>
        </w:rPr>
        <w:t>.</w:t>
      </w:r>
    </w:p>
    <w:p w14:paraId="2E675082" w14:textId="77777777" w:rsidR="004A2688" w:rsidRPr="00B41EAD" w:rsidRDefault="004A2688" w:rsidP="004A2688">
      <w:pPr>
        <w:pStyle w:val="Prrafodelista"/>
        <w:rPr>
          <w:bCs/>
          <w:color w:val="000000" w:themeColor="text1"/>
          <w:sz w:val="28"/>
          <w:szCs w:val="28"/>
          <w:lang w:val="es-ES"/>
        </w:rPr>
      </w:pPr>
    </w:p>
    <w:p w14:paraId="5223B6C2" w14:textId="57FCBD05" w:rsidR="004A2688" w:rsidRPr="00B41EAD" w:rsidRDefault="004A2688" w:rsidP="004A2688">
      <w:pPr>
        <w:pStyle w:val="Prrafodelista"/>
        <w:numPr>
          <w:ilvl w:val="0"/>
          <w:numId w:val="2"/>
        </w:numPr>
        <w:ind w:left="0" w:firstLine="0"/>
        <w:jc w:val="both"/>
        <w:rPr>
          <w:bCs/>
          <w:color w:val="000000" w:themeColor="text1"/>
          <w:sz w:val="28"/>
          <w:szCs w:val="28"/>
        </w:rPr>
      </w:pPr>
      <w:r w:rsidRPr="00B41EAD">
        <w:rPr>
          <w:b/>
          <w:i/>
          <w:iCs/>
          <w:color w:val="000000" w:themeColor="text1"/>
          <w:sz w:val="28"/>
          <w:szCs w:val="28"/>
        </w:rPr>
        <w:t xml:space="preserve">Impugnación del fallo de tutela y solicitud del accionante de carencia actual de objeto. </w:t>
      </w:r>
      <w:r w:rsidRPr="00B41EAD">
        <w:rPr>
          <w:bCs/>
          <w:color w:val="000000" w:themeColor="text1"/>
          <w:sz w:val="28"/>
          <w:szCs w:val="28"/>
        </w:rPr>
        <w:t xml:space="preserve">En primer lugar, mediante </w:t>
      </w:r>
      <w:r w:rsidR="00FC681E" w:rsidRPr="00B41EAD">
        <w:rPr>
          <w:bCs/>
          <w:color w:val="000000" w:themeColor="text1"/>
          <w:sz w:val="28"/>
          <w:szCs w:val="28"/>
        </w:rPr>
        <w:t>A</w:t>
      </w:r>
      <w:r w:rsidRPr="00B41EAD">
        <w:rPr>
          <w:bCs/>
          <w:color w:val="000000" w:themeColor="text1"/>
          <w:sz w:val="28"/>
          <w:szCs w:val="28"/>
        </w:rPr>
        <w:t>uto del 18 de septiembre de 2023, la Subsección A de la Sección Segunda del Consejo de Estado, resolvió admitir la impugnación presentada por el tercero con interés, Ministerio de Defensa, contra la sentencia de primera instancia, habiendo la apoderada de dicho tercero acreditado debidamente su legitimación por activa para actuar</w:t>
      </w:r>
      <w:r w:rsidRPr="00B41EAD">
        <w:rPr>
          <w:rStyle w:val="Refdenotaalpie"/>
          <w:bCs/>
          <w:color w:val="000000" w:themeColor="text1"/>
          <w:sz w:val="28"/>
          <w:szCs w:val="28"/>
        </w:rPr>
        <w:footnoteReference w:id="36"/>
      </w:r>
      <w:r w:rsidRPr="00B41EAD">
        <w:rPr>
          <w:bCs/>
          <w:color w:val="000000" w:themeColor="text1"/>
          <w:sz w:val="28"/>
          <w:szCs w:val="28"/>
        </w:rPr>
        <w:t xml:space="preserve">. </w:t>
      </w:r>
    </w:p>
    <w:p w14:paraId="3F2710E9" w14:textId="77777777" w:rsidR="004A2688" w:rsidRPr="00B41EAD" w:rsidRDefault="004A2688" w:rsidP="004A2688">
      <w:pPr>
        <w:pStyle w:val="Prrafodelista"/>
        <w:rPr>
          <w:bCs/>
          <w:color w:val="000000" w:themeColor="text1"/>
          <w:sz w:val="28"/>
          <w:szCs w:val="28"/>
        </w:rPr>
      </w:pPr>
    </w:p>
    <w:p w14:paraId="09DE40C4" w14:textId="245141F7" w:rsidR="004A2688" w:rsidRPr="00B41EAD" w:rsidRDefault="004A2688" w:rsidP="004A2688">
      <w:pPr>
        <w:pStyle w:val="Prrafodelista"/>
        <w:numPr>
          <w:ilvl w:val="0"/>
          <w:numId w:val="2"/>
        </w:numPr>
        <w:ind w:left="0" w:firstLine="0"/>
        <w:jc w:val="both"/>
        <w:rPr>
          <w:bCs/>
          <w:color w:val="000000" w:themeColor="text1"/>
          <w:sz w:val="28"/>
          <w:szCs w:val="28"/>
        </w:rPr>
      </w:pPr>
      <w:r w:rsidRPr="00B41EAD">
        <w:rPr>
          <w:bCs/>
          <w:color w:val="000000" w:themeColor="text1"/>
          <w:sz w:val="28"/>
          <w:szCs w:val="28"/>
        </w:rPr>
        <w:t>En el mismo auto en comento, se resolvió la solicitud de la accionante relativa a que se declare la carencia actual de objeto por hecho superado, en razón a la segunda sentencia emitida por el Tribunal Administrativo del Tolima, en cumplimiento de la orden dada en la sentencia de primera instancia dentro del trámite de tutela. Al respecto, la autoridad judicial consideró que no puede ser invocada una carencia actual de objeto por hecho superado, por una situación que se origina como el resultado de un acatamiento de una orden que se dio para la protección de los derechos fundamentales dentro del mismo trámite de la tutela. Por lo expuesto, dicha solicitud fue rechazada</w:t>
      </w:r>
      <w:r w:rsidRPr="00B41EAD">
        <w:rPr>
          <w:rStyle w:val="Refdenotaalpie"/>
          <w:bCs/>
          <w:color w:val="000000" w:themeColor="text1"/>
          <w:sz w:val="28"/>
          <w:szCs w:val="28"/>
        </w:rPr>
        <w:footnoteReference w:id="37"/>
      </w:r>
      <w:r w:rsidRPr="00B41EAD">
        <w:rPr>
          <w:bCs/>
          <w:color w:val="000000" w:themeColor="text1"/>
          <w:sz w:val="28"/>
          <w:szCs w:val="28"/>
        </w:rPr>
        <w:t>.</w:t>
      </w:r>
    </w:p>
    <w:p w14:paraId="39735AD3" w14:textId="77777777" w:rsidR="006144E7" w:rsidRPr="00B41EAD" w:rsidRDefault="006144E7" w:rsidP="006144E7">
      <w:pPr>
        <w:pStyle w:val="Prrafodelista"/>
        <w:ind w:left="0"/>
        <w:jc w:val="both"/>
        <w:rPr>
          <w:bCs/>
          <w:color w:val="000000" w:themeColor="text1"/>
          <w:sz w:val="28"/>
          <w:szCs w:val="28"/>
          <w:lang w:val="es-ES"/>
        </w:rPr>
      </w:pPr>
    </w:p>
    <w:p w14:paraId="5F6A2792" w14:textId="7725E64C" w:rsidR="004F0876" w:rsidRPr="00B41EAD" w:rsidRDefault="003F6CBD" w:rsidP="00916845">
      <w:pPr>
        <w:pStyle w:val="Prrafodelista"/>
        <w:numPr>
          <w:ilvl w:val="0"/>
          <w:numId w:val="2"/>
        </w:numPr>
        <w:ind w:left="0" w:firstLine="0"/>
        <w:jc w:val="both"/>
        <w:rPr>
          <w:bCs/>
          <w:color w:val="000000" w:themeColor="text1"/>
          <w:sz w:val="28"/>
          <w:szCs w:val="28"/>
          <w:lang w:val="es-ES"/>
        </w:rPr>
      </w:pPr>
      <w:r w:rsidRPr="00B41EAD">
        <w:rPr>
          <w:b/>
          <w:bCs/>
          <w:i/>
          <w:iCs/>
          <w:color w:val="000000" w:themeColor="text1"/>
          <w:sz w:val="28"/>
          <w:szCs w:val="28"/>
          <w:lang w:val="es-ES"/>
        </w:rPr>
        <w:t xml:space="preserve">Sentencia de segunda instancia del proceso de tutela. </w:t>
      </w:r>
      <w:r w:rsidR="006144E7" w:rsidRPr="00B41EAD">
        <w:rPr>
          <w:bCs/>
          <w:color w:val="000000" w:themeColor="text1"/>
          <w:sz w:val="28"/>
          <w:szCs w:val="28"/>
          <w:lang w:val="es-ES"/>
        </w:rPr>
        <w:t>M</w:t>
      </w:r>
      <w:r w:rsidR="00A92359" w:rsidRPr="00B41EAD">
        <w:rPr>
          <w:bCs/>
          <w:color w:val="000000" w:themeColor="text1"/>
          <w:sz w:val="28"/>
          <w:szCs w:val="28"/>
          <w:lang w:val="es-ES"/>
        </w:rPr>
        <w:t xml:space="preserve">ediante sentencia del 1 de noviembre de 2023, </w:t>
      </w:r>
      <w:r w:rsidR="00BC25BE" w:rsidRPr="00B41EAD">
        <w:rPr>
          <w:bCs/>
          <w:color w:val="000000" w:themeColor="text1"/>
          <w:sz w:val="28"/>
          <w:szCs w:val="28"/>
          <w:lang w:val="es-ES"/>
        </w:rPr>
        <w:t xml:space="preserve">la Subsección B de la Sección Segunda </w:t>
      </w:r>
      <w:r w:rsidR="00A92359" w:rsidRPr="00B41EAD">
        <w:rPr>
          <w:bCs/>
          <w:color w:val="000000" w:themeColor="text1"/>
          <w:sz w:val="28"/>
          <w:szCs w:val="28"/>
          <w:lang w:val="es-ES"/>
        </w:rPr>
        <w:t>del Consejo de Estado, decidió</w:t>
      </w:r>
      <w:r w:rsidR="00BC25BE" w:rsidRPr="00B41EAD">
        <w:rPr>
          <w:bCs/>
          <w:color w:val="000000" w:themeColor="text1"/>
          <w:sz w:val="28"/>
          <w:szCs w:val="28"/>
          <w:lang w:val="es-ES"/>
        </w:rPr>
        <w:t xml:space="preserve"> </w:t>
      </w:r>
      <w:r w:rsidR="00A92359" w:rsidRPr="00B41EAD">
        <w:rPr>
          <w:bCs/>
          <w:color w:val="000000" w:themeColor="text1"/>
          <w:sz w:val="28"/>
          <w:szCs w:val="28"/>
          <w:lang w:val="es-ES"/>
        </w:rPr>
        <w:t>revocar</w:t>
      </w:r>
      <w:r w:rsidR="00BC25BE" w:rsidRPr="00B41EAD">
        <w:rPr>
          <w:bCs/>
          <w:color w:val="000000" w:themeColor="text1"/>
          <w:sz w:val="28"/>
          <w:szCs w:val="28"/>
          <w:lang w:val="es-ES"/>
        </w:rPr>
        <w:t xml:space="preserve"> </w:t>
      </w:r>
      <w:r w:rsidR="00006443" w:rsidRPr="00B41EAD">
        <w:rPr>
          <w:bCs/>
          <w:color w:val="000000" w:themeColor="text1"/>
          <w:sz w:val="28"/>
          <w:szCs w:val="28"/>
          <w:lang w:val="es-ES"/>
        </w:rPr>
        <w:t xml:space="preserve">la sentencia de primera instancia y, en </w:t>
      </w:r>
      <w:r w:rsidR="009A5680" w:rsidRPr="00B41EAD">
        <w:rPr>
          <w:bCs/>
          <w:color w:val="000000" w:themeColor="text1"/>
          <w:sz w:val="28"/>
          <w:szCs w:val="28"/>
          <w:lang w:val="es-ES"/>
        </w:rPr>
        <w:t>consecuencia,</w:t>
      </w:r>
      <w:r w:rsidR="00006443" w:rsidRPr="00B41EAD">
        <w:rPr>
          <w:bCs/>
          <w:color w:val="000000" w:themeColor="text1"/>
          <w:sz w:val="28"/>
          <w:szCs w:val="28"/>
          <w:lang w:val="es-ES"/>
        </w:rPr>
        <w:t xml:space="preserve"> negar el amparo de los derechos fundamentales</w:t>
      </w:r>
      <w:r w:rsidR="000811E5" w:rsidRPr="00B41EAD">
        <w:rPr>
          <w:bCs/>
          <w:color w:val="000000" w:themeColor="text1"/>
          <w:sz w:val="28"/>
          <w:szCs w:val="28"/>
          <w:lang w:val="es-ES"/>
        </w:rPr>
        <w:t xml:space="preserve">. </w:t>
      </w:r>
      <w:r w:rsidR="003D2402" w:rsidRPr="00B41EAD">
        <w:rPr>
          <w:bCs/>
          <w:color w:val="000000" w:themeColor="text1"/>
          <w:sz w:val="28"/>
          <w:szCs w:val="28"/>
          <w:lang w:val="es-ES"/>
        </w:rPr>
        <w:t>Sobre el particular, manifestó</w:t>
      </w:r>
      <w:r w:rsidR="000811E5" w:rsidRPr="00B41EAD">
        <w:rPr>
          <w:bCs/>
          <w:color w:val="000000" w:themeColor="text1"/>
          <w:sz w:val="28"/>
          <w:szCs w:val="28"/>
          <w:lang w:val="es-ES"/>
        </w:rPr>
        <w:t xml:space="preserve"> </w:t>
      </w:r>
      <w:r w:rsidR="00603E99" w:rsidRPr="00B41EAD">
        <w:rPr>
          <w:bCs/>
          <w:color w:val="000000" w:themeColor="text1"/>
          <w:sz w:val="28"/>
          <w:szCs w:val="28"/>
          <w:lang w:val="es-ES"/>
        </w:rPr>
        <w:t xml:space="preserve">que en la sentencia cuestionada el Tribunal accionado adoptó </w:t>
      </w:r>
      <w:r w:rsidR="001D134D" w:rsidRPr="00B41EAD">
        <w:rPr>
          <w:bCs/>
          <w:color w:val="000000" w:themeColor="text1"/>
          <w:sz w:val="28"/>
          <w:szCs w:val="28"/>
          <w:lang w:val="es-ES"/>
        </w:rPr>
        <w:t xml:space="preserve">correctamente </w:t>
      </w:r>
      <w:r w:rsidR="00603E99" w:rsidRPr="00B41EAD">
        <w:rPr>
          <w:bCs/>
          <w:color w:val="000000" w:themeColor="text1"/>
          <w:sz w:val="28"/>
          <w:szCs w:val="28"/>
          <w:lang w:val="es-ES"/>
        </w:rPr>
        <w:t xml:space="preserve">la tesis </w:t>
      </w:r>
      <w:r w:rsidR="00884F31" w:rsidRPr="00B41EAD">
        <w:rPr>
          <w:bCs/>
          <w:color w:val="000000" w:themeColor="text1"/>
          <w:sz w:val="28"/>
          <w:szCs w:val="28"/>
          <w:lang w:val="es-ES"/>
        </w:rPr>
        <w:t>jurisprudencial del Consejo de Estado</w:t>
      </w:r>
      <w:r w:rsidR="00476076" w:rsidRPr="00B41EAD">
        <w:rPr>
          <w:bCs/>
          <w:color w:val="000000" w:themeColor="text1"/>
          <w:sz w:val="28"/>
          <w:szCs w:val="28"/>
          <w:lang w:val="es-ES"/>
        </w:rPr>
        <w:t>, que está</w:t>
      </w:r>
      <w:r w:rsidR="00884F31" w:rsidRPr="00B41EAD">
        <w:rPr>
          <w:bCs/>
          <w:color w:val="000000" w:themeColor="text1"/>
          <w:sz w:val="28"/>
          <w:szCs w:val="28"/>
          <w:lang w:val="es-ES"/>
        </w:rPr>
        <w:t xml:space="preserve"> avalada por la Corte Constitucional</w:t>
      </w:r>
      <w:r w:rsidR="00C008A0" w:rsidRPr="00B41EAD">
        <w:rPr>
          <w:bCs/>
          <w:color w:val="000000" w:themeColor="text1"/>
          <w:sz w:val="28"/>
          <w:szCs w:val="28"/>
          <w:lang w:val="es-ES"/>
        </w:rPr>
        <w:t>,</w:t>
      </w:r>
      <w:r w:rsidR="00884F31" w:rsidRPr="00B41EAD">
        <w:rPr>
          <w:bCs/>
          <w:color w:val="000000" w:themeColor="text1"/>
          <w:sz w:val="28"/>
          <w:szCs w:val="28"/>
          <w:lang w:val="es-ES"/>
        </w:rPr>
        <w:t xml:space="preserve"> respecto de la caducidad </w:t>
      </w:r>
      <w:r w:rsidR="00C008A0" w:rsidRPr="00B41EAD">
        <w:rPr>
          <w:bCs/>
          <w:color w:val="000000" w:themeColor="text1"/>
          <w:sz w:val="28"/>
          <w:szCs w:val="28"/>
          <w:lang w:val="es-ES"/>
        </w:rPr>
        <w:t>de la acción de responsabilidad por daños</w:t>
      </w:r>
      <w:r w:rsidR="007B6011" w:rsidRPr="00B41EAD">
        <w:rPr>
          <w:bCs/>
          <w:color w:val="000000" w:themeColor="text1"/>
          <w:sz w:val="28"/>
          <w:szCs w:val="28"/>
          <w:lang w:val="es-ES"/>
        </w:rPr>
        <w:t xml:space="preserve"> </w:t>
      </w:r>
      <w:r w:rsidR="00C008A0" w:rsidRPr="00B41EAD">
        <w:rPr>
          <w:bCs/>
          <w:color w:val="000000" w:themeColor="text1"/>
          <w:sz w:val="28"/>
          <w:szCs w:val="28"/>
          <w:lang w:val="es-ES"/>
        </w:rPr>
        <w:t xml:space="preserve">derivados de </w:t>
      </w:r>
      <w:r w:rsidR="007B6011" w:rsidRPr="00B41EAD">
        <w:rPr>
          <w:bCs/>
          <w:color w:val="000000" w:themeColor="text1"/>
          <w:sz w:val="28"/>
          <w:szCs w:val="28"/>
          <w:lang w:val="es-ES"/>
        </w:rPr>
        <w:t>delitos de lesa humanidad o crímenes de guerra</w:t>
      </w:r>
      <w:r w:rsidR="00C008A0" w:rsidRPr="00B41EAD">
        <w:rPr>
          <w:bCs/>
          <w:color w:val="000000" w:themeColor="text1"/>
          <w:sz w:val="28"/>
          <w:szCs w:val="28"/>
          <w:lang w:val="es-ES"/>
        </w:rPr>
        <w:t xml:space="preserve">. </w:t>
      </w:r>
      <w:r w:rsidR="006144E7" w:rsidRPr="00B41EAD">
        <w:rPr>
          <w:bCs/>
          <w:color w:val="000000" w:themeColor="text1"/>
          <w:sz w:val="28"/>
          <w:szCs w:val="28"/>
          <w:lang w:val="es-ES"/>
        </w:rPr>
        <w:t>C</w:t>
      </w:r>
      <w:r w:rsidR="00C008A0" w:rsidRPr="00B41EAD">
        <w:rPr>
          <w:bCs/>
          <w:color w:val="000000" w:themeColor="text1"/>
          <w:sz w:val="28"/>
          <w:szCs w:val="28"/>
          <w:lang w:val="es-ES"/>
        </w:rPr>
        <w:t xml:space="preserve">on base en ello, </w:t>
      </w:r>
      <w:r w:rsidR="004D5424" w:rsidRPr="00B41EAD">
        <w:rPr>
          <w:bCs/>
          <w:color w:val="000000" w:themeColor="text1"/>
          <w:sz w:val="28"/>
          <w:szCs w:val="28"/>
          <w:lang w:val="es-ES"/>
        </w:rPr>
        <w:t xml:space="preserve">determinó que se tuvo conocimiento de la injerencia </w:t>
      </w:r>
      <w:r w:rsidR="00C008A0" w:rsidRPr="00B41EAD">
        <w:rPr>
          <w:bCs/>
          <w:color w:val="000000" w:themeColor="text1"/>
          <w:sz w:val="28"/>
          <w:szCs w:val="28"/>
          <w:lang w:val="es-ES"/>
        </w:rPr>
        <w:t>de los agentes</w:t>
      </w:r>
      <w:r w:rsidR="004D5424" w:rsidRPr="00B41EAD">
        <w:rPr>
          <w:bCs/>
          <w:color w:val="000000" w:themeColor="text1"/>
          <w:sz w:val="28"/>
          <w:szCs w:val="28"/>
          <w:lang w:val="es-ES"/>
        </w:rPr>
        <w:t xml:space="preserve"> del Estado el 17 de marzo de 2010</w:t>
      </w:r>
      <w:r w:rsidR="00BC7D73" w:rsidRPr="00B41EAD">
        <w:rPr>
          <w:bCs/>
          <w:color w:val="000000" w:themeColor="text1"/>
          <w:sz w:val="28"/>
          <w:szCs w:val="28"/>
          <w:lang w:val="es-ES"/>
        </w:rPr>
        <w:t xml:space="preserve">, pese a que los hechos ocurrieron el 30 de marzo de 2008. </w:t>
      </w:r>
      <w:r w:rsidR="003B386E" w:rsidRPr="00B41EAD">
        <w:rPr>
          <w:bCs/>
          <w:color w:val="000000" w:themeColor="text1"/>
          <w:sz w:val="28"/>
          <w:szCs w:val="28"/>
          <w:lang w:val="es-ES"/>
        </w:rPr>
        <w:t xml:space="preserve">Esto, debido a </w:t>
      </w:r>
      <w:proofErr w:type="gramStart"/>
      <w:r w:rsidR="003B386E" w:rsidRPr="00B41EAD">
        <w:rPr>
          <w:bCs/>
          <w:color w:val="000000" w:themeColor="text1"/>
          <w:sz w:val="28"/>
          <w:szCs w:val="28"/>
          <w:lang w:val="es-ES"/>
        </w:rPr>
        <w:t>que</w:t>
      </w:r>
      <w:proofErr w:type="gramEnd"/>
      <w:r w:rsidR="003B386E" w:rsidRPr="00B41EAD">
        <w:rPr>
          <w:bCs/>
          <w:color w:val="000000" w:themeColor="text1"/>
          <w:sz w:val="28"/>
          <w:szCs w:val="28"/>
          <w:lang w:val="es-ES"/>
        </w:rPr>
        <w:t xml:space="preserve"> en marzo de 2010, la accionante rindió una entrevista dentro del proceso penal, en la que manifestó que la muerte de su compañero habría sido un “falso positivo”</w:t>
      </w:r>
      <w:r w:rsidR="00F514B0" w:rsidRPr="00B41EAD">
        <w:rPr>
          <w:rStyle w:val="Refdenotaalpie"/>
          <w:bCs/>
          <w:color w:val="000000" w:themeColor="text1"/>
          <w:sz w:val="28"/>
          <w:szCs w:val="28"/>
          <w:lang w:val="es-ES"/>
        </w:rPr>
        <w:footnoteReference w:id="38"/>
      </w:r>
      <w:r w:rsidR="003B386E" w:rsidRPr="00B41EAD">
        <w:rPr>
          <w:bCs/>
          <w:color w:val="000000" w:themeColor="text1"/>
          <w:sz w:val="28"/>
          <w:szCs w:val="28"/>
          <w:lang w:val="es-ES"/>
        </w:rPr>
        <w:t>.</w:t>
      </w:r>
    </w:p>
    <w:p w14:paraId="30A8E893" w14:textId="77777777" w:rsidR="006144E7" w:rsidRPr="00B41EAD" w:rsidRDefault="006144E7" w:rsidP="006144E7">
      <w:pPr>
        <w:pStyle w:val="Prrafodelista"/>
        <w:rPr>
          <w:bCs/>
          <w:color w:val="000000" w:themeColor="text1"/>
          <w:sz w:val="28"/>
          <w:szCs w:val="28"/>
          <w:lang w:val="es-ES"/>
        </w:rPr>
      </w:pPr>
    </w:p>
    <w:p w14:paraId="0400E048" w14:textId="77777777" w:rsidR="006144E7" w:rsidRPr="00B41EAD" w:rsidRDefault="006144E7" w:rsidP="006144E7">
      <w:pPr>
        <w:pStyle w:val="Prrafodelista"/>
        <w:ind w:left="0"/>
        <w:jc w:val="both"/>
        <w:rPr>
          <w:bCs/>
          <w:color w:val="000000" w:themeColor="text1"/>
          <w:sz w:val="28"/>
          <w:szCs w:val="28"/>
          <w:lang w:val="es-ES"/>
        </w:rPr>
      </w:pPr>
    </w:p>
    <w:p w14:paraId="2F19C505" w14:textId="6B0C6076" w:rsidR="00226336" w:rsidRPr="00B41EAD" w:rsidRDefault="00226336">
      <w:pPr>
        <w:pStyle w:val="Ttulo2"/>
        <w:numPr>
          <w:ilvl w:val="0"/>
          <w:numId w:val="4"/>
        </w:numPr>
        <w:ind w:left="567" w:hanging="567"/>
        <w:rPr>
          <w:color w:val="000000" w:themeColor="text1"/>
          <w:sz w:val="28"/>
          <w:szCs w:val="28"/>
          <w:lang w:val="es-ES"/>
        </w:rPr>
      </w:pPr>
      <w:r w:rsidRPr="00B41EAD">
        <w:rPr>
          <w:color w:val="000000" w:themeColor="text1"/>
          <w:sz w:val="28"/>
          <w:szCs w:val="28"/>
          <w:lang w:val="es-ES"/>
        </w:rPr>
        <w:lastRenderedPageBreak/>
        <w:t>Actuaciones en sede de revisión</w:t>
      </w:r>
      <w:r w:rsidR="006144E7" w:rsidRPr="00B41EAD">
        <w:rPr>
          <w:rStyle w:val="Refdenotaalpie"/>
          <w:color w:val="000000" w:themeColor="text1"/>
          <w:sz w:val="28"/>
          <w:szCs w:val="28"/>
          <w:lang w:val="es-ES"/>
        </w:rPr>
        <w:footnoteReference w:id="39"/>
      </w:r>
    </w:p>
    <w:p w14:paraId="2FC914AC" w14:textId="77777777" w:rsidR="00C42894" w:rsidRPr="00B41EAD" w:rsidRDefault="00C42894" w:rsidP="006144E7">
      <w:pPr>
        <w:rPr>
          <w:color w:val="000000" w:themeColor="text1"/>
          <w:sz w:val="28"/>
          <w:szCs w:val="28"/>
          <w:lang w:val="es-ES"/>
        </w:rPr>
      </w:pPr>
    </w:p>
    <w:p w14:paraId="4DAAE2BC" w14:textId="37A9D6E4" w:rsidR="00C42894" w:rsidRPr="00B41EAD" w:rsidRDefault="00471CD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sesión del 8 de agosto de 2024</w:t>
      </w:r>
      <w:r w:rsidR="00975FD2" w:rsidRPr="00B41EAD">
        <w:rPr>
          <w:color w:val="000000" w:themeColor="text1"/>
          <w:sz w:val="28"/>
          <w:szCs w:val="28"/>
          <w:lang w:val="es-ES"/>
        </w:rPr>
        <w:t xml:space="preserve">, la Sala Plena de esta </w:t>
      </w:r>
      <w:r w:rsidR="001557C6" w:rsidRPr="00B41EAD">
        <w:rPr>
          <w:color w:val="000000" w:themeColor="text1"/>
          <w:sz w:val="28"/>
          <w:szCs w:val="28"/>
          <w:lang w:val="es-ES"/>
        </w:rPr>
        <w:t xml:space="preserve">Corte </w:t>
      </w:r>
      <w:r w:rsidR="00975FD2" w:rsidRPr="00B41EAD">
        <w:rPr>
          <w:color w:val="000000" w:themeColor="text1"/>
          <w:sz w:val="28"/>
          <w:szCs w:val="28"/>
          <w:lang w:val="es-ES"/>
        </w:rPr>
        <w:t xml:space="preserve">resolvió asumir </w:t>
      </w:r>
      <w:r w:rsidR="00586500" w:rsidRPr="00B41EAD">
        <w:rPr>
          <w:color w:val="000000" w:themeColor="text1"/>
          <w:sz w:val="28"/>
          <w:szCs w:val="28"/>
          <w:lang w:val="es-ES"/>
        </w:rPr>
        <w:t>el conocimiento del proceso de la referencia</w:t>
      </w:r>
      <w:r w:rsidR="004974F8" w:rsidRPr="00B41EAD">
        <w:rPr>
          <w:color w:val="000000" w:themeColor="text1"/>
          <w:sz w:val="28"/>
          <w:szCs w:val="28"/>
          <w:lang w:val="es-ES"/>
        </w:rPr>
        <w:t xml:space="preserve"> y, en razón a ello, de conformidad con el artículo 59</w:t>
      </w:r>
      <w:r w:rsidR="008B6D1A" w:rsidRPr="00B41EAD">
        <w:rPr>
          <w:color w:val="000000" w:themeColor="text1"/>
          <w:sz w:val="28"/>
          <w:szCs w:val="28"/>
          <w:lang w:val="es-ES"/>
        </w:rPr>
        <w:t xml:space="preserve"> del Reglamento Interno de </w:t>
      </w:r>
      <w:r w:rsidR="001557C6" w:rsidRPr="00B41EAD">
        <w:rPr>
          <w:color w:val="000000" w:themeColor="text1"/>
          <w:sz w:val="28"/>
          <w:szCs w:val="28"/>
          <w:lang w:val="es-ES"/>
        </w:rPr>
        <w:t>la Corte Constitucional</w:t>
      </w:r>
      <w:r w:rsidR="009F3587" w:rsidRPr="00B41EAD">
        <w:rPr>
          <w:color w:val="000000" w:themeColor="text1"/>
          <w:sz w:val="28"/>
          <w:szCs w:val="28"/>
          <w:lang w:val="es-ES"/>
        </w:rPr>
        <w:t>, mientras se adoptó la decisión respectiva</w:t>
      </w:r>
      <w:r w:rsidR="00324713" w:rsidRPr="00B41EAD">
        <w:rPr>
          <w:color w:val="000000" w:themeColor="text1"/>
          <w:sz w:val="28"/>
          <w:szCs w:val="28"/>
          <w:lang w:val="es-ES"/>
        </w:rPr>
        <w:t xml:space="preserve">, los términos se suspendieron. </w:t>
      </w:r>
    </w:p>
    <w:p w14:paraId="687F566F" w14:textId="77777777" w:rsidR="00324713" w:rsidRPr="00B41EAD" w:rsidRDefault="00324713" w:rsidP="00324713">
      <w:pPr>
        <w:pStyle w:val="Prrafodelista"/>
        <w:rPr>
          <w:color w:val="000000" w:themeColor="text1"/>
          <w:sz w:val="28"/>
          <w:szCs w:val="28"/>
          <w:lang w:val="es-ES"/>
        </w:rPr>
      </w:pPr>
    </w:p>
    <w:p w14:paraId="45EAD8E2" w14:textId="77777777" w:rsidR="00425530" w:rsidRPr="00B41EAD" w:rsidRDefault="00C62DBD" w:rsidP="0042553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El </w:t>
      </w:r>
      <w:r w:rsidR="00785B5F" w:rsidRPr="00B41EAD">
        <w:rPr>
          <w:color w:val="000000" w:themeColor="text1"/>
          <w:sz w:val="28"/>
          <w:szCs w:val="28"/>
          <w:lang w:val="es-ES"/>
        </w:rPr>
        <w:t xml:space="preserve">20 de agosto de 2024, la suscrita magistrada sustanciadora profirió auto </w:t>
      </w:r>
      <w:r w:rsidR="009A5BC1" w:rsidRPr="00B41EAD">
        <w:rPr>
          <w:color w:val="000000" w:themeColor="text1"/>
          <w:sz w:val="28"/>
          <w:szCs w:val="28"/>
          <w:lang w:val="es-ES"/>
        </w:rPr>
        <w:t>de</w:t>
      </w:r>
      <w:r w:rsidR="00C416D3" w:rsidRPr="00B41EAD">
        <w:rPr>
          <w:color w:val="000000" w:themeColor="text1"/>
          <w:sz w:val="28"/>
          <w:szCs w:val="28"/>
          <w:lang w:val="es-ES"/>
        </w:rPr>
        <w:t xml:space="preserve"> pruebas</w:t>
      </w:r>
      <w:r w:rsidR="009A5BC1" w:rsidRPr="00B41EAD">
        <w:rPr>
          <w:color w:val="000000" w:themeColor="text1"/>
          <w:sz w:val="28"/>
          <w:szCs w:val="28"/>
          <w:lang w:val="es-ES"/>
        </w:rPr>
        <w:t xml:space="preserve">, en el que requirió el acceso a la integralidad de los </w:t>
      </w:r>
      <w:r w:rsidR="00C416D3" w:rsidRPr="00B41EAD">
        <w:rPr>
          <w:color w:val="000000" w:themeColor="text1"/>
          <w:sz w:val="28"/>
          <w:szCs w:val="28"/>
          <w:lang w:val="es-ES"/>
        </w:rPr>
        <w:t xml:space="preserve">expedientes </w:t>
      </w:r>
      <w:r w:rsidR="009A5BC1" w:rsidRPr="00B41EAD">
        <w:rPr>
          <w:color w:val="000000" w:themeColor="text1"/>
          <w:sz w:val="28"/>
          <w:szCs w:val="28"/>
          <w:lang w:val="es-ES"/>
        </w:rPr>
        <w:t>de reparación directa y a las actuaciones penales que cursaron en ambos asuntos</w:t>
      </w:r>
      <w:r w:rsidR="00DB60ED" w:rsidRPr="00B41EAD">
        <w:rPr>
          <w:color w:val="000000" w:themeColor="text1"/>
          <w:sz w:val="28"/>
          <w:szCs w:val="28"/>
          <w:lang w:val="es-ES"/>
        </w:rPr>
        <w:t>.</w:t>
      </w:r>
      <w:r w:rsidR="000C3138" w:rsidRPr="00B41EAD">
        <w:rPr>
          <w:color w:val="000000" w:themeColor="text1"/>
          <w:sz w:val="28"/>
          <w:szCs w:val="28"/>
          <w:lang w:val="es-ES"/>
        </w:rPr>
        <w:t xml:space="preserve"> Esta providencia fue notificada mediante estado </w:t>
      </w:r>
      <w:r w:rsidR="001557C6" w:rsidRPr="00B41EAD">
        <w:rPr>
          <w:color w:val="000000" w:themeColor="text1"/>
          <w:sz w:val="28"/>
          <w:szCs w:val="28"/>
          <w:lang w:val="es-ES"/>
        </w:rPr>
        <w:t>n.º</w:t>
      </w:r>
      <w:r w:rsidR="007D51EA" w:rsidRPr="00B41EAD">
        <w:rPr>
          <w:color w:val="000000" w:themeColor="text1"/>
          <w:sz w:val="28"/>
          <w:szCs w:val="28"/>
          <w:lang w:val="es-ES"/>
        </w:rPr>
        <w:t xml:space="preserve"> </w:t>
      </w:r>
      <w:r w:rsidR="00A96CB0" w:rsidRPr="00B41EAD">
        <w:rPr>
          <w:color w:val="000000" w:themeColor="text1"/>
          <w:sz w:val="28"/>
          <w:szCs w:val="28"/>
          <w:lang w:val="es-ES"/>
        </w:rPr>
        <w:t>138 del 21 de agosto de 2024</w:t>
      </w:r>
      <w:r w:rsidR="009A5BC1" w:rsidRPr="00B41EAD">
        <w:rPr>
          <w:color w:val="000000" w:themeColor="text1"/>
          <w:sz w:val="28"/>
          <w:szCs w:val="28"/>
          <w:lang w:val="es-ES"/>
        </w:rPr>
        <w:t>.</w:t>
      </w:r>
      <w:r w:rsidR="00425530" w:rsidRPr="00B41EAD">
        <w:rPr>
          <w:color w:val="000000" w:themeColor="text1"/>
          <w:sz w:val="28"/>
          <w:szCs w:val="28"/>
          <w:lang w:val="es-ES"/>
        </w:rPr>
        <w:t xml:space="preserve"> </w:t>
      </w:r>
    </w:p>
    <w:p w14:paraId="5D8F35DC" w14:textId="77777777" w:rsidR="00425530" w:rsidRPr="00B41EAD" w:rsidRDefault="00425530" w:rsidP="00425530">
      <w:pPr>
        <w:pStyle w:val="Prrafodelista"/>
        <w:rPr>
          <w:color w:val="000000" w:themeColor="text1"/>
          <w:sz w:val="28"/>
          <w:szCs w:val="28"/>
          <w:lang w:val="es-ES"/>
        </w:rPr>
      </w:pPr>
    </w:p>
    <w:p w14:paraId="0082039F" w14:textId="490937F9" w:rsidR="000C3138" w:rsidRPr="00B41EAD" w:rsidRDefault="00425530" w:rsidP="0042553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Como respuesta, las autoridades judiciales requeridas remitieron lo solicitado, salvo el Juzgado 94 de Instrucción Penal Militar de Carepa, Antioquia, que habría conocido de la causa penal relacionada con el primer caso. </w:t>
      </w:r>
      <w:r w:rsidR="00380ADA" w:rsidRPr="00B41EAD">
        <w:rPr>
          <w:color w:val="000000" w:themeColor="text1"/>
          <w:sz w:val="28"/>
          <w:szCs w:val="28"/>
          <w:lang w:val="es-ES"/>
        </w:rPr>
        <w:t>Pese a ello</w:t>
      </w:r>
      <w:r w:rsidRPr="00B41EAD">
        <w:rPr>
          <w:color w:val="000000" w:themeColor="text1"/>
          <w:sz w:val="28"/>
          <w:szCs w:val="28"/>
          <w:lang w:val="es-ES"/>
        </w:rPr>
        <w:t xml:space="preserve">, se logró tener acceso a dicha información al haberse aportado como prueba dentro del expediente de reparación directa. </w:t>
      </w:r>
    </w:p>
    <w:p w14:paraId="16D1AA14" w14:textId="77777777" w:rsidR="000C3138" w:rsidRPr="00B41EAD" w:rsidRDefault="000C3138" w:rsidP="000C3138">
      <w:pPr>
        <w:pStyle w:val="Prrafodelista"/>
        <w:rPr>
          <w:color w:val="000000" w:themeColor="text1"/>
          <w:sz w:val="28"/>
          <w:szCs w:val="28"/>
          <w:lang w:val="es-ES"/>
        </w:rPr>
      </w:pPr>
    </w:p>
    <w:p w14:paraId="57449802" w14:textId="42219D28" w:rsidR="00C416D3" w:rsidRPr="00B41EAD" w:rsidRDefault="009A5BC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cumplimiento de lo dispuesto en el</w:t>
      </w:r>
      <w:r w:rsidR="00425530" w:rsidRPr="00B41EAD">
        <w:rPr>
          <w:color w:val="000000" w:themeColor="text1"/>
          <w:sz w:val="28"/>
          <w:szCs w:val="28"/>
          <w:lang w:val="es-ES"/>
        </w:rPr>
        <w:t xml:space="preserve"> artículo 64 del</w:t>
      </w:r>
      <w:r w:rsidRPr="00B41EAD">
        <w:rPr>
          <w:color w:val="000000" w:themeColor="text1"/>
          <w:sz w:val="28"/>
          <w:szCs w:val="28"/>
          <w:lang w:val="es-ES"/>
        </w:rPr>
        <w:t xml:space="preserve"> reglamento interno de la Corte Constitucional, e</w:t>
      </w:r>
      <w:r w:rsidR="00DB60ED" w:rsidRPr="00B41EAD">
        <w:rPr>
          <w:color w:val="000000" w:themeColor="text1"/>
          <w:sz w:val="28"/>
          <w:szCs w:val="28"/>
          <w:lang w:val="es-ES"/>
        </w:rPr>
        <w:t xml:space="preserve">l </w:t>
      </w:r>
      <w:r w:rsidR="00D35844" w:rsidRPr="00B41EAD">
        <w:rPr>
          <w:color w:val="000000" w:themeColor="text1"/>
          <w:sz w:val="28"/>
          <w:szCs w:val="28"/>
          <w:lang w:val="es-ES"/>
        </w:rPr>
        <w:t xml:space="preserve">30 de agosto del </w:t>
      </w:r>
      <w:r w:rsidR="00982E81" w:rsidRPr="00B41EAD">
        <w:rPr>
          <w:color w:val="000000" w:themeColor="text1"/>
          <w:sz w:val="28"/>
          <w:szCs w:val="28"/>
          <w:lang w:val="es-ES"/>
        </w:rPr>
        <w:t>2024</w:t>
      </w:r>
      <w:r w:rsidR="00D35844" w:rsidRPr="00B41EAD">
        <w:rPr>
          <w:color w:val="000000" w:themeColor="text1"/>
          <w:sz w:val="28"/>
          <w:szCs w:val="28"/>
          <w:lang w:val="es-ES"/>
        </w:rPr>
        <w:t xml:space="preserve"> se puso a disposición de las partes y sujetos vinculados</w:t>
      </w:r>
      <w:r w:rsidR="004A7CA3" w:rsidRPr="00B41EAD">
        <w:rPr>
          <w:color w:val="000000" w:themeColor="text1"/>
          <w:sz w:val="28"/>
          <w:szCs w:val="28"/>
          <w:lang w:val="es-ES"/>
        </w:rPr>
        <w:t xml:space="preserve"> los documentos allegados</w:t>
      </w:r>
      <w:r w:rsidR="004A2688" w:rsidRPr="00B41EAD">
        <w:rPr>
          <w:color w:val="000000" w:themeColor="text1"/>
          <w:sz w:val="28"/>
          <w:szCs w:val="28"/>
          <w:lang w:val="es-ES"/>
        </w:rPr>
        <w:t xml:space="preserve">. De acuerdo con el informe secretarial correspondiente, el término de traslado se cumplió </w:t>
      </w:r>
      <w:r w:rsidRPr="00B41EAD">
        <w:rPr>
          <w:color w:val="000000" w:themeColor="text1"/>
          <w:sz w:val="28"/>
          <w:szCs w:val="28"/>
          <w:lang w:val="es-ES"/>
        </w:rPr>
        <w:t>sin obtener información adicional</w:t>
      </w:r>
      <w:r w:rsidR="00631EBF" w:rsidRPr="00B41EAD">
        <w:rPr>
          <w:color w:val="000000" w:themeColor="text1"/>
          <w:sz w:val="28"/>
          <w:szCs w:val="28"/>
          <w:lang w:val="es-ES"/>
        </w:rPr>
        <w:t>.</w:t>
      </w:r>
    </w:p>
    <w:p w14:paraId="49D37369" w14:textId="77777777" w:rsidR="00CD34A2" w:rsidRPr="00B41EAD" w:rsidRDefault="00CD34A2" w:rsidP="00226336">
      <w:pPr>
        <w:rPr>
          <w:color w:val="000000" w:themeColor="text1"/>
          <w:sz w:val="28"/>
          <w:szCs w:val="28"/>
          <w:lang w:val="es-ES"/>
        </w:rPr>
      </w:pPr>
    </w:p>
    <w:p w14:paraId="1E12FB6E" w14:textId="6F47BE89" w:rsidR="27803C0B" w:rsidRPr="00B41EAD" w:rsidRDefault="27803C0B" w:rsidP="006C0D35">
      <w:pPr>
        <w:pStyle w:val="Ttulo1"/>
        <w:tabs>
          <w:tab w:val="clear" w:pos="720"/>
        </w:tabs>
        <w:rPr>
          <w:b/>
          <w:bCs/>
          <w:color w:val="000000" w:themeColor="text1"/>
          <w:sz w:val="28"/>
          <w:szCs w:val="28"/>
          <w:lang w:val="es-ES"/>
        </w:rPr>
      </w:pPr>
      <w:r w:rsidRPr="00B41EAD">
        <w:rPr>
          <w:b/>
          <w:bCs/>
          <w:color w:val="000000" w:themeColor="text1"/>
          <w:sz w:val="28"/>
          <w:szCs w:val="28"/>
          <w:lang w:val="es-ES"/>
        </w:rPr>
        <w:t>CONSIDERACIONES</w:t>
      </w:r>
    </w:p>
    <w:p w14:paraId="71E1D7E7" w14:textId="6FFE53B3" w:rsidR="00F058BF" w:rsidRPr="00B41EAD" w:rsidRDefault="00F058BF" w:rsidP="105B277E">
      <w:pPr>
        <w:jc w:val="both"/>
        <w:rPr>
          <w:color w:val="000000" w:themeColor="text1"/>
          <w:sz w:val="28"/>
          <w:szCs w:val="28"/>
          <w:lang w:val="es-ES"/>
        </w:rPr>
      </w:pPr>
    </w:p>
    <w:p w14:paraId="35439541" w14:textId="41C2B490" w:rsidR="00102A1C" w:rsidRPr="00B41EAD" w:rsidRDefault="00B32E25">
      <w:pPr>
        <w:pStyle w:val="Ttulo2"/>
        <w:numPr>
          <w:ilvl w:val="0"/>
          <w:numId w:val="5"/>
        </w:numPr>
        <w:ind w:left="567" w:hanging="567"/>
        <w:rPr>
          <w:color w:val="000000" w:themeColor="text1"/>
          <w:sz w:val="28"/>
          <w:szCs w:val="28"/>
          <w:lang w:val="es-ES"/>
        </w:rPr>
      </w:pPr>
      <w:r w:rsidRPr="00B41EAD">
        <w:rPr>
          <w:color w:val="000000" w:themeColor="text1"/>
          <w:sz w:val="28"/>
          <w:szCs w:val="28"/>
          <w:lang w:val="es-ES"/>
        </w:rPr>
        <w:t>Competencia</w:t>
      </w:r>
    </w:p>
    <w:p w14:paraId="6E788680" w14:textId="77777777" w:rsidR="00B32E25" w:rsidRPr="00B41EAD" w:rsidRDefault="00B32E25" w:rsidP="00B32E25">
      <w:pPr>
        <w:rPr>
          <w:color w:val="000000" w:themeColor="text1"/>
          <w:sz w:val="28"/>
          <w:szCs w:val="28"/>
          <w:lang w:val="es-ES"/>
        </w:rPr>
      </w:pPr>
    </w:p>
    <w:p w14:paraId="46E1427C" w14:textId="5F72A9EE" w:rsidR="006C2DA8" w:rsidRPr="00B41EAD" w:rsidRDefault="00443F9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shd w:val="clear" w:color="auto" w:fill="FFFFFF"/>
          <w:lang w:val="es-ES"/>
        </w:rPr>
        <w:t>La Sala Plena de la Corte Constitucional es competente para revisar los fallos proferidos dentro de la</w:t>
      </w:r>
      <w:r w:rsidR="00A965BF" w:rsidRPr="00B41EAD">
        <w:rPr>
          <w:color w:val="000000" w:themeColor="text1"/>
          <w:sz w:val="28"/>
          <w:szCs w:val="28"/>
          <w:shd w:val="clear" w:color="auto" w:fill="FFFFFF"/>
          <w:lang w:val="es-ES"/>
        </w:rPr>
        <w:t>s</w:t>
      </w:r>
      <w:r w:rsidRPr="00B41EAD">
        <w:rPr>
          <w:color w:val="000000" w:themeColor="text1"/>
          <w:sz w:val="28"/>
          <w:szCs w:val="28"/>
          <w:shd w:val="clear" w:color="auto" w:fill="FFFFFF"/>
          <w:lang w:val="es-ES"/>
        </w:rPr>
        <w:t xml:space="preserve"> </w:t>
      </w:r>
      <w:r w:rsidR="00A965BF" w:rsidRPr="00B41EAD">
        <w:rPr>
          <w:color w:val="000000" w:themeColor="text1"/>
          <w:sz w:val="28"/>
          <w:szCs w:val="28"/>
          <w:shd w:val="clear" w:color="auto" w:fill="FFFFFF"/>
          <w:lang w:val="es-ES"/>
        </w:rPr>
        <w:t>acciones</w:t>
      </w:r>
      <w:r w:rsidRPr="00B41EAD">
        <w:rPr>
          <w:color w:val="000000" w:themeColor="text1"/>
          <w:sz w:val="28"/>
          <w:szCs w:val="28"/>
          <w:shd w:val="clear" w:color="auto" w:fill="FFFFFF"/>
          <w:lang w:val="es-ES"/>
        </w:rPr>
        <w:t xml:space="preserve"> de tutela de la referencia, con fundamento en el inciso 3 del artículo 86 y el numeral 9 del artículo 241 de la Constitución, en concordancia con los artículos 33 a 36 del Decreto 2591 de 1991 y 61 del Reglamento Interno de la Corporación.</w:t>
      </w:r>
    </w:p>
    <w:p w14:paraId="4CEDF36A" w14:textId="5FA00F2F" w:rsidR="0055311B" w:rsidRPr="00B41EAD" w:rsidRDefault="0055311B" w:rsidP="0055311B">
      <w:pPr>
        <w:pStyle w:val="Prrafodelista"/>
        <w:ind w:left="0"/>
        <w:jc w:val="both"/>
        <w:rPr>
          <w:color w:val="000000" w:themeColor="text1"/>
          <w:sz w:val="28"/>
          <w:szCs w:val="28"/>
          <w:shd w:val="clear" w:color="auto" w:fill="FFFFFF"/>
          <w:lang w:val="es-ES"/>
        </w:rPr>
      </w:pPr>
    </w:p>
    <w:p w14:paraId="1A736A93" w14:textId="7C2FB31A" w:rsidR="0055311B" w:rsidRPr="00B41EAD" w:rsidRDefault="0055311B">
      <w:pPr>
        <w:pStyle w:val="Ttulo2"/>
        <w:numPr>
          <w:ilvl w:val="0"/>
          <w:numId w:val="5"/>
        </w:numPr>
        <w:ind w:left="567" w:hanging="567"/>
        <w:jc w:val="both"/>
        <w:rPr>
          <w:color w:val="000000" w:themeColor="text1"/>
          <w:sz w:val="28"/>
          <w:szCs w:val="28"/>
          <w:lang w:val="es-ES"/>
        </w:rPr>
      </w:pPr>
      <w:r w:rsidRPr="00B41EAD">
        <w:rPr>
          <w:color w:val="000000" w:themeColor="text1"/>
          <w:sz w:val="28"/>
          <w:szCs w:val="28"/>
          <w:lang w:val="es-ES"/>
        </w:rPr>
        <w:t>Las dos acciones de tutela de la referencia cumplen los requisitos generales de proced</w:t>
      </w:r>
      <w:r w:rsidR="003E7B50" w:rsidRPr="00B41EAD">
        <w:rPr>
          <w:color w:val="000000" w:themeColor="text1"/>
          <w:sz w:val="28"/>
          <w:szCs w:val="28"/>
          <w:lang w:val="es-ES"/>
        </w:rPr>
        <w:t>ibilidad</w:t>
      </w:r>
      <w:r w:rsidRPr="00B41EAD">
        <w:rPr>
          <w:color w:val="000000" w:themeColor="text1"/>
          <w:sz w:val="28"/>
          <w:szCs w:val="28"/>
          <w:lang w:val="es-ES"/>
        </w:rPr>
        <w:t xml:space="preserve"> </w:t>
      </w:r>
    </w:p>
    <w:p w14:paraId="2E5F5460" w14:textId="77777777" w:rsidR="0055311B" w:rsidRPr="00B41EAD" w:rsidRDefault="0055311B" w:rsidP="0055311B">
      <w:pPr>
        <w:pStyle w:val="Prrafodelista"/>
        <w:ind w:left="0"/>
        <w:jc w:val="both"/>
        <w:rPr>
          <w:color w:val="000000" w:themeColor="text1"/>
          <w:sz w:val="28"/>
          <w:szCs w:val="28"/>
          <w:lang w:val="es-ES"/>
        </w:rPr>
      </w:pPr>
    </w:p>
    <w:p w14:paraId="4B0A378F" w14:textId="705E9190" w:rsidR="0055311B" w:rsidRPr="00B41EAD" w:rsidRDefault="0055311B">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Reiteradamente a jurisprudencia constitucional ha indicado que la acción de tutela procede contra decisiones judiciales, entre otras razones, por los principios de supremacía constitucional,</w:t>
      </w:r>
      <w:r w:rsidRPr="00B41EAD">
        <w:rPr>
          <w:color w:val="000000" w:themeColor="text1"/>
          <w:vertAlign w:val="superscript"/>
          <w:lang w:val="es-ES"/>
        </w:rPr>
        <w:footnoteReference w:id="40"/>
      </w:r>
      <w:r w:rsidRPr="00B41EAD">
        <w:rPr>
          <w:color w:val="000000" w:themeColor="text1"/>
          <w:sz w:val="28"/>
          <w:szCs w:val="28"/>
          <w:lang w:val="es-ES"/>
        </w:rPr>
        <w:t xml:space="preserve"> y eficacia de los derechos fundamentales,</w:t>
      </w:r>
      <w:r w:rsidRPr="00B41EAD">
        <w:rPr>
          <w:color w:val="000000" w:themeColor="text1"/>
          <w:vertAlign w:val="superscript"/>
          <w:lang w:val="es-ES"/>
        </w:rPr>
        <w:footnoteReference w:id="41"/>
      </w:r>
      <w:r w:rsidRPr="00B41EAD">
        <w:rPr>
          <w:color w:val="000000" w:themeColor="text1"/>
          <w:sz w:val="28"/>
          <w:szCs w:val="28"/>
          <w:lang w:val="es-ES"/>
        </w:rPr>
        <w:t xml:space="preserve"> así como del derecho a disponer de un recurso judicial efectivo. La jurisprudencia </w:t>
      </w:r>
      <w:r w:rsidRPr="00B41EAD">
        <w:rPr>
          <w:color w:val="000000" w:themeColor="text1"/>
          <w:sz w:val="28"/>
          <w:szCs w:val="28"/>
          <w:lang w:val="es-ES"/>
        </w:rPr>
        <w:lastRenderedPageBreak/>
        <w:t>constitucional, a partir de la Sentencia C-590 de 2005</w:t>
      </w:r>
      <w:r w:rsidRPr="00B41EAD">
        <w:rPr>
          <w:color w:val="000000" w:themeColor="text1"/>
          <w:vertAlign w:val="superscript"/>
          <w:lang w:val="es-ES"/>
        </w:rPr>
        <w:footnoteReference w:id="42"/>
      </w:r>
      <w:r w:rsidR="001557C6" w:rsidRPr="00B41EAD">
        <w:rPr>
          <w:color w:val="000000" w:themeColor="text1"/>
          <w:sz w:val="28"/>
          <w:szCs w:val="28"/>
          <w:lang w:val="es-ES"/>
        </w:rPr>
        <w:t>,</w:t>
      </w:r>
      <w:r w:rsidRPr="00B41EAD">
        <w:rPr>
          <w:color w:val="000000" w:themeColor="text1"/>
          <w:sz w:val="28"/>
          <w:szCs w:val="28"/>
          <w:lang w:val="es-ES"/>
        </w:rPr>
        <w:t xml:space="preserve"> consolidó la jurisprudencia sobre la materia. Allí, la Corte se refirió a los eventos en que procede formalmente este tipo de recursos de amparo (los llamados requisitos generales), y a los criterios que determinan si, de fondo, se incurrió en la violación de un derecho fundamental (las llamadas causales especiales de procedibilidad)</w:t>
      </w:r>
      <w:r w:rsidRPr="00B41EAD">
        <w:rPr>
          <w:color w:val="000000" w:themeColor="text1"/>
          <w:vertAlign w:val="superscript"/>
          <w:lang w:val="es-ES"/>
        </w:rPr>
        <w:footnoteReference w:id="43"/>
      </w:r>
      <w:r w:rsidR="001557C6" w:rsidRPr="00B41EAD">
        <w:rPr>
          <w:color w:val="000000" w:themeColor="text1"/>
          <w:sz w:val="28"/>
          <w:szCs w:val="28"/>
          <w:lang w:val="es-ES"/>
        </w:rPr>
        <w:t>.</w:t>
      </w:r>
    </w:p>
    <w:p w14:paraId="0AF73A80" w14:textId="77777777" w:rsidR="0055311B" w:rsidRPr="00B41EAD" w:rsidRDefault="0055311B" w:rsidP="0055311B">
      <w:pPr>
        <w:pStyle w:val="Prrafodelista"/>
        <w:ind w:left="0"/>
        <w:jc w:val="both"/>
        <w:rPr>
          <w:color w:val="000000" w:themeColor="text1"/>
          <w:sz w:val="28"/>
          <w:szCs w:val="28"/>
          <w:lang w:val="es-ES"/>
        </w:rPr>
      </w:pPr>
    </w:p>
    <w:p w14:paraId="41EBE02A" w14:textId="576EB1AD" w:rsidR="0055311B" w:rsidRPr="00B41EAD" w:rsidRDefault="0055311B">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Específicamente sobre los primeros presupuestos de procedencia, pertinentes para determinar si el caso admite un juicio constitucional de fondo, este Tribunal ha identificado los siguientes: (i) que las partes estén jurídicamente legitimadas dentro de la acción de tutela; (</w:t>
      </w:r>
      <w:proofErr w:type="spellStart"/>
      <w:r w:rsidRPr="00B41EAD">
        <w:rPr>
          <w:color w:val="000000" w:themeColor="text1"/>
          <w:sz w:val="28"/>
          <w:szCs w:val="28"/>
          <w:lang w:val="es-ES"/>
        </w:rPr>
        <w:t>ii</w:t>
      </w:r>
      <w:proofErr w:type="spellEnd"/>
      <w:r w:rsidRPr="00B41EAD">
        <w:rPr>
          <w:color w:val="000000" w:themeColor="text1"/>
          <w:sz w:val="28"/>
          <w:szCs w:val="28"/>
          <w:lang w:val="es-ES"/>
        </w:rPr>
        <w:t>) que la cuestión discutida sea de relevancia constitucional; (</w:t>
      </w:r>
      <w:proofErr w:type="spellStart"/>
      <w:r w:rsidRPr="00B41EAD">
        <w:rPr>
          <w:color w:val="000000" w:themeColor="text1"/>
          <w:sz w:val="28"/>
          <w:szCs w:val="28"/>
          <w:lang w:val="es-ES"/>
        </w:rPr>
        <w:t>iii</w:t>
      </w:r>
      <w:proofErr w:type="spellEnd"/>
      <w:r w:rsidRPr="00B41EAD">
        <w:rPr>
          <w:color w:val="000000" w:themeColor="text1"/>
          <w:sz w:val="28"/>
          <w:szCs w:val="28"/>
          <w:lang w:val="es-ES"/>
        </w:rPr>
        <w:t>) que se haya agotado todos los medios ordinarios y extraordinarios de defensa, salvo que se trate de evitar la consumación de un perjuicio irremediable; (</w:t>
      </w:r>
      <w:proofErr w:type="spellStart"/>
      <w:r w:rsidRPr="00B41EAD">
        <w:rPr>
          <w:color w:val="000000" w:themeColor="text1"/>
          <w:sz w:val="28"/>
          <w:szCs w:val="28"/>
          <w:lang w:val="es-ES"/>
        </w:rPr>
        <w:t>iv</w:t>
      </w:r>
      <w:proofErr w:type="spellEnd"/>
      <w:r w:rsidRPr="00B41EAD">
        <w:rPr>
          <w:color w:val="000000" w:themeColor="text1"/>
          <w:sz w:val="28"/>
          <w:szCs w:val="28"/>
          <w:lang w:val="es-ES"/>
        </w:rPr>
        <w:t>) que se cumpla con el requisito de la inmediatez; (v) que cuando se trate de una irregularidad procedimental, ésta sea decisiva o determinante en la providencia controvertida, de modo que aparentemente afecte los derechos fundamentales del actor; (vi) que la parte accionante identifique razonablemente los hechos generadores de la vulneración y los hubiere alegado en el proceso judicial, siempre que sea posible; y (</w:t>
      </w:r>
      <w:proofErr w:type="spellStart"/>
      <w:r w:rsidRPr="00B41EAD">
        <w:rPr>
          <w:color w:val="000000" w:themeColor="text1"/>
          <w:sz w:val="28"/>
          <w:szCs w:val="28"/>
          <w:lang w:val="es-ES"/>
        </w:rPr>
        <w:t>vii</w:t>
      </w:r>
      <w:proofErr w:type="spellEnd"/>
      <w:r w:rsidRPr="00B41EAD">
        <w:rPr>
          <w:color w:val="000000" w:themeColor="text1"/>
          <w:sz w:val="28"/>
          <w:szCs w:val="28"/>
          <w:lang w:val="es-ES"/>
        </w:rPr>
        <w:t>) que no corresponda a una tutela contra sentencia de tutela. Se trata, entonces, de un grupo de requisitos previos a la constatación de la presunta afectación o vulneración de las garantías fundamentales. Por tanto, no admiten una valoración y/o juzgamiento sobre el fondo del asunto, pues esto es propio del examen de los presupuestos especiales de procedibilidad.</w:t>
      </w:r>
    </w:p>
    <w:p w14:paraId="4CA30DD8" w14:textId="77777777" w:rsidR="0055311B" w:rsidRPr="00B41EAD" w:rsidRDefault="0055311B" w:rsidP="0055311B">
      <w:pPr>
        <w:pStyle w:val="Prrafodelista"/>
        <w:ind w:left="0"/>
        <w:jc w:val="both"/>
        <w:rPr>
          <w:color w:val="000000" w:themeColor="text1"/>
          <w:sz w:val="28"/>
          <w:szCs w:val="28"/>
          <w:lang w:val="es-ES"/>
        </w:rPr>
      </w:pPr>
    </w:p>
    <w:p w14:paraId="4B8EE8AE" w14:textId="77777777" w:rsidR="003D554D" w:rsidRPr="00B41EAD" w:rsidRDefault="003D554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Tanto en el expediente T-10.001.552 como en el expediente T-10.007.411 se encuentran acreditados los requisitos generales de procedencia, así: </w:t>
      </w:r>
    </w:p>
    <w:p w14:paraId="44814802" w14:textId="77777777" w:rsidR="003D554D" w:rsidRPr="00B41EAD" w:rsidRDefault="003D554D" w:rsidP="003D554D">
      <w:pPr>
        <w:pStyle w:val="Prrafodelista"/>
        <w:rPr>
          <w:color w:val="000000" w:themeColor="text1"/>
          <w:sz w:val="28"/>
          <w:szCs w:val="28"/>
          <w:lang w:val="es-ES"/>
        </w:rPr>
      </w:pPr>
    </w:p>
    <w:p w14:paraId="0D017A96" w14:textId="77777777" w:rsidR="003D554D" w:rsidRPr="00B41EAD" w:rsidRDefault="003D554D" w:rsidP="003D554D">
      <w:pPr>
        <w:pStyle w:val="Prrafodelista"/>
        <w:ind w:left="0"/>
        <w:jc w:val="both"/>
        <w:rPr>
          <w:color w:val="000000" w:themeColor="text1"/>
          <w:sz w:val="28"/>
          <w:szCs w:val="28"/>
          <w:lang w:val="es-ES"/>
        </w:rPr>
      </w:pPr>
      <w:r w:rsidRPr="00B41EAD">
        <w:rPr>
          <w:color w:val="000000" w:themeColor="text1"/>
          <w:sz w:val="28"/>
          <w:szCs w:val="28"/>
          <w:lang w:val="es-ES"/>
        </w:rPr>
        <w:t xml:space="preserve">(i) Los recursos de amparo fueron promovidos por los titulares de los derechos presuntamente trasgredidos </w:t>
      </w:r>
      <w:r w:rsidRPr="00B41EAD">
        <w:rPr>
          <w:i/>
          <w:iCs/>
          <w:color w:val="000000" w:themeColor="text1"/>
          <w:sz w:val="28"/>
          <w:szCs w:val="28"/>
          <w:lang w:val="es-ES"/>
        </w:rPr>
        <w:t>(legitimación por activa</w:t>
      </w:r>
      <w:r w:rsidRPr="00B41EAD">
        <w:rPr>
          <w:color w:val="000000" w:themeColor="text1"/>
          <w:sz w:val="28"/>
          <w:szCs w:val="28"/>
          <w:lang w:val="es-ES"/>
        </w:rPr>
        <w:t xml:space="preserve">). En ambos casos, la acción fue promovida a través de apoderado judicial y se anexaron los poderes respectivos que acreditan la facultad para acudir a la jurisdicción constitucional. </w:t>
      </w:r>
    </w:p>
    <w:p w14:paraId="3A7BCC5D" w14:textId="77777777" w:rsidR="003D554D" w:rsidRPr="00B41EAD" w:rsidRDefault="003D554D" w:rsidP="003D554D">
      <w:pPr>
        <w:pStyle w:val="Prrafodelista"/>
        <w:ind w:left="0"/>
        <w:jc w:val="both"/>
        <w:rPr>
          <w:color w:val="000000" w:themeColor="text1"/>
          <w:sz w:val="28"/>
          <w:szCs w:val="28"/>
          <w:lang w:val="es-ES"/>
        </w:rPr>
      </w:pPr>
    </w:p>
    <w:p w14:paraId="77B8BDE3" w14:textId="0780D186" w:rsidR="003D554D" w:rsidRPr="00B41EAD" w:rsidRDefault="003D554D" w:rsidP="003D554D">
      <w:pPr>
        <w:pStyle w:val="Prrafodelista"/>
        <w:ind w:left="0"/>
        <w:jc w:val="both"/>
        <w:rPr>
          <w:color w:val="000000" w:themeColor="text1"/>
          <w:sz w:val="28"/>
          <w:szCs w:val="28"/>
          <w:lang w:val="es-ES"/>
        </w:rPr>
      </w:pPr>
      <w:r w:rsidRPr="00B41EAD">
        <w:rPr>
          <w:color w:val="000000" w:themeColor="text1"/>
          <w:sz w:val="28"/>
          <w:szCs w:val="28"/>
          <w:lang w:val="es-ES"/>
        </w:rPr>
        <w:t>(</w:t>
      </w:r>
      <w:proofErr w:type="spellStart"/>
      <w:r w:rsidRPr="00B41EAD">
        <w:rPr>
          <w:color w:val="000000" w:themeColor="text1"/>
          <w:sz w:val="28"/>
          <w:szCs w:val="28"/>
          <w:lang w:val="es-ES"/>
        </w:rPr>
        <w:t>ii</w:t>
      </w:r>
      <w:proofErr w:type="spellEnd"/>
      <w:r w:rsidRPr="00B41EAD">
        <w:rPr>
          <w:color w:val="000000" w:themeColor="text1"/>
          <w:sz w:val="28"/>
          <w:szCs w:val="28"/>
          <w:lang w:val="es-ES"/>
        </w:rPr>
        <w:t>) El mecanismo constitucional se ejerció en contra de las autoridades judiciales</w:t>
      </w:r>
      <w:r w:rsidR="000D73E6" w:rsidRPr="00B41EAD">
        <w:rPr>
          <w:color w:val="000000" w:themeColor="text1"/>
          <w:sz w:val="28"/>
          <w:szCs w:val="28"/>
          <w:lang w:val="es-ES"/>
        </w:rPr>
        <w:t xml:space="preserve"> </w:t>
      </w:r>
      <w:r w:rsidRPr="00B41EAD">
        <w:rPr>
          <w:color w:val="000000" w:themeColor="text1"/>
          <w:sz w:val="28"/>
          <w:szCs w:val="28"/>
          <w:lang w:val="es-ES"/>
        </w:rPr>
        <w:t>a las que los actores le atribuye</w:t>
      </w:r>
      <w:r w:rsidR="000A09B0" w:rsidRPr="00B41EAD">
        <w:rPr>
          <w:color w:val="000000" w:themeColor="text1"/>
          <w:sz w:val="28"/>
          <w:szCs w:val="28"/>
          <w:lang w:val="es-ES"/>
        </w:rPr>
        <w:t>n</w:t>
      </w:r>
      <w:r w:rsidRPr="00B41EAD">
        <w:rPr>
          <w:color w:val="000000" w:themeColor="text1"/>
          <w:sz w:val="28"/>
          <w:szCs w:val="28"/>
          <w:lang w:val="es-ES"/>
        </w:rPr>
        <w:t xml:space="preserve"> la presunta vulneración de sus garantías constitucionales (</w:t>
      </w:r>
      <w:r w:rsidRPr="00B41EAD">
        <w:rPr>
          <w:i/>
          <w:iCs/>
          <w:color w:val="000000" w:themeColor="text1"/>
          <w:sz w:val="28"/>
          <w:szCs w:val="28"/>
          <w:lang w:val="es-ES"/>
        </w:rPr>
        <w:t>legitimación por pasiva</w:t>
      </w:r>
      <w:r w:rsidRPr="00B41EAD">
        <w:rPr>
          <w:color w:val="000000" w:themeColor="text1"/>
          <w:sz w:val="28"/>
          <w:szCs w:val="28"/>
          <w:lang w:val="es-ES"/>
        </w:rPr>
        <w:t xml:space="preserve">). </w:t>
      </w:r>
    </w:p>
    <w:p w14:paraId="5DF4F905" w14:textId="77777777" w:rsidR="003D554D" w:rsidRPr="00B41EAD" w:rsidRDefault="003D554D" w:rsidP="003D554D">
      <w:pPr>
        <w:pStyle w:val="Prrafodelista"/>
        <w:ind w:left="0"/>
        <w:jc w:val="both"/>
        <w:rPr>
          <w:color w:val="000000" w:themeColor="text1"/>
          <w:sz w:val="28"/>
          <w:szCs w:val="28"/>
          <w:lang w:val="es-ES"/>
        </w:rPr>
      </w:pPr>
    </w:p>
    <w:p w14:paraId="2E1CC62B" w14:textId="2D29AA69" w:rsidR="003D554D" w:rsidRPr="00B41EAD" w:rsidRDefault="003D554D" w:rsidP="003D554D">
      <w:pPr>
        <w:pStyle w:val="Prrafodelista"/>
        <w:ind w:left="0"/>
        <w:jc w:val="both"/>
        <w:rPr>
          <w:color w:val="000000" w:themeColor="text1"/>
          <w:sz w:val="28"/>
          <w:szCs w:val="28"/>
          <w:lang w:val="es-ES"/>
        </w:rPr>
      </w:pPr>
      <w:r w:rsidRPr="00B41EAD">
        <w:rPr>
          <w:color w:val="000000" w:themeColor="text1"/>
          <w:sz w:val="28"/>
          <w:szCs w:val="28"/>
          <w:lang w:val="es-ES"/>
        </w:rPr>
        <w:t>(</w:t>
      </w:r>
      <w:proofErr w:type="spellStart"/>
      <w:r w:rsidRPr="00B41EAD">
        <w:rPr>
          <w:color w:val="000000" w:themeColor="text1"/>
          <w:sz w:val="28"/>
          <w:szCs w:val="28"/>
          <w:lang w:val="es-ES"/>
        </w:rPr>
        <w:t>iii</w:t>
      </w:r>
      <w:proofErr w:type="spellEnd"/>
      <w:r w:rsidRPr="00B41EAD">
        <w:rPr>
          <w:color w:val="000000" w:themeColor="text1"/>
          <w:sz w:val="28"/>
          <w:szCs w:val="28"/>
          <w:lang w:val="es-ES"/>
        </w:rPr>
        <w:t xml:space="preserve">) </w:t>
      </w:r>
      <w:r w:rsidRPr="00B41EAD">
        <w:rPr>
          <w:iCs/>
          <w:color w:val="000000" w:themeColor="text1"/>
          <w:sz w:val="28"/>
          <w:szCs w:val="28"/>
          <w:lang w:val="es-ES"/>
        </w:rPr>
        <w:t>Del acápite de antecedentes previamente desarrollado se evidencia un ejercicio oportuno de la acción de tutela (</w:t>
      </w:r>
      <w:r w:rsidRPr="00B41EAD">
        <w:rPr>
          <w:i/>
          <w:color w:val="000000" w:themeColor="text1"/>
          <w:sz w:val="28"/>
          <w:szCs w:val="28"/>
          <w:lang w:val="es-ES"/>
        </w:rPr>
        <w:t>inmediatez</w:t>
      </w:r>
      <w:r w:rsidRPr="00B41EAD">
        <w:rPr>
          <w:iCs/>
          <w:color w:val="000000" w:themeColor="text1"/>
          <w:sz w:val="28"/>
          <w:szCs w:val="28"/>
          <w:lang w:val="es-ES"/>
        </w:rPr>
        <w:t xml:space="preserve">). En el caso del expediente </w:t>
      </w:r>
      <w:r w:rsidRPr="00B41EAD">
        <w:rPr>
          <w:color w:val="000000" w:themeColor="text1"/>
          <w:sz w:val="28"/>
          <w:szCs w:val="28"/>
          <w:lang w:val="es-ES"/>
        </w:rPr>
        <w:t>T-10.001.552, la providencia judicial cuestionada fue adoptada el 7 de septiembre de 2022, por la Subsección C de la Sección Tercera del Consejo de Estado</w:t>
      </w:r>
      <w:r w:rsidR="00FD7A1A" w:rsidRPr="00B41EAD">
        <w:rPr>
          <w:color w:val="000000" w:themeColor="text1"/>
          <w:sz w:val="28"/>
          <w:szCs w:val="28"/>
          <w:lang w:val="es-ES"/>
        </w:rPr>
        <w:t xml:space="preserve"> y notificada el 20 de febrero de 2023</w:t>
      </w:r>
      <w:r w:rsidR="00FD7A1A" w:rsidRPr="00B41EAD">
        <w:rPr>
          <w:rStyle w:val="Refdenotaalpie"/>
          <w:color w:val="000000" w:themeColor="text1"/>
          <w:sz w:val="28"/>
          <w:szCs w:val="28"/>
          <w:lang w:val="es-ES"/>
        </w:rPr>
        <w:footnoteReference w:id="44"/>
      </w:r>
      <w:r w:rsidR="00964142" w:rsidRPr="00B41EAD">
        <w:rPr>
          <w:color w:val="000000" w:themeColor="text1"/>
          <w:sz w:val="28"/>
          <w:szCs w:val="28"/>
          <w:lang w:val="es-ES"/>
        </w:rPr>
        <w:t xml:space="preserve">. Asimismo, la acción de tutela fue promovida el 28 de </w:t>
      </w:r>
      <w:r w:rsidR="00964142" w:rsidRPr="00B41EAD">
        <w:rPr>
          <w:color w:val="000000" w:themeColor="text1"/>
          <w:sz w:val="28"/>
          <w:szCs w:val="28"/>
          <w:lang w:val="es-ES"/>
        </w:rPr>
        <w:lastRenderedPageBreak/>
        <w:t xml:space="preserve">junio de 2023, por lo que entre la comunicación formal de la providencia cuestionada y la formulación del recurso de amparo transcurrió un poco más de </w:t>
      </w:r>
      <w:r w:rsidR="00FD7A1A" w:rsidRPr="00B41EAD">
        <w:rPr>
          <w:color w:val="000000" w:themeColor="text1"/>
          <w:sz w:val="28"/>
          <w:szCs w:val="28"/>
          <w:lang w:val="es-ES"/>
        </w:rPr>
        <w:t xml:space="preserve">cuatro </w:t>
      </w:r>
      <w:r w:rsidR="00964142" w:rsidRPr="00B41EAD">
        <w:rPr>
          <w:color w:val="000000" w:themeColor="text1"/>
          <w:sz w:val="28"/>
          <w:szCs w:val="28"/>
          <w:lang w:val="es-ES"/>
        </w:rPr>
        <w:t xml:space="preserve">meses, término que es ciertamente razonable. A su turno, sobre el expediente T-10.007.411 se tiene que la providencia cuestionada fue emitida </w:t>
      </w:r>
      <w:r w:rsidR="00FD7497" w:rsidRPr="00B41EAD">
        <w:rPr>
          <w:color w:val="000000" w:themeColor="text1"/>
          <w:sz w:val="28"/>
          <w:szCs w:val="28"/>
          <w:lang w:val="es-ES"/>
        </w:rPr>
        <w:t xml:space="preserve">el 2 de marzo de 2023 </w:t>
      </w:r>
      <w:r w:rsidR="000959ED" w:rsidRPr="00B41EAD">
        <w:rPr>
          <w:color w:val="000000" w:themeColor="text1"/>
          <w:sz w:val="28"/>
          <w:szCs w:val="28"/>
          <w:lang w:val="es-ES"/>
        </w:rPr>
        <w:t xml:space="preserve">y notificada el 10 de marzo siguiente, mientras que </w:t>
      </w:r>
      <w:r w:rsidR="00FD7497" w:rsidRPr="00B41EAD">
        <w:rPr>
          <w:color w:val="000000" w:themeColor="text1"/>
          <w:sz w:val="28"/>
          <w:szCs w:val="28"/>
          <w:lang w:val="es-ES"/>
        </w:rPr>
        <w:t xml:space="preserve">la acción de tutela se promovió el 28 de abril </w:t>
      </w:r>
      <w:r w:rsidR="000959ED" w:rsidRPr="00B41EAD">
        <w:rPr>
          <w:color w:val="000000" w:themeColor="text1"/>
          <w:sz w:val="28"/>
          <w:szCs w:val="28"/>
          <w:lang w:val="es-ES"/>
        </w:rPr>
        <w:t>del mismo año</w:t>
      </w:r>
      <w:r w:rsidR="00FD7497" w:rsidRPr="00B41EAD">
        <w:rPr>
          <w:color w:val="000000" w:themeColor="text1"/>
          <w:sz w:val="28"/>
          <w:szCs w:val="28"/>
          <w:lang w:val="es-ES"/>
        </w:rPr>
        <w:t xml:space="preserve">, lo que es suficiente para evidenciar con claridad que se trató de un ejercicio oportuno del </w:t>
      </w:r>
      <w:r w:rsidR="000959ED" w:rsidRPr="00B41EAD">
        <w:rPr>
          <w:color w:val="000000" w:themeColor="text1"/>
          <w:sz w:val="28"/>
          <w:szCs w:val="28"/>
          <w:lang w:val="es-ES"/>
        </w:rPr>
        <w:t>mecanismo constitucional</w:t>
      </w:r>
      <w:r w:rsidR="00FD7497" w:rsidRPr="00B41EAD">
        <w:rPr>
          <w:color w:val="000000" w:themeColor="text1"/>
          <w:sz w:val="28"/>
          <w:szCs w:val="28"/>
          <w:lang w:val="es-ES"/>
        </w:rPr>
        <w:t xml:space="preserve">. </w:t>
      </w:r>
      <w:r w:rsidR="00964142" w:rsidRPr="00B41EAD">
        <w:rPr>
          <w:color w:val="000000" w:themeColor="text1"/>
          <w:sz w:val="28"/>
          <w:szCs w:val="28"/>
          <w:lang w:val="es-ES"/>
        </w:rPr>
        <w:t xml:space="preserve"> </w:t>
      </w:r>
    </w:p>
    <w:p w14:paraId="2552A8E9" w14:textId="77777777" w:rsidR="003D554D" w:rsidRPr="00B41EAD" w:rsidRDefault="003D554D" w:rsidP="003D554D">
      <w:pPr>
        <w:pStyle w:val="Prrafodelista"/>
        <w:ind w:left="0"/>
        <w:jc w:val="both"/>
        <w:rPr>
          <w:iCs/>
          <w:color w:val="000000" w:themeColor="text1"/>
          <w:sz w:val="28"/>
          <w:szCs w:val="28"/>
          <w:lang w:val="es-ES"/>
        </w:rPr>
      </w:pPr>
    </w:p>
    <w:p w14:paraId="720D3376" w14:textId="7BEF1418" w:rsidR="00136A3F" w:rsidRPr="00B41EAD" w:rsidRDefault="003D554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Además, (</w:t>
      </w:r>
      <w:proofErr w:type="spellStart"/>
      <w:r w:rsidRPr="00B41EAD">
        <w:rPr>
          <w:color w:val="000000" w:themeColor="text1"/>
          <w:sz w:val="28"/>
          <w:szCs w:val="28"/>
          <w:lang w:val="es-ES"/>
        </w:rPr>
        <w:t>iv</w:t>
      </w:r>
      <w:proofErr w:type="spellEnd"/>
      <w:r w:rsidRPr="00B41EAD">
        <w:rPr>
          <w:color w:val="000000" w:themeColor="text1"/>
          <w:sz w:val="28"/>
          <w:szCs w:val="28"/>
          <w:lang w:val="es-ES"/>
        </w:rPr>
        <w:t xml:space="preserve">) </w:t>
      </w:r>
      <w:r w:rsidR="00FD7497" w:rsidRPr="00B41EAD">
        <w:rPr>
          <w:color w:val="000000" w:themeColor="text1"/>
          <w:sz w:val="28"/>
          <w:szCs w:val="28"/>
          <w:lang w:val="es-ES"/>
        </w:rPr>
        <w:t xml:space="preserve">en ambos casos </w:t>
      </w:r>
      <w:r w:rsidRPr="00B41EAD">
        <w:rPr>
          <w:color w:val="000000" w:themeColor="text1"/>
          <w:sz w:val="28"/>
          <w:szCs w:val="28"/>
          <w:lang w:val="es-ES"/>
        </w:rPr>
        <w:t xml:space="preserve">se satisface el requisito de </w:t>
      </w:r>
      <w:r w:rsidRPr="00B41EAD">
        <w:rPr>
          <w:i/>
          <w:iCs/>
          <w:color w:val="000000" w:themeColor="text1"/>
          <w:sz w:val="28"/>
          <w:szCs w:val="28"/>
          <w:lang w:val="es-ES"/>
        </w:rPr>
        <w:t>subsidiariedad</w:t>
      </w:r>
      <w:r w:rsidRPr="00B41EAD">
        <w:rPr>
          <w:color w:val="000000" w:themeColor="text1"/>
          <w:sz w:val="28"/>
          <w:szCs w:val="28"/>
          <w:lang w:val="es-ES"/>
        </w:rPr>
        <w:t xml:space="preserve">, pues </w:t>
      </w:r>
      <w:r w:rsidR="00FD7497" w:rsidRPr="00B41EAD">
        <w:rPr>
          <w:color w:val="000000" w:themeColor="text1"/>
          <w:sz w:val="28"/>
          <w:szCs w:val="28"/>
          <w:lang w:val="es-ES"/>
        </w:rPr>
        <w:t>los accionantes</w:t>
      </w:r>
      <w:r w:rsidRPr="00B41EAD">
        <w:rPr>
          <w:color w:val="000000" w:themeColor="text1"/>
          <w:sz w:val="28"/>
          <w:szCs w:val="28"/>
          <w:lang w:val="es-ES"/>
        </w:rPr>
        <w:t xml:space="preserve"> ha</w:t>
      </w:r>
      <w:r w:rsidR="00FD7497" w:rsidRPr="00B41EAD">
        <w:rPr>
          <w:color w:val="000000" w:themeColor="text1"/>
          <w:sz w:val="28"/>
          <w:szCs w:val="28"/>
          <w:lang w:val="es-ES"/>
        </w:rPr>
        <w:t>n</w:t>
      </w:r>
      <w:r w:rsidRPr="00B41EAD">
        <w:rPr>
          <w:color w:val="000000" w:themeColor="text1"/>
          <w:sz w:val="28"/>
          <w:szCs w:val="28"/>
          <w:lang w:val="es-ES"/>
        </w:rPr>
        <w:t xml:space="preserve"> agotado los recursos judiciales </w:t>
      </w:r>
      <w:r w:rsidRPr="00B41EAD">
        <w:rPr>
          <w:iCs/>
          <w:color w:val="000000" w:themeColor="text1"/>
          <w:sz w:val="28"/>
          <w:szCs w:val="28"/>
          <w:lang w:val="es-ES"/>
        </w:rPr>
        <w:t>disponibles</w:t>
      </w:r>
      <w:r w:rsidRPr="00B41EAD">
        <w:rPr>
          <w:color w:val="000000" w:themeColor="text1"/>
          <w:sz w:val="28"/>
          <w:szCs w:val="28"/>
          <w:lang w:val="es-ES"/>
        </w:rPr>
        <w:t xml:space="preserve"> e idóneos para </w:t>
      </w:r>
      <w:r w:rsidR="00FD7497" w:rsidRPr="00B41EAD">
        <w:rPr>
          <w:color w:val="000000" w:themeColor="text1"/>
          <w:sz w:val="28"/>
          <w:szCs w:val="28"/>
          <w:lang w:val="es-ES"/>
        </w:rPr>
        <w:t>hacer valer sus pretensiones dentro de los procesos de reparación directa sobre los que versa cada uno de los expedientes</w:t>
      </w:r>
      <w:r w:rsidRPr="00B41EAD">
        <w:rPr>
          <w:color w:val="000000" w:themeColor="text1"/>
          <w:sz w:val="28"/>
          <w:szCs w:val="28"/>
          <w:lang w:val="es-ES"/>
        </w:rPr>
        <w:t xml:space="preserve">. De hecho, </w:t>
      </w:r>
      <w:r w:rsidR="002377A2" w:rsidRPr="00B41EAD">
        <w:rPr>
          <w:color w:val="000000" w:themeColor="text1"/>
          <w:sz w:val="28"/>
          <w:szCs w:val="28"/>
          <w:lang w:val="es-ES"/>
        </w:rPr>
        <w:t>las providencias contra las que</w:t>
      </w:r>
      <w:r w:rsidRPr="00B41EAD">
        <w:rPr>
          <w:color w:val="000000" w:themeColor="text1"/>
          <w:sz w:val="28"/>
          <w:szCs w:val="28"/>
          <w:lang w:val="es-ES"/>
        </w:rPr>
        <w:t xml:space="preserve"> se ejerce el mecanismo constitucional</w:t>
      </w:r>
      <w:r w:rsidR="002377A2" w:rsidRPr="00B41EAD">
        <w:rPr>
          <w:color w:val="000000" w:themeColor="text1"/>
          <w:sz w:val="28"/>
          <w:szCs w:val="28"/>
          <w:lang w:val="es-ES"/>
        </w:rPr>
        <w:t xml:space="preserve"> son de segunda instancia y no sobra precisar que </w:t>
      </w:r>
      <w:r w:rsidRPr="00B41EAD">
        <w:rPr>
          <w:color w:val="000000" w:themeColor="text1"/>
          <w:sz w:val="28"/>
          <w:szCs w:val="28"/>
          <w:lang w:val="es-ES"/>
        </w:rPr>
        <w:t xml:space="preserve">los reproches formulados </w:t>
      </w:r>
      <w:r w:rsidR="002377A2" w:rsidRPr="00B41EAD">
        <w:rPr>
          <w:color w:val="000000" w:themeColor="text1"/>
          <w:sz w:val="28"/>
          <w:szCs w:val="28"/>
          <w:lang w:val="es-ES"/>
        </w:rPr>
        <w:t>en los escritos de tutela</w:t>
      </w:r>
      <w:r w:rsidRPr="00B41EAD">
        <w:rPr>
          <w:color w:val="000000" w:themeColor="text1"/>
          <w:sz w:val="28"/>
          <w:szCs w:val="28"/>
          <w:lang w:val="es-ES"/>
        </w:rPr>
        <w:t>, de entrada, no son cuestiones que sea posible enmarcar en las causales de procedencia del recurso extraordinario de revisión, contemplado en el artículo 250 del Código de Procedimiento Administrativo y de lo Contencioso Administrativo</w:t>
      </w:r>
      <w:r w:rsidR="00D9478D" w:rsidRPr="00B41EAD">
        <w:rPr>
          <w:color w:val="000000" w:themeColor="text1"/>
          <w:sz w:val="28"/>
          <w:szCs w:val="28"/>
          <w:lang w:val="es-ES"/>
        </w:rPr>
        <w:t xml:space="preserve"> - CPACA</w:t>
      </w:r>
      <w:r w:rsidRPr="00B41EAD">
        <w:rPr>
          <w:color w:val="000000" w:themeColor="text1"/>
          <w:sz w:val="28"/>
          <w:szCs w:val="28"/>
          <w:lang w:val="es-ES"/>
        </w:rPr>
        <w:t>.</w:t>
      </w:r>
      <w:r w:rsidR="00136A3F" w:rsidRPr="00B41EAD">
        <w:rPr>
          <w:color w:val="000000" w:themeColor="text1"/>
          <w:sz w:val="28"/>
          <w:szCs w:val="28"/>
          <w:lang w:val="es-ES"/>
        </w:rPr>
        <w:t xml:space="preserve"> </w:t>
      </w:r>
    </w:p>
    <w:p w14:paraId="5C38B697" w14:textId="77777777" w:rsidR="00136A3F" w:rsidRPr="00B41EAD" w:rsidRDefault="00136A3F" w:rsidP="00136A3F">
      <w:pPr>
        <w:pStyle w:val="Prrafodelista"/>
        <w:ind w:left="0"/>
        <w:jc w:val="both"/>
        <w:rPr>
          <w:color w:val="000000" w:themeColor="text1"/>
          <w:sz w:val="28"/>
          <w:szCs w:val="28"/>
          <w:lang w:val="es-ES"/>
        </w:rPr>
      </w:pPr>
    </w:p>
    <w:p w14:paraId="3EF15A85" w14:textId="70200498" w:rsidR="003D554D" w:rsidRPr="00B41EAD" w:rsidRDefault="00136A3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 lo anterior hay que agregar que en el expediente T-10.001.552 no es procedente el recurso de unificación de jurisprudencia contemplado en el artículo 256 y siguientes del </w:t>
      </w:r>
      <w:r w:rsidR="00D9478D" w:rsidRPr="00B41EAD">
        <w:rPr>
          <w:color w:val="000000" w:themeColor="text1"/>
          <w:sz w:val="28"/>
          <w:szCs w:val="28"/>
          <w:lang w:val="es-ES"/>
        </w:rPr>
        <w:t>CPACA</w:t>
      </w:r>
      <w:r w:rsidRPr="00B41EAD">
        <w:rPr>
          <w:color w:val="000000" w:themeColor="text1"/>
          <w:sz w:val="28"/>
          <w:szCs w:val="28"/>
          <w:lang w:val="es-ES"/>
        </w:rPr>
        <w:t>), pues este no</w:t>
      </w:r>
      <w:r w:rsidR="00D9478D" w:rsidRPr="00B41EAD">
        <w:rPr>
          <w:color w:val="000000" w:themeColor="text1"/>
          <w:sz w:val="28"/>
          <w:szCs w:val="28"/>
          <w:lang w:val="es-ES"/>
        </w:rPr>
        <w:t xml:space="preserve"> es posible ejercerlo en </w:t>
      </w:r>
      <w:r w:rsidRPr="00B41EAD">
        <w:rPr>
          <w:color w:val="000000" w:themeColor="text1"/>
          <w:sz w:val="28"/>
          <w:szCs w:val="28"/>
          <w:lang w:val="es-ES"/>
        </w:rPr>
        <w:t xml:space="preserve">contra </w:t>
      </w:r>
      <w:r w:rsidR="00D9478D" w:rsidRPr="00B41EAD">
        <w:rPr>
          <w:color w:val="000000" w:themeColor="text1"/>
          <w:sz w:val="28"/>
          <w:szCs w:val="28"/>
          <w:lang w:val="es-ES"/>
        </w:rPr>
        <w:t xml:space="preserve">de </w:t>
      </w:r>
      <w:r w:rsidRPr="00B41EAD">
        <w:rPr>
          <w:color w:val="000000" w:themeColor="text1"/>
          <w:sz w:val="28"/>
          <w:szCs w:val="28"/>
          <w:lang w:val="es-ES"/>
        </w:rPr>
        <w:t>sentencias dictadas en segunda instancia por el Consejo de Estado. Asimismo, en el caso del expediente T-10.007.411, dicho recurso no es idóneo, puesto que la parte accionante no está invocando un desconocimiento de una sentencia de unificación de jurisprudencia</w:t>
      </w:r>
      <w:r w:rsidR="00D9478D" w:rsidRPr="00B41EAD">
        <w:rPr>
          <w:color w:val="000000" w:themeColor="text1"/>
          <w:sz w:val="28"/>
          <w:szCs w:val="28"/>
          <w:lang w:val="es-ES"/>
        </w:rPr>
        <w:t xml:space="preserve">, de conformidad con lo dispuesto en el artículo 259 del mencionado Código.  </w:t>
      </w:r>
    </w:p>
    <w:p w14:paraId="49FC3C20" w14:textId="77777777" w:rsidR="002377A2" w:rsidRPr="00B41EAD" w:rsidRDefault="002377A2" w:rsidP="002377A2">
      <w:pPr>
        <w:pStyle w:val="Prrafodelista"/>
        <w:ind w:left="0"/>
        <w:jc w:val="both"/>
        <w:rPr>
          <w:color w:val="000000" w:themeColor="text1"/>
          <w:sz w:val="28"/>
          <w:szCs w:val="28"/>
          <w:lang w:val="es-ES"/>
        </w:rPr>
      </w:pPr>
    </w:p>
    <w:p w14:paraId="56CDE86F" w14:textId="15EC492D" w:rsidR="00FE6AB5" w:rsidRPr="00B41EAD" w:rsidRDefault="003D554D" w:rsidP="00B142B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 otro lado, (v) </w:t>
      </w:r>
      <w:r w:rsidR="002377A2" w:rsidRPr="00B41EAD">
        <w:rPr>
          <w:color w:val="000000" w:themeColor="text1"/>
          <w:sz w:val="28"/>
          <w:szCs w:val="28"/>
          <w:lang w:val="es-ES"/>
        </w:rPr>
        <w:t xml:space="preserve">ambos asuntos son de marcada </w:t>
      </w:r>
      <w:r w:rsidRPr="00B41EAD">
        <w:rPr>
          <w:i/>
          <w:iCs/>
          <w:color w:val="000000" w:themeColor="text1"/>
          <w:sz w:val="28"/>
          <w:szCs w:val="28"/>
          <w:lang w:val="es-ES"/>
        </w:rPr>
        <w:t xml:space="preserve">relevancia constitucional, </w:t>
      </w:r>
      <w:r w:rsidRPr="00B41EAD">
        <w:rPr>
          <w:color w:val="000000" w:themeColor="text1"/>
          <w:sz w:val="28"/>
          <w:szCs w:val="28"/>
          <w:lang w:val="es-ES"/>
        </w:rPr>
        <w:t xml:space="preserve">pues </w:t>
      </w:r>
      <w:r w:rsidR="002377A2" w:rsidRPr="00B41EAD">
        <w:rPr>
          <w:color w:val="000000" w:themeColor="text1"/>
          <w:sz w:val="28"/>
          <w:szCs w:val="28"/>
          <w:lang w:val="es-ES"/>
        </w:rPr>
        <w:t xml:space="preserve">de los escritos de tutela se </w:t>
      </w:r>
      <w:r w:rsidRPr="00B41EAD">
        <w:rPr>
          <w:color w:val="000000" w:themeColor="text1"/>
          <w:sz w:val="28"/>
          <w:szCs w:val="28"/>
          <w:lang w:val="es-ES"/>
        </w:rPr>
        <w:t>deriva un debate</w:t>
      </w:r>
      <w:r w:rsidR="002377A2" w:rsidRPr="00B41EAD">
        <w:rPr>
          <w:color w:val="000000" w:themeColor="text1"/>
          <w:sz w:val="28"/>
          <w:szCs w:val="28"/>
          <w:lang w:val="es-ES"/>
        </w:rPr>
        <w:t xml:space="preserve"> sobre la</w:t>
      </w:r>
      <w:r w:rsidRPr="00B41EAD">
        <w:rPr>
          <w:color w:val="000000" w:themeColor="text1"/>
          <w:sz w:val="28"/>
          <w:szCs w:val="28"/>
          <w:lang w:val="es-ES"/>
        </w:rPr>
        <w:t xml:space="preserve"> posible violación de las garantías fundamentales al debido proceso, </w:t>
      </w:r>
      <w:r w:rsidR="002377A2" w:rsidRPr="00B41EAD">
        <w:rPr>
          <w:color w:val="000000" w:themeColor="text1"/>
          <w:sz w:val="28"/>
          <w:szCs w:val="28"/>
          <w:lang w:val="es-ES"/>
        </w:rPr>
        <w:t>a la administración de justicia, y a las garantías de verdad, reparación integral y no repetición de presuntas víctimas de hechos aparentemente asociados a ejecuciones extrajudiciales; esto es, de presuntas graves violaciones de derechos humanos que estarían enmarcadas en delitos de lesa humanidad.</w:t>
      </w:r>
      <w:r w:rsidR="00D9478D" w:rsidRPr="00B41EAD">
        <w:rPr>
          <w:color w:val="000000" w:themeColor="text1"/>
          <w:sz w:val="28"/>
          <w:szCs w:val="28"/>
          <w:lang w:val="es-ES"/>
        </w:rPr>
        <w:t xml:space="preserve"> En consecuencia, </w:t>
      </w:r>
      <w:r w:rsidR="00FE6AB5" w:rsidRPr="00B41EAD">
        <w:rPr>
          <w:color w:val="000000" w:themeColor="text1"/>
          <w:sz w:val="28"/>
          <w:szCs w:val="28"/>
          <w:lang w:val="es-ES"/>
        </w:rPr>
        <w:t>es claro que en ambos casos la controversia “no se limita a una discusión meramente legal o de contenido estrictamente económico con connotaciones particulares o privadas”, siendo este un criterio jurisprudencial relevante para valorar la satisfacción de este requisito de procedibilidad</w:t>
      </w:r>
      <w:r w:rsidR="00FE6AB5" w:rsidRPr="00B41EAD">
        <w:rPr>
          <w:rStyle w:val="Refdenotaalpie"/>
          <w:color w:val="000000" w:themeColor="text1"/>
          <w:sz w:val="28"/>
          <w:szCs w:val="28"/>
          <w:lang w:val="es-ES"/>
        </w:rPr>
        <w:footnoteReference w:id="45"/>
      </w:r>
      <w:r w:rsidR="00FC681E" w:rsidRPr="00B41EAD">
        <w:rPr>
          <w:color w:val="000000" w:themeColor="text1"/>
          <w:sz w:val="28"/>
          <w:szCs w:val="28"/>
          <w:lang w:val="es-ES"/>
        </w:rPr>
        <w:t>.</w:t>
      </w:r>
    </w:p>
    <w:p w14:paraId="1178466B" w14:textId="77C189BC" w:rsidR="003D554D" w:rsidRPr="00B41EAD" w:rsidRDefault="00FE6AB5" w:rsidP="00FE6AB5">
      <w:pPr>
        <w:pStyle w:val="Prrafodelista"/>
        <w:ind w:left="0"/>
        <w:jc w:val="both"/>
        <w:rPr>
          <w:color w:val="000000" w:themeColor="text1"/>
          <w:sz w:val="28"/>
          <w:szCs w:val="28"/>
          <w:lang w:val="es-ES"/>
        </w:rPr>
      </w:pPr>
      <w:r w:rsidRPr="00B41EAD">
        <w:rPr>
          <w:color w:val="000000" w:themeColor="text1"/>
          <w:sz w:val="28"/>
          <w:szCs w:val="28"/>
          <w:lang w:val="es-ES"/>
        </w:rPr>
        <w:t xml:space="preserve"> </w:t>
      </w:r>
    </w:p>
    <w:p w14:paraId="3A64250C" w14:textId="4956F6F8" w:rsidR="0055311B" w:rsidRPr="00B41EAD" w:rsidRDefault="003D554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Por último, se acreditan los demás requisitos generales de procedencia: (vi) la</w:t>
      </w:r>
      <w:r w:rsidR="002377A2" w:rsidRPr="00B41EAD">
        <w:rPr>
          <w:color w:val="000000" w:themeColor="text1"/>
          <w:sz w:val="28"/>
          <w:szCs w:val="28"/>
          <w:lang w:val="es-ES"/>
        </w:rPr>
        <w:t>s</w:t>
      </w:r>
      <w:r w:rsidRPr="00B41EAD">
        <w:rPr>
          <w:color w:val="000000" w:themeColor="text1"/>
          <w:sz w:val="28"/>
          <w:szCs w:val="28"/>
          <w:lang w:val="es-ES"/>
        </w:rPr>
        <w:t xml:space="preserve"> solicitud</w:t>
      </w:r>
      <w:r w:rsidR="002377A2" w:rsidRPr="00B41EAD">
        <w:rPr>
          <w:color w:val="000000" w:themeColor="text1"/>
          <w:sz w:val="28"/>
          <w:szCs w:val="28"/>
          <w:lang w:val="es-ES"/>
        </w:rPr>
        <w:t xml:space="preserve">es </w:t>
      </w:r>
      <w:r w:rsidRPr="00B41EAD">
        <w:rPr>
          <w:color w:val="000000" w:themeColor="text1"/>
          <w:sz w:val="28"/>
          <w:szCs w:val="28"/>
          <w:lang w:val="es-ES"/>
        </w:rPr>
        <w:t>de amparo no invoca</w:t>
      </w:r>
      <w:r w:rsidR="002377A2" w:rsidRPr="00B41EAD">
        <w:rPr>
          <w:color w:val="000000" w:themeColor="text1"/>
          <w:sz w:val="28"/>
          <w:szCs w:val="28"/>
          <w:lang w:val="es-ES"/>
        </w:rPr>
        <w:t>n</w:t>
      </w:r>
      <w:r w:rsidRPr="00B41EAD">
        <w:rPr>
          <w:color w:val="000000" w:themeColor="text1"/>
          <w:sz w:val="28"/>
          <w:szCs w:val="28"/>
          <w:lang w:val="es-ES"/>
        </w:rPr>
        <w:t xml:space="preserve"> defectos </w:t>
      </w:r>
      <w:r w:rsidR="002377A2" w:rsidRPr="00B41EAD">
        <w:rPr>
          <w:color w:val="000000" w:themeColor="text1"/>
          <w:sz w:val="28"/>
          <w:szCs w:val="28"/>
          <w:lang w:val="es-ES"/>
        </w:rPr>
        <w:t>relacionados</w:t>
      </w:r>
      <w:r w:rsidRPr="00B41EAD">
        <w:rPr>
          <w:color w:val="000000" w:themeColor="text1"/>
          <w:sz w:val="28"/>
          <w:szCs w:val="28"/>
          <w:lang w:val="es-ES"/>
        </w:rPr>
        <w:t xml:space="preserve"> una presunta irregularidad </w:t>
      </w:r>
      <w:r w:rsidR="002377A2" w:rsidRPr="00B41EAD">
        <w:rPr>
          <w:color w:val="000000" w:themeColor="text1"/>
          <w:sz w:val="28"/>
          <w:szCs w:val="28"/>
          <w:lang w:val="es-ES"/>
        </w:rPr>
        <w:t xml:space="preserve">estrictamente </w:t>
      </w:r>
      <w:r w:rsidRPr="00B41EAD">
        <w:rPr>
          <w:color w:val="000000" w:themeColor="text1"/>
          <w:sz w:val="28"/>
          <w:szCs w:val="28"/>
          <w:lang w:val="es-ES"/>
        </w:rPr>
        <w:t>procesal. (</w:t>
      </w:r>
      <w:proofErr w:type="spellStart"/>
      <w:r w:rsidRPr="00B41EAD">
        <w:rPr>
          <w:color w:val="000000" w:themeColor="text1"/>
          <w:sz w:val="28"/>
          <w:szCs w:val="28"/>
          <w:lang w:val="es-ES"/>
        </w:rPr>
        <w:t>vii</w:t>
      </w:r>
      <w:proofErr w:type="spellEnd"/>
      <w:r w:rsidR="002377A2" w:rsidRPr="00B41EAD">
        <w:rPr>
          <w:color w:val="000000" w:themeColor="text1"/>
          <w:sz w:val="28"/>
          <w:szCs w:val="28"/>
          <w:lang w:val="es-ES"/>
        </w:rPr>
        <w:t>) Los peticionarios</w:t>
      </w:r>
      <w:r w:rsidRPr="00B41EAD">
        <w:rPr>
          <w:color w:val="000000" w:themeColor="text1"/>
          <w:sz w:val="28"/>
          <w:szCs w:val="28"/>
          <w:lang w:val="es-ES"/>
        </w:rPr>
        <w:t xml:space="preserve"> identific</w:t>
      </w:r>
      <w:r w:rsidR="002377A2" w:rsidRPr="00B41EAD">
        <w:rPr>
          <w:color w:val="000000" w:themeColor="text1"/>
          <w:sz w:val="28"/>
          <w:szCs w:val="28"/>
          <w:lang w:val="es-ES"/>
        </w:rPr>
        <w:t>aron</w:t>
      </w:r>
      <w:r w:rsidRPr="00B41EAD">
        <w:rPr>
          <w:color w:val="000000" w:themeColor="text1"/>
          <w:sz w:val="28"/>
          <w:szCs w:val="28"/>
          <w:lang w:val="es-ES"/>
        </w:rPr>
        <w:t xml:space="preserve"> con claridad los presupuestos fácticos </w:t>
      </w:r>
      <w:r w:rsidR="002377A2" w:rsidRPr="00B41EAD">
        <w:rPr>
          <w:color w:val="000000" w:themeColor="text1"/>
          <w:sz w:val="28"/>
          <w:szCs w:val="28"/>
          <w:lang w:val="es-ES"/>
        </w:rPr>
        <w:t>de cada caso</w:t>
      </w:r>
      <w:r w:rsidRPr="00B41EAD">
        <w:rPr>
          <w:color w:val="000000" w:themeColor="text1"/>
          <w:sz w:val="28"/>
          <w:szCs w:val="28"/>
          <w:lang w:val="es-ES"/>
        </w:rPr>
        <w:t xml:space="preserve"> y explic</w:t>
      </w:r>
      <w:r w:rsidR="002377A2" w:rsidRPr="00B41EAD">
        <w:rPr>
          <w:color w:val="000000" w:themeColor="text1"/>
          <w:sz w:val="28"/>
          <w:szCs w:val="28"/>
          <w:lang w:val="es-ES"/>
        </w:rPr>
        <w:t>aron</w:t>
      </w:r>
      <w:r w:rsidRPr="00B41EAD">
        <w:rPr>
          <w:color w:val="000000" w:themeColor="text1"/>
          <w:sz w:val="28"/>
          <w:szCs w:val="28"/>
          <w:lang w:val="es-ES"/>
        </w:rPr>
        <w:t xml:space="preserve"> razonablemente los </w:t>
      </w:r>
      <w:r w:rsidRPr="00B41EAD">
        <w:rPr>
          <w:color w:val="000000" w:themeColor="text1"/>
          <w:sz w:val="28"/>
          <w:szCs w:val="28"/>
          <w:lang w:val="es-ES"/>
        </w:rPr>
        <w:lastRenderedPageBreak/>
        <w:t>motivos por los cuales considera</w:t>
      </w:r>
      <w:r w:rsidR="002377A2" w:rsidRPr="00B41EAD">
        <w:rPr>
          <w:color w:val="000000" w:themeColor="text1"/>
          <w:sz w:val="28"/>
          <w:szCs w:val="28"/>
          <w:lang w:val="es-ES"/>
        </w:rPr>
        <w:t>n</w:t>
      </w:r>
      <w:r w:rsidRPr="00B41EAD">
        <w:rPr>
          <w:color w:val="000000" w:themeColor="text1"/>
          <w:sz w:val="28"/>
          <w:szCs w:val="28"/>
          <w:lang w:val="es-ES"/>
        </w:rPr>
        <w:t xml:space="preserve"> que le</w:t>
      </w:r>
      <w:r w:rsidR="000A09B0" w:rsidRPr="00B41EAD">
        <w:rPr>
          <w:color w:val="000000" w:themeColor="text1"/>
          <w:sz w:val="28"/>
          <w:szCs w:val="28"/>
          <w:lang w:val="es-ES"/>
        </w:rPr>
        <w:t>s</w:t>
      </w:r>
      <w:r w:rsidRPr="00B41EAD">
        <w:rPr>
          <w:color w:val="000000" w:themeColor="text1"/>
          <w:sz w:val="28"/>
          <w:szCs w:val="28"/>
          <w:lang w:val="es-ES"/>
        </w:rPr>
        <w:t xml:space="preserve"> han sido vulnerados sus derechos fundamentales. Y (</w:t>
      </w:r>
      <w:proofErr w:type="spellStart"/>
      <w:r w:rsidRPr="00B41EAD">
        <w:rPr>
          <w:color w:val="000000" w:themeColor="text1"/>
          <w:sz w:val="28"/>
          <w:szCs w:val="28"/>
          <w:lang w:val="es-ES"/>
        </w:rPr>
        <w:t>viii</w:t>
      </w:r>
      <w:proofErr w:type="spellEnd"/>
      <w:r w:rsidRPr="00B41EAD">
        <w:rPr>
          <w:color w:val="000000" w:themeColor="text1"/>
          <w:sz w:val="28"/>
          <w:szCs w:val="28"/>
          <w:lang w:val="es-ES"/>
        </w:rPr>
        <w:t>) es evidente que la</w:t>
      </w:r>
      <w:r w:rsidR="002377A2" w:rsidRPr="00B41EAD">
        <w:rPr>
          <w:color w:val="000000" w:themeColor="text1"/>
          <w:sz w:val="28"/>
          <w:szCs w:val="28"/>
          <w:lang w:val="es-ES"/>
        </w:rPr>
        <w:t>s</w:t>
      </w:r>
      <w:r w:rsidRPr="00B41EAD">
        <w:rPr>
          <w:color w:val="000000" w:themeColor="text1"/>
          <w:sz w:val="28"/>
          <w:szCs w:val="28"/>
          <w:lang w:val="es-ES"/>
        </w:rPr>
        <w:t xml:space="preserve"> providencia</w:t>
      </w:r>
      <w:r w:rsidR="002377A2" w:rsidRPr="00B41EAD">
        <w:rPr>
          <w:color w:val="000000" w:themeColor="text1"/>
          <w:sz w:val="28"/>
          <w:szCs w:val="28"/>
          <w:lang w:val="es-ES"/>
        </w:rPr>
        <w:t>s</w:t>
      </w:r>
      <w:r w:rsidRPr="00B41EAD">
        <w:rPr>
          <w:color w:val="000000" w:themeColor="text1"/>
          <w:sz w:val="28"/>
          <w:szCs w:val="28"/>
          <w:lang w:val="es-ES"/>
        </w:rPr>
        <w:t xml:space="preserve"> cuestionada</w:t>
      </w:r>
      <w:r w:rsidR="002377A2" w:rsidRPr="00B41EAD">
        <w:rPr>
          <w:color w:val="000000" w:themeColor="text1"/>
          <w:sz w:val="28"/>
          <w:szCs w:val="28"/>
          <w:lang w:val="es-ES"/>
        </w:rPr>
        <w:t>s no corresponden a decisiones</w:t>
      </w:r>
      <w:r w:rsidRPr="00B41EAD">
        <w:rPr>
          <w:color w:val="000000" w:themeColor="text1"/>
          <w:sz w:val="28"/>
          <w:szCs w:val="28"/>
          <w:lang w:val="es-ES"/>
        </w:rPr>
        <w:t xml:space="preserve"> adoptada</w:t>
      </w:r>
      <w:r w:rsidR="002377A2" w:rsidRPr="00B41EAD">
        <w:rPr>
          <w:color w:val="000000" w:themeColor="text1"/>
          <w:sz w:val="28"/>
          <w:szCs w:val="28"/>
          <w:lang w:val="es-ES"/>
        </w:rPr>
        <w:t>s</w:t>
      </w:r>
      <w:r w:rsidRPr="00B41EAD">
        <w:rPr>
          <w:color w:val="000000" w:themeColor="text1"/>
          <w:sz w:val="28"/>
          <w:szCs w:val="28"/>
          <w:lang w:val="es-ES"/>
        </w:rPr>
        <w:t xml:space="preserve"> en el marco de otra acción de tutela</w:t>
      </w:r>
      <w:r w:rsidR="002377A2" w:rsidRPr="00B41EAD">
        <w:rPr>
          <w:color w:val="000000" w:themeColor="text1"/>
          <w:sz w:val="28"/>
          <w:szCs w:val="28"/>
          <w:lang w:val="es-ES"/>
        </w:rPr>
        <w:t xml:space="preserve"> ni del medio de control de nulidad por inconstitucionalidad</w:t>
      </w:r>
      <w:r w:rsidRPr="00B41EAD">
        <w:rPr>
          <w:color w:val="000000" w:themeColor="text1"/>
          <w:sz w:val="28"/>
          <w:szCs w:val="28"/>
          <w:lang w:val="es-ES"/>
        </w:rPr>
        <w:t>.</w:t>
      </w:r>
    </w:p>
    <w:p w14:paraId="72B3F004" w14:textId="77777777" w:rsidR="002377A2" w:rsidRPr="00B41EAD" w:rsidRDefault="002377A2" w:rsidP="002377A2">
      <w:pPr>
        <w:pStyle w:val="Prrafodelista"/>
        <w:rPr>
          <w:color w:val="000000" w:themeColor="text1"/>
          <w:sz w:val="28"/>
          <w:szCs w:val="28"/>
          <w:lang w:val="es-ES"/>
        </w:rPr>
      </w:pPr>
    </w:p>
    <w:p w14:paraId="3CDA6867" w14:textId="5594C391" w:rsidR="002377A2" w:rsidRPr="00B41EAD" w:rsidRDefault="002377A2">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Cumplidos los presupuestos de procedencia formal de los mecanismos constitucionales de la referencia, pasa ahora la Sala a ocuparse del fondo de </w:t>
      </w:r>
      <w:proofErr w:type="gramStart"/>
      <w:r w:rsidRPr="00B41EAD">
        <w:rPr>
          <w:color w:val="000000" w:themeColor="text1"/>
          <w:sz w:val="28"/>
          <w:szCs w:val="28"/>
          <w:lang w:val="es-ES"/>
        </w:rPr>
        <w:t>los mismos</w:t>
      </w:r>
      <w:proofErr w:type="gramEnd"/>
      <w:r w:rsidRPr="00B41EAD">
        <w:rPr>
          <w:color w:val="000000" w:themeColor="text1"/>
          <w:sz w:val="28"/>
          <w:szCs w:val="28"/>
          <w:lang w:val="es-ES"/>
        </w:rPr>
        <w:t>.</w:t>
      </w:r>
    </w:p>
    <w:p w14:paraId="1C21907B" w14:textId="408D4964" w:rsidR="004511BF" w:rsidRPr="00B41EAD" w:rsidRDefault="004511BF" w:rsidP="004511BF">
      <w:pPr>
        <w:pStyle w:val="Prrafodelista"/>
        <w:rPr>
          <w:color w:val="000000" w:themeColor="text1"/>
          <w:sz w:val="28"/>
          <w:szCs w:val="28"/>
          <w:lang w:val="es-ES"/>
        </w:rPr>
      </w:pPr>
    </w:p>
    <w:p w14:paraId="07454FC8" w14:textId="68E817F1" w:rsidR="004511BF" w:rsidRPr="00B41EAD" w:rsidRDefault="004511BF">
      <w:pPr>
        <w:pStyle w:val="Ttulo2"/>
        <w:numPr>
          <w:ilvl w:val="0"/>
          <w:numId w:val="5"/>
        </w:numPr>
        <w:ind w:left="567" w:hanging="567"/>
        <w:jc w:val="both"/>
        <w:rPr>
          <w:color w:val="000000" w:themeColor="text1"/>
          <w:sz w:val="28"/>
          <w:szCs w:val="28"/>
          <w:lang w:val="es-ES"/>
        </w:rPr>
      </w:pPr>
      <w:r w:rsidRPr="00B41EAD">
        <w:rPr>
          <w:color w:val="000000" w:themeColor="text1"/>
          <w:sz w:val="28"/>
          <w:szCs w:val="28"/>
          <w:lang w:val="es-ES"/>
        </w:rPr>
        <w:t>Planteamiento de los problemas jurídicos y esquema de solución</w:t>
      </w:r>
    </w:p>
    <w:p w14:paraId="21DE0142" w14:textId="77777777" w:rsidR="004511BF" w:rsidRPr="00B41EAD" w:rsidRDefault="004511BF" w:rsidP="004511BF">
      <w:pPr>
        <w:pStyle w:val="Prrafodelista"/>
        <w:rPr>
          <w:color w:val="000000" w:themeColor="text1"/>
          <w:sz w:val="28"/>
          <w:szCs w:val="28"/>
          <w:lang w:val="es-ES"/>
        </w:rPr>
      </w:pPr>
    </w:p>
    <w:p w14:paraId="471F703C" w14:textId="6172E1A2" w:rsidR="004511BF" w:rsidRPr="00B41EAD" w:rsidRDefault="00085B5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 acuerdo con los antecedentes reseñados previamente, en esta ocasión la Sala Plena de la Corte Constitucional </w:t>
      </w:r>
      <w:r w:rsidR="00D80DB1" w:rsidRPr="00B41EAD">
        <w:rPr>
          <w:color w:val="000000" w:themeColor="text1"/>
          <w:sz w:val="28"/>
          <w:szCs w:val="28"/>
          <w:lang w:val="es-ES"/>
        </w:rPr>
        <w:t xml:space="preserve">está </w:t>
      </w:r>
      <w:r w:rsidRPr="00B41EAD">
        <w:rPr>
          <w:color w:val="000000" w:themeColor="text1"/>
          <w:sz w:val="28"/>
          <w:szCs w:val="28"/>
          <w:lang w:val="es-ES"/>
        </w:rPr>
        <w:t xml:space="preserve">llamada a pronunciarse sobre dos acciones de tutela formuladas en contra de las providencias judiciales que conocieron en segunda instancia de las demandas de reparación directa promovidas por </w:t>
      </w:r>
      <w:r w:rsidR="00E21970" w:rsidRPr="00B41EAD">
        <w:rPr>
          <w:color w:val="000000" w:themeColor="text1"/>
          <w:sz w:val="28"/>
          <w:szCs w:val="28"/>
          <w:lang w:val="es-ES"/>
        </w:rPr>
        <w:t xml:space="preserve">los </w:t>
      </w:r>
      <w:r w:rsidRPr="00B41EAD">
        <w:rPr>
          <w:color w:val="000000" w:themeColor="text1"/>
          <w:sz w:val="28"/>
          <w:szCs w:val="28"/>
          <w:lang w:val="es-ES"/>
        </w:rPr>
        <w:t xml:space="preserve">familiares de presuntas víctimas directas de ejecuciones extrajudiciales. En ambos casos, las autoridades judiciales accionadas declararon la caducidad del medio de control tras advertir que habían transcurrido más de dos años desde el momento en el que los demandantes habrían conocido de los hechos y de sus eventuales responsables. </w:t>
      </w:r>
    </w:p>
    <w:p w14:paraId="4CFB599B" w14:textId="77777777" w:rsidR="00085B5E" w:rsidRPr="00B41EAD" w:rsidRDefault="00085B5E" w:rsidP="00085B5E">
      <w:pPr>
        <w:pStyle w:val="Prrafodelista"/>
        <w:ind w:left="0"/>
        <w:jc w:val="both"/>
        <w:rPr>
          <w:color w:val="000000" w:themeColor="text1"/>
          <w:sz w:val="28"/>
          <w:szCs w:val="28"/>
          <w:lang w:val="es-ES"/>
        </w:rPr>
      </w:pPr>
    </w:p>
    <w:p w14:paraId="01AD642F" w14:textId="0CA5D96D" w:rsidR="00085B5E" w:rsidRPr="00B41EAD" w:rsidRDefault="00085B5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el primer expediente (T-10.001.552), la Subsección C de la Sección Tercera del Consejo de Estado </w:t>
      </w:r>
      <w:r w:rsidR="00E21970" w:rsidRPr="00B41EAD">
        <w:rPr>
          <w:color w:val="000000" w:themeColor="text1"/>
          <w:sz w:val="28"/>
          <w:szCs w:val="28"/>
          <w:lang w:val="es-ES"/>
        </w:rPr>
        <w:t xml:space="preserve">basó la declaratoria de </w:t>
      </w:r>
      <w:r w:rsidRPr="00B41EAD">
        <w:rPr>
          <w:color w:val="000000" w:themeColor="text1"/>
          <w:sz w:val="28"/>
          <w:szCs w:val="28"/>
          <w:lang w:val="es-ES"/>
        </w:rPr>
        <w:t xml:space="preserve">caducidad </w:t>
      </w:r>
      <w:r w:rsidR="00E21970" w:rsidRPr="00B41EAD">
        <w:rPr>
          <w:color w:val="000000" w:themeColor="text1"/>
          <w:sz w:val="28"/>
          <w:szCs w:val="28"/>
          <w:lang w:val="es-ES"/>
        </w:rPr>
        <w:t>en</w:t>
      </w:r>
      <w:r w:rsidR="00860B2F" w:rsidRPr="00B41EAD">
        <w:rPr>
          <w:color w:val="000000" w:themeColor="text1"/>
          <w:sz w:val="28"/>
          <w:szCs w:val="28"/>
          <w:lang w:val="es-ES"/>
        </w:rPr>
        <w:t xml:space="preserve"> que los demandantes conocieron las circunstancias de la muerte de su familiar, el señor Carlos Mario Durango, desde el 19 de agosto de 1996, fecha en la cual ocurrió el deceso. En la acción de tutela, los demandantes consideraron que la providencia judicial accionada incurrió en </w:t>
      </w:r>
      <w:r w:rsidR="00E21970" w:rsidRPr="00B41EAD">
        <w:rPr>
          <w:color w:val="000000" w:themeColor="text1"/>
          <w:sz w:val="28"/>
          <w:szCs w:val="28"/>
          <w:lang w:val="es-ES"/>
        </w:rPr>
        <w:t xml:space="preserve">los siguientes defectos: </w:t>
      </w:r>
      <w:r w:rsidR="00860B2F" w:rsidRPr="00B41EAD">
        <w:rPr>
          <w:color w:val="000000" w:themeColor="text1"/>
          <w:sz w:val="28"/>
          <w:szCs w:val="28"/>
          <w:lang w:val="es-ES"/>
        </w:rPr>
        <w:t xml:space="preserve"> </w:t>
      </w:r>
      <w:r w:rsidR="00860B2F" w:rsidRPr="00B41EAD">
        <w:rPr>
          <w:i/>
          <w:iCs/>
          <w:color w:val="000000" w:themeColor="text1"/>
          <w:sz w:val="28"/>
          <w:szCs w:val="28"/>
          <w:lang w:val="es-ES"/>
        </w:rPr>
        <w:t>defecto fáctico</w:t>
      </w:r>
      <w:r w:rsidR="00860B2F" w:rsidRPr="00B41EAD">
        <w:rPr>
          <w:color w:val="000000" w:themeColor="text1"/>
          <w:sz w:val="28"/>
          <w:szCs w:val="28"/>
          <w:lang w:val="es-ES"/>
        </w:rPr>
        <w:t>,</w:t>
      </w:r>
      <w:r w:rsidR="00E21970" w:rsidRPr="00B41EAD">
        <w:rPr>
          <w:color w:val="000000" w:themeColor="text1"/>
          <w:sz w:val="28"/>
          <w:szCs w:val="28"/>
          <w:lang w:val="es-ES"/>
        </w:rPr>
        <w:t xml:space="preserve"> por considerar que </w:t>
      </w:r>
      <w:r w:rsidR="000E5016" w:rsidRPr="00B41EAD">
        <w:rPr>
          <w:color w:val="000000" w:themeColor="text1"/>
          <w:sz w:val="28"/>
          <w:szCs w:val="28"/>
          <w:lang w:val="es-ES"/>
        </w:rPr>
        <w:t xml:space="preserve">no se hizo una valoración probatoria adecuada, en consideración de las limitaciones o barreras de las víctimas para obtener información sobre este tipo de casos; </w:t>
      </w:r>
      <w:r w:rsidR="000E5016" w:rsidRPr="00B41EAD">
        <w:rPr>
          <w:i/>
          <w:iCs/>
          <w:color w:val="000000" w:themeColor="text1"/>
          <w:sz w:val="28"/>
          <w:szCs w:val="28"/>
          <w:lang w:val="es-ES"/>
        </w:rPr>
        <w:t xml:space="preserve">defecto por </w:t>
      </w:r>
      <w:r w:rsidR="00860B2F" w:rsidRPr="00B41EAD">
        <w:rPr>
          <w:i/>
          <w:iCs/>
          <w:color w:val="000000" w:themeColor="text1"/>
          <w:sz w:val="28"/>
          <w:szCs w:val="28"/>
          <w:lang w:val="es-ES"/>
        </w:rPr>
        <w:t>desconocimiento del precedente</w:t>
      </w:r>
      <w:r w:rsidR="000E5016" w:rsidRPr="00B41EAD">
        <w:rPr>
          <w:i/>
          <w:iCs/>
          <w:color w:val="000000" w:themeColor="text1"/>
          <w:sz w:val="28"/>
          <w:szCs w:val="28"/>
          <w:lang w:val="es-ES"/>
        </w:rPr>
        <w:t xml:space="preserve"> </w:t>
      </w:r>
      <w:r w:rsidR="000E5016" w:rsidRPr="00B41EAD">
        <w:rPr>
          <w:color w:val="000000" w:themeColor="text1"/>
          <w:sz w:val="28"/>
          <w:szCs w:val="28"/>
          <w:lang w:val="es-ES"/>
        </w:rPr>
        <w:t>contenido en la sentencia de unificación del 29 de enero de 2020</w:t>
      </w:r>
      <w:r w:rsidR="000E5016" w:rsidRPr="00B41EAD">
        <w:rPr>
          <w:rStyle w:val="Refdenotaalpie"/>
          <w:color w:val="000000" w:themeColor="text1"/>
          <w:sz w:val="28"/>
          <w:szCs w:val="28"/>
          <w:lang w:val="es-ES"/>
        </w:rPr>
        <w:footnoteReference w:id="46"/>
      </w:r>
      <w:r w:rsidR="000E5016" w:rsidRPr="00B41EAD">
        <w:rPr>
          <w:color w:val="000000" w:themeColor="text1"/>
          <w:sz w:val="28"/>
          <w:szCs w:val="28"/>
          <w:lang w:val="es-ES"/>
        </w:rPr>
        <w:t xml:space="preserve">; </w:t>
      </w:r>
      <w:r w:rsidR="00860B2F" w:rsidRPr="00B41EAD">
        <w:rPr>
          <w:color w:val="000000" w:themeColor="text1"/>
          <w:sz w:val="28"/>
          <w:szCs w:val="28"/>
          <w:lang w:val="es-ES"/>
        </w:rPr>
        <w:t xml:space="preserve">y </w:t>
      </w:r>
      <w:r w:rsidR="000E5016" w:rsidRPr="00B41EAD">
        <w:rPr>
          <w:i/>
          <w:iCs/>
          <w:color w:val="000000" w:themeColor="text1"/>
          <w:sz w:val="28"/>
          <w:szCs w:val="28"/>
          <w:lang w:val="es-ES"/>
        </w:rPr>
        <w:t>defecto por</w:t>
      </w:r>
      <w:r w:rsidR="00860B2F" w:rsidRPr="00B41EAD">
        <w:rPr>
          <w:i/>
          <w:iCs/>
          <w:color w:val="000000" w:themeColor="text1"/>
          <w:sz w:val="28"/>
          <w:szCs w:val="28"/>
          <w:lang w:val="es-ES"/>
        </w:rPr>
        <w:t xml:space="preserve"> violación directa de la </w:t>
      </w:r>
      <w:r w:rsidR="000E5016" w:rsidRPr="00B41EAD">
        <w:rPr>
          <w:i/>
          <w:iCs/>
          <w:color w:val="000000" w:themeColor="text1"/>
          <w:sz w:val="28"/>
          <w:szCs w:val="28"/>
          <w:lang w:val="es-ES"/>
        </w:rPr>
        <w:t>C</w:t>
      </w:r>
      <w:r w:rsidR="00860B2F" w:rsidRPr="00B41EAD">
        <w:rPr>
          <w:i/>
          <w:iCs/>
          <w:color w:val="000000" w:themeColor="text1"/>
          <w:sz w:val="28"/>
          <w:szCs w:val="28"/>
          <w:lang w:val="es-ES"/>
        </w:rPr>
        <w:t>onstitución</w:t>
      </w:r>
      <w:r w:rsidR="000E5016" w:rsidRPr="00B41EAD">
        <w:rPr>
          <w:color w:val="000000" w:themeColor="text1"/>
          <w:sz w:val="28"/>
          <w:szCs w:val="28"/>
          <w:lang w:val="es-ES"/>
        </w:rPr>
        <w:t xml:space="preserve">, al haberse trasgredido los derechos fundamentales al debido proceso, al acceso a la administración del justicia, y las garantías de las víctimas de graves violaciones de derechos humanos, así como el desconocimiento de la cláusula de responsabilidad patrimonial del Estado contenida en el artículo 90 de la Constitución. </w:t>
      </w:r>
    </w:p>
    <w:p w14:paraId="5192E45E" w14:textId="77777777" w:rsidR="008A40F7" w:rsidRPr="00B41EAD" w:rsidRDefault="008A40F7" w:rsidP="008A40F7">
      <w:pPr>
        <w:pStyle w:val="Prrafodelista"/>
        <w:ind w:left="0"/>
        <w:jc w:val="both"/>
        <w:rPr>
          <w:color w:val="000000" w:themeColor="text1"/>
          <w:sz w:val="28"/>
          <w:szCs w:val="28"/>
          <w:lang w:val="es-ES"/>
        </w:rPr>
      </w:pPr>
    </w:p>
    <w:p w14:paraId="60923168" w14:textId="07817245" w:rsidR="001538A8" w:rsidRPr="00B41EAD" w:rsidRDefault="008A40F7">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Por su parte, en el </w:t>
      </w:r>
      <w:r w:rsidR="000A09B0" w:rsidRPr="00B41EAD">
        <w:rPr>
          <w:color w:val="000000" w:themeColor="text1"/>
          <w:sz w:val="28"/>
          <w:szCs w:val="28"/>
          <w:lang w:val="es-ES"/>
        </w:rPr>
        <w:t xml:space="preserve">segundo </w:t>
      </w:r>
      <w:r w:rsidRPr="00B41EAD">
        <w:rPr>
          <w:color w:val="000000" w:themeColor="text1"/>
          <w:sz w:val="28"/>
          <w:szCs w:val="28"/>
          <w:lang w:val="es-ES"/>
        </w:rPr>
        <w:t xml:space="preserve">expediente </w:t>
      </w:r>
      <w:r w:rsidR="000A09B0" w:rsidRPr="00B41EAD">
        <w:rPr>
          <w:color w:val="000000" w:themeColor="text1"/>
          <w:sz w:val="28"/>
          <w:szCs w:val="28"/>
          <w:lang w:val="es-ES"/>
        </w:rPr>
        <w:t>(</w:t>
      </w:r>
      <w:r w:rsidRPr="00B41EAD">
        <w:rPr>
          <w:color w:val="000000" w:themeColor="text1"/>
          <w:sz w:val="28"/>
          <w:szCs w:val="28"/>
          <w:lang w:val="es-ES"/>
        </w:rPr>
        <w:t>T-10.007.411</w:t>
      </w:r>
      <w:r w:rsidR="000A09B0" w:rsidRPr="00B41EAD">
        <w:rPr>
          <w:color w:val="000000" w:themeColor="text1"/>
          <w:sz w:val="28"/>
          <w:szCs w:val="28"/>
          <w:lang w:val="es-ES"/>
        </w:rPr>
        <w:t>)</w:t>
      </w:r>
      <w:r w:rsidRPr="00B41EAD">
        <w:rPr>
          <w:color w:val="000000" w:themeColor="text1"/>
          <w:sz w:val="28"/>
          <w:szCs w:val="28"/>
          <w:lang w:val="es-ES"/>
        </w:rPr>
        <w:t>, el Tribunal Administrativo de</w:t>
      </w:r>
      <w:r w:rsidR="007808B0" w:rsidRPr="00B41EAD">
        <w:rPr>
          <w:color w:val="000000" w:themeColor="text1"/>
          <w:sz w:val="28"/>
          <w:szCs w:val="28"/>
          <w:lang w:val="es-ES"/>
        </w:rPr>
        <w:t xml:space="preserve">l Tolima declaró la caducidad de medio de control </w:t>
      </w:r>
      <w:r w:rsidR="001A15AF" w:rsidRPr="00B41EAD">
        <w:rPr>
          <w:color w:val="000000" w:themeColor="text1"/>
          <w:sz w:val="28"/>
          <w:szCs w:val="28"/>
          <w:lang w:val="es-ES"/>
        </w:rPr>
        <w:t xml:space="preserve">tras </w:t>
      </w:r>
      <w:r w:rsidR="00B25A91" w:rsidRPr="00B41EAD">
        <w:rPr>
          <w:color w:val="000000" w:themeColor="text1"/>
          <w:sz w:val="28"/>
          <w:szCs w:val="28"/>
          <w:lang w:val="es-ES"/>
        </w:rPr>
        <w:t xml:space="preserve">advertir </w:t>
      </w:r>
      <w:r w:rsidR="001A15AF" w:rsidRPr="00B41EAD">
        <w:rPr>
          <w:color w:val="000000" w:themeColor="text1"/>
          <w:sz w:val="28"/>
          <w:szCs w:val="28"/>
          <w:lang w:val="es-ES"/>
        </w:rPr>
        <w:t xml:space="preserve">que, dentro del proceso penal adelantado con ocasión de la muerte del señor </w:t>
      </w:r>
      <w:r w:rsidR="007808B0" w:rsidRPr="00B41EAD">
        <w:rPr>
          <w:color w:val="000000" w:themeColor="text1"/>
          <w:sz w:val="28"/>
          <w:szCs w:val="28"/>
          <w:lang w:val="es-ES"/>
        </w:rPr>
        <w:t xml:space="preserve"> </w:t>
      </w:r>
      <w:r w:rsidR="001A15AF" w:rsidRPr="00B41EAD">
        <w:rPr>
          <w:color w:val="000000" w:themeColor="text1"/>
          <w:sz w:val="28"/>
          <w:szCs w:val="28"/>
          <w:lang w:val="es-ES"/>
        </w:rPr>
        <w:t xml:space="preserve">Jorge Armando Guevara Pérez, su compañera permanente y demandante </w:t>
      </w:r>
      <w:r w:rsidR="00B25A91" w:rsidRPr="00B41EAD">
        <w:rPr>
          <w:color w:val="000000" w:themeColor="text1"/>
          <w:sz w:val="28"/>
          <w:szCs w:val="28"/>
          <w:lang w:val="es-ES"/>
        </w:rPr>
        <w:t>en el</w:t>
      </w:r>
      <w:r w:rsidR="001A15AF" w:rsidRPr="00B41EAD">
        <w:rPr>
          <w:color w:val="000000" w:themeColor="text1"/>
          <w:sz w:val="28"/>
          <w:szCs w:val="28"/>
          <w:lang w:val="es-ES"/>
        </w:rPr>
        <w:t xml:space="preserve"> trámite de reparación directa había rendido una entrevista el 17 de marzo de 2010 ante la Fiscalía General de la Nación, en la que indicó que el deceso de su familiar p</w:t>
      </w:r>
      <w:r w:rsidR="00C42A91" w:rsidRPr="00B41EAD">
        <w:rPr>
          <w:color w:val="000000" w:themeColor="text1"/>
          <w:sz w:val="28"/>
          <w:szCs w:val="28"/>
          <w:lang w:val="es-ES"/>
        </w:rPr>
        <w:t>udo</w:t>
      </w:r>
      <w:r w:rsidR="001A15AF" w:rsidRPr="00B41EAD">
        <w:rPr>
          <w:color w:val="000000" w:themeColor="text1"/>
          <w:sz w:val="28"/>
          <w:szCs w:val="28"/>
          <w:lang w:val="es-ES"/>
        </w:rPr>
        <w:t xml:space="preserve"> </w:t>
      </w:r>
      <w:r w:rsidR="00C42A91" w:rsidRPr="00B41EAD">
        <w:rPr>
          <w:color w:val="000000" w:themeColor="text1"/>
          <w:sz w:val="28"/>
          <w:szCs w:val="28"/>
          <w:lang w:val="es-ES"/>
        </w:rPr>
        <w:t xml:space="preserve">haber sido </w:t>
      </w:r>
      <w:r w:rsidR="001A15AF" w:rsidRPr="00B41EAD">
        <w:rPr>
          <w:color w:val="000000" w:themeColor="text1"/>
          <w:sz w:val="28"/>
          <w:szCs w:val="28"/>
          <w:lang w:val="es-ES"/>
        </w:rPr>
        <w:t xml:space="preserve">un “falso positivo”. </w:t>
      </w:r>
    </w:p>
    <w:p w14:paraId="637E4F20" w14:textId="77777777" w:rsidR="001538A8" w:rsidRPr="00B41EAD" w:rsidRDefault="001538A8" w:rsidP="001538A8">
      <w:pPr>
        <w:pStyle w:val="Prrafodelista"/>
        <w:rPr>
          <w:color w:val="000000" w:themeColor="text1"/>
          <w:sz w:val="28"/>
          <w:szCs w:val="28"/>
          <w:lang w:val="es-ES"/>
        </w:rPr>
      </w:pPr>
    </w:p>
    <w:p w14:paraId="3FA3DEC4" w14:textId="77033932" w:rsidR="008A40F7" w:rsidRPr="00B41EAD" w:rsidRDefault="00B25A9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w:t>
      </w:r>
      <w:r w:rsidR="001A15AF" w:rsidRPr="00B41EAD">
        <w:rPr>
          <w:color w:val="000000" w:themeColor="text1"/>
          <w:sz w:val="28"/>
          <w:szCs w:val="28"/>
          <w:lang w:val="es-ES"/>
        </w:rPr>
        <w:t xml:space="preserve"> la acción de tutela </w:t>
      </w:r>
      <w:r w:rsidR="001538A8" w:rsidRPr="00B41EAD">
        <w:rPr>
          <w:color w:val="000000" w:themeColor="text1"/>
          <w:sz w:val="28"/>
          <w:szCs w:val="28"/>
          <w:lang w:val="es-ES"/>
        </w:rPr>
        <w:t>de este segundo caso</w:t>
      </w:r>
      <w:r w:rsidRPr="00B41EAD">
        <w:rPr>
          <w:color w:val="000000" w:themeColor="text1"/>
          <w:sz w:val="28"/>
          <w:szCs w:val="28"/>
          <w:lang w:val="es-ES"/>
        </w:rPr>
        <w:t>, los actores atribuyeron a la providencia judicial</w:t>
      </w:r>
      <w:r w:rsidR="001538A8" w:rsidRPr="00B41EAD">
        <w:rPr>
          <w:color w:val="000000" w:themeColor="text1"/>
          <w:sz w:val="28"/>
          <w:szCs w:val="28"/>
          <w:lang w:val="es-ES"/>
        </w:rPr>
        <w:t xml:space="preserve"> cuestionada</w:t>
      </w:r>
      <w:r w:rsidRPr="00B41EAD">
        <w:rPr>
          <w:color w:val="000000" w:themeColor="text1"/>
          <w:sz w:val="28"/>
          <w:szCs w:val="28"/>
          <w:lang w:val="es-ES"/>
        </w:rPr>
        <w:t xml:space="preserve"> los siguientes defectos</w:t>
      </w:r>
      <w:r w:rsidR="001538A8" w:rsidRPr="00B41EAD">
        <w:rPr>
          <w:color w:val="000000" w:themeColor="text1"/>
          <w:sz w:val="28"/>
          <w:szCs w:val="28"/>
          <w:lang w:val="es-ES"/>
        </w:rPr>
        <w:t xml:space="preserve">: </w:t>
      </w:r>
      <w:r w:rsidR="001538A8" w:rsidRPr="00B41EAD">
        <w:rPr>
          <w:i/>
          <w:iCs/>
          <w:color w:val="000000" w:themeColor="text1"/>
          <w:sz w:val="28"/>
          <w:szCs w:val="28"/>
          <w:lang w:val="es-ES"/>
        </w:rPr>
        <w:t>desconocimiento del precedente</w:t>
      </w:r>
      <w:r w:rsidR="001538A8" w:rsidRPr="00B41EAD">
        <w:rPr>
          <w:color w:val="000000" w:themeColor="text1"/>
          <w:sz w:val="28"/>
          <w:szCs w:val="28"/>
          <w:lang w:val="es-ES"/>
        </w:rPr>
        <w:t xml:space="preserve"> contenido en la sentencia del 30 de agosto de 2021, emitida por la Subsección B de la Sección Tercera del Consejo de Estado y en la </w:t>
      </w:r>
      <w:r w:rsidR="001557C6" w:rsidRPr="00B41EAD">
        <w:rPr>
          <w:color w:val="000000" w:themeColor="text1"/>
          <w:sz w:val="28"/>
          <w:szCs w:val="28"/>
          <w:lang w:val="es-ES"/>
        </w:rPr>
        <w:t>S</w:t>
      </w:r>
      <w:r w:rsidR="001538A8" w:rsidRPr="00B41EAD">
        <w:rPr>
          <w:color w:val="000000" w:themeColor="text1"/>
          <w:sz w:val="28"/>
          <w:szCs w:val="28"/>
          <w:lang w:val="es-ES"/>
        </w:rPr>
        <w:t xml:space="preserve">entencia SU-060 de 2021, sobre los estándares de valoración garantista del término de caducidad del medio de control de reparación directa en casos de graves violaciones de derechos humanos. </w:t>
      </w:r>
      <w:r w:rsidR="001538A8" w:rsidRPr="00B41EAD">
        <w:rPr>
          <w:i/>
          <w:iCs/>
          <w:color w:val="000000" w:themeColor="text1"/>
          <w:sz w:val="28"/>
          <w:szCs w:val="28"/>
          <w:lang w:val="es-ES"/>
        </w:rPr>
        <w:t xml:space="preserve">Defecto fáctico, </w:t>
      </w:r>
      <w:r w:rsidR="001538A8" w:rsidRPr="00B41EAD">
        <w:rPr>
          <w:color w:val="000000" w:themeColor="text1"/>
          <w:sz w:val="28"/>
          <w:szCs w:val="28"/>
          <w:lang w:val="es-ES"/>
        </w:rPr>
        <w:t>por no valorar la integralidad del proceso penal, lo cual daría cuenta de que la caducidad no podría contarse desde el 17 de marzo de 2010. Y</w:t>
      </w:r>
      <w:r w:rsidR="001538A8" w:rsidRPr="00B41EAD">
        <w:rPr>
          <w:i/>
          <w:iCs/>
          <w:color w:val="000000" w:themeColor="text1"/>
          <w:sz w:val="28"/>
          <w:szCs w:val="28"/>
          <w:lang w:val="es-ES"/>
        </w:rPr>
        <w:t xml:space="preserve"> defecto sustantivo</w:t>
      </w:r>
      <w:r w:rsidR="001538A8" w:rsidRPr="00B41EAD">
        <w:rPr>
          <w:color w:val="000000" w:themeColor="text1"/>
          <w:sz w:val="28"/>
          <w:szCs w:val="28"/>
          <w:lang w:val="es-ES"/>
        </w:rPr>
        <w:t>,</w:t>
      </w:r>
      <w:r w:rsidR="00EF5664" w:rsidRPr="00B41EAD">
        <w:rPr>
          <w:color w:val="000000" w:themeColor="text1"/>
          <w:sz w:val="28"/>
          <w:szCs w:val="28"/>
          <w:lang w:val="es-ES"/>
        </w:rPr>
        <w:t xml:space="preserve"> al considerar vulnerados los derechos al debido proceso, al acceso efectivo a la administración de justicia, y a las garantías de verdad, reparación integral y no repetición, así como los postulados de la Corte Interamericana de Derechos Humanos en materia de garantías judiciales de las víctimas en el marco de hechos cometidos por miembros de la fuerza pública.</w:t>
      </w:r>
    </w:p>
    <w:p w14:paraId="558E61AC" w14:textId="77777777" w:rsidR="00EF5664" w:rsidRPr="00B41EAD" w:rsidRDefault="00EF5664" w:rsidP="00EF5664">
      <w:pPr>
        <w:pStyle w:val="Prrafodelista"/>
        <w:rPr>
          <w:color w:val="000000" w:themeColor="text1"/>
          <w:sz w:val="28"/>
          <w:szCs w:val="28"/>
          <w:lang w:val="es-ES"/>
        </w:rPr>
      </w:pPr>
    </w:p>
    <w:p w14:paraId="03306F5E" w14:textId="6CD044B3" w:rsidR="007B45B2" w:rsidRPr="00B41EAD" w:rsidRDefault="00EF5664">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Visto lo anterior,</w:t>
      </w:r>
      <w:r w:rsidR="00EE4EA9" w:rsidRPr="00B41EAD">
        <w:rPr>
          <w:color w:val="000000" w:themeColor="text1"/>
          <w:sz w:val="28"/>
          <w:szCs w:val="28"/>
          <w:lang w:val="es-ES"/>
        </w:rPr>
        <w:t xml:space="preserve"> antes de formular los problemas jurídicos </w:t>
      </w:r>
      <w:r w:rsidR="007B45B2" w:rsidRPr="00B41EAD">
        <w:rPr>
          <w:color w:val="000000" w:themeColor="text1"/>
          <w:sz w:val="28"/>
          <w:szCs w:val="28"/>
          <w:lang w:val="es-ES"/>
        </w:rPr>
        <w:t>correspondientes</w:t>
      </w:r>
      <w:r w:rsidR="00EE4EA9" w:rsidRPr="00B41EAD">
        <w:rPr>
          <w:color w:val="000000" w:themeColor="text1"/>
          <w:sz w:val="28"/>
          <w:szCs w:val="28"/>
          <w:lang w:val="es-ES"/>
        </w:rPr>
        <w:t>,</w:t>
      </w:r>
      <w:r w:rsidRPr="00B41EAD">
        <w:rPr>
          <w:color w:val="000000" w:themeColor="text1"/>
          <w:sz w:val="28"/>
          <w:szCs w:val="28"/>
          <w:lang w:val="es-ES"/>
        </w:rPr>
        <w:t xml:space="preserve"> </w:t>
      </w:r>
      <w:r w:rsidR="00EE4EA9" w:rsidRPr="00B41EAD">
        <w:rPr>
          <w:color w:val="000000" w:themeColor="text1"/>
          <w:sz w:val="28"/>
          <w:szCs w:val="28"/>
          <w:lang w:val="es-ES"/>
        </w:rPr>
        <w:t xml:space="preserve">la Sala encuentra necesario </w:t>
      </w:r>
      <w:r w:rsidR="00A123B5" w:rsidRPr="00B41EAD">
        <w:rPr>
          <w:color w:val="000000" w:themeColor="text1"/>
          <w:sz w:val="28"/>
          <w:szCs w:val="28"/>
          <w:lang w:val="es-ES"/>
        </w:rPr>
        <w:t xml:space="preserve">recordar que, cuando se </w:t>
      </w:r>
      <w:r w:rsidR="007B45B2" w:rsidRPr="00B41EAD">
        <w:rPr>
          <w:color w:val="000000" w:themeColor="text1"/>
          <w:sz w:val="28"/>
          <w:szCs w:val="28"/>
          <w:lang w:val="es-ES"/>
        </w:rPr>
        <w:t>ejerce</w:t>
      </w:r>
      <w:r w:rsidR="00A123B5" w:rsidRPr="00B41EAD">
        <w:rPr>
          <w:color w:val="000000" w:themeColor="text1"/>
          <w:sz w:val="28"/>
          <w:szCs w:val="28"/>
          <w:lang w:val="es-ES"/>
        </w:rPr>
        <w:t xml:space="preserve"> el amparo constitucional contra una providencia judicial se robustece la carga argumentativa</w:t>
      </w:r>
      <w:r w:rsidR="007B45B2" w:rsidRPr="00B41EAD">
        <w:rPr>
          <w:color w:val="000000" w:themeColor="text1"/>
          <w:sz w:val="28"/>
          <w:szCs w:val="28"/>
          <w:lang w:val="es-ES"/>
        </w:rPr>
        <w:t xml:space="preserve"> en cabeza de las partes. Sin embargo, eso no obsta </w:t>
      </w:r>
      <w:r w:rsidR="00C42A91" w:rsidRPr="00B41EAD">
        <w:rPr>
          <w:color w:val="000000" w:themeColor="text1"/>
          <w:sz w:val="28"/>
          <w:szCs w:val="28"/>
          <w:lang w:val="es-ES"/>
        </w:rPr>
        <w:t xml:space="preserve">para </w:t>
      </w:r>
      <w:r w:rsidR="007B45B2" w:rsidRPr="00B41EAD">
        <w:rPr>
          <w:color w:val="000000" w:themeColor="text1"/>
          <w:sz w:val="28"/>
          <w:szCs w:val="28"/>
          <w:lang w:val="es-ES"/>
        </w:rPr>
        <w:t>que el juez de tutela ejerza</w:t>
      </w:r>
      <w:r w:rsidR="00A123B5" w:rsidRPr="00B41EAD">
        <w:rPr>
          <w:color w:val="000000" w:themeColor="text1"/>
          <w:sz w:val="28"/>
          <w:szCs w:val="28"/>
          <w:lang w:val="es-ES"/>
        </w:rPr>
        <w:t xml:space="preserve"> la facultad de ajustar y</w:t>
      </w:r>
      <w:r w:rsidR="007B45B2" w:rsidRPr="00B41EAD">
        <w:rPr>
          <w:color w:val="000000" w:themeColor="text1"/>
          <w:sz w:val="28"/>
          <w:szCs w:val="28"/>
          <w:lang w:val="es-ES"/>
        </w:rPr>
        <w:t xml:space="preserve"> </w:t>
      </w:r>
      <w:r w:rsidR="00A123B5" w:rsidRPr="00B41EAD">
        <w:rPr>
          <w:color w:val="000000" w:themeColor="text1"/>
          <w:sz w:val="28"/>
          <w:szCs w:val="28"/>
          <w:lang w:val="es-ES"/>
        </w:rPr>
        <w:t>analizar el caso conforme a las causales específicas que se desprenden de la controversia planteada en el escrito de tutela</w:t>
      </w:r>
      <w:r w:rsidR="007B45B2" w:rsidRPr="00B41EAD">
        <w:rPr>
          <w:color w:val="000000" w:themeColor="text1"/>
          <w:sz w:val="28"/>
          <w:szCs w:val="28"/>
          <w:lang w:val="es-ES"/>
        </w:rPr>
        <w:t xml:space="preserve">, en virtud del principio </w:t>
      </w:r>
      <w:r w:rsidR="004A2688" w:rsidRPr="00B41EAD">
        <w:rPr>
          <w:color w:val="000000" w:themeColor="text1"/>
          <w:sz w:val="28"/>
          <w:szCs w:val="28"/>
          <w:lang w:val="es-ES"/>
        </w:rPr>
        <w:t>“el juez conoce el derecho”</w:t>
      </w:r>
      <w:r w:rsidR="004A2688" w:rsidRPr="00B41EAD">
        <w:rPr>
          <w:rStyle w:val="Refdenotaalpie"/>
          <w:color w:val="000000" w:themeColor="text1"/>
          <w:sz w:val="28"/>
          <w:szCs w:val="28"/>
          <w:lang w:val="es-ES"/>
        </w:rPr>
        <w:footnoteReference w:id="47"/>
      </w:r>
      <w:r w:rsidR="007B45B2" w:rsidRPr="00B41EAD">
        <w:rPr>
          <w:color w:val="000000" w:themeColor="text1"/>
          <w:sz w:val="28"/>
          <w:szCs w:val="28"/>
          <w:lang w:val="es-ES"/>
        </w:rPr>
        <w:t xml:space="preserve">. De ahí que sea totalmente legítimo que, de ser necesario y una vez conocido </w:t>
      </w:r>
      <w:r w:rsidR="00C42A91" w:rsidRPr="00B41EAD">
        <w:rPr>
          <w:color w:val="000000" w:themeColor="text1"/>
          <w:sz w:val="28"/>
          <w:szCs w:val="28"/>
          <w:lang w:val="es-ES"/>
        </w:rPr>
        <w:t>el asunto</w:t>
      </w:r>
      <w:r w:rsidR="007B45B2" w:rsidRPr="00B41EAD">
        <w:rPr>
          <w:color w:val="000000" w:themeColor="text1"/>
          <w:sz w:val="28"/>
          <w:szCs w:val="28"/>
          <w:lang w:val="es-ES"/>
        </w:rPr>
        <w:t>, el juez</w:t>
      </w:r>
      <w:r w:rsidR="00A123B5" w:rsidRPr="00B41EAD">
        <w:rPr>
          <w:color w:val="000000" w:themeColor="text1"/>
          <w:sz w:val="28"/>
          <w:szCs w:val="28"/>
          <w:lang w:val="es-ES"/>
        </w:rPr>
        <w:t xml:space="preserve"> identifique los argumentos de los demandantes y los</w:t>
      </w:r>
      <w:r w:rsidR="007B45B2" w:rsidRPr="00B41EAD">
        <w:rPr>
          <w:color w:val="000000" w:themeColor="text1"/>
          <w:sz w:val="28"/>
          <w:szCs w:val="28"/>
          <w:lang w:val="es-ES"/>
        </w:rPr>
        <w:t xml:space="preserve"> conduzca</w:t>
      </w:r>
      <w:r w:rsidR="00A123B5" w:rsidRPr="00B41EAD">
        <w:rPr>
          <w:color w:val="000000" w:themeColor="text1"/>
          <w:sz w:val="28"/>
          <w:szCs w:val="28"/>
          <w:lang w:val="es-ES"/>
        </w:rPr>
        <w:t xml:space="preserve"> </w:t>
      </w:r>
      <w:r w:rsidR="00C42A91" w:rsidRPr="00B41EAD">
        <w:rPr>
          <w:color w:val="000000" w:themeColor="text1"/>
          <w:sz w:val="28"/>
          <w:szCs w:val="28"/>
          <w:lang w:val="es-ES"/>
        </w:rPr>
        <w:t>por</w:t>
      </w:r>
      <w:r w:rsidR="00A123B5" w:rsidRPr="00B41EAD">
        <w:rPr>
          <w:color w:val="000000" w:themeColor="text1"/>
          <w:sz w:val="28"/>
          <w:szCs w:val="28"/>
          <w:lang w:val="es-ES"/>
        </w:rPr>
        <w:t xml:space="preserve"> las causales específicas de procedencia</w:t>
      </w:r>
      <w:r w:rsidR="007B45B2" w:rsidRPr="00B41EAD">
        <w:rPr>
          <w:color w:val="000000" w:themeColor="text1"/>
          <w:sz w:val="28"/>
          <w:szCs w:val="28"/>
          <w:lang w:val="es-ES"/>
        </w:rPr>
        <w:t xml:space="preserve">, en búsqueda del mejor análisis judicial posible. </w:t>
      </w:r>
    </w:p>
    <w:p w14:paraId="742D0C83" w14:textId="77777777" w:rsidR="007B45B2" w:rsidRPr="00B41EAD" w:rsidRDefault="007B45B2" w:rsidP="007B45B2">
      <w:pPr>
        <w:pStyle w:val="Prrafodelista"/>
        <w:rPr>
          <w:color w:val="000000" w:themeColor="text1"/>
          <w:sz w:val="28"/>
          <w:szCs w:val="28"/>
          <w:lang w:val="es-ES"/>
        </w:rPr>
      </w:pPr>
    </w:p>
    <w:p w14:paraId="6A1FEA70" w14:textId="6EED2918" w:rsidR="00A123B5" w:rsidRPr="00B41EAD" w:rsidRDefault="00DC2A8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relación con los casos objeto de análisis,</w:t>
      </w:r>
      <w:r w:rsidR="00A123B5" w:rsidRPr="00B41EAD">
        <w:rPr>
          <w:color w:val="000000" w:themeColor="text1"/>
          <w:sz w:val="28"/>
          <w:szCs w:val="28"/>
          <w:lang w:val="es-ES"/>
        </w:rPr>
        <w:t xml:space="preserve"> es apropiada la adecuación de los cargos </w:t>
      </w:r>
      <w:r w:rsidRPr="00B41EAD">
        <w:rPr>
          <w:color w:val="000000" w:themeColor="text1"/>
          <w:sz w:val="28"/>
          <w:szCs w:val="28"/>
          <w:lang w:val="es-ES"/>
        </w:rPr>
        <w:t xml:space="preserve">para centrarse específicamente en los defectos fáctico y desconocimiento del precedente judicial. Como fundamento, la </w:t>
      </w:r>
      <w:r w:rsidR="002C5373" w:rsidRPr="00B41EAD">
        <w:rPr>
          <w:color w:val="000000" w:themeColor="text1"/>
          <w:sz w:val="28"/>
          <w:szCs w:val="28"/>
          <w:lang w:val="es-ES"/>
        </w:rPr>
        <w:t>Corte</w:t>
      </w:r>
      <w:r w:rsidRPr="00B41EAD">
        <w:rPr>
          <w:color w:val="000000" w:themeColor="text1"/>
          <w:sz w:val="28"/>
          <w:szCs w:val="28"/>
          <w:lang w:val="es-ES"/>
        </w:rPr>
        <w:t xml:space="preserve"> observa que las causales correspondientes a la violación directa de la Constitución y </w:t>
      </w:r>
      <w:r w:rsidR="002C5373" w:rsidRPr="00B41EAD">
        <w:rPr>
          <w:color w:val="000000" w:themeColor="text1"/>
          <w:sz w:val="28"/>
          <w:szCs w:val="28"/>
          <w:lang w:val="es-ES"/>
        </w:rPr>
        <w:t xml:space="preserve">al </w:t>
      </w:r>
      <w:r w:rsidRPr="00B41EAD">
        <w:rPr>
          <w:color w:val="000000" w:themeColor="text1"/>
          <w:sz w:val="28"/>
          <w:szCs w:val="28"/>
          <w:lang w:val="es-ES"/>
        </w:rPr>
        <w:t xml:space="preserve">defecto sustantivo, </w:t>
      </w:r>
      <w:r w:rsidR="00F27F98" w:rsidRPr="00B41EAD">
        <w:rPr>
          <w:color w:val="000000" w:themeColor="text1"/>
          <w:sz w:val="28"/>
          <w:szCs w:val="28"/>
          <w:lang w:val="es-ES"/>
        </w:rPr>
        <w:t xml:space="preserve">alegadas en uno y otro expediente, respectivamente, en realidad corresponden al planteamiento de los eventuales derechos constitucionales que habrían sido trasgredidos por las autoridades judiciales accionadas; cuestión que es transversal al análisis del amparo y que, por tanto, necesariamente será objeto de estudio en la valoración de las dos causales principales. </w:t>
      </w:r>
    </w:p>
    <w:p w14:paraId="6BDA2A12" w14:textId="77777777" w:rsidR="00A123B5" w:rsidRPr="00B41EAD" w:rsidRDefault="00A123B5" w:rsidP="00A123B5">
      <w:pPr>
        <w:rPr>
          <w:color w:val="000000" w:themeColor="text1"/>
          <w:sz w:val="28"/>
          <w:szCs w:val="28"/>
          <w:lang w:val="es-ES"/>
        </w:rPr>
      </w:pPr>
    </w:p>
    <w:p w14:paraId="399F7338" w14:textId="53B587BA" w:rsidR="00A123B5" w:rsidRPr="00B41EAD" w:rsidRDefault="002C537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Ahora bien, frente al primer expediente (T-10.001.552)</w:t>
      </w:r>
      <w:r w:rsidR="00B3701C" w:rsidRPr="00B41EAD">
        <w:rPr>
          <w:color w:val="000000" w:themeColor="text1"/>
          <w:sz w:val="28"/>
          <w:szCs w:val="28"/>
          <w:lang w:val="es-ES"/>
        </w:rPr>
        <w:t xml:space="preserve"> es necesario realizar una precisión metodológica adicional. </w:t>
      </w:r>
      <w:r w:rsidR="00715913" w:rsidRPr="00B41EAD">
        <w:rPr>
          <w:color w:val="000000" w:themeColor="text1"/>
          <w:sz w:val="28"/>
          <w:szCs w:val="28"/>
          <w:lang w:val="es-ES"/>
        </w:rPr>
        <w:t>La jurisprudencia constitucional se ha referido a la posibilidad de que una tutela contra providencia judicial sea analizada a partir de la “concurrencia de defectos”</w:t>
      </w:r>
      <w:r w:rsidR="009E39BB" w:rsidRPr="00B41EAD">
        <w:rPr>
          <w:color w:val="000000" w:themeColor="text1"/>
          <w:sz w:val="28"/>
          <w:szCs w:val="28"/>
          <w:lang w:val="es-ES"/>
        </w:rPr>
        <w:t xml:space="preserve">. En ese sentido, se ha dicho que “es perfectamente posible que en un mismo hecho o reproche atribuido a una providencia judicial puedan surgir distintos defectos o causales, razón por la cual </w:t>
      </w:r>
      <w:r w:rsidR="009E39BB" w:rsidRPr="00B41EAD">
        <w:rPr>
          <w:color w:val="000000" w:themeColor="text1"/>
          <w:sz w:val="28"/>
          <w:szCs w:val="28"/>
          <w:lang w:val="es-ES"/>
        </w:rPr>
        <w:lastRenderedPageBreak/>
        <w:t>ha indicado que es viable estudiar la configuración </w:t>
      </w:r>
      <w:r w:rsidR="009E39BB" w:rsidRPr="00B41EAD">
        <w:rPr>
          <w:i/>
          <w:iCs/>
          <w:color w:val="000000" w:themeColor="text1"/>
          <w:sz w:val="28"/>
          <w:szCs w:val="28"/>
          <w:lang w:val="es-ES"/>
        </w:rPr>
        <w:t>concurrente y conjunta</w:t>
      </w:r>
      <w:r w:rsidR="009E39BB" w:rsidRPr="00B41EAD">
        <w:rPr>
          <w:color w:val="000000" w:themeColor="text1"/>
          <w:sz w:val="28"/>
          <w:szCs w:val="28"/>
          <w:lang w:val="es-ES"/>
        </w:rPr>
        <w:t> de los defectos, si estos se derivan de una misma actuación o hecho”</w:t>
      </w:r>
      <w:r w:rsidR="009E39BB" w:rsidRPr="00B41EAD">
        <w:rPr>
          <w:rStyle w:val="Refdenotaalpie"/>
          <w:color w:val="000000" w:themeColor="text1"/>
          <w:sz w:val="28"/>
          <w:szCs w:val="28"/>
          <w:lang w:val="es-ES"/>
        </w:rPr>
        <w:footnoteReference w:id="48"/>
      </w:r>
      <w:r w:rsidR="009E39BB" w:rsidRPr="00B41EAD">
        <w:rPr>
          <w:color w:val="000000" w:themeColor="text1"/>
          <w:sz w:val="28"/>
          <w:szCs w:val="28"/>
          <w:lang w:val="es-ES"/>
        </w:rPr>
        <w:t>.</w:t>
      </w:r>
      <w:r w:rsidR="008A7F0B" w:rsidRPr="00B41EAD">
        <w:rPr>
          <w:color w:val="000000" w:themeColor="text1"/>
          <w:sz w:val="28"/>
          <w:szCs w:val="28"/>
          <w:lang w:val="es-ES"/>
        </w:rPr>
        <w:t xml:space="preserve"> </w:t>
      </w:r>
      <w:r w:rsidR="00C42A91" w:rsidRPr="00B41EAD">
        <w:rPr>
          <w:color w:val="000000" w:themeColor="text1"/>
          <w:sz w:val="28"/>
          <w:szCs w:val="28"/>
          <w:lang w:val="es-ES"/>
        </w:rPr>
        <w:t>Pues bien, en</w:t>
      </w:r>
      <w:r w:rsidR="00BE622A" w:rsidRPr="00B41EAD">
        <w:rPr>
          <w:color w:val="000000" w:themeColor="text1"/>
          <w:sz w:val="28"/>
          <w:szCs w:val="28"/>
          <w:lang w:val="es-ES"/>
        </w:rPr>
        <w:t xml:space="preserve"> este primer expediente es oportuno acudir a dicha metodología, debido a que las razones en las que se sustentan los </w:t>
      </w:r>
      <w:proofErr w:type="gramStart"/>
      <w:r w:rsidR="00BE622A" w:rsidRPr="00B41EAD">
        <w:rPr>
          <w:color w:val="000000" w:themeColor="text1"/>
          <w:sz w:val="28"/>
          <w:szCs w:val="28"/>
          <w:lang w:val="es-ES"/>
        </w:rPr>
        <w:t>defectos fáctico</w:t>
      </w:r>
      <w:proofErr w:type="gramEnd"/>
      <w:r w:rsidR="00BE622A" w:rsidRPr="00B41EAD">
        <w:rPr>
          <w:color w:val="000000" w:themeColor="text1"/>
          <w:sz w:val="28"/>
          <w:szCs w:val="28"/>
          <w:lang w:val="es-ES"/>
        </w:rPr>
        <w:t xml:space="preserve"> y por desconocimiento del precedente judicial muestran que ambos están estrechamente relacionados</w:t>
      </w:r>
      <w:r w:rsidR="008A7F0B" w:rsidRPr="00B41EAD">
        <w:rPr>
          <w:color w:val="000000" w:themeColor="text1"/>
          <w:sz w:val="28"/>
          <w:szCs w:val="28"/>
          <w:lang w:val="es-ES"/>
        </w:rPr>
        <w:t xml:space="preserve">, lo que lleva a que su análisis se haga simultáneamente. </w:t>
      </w:r>
    </w:p>
    <w:p w14:paraId="5DE12100" w14:textId="77777777" w:rsidR="008A7F0B" w:rsidRPr="00B41EAD" w:rsidRDefault="008A7F0B" w:rsidP="008A7F0B">
      <w:pPr>
        <w:pStyle w:val="Prrafodelista"/>
        <w:rPr>
          <w:color w:val="000000" w:themeColor="text1"/>
          <w:sz w:val="28"/>
          <w:szCs w:val="28"/>
          <w:lang w:val="es-ES"/>
        </w:rPr>
      </w:pPr>
    </w:p>
    <w:p w14:paraId="5C3D7E2E" w14:textId="7255610C" w:rsidR="00A12F22" w:rsidRPr="00B41EAD" w:rsidRDefault="00237514">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Aclarado todo lo anterior, los problemas jurídicos de los cuales debe ocuparse la Sala Plena son los siguientes:</w:t>
      </w:r>
    </w:p>
    <w:p w14:paraId="4C4CDDCE" w14:textId="77777777" w:rsidR="00A12F22" w:rsidRPr="00B41EAD" w:rsidRDefault="00A12F22" w:rsidP="00A12F22">
      <w:pPr>
        <w:pStyle w:val="Prrafodelista"/>
        <w:ind w:left="0"/>
        <w:jc w:val="both"/>
        <w:rPr>
          <w:color w:val="000000" w:themeColor="text1"/>
          <w:sz w:val="28"/>
          <w:szCs w:val="28"/>
          <w:lang w:val="es-ES"/>
        </w:rPr>
      </w:pPr>
    </w:p>
    <w:p w14:paraId="3BE5FB3B" w14:textId="496E64F0" w:rsidR="00A12F22" w:rsidRPr="00B41EAD" w:rsidRDefault="00A12F22">
      <w:pPr>
        <w:pStyle w:val="Prrafodelista"/>
        <w:numPr>
          <w:ilvl w:val="1"/>
          <w:numId w:val="5"/>
        </w:numPr>
        <w:tabs>
          <w:tab w:val="left" w:pos="284"/>
        </w:tabs>
        <w:ind w:left="0" w:firstLine="284"/>
        <w:jc w:val="both"/>
        <w:rPr>
          <w:color w:val="000000" w:themeColor="text1"/>
          <w:sz w:val="28"/>
          <w:szCs w:val="28"/>
          <w:lang w:val="es-ES"/>
        </w:rPr>
      </w:pPr>
      <w:r w:rsidRPr="00B41EAD">
        <w:rPr>
          <w:color w:val="000000" w:themeColor="text1"/>
          <w:sz w:val="28"/>
          <w:szCs w:val="28"/>
          <w:lang w:val="es-ES"/>
        </w:rPr>
        <w:t>Respecto del expediente T-10.001.552, ¿en la providencia del 7 de septiembre de 2022, la  Subsección C de la Sección Tercera del Consejo de Estado incurrió en los defectos  fáctico y desconocimiento del precedente contenido en la sentencia de unificación del 29 de enero de 2020</w:t>
      </w:r>
      <w:r w:rsidRPr="00B41EAD">
        <w:rPr>
          <w:rStyle w:val="Refdenotaalpie"/>
          <w:color w:val="000000" w:themeColor="text1"/>
          <w:sz w:val="28"/>
          <w:szCs w:val="28"/>
          <w:lang w:val="es-ES"/>
        </w:rPr>
        <w:footnoteReference w:id="49"/>
      </w:r>
      <w:r w:rsidRPr="00B41EAD">
        <w:rPr>
          <w:color w:val="000000" w:themeColor="text1"/>
          <w:sz w:val="28"/>
          <w:szCs w:val="28"/>
          <w:lang w:val="es-ES"/>
        </w:rPr>
        <w:t>, al declarar la caducidad del medio de control de reparación directa promovido con ocasión de la presunta ejecución extrajudicial del señor Carlos Mario Durango Vallejo,</w:t>
      </w:r>
      <w:r w:rsidR="00510C19" w:rsidRPr="00B41EAD">
        <w:rPr>
          <w:color w:val="000000" w:themeColor="text1"/>
          <w:sz w:val="28"/>
          <w:szCs w:val="28"/>
          <w:lang w:val="es-ES"/>
        </w:rPr>
        <w:t xml:space="preserve"> tomando como fecha de inicio para la contabilización del término de caducidad </w:t>
      </w:r>
      <w:r w:rsidRPr="00B41EAD">
        <w:rPr>
          <w:color w:val="000000" w:themeColor="text1"/>
          <w:sz w:val="28"/>
          <w:szCs w:val="28"/>
          <w:lang w:val="es-ES"/>
        </w:rPr>
        <w:t>el día del deceso</w:t>
      </w:r>
      <w:r w:rsidR="00510C19" w:rsidRPr="00B41EAD">
        <w:rPr>
          <w:color w:val="000000" w:themeColor="text1"/>
          <w:sz w:val="28"/>
          <w:szCs w:val="28"/>
          <w:lang w:val="es-ES"/>
        </w:rPr>
        <w:t xml:space="preserve"> de la víctima directa, al considerar que </w:t>
      </w:r>
      <w:r w:rsidRPr="00B41EAD">
        <w:rPr>
          <w:color w:val="000000" w:themeColor="text1"/>
          <w:sz w:val="28"/>
          <w:szCs w:val="28"/>
          <w:lang w:val="es-ES"/>
        </w:rPr>
        <w:t>desde ese momento los demandantes conocían las circunstancias en las que ocurrieron los hechos?</w:t>
      </w:r>
    </w:p>
    <w:p w14:paraId="00E3E6A5" w14:textId="77777777" w:rsidR="00A12F22" w:rsidRPr="00B41EAD" w:rsidRDefault="00A12F22" w:rsidP="00A12F22">
      <w:pPr>
        <w:pStyle w:val="Prrafodelista"/>
        <w:tabs>
          <w:tab w:val="left" w:pos="284"/>
        </w:tabs>
        <w:ind w:left="284"/>
        <w:jc w:val="both"/>
        <w:rPr>
          <w:color w:val="000000" w:themeColor="text1"/>
          <w:sz w:val="28"/>
          <w:szCs w:val="28"/>
          <w:lang w:val="es-ES"/>
        </w:rPr>
      </w:pPr>
    </w:p>
    <w:p w14:paraId="4214041C" w14:textId="0B653704" w:rsidR="00A12F22" w:rsidRPr="00B41EAD" w:rsidRDefault="00A12F22">
      <w:pPr>
        <w:pStyle w:val="Prrafodelista"/>
        <w:numPr>
          <w:ilvl w:val="1"/>
          <w:numId w:val="5"/>
        </w:numPr>
        <w:tabs>
          <w:tab w:val="left" w:pos="284"/>
        </w:tabs>
        <w:ind w:left="0" w:firstLine="284"/>
        <w:jc w:val="both"/>
        <w:rPr>
          <w:color w:val="000000" w:themeColor="text1"/>
          <w:sz w:val="28"/>
          <w:szCs w:val="28"/>
          <w:lang w:val="es-ES"/>
        </w:rPr>
      </w:pPr>
      <w:r w:rsidRPr="00B41EAD">
        <w:rPr>
          <w:color w:val="000000" w:themeColor="text1"/>
          <w:sz w:val="28"/>
          <w:szCs w:val="28"/>
          <w:lang w:val="es-ES"/>
        </w:rPr>
        <w:t>En relación con el expediente T-10.007.411, se plantean dos problemas jurídicos:</w:t>
      </w:r>
    </w:p>
    <w:p w14:paraId="14EE7A8C" w14:textId="77777777" w:rsidR="00A12F22" w:rsidRPr="00B41EAD" w:rsidRDefault="00A12F22" w:rsidP="00A12F22">
      <w:pPr>
        <w:pStyle w:val="Prrafodelista"/>
        <w:rPr>
          <w:color w:val="000000" w:themeColor="text1"/>
          <w:sz w:val="28"/>
          <w:szCs w:val="28"/>
          <w:lang w:val="es-ES"/>
        </w:rPr>
      </w:pPr>
    </w:p>
    <w:p w14:paraId="1BDFF9AB" w14:textId="7624BC8A" w:rsidR="00A12F22" w:rsidRPr="00B41EAD" w:rsidRDefault="00A12F22" w:rsidP="00A12F22">
      <w:pPr>
        <w:pStyle w:val="Prrafodelista"/>
        <w:tabs>
          <w:tab w:val="left" w:pos="284"/>
        </w:tabs>
        <w:ind w:left="0"/>
        <w:jc w:val="both"/>
        <w:rPr>
          <w:color w:val="000000" w:themeColor="text1"/>
          <w:sz w:val="28"/>
          <w:szCs w:val="28"/>
          <w:lang w:val="es-ES"/>
        </w:rPr>
      </w:pPr>
      <w:r w:rsidRPr="00B41EAD">
        <w:rPr>
          <w:color w:val="000000" w:themeColor="text1"/>
          <w:sz w:val="28"/>
          <w:szCs w:val="28"/>
          <w:lang w:val="es-ES"/>
        </w:rPr>
        <w:t xml:space="preserve">(i) ¿En la </w:t>
      </w:r>
      <w:r w:rsidR="001557C6" w:rsidRPr="00B41EAD">
        <w:rPr>
          <w:color w:val="000000" w:themeColor="text1"/>
          <w:sz w:val="28"/>
          <w:szCs w:val="28"/>
          <w:lang w:val="es-ES"/>
        </w:rPr>
        <w:t>S</w:t>
      </w:r>
      <w:r w:rsidRPr="00B41EAD">
        <w:rPr>
          <w:color w:val="000000" w:themeColor="text1"/>
          <w:sz w:val="28"/>
          <w:szCs w:val="28"/>
          <w:lang w:val="es-ES"/>
        </w:rPr>
        <w:t xml:space="preserve">entencia del 2 de marzo de 2023, el Tribunal Administrativo del Tolima incurrió en defecto fáctico al declarar </w:t>
      </w:r>
      <w:r w:rsidR="00130A5B" w:rsidRPr="00B41EAD">
        <w:rPr>
          <w:color w:val="000000" w:themeColor="text1"/>
          <w:sz w:val="28"/>
          <w:szCs w:val="28"/>
          <w:lang w:val="es-ES"/>
        </w:rPr>
        <w:t xml:space="preserve">que </w:t>
      </w:r>
      <w:r w:rsidRPr="00B41EAD">
        <w:rPr>
          <w:color w:val="000000" w:themeColor="text1"/>
          <w:sz w:val="28"/>
          <w:szCs w:val="28"/>
          <w:lang w:val="es-ES"/>
        </w:rPr>
        <w:t>el término de caducidad del medio de control de reparación directa promovido con ocasión de la presunta ejecución extrajudicial del señor Jorge Armando Guevara Pérez debía contabilizarse desde el 17 de marzo de 2010, cuando la demandante rindió una entrevista ante la Fiscalía General de la Nación en la que afirmó que el deceso de la víctima pudo haberse tratado de “un falso positivo”, sin tener en cuenta ningún elemento de prueba adicional?</w:t>
      </w:r>
    </w:p>
    <w:p w14:paraId="7A79E06C" w14:textId="77777777" w:rsidR="00A12F22" w:rsidRPr="00B41EAD" w:rsidRDefault="00A12F22" w:rsidP="00A12F22">
      <w:pPr>
        <w:pStyle w:val="Prrafodelista"/>
        <w:tabs>
          <w:tab w:val="left" w:pos="284"/>
        </w:tabs>
        <w:ind w:left="284"/>
        <w:jc w:val="both"/>
        <w:rPr>
          <w:color w:val="000000" w:themeColor="text1"/>
          <w:sz w:val="28"/>
          <w:szCs w:val="28"/>
          <w:lang w:val="es-ES"/>
        </w:rPr>
      </w:pPr>
    </w:p>
    <w:p w14:paraId="30A37E21" w14:textId="1A29D9E0" w:rsidR="00A12F22" w:rsidRPr="00B41EAD" w:rsidRDefault="00A12F22" w:rsidP="00A12F22">
      <w:pPr>
        <w:pStyle w:val="Prrafodelista"/>
        <w:tabs>
          <w:tab w:val="left" w:pos="284"/>
        </w:tabs>
        <w:ind w:left="0"/>
        <w:jc w:val="both"/>
        <w:rPr>
          <w:color w:val="000000" w:themeColor="text1"/>
          <w:sz w:val="28"/>
          <w:szCs w:val="28"/>
          <w:lang w:val="es-ES"/>
        </w:rPr>
      </w:pPr>
      <w:r w:rsidRPr="00B41EAD">
        <w:rPr>
          <w:color w:val="000000" w:themeColor="text1"/>
          <w:sz w:val="28"/>
          <w:szCs w:val="28"/>
          <w:lang w:val="es-ES"/>
        </w:rPr>
        <w:t>(</w:t>
      </w:r>
      <w:proofErr w:type="spellStart"/>
      <w:r w:rsidRPr="00B41EAD">
        <w:rPr>
          <w:color w:val="000000" w:themeColor="text1"/>
          <w:sz w:val="28"/>
          <w:szCs w:val="28"/>
          <w:lang w:val="es-ES"/>
        </w:rPr>
        <w:t>ii</w:t>
      </w:r>
      <w:proofErr w:type="spellEnd"/>
      <w:r w:rsidRPr="00B41EAD">
        <w:rPr>
          <w:color w:val="000000" w:themeColor="text1"/>
          <w:sz w:val="28"/>
          <w:szCs w:val="28"/>
          <w:lang w:val="es-ES"/>
        </w:rPr>
        <w:t xml:space="preserve">) ¿En la </w:t>
      </w:r>
      <w:r w:rsidR="001557C6" w:rsidRPr="00B41EAD">
        <w:rPr>
          <w:color w:val="000000" w:themeColor="text1"/>
          <w:sz w:val="28"/>
          <w:szCs w:val="28"/>
          <w:lang w:val="es-ES"/>
        </w:rPr>
        <w:t>S</w:t>
      </w:r>
      <w:r w:rsidRPr="00B41EAD">
        <w:rPr>
          <w:color w:val="000000" w:themeColor="text1"/>
          <w:sz w:val="28"/>
          <w:szCs w:val="28"/>
          <w:lang w:val="es-ES"/>
        </w:rPr>
        <w:t xml:space="preserve">entencia del 2 de marzo de 2023, el Tribunal Administrativo del Tolima incurrió  en desconocimiento del precedente judicial contenido en la sentencia del 30 de agosto de 2021, emitida por la Subsección B de la Sección Tercera del Consejo de Estado, sobre la valoración garantista del término de la caducidad del medio de control de reparación directa, y en la </w:t>
      </w:r>
      <w:r w:rsidR="001557C6" w:rsidRPr="00B41EAD">
        <w:rPr>
          <w:color w:val="000000" w:themeColor="text1"/>
          <w:sz w:val="28"/>
          <w:szCs w:val="28"/>
          <w:lang w:val="es-ES"/>
        </w:rPr>
        <w:t>S</w:t>
      </w:r>
      <w:r w:rsidRPr="00B41EAD">
        <w:rPr>
          <w:color w:val="000000" w:themeColor="text1"/>
          <w:sz w:val="28"/>
          <w:szCs w:val="28"/>
          <w:lang w:val="es-ES"/>
        </w:rPr>
        <w:t>entencia SU-060 de 2021 de la Corte Constitucional sobre la labor judicial en casos de graves violaciones de derechos humanos?</w:t>
      </w:r>
    </w:p>
    <w:p w14:paraId="10E229F4" w14:textId="77777777" w:rsidR="00A12F22" w:rsidRPr="00B41EAD" w:rsidRDefault="00A12F22" w:rsidP="00A12F22">
      <w:pPr>
        <w:rPr>
          <w:color w:val="000000" w:themeColor="text1"/>
          <w:sz w:val="28"/>
          <w:szCs w:val="28"/>
          <w:lang w:val="es-ES"/>
        </w:rPr>
      </w:pPr>
    </w:p>
    <w:p w14:paraId="73BA8875" w14:textId="0BC92D75" w:rsidR="00237514" w:rsidRPr="00B41EAD" w:rsidRDefault="00A12F22">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Para dar respuesta a estos interrogantes, la Sala debe advertir que, en general, el debate acerca de la valoración del término de caducidad del medio de control de reparación directa, en casos de presuntas graves violaciones de derechos humanos, </w:t>
      </w:r>
      <w:r w:rsidRPr="00B41EAD">
        <w:rPr>
          <w:color w:val="000000" w:themeColor="text1"/>
          <w:sz w:val="28"/>
          <w:szCs w:val="28"/>
          <w:lang w:val="es-ES"/>
        </w:rPr>
        <w:lastRenderedPageBreak/>
        <w:t>no es estrictamente nuevo en la jurisprudencia constitucional. La Corte ha forjado una línea jurisprudencial clara en la que ha precisado las subreglas aplicables en estos asuntos, razón por la cual, a continuación, (i) se reiterará la jurisprudencia relevante sobre la materia y (</w:t>
      </w:r>
      <w:proofErr w:type="spellStart"/>
      <w:r w:rsidRPr="00B41EAD">
        <w:rPr>
          <w:color w:val="000000" w:themeColor="text1"/>
          <w:sz w:val="28"/>
          <w:szCs w:val="28"/>
          <w:lang w:val="es-ES"/>
        </w:rPr>
        <w:t>ii</w:t>
      </w:r>
      <w:proofErr w:type="spellEnd"/>
      <w:r w:rsidRPr="00B41EAD">
        <w:rPr>
          <w:color w:val="000000" w:themeColor="text1"/>
          <w:sz w:val="28"/>
          <w:szCs w:val="28"/>
          <w:lang w:val="es-ES"/>
        </w:rPr>
        <w:t xml:space="preserve">) se hará una breve caracterización de las causales especiales de procedencia correspondientes al defecto fáctico y al desconocimiento del precedente. Con base en ello, se resolverán los casos concretos.    </w:t>
      </w:r>
      <w:r w:rsidR="00237514" w:rsidRPr="00B41EAD">
        <w:rPr>
          <w:color w:val="000000" w:themeColor="text1"/>
          <w:sz w:val="28"/>
          <w:szCs w:val="28"/>
          <w:lang w:val="es-ES"/>
        </w:rPr>
        <w:t xml:space="preserve"> </w:t>
      </w:r>
    </w:p>
    <w:p w14:paraId="33802193" w14:textId="77777777" w:rsidR="004511BF" w:rsidRPr="00B41EAD" w:rsidRDefault="004511BF" w:rsidP="001146D8">
      <w:pPr>
        <w:rPr>
          <w:color w:val="000000" w:themeColor="text1"/>
          <w:sz w:val="28"/>
          <w:szCs w:val="28"/>
          <w:lang w:val="es-ES"/>
        </w:rPr>
      </w:pPr>
    </w:p>
    <w:p w14:paraId="059B16D3" w14:textId="6E594AF5" w:rsidR="001146D8" w:rsidRPr="00B41EAD" w:rsidRDefault="003E7B50">
      <w:pPr>
        <w:pStyle w:val="Ttulo2"/>
        <w:numPr>
          <w:ilvl w:val="0"/>
          <w:numId w:val="5"/>
        </w:numPr>
        <w:ind w:left="567" w:hanging="567"/>
        <w:jc w:val="both"/>
        <w:rPr>
          <w:color w:val="000000" w:themeColor="text1"/>
          <w:sz w:val="28"/>
          <w:szCs w:val="28"/>
          <w:lang w:val="es-ES"/>
        </w:rPr>
      </w:pPr>
      <w:r w:rsidRPr="00B41EAD">
        <w:rPr>
          <w:color w:val="000000" w:themeColor="text1"/>
          <w:sz w:val="28"/>
          <w:szCs w:val="28"/>
          <w:lang w:val="es-ES"/>
        </w:rPr>
        <w:t>Reiteración de jurisprudencia sobre l</w:t>
      </w:r>
      <w:r w:rsidR="00821FCA" w:rsidRPr="00B41EAD">
        <w:rPr>
          <w:color w:val="000000" w:themeColor="text1"/>
          <w:sz w:val="28"/>
          <w:szCs w:val="28"/>
          <w:lang w:val="es-ES"/>
        </w:rPr>
        <w:t xml:space="preserve">a caducidad </w:t>
      </w:r>
      <w:r w:rsidR="002D7FE8" w:rsidRPr="00B41EAD">
        <w:rPr>
          <w:color w:val="000000" w:themeColor="text1"/>
          <w:sz w:val="28"/>
          <w:szCs w:val="28"/>
          <w:lang w:val="es-ES"/>
        </w:rPr>
        <w:t xml:space="preserve">del medio de control de reparación directa </w:t>
      </w:r>
      <w:r w:rsidR="00B85349" w:rsidRPr="00B41EAD">
        <w:rPr>
          <w:color w:val="000000" w:themeColor="text1"/>
          <w:sz w:val="28"/>
          <w:szCs w:val="28"/>
          <w:lang w:val="es-ES"/>
        </w:rPr>
        <w:t>en casos de</w:t>
      </w:r>
      <w:r w:rsidR="00FF1F01" w:rsidRPr="00B41EAD">
        <w:rPr>
          <w:color w:val="000000" w:themeColor="text1"/>
          <w:sz w:val="28"/>
          <w:szCs w:val="28"/>
          <w:lang w:val="es-ES"/>
        </w:rPr>
        <w:t xml:space="preserve"> daños originados por </w:t>
      </w:r>
      <w:r w:rsidR="00B85349" w:rsidRPr="00B41EAD">
        <w:rPr>
          <w:color w:val="000000" w:themeColor="text1"/>
          <w:sz w:val="28"/>
          <w:szCs w:val="28"/>
          <w:lang w:val="es-ES"/>
        </w:rPr>
        <w:t>presuntos</w:t>
      </w:r>
      <w:r w:rsidR="00FF1F01" w:rsidRPr="00B41EAD">
        <w:rPr>
          <w:color w:val="000000" w:themeColor="text1"/>
          <w:sz w:val="28"/>
          <w:szCs w:val="28"/>
          <w:lang w:val="es-ES"/>
        </w:rPr>
        <w:t xml:space="preserve"> delitos de lesa humanidad, genocidio y </w:t>
      </w:r>
      <w:r w:rsidR="0057741D" w:rsidRPr="00B41EAD">
        <w:rPr>
          <w:color w:val="000000" w:themeColor="text1"/>
          <w:sz w:val="28"/>
          <w:szCs w:val="28"/>
          <w:lang w:val="es-ES"/>
        </w:rPr>
        <w:t>crímenes</w:t>
      </w:r>
      <w:r w:rsidR="00FF1F01" w:rsidRPr="00B41EAD">
        <w:rPr>
          <w:color w:val="000000" w:themeColor="text1"/>
          <w:sz w:val="28"/>
          <w:szCs w:val="28"/>
          <w:lang w:val="es-ES"/>
        </w:rPr>
        <w:t xml:space="preserve"> de </w:t>
      </w:r>
      <w:r w:rsidR="0057741D" w:rsidRPr="00B41EAD">
        <w:rPr>
          <w:color w:val="000000" w:themeColor="text1"/>
          <w:sz w:val="28"/>
          <w:szCs w:val="28"/>
          <w:lang w:val="es-ES"/>
        </w:rPr>
        <w:t>guerra</w:t>
      </w:r>
    </w:p>
    <w:p w14:paraId="641EB1DE" w14:textId="77777777" w:rsidR="00B13343" w:rsidRPr="00B41EAD" w:rsidRDefault="00B13343" w:rsidP="00614326">
      <w:pPr>
        <w:jc w:val="both"/>
        <w:rPr>
          <w:color w:val="000000" w:themeColor="text1"/>
          <w:sz w:val="28"/>
          <w:szCs w:val="28"/>
          <w:lang w:val="es-ES"/>
        </w:rPr>
      </w:pPr>
    </w:p>
    <w:p w14:paraId="59C392AA" w14:textId="670A4FF8" w:rsidR="003469D7" w:rsidRPr="00B41EAD" w:rsidRDefault="008244D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El artículo </w:t>
      </w:r>
      <w:r w:rsidR="00292C4B" w:rsidRPr="00B41EAD">
        <w:rPr>
          <w:color w:val="000000" w:themeColor="text1"/>
          <w:sz w:val="28"/>
          <w:szCs w:val="28"/>
          <w:lang w:val="es-ES"/>
        </w:rPr>
        <w:t xml:space="preserve">140 del Código de Procedimiento Administrativo y de lo Contencioso Administrativo (en adelante CPACA) </w:t>
      </w:r>
      <w:r w:rsidR="006E4F13" w:rsidRPr="00B41EAD">
        <w:rPr>
          <w:color w:val="000000" w:themeColor="text1"/>
          <w:sz w:val="28"/>
          <w:szCs w:val="28"/>
          <w:lang w:val="es-ES"/>
        </w:rPr>
        <w:t xml:space="preserve">consagró el medio de control de reparación directa, </w:t>
      </w:r>
      <w:r w:rsidR="009507A9" w:rsidRPr="00B41EAD">
        <w:rPr>
          <w:color w:val="000000" w:themeColor="text1"/>
          <w:sz w:val="28"/>
          <w:szCs w:val="28"/>
          <w:lang w:val="es-ES"/>
        </w:rPr>
        <w:t>para poder demandar la reparación de un daño antijurídico producido por la acción u omisión de parte de agentes del Estado</w:t>
      </w:r>
      <w:r w:rsidR="006438DE" w:rsidRPr="00B41EAD">
        <w:rPr>
          <w:color w:val="000000" w:themeColor="text1"/>
          <w:sz w:val="28"/>
          <w:szCs w:val="28"/>
          <w:lang w:val="es-ES"/>
        </w:rPr>
        <w:t>.</w:t>
      </w:r>
      <w:r w:rsidR="003E7B50" w:rsidRPr="00B41EAD">
        <w:rPr>
          <w:color w:val="000000" w:themeColor="text1"/>
          <w:sz w:val="28"/>
          <w:szCs w:val="28"/>
          <w:lang w:val="es-ES"/>
        </w:rPr>
        <w:t xml:space="preserve"> </w:t>
      </w:r>
      <w:r w:rsidR="003469D7" w:rsidRPr="00B41EAD">
        <w:rPr>
          <w:color w:val="000000" w:themeColor="text1"/>
          <w:sz w:val="28"/>
          <w:szCs w:val="28"/>
          <w:lang w:val="es-ES"/>
        </w:rPr>
        <w:t xml:space="preserve">Esta habilitación para </w:t>
      </w:r>
      <w:r w:rsidR="003E7B50" w:rsidRPr="00B41EAD">
        <w:rPr>
          <w:color w:val="000000" w:themeColor="text1"/>
          <w:sz w:val="28"/>
          <w:szCs w:val="28"/>
          <w:lang w:val="es-ES"/>
        </w:rPr>
        <w:t>pretender la</w:t>
      </w:r>
      <w:r w:rsidR="003469D7" w:rsidRPr="00B41EAD">
        <w:rPr>
          <w:color w:val="000000" w:themeColor="text1"/>
          <w:sz w:val="28"/>
          <w:szCs w:val="28"/>
          <w:lang w:val="es-ES"/>
        </w:rPr>
        <w:t xml:space="preserve"> reparación de un daño</w:t>
      </w:r>
      <w:r w:rsidR="00F43E63" w:rsidRPr="00B41EAD">
        <w:rPr>
          <w:color w:val="000000" w:themeColor="text1"/>
          <w:sz w:val="28"/>
          <w:szCs w:val="28"/>
          <w:lang w:val="es-ES"/>
        </w:rPr>
        <w:t xml:space="preserve"> cometido por dicho sujeto activo</w:t>
      </w:r>
      <w:r w:rsidR="008B63A8" w:rsidRPr="00B41EAD">
        <w:rPr>
          <w:color w:val="000000" w:themeColor="text1"/>
          <w:sz w:val="28"/>
          <w:szCs w:val="28"/>
          <w:lang w:val="es-ES"/>
        </w:rPr>
        <w:t xml:space="preserve"> se fundamenta en la cláusula general de responsabilidad patrimonial del Estado, </w:t>
      </w:r>
      <w:r w:rsidR="00843747" w:rsidRPr="00B41EAD">
        <w:rPr>
          <w:color w:val="000000" w:themeColor="text1"/>
          <w:sz w:val="28"/>
          <w:szCs w:val="28"/>
          <w:lang w:val="es-ES"/>
        </w:rPr>
        <w:t>consagrada en el artículo 90 de la Constitución Política</w:t>
      </w:r>
      <w:r w:rsidR="00FB305F" w:rsidRPr="00B41EAD">
        <w:rPr>
          <w:rStyle w:val="Refdenotaalpie"/>
          <w:color w:val="000000" w:themeColor="text1"/>
          <w:sz w:val="28"/>
          <w:szCs w:val="28"/>
          <w:lang w:val="es-ES"/>
        </w:rPr>
        <w:footnoteReference w:id="50"/>
      </w:r>
      <w:r w:rsidR="00FB305F" w:rsidRPr="00B41EAD">
        <w:rPr>
          <w:color w:val="000000" w:themeColor="text1"/>
          <w:sz w:val="28"/>
          <w:szCs w:val="28"/>
          <w:lang w:val="es-ES"/>
        </w:rPr>
        <w:t>.</w:t>
      </w:r>
      <w:r w:rsidR="00843747" w:rsidRPr="00B41EAD">
        <w:rPr>
          <w:color w:val="000000" w:themeColor="text1"/>
          <w:sz w:val="28"/>
          <w:szCs w:val="28"/>
          <w:lang w:val="es-ES"/>
        </w:rPr>
        <w:t xml:space="preserve"> </w:t>
      </w:r>
      <w:r w:rsidR="008B63A8" w:rsidRPr="00B41EAD">
        <w:rPr>
          <w:color w:val="000000" w:themeColor="text1"/>
          <w:sz w:val="28"/>
          <w:szCs w:val="28"/>
          <w:lang w:val="es-ES"/>
        </w:rPr>
        <w:t xml:space="preserve"> </w:t>
      </w:r>
    </w:p>
    <w:p w14:paraId="05AAD0F9" w14:textId="77777777" w:rsidR="00F44AD8" w:rsidRPr="00B41EAD" w:rsidRDefault="00F44AD8" w:rsidP="00F44AD8">
      <w:pPr>
        <w:pStyle w:val="Prrafodelista"/>
        <w:rPr>
          <w:color w:val="000000" w:themeColor="text1"/>
          <w:sz w:val="28"/>
          <w:szCs w:val="28"/>
          <w:lang w:val="es-ES"/>
        </w:rPr>
      </w:pPr>
    </w:p>
    <w:p w14:paraId="1E6E39C4" w14:textId="4ACF0C03" w:rsidR="00F44AD8" w:rsidRPr="00B41EAD" w:rsidRDefault="00F50AB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Ahora bien, </w:t>
      </w:r>
      <w:r w:rsidR="003E7B50" w:rsidRPr="00B41EAD">
        <w:rPr>
          <w:color w:val="000000" w:themeColor="text1"/>
          <w:sz w:val="28"/>
          <w:szCs w:val="28"/>
          <w:lang w:val="es-ES"/>
        </w:rPr>
        <w:t>la posibilidad de</w:t>
      </w:r>
      <w:r w:rsidRPr="00B41EAD">
        <w:rPr>
          <w:color w:val="000000" w:themeColor="text1"/>
          <w:sz w:val="28"/>
          <w:szCs w:val="28"/>
          <w:lang w:val="es-ES"/>
        </w:rPr>
        <w:t xml:space="preserve"> acudir ante la </w:t>
      </w:r>
      <w:r w:rsidR="003E7B50" w:rsidRPr="00B41EAD">
        <w:rPr>
          <w:color w:val="000000" w:themeColor="text1"/>
          <w:sz w:val="28"/>
          <w:szCs w:val="28"/>
          <w:lang w:val="es-ES"/>
        </w:rPr>
        <w:t>Jurisdicción de lo Contencioso Administrativo,</w:t>
      </w:r>
      <w:r w:rsidRPr="00B41EAD">
        <w:rPr>
          <w:color w:val="000000" w:themeColor="text1"/>
          <w:sz w:val="28"/>
          <w:szCs w:val="28"/>
          <w:lang w:val="es-ES"/>
        </w:rPr>
        <w:t xml:space="preserve"> </w:t>
      </w:r>
      <w:r w:rsidR="003E7B50" w:rsidRPr="00B41EAD">
        <w:rPr>
          <w:color w:val="000000" w:themeColor="text1"/>
          <w:sz w:val="28"/>
          <w:szCs w:val="28"/>
          <w:lang w:val="es-ES"/>
        </w:rPr>
        <w:t>a través</w:t>
      </w:r>
      <w:r w:rsidR="00435973" w:rsidRPr="00B41EAD">
        <w:rPr>
          <w:color w:val="000000" w:themeColor="text1"/>
          <w:sz w:val="28"/>
          <w:szCs w:val="28"/>
          <w:lang w:val="es-ES"/>
        </w:rPr>
        <w:t xml:space="preserve"> del medio de control de reparación directa, tiene</w:t>
      </w:r>
      <w:r w:rsidR="00203E41" w:rsidRPr="00B41EAD">
        <w:rPr>
          <w:color w:val="000000" w:themeColor="text1"/>
          <w:sz w:val="28"/>
          <w:szCs w:val="28"/>
          <w:lang w:val="es-ES"/>
        </w:rPr>
        <w:t xml:space="preserve"> una restricción temporal establecida por el legislador </w:t>
      </w:r>
      <w:r w:rsidR="00260AC7" w:rsidRPr="00B41EAD">
        <w:rPr>
          <w:color w:val="000000" w:themeColor="text1"/>
          <w:sz w:val="28"/>
          <w:szCs w:val="28"/>
          <w:lang w:val="es-ES"/>
        </w:rPr>
        <w:t xml:space="preserve">a partir </w:t>
      </w:r>
      <w:r w:rsidR="003E7B50" w:rsidRPr="00B41EAD">
        <w:rPr>
          <w:color w:val="000000" w:themeColor="text1"/>
          <w:sz w:val="28"/>
          <w:szCs w:val="28"/>
          <w:lang w:val="es-ES"/>
        </w:rPr>
        <w:t>del denominado “término de caducidad”</w:t>
      </w:r>
      <w:r w:rsidR="00260AC7" w:rsidRPr="00B41EAD">
        <w:rPr>
          <w:color w:val="000000" w:themeColor="text1"/>
          <w:sz w:val="28"/>
          <w:szCs w:val="28"/>
          <w:lang w:val="es-ES"/>
        </w:rPr>
        <w:t xml:space="preserve">. Sobre el particular, el ordinal </w:t>
      </w:r>
      <w:r w:rsidR="004D0EDA" w:rsidRPr="00B41EAD">
        <w:rPr>
          <w:color w:val="000000" w:themeColor="text1"/>
          <w:sz w:val="28"/>
          <w:szCs w:val="28"/>
          <w:lang w:val="es-ES"/>
        </w:rPr>
        <w:t>i</w:t>
      </w:r>
      <w:r w:rsidR="00260AC7" w:rsidRPr="00B41EAD">
        <w:rPr>
          <w:color w:val="000000" w:themeColor="text1"/>
          <w:sz w:val="28"/>
          <w:szCs w:val="28"/>
          <w:lang w:val="es-ES"/>
        </w:rPr>
        <w:t xml:space="preserve">) del numeral 2 del artículo 164 </w:t>
      </w:r>
      <w:r w:rsidR="00311380" w:rsidRPr="00B41EAD">
        <w:rPr>
          <w:color w:val="000000" w:themeColor="text1"/>
          <w:sz w:val="28"/>
          <w:szCs w:val="28"/>
          <w:lang w:val="es-ES"/>
        </w:rPr>
        <w:t xml:space="preserve">del CPACA </w:t>
      </w:r>
      <w:r w:rsidR="00260AC7" w:rsidRPr="00B41EAD">
        <w:rPr>
          <w:color w:val="000000" w:themeColor="text1"/>
          <w:sz w:val="28"/>
          <w:szCs w:val="28"/>
          <w:lang w:val="es-ES"/>
        </w:rPr>
        <w:t>establece</w:t>
      </w:r>
      <w:r w:rsidR="003E7B50" w:rsidRPr="00B41EAD">
        <w:rPr>
          <w:color w:val="000000" w:themeColor="text1"/>
          <w:sz w:val="28"/>
          <w:szCs w:val="28"/>
          <w:lang w:val="es-ES"/>
        </w:rPr>
        <w:t xml:space="preserve"> lo siguiente</w:t>
      </w:r>
      <w:r w:rsidR="00260AC7" w:rsidRPr="00B41EAD">
        <w:rPr>
          <w:color w:val="000000" w:themeColor="text1"/>
          <w:sz w:val="28"/>
          <w:szCs w:val="28"/>
          <w:lang w:val="es-ES"/>
        </w:rPr>
        <w:t>:</w:t>
      </w:r>
    </w:p>
    <w:p w14:paraId="5A668E3E" w14:textId="77777777" w:rsidR="00260AC7" w:rsidRPr="00B41EAD" w:rsidRDefault="00260AC7" w:rsidP="00260AC7">
      <w:pPr>
        <w:pStyle w:val="Prrafodelista"/>
        <w:rPr>
          <w:color w:val="000000" w:themeColor="text1"/>
          <w:sz w:val="28"/>
          <w:szCs w:val="28"/>
          <w:lang w:val="es-ES"/>
        </w:rPr>
      </w:pPr>
    </w:p>
    <w:p w14:paraId="7946EEF8" w14:textId="2D3C70FE" w:rsidR="00DA3F08" w:rsidRPr="00B41EAD" w:rsidRDefault="00DA3F08" w:rsidP="003E7B50">
      <w:pPr>
        <w:pStyle w:val="Prrafodelista"/>
        <w:ind w:left="567"/>
        <w:jc w:val="both"/>
        <w:rPr>
          <w:color w:val="000000" w:themeColor="text1"/>
          <w:sz w:val="28"/>
          <w:szCs w:val="28"/>
          <w:lang w:val="es-ES"/>
        </w:rPr>
      </w:pPr>
      <w:r w:rsidRPr="00B41EAD">
        <w:rPr>
          <w:color w:val="000000" w:themeColor="text1"/>
          <w:sz w:val="28"/>
          <w:szCs w:val="28"/>
          <w:lang w:val="es-ES"/>
        </w:rPr>
        <w:t xml:space="preserve">“i) Cuando se pretenda la reparación directa, la demanda deberá presentarse dentro del término de dos (2) años, contados a partir del día siguiente al de la ocurrencia de la acción u omisión causante del daño, o de cuando el demandante tuvo o debió tener conocimiento </w:t>
      </w:r>
      <w:proofErr w:type="gramStart"/>
      <w:r w:rsidRPr="00B41EAD">
        <w:rPr>
          <w:color w:val="000000" w:themeColor="text1"/>
          <w:sz w:val="28"/>
          <w:szCs w:val="28"/>
          <w:lang w:val="es-ES"/>
        </w:rPr>
        <w:t>del mismo</w:t>
      </w:r>
      <w:proofErr w:type="gramEnd"/>
      <w:r w:rsidRPr="00B41EAD">
        <w:rPr>
          <w:color w:val="000000" w:themeColor="text1"/>
          <w:sz w:val="28"/>
          <w:szCs w:val="28"/>
          <w:lang w:val="es-ES"/>
        </w:rPr>
        <w:t xml:space="preserve"> si fue en fecha posterior y siempre que pruebe la imposibilidad de haberlo conocido en la fecha de su ocurrencia.</w:t>
      </w:r>
    </w:p>
    <w:p w14:paraId="314AA731" w14:textId="727F6C90" w:rsidR="00DA3F08" w:rsidRPr="00B41EAD" w:rsidRDefault="00DA3F08" w:rsidP="003E7B50">
      <w:pPr>
        <w:pStyle w:val="Prrafodelista"/>
        <w:ind w:left="567"/>
        <w:jc w:val="both"/>
        <w:rPr>
          <w:color w:val="000000" w:themeColor="text1"/>
          <w:sz w:val="28"/>
          <w:szCs w:val="28"/>
          <w:lang w:val="es-ES"/>
        </w:rPr>
      </w:pPr>
    </w:p>
    <w:p w14:paraId="17FCC976" w14:textId="762BFF52" w:rsidR="00DA3F08" w:rsidRPr="00B41EAD" w:rsidRDefault="00DA3F08" w:rsidP="003E7B50">
      <w:pPr>
        <w:pStyle w:val="Prrafodelista"/>
        <w:ind w:left="567"/>
        <w:jc w:val="both"/>
        <w:rPr>
          <w:color w:val="000000" w:themeColor="text1"/>
          <w:sz w:val="28"/>
          <w:szCs w:val="28"/>
          <w:lang w:val="es-ES"/>
        </w:rPr>
      </w:pPr>
      <w:r w:rsidRPr="00B41EAD">
        <w:rPr>
          <w:color w:val="000000" w:themeColor="text1"/>
          <w:sz w:val="28"/>
          <w:szCs w:val="28"/>
          <w:lang w:val="es-ES"/>
        </w:rPr>
        <w:t xml:space="preserve">Sin embargo, el término para formular la pretensión de reparación directa derivada del delito de desaparición </w:t>
      </w:r>
      <w:proofErr w:type="gramStart"/>
      <w:r w:rsidRPr="00B41EAD">
        <w:rPr>
          <w:color w:val="000000" w:themeColor="text1"/>
          <w:sz w:val="28"/>
          <w:szCs w:val="28"/>
          <w:lang w:val="es-ES"/>
        </w:rPr>
        <w:t>forzada,</w:t>
      </w:r>
      <w:proofErr w:type="gramEnd"/>
      <w:r w:rsidRPr="00B41EAD">
        <w:rPr>
          <w:color w:val="000000" w:themeColor="text1"/>
          <w:sz w:val="28"/>
          <w:szCs w:val="28"/>
          <w:lang w:val="es-ES"/>
        </w:rPr>
        <w:t xml:space="preserve"> se contará a partir de la fecha en que aparezca la víctima o en su defecto desde la ejecutoria del fallo definitivo adoptado en el proceso penal, sin perjuicio de que la demanda con tal pretensión pueda intentarse desde el momento en que ocurrieron los hechos que dieron lugar a la desaparición […]”. </w:t>
      </w:r>
    </w:p>
    <w:p w14:paraId="39A5861E" w14:textId="77777777" w:rsidR="006E5CCC" w:rsidRPr="00B41EAD" w:rsidRDefault="006E5CCC" w:rsidP="006E5CCC">
      <w:pPr>
        <w:pStyle w:val="Prrafodelista"/>
        <w:ind w:left="0"/>
        <w:jc w:val="both"/>
        <w:rPr>
          <w:color w:val="000000" w:themeColor="text1"/>
          <w:sz w:val="28"/>
          <w:szCs w:val="28"/>
          <w:lang w:val="es-ES"/>
        </w:rPr>
      </w:pPr>
    </w:p>
    <w:p w14:paraId="4EC9196B" w14:textId="2ABA48F0" w:rsidR="006E5CCC" w:rsidRPr="00B41EAD" w:rsidRDefault="003E7B5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 propósito de lo anterior, e</w:t>
      </w:r>
      <w:r w:rsidR="006E5CCC" w:rsidRPr="00B41EAD">
        <w:rPr>
          <w:color w:val="000000" w:themeColor="text1"/>
          <w:sz w:val="28"/>
          <w:szCs w:val="28"/>
          <w:lang w:val="es-ES"/>
        </w:rPr>
        <w:t xml:space="preserve">sta Corporación ha señalado </w:t>
      </w:r>
      <w:r w:rsidR="00557F5B" w:rsidRPr="00B41EAD">
        <w:rPr>
          <w:color w:val="000000" w:themeColor="text1"/>
          <w:sz w:val="28"/>
          <w:szCs w:val="28"/>
          <w:lang w:val="es-ES"/>
        </w:rPr>
        <w:t>que los términos de caducidad de las acciones judiciales</w:t>
      </w:r>
      <w:r w:rsidRPr="00B41EAD">
        <w:rPr>
          <w:color w:val="000000" w:themeColor="text1"/>
          <w:sz w:val="28"/>
          <w:szCs w:val="28"/>
          <w:lang w:val="es-ES"/>
        </w:rPr>
        <w:t>,</w:t>
      </w:r>
      <w:r w:rsidR="00557F5B" w:rsidRPr="00B41EAD">
        <w:rPr>
          <w:color w:val="000000" w:themeColor="text1"/>
          <w:sz w:val="28"/>
          <w:szCs w:val="28"/>
          <w:lang w:val="es-ES"/>
        </w:rPr>
        <w:t xml:space="preserve"> en lugar de coartar el acceso a la administración de justicia, lo concretiza y viabiliza</w:t>
      </w:r>
      <w:r w:rsidR="00BF6672" w:rsidRPr="00B41EAD">
        <w:rPr>
          <w:color w:val="000000" w:themeColor="text1"/>
          <w:sz w:val="28"/>
          <w:szCs w:val="28"/>
          <w:lang w:val="es-ES"/>
        </w:rPr>
        <w:t xml:space="preserve">, pues, de lo contrario, ante un </w:t>
      </w:r>
      <w:r w:rsidR="00BF6672" w:rsidRPr="00B41EAD">
        <w:rPr>
          <w:color w:val="000000" w:themeColor="text1"/>
          <w:sz w:val="28"/>
          <w:szCs w:val="28"/>
          <w:lang w:val="es-ES"/>
        </w:rPr>
        <w:lastRenderedPageBreak/>
        <w:t>escenario de acciones sin términos</w:t>
      </w:r>
      <w:r w:rsidR="00150416" w:rsidRPr="00B41EAD">
        <w:rPr>
          <w:color w:val="000000" w:themeColor="text1"/>
          <w:sz w:val="28"/>
          <w:szCs w:val="28"/>
          <w:lang w:val="es-ES"/>
        </w:rPr>
        <w:t xml:space="preserve"> de caducidad</w:t>
      </w:r>
      <w:r w:rsidR="00873B6C" w:rsidRPr="00B41EAD">
        <w:rPr>
          <w:color w:val="000000" w:themeColor="text1"/>
          <w:sz w:val="28"/>
          <w:szCs w:val="28"/>
          <w:lang w:val="es-ES"/>
        </w:rPr>
        <w:t xml:space="preserve">, se paralizaría </w:t>
      </w:r>
      <w:r w:rsidR="00842350" w:rsidRPr="00B41EAD">
        <w:rPr>
          <w:color w:val="000000" w:themeColor="text1"/>
          <w:sz w:val="28"/>
          <w:szCs w:val="28"/>
          <w:lang w:val="es-ES"/>
        </w:rPr>
        <w:t>la administración de justicia y se impediría su funcionamiento</w:t>
      </w:r>
      <w:r w:rsidR="00150416" w:rsidRPr="00B41EAD">
        <w:rPr>
          <w:rStyle w:val="Refdenotaalpie"/>
          <w:color w:val="000000" w:themeColor="text1"/>
          <w:sz w:val="28"/>
          <w:szCs w:val="28"/>
          <w:lang w:val="es-ES"/>
        </w:rPr>
        <w:footnoteReference w:id="51"/>
      </w:r>
      <w:r w:rsidR="00842350" w:rsidRPr="00B41EAD">
        <w:rPr>
          <w:color w:val="000000" w:themeColor="text1"/>
          <w:sz w:val="28"/>
          <w:szCs w:val="28"/>
          <w:lang w:val="es-ES"/>
        </w:rPr>
        <w:t>.</w:t>
      </w:r>
    </w:p>
    <w:p w14:paraId="72277104" w14:textId="77777777" w:rsidR="00842350" w:rsidRPr="00B41EAD" w:rsidRDefault="00842350" w:rsidP="00842350">
      <w:pPr>
        <w:pStyle w:val="Prrafodelista"/>
        <w:rPr>
          <w:color w:val="000000" w:themeColor="text1"/>
          <w:sz w:val="28"/>
          <w:szCs w:val="28"/>
          <w:lang w:val="es-ES"/>
        </w:rPr>
      </w:pPr>
    </w:p>
    <w:p w14:paraId="2A39F777" w14:textId="196A512D" w:rsidR="007B32DC" w:rsidRPr="00B41EAD" w:rsidRDefault="007F1DB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Por lo anterior, </w:t>
      </w:r>
      <w:r w:rsidR="004F2CC0" w:rsidRPr="00B41EAD">
        <w:rPr>
          <w:color w:val="000000" w:themeColor="text1"/>
          <w:sz w:val="28"/>
          <w:szCs w:val="28"/>
          <w:lang w:val="es-ES"/>
        </w:rPr>
        <w:t xml:space="preserve">la caducidad se ha entendido como la consecuencia o la sanción que recibe el interesado en ejercer una acción judicial, por </w:t>
      </w:r>
      <w:r w:rsidR="002C744E" w:rsidRPr="00B41EAD">
        <w:rPr>
          <w:color w:val="000000" w:themeColor="text1"/>
          <w:sz w:val="28"/>
          <w:szCs w:val="28"/>
          <w:lang w:val="es-ES"/>
        </w:rPr>
        <w:t xml:space="preserve">haberla materializado por fuera </w:t>
      </w:r>
      <w:r w:rsidR="004F0F76" w:rsidRPr="00B41EAD">
        <w:rPr>
          <w:color w:val="000000" w:themeColor="text1"/>
          <w:sz w:val="28"/>
          <w:szCs w:val="28"/>
          <w:lang w:val="es-ES"/>
        </w:rPr>
        <w:t>del término</w:t>
      </w:r>
      <w:r w:rsidR="00053567" w:rsidRPr="00B41EAD">
        <w:rPr>
          <w:color w:val="000000" w:themeColor="text1"/>
          <w:sz w:val="28"/>
          <w:szCs w:val="28"/>
          <w:lang w:val="es-ES"/>
        </w:rPr>
        <w:t xml:space="preserve">, ya sea por su inactividad o negligencia. No obstante, dicha figura </w:t>
      </w:r>
      <w:r w:rsidR="00CB3AF2" w:rsidRPr="00B41EAD">
        <w:rPr>
          <w:color w:val="000000" w:themeColor="text1"/>
          <w:sz w:val="28"/>
          <w:szCs w:val="28"/>
          <w:lang w:val="es-ES"/>
        </w:rPr>
        <w:t xml:space="preserve">no puede interpretarse de manera irrazonable, so pena de que se convierta en una barrera </w:t>
      </w:r>
      <w:r w:rsidR="003E7B50" w:rsidRPr="00B41EAD">
        <w:rPr>
          <w:color w:val="000000" w:themeColor="text1"/>
          <w:sz w:val="28"/>
          <w:szCs w:val="28"/>
          <w:lang w:val="es-ES"/>
        </w:rPr>
        <w:t xml:space="preserve">injustificada </w:t>
      </w:r>
      <w:r w:rsidR="00CB3AF2" w:rsidRPr="00B41EAD">
        <w:rPr>
          <w:color w:val="000000" w:themeColor="text1"/>
          <w:sz w:val="28"/>
          <w:szCs w:val="28"/>
          <w:lang w:val="es-ES"/>
        </w:rPr>
        <w:t>para el acceso a la administración de justicia</w:t>
      </w:r>
      <w:r w:rsidR="001F3C01" w:rsidRPr="00B41EAD">
        <w:rPr>
          <w:color w:val="000000" w:themeColor="text1"/>
          <w:sz w:val="28"/>
          <w:szCs w:val="28"/>
          <w:lang w:val="es-ES"/>
        </w:rPr>
        <w:t xml:space="preserve">, de cara </w:t>
      </w:r>
      <w:r w:rsidR="007B32DC" w:rsidRPr="00B41EAD">
        <w:rPr>
          <w:color w:val="000000" w:themeColor="text1"/>
          <w:sz w:val="28"/>
          <w:szCs w:val="28"/>
          <w:lang w:val="es-ES"/>
        </w:rPr>
        <w:t xml:space="preserve">a circunstancias particulares del caso </w:t>
      </w:r>
      <w:r w:rsidR="00024FC3" w:rsidRPr="00B41EAD">
        <w:rPr>
          <w:color w:val="000000" w:themeColor="text1"/>
          <w:sz w:val="28"/>
          <w:szCs w:val="28"/>
          <w:lang w:val="es-ES"/>
        </w:rPr>
        <w:t xml:space="preserve">bajo estudio. </w:t>
      </w:r>
    </w:p>
    <w:p w14:paraId="0CD7692C" w14:textId="77777777" w:rsidR="007B32DC" w:rsidRPr="00B41EAD" w:rsidRDefault="007B32DC" w:rsidP="007B32DC">
      <w:pPr>
        <w:pStyle w:val="Prrafodelista"/>
        <w:rPr>
          <w:color w:val="000000" w:themeColor="text1"/>
          <w:sz w:val="28"/>
          <w:szCs w:val="28"/>
          <w:lang w:val="es-ES"/>
        </w:rPr>
      </w:pPr>
    </w:p>
    <w:p w14:paraId="6D305485" w14:textId="3467B672" w:rsidR="00842350" w:rsidRPr="00B41EAD" w:rsidRDefault="004768D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El análisis de</w:t>
      </w:r>
      <w:r w:rsidR="00340C94" w:rsidRPr="00B41EAD">
        <w:rPr>
          <w:color w:val="000000" w:themeColor="text1"/>
          <w:sz w:val="28"/>
          <w:szCs w:val="28"/>
          <w:lang w:val="es-ES"/>
        </w:rPr>
        <w:t>l término de caducidad e</w:t>
      </w:r>
      <w:r w:rsidR="007B32DC" w:rsidRPr="00B41EAD">
        <w:rPr>
          <w:color w:val="000000" w:themeColor="text1"/>
          <w:sz w:val="28"/>
          <w:szCs w:val="28"/>
          <w:lang w:val="es-ES"/>
        </w:rPr>
        <w:t xml:space="preserve">n relación con el medio de control de reparación directa cuando se utiliza para obtener </w:t>
      </w:r>
      <w:r w:rsidR="00A75B25" w:rsidRPr="00B41EAD">
        <w:rPr>
          <w:color w:val="000000" w:themeColor="text1"/>
          <w:sz w:val="28"/>
          <w:szCs w:val="28"/>
          <w:lang w:val="es-ES"/>
        </w:rPr>
        <w:t xml:space="preserve">la reparación de un daño </w:t>
      </w:r>
      <w:r w:rsidR="00FC08AF" w:rsidRPr="00B41EAD">
        <w:rPr>
          <w:color w:val="000000" w:themeColor="text1"/>
          <w:sz w:val="28"/>
          <w:szCs w:val="28"/>
          <w:lang w:val="es-ES"/>
        </w:rPr>
        <w:t>por parte del Estado proveniente de un delito de lesa humanidad</w:t>
      </w:r>
      <w:r w:rsidRPr="00B41EAD">
        <w:rPr>
          <w:color w:val="000000" w:themeColor="text1"/>
          <w:sz w:val="28"/>
          <w:szCs w:val="28"/>
          <w:lang w:val="es-ES"/>
        </w:rPr>
        <w:t>, genocidio o crímenes de guerr</w:t>
      </w:r>
      <w:r w:rsidR="00340C94" w:rsidRPr="00B41EAD">
        <w:rPr>
          <w:color w:val="000000" w:themeColor="text1"/>
          <w:sz w:val="28"/>
          <w:szCs w:val="28"/>
          <w:lang w:val="es-ES"/>
        </w:rPr>
        <w:t>a, no ha sido pacífico</w:t>
      </w:r>
      <w:r w:rsidR="00154069" w:rsidRPr="00B41EAD">
        <w:rPr>
          <w:color w:val="000000" w:themeColor="text1"/>
          <w:sz w:val="28"/>
          <w:szCs w:val="28"/>
          <w:lang w:val="es-ES"/>
        </w:rPr>
        <w:t xml:space="preserve">. Por ello, para la Sala resulta relevante realizar un breve recuento de </w:t>
      </w:r>
      <w:r w:rsidR="00946BC8" w:rsidRPr="00B41EAD">
        <w:rPr>
          <w:color w:val="000000" w:themeColor="text1"/>
          <w:sz w:val="28"/>
          <w:szCs w:val="28"/>
          <w:lang w:val="es-ES"/>
        </w:rPr>
        <w:t xml:space="preserve">las decisiones más relevantes sobre la materia </w:t>
      </w:r>
      <w:r w:rsidR="00024FC3" w:rsidRPr="00B41EAD">
        <w:rPr>
          <w:color w:val="000000" w:themeColor="text1"/>
          <w:sz w:val="28"/>
          <w:szCs w:val="28"/>
          <w:lang w:val="es-ES"/>
        </w:rPr>
        <w:t xml:space="preserve">adoptadas </w:t>
      </w:r>
      <w:r w:rsidR="009C1327" w:rsidRPr="00B41EAD">
        <w:rPr>
          <w:color w:val="000000" w:themeColor="text1"/>
          <w:sz w:val="28"/>
          <w:szCs w:val="28"/>
          <w:lang w:val="es-ES"/>
        </w:rPr>
        <w:t>por parte del</w:t>
      </w:r>
      <w:r w:rsidR="00C57E71" w:rsidRPr="00B41EAD">
        <w:rPr>
          <w:color w:val="000000" w:themeColor="text1"/>
          <w:sz w:val="28"/>
          <w:szCs w:val="28"/>
          <w:lang w:val="es-ES"/>
        </w:rPr>
        <w:t xml:space="preserve"> Consejo de Estado y de </w:t>
      </w:r>
      <w:r w:rsidR="003E7B50" w:rsidRPr="00B41EAD">
        <w:rPr>
          <w:color w:val="000000" w:themeColor="text1"/>
          <w:sz w:val="28"/>
          <w:szCs w:val="28"/>
          <w:lang w:val="es-ES"/>
        </w:rPr>
        <w:t>la Corte Constitucional</w:t>
      </w:r>
      <w:r w:rsidR="009C1327" w:rsidRPr="00B41EAD">
        <w:rPr>
          <w:color w:val="000000" w:themeColor="text1"/>
          <w:sz w:val="28"/>
          <w:szCs w:val="28"/>
          <w:lang w:val="es-ES"/>
        </w:rPr>
        <w:t>.</w:t>
      </w:r>
      <w:r w:rsidR="00F01401" w:rsidRPr="00B41EAD">
        <w:rPr>
          <w:color w:val="000000" w:themeColor="text1"/>
          <w:sz w:val="28"/>
          <w:szCs w:val="28"/>
          <w:lang w:val="es-ES"/>
        </w:rPr>
        <w:t xml:space="preserve"> </w:t>
      </w:r>
    </w:p>
    <w:p w14:paraId="07083481" w14:textId="77777777" w:rsidR="006E4F13" w:rsidRPr="00B41EAD" w:rsidRDefault="006E4F13" w:rsidP="00614326">
      <w:pPr>
        <w:jc w:val="both"/>
        <w:rPr>
          <w:color w:val="000000" w:themeColor="text1"/>
          <w:sz w:val="28"/>
          <w:szCs w:val="28"/>
          <w:lang w:val="es-ES"/>
        </w:rPr>
      </w:pPr>
    </w:p>
    <w:p w14:paraId="3B90D0E2" w14:textId="09CEF548" w:rsidR="00F01401" w:rsidRPr="00B41EAD" w:rsidRDefault="00F01401" w:rsidP="00F01401">
      <w:pPr>
        <w:pStyle w:val="Ttulo3"/>
        <w:numPr>
          <w:ilvl w:val="0"/>
          <w:numId w:val="0"/>
        </w:numPr>
        <w:rPr>
          <w:i/>
          <w:iCs/>
          <w:color w:val="000000" w:themeColor="text1"/>
          <w:sz w:val="28"/>
          <w:szCs w:val="28"/>
          <w:lang w:val="es-ES"/>
        </w:rPr>
      </w:pPr>
      <w:r w:rsidRPr="00B41EAD">
        <w:rPr>
          <w:i/>
          <w:iCs/>
          <w:color w:val="000000" w:themeColor="text1"/>
          <w:sz w:val="28"/>
          <w:szCs w:val="28"/>
          <w:lang w:val="es-ES"/>
        </w:rPr>
        <w:t>Jurisprudencia del Consejo de Est</w:t>
      </w:r>
      <w:r w:rsidR="00D40AB4" w:rsidRPr="00B41EAD">
        <w:rPr>
          <w:i/>
          <w:iCs/>
          <w:color w:val="000000" w:themeColor="text1"/>
          <w:sz w:val="28"/>
          <w:szCs w:val="28"/>
          <w:lang w:val="es-ES"/>
        </w:rPr>
        <w:t>a</w:t>
      </w:r>
      <w:r w:rsidRPr="00B41EAD">
        <w:rPr>
          <w:i/>
          <w:iCs/>
          <w:color w:val="000000" w:themeColor="text1"/>
          <w:sz w:val="28"/>
          <w:szCs w:val="28"/>
          <w:lang w:val="es-ES"/>
        </w:rPr>
        <w:t>do</w:t>
      </w:r>
    </w:p>
    <w:p w14:paraId="18F7DDCE" w14:textId="6C821CE4" w:rsidR="006E4F13" w:rsidRPr="00B41EAD" w:rsidRDefault="006E4F13" w:rsidP="00614326">
      <w:pPr>
        <w:jc w:val="both"/>
        <w:rPr>
          <w:b/>
          <w:bCs/>
          <w:color w:val="000000" w:themeColor="text1"/>
          <w:sz w:val="28"/>
          <w:szCs w:val="28"/>
          <w:lang w:val="es-ES"/>
        </w:rPr>
      </w:pPr>
    </w:p>
    <w:p w14:paraId="40DC0567" w14:textId="28F08A60" w:rsidR="009268F3" w:rsidRPr="00B41EAD" w:rsidRDefault="00F0140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Inicialmente debe precisarse </w:t>
      </w:r>
      <w:proofErr w:type="gramStart"/>
      <w:r w:rsidRPr="00B41EAD">
        <w:rPr>
          <w:color w:val="000000" w:themeColor="text1"/>
          <w:sz w:val="28"/>
          <w:szCs w:val="28"/>
          <w:lang w:val="es-ES"/>
        </w:rPr>
        <w:t>que</w:t>
      </w:r>
      <w:proofErr w:type="gramEnd"/>
      <w:r w:rsidRPr="00B41EAD">
        <w:rPr>
          <w:color w:val="000000" w:themeColor="text1"/>
          <w:sz w:val="28"/>
          <w:szCs w:val="28"/>
          <w:lang w:val="es-ES"/>
        </w:rPr>
        <w:t xml:space="preserve"> en e</w:t>
      </w:r>
      <w:r w:rsidR="00B12321" w:rsidRPr="00B41EAD">
        <w:rPr>
          <w:color w:val="000000" w:themeColor="text1"/>
          <w:sz w:val="28"/>
          <w:szCs w:val="28"/>
          <w:lang w:val="es-ES"/>
        </w:rPr>
        <w:t>nero de 2020, la Sala Plena de la Sección Tercera del Consejo de Est</w:t>
      </w:r>
      <w:r w:rsidR="001847E5" w:rsidRPr="00B41EAD">
        <w:rPr>
          <w:color w:val="000000" w:themeColor="text1"/>
          <w:sz w:val="28"/>
          <w:szCs w:val="28"/>
          <w:lang w:val="es-ES"/>
        </w:rPr>
        <w:t xml:space="preserve">ado decidió unificar la jurisprudencia </w:t>
      </w:r>
      <w:r w:rsidR="00352BE0" w:rsidRPr="00B41EAD">
        <w:rPr>
          <w:color w:val="000000" w:themeColor="text1"/>
          <w:sz w:val="28"/>
          <w:szCs w:val="28"/>
          <w:lang w:val="es-ES"/>
        </w:rPr>
        <w:t xml:space="preserve">sobre el análisis del término de caducidad frente al medio de control de reparación directa, relacionado con daños </w:t>
      </w:r>
      <w:r w:rsidR="003722CE" w:rsidRPr="00B41EAD">
        <w:rPr>
          <w:color w:val="000000" w:themeColor="text1"/>
          <w:sz w:val="28"/>
          <w:szCs w:val="28"/>
          <w:lang w:val="es-ES"/>
        </w:rPr>
        <w:t xml:space="preserve">derivados de delitos de lesa humanidad, genocidio o crímenes de guerra. Esto, debido a que </w:t>
      </w:r>
      <w:r w:rsidR="001875F0" w:rsidRPr="00B41EAD">
        <w:rPr>
          <w:color w:val="000000" w:themeColor="text1"/>
          <w:sz w:val="28"/>
          <w:szCs w:val="28"/>
          <w:lang w:val="es-ES"/>
        </w:rPr>
        <w:t>anteriormente</w:t>
      </w:r>
      <w:r w:rsidR="00195B0C" w:rsidRPr="00B41EAD">
        <w:rPr>
          <w:color w:val="000000" w:themeColor="text1"/>
          <w:sz w:val="28"/>
          <w:szCs w:val="28"/>
          <w:lang w:val="es-ES"/>
        </w:rPr>
        <w:t>, existían posturas contrapuestas dentro de las diferentes subsecciones de dicha Sección Tercera</w:t>
      </w:r>
      <w:r w:rsidR="00466ED0" w:rsidRPr="00B41EAD">
        <w:rPr>
          <w:color w:val="000000" w:themeColor="text1"/>
          <w:sz w:val="28"/>
          <w:szCs w:val="28"/>
          <w:lang w:val="es-ES"/>
        </w:rPr>
        <w:t>,</w:t>
      </w:r>
      <w:r w:rsidR="00F506E7" w:rsidRPr="00B41EAD">
        <w:rPr>
          <w:color w:val="000000" w:themeColor="text1"/>
          <w:sz w:val="28"/>
          <w:szCs w:val="28"/>
          <w:lang w:val="es-ES"/>
        </w:rPr>
        <w:t xml:space="preserve"> en </w:t>
      </w:r>
      <w:r w:rsidR="00466ED0" w:rsidRPr="00B41EAD">
        <w:rPr>
          <w:color w:val="000000" w:themeColor="text1"/>
          <w:sz w:val="28"/>
          <w:szCs w:val="28"/>
          <w:lang w:val="es-ES"/>
        </w:rPr>
        <w:t xml:space="preserve">relación con </w:t>
      </w:r>
      <w:r w:rsidR="00F506E7" w:rsidRPr="00B41EAD">
        <w:rPr>
          <w:color w:val="000000" w:themeColor="text1"/>
          <w:sz w:val="28"/>
          <w:szCs w:val="28"/>
          <w:lang w:val="es-ES"/>
        </w:rPr>
        <w:t>casos de graves violaciones a derechos humanos.</w:t>
      </w:r>
    </w:p>
    <w:p w14:paraId="3E5F2AC1" w14:textId="77777777" w:rsidR="009268F3" w:rsidRPr="00B41EAD" w:rsidRDefault="009268F3" w:rsidP="009268F3">
      <w:pPr>
        <w:pStyle w:val="Prrafodelista"/>
        <w:ind w:left="0"/>
        <w:jc w:val="both"/>
        <w:rPr>
          <w:color w:val="000000" w:themeColor="text1"/>
          <w:sz w:val="28"/>
          <w:szCs w:val="28"/>
          <w:lang w:val="es-ES"/>
        </w:rPr>
      </w:pPr>
    </w:p>
    <w:p w14:paraId="3192E86E" w14:textId="07347487" w:rsidR="00DB490F" w:rsidRPr="00B41EAD" w:rsidRDefault="00F5624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Como ejemplo</w:t>
      </w:r>
      <w:r w:rsidR="006C1DD9" w:rsidRPr="00B41EAD">
        <w:rPr>
          <w:color w:val="000000" w:themeColor="text1"/>
          <w:sz w:val="28"/>
          <w:szCs w:val="28"/>
          <w:lang w:val="es-ES"/>
        </w:rPr>
        <w:t>, la Subsección B de la Sección Tercera del Consejo de Estado</w:t>
      </w:r>
      <w:r w:rsidR="00FF7495" w:rsidRPr="00B41EAD">
        <w:rPr>
          <w:color w:val="000000" w:themeColor="text1"/>
          <w:sz w:val="28"/>
          <w:szCs w:val="28"/>
          <w:lang w:val="es-ES"/>
        </w:rPr>
        <w:t xml:space="preserve">, sostenía principalmente </w:t>
      </w:r>
      <w:r w:rsidR="00534B5C" w:rsidRPr="00B41EAD">
        <w:rPr>
          <w:color w:val="000000" w:themeColor="text1"/>
          <w:sz w:val="28"/>
          <w:szCs w:val="28"/>
          <w:lang w:val="es-ES"/>
        </w:rPr>
        <w:t xml:space="preserve">que </w:t>
      </w:r>
      <w:r w:rsidR="0069620C" w:rsidRPr="00B41EAD">
        <w:rPr>
          <w:color w:val="000000" w:themeColor="text1"/>
          <w:sz w:val="28"/>
          <w:szCs w:val="28"/>
          <w:lang w:val="es-ES"/>
        </w:rPr>
        <w:t>las normas internacionales relativas a los derechos humanos tienen, entre otras funciones</w:t>
      </w:r>
      <w:r w:rsidR="003E7B50" w:rsidRPr="00B41EAD">
        <w:rPr>
          <w:color w:val="000000" w:themeColor="text1"/>
          <w:sz w:val="28"/>
          <w:szCs w:val="28"/>
          <w:lang w:val="es-ES"/>
        </w:rPr>
        <w:t xml:space="preserve"> las siguientes</w:t>
      </w:r>
      <w:r w:rsidR="0069620C" w:rsidRPr="00B41EAD">
        <w:rPr>
          <w:color w:val="000000" w:themeColor="text1"/>
          <w:sz w:val="28"/>
          <w:szCs w:val="28"/>
          <w:lang w:val="es-ES"/>
        </w:rPr>
        <w:t>: (i) ser parámetros de condicionamiento de la constitucionalidad de los ordenamientos internos; y, (</w:t>
      </w:r>
      <w:proofErr w:type="spellStart"/>
      <w:r w:rsidR="0069620C" w:rsidRPr="00B41EAD">
        <w:rPr>
          <w:color w:val="000000" w:themeColor="text1"/>
          <w:sz w:val="28"/>
          <w:szCs w:val="28"/>
          <w:lang w:val="es-ES"/>
        </w:rPr>
        <w:t>ii</w:t>
      </w:r>
      <w:proofErr w:type="spellEnd"/>
      <w:r w:rsidR="0069620C" w:rsidRPr="00B41EAD">
        <w:rPr>
          <w:color w:val="000000" w:themeColor="text1"/>
          <w:sz w:val="28"/>
          <w:szCs w:val="28"/>
          <w:lang w:val="es-ES"/>
        </w:rPr>
        <w:t>) fundamentar, a partir de normas de referencia supranacional, los juicios de responsabilidad estatal en los casos de falla en el servicio.</w:t>
      </w:r>
      <w:r w:rsidR="00DB490F" w:rsidRPr="00B41EAD">
        <w:rPr>
          <w:color w:val="000000" w:themeColor="text1"/>
          <w:sz w:val="28"/>
          <w:szCs w:val="28"/>
          <w:lang w:val="es-ES"/>
        </w:rPr>
        <w:t xml:space="preserve"> Por esto, resaltaba que </w:t>
      </w:r>
      <w:r w:rsidR="009268F3" w:rsidRPr="00B41EAD">
        <w:rPr>
          <w:color w:val="000000" w:themeColor="text1"/>
          <w:sz w:val="28"/>
          <w:szCs w:val="28"/>
          <w:lang w:val="es-ES"/>
        </w:rPr>
        <w:t>el control de convencionalidad es un mecanismo necesario para constatar el cumplimiento de obligaciones internacionales y para confrontar la posible abstención de una obligación de hacer, que tenga origen en la normatividad internacional</w:t>
      </w:r>
      <w:r w:rsidR="008E3352" w:rsidRPr="00B41EAD">
        <w:rPr>
          <w:rStyle w:val="Refdenotaalpie"/>
          <w:color w:val="000000" w:themeColor="text1"/>
          <w:sz w:val="28"/>
          <w:szCs w:val="28"/>
          <w:lang w:val="es-ES"/>
        </w:rPr>
        <w:footnoteReference w:id="52"/>
      </w:r>
      <w:r w:rsidR="009268F3" w:rsidRPr="00B41EAD">
        <w:rPr>
          <w:color w:val="000000" w:themeColor="text1"/>
          <w:sz w:val="28"/>
          <w:szCs w:val="28"/>
          <w:lang w:val="es-ES"/>
        </w:rPr>
        <w:t xml:space="preserve">. </w:t>
      </w:r>
    </w:p>
    <w:p w14:paraId="6BEB9DB9" w14:textId="77777777" w:rsidR="00DB490F" w:rsidRPr="00B41EAD" w:rsidRDefault="00DB490F" w:rsidP="00DB490F">
      <w:pPr>
        <w:pStyle w:val="Prrafodelista"/>
        <w:rPr>
          <w:color w:val="000000" w:themeColor="text1"/>
          <w:sz w:val="28"/>
          <w:szCs w:val="28"/>
          <w:lang w:val="es-ES"/>
        </w:rPr>
      </w:pPr>
    </w:p>
    <w:p w14:paraId="69522666" w14:textId="77777777" w:rsidR="006370A1" w:rsidRPr="00B41EAD" w:rsidRDefault="008E3352">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Por lo expuesto</w:t>
      </w:r>
      <w:r w:rsidR="009268F3" w:rsidRPr="00B41EAD">
        <w:rPr>
          <w:color w:val="000000" w:themeColor="text1"/>
          <w:sz w:val="28"/>
          <w:szCs w:val="28"/>
          <w:lang w:val="es-ES"/>
        </w:rPr>
        <w:t xml:space="preserve">, se </w:t>
      </w:r>
      <w:r w:rsidR="00232ADB" w:rsidRPr="00B41EAD">
        <w:rPr>
          <w:color w:val="000000" w:themeColor="text1"/>
          <w:sz w:val="28"/>
          <w:szCs w:val="28"/>
          <w:lang w:val="es-ES"/>
        </w:rPr>
        <w:t>consider</w:t>
      </w:r>
      <w:r w:rsidRPr="00B41EAD">
        <w:rPr>
          <w:color w:val="000000" w:themeColor="text1"/>
          <w:sz w:val="28"/>
          <w:szCs w:val="28"/>
          <w:lang w:val="es-ES"/>
        </w:rPr>
        <w:t>aba</w:t>
      </w:r>
      <w:r w:rsidR="00232ADB" w:rsidRPr="00B41EAD">
        <w:rPr>
          <w:color w:val="000000" w:themeColor="text1"/>
          <w:sz w:val="28"/>
          <w:szCs w:val="28"/>
          <w:lang w:val="es-ES"/>
        </w:rPr>
        <w:t xml:space="preserve"> que</w:t>
      </w:r>
      <w:r w:rsidR="009268F3" w:rsidRPr="00B41EAD">
        <w:rPr>
          <w:color w:val="000000" w:themeColor="text1"/>
          <w:sz w:val="28"/>
          <w:szCs w:val="28"/>
          <w:lang w:val="es-ES"/>
        </w:rPr>
        <w:t xml:space="preserve"> la acción judicial en asuntos relacionados con crímenes de lesa humanidad no caduca y, por lo tanto, las demandas donde se reclama la reparación de perjuicios por este tipo de delitos deben ser admitidas, con independencia de los términos para ejercer la acción</w:t>
      </w:r>
      <w:r w:rsidRPr="00B41EAD">
        <w:rPr>
          <w:rStyle w:val="Refdenotaalpie"/>
          <w:color w:val="000000" w:themeColor="text1"/>
          <w:sz w:val="28"/>
          <w:szCs w:val="28"/>
          <w:lang w:val="es-ES"/>
        </w:rPr>
        <w:footnoteReference w:id="53"/>
      </w:r>
      <w:r w:rsidR="009268F3" w:rsidRPr="00B41EAD">
        <w:rPr>
          <w:color w:val="000000" w:themeColor="text1"/>
          <w:sz w:val="28"/>
          <w:szCs w:val="28"/>
          <w:lang w:val="es-ES"/>
        </w:rPr>
        <w:t xml:space="preserve">. </w:t>
      </w:r>
    </w:p>
    <w:p w14:paraId="0F981430" w14:textId="77777777" w:rsidR="006370A1" w:rsidRPr="00B41EAD" w:rsidRDefault="006370A1" w:rsidP="006370A1">
      <w:pPr>
        <w:pStyle w:val="Prrafodelista"/>
        <w:rPr>
          <w:color w:val="000000" w:themeColor="text1"/>
          <w:sz w:val="28"/>
          <w:szCs w:val="28"/>
          <w:lang w:val="es-ES"/>
        </w:rPr>
      </w:pPr>
    </w:p>
    <w:p w14:paraId="6A5B179A" w14:textId="306CCEF5" w:rsidR="006370A1" w:rsidRPr="00B41EAD" w:rsidRDefault="008E3352">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lastRenderedPageBreak/>
        <w:t xml:space="preserve">Por otra parte, </w:t>
      </w:r>
      <w:r w:rsidR="005B2265" w:rsidRPr="00B41EAD">
        <w:rPr>
          <w:color w:val="000000" w:themeColor="text1"/>
          <w:sz w:val="28"/>
          <w:szCs w:val="28"/>
          <w:lang w:val="es-ES"/>
        </w:rPr>
        <w:t>la Subsección A de la Sección Tercera del Consejo de Estado</w:t>
      </w:r>
      <w:r w:rsidR="00AC2081" w:rsidRPr="00B41EAD">
        <w:rPr>
          <w:color w:val="000000" w:themeColor="text1"/>
          <w:sz w:val="28"/>
          <w:szCs w:val="28"/>
          <w:lang w:val="es-ES"/>
        </w:rPr>
        <w:t xml:space="preserve">, sostenía </w:t>
      </w:r>
      <w:r w:rsidR="006370A1" w:rsidRPr="00B41EAD">
        <w:rPr>
          <w:color w:val="000000" w:themeColor="text1"/>
          <w:sz w:val="28"/>
          <w:szCs w:val="28"/>
          <w:lang w:val="es-ES"/>
        </w:rPr>
        <w:t xml:space="preserve">principalmente que </w:t>
      </w:r>
      <w:r w:rsidR="00935AE0" w:rsidRPr="00B41EAD">
        <w:rPr>
          <w:color w:val="000000" w:themeColor="text1"/>
          <w:sz w:val="28"/>
          <w:szCs w:val="28"/>
          <w:lang w:val="es-ES"/>
        </w:rPr>
        <w:t>l</w:t>
      </w:r>
      <w:r w:rsidR="006370A1" w:rsidRPr="00B41EAD">
        <w:rPr>
          <w:color w:val="000000" w:themeColor="text1"/>
          <w:sz w:val="28"/>
          <w:szCs w:val="28"/>
          <w:lang w:val="es-ES"/>
        </w:rPr>
        <w:t>a imprescriptibilidad de los delitos calificados como de lesa humanidad y de guerra opera para que se pueda adelantar la acción penal, a fin de evitar graves violaciones a los derechos humanos y para garantizar que la acción investigativa del estado se lleve a cabo</w:t>
      </w:r>
      <w:r w:rsidR="00AF45EF" w:rsidRPr="00B41EAD">
        <w:rPr>
          <w:color w:val="000000" w:themeColor="text1"/>
          <w:sz w:val="28"/>
          <w:szCs w:val="28"/>
          <w:lang w:val="es-ES"/>
        </w:rPr>
        <w:t>. Sin embargo</w:t>
      </w:r>
      <w:r w:rsidR="00764CD1" w:rsidRPr="00B41EAD">
        <w:rPr>
          <w:color w:val="000000" w:themeColor="text1"/>
          <w:sz w:val="28"/>
          <w:szCs w:val="28"/>
          <w:lang w:val="es-ES"/>
        </w:rPr>
        <w:t xml:space="preserve">, </w:t>
      </w:r>
      <w:r w:rsidR="00501621" w:rsidRPr="00B41EAD">
        <w:rPr>
          <w:color w:val="000000" w:themeColor="text1"/>
          <w:sz w:val="28"/>
          <w:szCs w:val="28"/>
          <w:lang w:val="es-ES"/>
        </w:rPr>
        <w:t xml:space="preserve">se señalaba que </w:t>
      </w:r>
      <w:r w:rsidR="00764CD1" w:rsidRPr="00B41EAD">
        <w:rPr>
          <w:color w:val="000000" w:themeColor="text1"/>
          <w:sz w:val="28"/>
          <w:szCs w:val="28"/>
          <w:lang w:val="es-ES"/>
        </w:rPr>
        <w:t>esto no</w:t>
      </w:r>
      <w:r w:rsidR="006370A1" w:rsidRPr="00B41EAD">
        <w:rPr>
          <w:color w:val="000000" w:themeColor="text1"/>
          <w:sz w:val="28"/>
          <w:szCs w:val="28"/>
          <w:lang w:val="es-ES"/>
        </w:rPr>
        <w:t xml:space="preserve"> establec</w:t>
      </w:r>
      <w:r w:rsidR="003E7B50" w:rsidRPr="00B41EAD">
        <w:rPr>
          <w:color w:val="000000" w:themeColor="text1"/>
          <w:sz w:val="28"/>
          <w:szCs w:val="28"/>
          <w:lang w:val="es-ES"/>
        </w:rPr>
        <w:t>ía</w:t>
      </w:r>
      <w:r w:rsidR="006370A1" w:rsidRPr="00B41EAD">
        <w:rPr>
          <w:color w:val="000000" w:themeColor="text1"/>
          <w:sz w:val="28"/>
          <w:szCs w:val="28"/>
          <w:lang w:val="es-ES"/>
        </w:rPr>
        <w:t xml:space="preserve"> la inoperancia de la caducidad de la acción contencios</w:t>
      </w:r>
      <w:r w:rsidR="00145250" w:rsidRPr="00B41EAD">
        <w:rPr>
          <w:color w:val="000000" w:themeColor="text1"/>
          <w:sz w:val="28"/>
          <w:szCs w:val="28"/>
          <w:lang w:val="es-ES"/>
        </w:rPr>
        <w:t>a</w:t>
      </w:r>
      <w:r w:rsidR="006370A1" w:rsidRPr="00B41EAD">
        <w:rPr>
          <w:color w:val="000000" w:themeColor="text1"/>
          <w:sz w:val="28"/>
          <w:szCs w:val="28"/>
          <w:lang w:val="es-ES"/>
        </w:rPr>
        <w:t xml:space="preserve"> administrativa, tendiente a que se declare la responsabilidad patrimonial del Estado</w:t>
      </w:r>
      <w:r w:rsidR="00764CD1" w:rsidRPr="00B41EAD">
        <w:rPr>
          <w:rStyle w:val="Refdenotaalpie"/>
          <w:color w:val="000000" w:themeColor="text1"/>
          <w:sz w:val="28"/>
          <w:szCs w:val="28"/>
          <w:lang w:val="es-ES"/>
        </w:rPr>
        <w:footnoteReference w:id="54"/>
      </w:r>
      <w:r w:rsidR="006370A1" w:rsidRPr="00B41EAD">
        <w:rPr>
          <w:color w:val="000000" w:themeColor="text1"/>
          <w:sz w:val="28"/>
          <w:szCs w:val="28"/>
          <w:lang w:val="es-ES"/>
        </w:rPr>
        <w:t>.</w:t>
      </w:r>
    </w:p>
    <w:p w14:paraId="739B518A" w14:textId="77777777" w:rsidR="005C47C2" w:rsidRPr="00B41EAD" w:rsidRDefault="005C47C2" w:rsidP="005C47C2">
      <w:pPr>
        <w:pStyle w:val="Prrafodelista"/>
        <w:rPr>
          <w:color w:val="000000" w:themeColor="text1"/>
          <w:sz w:val="28"/>
          <w:szCs w:val="28"/>
          <w:lang w:val="es-ES"/>
        </w:rPr>
      </w:pPr>
    </w:p>
    <w:p w14:paraId="51C7A896" w14:textId="56FB960E" w:rsidR="005C47C2" w:rsidRPr="00B41EAD" w:rsidRDefault="005C47C2">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razón</w:t>
      </w:r>
      <w:r w:rsidR="00376466" w:rsidRPr="00B41EAD">
        <w:rPr>
          <w:color w:val="000000" w:themeColor="text1"/>
          <w:sz w:val="28"/>
          <w:szCs w:val="28"/>
          <w:lang w:val="es-ES"/>
        </w:rPr>
        <w:t xml:space="preserve"> </w:t>
      </w:r>
      <w:r w:rsidR="00A979D7" w:rsidRPr="00B41EAD">
        <w:rPr>
          <w:color w:val="000000" w:themeColor="text1"/>
          <w:sz w:val="28"/>
          <w:szCs w:val="28"/>
          <w:lang w:val="es-ES"/>
        </w:rPr>
        <w:t xml:space="preserve">de la ausencia de un criterio uniforme, la Sala Plena </w:t>
      </w:r>
      <w:r w:rsidR="00D15674" w:rsidRPr="00B41EAD">
        <w:rPr>
          <w:color w:val="000000" w:themeColor="text1"/>
          <w:sz w:val="28"/>
          <w:szCs w:val="28"/>
          <w:lang w:val="es-ES"/>
        </w:rPr>
        <w:t xml:space="preserve">de la Sección Tercera del Consejo de Estado, al analizar la apelación </w:t>
      </w:r>
      <w:r w:rsidR="00B92E05" w:rsidRPr="00B41EAD">
        <w:rPr>
          <w:color w:val="000000" w:themeColor="text1"/>
          <w:sz w:val="28"/>
          <w:szCs w:val="28"/>
          <w:lang w:val="es-ES"/>
        </w:rPr>
        <w:t>de una sentencia dentro de un proceso adelantado por el medio de control de reparación directa</w:t>
      </w:r>
      <w:r w:rsidR="00F874D1" w:rsidRPr="00B41EAD">
        <w:rPr>
          <w:color w:val="000000" w:themeColor="text1"/>
          <w:sz w:val="28"/>
          <w:szCs w:val="28"/>
          <w:lang w:val="es-ES"/>
        </w:rPr>
        <w:t xml:space="preserve">, relacionado con </w:t>
      </w:r>
      <w:r w:rsidR="00FB0202" w:rsidRPr="00B41EAD">
        <w:rPr>
          <w:color w:val="000000" w:themeColor="text1"/>
          <w:sz w:val="28"/>
          <w:szCs w:val="28"/>
          <w:lang w:val="es-ES"/>
        </w:rPr>
        <w:t xml:space="preserve">el homicidio de varias personas </w:t>
      </w:r>
      <w:r w:rsidR="00993D0F" w:rsidRPr="00B41EAD">
        <w:rPr>
          <w:color w:val="000000" w:themeColor="text1"/>
          <w:sz w:val="28"/>
          <w:szCs w:val="28"/>
          <w:lang w:val="es-ES"/>
        </w:rPr>
        <w:t xml:space="preserve">como consecuencia de un combate entre el ejército y miembros </w:t>
      </w:r>
      <w:r w:rsidR="002E2FE0" w:rsidRPr="00B41EAD">
        <w:rPr>
          <w:color w:val="000000" w:themeColor="text1"/>
          <w:sz w:val="28"/>
          <w:szCs w:val="28"/>
          <w:lang w:val="es-ES"/>
        </w:rPr>
        <w:t>del grupo guerrillero FARC, decidió unificar la jurisprudencia respecto del análisis de</w:t>
      </w:r>
      <w:r w:rsidR="00F63BDD" w:rsidRPr="00B41EAD">
        <w:rPr>
          <w:color w:val="000000" w:themeColor="text1"/>
          <w:sz w:val="28"/>
          <w:szCs w:val="28"/>
          <w:lang w:val="es-ES"/>
        </w:rPr>
        <w:t xml:space="preserve">l término de caducidad </w:t>
      </w:r>
      <w:r w:rsidR="003E7B50" w:rsidRPr="00B41EAD">
        <w:rPr>
          <w:color w:val="000000" w:themeColor="text1"/>
          <w:sz w:val="28"/>
          <w:szCs w:val="28"/>
          <w:lang w:val="es-ES"/>
        </w:rPr>
        <w:t>del medio de control</w:t>
      </w:r>
      <w:r w:rsidR="00F63BDD" w:rsidRPr="00B41EAD">
        <w:rPr>
          <w:color w:val="000000" w:themeColor="text1"/>
          <w:sz w:val="28"/>
          <w:szCs w:val="28"/>
          <w:lang w:val="es-ES"/>
        </w:rPr>
        <w:t>, en los siguientes términos</w:t>
      </w:r>
      <w:r w:rsidR="00880F90" w:rsidRPr="00B41EAD">
        <w:rPr>
          <w:rStyle w:val="Refdenotaalpie"/>
          <w:color w:val="000000" w:themeColor="text1"/>
          <w:sz w:val="28"/>
          <w:szCs w:val="28"/>
          <w:lang w:val="es-ES"/>
        </w:rPr>
        <w:footnoteReference w:id="55"/>
      </w:r>
      <w:r w:rsidR="00F63BDD" w:rsidRPr="00B41EAD">
        <w:rPr>
          <w:color w:val="000000" w:themeColor="text1"/>
          <w:sz w:val="28"/>
          <w:szCs w:val="28"/>
          <w:lang w:val="es-ES"/>
        </w:rPr>
        <w:t xml:space="preserve">: </w:t>
      </w:r>
    </w:p>
    <w:p w14:paraId="43A567F4" w14:textId="77777777" w:rsidR="006370A1" w:rsidRPr="00B41EAD" w:rsidRDefault="006370A1" w:rsidP="006370A1">
      <w:pPr>
        <w:pStyle w:val="Prrafodelista"/>
        <w:rPr>
          <w:color w:val="000000" w:themeColor="text1"/>
          <w:sz w:val="28"/>
          <w:szCs w:val="28"/>
          <w:lang w:val="es-ES"/>
        </w:rPr>
      </w:pPr>
    </w:p>
    <w:p w14:paraId="013DA6E4" w14:textId="5089A47A" w:rsidR="00DE4F4A" w:rsidRPr="00B41EAD" w:rsidRDefault="00DE4F4A" w:rsidP="00911375">
      <w:pPr>
        <w:pStyle w:val="Prrafodelista"/>
        <w:ind w:left="851"/>
        <w:jc w:val="both"/>
        <w:rPr>
          <w:color w:val="000000" w:themeColor="text1"/>
          <w:sz w:val="28"/>
          <w:szCs w:val="28"/>
          <w:lang w:val="es-ES"/>
        </w:rPr>
      </w:pPr>
      <w:r w:rsidRPr="00B41EAD">
        <w:rPr>
          <w:color w:val="000000" w:themeColor="text1"/>
          <w:sz w:val="28"/>
          <w:szCs w:val="28"/>
          <w:lang w:val="es-ES"/>
        </w:rPr>
        <w:t>“</w:t>
      </w:r>
      <w:r w:rsidRPr="00B41EAD">
        <w:rPr>
          <w:b/>
          <w:bCs/>
          <w:color w:val="000000" w:themeColor="text1"/>
          <w:sz w:val="28"/>
          <w:szCs w:val="28"/>
          <w:lang w:val="es-ES"/>
        </w:rPr>
        <w:t>PRIMERO:</w:t>
      </w:r>
      <w:r w:rsidRPr="00B41EAD">
        <w:rPr>
          <w:color w:val="000000" w:themeColor="text1"/>
          <w:sz w:val="28"/>
          <w:szCs w:val="28"/>
          <w:lang w:val="es-ES"/>
        </w:rPr>
        <w:t xml:space="preserve"> </w:t>
      </w:r>
      <w:r w:rsidRPr="00B41EAD">
        <w:rPr>
          <w:b/>
          <w:bCs/>
          <w:color w:val="000000" w:themeColor="text1"/>
          <w:sz w:val="28"/>
          <w:szCs w:val="28"/>
          <w:lang w:val="es-ES"/>
        </w:rPr>
        <w:t>UNIFICAR</w:t>
      </w:r>
      <w:r w:rsidRPr="00B41EAD">
        <w:rPr>
          <w:color w:val="000000" w:themeColor="text1"/>
          <w:sz w:val="28"/>
          <w:szCs w:val="28"/>
          <w:lang w:val="es-ES"/>
        </w:rPr>
        <w:t xml:space="preserve"> la jurisprudencia de la Sección Tercera del Consejo de Estado, en relación con la caducidad de las pretensiones indemnizatorias formuladas con ocasión de los delitos de lesa humanidad, los crímenes de guerra y cualquier otro asunto en el que se pueda solicitar la declaratoria de responsabilidad patrimonial al Estado, bajo las siguientes premisas: </w:t>
      </w:r>
      <w:r w:rsidRPr="00B41EAD">
        <w:rPr>
          <w:b/>
          <w:bCs/>
          <w:color w:val="000000" w:themeColor="text1"/>
          <w:sz w:val="28"/>
          <w:szCs w:val="28"/>
          <w:lang w:val="es-ES"/>
        </w:rPr>
        <w:t>i)</w:t>
      </w:r>
      <w:r w:rsidRPr="00B41EAD">
        <w:rPr>
          <w:color w:val="000000" w:themeColor="text1"/>
          <w:sz w:val="28"/>
          <w:szCs w:val="28"/>
          <w:lang w:val="es-ES"/>
        </w:rPr>
        <w:t xml:space="preserve"> en tales eventos resulta aplicable el término para demandar establecido por el legislador; </w:t>
      </w:r>
      <w:proofErr w:type="spellStart"/>
      <w:r w:rsidRPr="00B41EAD">
        <w:rPr>
          <w:b/>
          <w:bCs/>
          <w:color w:val="000000" w:themeColor="text1"/>
          <w:sz w:val="28"/>
          <w:szCs w:val="28"/>
          <w:lang w:val="es-ES"/>
        </w:rPr>
        <w:t>ii</w:t>
      </w:r>
      <w:proofErr w:type="spellEnd"/>
      <w:r w:rsidRPr="00B41EAD">
        <w:rPr>
          <w:b/>
          <w:bCs/>
          <w:color w:val="000000" w:themeColor="text1"/>
          <w:sz w:val="28"/>
          <w:szCs w:val="28"/>
          <w:lang w:val="es-ES"/>
        </w:rPr>
        <w:t>)</w:t>
      </w:r>
      <w:r w:rsidRPr="00B41EAD">
        <w:rPr>
          <w:color w:val="000000" w:themeColor="text1"/>
          <w:sz w:val="28"/>
          <w:szCs w:val="28"/>
          <w:lang w:val="es-ES"/>
        </w:rPr>
        <w:t xml:space="preserve"> este plazo, salvo el caso de la desaparición forzada, que tiene regulación legal expresa, se computa desde cuando los afectados conocieron o debieron conocer la participación por acción u omisión del Estado y advirtieron la posibilidad de imputarle responsabilidad patrimonial, y </w:t>
      </w:r>
      <w:proofErr w:type="spellStart"/>
      <w:r w:rsidRPr="00B41EAD">
        <w:rPr>
          <w:b/>
          <w:bCs/>
          <w:color w:val="000000" w:themeColor="text1"/>
          <w:sz w:val="28"/>
          <w:szCs w:val="28"/>
          <w:lang w:val="es-ES"/>
        </w:rPr>
        <w:t>iii</w:t>
      </w:r>
      <w:proofErr w:type="spellEnd"/>
      <w:r w:rsidRPr="00B41EAD">
        <w:rPr>
          <w:b/>
          <w:bCs/>
          <w:color w:val="000000" w:themeColor="text1"/>
          <w:sz w:val="28"/>
          <w:szCs w:val="28"/>
          <w:lang w:val="es-ES"/>
        </w:rPr>
        <w:t>)</w:t>
      </w:r>
      <w:r w:rsidRPr="00B41EAD">
        <w:rPr>
          <w:color w:val="000000" w:themeColor="text1"/>
          <w:sz w:val="28"/>
          <w:szCs w:val="28"/>
          <w:lang w:val="es-ES"/>
        </w:rPr>
        <w:t xml:space="preserve"> el término pertinente no se aplica cuando se observan situaciones que hubiesen impedido materialmente el ejercicio del derecho de acción y, una vez superadas, empezará a correr el plazo de ley”</w:t>
      </w:r>
      <w:r w:rsidRPr="00B41EAD">
        <w:rPr>
          <w:rStyle w:val="Refdenotaalpie"/>
          <w:color w:val="000000" w:themeColor="text1"/>
          <w:sz w:val="28"/>
          <w:szCs w:val="28"/>
          <w:lang w:val="es-ES"/>
        </w:rPr>
        <w:footnoteReference w:id="56"/>
      </w:r>
      <w:r w:rsidRPr="00B41EAD">
        <w:rPr>
          <w:color w:val="000000" w:themeColor="text1"/>
          <w:sz w:val="28"/>
          <w:szCs w:val="28"/>
          <w:lang w:val="es-ES"/>
        </w:rPr>
        <w:t>.</w:t>
      </w:r>
    </w:p>
    <w:p w14:paraId="643B1429" w14:textId="77777777" w:rsidR="00F01401" w:rsidRPr="00B41EAD" w:rsidRDefault="00F01401" w:rsidP="00614326">
      <w:pPr>
        <w:jc w:val="both"/>
        <w:rPr>
          <w:color w:val="000000" w:themeColor="text1"/>
          <w:sz w:val="28"/>
          <w:szCs w:val="28"/>
          <w:lang w:val="es-ES"/>
        </w:rPr>
      </w:pPr>
    </w:p>
    <w:p w14:paraId="33F88A30" w14:textId="2F4FDB70" w:rsidR="00DE4F4A" w:rsidRPr="00B41EAD" w:rsidRDefault="00D8747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De igual forma</w:t>
      </w:r>
      <w:r w:rsidR="007453CD" w:rsidRPr="00B41EAD">
        <w:rPr>
          <w:color w:val="000000" w:themeColor="text1"/>
          <w:sz w:val="28"/>
          <w:szCs w:val="28"/>
          <w:lang w:val="es-ES"/>
        </w:rPr>
        <w:t xml:space="preserve">, aclaró ciertos aspectos </w:t>
      </w:r>
      <w:r w:rsidR="004F7641" w:rsidRPr="00B41EAD">
        <w:rPr>
          <w:color w:val="000000" w:themeColor="text1"/>
          <w:sz w:val="28"/>
          <w:szCs w:val="28"/>
          <w:lang w:val="es-ES"/>
        </w:rPr>
        <w:t>que conllevaron</w:t>
      </w:r>
      <w:r w:rsidR="00AB7083" w:rsidRPr="00B41EAD">
        <w:rPr>
          <w:color w:val="000000" w:themeColor="text1"/>
          <w:sz w:val="28"/>
          <w:szCs w:val="28"/>
          <w:lang w:val="es-ES"/>
        </w:rPr>
        <w:t xml:space="preserve"> a la adopción de</w:t>
      </w:r>
      <w:r w:rsidR="004F7641" w:rsidRPr="00B41EAD">
        <w:rPr>
          <w:color w:val="000000" w:themeColor="text1"/>
          <w:sz w:val="28"/>
          <w:szCs w:val="28"/>
          <w:lang w:val="es-ES"/>
        </w:rPr>
        <w:t xml:space="preserve"> </w:t>
      </w:r>
      <w:r w:rsidR="001557C6" w:rsidRPr="00B41EAD">
        <w:rPr>
          <w:color w:val="000000" w:themeColor="text1"/>
          <w:sz w:val="28"/>
          <w:szCs w:val="28"/>
          <w:lang w:val="es-ES"/>
        </w:rPr>
        <w:t xml:space="preserve">las siguientes </w:t>
      </w:r>
      <w:r w:rsidR="004F7641" w:rsidRPr="00B41EAD">
        <w:rPr>
          <w:color w:val="000000" w:themeColor="text1"/>
          <w:sz w:val="28"/>
          <w:szCs w:val="28"/>
          <w:lang w:val="es-ES"/>
        </w:rPr>
        <w:t xml:space="preserve">subreglas </w:t>
      </w:r>
      <w:r w:rsidR="00AB7083" w:rsidRPr="00B41EAD">
        <w:rPr>
          <w:color w:val="000000" w:themeColor="text1"/>
          <w:sz w:val="28"/>
          <w:szCs w:val="28"/>
          <w:lang w:val="es-ES"/>
        </w:rPr>
        <w:t>de unificación</w:t>
      </w:r>
      <w:r w:rsidR="00817809" w:rsidRPr="00B41EAD">
        <w:rPr>
          <w:rStyle w:val="Refdenotaalpie"/>
          <w:color w:val="000000" w:themeColor="text1"/>
          <w:sz w:val="28"/>
          <w:szCs w:val="28"/>
          <w:lang w:val="es-ES"/>
        </w:rPr>
        <w:footnoteReference w:id="57"/>
      </w:r>
      <w:r w:rsidR="00C23E34" w:rsidRPr="00B41EAD">
        <w:rPr>
          <w:color w:val="000000" w:themeColor="text1"/>
          <w:sz w:val="28"/>
          <w:szCs w:val="28"/>
          <w:lang w:val="es-ES"/>
        </w:rPr>
        <w:t>:</w:t>
      </w:r>
    </w:p>
    <w:p w14:paraId="710A5549" w14:textId="77777777" w:rsidR="00C44840" w:rsidRPr="00B41EAD" w:rsidRDefault="00C44840" w:rsidP="00C44840">
      <w:pPr>
        <w:jc w:val="both"/>
        <w:rPr>
          <w:color w:val="000000" w:themeColor="text1"/>
          <w:sz w:val="28"/>
          <w:szCs w:val="28"/>
          <w:lang w:val="es-ES"/>
        </w:rPr>
      </w:pPr>
    </w:p>
    <w:p w14:paraId="3476B4BA" w14:textId="77777777" w:rsidR="00C44840" w:rsidRPr="00B41EAD" w:rsidRDefault="00C44840" w:rsidP="00C44840">
      <w:pPr>
        <w:ind w:left="567" w:right="708"/>
        <w:jc w:val="both"/>
        <w:rPr>
          <w:color w:val="000000" w:themeColor="text1"/>
          <w:sz w:val="28"/>
          <w:szCs w:val="28"/>
        </w:rPr>
      </w:pPr>
      <w:r w:rsidRPr="00B41EAD">
        <w:rPr>
          <w:color w:val="000000" w:themeColor="text1"/>
          <w:sz w:val="28"/>
          <w:szCs w:val="28"/>
          <w:lang w:val="es-ES"/>
        </w:rPr>
        <w:t>“</w:t>
      </w:r>
      <w:r w:rsidRPr="00B41EAD">
        <w:rPr>
          <w:color w:val="000000" w:themeColor="text1"/>
          <w:sz w:val="28"/>
          <w:szCs w:val="28"/>
        </w:rPr>
        <w:t>Las situaciones que se pretenden salvaguardar con la imprescriptibilidad penal en los casos de lesa humanidad y los crímenes de guerra también se encuentran previstas en el campo de lo contencioso administrativo, bajo la premisa del conocimiento de la participación por acción u omisión del Estado, al margen de que se trate de delitos de lesa humanidad o de crímenes de guerra.</w:t>
      </w:r>
    </w:p>
    <w:p w14:paraId="490009EE" w14:textId="77777777" w:rsidR="00C44840" w:rsidRPr="00B41EAD" w:rsidRDefault="00C44840" w:rsidP="00C44840">
      <w:pPr>
        <w:ind w:left="567" w:right="708"/>
        <w:jc w:val="both"/>
        <w:rPr>
          <w:color w:val="000000" w:themeColor="text1"/>
          <w:sz w:val="28"/>
          <w:szCs w:val="28"/>
        </w:rPr>
      </w:pPr>
    </w:p>
    <w:p w14:paraId="2189B871" w14:textId="77777777" w:rsidR="00C44840" w:rsidRPr="00B41EAD" w:rsidRDefault="00C44840" w:rsidP="00C44840">
      <w:pPr>
        <w:ind w:left="567" w:right="708"/>
        <w:jc w:val="both"/>
        <w:rPr>
          <w:color w:val="000000" w:themeColor="text1"/>
          <w:sz w:val="28"/>
          <w:szCs w:val="28"/>
        </w:rPr>
      </w:pPr>
      <w:r w:rsidRPr="00B41EAD">
        <w:rPr>
          <w:color w:val="000000" w:themeColor="text1"/>
          <w:sz w:val="28"/>
          <w:szCs w:val="28"/>
        </w:rPr>
        <w:lastRenderedPageBreak/>
        <w:t xml:space="preserve">Así las cosas, la jurisprudencia de la Sección Tercera del Consejo de Estado se unificará en relación con la caducidad de las pretensiones indemnizatorias formuladas con ocasión de los delitos de lesa humanidad, los crímenes de guerra y cualquier otro asunto en el que se pueda solicitar la declaratoria de responsabilidad patrimonial al Estado, bajo las siguientes premisas: i) en tales eventos resulta exigible el término para demandar establecido por el legislador; </w:t>
      </w:r>
      <w:proofErr w:type="spellStart"/>
      <w:r w:rsidRPr="00B41EAD">
        <w:rPr>
          <w:color w:val="000000" w:themeColor="text1"/>
          <w:sz w:val="28"/>
          <w:szCs w:val="28"/>
        </w:rPr>
        <w:t>ii</w:t>
      </w:r>
      <w:proofErr w:type="spellEnd"/>
      <w:r w:rsidRPr="00B41EAD">
        <w:rPr>
          <w:color w:val="000000" w:themeColor="text1"/>
          <w:sz w:val="28"/>
          <w:szCs w:val="28"/>
        </w:rPr>
        <w:t xml:space="preserve">) este plazo, salvo el caso de la desaparición forzada, que tiene regulación legal expresa, se computa desde cuando los afectados conocieron o debieron conocer la participación por acción u omisión del Estado y advirtieron la posibilidad de imputarle responsabilidad patrimonial, y </w:t>
      </w:r>
      <w:proofErr w:type="spellStart"/>
      <w:r w:rsidRPr="00B41EAD">
        <w:rPr>
          <w:color w:val="000000" w:themeColor="text1"/>
          <w:sz w:val="28"/>
          <w:szCs w:val="28"/>
        </w:rPr>
        <w:t>iii</w:t>
      </w:r>
      <w:proofErr w:type="spellEnd"/>
      <w:r w:rsidRPr="00B41EAD">
        <w:rPr>
          <w:color w:val="000000" w:themeColor="text1"/>
          <w:sz w:val="28"/>
          <w:szCs w:val="28"/>
        </w:rPr>
        <w:t xml:space="preserve">) el término pertinente no se aplica cuando se observan situaciones que hubiesen impedido materialmente el ejercicio del derecho de acción y, una vez superadas, empezará a correr el plazo de ley. </w:t>
      </w:r>
    </w:p>
    <w:p w14:paraId="3B759DBE" w14:textId="77777777" w:rsidR="00C44840" w:rsidRPr="00B41EAD" w:rsidRDefault="00C44840" w:rsidP="00C44840">
      <w:pPr>
        <w:ind w:left="567" w:right="708"/>
        <w:jc w:val="both"/>
        <w:rPr>
          <w:color w:val="000000" w:themeColor="text1"/>
          <w:sz w:val="28"/>
          <w:szCs w:val="28"/>
        </w:rPr>
      </w:pPr>
    </w:p>
    <w:p w14:paraId="18C344CA" w14:textId="3810F502" w:rsidR="000C7F2F" w:rsidRPr="00B41EAD" w:rsidRDefault="00C44840" w:rsidP="00C44840">
      <w:pPr>
        <w:ind w:left="567" w:right="708"/>
        <w:jc w:val="both"/>
        <w:rPr>
          <w:color w:val="000000" w:themeColor="text1"/>
          <w:sz w:val="28"/>
          <w:szCs w:val="28"/>
        </w:rPr>
      </w:pPr>
      <w:r w:rsidRPr="00B41EAD">
        <w:rPr>
          <w:color w:val="000000" w:themeColor="text1"/>
          <w:sz w:val="28"/>
          <w:szCs w:val="28"/>
        </w:rPr>
        <w:t>Finalmente, se precisa que el término de caducidad para solicitar al Estado la indemnización de un daño es inaplicable en aquellos eventos en los que se adviertan circunstancias que hubiesen impedido, desde el punto de vista material, el ejercicio del derecho de acción, lo que puede ocurrir frente a los delitos de lesa humanidad, los crímenes de guerra o cualquier otro asunto en el que se pueda demandar la responsabilidad patrimonial Estado, pues para tales efectos no resulta determinante la situación causante del daño, sino la condición particular de quien acude a la administración de justicia</w:t>
      </w:r>
      <w:r w:rsidRPr="00B41EAD">
        <w:rPr>
          <w:color w:val="000000" w:themeColor="text1"/>
          <w:sz w:val="28"/>
          <w:szCs w:val="28"/>
          <w:lang w:val="es-ES"/>
        </w:rPr>
        <w:t>”.</w:t>
      </w:r>
    </w:p>
    <w:p w14:paraId="304BC168" w14:textId="77777777" w:rsidR="00611A6B" w:rsidRPr="00B41EAD" w:rsidRDefault="00611A6B" w:rsidP="00611A6B">
      <w:pPr>
        <w:pStyle w:val="Prrafodelista"/>
        <w:rPr>
          <w:color w:val="000000" w:themeColor="text1"/>
          <w:sz w:val="28"/>
          <w:szCs w:val="28"/>
          <w:lang w:val="es-ES"/>
        </w:rPr>
      </w:pPr>
    </w:p>
    <w:p w14:paraId="0B034123" w14:textId="55D07D46" w:rsidR="00E5538F" w:rsidRPr="00B41EAD" w:rsidRDefault="002B59E6">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Posterior a</w:t>
      </w:r>
      <w:r w:rsidR="00E15CBE" w:rsidRPr="00B41EAD">
        <w:rPr>
          <w:color w:val="000000" w:themeColor="text1"/>
          <w:sz w:val="28"/>
          <w:szCs w:val="28"/>
          <w:lang w:val="es-ES"/>
        </w:rPr>
        <w:t xml:space="preserve"> la sentencia de unificación expuesta</w:t>
      </w:r>
      <w:r w:rsidR="005C18DF" w:rsidRPr="00B41EAD">
        <w:rPr>
          <w:color w:val="000000" w:themeColor="text1"/>
          <w:sz w:val="28"/>
          <w:szCs w:val="28"/>
          <w:lang w:val="es-ES"/>
        </w:rPr>
        <w:t xml:space="preserve">, el Consejo de Estado ha proferido diferentes providencias dentro de las cuales </w:t>
      </w:r>
      <w:r w:rsidR="00EB1590" w:rsidRPr="00B41EAD">
        <w:rPr>
          <w:color w:val="000000" w:themeColor="text1"/>
          <w:sz w:val="28"/>
          <w:szCs w:val="28"/>
          <w:lang w:val="es-ES"/>
        </w:rPr>
        <w:t xml:space="preserve">aplica las </w:t>
      </w:r>
      <w:r w:rsidR="004F7641" w:rsidRPr="00B41EAD">
        <w:rPr>
          <w:color w:val="000000" w:themeColor="text1"/>
          <w:sz w:val="28"/>
          <w:szCs w:val="28"/>
          <w:lang w:val="es-ES"/>
        </w:rPr>
        <w:t>sub</w:t>
      </w:r>
      <w:r w:rsidR="00EB1590" w:rsidRPr="00B41EAD">
        <w:rPr>
          <w:color w:val="000000" w:themeColor="text1"/>
          <w:sz w:val="28"/>
          <w:szCs w:val="28"/>
          <w:lang w:val="es-ES"/>
        </w:rPr>
        <w:t>reglas de unificación</w:t>
      </w:r>
      <w:r w:rsidRPr="00B41EAD">
        <w:rPr>
          <w:color w:val="000000" w:themeColor="text1"/>
          <w:sz w:val="28"/>
          <w:szCs w:val="28"/>
          <w:lang w:val="es-ES"/>
        </w:rPr>
        <w:t xml:space="preserve">, </w:t>
      </w:r>
      <w:r w:rsidR="00295DBC" w:rsidRPr="00B41EAD">
        <w:rPr>
          <w:color w:val="000000" w:themeColor="text1"/>
          <w:sz w:val="28"/>
          <w:szCs w:val="28"/>
          <w:lang w:val="es-ES"/>
        </w:rPr>
        <w:t xml:space="preserve">realizando un análisis </w:t>
      </w:r>
      <w:r w:rsidR="00F4445C" w:rsidRPr="00B41EAD">
        <w:rPr>
          <w:color w:val="000000" w:themeColor="text1"/>
          <w:sz w:val="28"/>
          <w:szCs w:val="28"/>
          <w:lang w:val="es-ES"/>
        </w:rPr>
        <w:t xml:space="preserve">de los elementos del caso concreto </w:t>
      </w:r>
      <w:r w:rsidR="00295DBC" w:rsidRPr="00B41EAD">
        <w:rPr>
          <w:color w:val="000000" w:themeColor="text1"/>
          <w:sz w:val="28"/>
          <w:szCs w:val="28"/>
          <w:lang w:val="es-ES"/>
        </w:rPr>
        <w:t>para identificar cu</w:t>
      </w:r>
      <w:r w:rsidR="004F7641" w:rsidRPr="00B41EAD">
        <w:rPr>
          <w:color w:val="000000" w:themeColor="text1"/>
          <w:sz w:val="28"/>
          <w:szCs w:val="28"/>
          <w:lang w:val="es-ES"/>
        </w:rPr>
        <w:t>á</w:t>
      </w:r>
      <w:r w:rsidR="00295DBC" w:rsidRPr="00B41EAD">
        <w:rPr>
          <w:color w:val="000000" w:themeColor="text1"/>
          <w:sz w:val="28"/>
          <w:szCs w:val="28"/>
          <w:lang w:val="es-ES"/>
        </w:rPr>
        <w:t xml:space="preserve">ndo fue el momento real </w:t>
      </w:r>
      <w:r w:rsidR="00F4445C" w:rsidRPr="00B41EAD">
        <w:rPr>
          <w:color w:val="000000" w:themeColor="text1"/>
          <w:sz w:val="28"/>
          <w:szCs w:val="28"/>
          <w:lang w:val="es-ES"/>
        </w:rPr>
        <w:t xml:space="preserve">en que los afectados conocieron </w:t>
      </w:r>
      <w:r w:rsidR="00845D6A" w:rsidRPr="00B41EAD">
        <w:rPr>
          <w:color w:val="000000" w:themeColor="text1"/>
          <w:sz w:val="28"/>
          <w:szCs w:val="28"/>
          <w:lang w:val="es-ES"/>
        </w:rPr>
        <w:t>o debieron conocer la participación del Estado</w:t>
      </w:r>
      <w:r w:rsidR="005D0E0B" w:rsidRPr="00B41EAD">
        <w:rPr>
          <w:color w:val="000000" w:themeColor="text1"/>
          <w:sz w:val="28"/>
          <w:szCs w:val="28"/>
          <w:lang w:val="es-ES"/>
        </w:rPr>
        <w:t>,</w:t>
      </w:r>
      <w:r w:rsidR="00F4445C" w:rsidRPr="00B41EAD">
        <w:rPr>
          <w:color w:val="000000" w:themeColor="text1"/>
          <w:sz w:val="28"/>
          <w:szCs w:val="28"/>
          <w:lang w:val="es-ES"/>
        </w:rPr>
        <w:t xml:space="preserve"> y advirtieron la posibilidad de imputarle responsabilidad. </w:t>
      </w:r>
      <w:r w:rsidR="00845D6A" w:rsidRPr="00B41EAD">
        <w:rPr>
          <w:color w:val="000000" w:themeColor="text1"/>
          <w:sz w:val="28"/>
          <w:szCs w:val="28"/>
          <w:lang w:val="es-ES"/>
        </w:rPr>
        <w:t xml:space="preserve">Como ejemplo, </w:t>
      </w:r>
      <w:r w:rsidR="001E5E1D" w:rsidRPr="00B41EAD">
        <w:rPr>
          <w:color w:val="000000" w:themeColor="text1"/>
          <w:sz w:val="28"/>
          <w:szCs w:val="28"/>
          <w:lang w:val="es-ES"/>
        </w:rPr>
        <w:t xml:space="preserve">en un caso </w:t>
      </w:r>
      <w:r w:rsidR="0006057A" w:rsidRPr="00B41EAD">
        <w:rPr>
          <w:color w:val="000000" w:themeColor="text1"/>
          <w:sz w:val="28"/>
          <w:szCs w:val="28"/>
          <w:lang w:val="es-ES"/>
        </w:rPr>
        <w:t>de un homicidio de una persona reportada como “NN”, dado de baja en un enfrentamiento de la fuer</w:t>
      </w:r>
      <w:r w:rsidR="0011083A" w:rsidRPr="00B41EAD">
        <w:rPr>
          <w:color w:val="000000" w:themeColor="text1"/>
          <w:sz w:val="28"/>
          <w:szCs w:val="28"/>
          <w:lang w:val="es-ES"/>
        </w:rPr>
        <w:t>z</w:t>
      </w:r>
      <w:r w:rsidR="0006057A" w:rsidRPr="00B41EAD">
        <w:rPr>
          <w:color w:val="000000" w:themeColor="text1"/>
          <w:sz w:val="28"/>
          <w:szCs w:val="28"/>
          <w:lang w:val="es-ES"/>
        </w:rPr>
        <w:t xml:space="preserve">a pública, </w:t>
      </w:r>
      <w:r w:rsidR="0011083A" w:rsidRPr="00B41EAD">
        <w:rPr>
          <w:color w:val="000000" w:themeColor="text1"/>
          <w:sz w:val="28"/>
          <w:szCs w:val="28"/>
          <w:lang w:val="es-ES"/>
        </w:rPr>
        <w:t xml:space="preserve">se encontró </w:t>
      </w:r>
      <w:r w:rsidR="00E5538F" w:rsidRPr="00B41EAD">
        <w:rPr>
          <w:color w:val="000000" w:themeColor="text1"/>
          <w:sz w:val="28"/>
          <w:szCs w:val="28"/>
          <w:lang w:val="es-ES"/>
        </w:rPr>
        <w:t xml:space="preserve">que el convencimiento de las víctimas se vio minado hasta que la justicia penal remitió las diligencias a la justicia ordinaria, debido a que antes, la versión otorgada por los militares </w:t>
      </w:r>
      <w:r w:rsidR="00E745FE" w:rsidRPr="00B41EAD">
        <w:rPr>
          <w:color w:val="000000" w:themeColor="text1"/>
          <w:sz w:val="28"/>
          <w:szCs w:val="28"/>
          <w:lang w:val="es-ES"/>
        </w:rPr>
        <w:t>d</w:t>
      </w:r>
      <w:r w:rsidR="00E5538F" w:rsidRPr="00B41EAD">
        <w:rPr>
          <w:color w:val="000000" w:themeColor="text1"/>
          <w:sz w:val="28"/>
          <w:szCs w:val="28"/>
          <w:lang w:val="es-ES"/>
        </w:rPr>
        <w:t xml:space="preserve">el suceso no podía ser </w:t>
      </w:r>
      <w:r w:rsidR="00E745FE" w:rsidRPr="00B41EAD">
        <w:rPr>
          <w:color w:val="000000" w:themeColor="text1"/>
          <w:sz w:val="28"/>
          <w:szCs w:val="28"/>
          <w:lang w:val="es-ES"/>
        </w:rPr>
        <w:t>confrontada</w:t>
      </w:r>
      <w:r w:rsidR="00E5538F" w:rsidRPr="00B41EAD">
        <w:rPr>
          <w:color w:val="000000" w:themeColor="text1"/>
          <w:sz w:val="28"/>
          <w:szCs w:val="28"/>
          <w:lang w:val="es-ES"/>
        </w:rPr>
        <w:t xml:space="preserve"> por la</w:t>
      </w:r>
      <w:r w:rsidR="004F7641" w:rsidRPr="00B41EAD">
        <w:rPr>
          <w:color w:val="000000" w:themeColor="text1"/>
          <w:sz w:val="28"/>
          <w:szCs w:val="28"/>
          <w:lang w:val="es-ES"/>
        </w:rPr>
        <w:t>s</w:t>
      </w:r>
      <w:r w:rsidR="00E5538F" w:rsidRPr="00B41EAD">
        <w:rPr>
          <w:color w:val="000000" w:themeColor="text1"/>
          <w:sz w:val="28"/>
          <w:szCs w:val="28"/>
          <w:lang w:val="es-ES"/>
        </w:rPr>
        <w:t xml:space="preserve"> </w:t>
      </w:r>
      <w:r w:rsidR="00E745FE" w:rsidRPr="00B41EAD">
        <w:rPr>
          <w:color w:val="000000" w:themeColor="text1"/>
          <w:sz w:val="28"/>
          <w:szCs w:val="28"/>
          <w:lang w:val="es-ES"/>
        </w:rPr>
        <w:t>víctimas</w:t>
      </w:r>
      <w:r w:rsidR="00CE2493" w:rsidRPr="00B41EAD">
        <w:rPr>
          <w:color w:val="000000" w:themeColor="text1"/>
          <w:sz w:val="28"/>
          <w:szCs w:val="28"/>
          <w:lang w:val="es-ES"/>
        </w:rPr>
        <w:t xml:space="preserve"> y, dada la flexibilización que se puede realizar en casos de violación de derechos humanos, se tomó una fecha diferente a la adoptada por </w:t>
      </w:r>
      <w:r w:rsidR="005D0E0B" w:rsidRPr="00B41EAD">
        <w:rPr>
          <w:color w:val="000000" w:themeColor="text1"/>
          <w:sz w:val="28"/>
          <w:szCs w:val="28"/>
          <w:lang w:val="es-ES"/>
        </w:rPr>
        <w:t>e</w:t>
      </w:r>
      <w:r w:rsidR="00CE2493" w:rsidRPr="00B41EAD">
        <w:rPr>
          <w:color w:val="000000" w:themeColor="text1"/>
          <w:sz w:val="28"/>
          <w:szCs w:val="28"/>
          <w:lang w:val="es-ES"/>
        </w:rPr>
        <w:t xml:space="preserve">l </w:t>
      </w:r>
      <w:r w:rsidR="00CE2493" w:rsidRPr="00B41EAD">
        <w:rPr>
          <w:i/>
          <w:iCs/>
          <w:color w:val="000000" w:themeColor="text1"/>
          <w:sz w:val="28"/>
          <w:szCs w:val="28"/>
          <w:lang w:val="es-ES"/>
        </w:rPr>
        <w:t>a quo</w:t>
      </w:r>
      <w:r w:rsidR="00CE2493" w:rsidRPr="00B41EAD">
        <w:rPr>
          <w:color w:val="000000" w:themeColor="text1"/>
          <w:sz w:val="28"/>
          <w:szCs w:val="28"/>
          <w:lang w:val="es-ES"/>
        </w:rPr>
        <w:t xml:space="preserve">, </w:t>
      </w:r>
      <w:r w:rsidR="005D0E0B" w:rsidRPr="00B41EAD">
        <w:rPr>
          <w:color w:val="000000" w:themeColor="text1"/>
          <w:sz w:val="28"/>
          <w:szCs w:val="28"/>
          <w:lang w:val="es-ES"/>
        </w:rPr>
        <w:t xml:space="preserve">lo </w:t>
      </w:r>
      <w:r w:rsidR="00CE2493" w:rsidRPr="00B41EAD">
        <w:rPr>
          <w:color w:val="000000" w:themeColor="text1"/>
          <w:sz w:val="28"/>
          <w:szCs w:val="28"/>
          <w:lang w:val="es-ES"/>
        </w:rPr>
        <w:t xml:space="preserve">que implicó </w:t>
      </w:r>
      <w:r w:rsidR="003B7BCF" w:rsidRPr="00B41EAD">
        <w:rPr>
          <w:color w:val="000000" w:themeColor="text1"/>
          <w:sz w:val="28"/>
          <w:szCs w:val="28"/>
          <w:lang w:val="es-ES"/>
        </w:rPr>
        <w:t xml:space="preserve">declarar </w:t>
      </w:r>
      <w:r w:rsidR="00CE2493" w:rsidRPr="00B41EAD">
        <w:rPr>
          <w:color w:val="000000" w:themeColor="text1"/>
          <w:sz w:val="28"/>
          <w:szCs w:val="28"/>
          <w:lang w:val="es-ES"/>
        </w:rPr>
        <w:t xml:space="preserve">la responsabilidad </w:t>
      </w:r>
      <w:r w:rsidR="00CE4BBF" w:rsidRPr="00B41EAD">
        <w:rPr>
          <w:color w:val="000000" w:themeColor="text1"/>
          <w:sz w:val="28"/>
          <w:szCs w:val="28"/>
          <w:lang w:val="es-ES"/>
        </w:rPr>
        <w:t>de los demandados</w:t>
      </w:r>
      <w:r w:rsidR="00CE4BBF" w:rsidRPr="00B41EAD">
        <w:rPr>
          <w:rStyle w:val="Refdenotaalpie"/>
          <w:color w:val="000000" w:themeColor="text1"/>
          <w:sz w:val="28"/>
          <w:szCs w:val="28"/>
          <w:lang w:val="es-ES"/>
        </w:rPr>
        <w:footnoteReference w:id="58"/>
      </w:r>
      <w:r w:rsidR="00CE4BBF" w:rsidRPr="00B41EAD">
        <w:rPr>
          <w:color w:val="000000" w:themeColor="text1"/>
          <w:sz w:val="28"/>
          <w:szCs w:val="28"/>
          <w:lang w:val="es-ES"/>
        </w:rPr>
        <w:t>.</w:t>
      </w:r>
    </w:p>
    <w:p w14:paraId="5C9CEE7B" w14:textId="77777777" w:rsidR="00E5538F" w:rsidRPr="00B41EAD" w:rsidRDefault="00E5538F" w:rsidP="00E5538F">
      <w:pPr>
        <w:pStyle w:val="Prrafodelista"/>
        <w:ind w:left="0"/>
        <w:jc w:val="both"/>
        <w:rPr>
          <w:color w:val="000000" w:themeColor="text1"/>
          <w:sz w:val="28"/>
          <w:szCs w:val="28"/>
          <w:lang w:val="es-ES"/>
        </w:rPr>
      </w:pPr>
    </w:p>
    <w:p w14:paraId="07D3A6CD" w14:textId="3A62D88C" w:rsidR="003B7BCF" w:rsidRPr="00B41EAD" w:rsidRDefault="003B7BCF" w:rsidP="003B7BCF">
      <w:pPr>
        <w:pStyle w:val="Ttulo3"/>
        <w:numPr>
          <w:ilvl w:val="0"/>
          <w:numId w:val="0"/>
        </w:numPr>
        <w:rPr>
          <w:i/>
          <w:iCs/>
          <w:color w:val="000000" w:themeColor="text1"/>
          <w:sz w:val="28"/>
          <w:szCs w:val="28"/>
          <w:lang w:val="es-ES"/>
        </w:rPr>
      </w:pPr>
      <w:r w:rsidRPr="00B41EAD">
        <w:rPr>
          <w:i/>
          <w:iCs/>
          <w:color w:val="000000" w:themeColor="text1"/>
          <w:sz w:val="28"/>
          <w:szCs w:val="28"/>
          <w:lang w:val="es-ES"/>
        </w:rPr>
        <w:t>Jurisprudencia de la Corte Constitucional</w:t>
      </w:r>
    </w:p>
    <w:p w14:paraId="2E1BC20D" w14:textId="77777777" w:rsidR="00DE4F4A" w:rsidRPr="00B41EAD" w:rsidRDefault="00DE4F4A" w:rsidP="00614326">
      <w:pPr>
        <w:jc w:val="both"/>
        <w:rPr>
          <w:color w:val="000000" w:themeColor="text1"/>
          <w:sz w:val="28"/>
          <w:szCs w:val="28"/>
          <w:lang w:val="es-ES"/>
        </w:rPr>
      </w:pPr>
    </w:p>
    <w:p w14:paraId="34535659" w14:textId="53F5FC75" w:rsidR="00A408DF" w:rsidRPr="00B41EAD" w:rsidRDefault="00285337" w:rsidP="006102A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Al igual que </w:t>
      </w:r>
      <w:r w:rsidR="00DE4287" w:rsidRPr="00B41EAD">
        <w:rPr>
          <w:color w:val="000000" w:themeColor="text1"/>
          <w:sz w:val="28"/>
          <w:szCs w:val="28"/>
          <w:lang w:val="es-ES"/>
        </w:rPr>
        <w:t xml:space="preserve">sucedía en las diferentes </w:t>
      </w:r>
      <w:r w:rsidR="001557C6" w:rsidRPr="00B41EAD">
        <w:rPr>
          <w:color w:val="000000" w:themeColor="text1"/>
          <w:sz w:val="28"/>
          <w:szCs w:val="28"/>
          <w:lang w:val="es-ES"/>
        </w:rPr>
        <w:t>s</w:t>
      </w:r>
      <w:r w:rsidR="00DE4287" w:rsidRPr="00B41EAD">
        <w:rPr>
          <w:color w:val="000000" w:themeColor="text1"/>
          <w:sz w:val="28"/>
          <w:szCs w:val="28"/>
          <w:lang w:val="es-ES"/>
        </w:rPr>
        <w:t xml:space="preserve">ubsecciones de la Sección Tercera del Consejo de Estado, antes de la sentencia de unificación proferida por dicha Corporación en enero de 2020, </w:t>
      </w:r>
      <w:r w:rsidR="002802AD" w:rsidRPr="00B41EAD">
        <w:rPr>
          <w:color w:val="000000" w:themeColor="text1"/>
          <w:sz w:val="28"/>
          <w:szCs w:val="28"/>
          <w:lang w:val="es-ES"/>
        </w:rPr>
        <w:t xml:space="preserve">existían posiciones contrarias </w:t>
      </w:r>
      <w:r w:rsidR="003F090B" w:rsidRPr="00B41EAD">
        <w:rPr>
          <w:color w:val="000000" w:themeColor="text1"/>
          <w:sz w:val="28"/>
          <w:szCs w:val="28"/>
          <w:lang w:val="es-ES"/>
        </w:rPr>
        <w:t xml:space="preserve">entre las diferentes </w:t>
      </w:r>
      <w:r w:rsidR="001557C6" w:rsidRPr="00B41EAD">
        <w:rPr>
          <w:color w:val="000000" w:themeColor="text1"/>
          <w:sz w:val="28"/>
          <w:szCs w:val="28"/>
          <w:lang w:val="es-ES"/>
        </w:rPr>
        <w:lastRenderedPageBreak/>
        <w:t>s</w:t>
      </w:r>
      <w:r w:rsidR="003F090B" w:rsidRPr="00B41EAD">
        <w:rPr>
          <w:color w:val="000000" w:themeColor="text1"/>
          <w:sz w:val="28"/>
          <w:szCs w:val="28"/>
          <w:lang w:val="es-ES"/>
        </w:rPr>
        <w:t>alas de Revisión</w:t>
      </w:r>
      <w:r w:rsidR="002802AD" w:rsidRPr="00B41EAD">
        <w:rPr>
          <w:color w:val="000000" w:themeColor="text1"/>
          <w:sz w:val="28"/>
          <w:szCs w:val="28"/>
          <w:lang w:val="es-ES"/>
        </w:rPr>
        <w:t xml:space="preserve"> de la Corte Constitucional</w:t>
      </w:r>
      <w:r w:rsidR="003F090B" w:rsidRPr="00B41EAD">
        <w:rPr>
          <w:color w:val="000000" w:themeColor="text1"/>
          <w:sz w:val="28"/>
          <w:szCs w:val="28"/>
          <w:lang w:val="es-ES"/>
        </w:rPr>
        <w:t>,</w:t>
      </w:r>
      <w:r w:rsidR="002802AD" w:rsidRPr="00B41EAD">
        <w:rPr>
          <w:color w:val="000000" w:themeColor="text1"/>
          <w:sz w:val="28"/>
          <w:szCs w:val="28"/>
          <w:lang w:val="es-ES"/>
        </w:rPr>
        <w:t xml:space="preserve"> respecto del análisis de</w:t>
      </w:r>
      <w:r w:rsidR="00CA1DAE" w:rsidRPr="00B41EAD">
        <w:rPr>
          <w:color w:val="000000" w:themeColor="text1"/>
          <w:sz w:val="28"/>
          <w:szCs w:val="28"/>
          <w:lang w:val="es-ES"/>
        </w:rPr>
        <w:t>l término de caducidad en casos de graves violaciones a los derechos humanos.</w:t>
      </w:r>
      <w:r w:rsidR="006102AD" w:rsidRPr="00B41EAD">
        <w:rPr>
          <w:rStyle w:val="Refdenotaalpie"/>
          <w:color w:val="000000" w:themeColor="text1"/>
          <w:sz w:val="28"/>
          <w:szCs w:val="28"/>
          <w:lang w:val="es-ES"/>
        </w:rPr>
        <w:footnoteReference w:id="59"/>
      </w:r>
      <w:r w:rsidR="00CA1DAE" w:rsidRPr="00B41EAD">
        <w:rPr>
          <w:color w:val="000000" w:themeColor="text1"/>
          <w:sz w:val="28"/>
          <w:szCs w:val="28"/>
          <w:lang w:val="es-ES"/>
        </w:rPr>
        <w:t xml:space="preserve"> </w:t>
      </w:r>
      <w:r w:rsidR="006102AD" w:rsidRPr="00B41EAD">
        <w:rPr>
          <w:color w:val="000000" w:themeColor="text1"/>
          <w:sz w:val="28"/>
          <w:szCs w:val="28"/>
          <w:lang w:val="es-ES"/>
        </w:rPr>
        <w:t>Ante estas diferencias, en la Sentencia SU-312 de 2020</w:t>
      </w:r>
      <w:r w:rsidR="006102AD" w:rsidRPr="00B41EAD">
        <w:rPr>
          <w:rStyle w:val="Refdenotaalpie"/>
          <w:color w:val="000000" w:themeColor="text1"/>
          <w:sz w:val="28"/>
          <w:szCs w:val="28"/>
          <w:lang w:val="es-ES"/>
        </w:rPr>
        <w:footnoteReference w:id="60"/>
      </w:r>
      <w:r w:rsidR="006102AD" w:rsidRPr="00B41EAD">
        <w:rPr>
          <w:color w:val="000000" w:themeColor="text1"/>
          <w:sz w:val="28"/>
          <w:szCs w:val="28"/>
          <w:lang w:val="es-ES"/>
        </w:rPr>
        <w:t xml:space="preserve"> la </w:t>
      </w:r>
      <w:r w:rsidR="00315E96" w:rsidRPr="00B41EAD">
        <w:rPr>
          <w:color w:val="000000" w:themeColor="text1"/>
          <w:sz w:val="28"/>
          <w:szCs w:val="28"/>
          <w:lang w:val="es-ES"/>
        </w:rPr>
        <w:t xml:space="preserve">Sala Plena </w:t>
      </w:r>
      <w:r w:rsidR="006102AD" w:rsidRPr="00B41EAD">
        <w:rPr>
          <w:color w:val="000000" w:themeColor="text1"/>
          <w:sz w:val="28"/>
          <w:szCs w:val="28"/>
          <w:lang w:val="es-ES"/>
        </w:rPr>
        <w:t>unificó</w:t>
      </w:r>
      <w:r w:rsidR="00315E96" w:rsidRPr="00B41EAD">
        <w:rPr>
          <w:color w:val="000000" w:themeColor="text1"/>
          <w:sz w:val="28"/>
          <w:szCs w:val="28"/>
          <w:lang w:val="es-ES"/>
        </w:rPr>
        <w:t xml:space="preserve"> la jurisprudencia</w:t>
      </w:r>
      <w:r w:rsidR="006102AD" w:rsidRPr="00B41EAD">
        <w:rPr>
          <w:color w:val="000000" w:themeColor="text1"/>
          <w:sz w:val="28"/>
          <w:szCs w:val="28"/>
          <w:lang w:val="es-ES"/>
        </w:rPr>
        <w:t xml:space="preserve"> constitucional</w:t>
      </w:r>
      <w:r w:rsidR="00315E96" w:rsidRPr="00B41EAD">
        <w:rPr>
          <w:color w:val="000000" w:themeColor="text1"/>
          <w:sz w:val="28"/>
          <w:szCs w:val="28"/>
          <w:lang w:val="es-ES"/>
        </w:rPr>
        <w:t xml:space="preserve"> </w:t>
      </w:r>
      <w:r w:rsidR="006102AD" w:rsidRPr="00B41EAD">
        <w:rPr>
          <w:color w:val="000000" w:themeColor="text1"/>
          <w:sz w:val="28"/>
          <w:szCs w:val="28"/>
          <w:lang w:val="es-ES"/>
        </w:rPr>
        <w:t>sobre la materia</w:t>
      </w:r>
      <w:r w:rsidR="008917DB" w:rsidRPr="00B41EAD">
        <w:rPr>
          <w:color w:val="000000" w:themeColor="text1"/>
          <w:sz w:val="28"/>
          <w:szCs w:val="28"/>
          <w:lang w:val="es-ES"/>
        </w:rPr>
        <w:t xml:space="preserve">. </w:t>
      </w:r>
      <w:r w:rsidR="006102AD" w:rsidRPr="00B41EAD">
        <w:rPr>
          <w:color w:val="000000" w:themeColor="text1"/>
          <w:sz w:val="28"/>
          <w:szCs w:val="28"/>
          <w:lang w:val="es-ES"/>
        </w:rPr>
        <w:t xml:space="preserve"> </w:t>
      </w:r>
    </w:p>
    <w:p w14:paraId="12C68A63" w14:textId="77777777" w:rsidR="008917DB" w:rsidRPr="00B41EAD" w:rsidRDefault="008917DB" w:rsidP="008917DB">
      <w:pPr>
        <w:pStyle w:val="Prrafodelista"/>
        <w:rPr>
          <w:color w:val="000000" w:themeColor="text1"/>
          <w:sz w:val="28"/>
          <w:szCs w:val="28"/>
          <w:lang w:val="es-ES"/>
        </w:rPr>
      </w:pPr>
    </w:p>
    <w:p w14:paraId="3AC0D560" w14:textId="674777E3" w:rsidR="008917DB" w:rsidRPr="00B41EAD" w:rsidRDefault="006102A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dicho pronunciamiento</w:t>
      </w:r>
      <w:r w:rsidR="008917DB" w:rsidRPr="00B41EAD">
        <w:rPr>
          <w:color w:val="000000" w:themeColor="text1"/>
          <w:sz w:val="28"/>
          <w:szCs w:val="28"/>
          <w:lang w:val="es-ES"/>
        </w:rPr>
        <w:t xml:space="preserve">, </w:t>
      </w:r>
      <w:r w:rsidRPr="00B41EAD">
        <w:rPr>
          <w:color w:val="000000" w:themeColor="text1"/>
          <w:sz w:val="28"/>
          <w:szCs w:val="28"/>
          <w:lang w:val="es-ES"/>
        </w:rPr>
        <w:t xml:space="preserve">la Corte acogió y definió el alcance de la </w:t>
      </w:r>
      <w:r w:rsidR="008917DB" w:rsidRPr="00B41EAD">
        <w:rPr>
          <w:color w:val="000000" w:themeColor="text1"/>
          <w:sz w:val="28"/>
          <w:szCs w:val="28"/>
          <w:lang w:val="es-ES"/>
        </w:rPr>
        <w:t xml:space="preserve">postura </w:t>
      </w:r>
      <w:r w:rsidRPr="00B41EAD">
        <w:rPr>
          <w:color w:val="000000" w:themeColor="text1"/>
          <w:sz w:val="28"/>
          <w:szCs w:val="28"/>
          <w:lang w:val="es-ES"/>
        </w:rPr>
        <w:t>desarrollada</w:t>
      </w:r>
      <w:r w:rsidR="00D3485C" w:rsidRPr="00B41EAD">
        <w:rPr>
          <w:color w:val="000000" w:themeColor="text1"/>
          <w:sz w:val="28"/>
          <w:szCs w:val="28"/>
          <w:lang w:val="es-ES"/>
        </w:rPr>
        <w:t xml:space="preserve"> por la Sala Plena de la Sección Tercera del Consejo de Estado en la sentencia </w:t>
      </w:r>
      <w:r w:rsidRPr="00B41EAD">
        <w:rPr>
          <w:color w:val="000000" w:themeColor="text1"/>
          <w:sz w:val="28"/>
          <w:szCs w:val="28"/>
          <w:lang w:val="es-ES"/>
        </w:rPr>
        <w:t>d</w:t>
      </w:r>
      <w:r w:rsidR="00D3485C" w:rsidRPr="00B41EAD">
        <w:rPr>
          <w:color w:val="000000" w:themeColor="text1"/>
          <w:sz w:val="28"/>
          <w:szCs w:val="28"/>
          <w:lang w:val="es-ES"/>
        </w:rPr>
        <w:t>el 29 de enero de 2020</w:t>
      </w:r>
      <w:r w:rsidR="00625992" w:rsidRPr="00B41EAD">
        <w:rPr>
          <w:rStyle w:val="Refdenotaalpie"/>
          <w:color w:val="000000" w:themeColor="text1"/>
          <w:sz w:val="28"/>
          <w:szCs w:val="28"/>
          <w:lang w:val="es-ES"/>
        </w:rPr>
        <w:footnoteReference w:id="61"/>
      </w:r>
      <w:r w:rsidRPr="00B41EAD">
        <w:rPr>
          <w:color w:val="000000" w:themeColor="text1"/>
          <w:sz w:val="28"/>
          <w:szCs w:val="28"/>
          <w:lang w:val="es-ES"/>
        </w:rPr>
        <w:t>, y fijó</w:t>
      </w:r>
      <w:r w:rsidR="004F7641" w:rsidRPr="00B41EAD">
        <w:rPr>
          <w:color w:val="000000" w:themeColor="text1"/>
          <w:sz w:val="28"/>
          <w:szCs w:val="28"/>
          <w:lang w:val="es-ES"/>
        </w:rPr>
        <w:t xml:space="preserve"> las </w:t>
      </w:r>
      <w:proofErr w:type="gramStart"/>
      <w:r w:rsidR="004F7641" w:rsidRPr="00B41EAD">
        <w:rPr>
          <w:color w:val="000000" w:themeColor="text1"/>
          <w:sz w:val="28"/>
          <w:szCs w:val="28"/>
          <w:lang w:val="es-ES"/>
        </w:rPr>
        <w:t>siguiente subreglas jurisprudenciales</w:t>
      </w:r>
      <w:proofErr w:type="gramEnd"/>
      <w:r w:rsidR="00074EA3" w:rsidRPr="00B41EAD">
        <w:rPr>
          <w:color w:val="000000" w:themeColor="text1"/>
          <w:sz w:val="28"/>
          <w:szCs w:val="28"/>
          <w:lang w:val="es-ES"/>
        </w:rPr>
        <w:t>:</w:t>
      </w:r>
    </w:p>
    <w:p w14:paraId="4BEAF83E" w14:textId="77777777" w:rsidR="00074EA3" w:rsidRPr="00B41EAD" w:rsidRDefault="00074EA3" w:rsidP="004F7641">
      <w:pPr>
        <w:pStyle w:val="Prrafodelista"/>
        <w:ind w:left="567"/>
        <w:rPr>
          <w:color w:val="000000" w:themeColor="text1"/>
          <w:sz w:val="28"/>
          <w:szCs w:val="28"/>
          <w:lang w:val="es-ES"/>
        </w:rPr>
      </w:pPr>
    </w:p>
    <w:p w14:paraId="23B4032F" w14:textId="79CA26D2" w:rsidR="00074EA3" w:rsidRPr="00B41EAD" w:rsidRDefault="0008657D">
      <w:pPr>
        <w:pStyle w:val="Prrafodelista"/>
        <w:numPr>
          <w:ilvl w:val="0"/>
          <w:numId w:val="7"/>
        </w:numPr>
        <w:ind w:left="567" w:firstLine="0"/>
        <w:jc w:val="both"/>
        <w:rPr>
          <w:color w:val="000000" w:themeColor="text1"/>
          <w:sz w:val="28"/>
          <w:szCs w:val="28"/>
          <w:lang w:val="es-ES"/>
        </w:rPr>
      </w:pPr>
      <w:r w:rsidRPr="00B41EAD">
        <w:rPr>
          <w:color w:val="000000" w:themeColor="text1"/>
          <w:sz w:val="28"/>
          <w:szCs w:val="28"/>
          <w:lang w:val="es-ES"/>
        </w:rPr>
        <w:t xml:space="preserve">La acción penal es imprescriptible frente a delitos de genocidio, lesa humanidad y crímenes de guerra, no obstante, cuando existe un sujeto individualizado y formalmente vinculado a un proceso por dichas conductas, respecto a éste comienza a contabilizarse el término de extinción de la acción, </w:t>
      </w:r>
      <w:r w:rsidR="00C76817" w:rsidRPr="00B41EAD">
        <w:rPr>
          <w:color w:val="000000" w:themeColor="text1"/>
          <w:sz w:val="28"/>
          <w:szCs w:val="28"/>
          <w:lang w:val="es-ES"/>
        </w:rPr>
        <w:t>debido a que</w:t>
      </w:r>
      <w:r w:rsidRPr="00B41EAD">
        <w:rPr>
          <w:color w:val="000000" w:themeColor="text1"/>
          <w:sz w:val="28"/>
          <w:szCs w:val="28"/>
          <w:lang w:val="es-ES"/>
        </w:rPr>
        <w:t xml:space="preserve"> no </w:t>
      </w:r>
      <w:r w:rsidR="00C76817" w:rsidRPr="00B41EAD">
        <w:rPr>
          <w:color w:val="000000" w:themeColor="text1"/>
          <w:sz w:val="28"/>
          <w:szCs w:val="28"/>
          <w:lang w:val="es-ES"/>
        </w:rPr>
        <w:t>tiene</w:t>
      </w:r>
      <w:r w:rsidRPr="00B41EAD">
        <w:rPr>
          <w:color w:val="000000" w:themeColor="text1"/>
          <w:sz w:val="28"/>
          <w:szCs w:val="28"/>
          <w:lang w:val="es-ES"/>
        </w:rPr>
        <w:t xml:space="preserve"> justificación que las personas queden sujetas a un proceso </w:t>
      </w:r>
      <w:r w:rsidR="00C76817" w:rsidRPr="00B41EAD">
        <w:rPr>
          <w:color w:val="000000" w:themeColor="text1"/>
          <w:sz w:val="28"/>
          <w:szCs w:val="28"/>
          <w:lang w:val="es-ES"/>
        </w:rPr>
        <w:t xml:space="preserve">indefinidamente </w:t>
      </w:r>
      <w:r w:rsidRPr="00B41EAD">
        <w:rPr>
          <w:color w:val="000000" w:themeColor="text1"/>
          <w:sz w:val="28"/>
          <w:szCs w:val="28"/>
          <w:lang w:val="es-ES"/>
        </w:rPr>
        <w:t xml:space="preserve">por la inoperancia de las autoridades, </w:t>
      </w:r>
      <w:r w:rsidR="00C76817" w:rsidRPr="00B41EAD">
        <w:rPr>
          <w:color w:val="000000" w:themeColor="text1"/>
          <w:sz w:val="28"/>
          <w:szCs w:val="28"/>
          <w:lang w:val="es-ES"/>
        </w:rPr>
        <w:t>más aún</w:t>
      </w:r>
      <w:r w:rsidRPr="00B41EAD">
        <w:rPr>
          <w:color w:val="000000" w:themeColor="text1"/>
          <w:sz w:val="28"/>
          <w:szCs w:val="28"/>
          <w:lang w:val="es-ES"/>
        </w:rPr>
        <w:t xml:space="preserve"> cuando en el curso </w:t>
      </w:r>
      <w:r w:rsidR="00811AA9" w:rsidRPr="00B41EAD">
        <w:rPr>
          <w:color w:val="000000" w:themeColor="text1"/>
          <w:sz w:val="28"/>
          <w:szCs w:val="28"/>
          <w:lang w:val="es-ES"/>
        </w:rPr>
        <w:t>del mismo</w:t>
      </w:r>
      <w:r w:rsidRPr="00B41EAD">
        <w:rPr>
          <w:color w:val="000000" w:themeColor="text1"/>
          <w:sz w:val="28"/>
          <w:szCs w:val="28"/>
          <w:lang w:val="es-ES"/>
        </w:rPr>
        <w:t xml:space="preserve"> pued</w:t>
      </w:r>
      <w:r w:rsidR="00811AA9" w:rsidRPr="00B41EAD">
        <w:rPr>
          <w:color w:val="000000" w:themeColor="text1"/>
          <w:sz w:val="28"/>
          <w:szCs w:val="28"/>
          <w:lang w:val="es-ES"/>
        </w:rPr>
        <w:t>e</w:t>
      </w:r>
      <w:r w:rsidRPr="00B41EAD">
        <w:rPr>
          <w:color w:val="000000" w:themeColor="text1"/>
          <w:sz w:val="28"/>
          <w:szCs w:val="28"/>
          <w:lang w:val="es-ES"/>
        </w:rPr>
        <w:t>n ser privadas de su libertad o de otras prerrogativas fundamentales.</w:t>
      </w:r>
    </w:p>
    <w:p w14:paraId="048077F4" w14:textId="77777777" w:rsidR="0008657D" w:rsidRPr="00B41EAD" w:rsidRDefault="0008657D" w:rsidP="004F7641">
      <w:pPr>
        <w:pStyle w:val="Prrafodelista"/>
        <w:ind w:left="567"/>
        <w:jc w:val="both"/>
        <w:rPr>
          <w:color w:val="000000" w:themeColor="text1"/>
          <w:sz w:val="28"/>
          <w:szCs w:val="28"/>
          <w:lang w:val="es-ES"/>
        </w:rPr>
      </w:pPr>
    </w:p>
    <w:p w14:paraId="6205FA00" w14:textId="61AEC270" w:rsidR="00AA2C64" w:rsidRPr="00B41EAD" w:rsidRDefault="00337017">
      <w:pPr>
        <w:pStyle w:val="Prrafodelista"/>
        <w:numPr>
          <w:ilvl w:val="0"/>
          <w:numId w:val="7"/>
        </w:numPr>
        <w:ind w:left="567" w:firstLine="0"/>
        <w:jc w:val="both"/>
        <w:rPr>
          <w:color w:val="000000" w:themeColor="text1"/>
          <w:sz w:val="28"/>
          <w:szCs w:val="28"/>
          <w:lang w:val="es-ES"/>
        </w:rPr>
      </w:pPr>
      <w:r w:rsidRPr="00B41EAD">
        <w:rPr>
          <w:color w:val="000000" w:themeColor="text1"/>
          <w:sz w:val="28"/>
          <w:szCs w:val="28"/>
          <w:lang w:val="es-ES"/>
        </w:rPr>
        <w:t xml:space="preserve">En virtud del principio </w:t>
      </w:r>
      <w:r w:rsidRPr="00B41EAD">
        <w:rPr>
          <w:i/>
          <w:iCs/>
          <w:color w:val="000000" w:themeColor="text1"/>
          <w:sz w:val="28"/>
          <w:szCs w:val="28"/>
          <w:lang w:val="es-ES"/>
        </w:rPr>
        <w:t xml:space="preserve">pro </w:t>
      </w:r>
      <w:proofErr w:type="spellStart"/>
      <w:r w:rsidRPr="00B41EAD">
        <w:rPr>
          <w:i/>
          <w:iCs/>
          <w:color w:val="000000" w:themeColor="text1"/>
          <w:sz w:val="28"/>
          <w:szCs w:val="28"/>
          <w:lang w:val="es-ES"/>
        </w:rPr>
        <w:t>damnato</w:t>
      </w:r>
      <w:proofErr w:type="spellEnd"/>
      <w:r w:rsidRPr="00B41EAD">
        <w:rPr>
          <w:color w:val="000000" w:themeColor="text1"/>
          <w:sz w:val="28"/>
          <w:szCs w:val="28"/>
          <w:lang w:val="es-ES"/>
        </w:rPr>
        <w:t xml:space="preserve"> o </w:t>
      </w:r>
      <w:r w:rsidRPr="00B41EAD">
        <w:rPr>
          <w:i/>
          <w:iCs/>
          <w:color w:val="000000" w:themeColor="text1"/>
          <w:sz w:val="28"/>
          <w:szCs w:val="28"/>
          <w:lang w:val="es-ES"/>
        </w:rPr>
        <w:t xml:space="preserve">favor </w:t>
      </w:r>
      <w:proofErr w:type="spellStart"/>
      <w:r w:rsidRPr="00B41EAD">
        <w:rPr>
          <w:i/>
          <w:iCs/>
          <w:color w:val="000000" w:themeColor="text1"/>
          <w:sz w:val="28"/>
          <w:szCs w:val="28"/>
          <w:lang w:val="es-ES"/>
        </w:rPr>
        <w:t>victimae</w:t>
      </w:r>
      <w:proofErr w:type="spellEnd"/>
      <w:r w:rsidRPr="00B41EAD">
        <w:rPr>
          <w:color w:val="000000" w:themeColor="text1"/>
          <w:sz w:val="28"/>
          <w:szCs w:val="28"/>
          <w:lang w:val="es-ES"/>
        </w:rPr>
        <w:t>, el término de caducidad del medio de control de reparación directa no puede aplicarse de manera rígida, pues en ocasiones, dadas las circunstancias particulares del caso, pueden admitirse flexibilizaciones, necesarias para garantizar el acceso efectivo a la administración de justicia y la reparación integral de las víctimas.</w:t>
      </w:r>
    </w:p>
    <w:p w14:paraId="1A54C1B9" w14:textId="77777777" w:rsidR="00AA2C64" w:rsidRPr="00B41EAD" w:rsidRDefault="00AA2C64" w:rsidP="004F7641">
      <w:pPr>
        <w:pStyle w:val="Prrafodelista"/>
        <w:ind w:left="567"/>
        <w:rPr>
          <w:color w:val="000000" w:themeColor="text1"/>
          <w:sz w:val="28"/>
          <w:szCs w:val="28"/>
          <w:lang w:val="es-ES"/>
        </w:rPr>
      </w:pPr>
    </w:p>
    <w:p w14:paraId="3EF009FA" w14:textId="54C5AB44" w:rsidR="00AA2C64" w:rsidRPr="00B41EAD" w:rsidRDefault="00AA2C64">
      <w:pPr>
        <w:pStyle w:val="Prrafodelista"/>
        <w:numPr>
          <w:ilvl w:val="0"/>
          <w:numId w:val="7"/>
        </w:numPr>
        <w:ind w:left="567" w:firstLine="0"/>
        <w:jc w:val="both"/>
        <w:rPr>
          <w:color w:val="000000" w:themeColor="text1"/>
          <w:sz w:val="28"/>
          <w:szCs w:val="28"/>
          <w:lang w:val="es-ES"/>
        </w:rPr>
      </w:pPr>
      <w:r w:rsidRPr="00B41EAD">
        <w:rPr>
          <w:color w:val="000000" w:themeColor="text1"/>
          <w:sz w:val="28"/>
          <w:szCs w:val="28"/>
          <w:lang w:val="es-ES"/>
        </w:rPr>
        <w:t xml:space="preserve">El término de la caducidad es razonable debido a que sólo empieza a contabilizarse cuando exista claridad en torno a lo sucedido. Por esto, no es determinante la fecha de ocurrencia de la conducta, sino la posibilidad del interesado de identificar la participación </w:t>
      </w:r>
      <w:r w:rsidR="00DD7188" w:rsidRPr="00B41EAD">
        <w:rPr>
          <w:color w:val="000000" w:themeColor="text1"/>
          <w:sz w:val="28"/>
          <w:szCs w:val="28"/>
          <w:lang w:val="es-ES"/>
        </w:rPr>
        <w:t>en los hechos</w:t>
      </w:r>
      <w:r w:rsidRPr="00B41EAD">
        <w:rPr>
          <w:color w:val="000000" w:themeColor="text1"/>
          <w:sz w:val="28"/>
          <w:szCs w:val="28"/>
          <w:lang w:val="es-ES"/>
        </w:rPr>
        <w:t xml:space="preserve"> de sujetos vinculados </w:t>
      </w:r>
      <w:r w:rsidR="00DD7188" w:rsidRPr="00B41EAD">
        <w:rPr>
          <w:color w:val="000000" w:themeColor="text1"/>
          <w:sz w:val="28"/>
          <w:szCs w:val="28"/>
          <w:lang w:val="es-ES"/>
        </w:rPr>
        <w:t>al Estado</w:t>
      </w:r>
      <w:r w:rsidRPr="00B41EAD">
        <w:rPr>
          <w:color w:val="000000" w:themeColor="text1"/>
          <w:sz w:val="28"/>
          <w:szCs w:val="28"/>
          <w:lang w:val="es-ES"/>
        </w:rPr>
        <w:t xml:space="preserve"> y de acudir a</w:t>
      </w:r>
      <w:r w:rsidR="006608E6" w:rsidRPr="00B41EAD">
        <w:rPr>
          <w:color w:val="000000" w:themeColor="text1"/>
          <w:sz w:val="28"/>
          <w:szCs w:val="28"/>
          <w:lang w:val="es-ES"/>
        </w:rPr>
        <w:t xml:space="preserve"> </w:t>
      </w:r>
      <w:r w:rsidRPr="00B41EAD">
        <w:rPr>
          <w:color w:val="000000" w:themeColor="text1"/>
          <w:sz w:val="28"/>
          <w:szCs w:val="28"/>
          <w:lang w:val="es-ES"/>
        </w:rPr>
        <w:t>l</w:t>
      </w:r>
      <w:r w:rsidR="006608E6" w:rsidRPr="00B41EAD">
        <w:rPr>
          <w:color w:val="000000" w:themeColor="text1"/>
          <w:sz w:val="28"/>
          <w:szCs w:val="28"/>
          <w:lang w:val="es-ES"/>
        </w:rPr>
        <w:t>a jurisdicción para</w:t>
      </w:r>
      <w:r w:rsidRPr="00B41EAD">
        <w:rPr>
          <w:color w:val="000000" w:themeColor="text1"/>
          <w:sz w:val="28"/>
          <w:szCs w:val="28"/>
          <w:lang w:val="es-ES"/>
        </w:rPr>
        <w:t xml:space="preserve"> presentar </w:t>
      </w:r>
      <w:r w:rsidR="006608E6" w:rsidRPr="00B41EAD">
        <w:rPr>
          <w:color w:val="000000" w:themeColor="text1"/>
          <w:sz w:val="28"/>
          <w:szCs w:val="28"/>
          <w:lang w:val="es-ES"/>
        </w:rPr>
        <w:t>una reclamación</w:t>
      </w:r>
      <w:r w:rsidRPr="00B41EAD">
        <w:rPr>
          <w:color w:val="000000" w:themeColor="text1"/>
          <w:sz w:val="28"/>
          <w:szCs w:val="28"/>
          <w:lang w:val="es-ES"/>
        </w:rPr>
        <w:t>.</w:t>
      </w:r>
    </w:p>
    <w:p w14:paraId="19BB8D32" w14:textId="77777777" w:rsidR="00AA2C64" w:rsidRPr="00B41EAD" w:rsidRDefault="00AA2C64" w:rsidP="004F7641">
      <w:pPr>
        <w:pStyle w:val="Prrafodelista"/>
        <w:ind w:left="567"/>
        <w:rPr>
          <w:color w:val="000000" w:themeColor="text1"/>
          <w:sz w:val="28"/>
          <w:szCs w:val="28"/>
          <w:lang w:val="es-ES"/>
        </w:rPr>
      </w:pPr>
    </w:p>
    <w:p w14:paraId="78BDC49D" w14:textId="494AF45A" w:rsidR="00337017" w:rsidRPr="00B41EAD" w:rsidRDefault="00AA2C64">
      <w:pPr>
        <w:pStyle w:val="Prrafodelista"/>
        <w:numPr>
          <w:ilvl w:val="0"/>
          <w:numId w:val="7"/>
        </w:numPr>
        <w:ind w:left="567" w:firstLine="0"/>
        <w:jc w:val="both"/>
        <w:rPr>
          <w:color w:val="000000" w:themeColor="text1"/>
          <w:sz w:val="28"/>
          <w:szCs w:val="28"/>
          <w:lang w:val="es-ES"/>
        </w:rPr>
      </w:pPr>
      <w:r w:rsidRPr="00B41EAD">
        <w:rPr>
          <w:color w:val="000000" w:themeColor="text1"/>
          <w:sz w:val="28"/>
          <w:szCs w:val="28"/>
          <w:lang w:val="es-ES"/>
        </w:rPr>
        <w:t>La exigencia del término de caducidad protege la seguridad jurídica.</w:t>
      </w:r>
    </w:p>
    <w:p w14:paraId="19907E7A" w14:textId="77777777" w:rsidR="00AA2C64" w:rsidRPr="00B41EAD" w:rsidRDefault="00AA2C64" w:rsidP="004F7641">
      <w:pPr>
        <w:pStyle w:val="Prrafodelista"/>
        <w:ind w:left="567"/>
        <w:rPr>
          <w:color w:val="000000" w:themeColor="text1"/>
          <w:sz w:val="28"/>
          <w:szCs w:val="28"/>
          <w:lang w:val="es-ES"/>
        </w:rPr>
      </w:pPr>
    </w:p>
    <w:p w14:paraId="210A0C8F" w14:textId="6D427683" w:rsidR="00AA2C64" w:rsidRPr="00B41EAD" w:rsidRDefault="00723EDA">
      <w:pPr>
        <w:pStyle w:val="Prrafodelista"/>
        <w:numPr>
          <w:ilvl w:val="0"/>
          <w:numId w:val="7"/>
        </w:numPr>
        <w:ind w:left="567" w:firstLine="0"/>
        <w:jc w:val="both"/>
        <w:rPr>
          <w:color w:val="000000" w:themeColor="text1"/>
          <w:sz w:val="28"/>
          <w:szCs w:val="28"/>
          <w:lang w:val="es-ES"/>
        </w:rPr>
      </w:pPr>
      <w:r w:rsidRPr="00B41EAD">
        <w:rPr>
          <w:color w:val="000000" w:themeColor="text1"/>
          <w:sz w:val="28"/>
          <w:szCs w:val="28"/>
          <w:lang w:val="es-ES"/>
        </w:rPr>
        <w:t>La</w:t>
      </w:r>
      <w:r w:rsidR="0021406E" w:rsidRPr="00B41EAD">
        <w:rPr>
          <w:color w:val="000000" w:themeColor="text1"/>
          <w:sz w:val="28"/>
          <w:szCs w:val="28"/>
          <w:lang w:val="es-ES"/>
        </w:rPr>
        <w:t xml:space="preserve"> exigencia del término de caducidad en procesos judiciales relacionados con daños causados por el Estado con ocasión de un delito de lesa humanidad, un crimen de guerra o genocidio, no representa una afectación del derecho al acceso a la justicia de las víctimas</w:t>
      </w:r>
      <w:r w:rsidR="00F75B3C" w:rsidRPr="00B41EAD">
        <w:rPr>
          <w:color w:val="000000" w:themeColor="text1"/>
          <w:sz w:val="28"/>
          <w:szCs w:val="28"/>
          <w:lang w:val="es-ES"/>
        </w:rPr>
        <w:t>,</w:t>
      </w:r>
      <w:r w:rsidR="0021406E" w:rsidRPr="00B41EAD">
        <w:rPr>
          <w:color w:val="000000" w:themeColor="text1"/>
          <w:sz w:val="28"/>
          <w:szCs w:val="28"/>
          <w:lang w:val="es-ES"/>
        </w:rPr>
        <w:t xml:space="preserve"> porque: </w:t>
      </w:r>
      <w:r w:rsidRPr="00B41EAD">
        <w:rPr>
          <w:color w:val="000000" w:themeColor="text1"/>
          <w:sz w:val="28"/>
          <w:szCs w:val="28"/>
          <w:lang w:val="es-ES"/>
        </w:rPr>
        <w:t>a</w:t>
      </w:r>
      <w:r w:rsidR="0021406E" w:rsidRPr="00B41EAD">
        <w:rPr>
          <w:color w:val="000000" w:themeColor="text1"/>
          <w:sz w:val="28"/>
          <w:szCs w:val="28"/>
          <w:lang w:val="es-ES"/>
        </w:rPr>
        <w:t xml:space="preserve">) los interesados cuentan con un plazo razonable, que se cuenta cuando el afectado </w:t>
      </w:r>
      <w:r w:rsidR="0021406E" w:rsidRPr="00B41EAD">
        <w:rPr>
          <w:color w:val="000000" w:themeColor="text1"/>
          <w:sz w:val="28"/>
          <w:szCs w:val="28"/>
          <w:lang w:val="es-ES"/>
        </w:rPr>
        <w:lastRenderedPageBreak/>
        <w:t xml:space="preserve">tiene conocimiento de que </w:t>
      </w:r>
      <w:r w:rsidR="004F7641" w:rsidRPr="00B41EAD">
        <w:rPr>
          <w:color w:val="000000" w:themeColor="text1"/>
          <w:sz w:val="28"/>
          <w:szCs w:val="28"/>
          <w:lang w:val="es-ES"/>
        </w:rPr>
        <w:t>el menoscabo fue causado</w:t>
      </w:r>
      <w:r w:rsidR="0021406E" w:rsidRPr="00B41EAD">
        <w:rPr>
          <w:color w:val="000000" w:themeColor="text1"/>
          <w:sz w:val="28"/>
          <w:szCs w:val="28"/>
          <w:lang w:val="es-ES"/>
        </w:rPr>
        <w:t xml:space="preserve"> por el Estado y se encuentre en la capacidad material de imputarle </w:t>
      </w:r>
      <w:r w:rsidR="00244E2F" w:rsidRPr="00B41EAD">
        <w:rPr>
          <w:color w:val="000000" w:themeColor="text1"/>
          <w:sz w:val="28"/>
          <w:szCs w:val="28"/>
          <w:lang w:val="es-ES"/>
        </w:rPr>
        <w:t>responsabilidad</w:t>
      </w:r>
      <w:r w:rsidR="0021406E" w:rsidRPr="00B41EAD">
        <w:rPr>
          <w:color w:val="000000" w:themeColor="text1"/>
          <w:sz w:val="28"/>
          <w:szCs w:val="28"/>
          <w:lang w:val="es-ES"/>
        </w:rPr>
        <w:t xml:space="preserve">; </w:t>
      </w:r>
      <w:r w:rsidR="00244E2F" w:rsidRPr="00B41EAD">
        <w:rPr>
          <w:color w:val="000000" w:themeColor="text1"/>
          <w:sz w:val="28"/>
          <w:szCs w:val="28"/>
          <w:lang w:val="es-ES"/>
        </w:rPr>
        <w:t>b</w:t>
      </w:r>
      <w:r w:rsidR="0021406E" w:rsidRPr="00B41EAD">
        <w:rPr>
          <w:color w:val="000000" w:themeColor="text1"/>
          <w:sz w:val="28"/>
          <w:szCs w:val="28"/>
          <w:lang w:val="es-ES"/>
        </w:rPr>
        <w:t xml:space="preserve">) la procedencia de la demanda es analizada por el juez contencioso administrativo según las particularidades </w:t>
      </w:r>
      <w:r w:rsidR="0027484C" w:rsidRPr="00B41EAD">
        <w:rPr>
          <w:color w:val="000000" w:themeColor="text1"/>
          <w:sz w:val="28"/>
          <w:szCs w:val="28"/>
          <w:lang w:val="es-ES"/>
        </w:rPr>
        <w:t>del caso</w:t>
      </w:r>
      <w:r w:rsidR="0021406E" w:rsidRPr="00B41EAD">
        <w:rPr>
          <w:color w:val="000000" w:themeColor="text1"/>
          <w:sz w:val="28"/>
          <w:szCs w:val="28"/>
          <w:lang w:val="es-ES"/>
        </w:rPr>
        <w:t xml:space="preserve">; </w:t>
      </w:r>
      <w:r w:rsidR="0027484C" w:rsidRPr="00B41EAD">
        <w:rPr>
          <w:color w:val="000000" w:themeColor="text1"/>
          <w:sz w:val="28"/>
          <w:szCs w:val="28"/>
          <w:lang w:val="es-ES"/>
        </w:rPr>
        <w:t>y, c</w:t>
      </w:r>
      <w:r w:rsidR="0021406E" w:rsidRPr="00B41EAD">
        <w:rPr>
          <w:color w:val="000000" w:themeColor="text1"/>
          <w:sz w:val="28"/>
          <w:szCs w:val="28"/>
          <w:lang w:val="es-ES"/>
        </w:rPr>
        <w:t>) la desestimación del medio de control de reparación directa por caducidad</w:t>
      </w:r>
      <w:r w:rsidR="004F7641" w:rsidRPr="00B41EAD">
        <w:rPr>
          <w:color w:val="000000" w:themeColor="text1"/>
          <w:sz w:val="28"/>
          <w:szCs w:val="28"/>
          <w:lang w:val="es-ES"/>
        </w:rPr>
        <w:t xml:space="preserve"> </w:t>
      </w:r>
      <w:r w:rsidR="0021406E" w:rsidRPr="00B41EAD">
        <w:rPr>
          <w:color w:val="000000" w:themeColor="text1"/>
          <w:sz w:val="28"/>
          <w:szCs w:val="28"/>
          <w:lang w:val="es-ES"/>
        </w:rPr>
        <w:t xml:space="preserve">no impide obtener </w:t>
      </w:r>
      <w:r w:rsidR="00212CE8" w:rsidRPr="00B41EAD">
        <w:rPr>
          <w:color w:val="000000" w:themeColor="text1"/>
          <w:sz w:val="28"/>
          <w:szCs w:val="28"/>
          <w:lang w:val="es-ES"/>
        </w:rPr>
        <w:t>una reparación</w:t>
      </w:r>
      <w:r w:rsidR="0021406E" w:rsidRPr="00B41EAD">
        <w:rPr>
          <w:color w:val="000000" w:themeColor="text1"/>
          <w:sz w:val="28"/>
          <w:szCs w:val="28"/>
          <w:lang w:val="es-ES"/>
        </w:rPr>
        <w:t xml:space="preserve"> </w:t>
      </w:r>
      <w:r w:rsidR="00212CE8" w:rsidRPr="00B41EAD">
        <w:rPr>
          <w:color w:val="000000" w:themeColor="text1"/>
          <w:sz w:val="28"/>
          <w:szCs w:val="28"/>
          <w:lang w:val="es-ES"/>
        </w:rPr>
        <w:t>patrimonial</w:t>
      </w:r>
      <w:r w:rsidR="0021406E" w:rsidRPr="00B41EAD">
        <w:rPr>
          <w:color w:val="000000" w:themeColor="text1"/>
          <w:sz w:val="28"/>
          <w:szCs w:val="28"/>
          <w:lang w:val="es-ES"/>
        </w:rPr>
        <w:t xml:space="preserve"> del daño por </w:t>
      </w:r>
      <w:r w:rsidR="00212CE8" w:rsidRPr="00B41EAD">
        <w:rPr>
          <w:color w:val="000000" w:themeColor="text1"/>
          <w:sz w:val="28"/>
          <w:szCs w:val="28"/>
          <w:lang w:val="es-ES"/>
        </w:rPr>
        <w:t>otros medios</w:t>
      </w:r>
      <w:r w:rsidR="0021406E" w:rsidRPr="00B41EAD">
        <w:rPr>
          <w:color w:val="000000" w:themeColor="text1"/>
          <w:sz w:val="28"/>
          <w:szCs w:val="28"/>
          <w:lang w:val="es-ES"/>
        </w:rPr>
        <w:t>, como el incidente de reparación integral en el marco d</w:t>
      </w:r>
      <w:r w:rsidR="00212CE8" w:rsidRPr="00B41EAD">
        <w:rPr>
          <w:color w:val="000000" w:themeColor="text1"/>
          <w:sz w:val="28"/>
          <w:szCs w:val="28"/>
          <w:lang w:val="es-ES"/>
        </w:rPr>
        <w:t>e un</w:t>
      </w:r>
      <w:r w:rsidR="0021406E" w:rsidRPr="00B41EAD">
        <w:rPr>
          <w:color w:val="000000" w:themeColor="text1"/>
          <w:sz w:val="28"/>
          <w:szCs w:val="28"/>
          <w:lang w:val="es-ES"/>
        </w:rPr>
        <w:t xml:space="preserve"> proceso penal.</w:t>
      </w:r>
    </w:p>
    <w:p w14:paraId="74650694" w14:textId="77777777" w:rsidR="0027484C" w:rsidRPr="00B41EAD" w:rsidRDefault="0027484C" w:rsidP="0027484C">
      <w:pPr>
        <w:pStyle w:val="Prrafodelista"/>
        <w:rPr>
          <w:color w:val="000000" w:themeColor="text1"/>
          <w:sz w:val="28"/>
          <w:szCs w:val="28"/>
          <w:lang w:val="es-ES"/>
        </w:rPr>
      </w:pPr>
    </w:p>
    <w:p w14:paraId="52930026" w14:textId="05C4A4C1" w:rsidR="003B7BCF" w:rsidRPr="00B41EAD" w:rsidRDefault="00C453F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 partir de la </w:t>
      </w:r>
      <w:r w:rsidR="00A7042A" w:rsidRPr="00B41EAD">
        <w:rPr>
          <w:color w:val="000000" w:themeColor="text1"/>
          <w:sz w:val="28"/>
          <w:szCs w:val="28"/>
          <w:lang w:val="es-ES"/>
        </w:rPr>
        <w:t>S</w:t>
      </w:r>
      <w:r w:rsidRPr="00B41EAD">
        <w:rPr>
          <w:color w:val="000000" w:themeColor="text1"/>
          <w:sz w:val="28"/>
          <w:szCs w:val="28"/>
          <w:lang w:val="es-ES"/>
        </w:rPr>
        <w:t xml:space="preserve">entencia SU-312 de 2020, la Corte Constitucional ha proferido </w:t>
      </w:r>
      <w:r w:rsidR="007A429F" w:rsidRPr="00B41EAD">
        <w:rPr>
          <w:color w:val="000000" w:themeColor="text1"/>
          <w:sz w:val="28"/>
          <w:szCs w:val="28"/>
          <w:lang w:val="es-ES"/>
        </w:rPr>
        <w:t xml:space="preserve">varias providencias en las cuales ha resaltado puntos relevantes relacionados con las reglas de unificación. </w:t>
      </w:r>
    </w:p>
    <w:p w14:paraId="7FF97A5D" w14:textId="77777777" w:rsidR="007A429F" w:rsidRPr="00B41EAD" w:rsidRDefault="007A429F" w:rsidP="007A429F">
      <w:pPr>
        <w:pStyle w:val="Prrafodelista"/>
        <w:ind w:left="0"/>
        <w:jc w:val="both"/>
        <w:rPr>
          <w:color w:val="000000" w:themeColor="text1"/>
          <w:sz w:val="28"/>
          <w:szCs w:val="28"/>
          <w:lang w:val="es-ES"/>
        </w:rPr>
      </w:pPr>
    </w:p>
    <w:p w14:paraId="12E70608" w14:textId="1C5FB814" w:rsidR="00FC29AF" w:rsidRPr="00B41EAD" w:rsidRDefault="007A429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un primer caso</w:t>
      </w:r>
      <w:r w:rsidR="001A7814" w:rsidRPr="00B41EAD">
        <w:rPr>
          <w:color w:val="000000" w:themeColor="text1"/>
          <w:sz w:val="28"/>
          <w:szCs w:val="28"/>
          <w:lang w:val="es-ES"/>
        </w:rPr>
        <w:t xml:space="preserve">, la Corte Constitucional estudió una acción de tutela presentada contra una sentencia del Tribunal Administrativo del Casanare que declaró la caducidad de una demanda de reparación directa, en aplicación del precedente de unificación de la Sección Tercera del Consejo de Estado. En este caso, esta Corporación precisó que </w:t>
      </w:r>
      <w:r w:rsidR="00FC29AF" w:rsidRPr="00B41EAD">
        <w:rPr>
          <w:color w:val="000000" w:themeColor="text1"/>
          <w:sz w:val="28"/>
          <w:szCs w:val="28"/>
          <w:lang w:val="es-ES"/>
        </w:rPr>
        <w:t>la sentencia de unificación del Consejo de Estado tiene efectos retrospectivos, es decir, desde el momento en el que fue proferida para los casos que se encontraban en curso y para los iniciados luego de la sentencia</w:t>
      </w:r>
      <w:r w:rsidR="00A94869" w:rsidRPr="00B41EAD">
        <w:rPr>
          <w:rStyle w:val="Refdenotaalpie"/>
          <w:color w:val="000000" w:themeColor="text1"/>
          <w:sz w:val="28"/>
          <w:szCs w:val="28"/>
          <w:lang w:val="es-ES"/>
        </w:rPr>
        <w:footnoteReference w:id="62"/>
      </w:r>
      <w:r w:rsidR="00FC29AF" w:rsidRPr="00B41EAD">
        <w:rPr>
          <w:color w:val="000000" w:themeColor="text1"/>
          <w:sz w:val="28"/>
          <w:szCs w:val="28"/>
          <w:lang w:val="es-ES"/>
        </w:rPr>
        <w:t xml:space="preserve">. </w:t>
      </w:r>
    </w:p>
    <w:p w14:paraId="43DF0E63" w14:textId="77777777" w:rsidR="00FC29AF" w:rsidRPr="00B41EAD" w:rsidRDefault="00FC29AF" w:rsidP="00FC29AF">
      <w:pPr>
        <w:pStyle w:val="Prrafodelista"/>
        <w:rPr>
          <w:color w:val="000000" w:themeColor="text1"/>
          <w:sz w:val="28"/>
          <w:szCs w:val="28"/>
          <w:lang w:val="es-ES"/>
        </w:rPr>
      </w:pPr>
    </w:p>
    <w:p w14:paraId="28D8F702" w14:textId="0354923E" w:rsidR="00FA1877" w:rsidRPr="00B41EAD" w:rsidRDefault="00FC29A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Lo anterior</w:t>
      </w:r>
      <w:r w:rsidR="003E2571" w:rsidRPr="00B41EAD">
        <w:rPr>
          <w:color w:val="000000" w:themeColor="text1"/>
          <w:sz w:val="28"/>
          <w:szCs w:val="28"/>
          <w:lang w:val="es-ES"/>
        </w:rPr>
        <w:t xml:space="preserve"> porque: </w:t>
      </w:r>
      <w:r w:rsidR="00450A2E" w:rsidRPr="00B41EAD">
        <w:rPr>
          <w:color w:val="000000" w:themeColor="text1"/>
          <w:sz w:val="28"/>
          <w:szCs w:val="28"/>
          <w:lang w:val="es-ES"/>
        </w:rPr>
        <w:t xml:space="preserve">(i) </w:t>
      </w:r>
      <w:r w:rsidRPr="00B41EAD">
        <w:rPr>
          <w:color w:val="000000" w:themeColor="text1"/>
          <w:sz w:val="28"/>
          <w:szCs w:val="28"/>
          <w:lang w:val="es-ES"/>
        </w:rPr>
        <w:t>de manera general, los efectos retroactivos de las sentencias de unificación están proscritos</w:t>
      </w:r>
      <w:r w:rsidR="00450A2E" w:rsidRPr="00B41EAD">
        <w:rPr>
          <w:color w:val="000000" w:themeColor="text1"/>
          <w:sz w:val="28"/>
          <w:szCs w:val="28"/>
          <w:lang w:val="es-ES"/>
        </w:rPr>
        <w:t>; (</w:t>
      </w:r>
      <w:proofErr w:type="spellStart"/>
      <w:r w:rsidR="00450A2E" w:rsidRPr="00B41EAD">
        <w:rPr>
          <w:color w:val="000000" w:themeColor="text1"/>
          <w:sz w:val="28"/>
          <w:szCs w:val="28"/>
          <w:lang w:val="es-ES"/>
        </w:rPr>
        <w:t>ii</w:t>
      </w:r>
      <w:proofErr w:type="spellEnd"/>
      <w:r w:rsidR="00450A2E" w:rsidRPr="00B41EAD">
        <w:rPr>
          <w:color w:val="000000" w:themeColor="text1"/>
          <w:sz w:val="28"/>
          <w:szCs w:val="28"/>
          <w:lang w:val="es-ES"/>
        </w:rPr>
        <w:t>)</w:t>
      </w:r>
      <w:r w:rsidR="00EB0170" w:rsidRPr="00B41EAD">
        <w:rPr>
          <w:color w:val="000000" w:themeColor="text1"/>
          <w:sz w:val="28"/>
          <w:szCs w:val="28"/>
          <w:lang w:val="es-ES"/>
        </w:rPr>
        <w:t xml:space="preserve"> </w:t>
      </w:r>
      <w:r w:rsidRPr="00B41EAD">
        <w:rPr>
          <w:color w:val="000000" w:themeColor="text1"/>
          <w:sz w:val="28"/>
          <w:szCs w:val="28"/>
          <w:lang w:val="es-ES"/>
        </w:rPr>
        <w:t>la regla general es que los cambios de precedente tienen efectos generales e inmediatos</w:t>
      </w:r>
      <w:r w:rsidR="00450A2E" w:rsidRPr="00B41EAD">
        <w:rPr>
          <w:color w:val="000000" w:themeColor="text1"/>
          <w:sz w:val="28"/>
          <w:szCs w:val="28"/>
          <w:lang w:val="es-ES"/>
        </w:rPr>
        <w:t>;</w:t>
      </w:r>
      <w:r w:rsidRPr="00B41EAD">
        <w:rPr>
          <w:color w:val="000000" w:themeColor="text1"/>
          <w:sz w:val="28"/>
          <w:szCs w:val="28"/>
          <w:lang w:val="es-ES"/>
        </w:rPr>
        <w:t xml:space="preserve"> (</w:t>
      </w:r>
      <w:proofErr w:type="spellStart"/>
      <w:r w:rsidRPr="00B41EAD">
        <w:rPr>
          <w:color w:val="000000" w:themeColor="text1"/>
          <w:sz w:val="28"/>
          <w:szCs w:val="28"/>
          <w:lang w:val="es-ES"/>
        </w:rPr>
        <w:t>iii</w:t>
      </w:r>
      <w:proofErr w:type="spellEnd"/>
      <w:r w:rsidRPr="00B41EAD">
        <w:rPr>
          <w:color w:val="000000" w:themeColor="text1"/>
          <w:sz w:val="28"/>
          <w:szCs w:val="28"/>
          <w:lang w:val="es-ES"/>
        </w:rPr>
        <w:t>) los efectos prospectivos (</w:t>
      </w:r>
      <w:r w:rsidR="00212CE8" w:rsidRPr="00B41EAD">
        <w:rPr>
          <w:color w:val="000000" w:themeColor="text1"/>
          <w:sz w:val="28"/>
          <w:szCs w:val="28"/>
          <w:lang w:val="es-ES"/>
        </w:rPr>
        <w:t xml:space="preserve">para los </w:t>
      </w:r>
      <w:r w:rsidRPr="00B41EAD">
        <w:rPr>
          <w:color w:val="000000" w:themeColor="text1"/>
          <w:sz w:val="28"/>
          <w:szCs w:val="28"/>
          <w:lang w:val="es-ES"/>
        </w:rPr>
        <w:t>casos iniciados con posterioridad a la sentencia) del cambio del precedente deben ser declarados explícitamente; y</w:t>
      </w:r>
      <w:r w:rsidR="003E2571" w:rsidRPr="00B41EAD">
        <w:rPr>
          <w:color w:val="000000" w:themeColor="text1"/>
          <w:sz w:val="28"/>
          <w:szCs w:val="28"/>
          <w:lang w:val="es-ES"/>
        </w:rPr>
        <w:t xml:space="preserve"> </w:t>
      </w:r>
      <w:r w:rsidRPr="00B41EAD">
        <w:rPr>
          <w:color w:val="000000" w:themeColor="text1"/>
          <w:sz w:val="28"/>
          <w:szCs w:val="28"/>
          <w:lang w:val="es-ES"/>
        </w:rPr>
        <w:t>(</w:t>
      </w:r>
      <w:proofErr w:type="spellStart"/>
      <w:r w:rsidRPr="00B41EAD">
        <w:rPr>
          <w:color w:val="000000" w:themeColor="text1"/>
          <w:sz w:val="28"/>
          <w:szCs w:val="28"/>
          <w:lang w:val="es-ES"/>
        </w:rPr>
        <w:t>iv</w:t>
      </w:r>
      <w:proofErr w:type="spellEnd"/>
      <w:r w:rsidRPr="00B41EAD">
        <w:rPr>
          <w:color w:val="000000" w:themeColor="text1"/>
          <w:sz w:val="28"/>
          <w:szCs w:val="28"/>
          <w:lang w:val="es-ES"/>
        </w:rPr>
        <w:t xml:space="preserve">) esa fue la </w:t>
      </w:r>
      <w:r w:rsidR="00F64A19" w:rsidRPr="00B41EAD">
        <w:rPr>
          <w:color w:val="000000" w:themeColor="text1"/>
          <w:sz w:val="28"/>
          <w:szCs w:val="28"/>
          <w:lang w:val="es-ES"/>
        </w:rPr>
        <w:t xml:space="preserve">real </w:t>
      </w:r>
      <w:r w:rsidRPr="00B41EAD">
        <w:rPr>
          <w:color w:val="000000" w:themeColor="text1"/>
          <w:sz w:val="28"/>
          <w:szCs w:val="28"/>
          <w:lang w:val="es-ES"/>
        </w:rPr>
        <w:t>intención de la Sala Plena de la Sección Tercera</w:t>
      </w:r>
      <w:r w:rsidR="008D20D7" w:rsidRPr="00B41EAD">
        <w:rPr>
          <w:color w:val="000000" w:themeColor="text1"/>
          <w:sz w:val="28"/>
          <w:szCs w:val="28"/>
          <w:lang w:val="es-ES"/>
        </w:rPr>
        <w:t xml:space="preserve"> del Consejo de Estado.</w:t>
      </w:r>
    </w:p>
    <w:p w14:paraId="2688D20F" w14:textId="77777777" w:rsidR="00FA1877" w:rsidRPr="00B41EAD" w:rsidRDefault="00FA1877" w:rsidP="00FA1877">
      <w:pPr>
        <w:pStyle w:val="Prrafodelista"/>
        <w:rPr>
          <w:color w:val="000000" w:themeColor="text1"/>
          <w:sz w:val="28"/>
          <w:szCs w:val="28"/>
          <w:lang w:val="es-ES"/>
        </w:rPr>
      </w:pPr>
    </w:p>
    <w:p w14:paraId="57BB6051" w14:textId="63F1231A" w:rsidR="0010521A" w:rsidRPr="00B41EAD" w:rsidRDefault="00FA1877">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dicho caso, la Corte Constitucional señaló que se configuró un desconocimiento del precedente judicial debido a </w:t>
      </w:r>
      <w:proofErr w:type="gramStart"/>
      <w:r w:rsidRPr="00B41EAD">
        <w:rPr>
          <w:color w:val="000000" w:themeColor="text1"/>
          <w:sz w:val="28"/>
          <w:szCs w:val="28"/>
          <w:lang w:val="es-ES"/>
        </w:rPr>
        <w:t>que</w:t>
      </w:r>
      <w:proofErr w:type="gramEnd"/>
      <w:r w:rsidRPr="00B41EAD">
        <w:rPr>
          <w:color w:val="000000" w:themeColor="text1"/>
          <w:sz w:val="28"/>
          <w:szCs w:val="28"/>
          <w:lang w:val="es-ES"/>
        </w:rPr>
        <w:t xml:space="preserve"> al aplicar las reglas unificadas en la sentencia del Consejo de Estado, no se tuvo en cuenta el mandato establecido en la </w:t>
      </w:r>
      <w:r w:rsidR="00A7042A" w:rsidRPr="00B41EAD">
        <w:rPr>
          <w:color w:val="000000" w:themeColor="text1"/>
          <w:sz w:val="28"/>
          <w:szCs w:val="28"/>
          <w:lang w:val="es-ES"/>
        </w:rPr>
        <w:t>S</w:t>
      </w:r>
      <w:r w:rsidRPr="00B41EAD">
        <w:rPr>
          <w:color w:val="000000" w:themeColor="text1"/>
          <w:sz w:val="28"/>
          <w:szCs w:val="28"/>
          <w:lang w:val="es-ES"/>
        </w:rPr>
        <w:t xml:space="preserve">entencia SU-406 del 2016, </w:t>
      </w:r>
      <w:r w:rsidR="008D20D7" w:rsidRPr="00B41EAD">
        <w:rPr>
          <w:color w:val="000000" w:themeColor="text1"/>
          <w:sz w:val="28"/>
          <w:szCs w:val="28"/>
          <w:lang w:val="es-ES"/>
        </w:rPr>
        <w:t>con</w:t>
      </w:r>
      <w:r w:rsidRPr="00B41EAD">
        <w:rPr>
          <w:color w:val="000000" w:themeColor="text1"/>
          <w:sz w:val="28"/>
          <w:szCs w:val="28"/>
          <w:lang w:val="es-ES"/>
        </w:rPr>
        <w:t xml:space="preserve"> el cual, </w:t>
      </w:r>
      <w:r w:rsidR="008D20D7" w:rsidRPr="00B41EAD">
        <w:rPr>
          <w:color w:val="000000" w:themeColor="text1"/>
          <w:sz w:val="28"/>
          <w:szCs w:val="28"/>
          <w:lang w:val="es-ES"/>
        </w:rPr>
        <w:t xml:space="preserve">se </w:t>
      </w:r>
      <w:r w:rsidRPr="00B41EAD">
        <w:rPr>
          <w:color w:val="000000" w:themeColor="text1"/>
          <w:sz w:val="28"/>
          <w:szCs w:val="28"/>
          <w:lang w:val="es-ES"/>
        </w:rPr>
        <w:t xml:space="preserve">debían </w:t>
      </w:r>
      <w:r w:rsidR="008D20D7" w:rsidRPr="00B41EAD">
        <w:rPr>
          <w:color w:val="000000" w:themeColor="text1"/>
          <w:sz w:val="28"/>
          <w:szCs w:val="28"/>
          <w:lang w:val="es-ES"/>
        </w:rPr>
        <w:t>valorar</w:t>
      </w:r>
      <w:r w:rsidRPr="00B41EAD">
        <w:rPr>
          <w:color w:val="000000" w:themeColor="text1"/>
          <w:sz w:val="28"/>
          <w:szCs w:val="28"/>
          <w:lang w:val="es-ES"/>
        </w:rPr>
        <w:t xml:space="preserve"> las circunstancias particulares de los accionantes, con el </w:t>
      </w:r>
      <w:r w:rsidR="008D20D7" w:rsidRPr="00B41EAD">
        <w:rPr>
          <w:color w:val="000000" w:themeColor="text1"/>
          <w:sz w:val="28"/>
          <w:szCs w:val="28"/>
          <w:lang w:val="es-ES"/>
        </w:rPr>
        <w:t>fin</w:t>
      </w:r>
      <w:r w:rsidRPr="00B41EAD">
        <w:rPr>
          <w:color w:val="000000" w:themeColor="text1"/>
          <w:sz w:val="28"/>
          <w:szCs w:val="28"/>
          <w:lang w:val="es-ES"/>
        </w:rPr>
        <w:t xml:space="preserve"> de determinar si dicha aplicación del precedente puede poner en riesgo </w:t>
      </w:r>
      <w:r w:rsidR="00B84D91" w:rsidRPr="00B41EAD">
        <w:rPr>
          <w:color w:val="000000" w:themeColor="text1"/>
          <w:sz w:val="28"/>
          <w:szCs w:val="28"/>
          <w:lang w:val="es-ES"/>
        </w:rPr>
        <w:t xml:space="preserve">o no, </w:t>
      </w:r>
      <w:r w:rsidRPr="00B41EAD">
        <w:rPr>
          <w:color w:val="000000" w:themeColor="text1"/>
          <w:sz w:val="28"/>
          <w:szCs w:val="28"/>
          <w:lang w:val="es-ES"/>
        </w:rPr>
        <w:t>garantías procesales y derechos fundamentales</w:t>
      </w:r>
      <w:r w:rsidR="00B84D91" w:rsidRPr="00B41EAD">
        <w:rPr>
          <w:color w:val="000000" w:themeColor="text1"/>
          <w:sz w:val="28"/>
          <w:szCs w:val="28"/>
          <w:lang w:val="es-ES"/>
        </w:rPr>
        <w:t xml:space="preserve">. </w:t>
      </w:r>
    </w:p>
    <w:p w14:paraId="4A6AEDD3" w14:textId="77777777" w:rsidR="0010521A" w:rsidRPr="00B41EAD" w:rsidRDefault="0010521A" w:rsidP="0010521A">
      <w:pPr>
        <w:pStyle w:val="Prrafodelista"/>
        <w:rPr>
          <w:color w:val="000000" w:themeColor="text1"/>
          <w:sz w:val="28"/>
          <w:szCs w:val="28"/>
          <w:lang w:val="es-ES"/>
        </w:rPr>
      </w:pPr>
    </w:p>
    <w:p w14:paraId="602D00C6" w14:textId="34DC95FB" w:rsidR="00F133D8" w:rsidRPr="00B41EAD" w:rsidRDefault="00FA1877">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Además, </w:t>
      </w:r>
      <w:r w:rsidR="00A7042A" w:rsidRPr="00B41EAD">
        <w:rPr>
          <w:color w:val="000000" w:themeColor="text1"/>
          <w:sz w:val="28"/>
          <w:szCs w:val="28"/>
          <w:lang w:val="es-ES"/>
        </w:rPr>
        <w:t xml:space="preserve">la Corte </w:t>
      </w:r>
      <w:r w:rsidRPr="00B41EAD">
        <w:rPr>
          <w:color w:val="000000" w:themeColor="text1"/>
          <w:sz w:val="28"/>
          <w:szCs w:val="28"/>
          <w:lang w:val="es-ES"/>
        </w:rPr>
        <w:t xml:space="preserve">advirtió que se configuró un defecto procedimental absoluto porque si bien la autoridad accionada corrió traslado para alegar de conclusión, esta etapa </w:t>
      </w:r>
      <w:r w:rsidR="00BD27CE" w:rsidRPr="00B41EAD">
        <w:rPr>
          <w:color w:val="000000" w:themeColor="text1"/>
          <w:sz w:val="28"/>
          <w:szCs w:val="28"/>
          <w:lang w:val="es-ES"/>
        </w:rPr>
        <w:t>se llevó a cabo con anterioridad a la fecha de la sentencia de unificación del Consejo de Estado</w:t>
      </w:r>
      <w:r w:rsidR="00632190" w:rsidRPr="00B41EAD">
        <w:rPr>
          <w:color w:val="000000" w:themeColor="text1"/>
          <w:sz w:val="28"/>
          <w:szCs w:val="28"/>
          <w:lang w:val="es-ES"/>
        </w:rPr>
        <w:t xml:space="preserve"> (la cual se tuvo en cuenta para decidir el caso de reparación directa)</w:t>
      </w:r>
      <w:r w:rsidR="00BD27CE" w:rsidRPr="00B41EAD">
        <w:rPr>
          <w:color w:val="000000" w:themeColor="text1"/>
          <w:sz w:val="28"/>
          <w:szCs w:val="28"/>
          <w:lang w:val="es-ES"/>
        </w:rPr>
        <w:t xml:space="preserve"> y, por ello, </w:t>
      </w:r>
      <w:r w:rsidRPr="00B41EAD">
        <w:rPr>
          <w:color w:val="000000" w:themeColor="text1"/>
          <w:sz w:val="28"/>
          <w:szCs w:val="28"/>
          <w:lang w:val="es-ES"/>
        </w:rPr>
        <w:t xml:space="preserve">no se podía entender agotada, </w:t>
      </w:r>
      <w:r w:rsidR="00BD27CE" w:rsidRPr="00B41EAD">
        <w:rPr>
          <w:color w:val="000000" w:themeColor="text1"/>
          <w:sz w:val="28"/>
          <w:szCs w:val="28"/>
          <w:lang w:val="es-ES"/>
        </w:rPr>
        <w:t>hasta que</w:t>
      </w:r>
      <w:r w:rsidR="009F53E9" w:rsidRPr="00B41EAD">
        <w:rPr>
          <w:color w:val="000000" w:themeColor="text1"/>
          <w:sz w:val="28"/>
          <w:szCs w:val="28"/>
          <w:lang w:val="es-ES"/>
        </w:rPr>
        <w:t xml:space="preserve"> </w:t>
      </w:r>
      <w:r w:rsidRPr="00B41EAD">
        <w:rPr>
          <w:color w:val="000000" w:themeColor="text1"/>
          <w:sz w:val="28"/>
          <w:szCs w:val="28"/>
          <w:lang w:val="es-ES"/>
        </w:rPr>
        <w:t xml:space="preserve">las partes </w:t>
      </w:r>
      <w:r w:rsidR="00BD27CE" w:rsidRPr="00B41EAD">
        <w:rPr>
          <w:color w:val="000000" w:themeColor="text1"/>
          <w:sz w:val="28"/>
          <w:szCs w:val="28"/>
          <w:lang w:val="es-ES"/>
        </w:rPr>
        <w:t>pudieran explicar</w:t>
      </w:r>
      <w:r w:rsidR="00F133D8" w:rsidRPr="00B41EAD">
        <w:rPr>
          <w:color w:val="000000" w:themeColor="text1"/>
          <w:sz w:val="28"/>
          <w:szCs w:val="28"/>
          <w:lang w:val="es-ES"/>
        </w:rPr>
        <w:t xml:space="preserve"> cuáles fueron las razones por las que no acudieron a la justicia en los términos legales</w:t>
      </w:r>
      <w:r w:rsidR="00217086" w:rsidRPr="00B41EAD">
        <w:rPr>
          <w:color w:val="000000" w:themeColor="text1"/>
          <w:sz w:val="28"/>
          <w:szCs w:val="28"/>
          <w:lang w:val="es-ES"/>
        </w:rPr>
        <w:t>. Esto,</w:t>
      </w:r>
      <w:r w:rsidR="00A81DAA" w:rsidRPr="00B41EAD">
        <w:rPr>
          <w:color w:val="000000" w:themeColor="text1"/>
          <w:sz w:val="28"/>
          <w:szCs w:val="28"/>
          <w:lang w:val="es-ES"/>
        </w:rPr>
        <w:t xml:space="preserve"> </w:t>
      </w:r>
      <w:r w:rsidR="00BD27CE" w:rsidRPr="00B41EAD">
        <w:rPr>
          <w:color w:val="000000" w:themeColor="text1"/>
          <w:sz w:val="28"/>
          <w:szCs w:val="28"/>
          <w:lang w:val="es-ES"/>
        </w:rPr>
        <w:t xml:space="preserve">debido </w:t>
      </w:r>
      <w:r w:rsidR="00217086" w:rsidRPr="00B41EAD">
        <w:rPr>
          <w:color w:val="000000" w:themeColor="text1"/>
          <w:sz w:val="28"/>
          <w:szCs w:val="28"/>
          <w:lang w:val="es-ES"/>
        </w:rPr>
        <w:t>a que el cambio de las reglas implicó</w:t>
      </w:r>
      <w:r w:rsidR="000B67A1" w:rsidRPr="00B41EAD">
        <w:rPr>
          <w:color w:val="000000" w:themeColor="text1"/>
          <w:sz w:val="28"/>
          <w:szCs w:val="28"/>
          <w:lang w:val="es-ES"/>
        </w:rPr>
        <w:t xml:space="preserve"> nuevas cargas procesales</w:t>
      </w:r>
      <w:r w:rsidR="00632190" w:rsidRPr="00B41EAD">
        <w:rPr>
          <w:color w:val="000000" w:themeColor="text1"/>
          <w:sz w:val="28"/>
          <w:szCs w:val="28"/>
          <w:lang w:val="es-ES"/>
        </w:rPr>
        <w:t xml:space="preserve"> y una nueva forma de analizar la caducidad en estos casos. En efecto, antes bastaba con demostrar que el suceso se catalogaba como un delito de </w:t>
      </w:r>
      <w:r w:rsidR="00632190" w:rsidRPr="00B41EAD">
        <w:rPr>
          <w:color w:val="000000" w:themeColor="text1"/>
          <w:sz w:val="28"/>
          <w:szCs w:val="28"/>
          <w:lang w:val="es-ES"/>
        </w:rPr>
        <w:lastRenderedPageBreak/>
        <w:t>lesa humanidad y, ahora, se concentra en justificar la demora para acudir ante el juez.</w:t>
      </w:r>
    </w:p>
    <w:p w14:paraId="39839325" w14:textId="77777777" w:rsidR="00F133D8" w:rsidRPr="00B41EAD" w:rsidRDefault="00F133D8" w:rsidP="00F133D8">
      <w:pPr>
        <w:pStyle w:val="Prrafodelista"/>
        <w:rPr>
          <w:color w:val="000000" w:themeColor="text1"/>
          <w:sz w:val="28"/>
          <w:szCs w:val="28"/>
          <w:lang w:val="es-ES"/>
        </w:rPr>
      </w:pPr>
    </w:p>
    <w:p w14:paraId="4025746F" w14:textId="0D72897D" w:rsidR="005643F7" w:rsidRPr="00B41EAD" w:rsidRDefault="00CA79A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Por lo anterior, </w:t>
      </w:r>
      <w:r w:rsidR="00A7042A" w:rsidRPr="00B41EAD">
        <w:rPr>
          <w:color w:val="000000" w:themeColor="text1"/>
          <w:sz w:val="28"/>
          <w:szCs w:val="28"/>
          <w:lang w:val="es-ES"/>
        </w:rPr>
        <w:t xml:space="preserve">la Corte </w:t>
      </w:r>
      <w:r w:rsidRPr="00B41EAD">
        <w:rPr>
          <w:color w:val="000000" w:themeColor="text1"/>
          <w:sz w:val="28"/>
          <w:szCs w:val="28"/>
          <w:lang w:val="es-ES"/>
        </w:rPr>
        <w:t xml:space="preserve">confirmó la decisión de segunda </w:t>
      </w:r>
      <w:r w:rsidR="009F53E9" w:rsidRPr="00B41EAD">
        <w:rPr>
          <w:color w:val="000000" w:themeColor="text1"/>
          <w:sz w:val="28"/>
          <w:szCs w:val="28"/>
          <w:lang w:val="es-ES"/>
        </w:rPr>
        <w:t>instancia</w:t>
      </w:r>
      <w:r w:rsidRPr="00B41EAD">
        <w:rPr>
          <w:color w:val="000000" w:themeColor="text1"/>
          <w:sz w:val="28"/>
          <w:szCs w:val="28"/>
          <w:lang w:val="es-ES"/>
        </w:rPr>
        <w:t xml:space="preserve"> en el </w:t>
      </w:r>
      <w:r w:rsidR="009F53E9" w:rsidRPr="00B41EAD">
        <w:rPr>
          <w:color w:val="000000" w:themeColor="text1"/>
          <w:sz w:val="28"/>
          <w:szCs w:val="28"/>
          <w:lang w:val="es-ES"/>
        </w:rPr>
        <w:t>trámite</w:t>
      </w:r>
      <w:r w:rsidRPr="00B41EAD">
        <w:rPr>
          <w:color w:val="000000" w:themeColor="text1"/>
          <w:sz w:val="28"/>
          <w:szCs w:val="28"/>
          <w:lang w:val="es-ES"/>
        </w:rPr>
        <w:t xml:space="preserve"> de tutela</w:t>
      </w:r>
      <w:r w:rsidR="009F53E9" w:rsidRPr="00B41EAD">
        <w:rPr>
          <w:color w:val="000000" w:themeColor="text1"/>
          <w:sz w:val="28"/>
          <w:szCs w:val="28"/>
          <w:lang w:val="es-ES"/>
        </w:rPr>
        <w:t>, mediante la cual</w:t>
      </w:r>
      <w:r w:rsidRPr="00B41EAD">
        <w:rPr>
          <w:color w:val="000000" w:themeColor="text1"/>
          <w:sz w:val="28"/>
          <w:szCs w:val="28"/>
          <w:lang w:val="es-ES"/>
        </w:rPr>
        <w:t xml:space="preserve"> </w:t>
      </w:r>
      <w:r w:rsidR="009F53E9" w:rsidRPr="00B41EAD">
        <w:rPr>
          <w:color w:val="000000" w:themeColor="text1"/>
          <w:sz w:val="28"/>
          <w:szCs w:val="28"/>
          <w:lang w:val="es-ES"/>
        </w:rPr>
        <w:t>se</w:t>
      </w:r>
      <w:r w:rsidRPr="00B41EAD">
        <w:rPr>
          <w:color w:val="000000" w:themeColor="text1"/>
          <w:sz w:val="28"/>
          <w:szCs w:val="28"/>
          <w:lang w:val="es-ES"/>
        </w:rPr>
        <w:t xml:space="preserve"> revocó la sentencia de primera instancia</w:t>
      </w:r>
      <w:r w:rsidR="003E2571" w:rsidRPr="00B41EAD">
        <w:rPr>
          <w:color w:val="000000" w:themeColor="text1"/>
          <w:sz w:val="28"/>
          <w:szCs w:val="28"/>
          <w:lang w:val="es-ES"/>
        </w:rPr>
        <w:t>,</w:t>
      </w:r>
      <w:r w:rsidRPr="00B41EAD">
        <w:rPr>
          <w:color w:val="000000" w:themeColor="text1"/>
          <w:sz w:val="28"/>
          <w:szCs w:val="28"/>
          <w:lang w:val="es-ES"/>
        </w:rPr>
        <w:t xml:space="preserve"> y </w:t>
      </w:r>
      <w:r w:rsidR="009F53E9" w:rsidRPr="00B41EAD">
        <w:rPr>
          <w:color w:val="000000" w:themeColor="text1"/>
          <w:sz w:val="28"/>
          <w:szCs w:val="28"/>
          <w:lang w:val="es-ES"/>
        </w:rPr>
        <w:t xml:space="preserve">se ordenó </w:t>
      </w:r>
      <w:r w:rsidR="00CC1AAA" w:rsidRPr="00B41EAD">
        <w:rPr>
          <w:color w:val="000000" w:themeColor="text1"/>
          <w:sz w:val="28"/>
          <w:szCs w:val="28"/>
          <w:lang w:val="es-ES"/>
        </w:rPr>
        <w:t>al Tribunal accionad</w:t>
      </w:r>
      <w:r w:rsidR="003E2571" w:rsidRPr="00B41EAD">
        <w:rPr>
          <w:color w:val="000000" w:themeColor="text1"/>
          <w:sz w:val="28"/>
          <w:szCs w:val="28"/>
          <w:lang w:val="es-ES"/>
        </w:rPr>
        <w:t>o</w:t>
      </w:r>
      <w:r w:rsidR="00CC1AAA" w:rsidRPr="00B41EAD">
        <w:rPr>
          <w:color w:val="000000" w:themeColor="text1"/>
          <w:sz w:val="28"/>
          <w:szCs w:val="28"/>
          <w:lang w:val="es-ES"/>
        </w:rPr>
        <w:t xml:space="preserve"> proferir una nueva providencia</w:t>
      </w:r>
      <w:r w:rsidR="00CB41A3" w:rsidRPr="00B41EAD">
        <w:rPr>
          <w:color w:val="000000" w:themeColor="text1"/>
          <w:sz w:val="28"/>
          <w:szCs w:val="28"/>
          <w:lang w:val="es-ES"/>
        </w:rPr>
        <w:t>, al considerar que aplicó de manera retroactiva la sentencia de unificación del Consejo de Estado.</w:t>
      </w:r>
    </w:p>
    <w:p w14:paraId="77F0996B" w14:textId="77777777" w:rsidR="005643F7" w:rsidRPr="00B41EAD" w:rsidRDefault="005643F7" w:rsidP="005643F7">
      <w:pPr>
        <w:pStyle w:val="Prrafodelista"/>
        <w:rPr>
          <w:color w:val="000000" w:themeColor="text1"/>
          <w:sz w:val="28"/>
          <w:szCs w:val="28"/>
          <w:lang w:val="es-ES"/>
        </w:rPr>
      </w:pPr>
    </w:p>
    <w:p w14:paraId="1A01402A" w14:textId="2432BBD4" w:rsidR="00CB41A3" w:rsidRPr="00B41EAD" w:rsidRDefault="00C142D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un caso similar al anterior, la Corte Constitucional hizo referencia nuevamente a que </w:t>
      </w:r>
      <w:r w:rsidR="005643F7" w:rsidRPr="00B41EAD">
        <w:rPr>
          <w:color w:val="000000" w:themeColor="text1"/>
          <w:sz w:val="28"/>
          <w:szCs w:val="28"/>
          <w:lang w:val="es-ES"/>
        </w:rPr>
        <w:t>la sentencia de unificación del Consejo de Estado aplica a partir de su expedición</w:t>
      </w:r>
      <w:r w:rsidR="005E52DD" w:rsidRPr="00B41EAD">
        <w:rPr>
          <w:color w:val="000000" w:themeColor="text1"/>
          <w:sz w:val="28"/>
          <w:szCs w:val="28"/>
          <w:lang w:val="es-ES"/>
        </w:rPr>
        <w:t xml:space="preserve"> y, por ello</w:t>
      </w:r>
      <w:r w:rsidR="005643F7" w:rsidRPr="00B41EAD">
        <w:rPr>
          <w:color w:val="000000" w:themeColor="text1"/>
          <w:sz w:val="28"/>
          <w:szCs w:val="28"/>
          <w:lang w:val="es-ES"/>
        </w:rPr>
        <w:t xml:space="preserve">, </w:t>
      </w:r>
      <w:r w:rsidR="00853D47" w:rsidRPr="00B41EAD">
        <w:rPr>
          <w:color w:val="000000" w:themeColor="text1"/>
          <w:sz w:val="28"/>
          <w:szCs w:val="28"/>
          <w:lang w:val="es-ES"/>
        </w:rPr>
        <w:t>en</w:t>
      </w:r>
      <w:r w:rsidR="005643F7" w:rsidRPr="00B41EAD">
        <w:rPr>
          <w:color w:val="000000" w:themeColor="text1"/>
          <w:sz w:val="28"/>
          <w:szCs w:val="28"/>
          <w:lang w:val="es-ES"/>
        </w:rPr>
        <w:t xml:space="preserve"> las acciones radicadas antes de </w:t>
      </w:r>
      <w:r w:rsidR="005E52DD" w:rsidRPr="00B41EAD">
        <w:rPr>
          <w:color w:val="000000" w:themeColor="text1"/>
          <w:sz w:val="28"/>
          <w:szCs w:val="28"/>
          <w:lang w:val="es-ES"/>
        </w:rPr>
        <w:t>dicha providencia</w:t>
      </w:r>
      <w:r w:rsidR="005643F7" w:rsidRPr="00B41EAD">
        <w:rPr>
          <w:color w:val="000000" w:themeColor="text1"/>
          <w:sz w:val="28"/>
          <w:szCs w:val="28"/>
          <w:lang w:val="es-ES"/>
        </w:rPr>
        <w:t>, los jueces deben valorar las circunstancias particulares del caso para identificar si aplicar la regla</w:t>
      </w:r>
      <w:r w:rsidR="005D66A3" w:rsidRPr="00B41EAD">
        <w:rPr>
          <w:color w:val="000000" w:themeColor="text1"/>
          <w:sz w:val="28"/>
          <w:szCs w:val="28"/>
          <w:lang w:val="es-ES"/>
        </w:rPr>
        <w:t xml:space="preserve"> o no</w:t>
      </w:r>
      <w:r w:rsidR="005643F7" w:rsidRPr="00B41EAD">
        <w:rPr>
          <w:color w:val="000000" w:themeColor="text1"/>
          <w:sz w:val="28"/>
          <w:szCs w:val="28"/>
          <w:lang w:val="es-ES"/>
        </w:rPr>
        <w:t xml:space="preserve">, pone en riesgo derechos fundamentales. </w:t>
      </w:r>
      <w:r w:rsidR="00A87FF7" w:rsidRPr="00B41EAD">
        <w:rPr>
          <w:color w:val="000000" w:themeColor="text1"/>
          <w:sz w:val="28"/>
          <w:szCs w:val="28"/>
          <w:lang w:val="es-ES"/>
        </w:rPr>
        <w:t>En estos casos,</w:t>
      </w:r>
      <w:r w:rsidR="005D66A3" w:rsidRPr="00B41EAD">
        <w:rPr>
          <w:color w:val="000000" w:themeColor="text1"/>
          <w:sz w:val="28"/>
          <w:szCs w:val="28"/>
          <w:lang w:val="es-ES"/>
        </w:rPr>
        <w:t xml:space="preserve"> </w:t>
      </w:r>
      <w:r w:rsidR="00A87FF7" w:rsidRPr="00B41EAD">
        <w:rPr>
          <w:color w:val="000000" w:themeColor="text1"/>
          <w:sz w:val="28"/>
          <w:szCs w:val="28"/>
          <w:lang w:val="es-ES"/>
        </w:rPr>
        <w:t>l</w:t>
      </w:r>
      <w:r w:rsidR="005643F7" w:rsidRPr="00B41EAD">
        <w:rPr>
          <w:color w:val="000000" w:themeColor="text1"/>
          <w:sz w:val="28"/>
          <w:szCs w:val="28"/>
          <w:lang w:val="es-ES"/>
        </w:rPr>
        <w:t xml:space="preserve">a parte </w:t>
      </w:r>
      <w:r w:rsidR="00B24B8C" w:rsidRPr="00B41EAD">
        <w:rPr>
          <w:color w:val="000000" w:themeColor="text1"/>
          <w:sz w:val="28"/>
          <w:szCs w:val="28"/>
          <w:lang w:val="es-ES"/>
        </w:rPr>
        <w:t xml:space="preserve">demandante </w:t>
      </w:r>
      <w:r w:rsidR="005643F7" w:rsidRPr="00B41EAD">
        <w:rPr>
          <w:color w:val="000000" w:themeColor="text1"/>
          <w:sz w:val="28"/>
          <w:szCs w:val="28"/>
          <w:lang w:val="es-ES"/>
        </w:rPr>
        <w:t xml:space="preserve">debe tener la oportunidad de argumentar </w:t>
      </w:r>
      <w:r w:rsidR="009A7653" w:rsidRPr="00B41EAD">
        <w:rPr>
          <w:color w:val="000000" w:themeColor="text1"/>
          <w:sz w:val="28"/>
          <w:szCs w:val="28"/>
          <w:lang w:val="es-ES"/>
        </w:rPr>
        <w:t>por qué</w:t>
      </w:r>
      <w:r w:rsidR="005643F7" w:rsidRPr="00B41EAD">
        <w:rPr>
          <w:color w:val="000000" w:themeColor="text1"/>
          <w:sz w:val="28"/>
          <w:szCs w:val="28"/>
          <w:lang w:val="es-ES"/>
        </w:rPr>
        <w:t xml:space="preserve"> no debe aplicarse la nueva regla jurisprudencial en su caso</w:t>
      </w:r>
      <w:r w:rsidR="009A7653" w:rsidRPr="00B41EAD">
        <w:rPr>
          <w:color w:val="000000" w:themeColor="text1"/>
          <w:sz w:val="28"/>
          <w:szCs w:val="28"/>
          <w:lang w:val="es-ES"/>
        </w:rPr>
        <w:t xml:space="preserve"> y, también</w:t>
      </w:r>
      <w:r w:rsidR="005643F7" w:rsidRPr="00B41EAD">
        <w:rPr>
          <w:color w:val="000000" w:themeColor="text1"/>
          <w:sz w:val="28"/>
          <w:szCs w:val="28"/>
          <w:lang w:val="es-ES"/>
        </w:rPr>
        <w:t xml:space="preserve">, el juez debe adecuar el proceso para garantizar que </w:t>
      </w:r>
      <w:r w:rsidR="00B24B8C" w:rsidRPr="00B41EAD">
        <w:rPr>
          <w:color w:val="000000" w:themeColor="text1"/>
          <w:sz w:val="28"/>
          <w:szCs w:val="28"/>
          <w:lang w:val="es-ES"/>
        </w:rPr>
        <w:t>el demandante</w:t>
      </w:r>
      <w:r w:rsidR="005643F7" w:rsidRPr="00B41EAD">
        <w:rPr>
          <w:color w:val="000000" w:themeColor="text1"/>
          <w:sz w:val="28"/>
          <w:szCs w:val="28"/>
          <w:lang w:val="es-ES"/>
        </w:rPr>
        <w:t xml:space="preserve"> pueda explicar por qué no acudió a la justicia en los términos legales</w:t>
      </w:r>
      <w:r w:rsidR="009A7653" w:rsidRPr="00B41EAD">
        <w:rPr>
          <w:rStyle w:val="Refdenotaalpie"/>
          <w:color w:val="000000" w:themeColor="text1"/>
          <w:sz w:val="28"/>
          <w:szCs w:val="28"/>
          <w:lang w:val="es-ES"/>
        </w:rPr>
        <w:footnoteReference w:id="63"/>
      </w:r>
      <w:r w:rsidR="005643F7" w:rsidRPr="00B41EAD">
        <w:rPr>
          <w:color w:val="000000" w:themeColor="text1"/>
          <w:sz w:val="28"/>
          <w:szCs w:val="28"/>
          <w:lang w:val="es-ES"/>
        </w:rPr>
        <w:t>.</w:t>
      </w:r>
    </w:p>
    <w:p w14:paraId="6D1B0F68" w14:textId="77777777" w:rsidR="009A7653" w:rsidRPr="00B41EAD" w:rsidRDefault="009A7653" w:rsidP="009A7653">
      <w:pPr>
        <w:pStyle w:val="Prrafodelista"/>
        <w:rPr>
          <w:color w:val="000000" w:themeColor="text1"/>
          <w:sz w:val="28"/>
          <w:szCs w:val="28"/>
          <w:lang w:val="es-ES"/>
        </w:rPr>
      </w:pPr>
    </w:p>
    <w:p w14:paraId="722911EE" w14:textId="016BA086" w:rsidR="00D9389A" w:rsidRPr="00B41EAD" w:rsidRDefault="00FD234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Adicionalmente, dos sentencias recientes de la Corte Constitucional han reiterado </w:t>
      </w:r>
      <w:r w:rsidR="007D1A42" w:rsidRPr="00B41EAD">
        <w:rPr>
          <w:color w:val="000000" w:themeColor="text1"/>
          <w:sz w:val="28"/>
          <w:szCs w:val="28"/>
          <w:lang w:val="es-ES"/>
        </w:rPr>
        <w:t>las reglas de unificación que se han planteado, así como los efectos que tiene</w:t>
      </w:r>
      <w:r w:rsidR="00D3084C" w:rsidRPr="00B41EAD">
        <w:rPr>
          <w:color w:val="000000" w:themeColor="text1"/>
          <w:sz w:val="28"/>
          <w:szCs w:val="28"/>
          <w:lang w:val="es-ES"/>
        </w:rPr>
        <w:t>n</w:t>
      </w:r>
      <w:r w:rsidR="007D1A42" w:rsidRPr="00B41EAD">
        <w:rPr>
          <w:color w:val="000000" w:themeColor="text1"/>
          <w:sz w:val="28"/>
          <w:szCs w:val="28"/>
          <w:lang w:val="es-ES"/>
        </w:rPr>
        <w:t xml:space="preserve"> </w:t>
      </w:r>
      <w:r w:rsidR="00B661F7" w:rsidRPr="00B41EAD">
        <w:rPr>
          <w:color w:val="000000" w:themeColor="text1"/>
          <w:sz w:val="28"/>
          <w:szCs w:val="28"/>
          <w:lang w:val="es-ES"/>
        </w:rPr>
        <w:t xml:space="preserve">y las garantías que se deben otorgar al respecto. </w:t>
      </w:r>
    </w:p>
    <w:p w14:paraId="2CA1D7E4" w14:textId="77777777" w:rsidR="00D9389A" w:rsidRPr="00B41EAD" w:rsidRDefault="00D9389A" w:rsidP="00D9389A">
      <w:pPr>
        <w:pStyle w:val="Prrafodelista"/>
        <w:rPr>
          <w:color w:val="000000" w:themeColor="text1"/>
          <w:sz w:val="28"/>
          <w:szCs w:val="28"/>
          <w:lang w:val="es-ES"/>
        </w:rPr>
      </w:pPr>
    </w:p>
    <w:p w14:paraId="7581B31E" w14:textId="6F41B5F5" w:rsidR="00D9389A" w:rsidRPr="00B41EAD" w:rsidRDefault="003E257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las recientes sentencias </w:t>
      </w:r>
      <w:r w:rsidR="00B661F7" w:rsidRPr="00B41EAD">
        <w:rPr>
          <w:color w:val="000000" w:themeColor="text1"/>
          <w:sz w:val="28"/>
          <w:szCs w:val="28"/>
          <w:lang w:val="es-ES"/>
        </w:rPr>
        <w:t>SU-167 de 2023</w:t>
      </w:r>
      <w:r w:rsidRPr="00B41EAD">
        <w:rPr>
          <w:rStyle w:val="Refdenotaalpie"/>
          <w:color w:val="000000" w:themeColor="text1"/>
          <w:sz w:val="28"/>
          <w:szCs w:val="28"/>
          <w:lang w:val="es-ES"/>
        </w:rPr>
        <w:footnoteReference w:id="64"/>
      </w:r>
      <w:r w:rsidR="00534765" w:rsidRPr="00B41EAD">
        <w:rPr>
          <w:color w:val="000000" w:themeColor="text1"/>
          <w:sz w:val="28"/>
          <w:szCs w:val="28"/>
          <w:lang w:val="es-ES"/>
        </w:rPr>
        <w:t xml:space="preserve"> y T-024 de 2024</w:t>
      </w:r>
      <w:r w:rsidRPr="00B41EAD">
        <w:rPr>
          <w:rStyle w:val="Refdenotaalpie"/>
          <w:color w:val="000000" w:themeColor="text1"/>
          <w:sz w:val="28"/>
          <w:szCs w:val="28"/>
          <w:lang w:val="es-ES"/>
        </w:rPr>
        <w:footnoteReference w:id="65"/>
      </w:r>
      <w:r w:rsidR="00D9389A" w:rsidRPr="00B41EAD">
        <w:rPr>
          <w:color w:val="000000" w:themeColor="text1"/>
          <w:sz w:val="28"/>
          <w:szCs w:val="28"/>
          <w:lang w:val="es-ES"/>
        </w:rPr>
        <w:t xml:space="preserve">, </w:t>
      </w:r>
      <w:r w:rsidR="00BD4DD5" w:rsidRPr="00B41EAD">
        <w:rPr>
          <w:color w:val="000000" w:themeColor="text1"/>
          <w:sz w:val="28"/>
          <w:szCs w:val="28"/>
          <w:lang w:val="es-ES"/>
        </w:rPr>
        <w:t xml:space="preserve">se </w:t>
      </w:r>
      <w:r w:rsidRPr="00B41EAD">
        <w:rPr>
          <w:color w:val="000000" w:themeColor="text1"/>
          <w:sz w:val="28"/>
          <w:szCs w:val="28"/>
          <w:lang w:val="es-ES"/>
        </w:rPr>
        <w:t xml:space="preserve">precisó </w:t>
      </w:r>
      <w:r w:rsidR="00D9389A" w:rsidRPr="00B41EAD">
        <w:rPr>
          <w:color w:val="000000" w:themeColor="text1"/>
          <w:sz w:val="28"/>
          <w:szCs w:val="28"/>
          <w:lang w:val="es-ES"/>
        </w:rPr>
        <w:t xml:space="preserve">que la sentencia de unificación del Consejo de Estado, en principio, </w:t>
      </w:r>
      <w:r w:rsidR="00D3084C" w:rsidRPr="00B41EAD">
        <w:rPr>
          <w:color w:val="000000" w:themeColor="text1"/>
          <w:sz w:val="28"/>
          <w:szCs w:val="28"/>
          <w:lang w:val="es-ES"/>
        </w:rPr>
        <w:t>produce</w:t>
      </w:r>
      <w:r w:rsidR="00D9389A" w:rsidRPr="00B41EAD">
        <w:rPr>
          <w:color w:val="000000" w:themeColor="text1"/>
          <w:sz w:val="28"/>
          <w:szCs w:val="28"/>
          <w:lang w:val="es-ES"/>
        </w:rPr>
        <w:t xml:space="preserve"> efectos generales e inmediatos frente a los procesos que se encontraran en curso para ese momento. No obstante, debido a la variación en el precedente aplicable</w:t>
      </w:r>
      <w:r w:rsidRPr="00B41EAD">
        <w:rPr>
          <w:color w:val="000000" w:themeColor="text1"/>
          <w:sz w:val="28"/>
          <w:szCs w:val="28"/>
          <w:lang w:val="es-ES"/>
        </w:rPr>
        <w:t xml:space="preserve"> y de ser necesario, </w:t>
      </w:r>
      <w:r w:rsidR="00D3084C" w:rsidRPr="00B41EAD">
        <w:rPr>
          <w:color w:val="000000" w:themeColor="text1"/>
          <w:sz w:val="28"/>
          <w:szCs w:val="28"/>
          <w:lang w:val="es-ES"/>
        </w:rPr>
        <w:t xml:space="preserve">a </w:t>
      </w:r>
      <w:r w:rsidR="00D9389A" w:rsidRPr="00B41EAD">
        <w:rPr>
          <w:color w:val="000000" w:themeColor="text1"/>
          <w:sz w:val="28"/>
          <w:szCs w:val="28"/>
          <w:lang w:val="es-ES"/>
        </w:rPr>
        <w:t>los demandantes en el proceso de reparación directa se les debe permitir contar con una oportunidad procesal, incluso s</w:t>
      </w:r>
      <w:r w:rsidR="00BD4DD5" w:rsidRPr="00B41EAD">
        <w:rPr>
          <w:color w:val="000000" w:themeColor="text1"/>
          <w:sz w:val="28"/>
          <w:szCs w:val="28"/>
          <w:lang w:val="es-ES"/>
        </w:rPr>
        <w:t>i</w:t>
      </w:r>
      <w:r w:rsidR="00D9389A" w:rsidRPr="00B41EAD">
        <w:rPr>
          <w:color w:val="000000" w:themeColor="text1"/>
          <w:sz w:val="28"/>
          <w:szCs w:val="28"/>
          <w:lang w:val="es-ES"/>
        </w:rPr>
        <w:t xml:space="preserve"> implica readecuar el trámite, para </w:t>
      </w:r>
      <w:r w:rsidR="00D3084C" w:rsidRPr="00B41EAD">
        <w:rPr>
          <w:color w:val="000000" w:themeColor="text1"/>
          <w:sz w:val="28"/>
          <w:szCs w:val="28"/>
          <w:lang w:val="es-ES"/>
        </w:rPr>
        <w:t>que se manifiesten</w:t>
      </w:r>
      <w:r w:rsidR="00D9389A" w:rsidRPr="00B41EAD">
        <w:rPr>
          <w:color w:val="000000" w:themeColor="text1"/>
          <w:sz w:val="28"/>
          <w:szCs w:val="28"/>
          <w:lang w:val="es-ES"/>
        </w:rPr>
        <w:t xml:space="preserve"> </w:t>
      </w:r>
      <w:r w:rsidR="00D3084C" w:rsidRPr="00B41EAD">
        <w:rPr>
          <w:color w:val="000000" w:themeColor="text1"/>
          <w:sz w:val="28"/>
          <w:szCs w:val="28"/>
          <w:lang w:val="es-ES"/>
        </w:rPr>
        <w:t>respecto</w:t>
      </w:r>
      <w:r w:rsidR="00D9389A" w:rsidRPr="00B41EAD">
        <w:rPr>
          <w:color w:val="000000" w:themeColor="text1"/>
          <w:sz w:val="28"/>
          <w:szCs w:val="28"/>
          <w:lang w:val="es-ES"/>
        </w:rPr>
        <w:t xml:space="preserve"> </w:t>
      </w:r>
      <w:r w:rsidR="00D3084C" w:rsidRPr="00B41EAD">
        <w:rPr>
          <w:color w:val="000000" w:themeColor="text1"/>
          <w:sz w:val="28"/>
          <w:szCs w:val="28"/>
          <w:lang w:val="es-ES"/>
        </w:rPr>
        <w:t>del</w:t>
      </w:r>
      <w:r w:rsidR="00D9389A" w:rsidRPr="00B41EAD">
        <w:rPr>
          <w:color w:val="000000" w:themeColor="text1"/>
          <w:sz w:val="28"/>
          <w:szCs w:val="28"/>
          <w:lang w:val="es-ES"/>
        </w:rPr>
        <w:t xml:space="preserve"> cambio de precedente y para </w:t>
      </w:r>
      <w:r w:rsidR="009C0F0F" w:rsidRPr="00B41EAD">
        <w:rPr>
          <w:color w:val="000000" w:themeColor="text1"/>
          <w:sz w:val="28"/>
          <w:szCs w:val="28"/>
          <w:lang w:val="es-ES"/>
        </w:rPr>
        <w:t>señalar</w:t>
      </w:r>
      <w:r w:rsidR="00D9389A" w:rsidRPr="00B41EAD">
        <w:rPr>
          <w:color w:val="000000" w:themeColor="text1"/>
          <w:sz w:val="28"/>
          <w:szCs w:val="28"/>
          <w:lang w:val="es-ES"/>
        </w:rPr>
        <w:t xml:space="preserve"> situaciones que hubieran impedido materialmente el ejercicio de la acción</w:t>
      </w:r>
      <w:r w:rsidR="00D3084C" w:rsidRPr="00B41EAD">
        <w:rPr>
          <w:color w:val="000000" w:themeColor="text1"/>
          <w:sz w:val="28"/>
          <w:szCs w:val="28"/>
          <w:lang w:val="es-ES"/>
        </w:rPr>
        <w:t>. Esto, para evitar</w:t>
      </w:r>
      <w:r w:rsidR="00D9389A" w:rsidRPr="00B41EAD">
        <w:rPr>
          <w:color w:val="000000" w:themeColor="text1"/>
          <w:sz w:val="28"/>
          <w:szCs w:val="28"/>
          <w:lang w:val="es-ES"/>
        </w:rPr>
        <w:t xml:space="preserve"> incurrir en un defecto procedimental absoluto.</w:t>
      </w:r>
    </w:p>
    <w:p w14:paraId="6631C333" w14:textId="77777777" w:rsidR="009C0F0F" w:rsidRPr="00B41EAD" w:rsidRDefault="009C0F0F" w:rsidP="009C0F0F">
      <w:pPr>
        <w:pStyle w:val="Prrafodelista"/>
        <w:rPr>
          <w:color w:val="000000" w:themeColor="text1"/>
          <w:sz w:val="28"/>
          <w:szCs w:val="28"/>
          <w:lang w:val="es-ES"/>
        </w:rPr>
      </w:pPr>
    </w:p>
    <w:p w14:paraId="64E95369" w14:textId="7E1148F0" w:rsidR="009C0F0F" w:rsidRPr="00B41EAD" w:rsidRDefault="009C0F0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Asimismo, </w:t>
      </w:r>
      <w:r w:rsidR="00A7042A" w:rsidRPr="00B41EAD">
        <w:rPr>
          <w:color w:val="000000" w:themeColor="text1"/>
          <w:sz w:val="28"/>
          <w:szCs w:val="28"/>
          <w:lang w:val="es-ES"/>
        </w:rPr>
        <w:t>esta Corporación</w:t>
      </w:r>
      <w:r w:rsidR="003E2571" w:rsidRPr="00B41EAD">
        <w:rPr>
          <w:color w:val="000000" w:themeColor="text1"/>
          <w:sz w:val="28"/>
          <w:szCs w:val="28"/>
          <w:lang w:val="es-ES"/>
        </w:rPr>
        <w:t xml:space="preserve"> insistió en</w:t>
      </w:r>
      <w:r w:rsidR="002E5B57" w:rsidRPr="00B41EAD">
        <w:rPr>
          <w:color w:val="000000" w:themeColor="text1"/>
          <w:sz w:val="28"/>
          <w:szCs w:val="28"/>
          <w:lang w:val="es-ES"/>
        </w:rPr>
        <w:t xml:space="preserve"> </w:t>
      </w:r>
      <w:r w:rsidR="00216030" w:rsidRPr="00B41EAD">
        <w:rPr>
          <w:color w:val="000000" w:themeColor="text1"/>
          <w:sz w:val="28"/>
          <w:szCs w:val="28"/>
          <w:lang w:val="es-ES"/>
        </w:rPr>
        <w:t>que</w:t>
      </w:r>
      <w:r w:rsidR="003E2571" w:rsidRPr="00B41EAD">
        <w:rPr>
          <w:color w:val="000000" w:themeColor="text1"/>
          <w:sz w:val="28"/>
          <w:szCs w:val="28"/>
          <w:lang w:val="es-ES"/>
        </w:rPr>
        <w:t xml:space="preserve"> en este tipo de casos</w:t>
      </w:r>
      <w:r w:rsidR="00216030" w:rsidRPr="00B41EAD">
        <w:rPr>
          <w:color w:val="000000" w:themeColor="text1"/>
          <w:sz w:val="28"/>
          <w:szCs w:val="28"/>
          <w:lang w:val="es-ES"/>
        </w:rPr>
        <w:t xml:space="preserve"> las victimas</w:t>
      </w:r>
      <w:r w:rsidR="003E2571" w:rsidRPr="00B41EAD">
        <w:rPr>
          <w:color w:val="000000" w:themeColor="text1"/>
          <w:sz w:val="28"/>
          <w:szCs w:val="28"/>
          <w:lang w:val="es-ES"/>
        </w:rPr>
        <w:t xml:space="preserve"> </w:t>
      </w:r>
      <w:r w:rsidR="00216030" w:rsidRPr="00B41EAD">
        <w:rPr>
          <w:color w:val="000000" w:themeColor="text1"/>
          <w:sz w:val="28"/>
          <w:szCs w:val="28"/>
          <w:lang w:val="es-ES"/>
        </w:rPr>
        <w:t xml:space="preserve">tienen dificultades para cumplir la carga probatoria, </w:t>
      </w:r>
      <w:r w:rsidR="003E2571" w:rsidRPr="00B41EAD">
        <w:rPr>
          <w:color w:val="000000" w:themeColor="text1"/>
          <w:sz w:val="28"/>
          <w:szCs w:val="28"/>
          <w:lang w:val="es-ES"/>
        </w:rPr>
        <w:t>sobre todo cuando se</w:t>
      </w:r>
      <w:r w:rsidR="00216030" w:rsidRPr="00B41EAD">
        <w:rPr>
          <w:color w:val="000000" w:themeColor="text1"/>
          <w:sz w:val="28"/>
          <w:szCs w:val="28"/>
          <w:lang w:val="es-ES"/>
        </w:rPr>
        <w:t xml:space="preserve"> reclama</w:t>
      </w:r>
      <w:r w:rsidR="003E2571" w:rsidRPr="00B41EAD">
        <w:rPr>
          <w:color w:val="000000" w:themeColor="text1"/>
          <w:sz w:val="28"/>
          <w:szCs w:val="28"/>
          <w:lang w:val="es-ES"/>
        </w:rPr>
        <w:t xml:space="preserve"> la reparación de</w:t>
      </w:r>
      <w:r w:rsidR="00216030" w:rsidRPr="00B41EAD">
        <w:rPr>
          <w:color w:val="000000" w:themeColor="text1"/>
          <w:sz w:val="28"/>
          <w:szCs w:val="28"/>
          <w:lang w:val="es-ES"/>
        </w:rPr>
        <w:t xml:space="preserve"> daños derivados de crímenes de lesa humanidad</w:t>
      </w:r>
      <w:r w:rsidR="003E2571" w:rsidRPr="00B41EAD">
        <w:rPr>
          <w:color w:val="000000" w:themeColor="text1"/>
          <w:sz w:val="28"/>
          <w:szCs w:val="28"/>
          <w:lang w:val="es-ES"/>
        </w:rPr>
        <w:t xml:space="preserve">. Por </w:t>
      </w:r>
      <w:r w:rsidR="00216030" w:rsidRPr="00B41EAD">
        <w:rPr>
          <w:color w:val="000000" w:themeColor="text1"/>
          <w:sz w:val="28"/>
          <w:szCs w:val="28"/>
          <w:lang w:val="es-ES"/>
        </w:rPr>
        <w:t>ello, en tales escenarios, dicha carga o estándar</w:t>
      </w:r>
      <w:r w:rsidR="003E2571" w:rsidRPr="00B41EAD">
        <w:rPr>
          <w:color w:val="000000" w:themeColor="text1"/>
          <w:sz w:val="28"/>
          <w:szCs w:val="28"/>
          <w:lang w:val="es-ES"/>
        </w:rPr>
        <w:t xml:space="preserve"> </w:t>
      </w:r>
      <w:r w:rsidR="00216030" w:rsidRPr="00B41EAD">
        <w:rPr>
          <w:color w:val="000000" w:themeColor="text1"/>
          <w:sz w:val="28"/>
          <w:szCs w:val="28"/>
          <w:lang w:val="es-ES"/>
        </w:rPr>
        <w:t>debe flexibilizarse</w:t>
      </w:r>
      <w:r w:rsidR="003E2571" w:rsidRPr="00B41EAD">
        <w:rPr>
          <w:color w:val="000000" w:themeColor="text1"/>
          <w:sz w:val="28"/>
          <w:szCs w:val="28"/>
          <w:lang w:val="es-ES"/>
        </w:rPr>
        <w:t>, tal como se indicó en la unificación jurisprudencial realizada en la Sentencia SU-312 de 2020</w:t>
      </w:r>
      <w:r w:rsidR="00216030" w:rsidRPr="00B41EAD">
        <w:rPr>
          <w:color w:val="000000" w:themeColor="text1"/>
          <w:sz w:val="28"/>
          <w:szCs w:val="28"/>
          <w:lang w:val="es-ES"/>
        </w:rPr>
        <w:t>.</w:t>
      </w:r>
    </w:p>
    <w:p w14:paraId="2AAE1FEE" w14:textId="53BC05ED" w:rsidR="00B516CC" w:rsidRPr="00B41EAD" w:rsidRDefault="00B516CC" w:rsidP="00B516CC">
      <w:pPr>
        <w:pStyle w:val="Prrafodelista"/>
        <w:rPr>
          <w:color w:val="000000" w:themeColor="text1"/>
          <w:sz w:val="28"/>
          <w:szCs w:val="28"/>
          <w:lang w:val="es-ES"/>
        </w:rPr>
      </w:pPr>
    </w:p>
    <w:p w14:paraId="14DF622D" w14:textId="77777777" w:rsidR="00B516CC" w:rsidRPr="00B41EAD" w:rsidRDefault="00B516CC">
      <w:pPr>
        <w:pStyle w:val="Ttulo2"/>
        <w:numPr>
          <w:ilvl w:val="0"/>
          <w:numId w:val="5"/>
        </w:numPr>
        <w:ind w:left="567" w:hanging="567"/>
        <w:jc w:val="both"/>
        <w:rPr>
          <w:color w:val="000000" w:themeColor="text1"/>
          <w:sz w:val="28"/>
          <w:szCs w:val="28"/>
          <w:lang w:val="es-ES"/>
        </w:rPr>
      </w:pPr>
      <w:r w:rsidRPr="00B41EAD">
        <w:rPr>
          <w:color w:val="000000" w:themeColor="text1"/>
          <w:sz w:val="28"/>
          <w:szCs w:val="28"/>
          <w:lang w:val="es-ES"/>
        </w:rPr>
        <w:t>Breve caracterización de los defectos fáctico y desconocimiento del precedente judicial, como causales especiales de procedibilidad de la tutela contra providencias judiciales</w:t>
      </w:r>
    </w:p>
    <w:p w14:paraId="6F3C31C8" w14:textId="77777777" w:rsidR="00B516CC" w:rsidRPr="00B41EAD" w:rsidRDefault="00B516CC" w:rsidP="00B516CC">
      <w:pPr>
        <w:pStyle w:val="Prrafodelista"/>
        <w:rPr>
          <w:color w:val="000000" w:themeColor="text1"/>
          <w:sz w:val="28"/>
          <w:szCs w:val="28"/>
          <w:lang w:val="es-ES"/>
        </w:rPr>
      </w:pPr>
    </w:p>
    <w:p w14:paraId="10141CDE" w14:textId="43EC7FF5" w:rsidR="00B516CC"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Sobre la causal denominada “defecto fáctico”, </w:t>
      </w:r>
      <w:r w:rsidR="00A7042A" w:rsidRPr="00B41EAD">
        <w:rPr>
          <w:color w:val="000000" w:themeColor="text1"/>
          <w:sz w:val="28"/>
          <w:szCs w:val="28"/>
          <w:lang w:val="es-ES"/>
        </w:rPr>
        <w:t>cabe precisar</w:t>
      </w:r>
      <w:r w:rsidRPr="00B41EAD">
        <w:rPr>
          <w:color w:val="000000" w:themeColor="text1"/>
          <w:sz w:val="28"/>
          <w:szCs w:val="28"/>
          <w:lang w:val="es-ES"/>
        </w:rPr>
        <w:t xml:space="preserve"> que </w:t>
      </w:r>
      <w:r w:rsidRPr="00B41EAD">
        <w:rPr>
          <w:color w:val="000000" w:themeColor="text1"/>
          <w:sz w:val="28"/>
          <w:szCs w:val="28"/>
          <w:bdr w:val="none" w:sz="0" w:space="0" w:color="auto" w:frame="1"/>
          <w:lang w:val="es-ES"/>
        </w:rPr>
        <w:t xml:space="preserve">diferentes normas en nuestro ordenamiento jurídico resaltan la importancia de la autonomía e </w:t>
      </w:r>
      <w:r w:rsidRPr="00B41EAD">
        <w:rPr>
          <w:color w:val="000000" w:themeColor="text1"/>
          <w:sz w:val="28"/>
          <w:szCs w:val="28"/>
          <w:bdr w:val="none" w:sz="0" w:space="0" w:color="auto" w:frame="1"/>
          <w:lang w:val="es-ES"/>
        </w:rPr>
        <w:lastRenderedPageBreak/>
        <w:t>independencia de los operadores judiciales en la labor de administrar justicia. En efecto, disposiciones como el artículo 228</w:t>
      </w:r>
      <w:r w:rsidRPr="00B41EAD">
        <w:rPr>
          <w:rStyle w:val="Refdenotaalpie"/>
          <w:color w:val="000000" w:themeColor="text1"/>
          <w:sz w:val="28"/>
          <w:szCs w:val="28"/>
          <w:bdr w:val="none" w:sz="0" w:space="0" w:color="auto" w:frame="1"/>
          <w:lang w:val="es-ES"/>
        </w:rPr>
        <w:footnoteReference w:id="66"/>
      </w:r>
      <w:r w:rsidRPr="00B41EAD">
        <w:rPr>
          <w:color w:val="000000" w:themeColor="text1"/>
          <w:sz w:val="28"/>
          <w:szCs w:val="28"/>
          <w:bdr w:val="none" w:sz="0" w:space="0" w:color="auto" w:frame="1"/>
          <w:lang w:val="es-ES"/>
        </w:rPr>
        <w:t xml:space="preserve"> y 230</w:t>
      </w:r>
      <w:r w:rsidRPr="00B41EAD">
        <w:rPr>
          <w:rStyle w:val="Refdenotaalpie"/>
          <w:color w:val="000000" w:themeColor="text1"/>
          <w:sz w:val="28"/>
          <w:szCs w:val="28"/>
          <w:bdr w:val="none" w:sz="0" w:space="0" w:color="auto" w:frame="1"/>
          <w:lang w:val="es-ES"/>
        </w:rPr>
        <w:footnoteReference w:id="67"/>
      </w:r>
      <w:r w:rsidRPr="00B41EAD">
        <w:rPr>
          <w:color w:val="000000" w:themeColor="text1"/>
          <w:sz w:val="28"/>
          <w:szCs w:val="28"/>
          <w:bdr w:val="none" w:sz="0" w:space="0" w:color="auto" w:frame="1"/>
          <w:lang w:val="es-ES"/>
        </w:rPr>
        <w:t xml:space="preserve"> de la Constitución Política señalan que las decisiones de los jueces son independientes y que las providencias que profieran en el ejercicio de su tarea solamente están sometidas al imperio de la </w:t>
      </w:r>
      <w:r w:rsidR="00A7042A" w:rsidRPr="00B41EAD">
        <w:rPr>
          <w:color w:val="000000" w:themeColor="text1"/>
          <w:sz w:val="28"/>
          <w:szCs w:val="28"/>
          <w:bdr w:val="none" w:sz="0" w:space="0" w:color="auto" w:frame="1"/>
          <w:lang w:val="es-ES"/>
        </w:rPr>
        <w:t>l</w:t>
      </w:r>
      <w:r w:rsidRPr="00B41EAD">
        <w:rPr>
          <w:color w:val="000000" w:themeColor="text1"/>
          <w:sz w:val="28"/>
          <w:szCs w:val="28"/>
          <w:bdr w:val="none" w:sz="0" w:space="0" w:color="auto" w:frame="1"/>
          <w:lang w:val="es-ES"/>
        </w:rPr>
        <w:t>ey.</w:t>
      </w:r>
    </w:p>
    <w:p w14:paraId="28F99D96" w14:textId="77777777" w:rsidR="00B516CC" w:rsidRPr="00B41EAD" w:rsidRDefault="00B516CC" w:rsidP="00B516CC">
      <w:pPr>
        <w:pStyle w:val="Prrafodelista"/>
        <w:ind w:left="0"/>
        <w:jc w:val="both"/>
        <w:rPr>
          <w:color w:val="000000" w:themeColor="text1"/>
          <w:sz w:val="28"/>
          <w:szCs w:val="28"/>
          <w:lang w:val="es-ES"/>
        </w:rPr>
      </w:pPr>
    </w:p>
    <w:p w14:paraId="2B7EC252" w14:textId="77777777" w:rsidR="00B516CC"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bdr w:val="none" w:sz="0" w:space="0" w:color="auto" w:frame="1"/>
          <w:lang w:val="es-ES"/>
        </w:rPr>
        <w:t xml:space="preserve">Tales preceptos rectores de la administración de justicia abarcan el desarrollo del papel que ostenta el juez como director del proceso y la actividad probatoria que ejecuta para poder dictar una decisión justa y conforme con el ordenamiento jurídico. En particular, respecto del estudio del material probatorio, el juez tiene una amplia libertad en el ejercicio valorativo, no obstante, esta libertad no es absoluta debido a que debe apreciar las pruebas en conjunto, fundado en las reglas de la sana crítica. Esto implica que se realice el ejercicio analítico con base en criterios objetivos y racionales. </w:t>
      </w:r>
    </w:p>
    <w:p w14:paraId="38F18653" w14:textId="77777777" w:rsidR="00B516CC" w:rsidRPr="00B41EAD" w:rsidRDefault="00B516CC" w:rsidP="00B516CC">
      <w:pPr>
        <w:pStyle w:val="Prrafodelista"/>
        <w:rPr>
          <w:color w:val="000000" w:themeColor="text1"/>
          <w:sz w:val="28"/>
          <w:szCs w:val="28"/>
          <w:bdr w:val="none" w:sz="0" w:space="0" w:color="auto" w:frame="1"/>
          <w:lang w:val="es-ES"/>
        </w:rPr>
      </w:pPr>
    </w:p>
    <w:p w14:paraId="13326AA1" w14:textId="77777777" w:rsidR="00B516CC"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bdr w:val="none" w:sz="0" w:space="0" w:color="auto" w:frame="1"/>
          <w:lang w:val="es-ES"/>
        </w:rPr>
        <w:t>Por lo anterior, y en respeto de la autonomía e independencia que poseen los jueces como directores del proceso, la Corte Constitucional ha manifestado que solo se configura el defecto fáctico cuando se logra identificar que hubo un error ostensible, flagrante y manifiesto en la valoración de las pruebas</w:t>
      </w:r>
      <w:r w:rsidRPr="00B41EAD">
        <w:rPr>
          <w:rStyle w:val="Refdenotaalpie"/>
          <w:color w:val="000000" w:themeColor="text1"/>
          <w:sz w:val="28"/>
          <w:szCs w:val="28"/>
          <w:bdr w:val="none" w:sz="0" w:space="0" w:color="auto" w:frame="1"/>
          <w:lang w:val="es-ES"/>
        </w:rPr>
        <w:footnoteReference w:id="68"/>
      </w:r>
      <w:r w:rsidRPr="00B41EAD">
        <w:rPr>
          <w:color w:val="000000" w:themeColor="text1"/>
          <w:sz w:val="28"/>
          <w:szCs w:val="28"/>
          <w:bdr w:val="none" w:sz="0" w:space="0" w:color="auto" w:frame="1"/>
          <w:lang w:val="es-ES"/>
        </w:rPr>
        <w:t>. Por ello, este defecto se estructura cuando se establece que las deficiencias probatorias, ocasionaron fallas sustanciales en la decisión</w:t>
      </w:r>
      <w:r w:rsidRPr="00B41EAD">
        <w:rPr>
          <w:rStyle w:val="Refdenotaalpie"/>
          <w:color w:val="000000" w:themeColor="text1"/>
          <w:sz w:val="28"/>
          <w:szCs w:val="28"/>
          <w:bdr w:val="none" w:sz="0" w:space="0" w:color="auto" w:frame="1"/>
          <w:lang w:val="es-ES"/>
        </w:rPr>
        <w:footnoteReference w:id="69"/>
      </w:r>
      <w:r w:rsidRPr="00B41EAD">
        <w:rPr>
          <w:color w:val="000000" w:themeColor="text1"/>
          <w:sz w:val="28"/>
          <w:szCs w:val="28"/>
          <w:bdr w:val="none" w:sz="0" w:space="0" w:color="auto" w:frame="1"/>
          <w:lang w:val="es-ES"/>
        </w:rPr>
        <w:t xml:space="preserve">. </w:t>
      </w:r>
    </w:p>
    <w:p w14:paraId="10317058" w14:textId="77777777" w:rsidR="00B516CC" w:rsidRPr="00B41EAD" w:rsidRDefault="00B516CC" w:rsidP="00B516CC">
      <w:pPr>
        <w:pStyle w:val="Prrafodelista"/>
        <w:rPr>
          <w:color w:val="000000" w:themeColor="text1"/>
          <w:sz w:val="28"/>
          <w:szCs w:val="28"/>
          <w:bdr w:val="none" w:sz="0" w:space="0" w:color="auto" w:frame="1"/>
          <w:lang w:val="es-ES"/>
        </w:rPr>
      </w:pPr>
    </w:p>
    <w:p w14:paraId="5D532EBA" w14:textId="62F5B078" w:rsidR="00B516CC"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bdr w:val="none" w:sz="0" w:space="0" w:color="auto" w:frame="1"/>
          <w:lang w:val="es-ES"/>
        </w:rPr>
        <w:t xml:space="preserve">En el marco de lo anterior, esta Corporación ha </w:t>
      </w:r>
      <w:r w:rsidR="00A7042A" w:rsidRPr="00B41EAD">
        <w:rPr>
          <w:color w:val="000000" w:themeColor="text1"/>
          <w:sz w:val="28"/>
          <w:szCs w:val="28"/>
          <w:bdr w:val="none" w:sz="0" w:space="0" w:color="auto" w:frame="1"/>
          <w:lang w:val="es-ES"/>
        </w:rPr>
        <w:t xml:space="preserve">identificado </w:t>
      </w:r>
      <w:r w:rsidRPr="00B41EAD">
        <w:rPr>
          <w:color w:val="000000" w:themeColor="text1"/>
          <w:sz w:val="28"/>
          <w:szCs w:val="28"/>
          <w:bdr w:val="none" w:sz="0" w:space="0" w:color="auto" w:frame="1"/>
          <w:lang w:val="es-ES"/>
        </w:rPr>
        <w:t>la existencia de “(…) dos dimensiones en las que se presentan defectos fácticos: una (…) negativa que ocurre cuando el juez niega o valora la prueba de manera arbitraria, irracional y caprichosa u omite su valoración y sin razón valedera da por no probado el hecho o la circunstancia que de la misma emerge clara y objetivamente (…) [y, una] positiva, que se presenta generalmente cuando el juez aprecia pruebas esenciales y determinantes de lo resuelto en la providencia cuestionada que no ha debido admitir ni valorar porque, por ejemplo, fueron indebidamente recaudadas (artículo 29 C. P.) o cuando da por establecidas circunstancias sin que exista material probatorio que respalde su decisión (…)”</w:t>
      </w:r>
      <w:r w:rsidRPr="00B41EAD">
        <w:rPr>
          <w:rStyle w:val="Refdenotaalpie"/>
          <w:color w:val="000000" w:themeColor="text1"/>
          <w:sz w:val="28"/>
          <w:szCs w:val="28"/>
          <w:bdr w:val="none" w:sz="0" w:space="0" w:color="auto" w:frame="1"/>
          <w:lang w:val="es-ES"/>
        </w:rPr>
        <w:footnoteReference w:id="70"/>
      </w:r>
      <w:r w:rsidRPr="00B41EAD">
        <w:rPr>
          <w:color w:val="000000" w:themeColor="text1"/>
          <w:sz w:val="28"/>
          <w:szCs w:val="28"/>
          <w:bdr w:val="none" w:sz="0" w:space="0" w:color="auto" w:frame="1"/>
          <w:lang w:val="es-ES"/>
        </w:rPr>
        <w:t>.</w:t>
      </w:r>
    </w:p>
    <w:p w14:paraId="5B347C4C" w14:textId="77777777" w:rsidR="00B516CC" w:rsidRPr="00B41EAD" w:rsidRDefault="00B516CC" w:rsidP="00B516CC">
      <w:pPr>
        <w:pStyle w:val="Prrafodelista"/>
        <w:rPr>
          <w:color w:val="000000" w:themeColor="text1"/>
          <w:sz w:val="28"/>
          <w:szCs w:val="28"/>
          <w:bdr w:val="none" w:sz="0" w:space="0" w:color="auto" w:frame="1"/>
          <w:lang w:val="es-ES"/>
        </w:rPr>
      </w:pPr>
    </w:p>
    <w:p w14:paraId="1A7ECF8E" w14:textId="067FDCF7" w:rsidR="00B516CC"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bdr w:val="none" w:sz="0" w:space="0" w:color="auto" w:frame="1"/>
          <w:lang w:val="es-ES"/>
        </w:rPr>
        <w:t xml:space="preserve">De igual forma, la jurisprudencia constitucional ha </w:t>
      </w:r>
      <w:r w:rsidR="00A7042A" w:rsidRPr="00B41EAD">
        <w:rPr>
          <w:color w:val="000000" w:themeColor="text1"/>
          <w:sz w:val="28"/>
          <w:szCs w:val="28"/>
          <w:bdr w:val="none" w:sz="0" w:space="0" w:color="auto" w:frame="1"/>
          <w:lang w:val="es-ES"/>
        </w:rPr>
        <w:t xml:space="preserve">reconocido </w:t>
      </w:r>
      <w:r w:rsidRPr="00B41EAD">
        <w:rPr>
          <w:color w:val="000000" w:themeColor="text1"/>
          <w:sz w:val="28"/>
          <w:szCs w:val="28"/>
          <w:bdr w:val="none" w:sz="0" w:space="0" w:color="auto" w:frame="1"/>
          <w:lang w:val="es-ES"/>
        </w:rPr>
        <w:t>distintas modalidades en las que puede configurarse este defecto, a saber: (i) por la omisión en el decreto y la práctica de pruebas; (</w:t>
      </w:r>
      <w:proofErr w:type="spellStart"/>
      <w:r w:rsidRPr="00B41EAD">
        <w:rPr>
          <w:color w:val="000000" w:themeColor="text1"/>
          <w:sz w:val="28"/>
          <w:szCs w:val="28"/>
          <w:bdr w:val="none" w:sz="0" w:space="0" w:color="auto" w:frame="1"/>
          <w:lang w:val="es-ES"/>
        </w:rPr>
        <w:t>ii</w:t>
      </w:r>
      <w:proofErr w:type="spellEnd"/>
      <w:r w:rsidRPr="00B41EAD">
        <w:rPr>
          <w:color w:val="000000" w:themeColor="text1"/>
          <w:sz w:val="28"/>
          <w:szCs w:val="28"/>
          <w:bdr w:val="none" w:sz="0" w:space="0" w:color="auto" w:frame="1"/>
          <w:lang w:val="es-ES"/>
        </w:rPr>
        <w:t>) por la no valoración del acervo probatorio; y, (</w:t>
      </w:r>
      <w:proofErr w:type="spellStart"/>
      <w:r w:rsidRPr="00B41EAD">
        <w:rPr>
          <w:color w:val="000000" w:themeColor="text1"/>
          <w:sz w:val="28"/>
          <w:szCs w:val="28"/>
          <w:bdr w:val="none" w:sz="0" w:space="0" w:color="auto" w:frame="1"/>
          <w:lang w:val="es-ES"/>
        </w:rPr>
        <w:t>iii</w:t>
      </w:r>
      <w:proofErr w:type="spellEnd"/>
      <w:r w:rsidRPr="00B41EAD">
        <w:rPr>
          <w:color w:val="000000" w:themeColor="text1"/>
          <w:sz w:val="28"/>
          <w:szCs w:val="28"/>
          <w:bdr w:val="none" w:sz="0" w:space="0" w:color="auto" w:frame="1"/>
          <w:lang w:val="es-ES"/>
        </w:rPr>
        <w:t>) por desconocimiento de las reglas de la sana crítica</w:t>
      </w:r>
      <w:r w:rsidRPr="00B41EAD">
        <w:rPr>
          <w:rStyle w:val="Refdenotaalpie"/>
          <w:color w:val="000000" w:themeColor="text1"/>
          <w:sz w:val="28"/>
          <w:szCs w:val="28"/>
          <w:bdr w:val="none" w:sz="0" w:space="0" w:color="auto" w:frame="1"/>
          <w:lang w:val="es-ES"/>
        </w:rPr>
        <w:footnoteReference w:id="71"/>
      </w:r>
      <w:r w:rsidRPr="00B41EAD">
        <w:rPr>
          <w:color w:val="000000" w:themeColor="text1"/>
          <w:sz w:val="28"/>
          <w:szCs w:val="28"/>
          <w:bdr w:val="none" w:sz="0" w:space="0" w:color="auto" w:frame="1"/>
          <w:lang w:val="es-ES"/>
        </w:rPr>
        <w:t>.</w:t>
      </w:r>
    </w:p>
    <w:p w14:paraId="0DED2DC4" w14:textId="77777777" w:rsidR="00B516CC" w:rsidRPr="00B41EAD" w:rsidRDefault="00B516CC" w:rsidP="00B516CC">
      <w:pPr>
        <w:pStyle w:val="Prrafodelista"/>
        <w:rPr>
          <w:color w:val="000000" w:themeColor="text1"/>
          <w:sz w:val="28"/>
          <w:szCs w:val="28"/>
          <w:bdr w:val="none" w:sz="0" w:space="0" w:color="auto" w:frame="1"/>
          <w:lang w:val="es-ES"/>
        </w:rPr>
      </w:pPr>
    </w:p>
    <w:p w14:paraId="6CAE9E91" w14:textId="30C30656" w:rsidR="00B516CC"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bdr w:val="none" w:sz="0" w:space="0" w:color="auto" w:frame="1"/>
          <w:lang w:val="es-ES"/>
        </w:rPr>
        <w:t xml:space="preserve">De conformidad con lo expuesto, el defecto fáctico, en cualquiera de sus dimensiones y modalidades, acontece cuando la providencia establece una decisión </w:t>
      </w:r>
      <w:r w:rsidRPr="00B41EAD">
        <w:rPr>
          <w:color w:val="000000" w:themeColor="text1"/>
          <w:sz w:val="28"/>
          <w:szCs w:val="28"/>
          <w:bdr w:val="none" w:sz="0" w:space="0" w:color="auto" w:frame="1"/>
          <w:lang w:val="es-ES"/>
        </w:rPr>
        <w:lastRenderedPageBreak/>
        <w:t xml:space="preserve">fundamentada en un error respecto de las pruebas, ya sea frente a su valoración, análisis o interpretación. </w:t>
      </w:r>
    </w:p>
    <w:p w14:paraId="01CF0FC8" w14:textId="77777777" w:rsidR="00B516CC" w:rsidRPr="00B41EAD" w:rsidRDefault="00B516CC" w:rsidP="00B516CC">
      <w:pPr>
        <w:pStyle w:val="Prrafodelista"/>
        <w:rPr>
          <w:color w:val="000000" w:themeColor="text1"/>
          <w:sz w:val="28"/>
          <w:szCs w:val="28"/>
          <w:lang w:val="es-ES"/>
        </w:rPr>
      </w:pPr>
    </w:p>
    <w:p w14:paraId="388BB754" w14:textId="77777777" w:rsidR="00D67726"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 su vez, el defecto por desconocimiento del precedente judicial se forja sobre la base de la protección de </w:t>
      </w:r>
      <w:r w:rsidRPr="00B41EAD">
        <w:rPr>
          <w:bCs/>
          <w:color w:val="000000" w:themeColor="text1"/>
          <w:sz w:val="28"/>
          <w:szCs w:val="28"/>
          <w:lang w:val="es-ES"/>
        </w:rPr>
        <w:t>principios constitucionales como el de la igualdad, la seguridad jurídica, la buena fe, la confianza legítima, el rigor judicial y la coherencia en el sistema jurídico. Además, persigue objetivos fundamentales como la preservación de la confianza de la ciudadanía en el ordenamiento jurídico y en sus instituciones</w:t>
      </w:r>
      <w:r w:rsidR="00D67726" w:rsidRPr="00B41EAD">
        <w:rPr>
          <w:bCs/>
          <w:color w:val="000000" w:themeColor="text1"/>
          <w:sz w:val="28"/>
          <w:szCs w:val="28"/>
          <w:lang w:val="es-ES"/>
        </w:rPr>
        <w:t xml:space="preserve">. Por ello, se ha dicho, </w:t>
      </w:r>
      <w:r w:rsidRPr="00B41EAD">
        <w:rPr>
          <w:bCs/>
          <w:color w:val="000000" w:themeColor="text1"/>
          <w:sz w:val="28"/>
          <w:szCs w:val="28"/>
          <w:lang w:val="es-ES"/>
        </w:rPr>
        <w:t>el precedente judicial</w:t>
      </w:r>
      <w:r w:rsidR="00D67726" w:rsidRPr="00B41EAD">
        <w:rPr>
          <w:bCs/>
          <w:color w:val="000000" w:themeColor="text1"/>
          <w:sz w:val="28"/>
          <w:szCs w:val="28"/>
          <w:lang w:val="es-ES"/>
        </w:rPr>
        <w:t xml:space="preserve"> estrictamente vinculante para la resolución de cada asunto </w:t>
      </w:r>
      <w:r w:rsidRPr="00B41EAD">
        <w:rPr>
          <w:bCs/>
          <w:color w:val="000000" w:themeColor="text1"/>
          <w:sz w:val="28"/>
          <w:szCs w:val="28"/>
          <w:lang w:val="es-ES"/>
        </w:rPr>
        <w:t>es vinculante y de obligatoria observancia</w:t>
      </w:r>
      <w:r w:rsidRPr="00B41EAD">
        <w:rPr>
          <w:rStyle w:val="Refdenotaalpie"/>
          <w:bCs/>
          <w:color w:val="000000" w:themeColor="text1"/>
          <w:sz w:val="28"/>
          <w:szCs w:val="28"/>
          <w:lang w:val="es-ES"/>
        </w:rPr>
        <w:footnoteReference w:id="72"/>
      </w:r>
      <w:r w:rsidRPr="00B41EAD">
        <w:rPr>
          <w:bCs/>
          <w:color w:val="000000" w:themeColor="text1"/>
          <w:sz w:val="28"/>
          <w:szCs w:val="28"/>
          <w:lang w:val="es-ES"/>
        </w:rPr>
        <w:t xml:space="preserve">. </w:t>
      </w:r>
    </w:p>
    <w:p w14:paraId="6304DB51" w14:textId="77777777" w:rsidR="00D67726" w:rsidRPr="00B41EAD" w:rsidRDefault="00D67726" w:rsidP="00D67726">
      <w:pPr>
        <w:pStyle w:val="Prrafodelista"/>
        <w:rPr>
          <w:bCs/>
          <w:color w:val="000000" w:themeColor="text1"/>
          <w:sz w:val="28"/>
          <w:szCs w:val="28"/>
          <w:lang w:val="es-ES"/>
        </w:rPr>
      </w:pPr>
    </w:p>
    <w:p w14:paraId="3A587EB9" w14:textId="77777777" w:rsidR="00D67726" w:rsidRPr="00B41EAD" w:rsidRDefault="00D67726">
      <w:pPr>
        <w:pStyle w:val="Prrafodelista"/>
        <w:numPr>
          <w:ilvl w:val="0"/>
          <w:numId w:val="2"/>
        </w:numPr>
        <w:ind w:left="0" w:firstLine="0"/>
        <w:jc w:val="both"/>
        <w:rPr>
          <w:color w:val="000000" w:themeColor="text1"/>
          <w:sz w:val="28"/>
          <w:szCs w:val="28"/>
          <w:lang w:val="es-ES"/>
        </w:rPr>
      </w:pPr>
      <w:r w:rsidRPr="00B41EAD">
        <w:rPr>
          <w:bCs/>
          <w:color w:val="000000" w:themeColor="text1"/>
          <w:sz w:val="28"/>
          <w:szCs w:val="28"/>
          <w:lang w:val="es-ES"/>
        </w:rPr>
        <w:t>Ahora bien, la Corte Constitucional ha señalado que p</w:t>
      </w:r>
      <w:r w:rsidR="00B516CC" w:rsidRPr="00B41EAD">
        <w:rPr>
          <w:bCs/>
          <w:color w:val="000000" w:themeColor="text1"/>
          <w:sz w:val="28"/>
          <w:szCs w:val="28"/>
          <w:lang w:val="es-ES"/>
        </w:rPr>
        <w:t>ara identificar que se está ante la presencia de un precedente</w:t>
      </w:r>
      <w:r w:rsidRPr="00B41EAD">
        <w:rPr>
          <w:bCs/>
          <w:color w:val="000000" w:themeColor="text1"/>
          <w:sz w:val="28"/>
          <w:szCs w:val="28"/>
          <w:lang w:val="es-ES"/>
        </w:rPr>
        <w:t xml:space="preserve"> estrictamente</w:t>
      </w:r>
      <w:r w:rsidR="00B516CC" w:rsidRPr="00B41EAD">
        <w:rPr>
          <w:bCs/>
          <w:color w:val="000000" w:themeColor="text1"/>
          <w:sz w:val="28"/>
          <w:szCs w:val="28"/>
          <w:lang w:val="es-ES"/>
        </w:rPr>
        <w:t xml:space="preserve"> aplicable,</w:t>
      </w:r>
      <w:r w:rsidRPr="00B41EAD">
        <w:rPr>
          <w:bCs/>
          <w:color w:val="000000" w:themeColor="text1"/>
          <w:sz w:val="28"/>
          <w:szCs w:val="28"/>
          <w:lang w:val="es-ES"/>
        </w:rPr>
        <w:t xml:space="preserve"> deben considerarse</w:t>
      </w:r>
      <w:r w:rsidR="00B516CC" w:rsidRPr="00B41EAD">
        <w:rPr>
          <w:bCs/>
          <w:color w:val="000000" w:themeColor="text1"/>
          <w:sz w:val="28"/>
          <w:szCs w:val="28"/>
          <w:lang w:val="es-ES"/>
        </w:rPr>
        <w:t xml:space="preserve"> los siguientes criterios</w:t>
      </w:r>
      <w:bookmarkStart w:id="1" w:name="_ftnref152"/>
      <w:bookmarkEnd w:id="1"/>
      <w:r w:rsidR="00B516CC" w:rsidRPr="00B41EAD">
        <w:rPr>
          <w:bCs/>
          <w:color w:val="000000" w:themeColor="text1"/>
          <w:sz w:val="28"/>
          <w:szCs w:val="28"/>
          <w:lang w:val="es-ES"/>
        </w:rPr>
        <w:t xml:space="preserve">: “a) que en la </w:t>
      </w:r>
      <w:r w:rsidR="00B516CC" w:rsidRPr="00B41EAD">
        <w:rPr>
          <w:bCs/>
          <w:i/>
          <w:iCs/>
          <w:color w:val="000000" w:themeColor="text1"/>
          <w:sz w:val="28"/>
          <w:szCs w:val="28"/>
          <w:lang w:val="es-ES"/>
        </w:rPr>
        <w:t xml:space="preserve">ratio </w:t>
      </w:r>
      <w:proofErr w:type="spellStart"/>
      <w:r w:rsidR="00B516CC" w:rsidRPr="00B41EAD">
        <w:rPr>
          <w:bCs/>
          <w:i/>
          <w:iCs/>
          <w:color w:val="000000" w:themeColor="text1"/>
          <w:sz w:val="28"/>
          <w:szCs w:val="28"/>
          <w:lang w:val="es-ES"/>
        </w:rPr>
        <w:t>decidendi</w:t>
      </w:r>
      <w:proofErr w:type="spellEnd"/>
      <w:r w:rsidR="00B516CC" w:rsidRPr="00B41EAD">
        <w:rPr>
          <w:bCs/>
          <w:color w:val="000000" w:themeColor="text1"/>
          <w:sz w:val="28"/>
          <w:szCs w:val="28"/>
          <w:lang w:val="es-ES"/>
        </w:rPr>
        <w:t xml:space="preserve"> de la sentencia anterior se encuentre una regla jurisprudencial aplicable al caso a resolver; b) que la ratio </w:t>
      </w:r>
      <w:proofErr w:type="spellStart"/>
      <w:r w:rsidR="00B516CC" w:rsidRPr="00B41EAD">
        <w:rPr>
          <w:bCs/>
          <w:color w:val="000000" w:themeColor="text1"/>
          <w:sz w:val="28"/>
          <w:szCs w:val="28"/>
          <w:lang w:val="es-ES"/>
        </w:rPr>
        <w:t>decidendi</w:t>
      </w:r>
      <w:proofErr w:type="spellEnd"/>
      <w:r w:rsidR="00B516CC" w:rsidRPr="00B41EAD">
        <w:rPr>
          <w:bCs/>
          <w:color w:val="000000" w:themeColor="text1"/>
          <w:sz w:val="28"/>
          <w:szCs w:val="28"/>
          <w:lang w:val="es-ES"/>
        </w:rPr>
        <w:t xml:space="preserve"> resuelva un problema jurídico semejante al propuesto en el nuevo caso y; c) que los hechos del caso sean equiparables a los resueltos anteriormente”</w:t>
      </w:r>
      <w:r w:rsidR="00B516CC" w:rsidRPr="00B41EAD">
        <w:rPr>
          <w:rStyle w:val="Refdenotaalpie"/>
          <w:bCs/>
          <w:color w:val="000000" w:themeColor="text1"/>
          <w:sz w:val="28"/>
          <w:szCs w:val="28"/>
          <w:lang w:val="es-ES"/>
        </w:rPr>
        <w:footnoteReference w:id="73"/>
      </w:r>
      <w:r w:rsidR="00B516CC" w:rsidRPr="00B41EAD">
        <w:rPr>
          <w:bCs/>
          <w:color w:val="000000" w:themeColor="text1"/>
          <w:sz w:val="28"/>
          <w:szCs w:val="28"/>
          <w:lang w:val="es-ES"/>
        </w:rPr>
        <w:t>.</w:t>
      </w:r>
    </w:p>
    <w:p w14:paraId="70025320" w14:textId="77777777" w:rsidR="00D67726" w:rsidRPr="00B41EAD" w:rsidRDefault="00D67726" w:rsidP="00D67726">
      <w:pPr>
        <w:pStyle w:val="Prrafodelista"/>
        <w:rPr>
          <w:bCs/>
          <w:color w:val="000000" w:themeColor="text1"/>
          <w:sz w:val="28"/>
          <w:szCs w:val="28"/>
          <w:lang w:val="es-ES"/>
        </w:rPr>
      </w:pPr>
    </w:p>
    <w:p w14:paraId="1D1C9945" w14:textId="77777777" w:rsidR="00D67726" w:rsidRPr="00B41EAD" w:rsidRDefault="00B516CC">
      <w:pPr>
        <w:pStyle w:val="Prrafodelista"/>
        <w:numPr>
          <w:ilvl w:val="0"/>
          <w:numId w:val="2"/>
        </w:numPr>
        <w:ind w:left="0" w:firstLine="0"/>
        <w:jc w:val="both"/>
        <w:rPr>
          <w:color w:val="000000" w:themeColor="text1"/>
          <w:sz w:val="28"/>
          <w:szCs w:val="28"/>
          <w:lang w:val="es-ES"/>
        </w:rPr>
      </w:pPr>
      <w:r w:rsidRPr="00B41EAD">
        <w:rPr>
          <w:bCs/>
          <w:color w:val="000000" w:themeColor="text1"/>
          <w:sz w:val="28"/>
          <w:szCs w:val="28"/>
          <w:lang w:val="es-ES"/>
        </w:rPr>
        <w:t xml:space="preserve">Adicionalmente, esta Corporación ha </w:t>
      </w:r>
      <w:r w:rsidR="00D67726" w:rsidRPr="00B41EAD">
        <w:rPr>
          <w:bCs/>
          <w:color w:val="000000" w:themeColor="text1"/>
          <w:sz w:val="28"/>
          <w:szCs w:val="28"/>
          <w:lang w:val="es-ES"/>
        </w:rPr>
        <w:t>precisado</w:t>
      </w:r>
      <w:r w:rsidRPr="00B41EAD">
        <w:rPr>
          <w:bCs/>
          <w:color w:val="000000" w:themeColor="text1"/>
          <w:sz w:val="28"/>
          <w:szCs w:val="28"/>
          <w:lang w:val="es-ES"/>
        </w:rPr>
        <w:t xml:space="preserve"> que existen dos tipos de precedentes. Por un lado, el horizontal</w:t>
      </w:r>
      <w:r w:rsidRPr="00B41EAD">
        <w:rPr>
          <w:bCs/>
          <w:i/>
          <w:iCs/>
          <w:color w:val="000000" w:themeColor="text1"/>
          <w:sz w:val="28"/>
          <w:szCs w:val="28"/>
          <w:lang w:val="es-ES"/>
        </w:rPr>
        <w:t xml:space="preserve"> </w:t>
      </w:r>
      <w:r w:rsidRPr="00B41EAD">
        <w:rPr>
          <w:bCs/>
          <w:color w:val="000000" w:themeColor="text1"/>
          <w:sz w:val="28"/>
          <w:szCs w:val="28"/>
          <w:lang w:val="es-ES"/>
        </w:rPr>
        <w:t>que corresponde a las decisiones judiciales proferidas por autoridades del mismo nivel jerárquico o por el mismo funcionario u órgano y, por otro, el vertical, que hace referencia a las providencias judiciales emitidas por el superior funcional jerárquico o por el órgano de cierre encargado de unificar la jurisprudencia en su jurisdicción</w:t>
      </w:r>
      <w:r w:rsidRPr="00B41EAD">
        <w:rPr>
          <w:rStyle w:val="Refdenotaalpie"/>
          <w:bCs/>
          <w:color w:val="000000" w:themeColor="text1"/>
          <w:sz w:val="28"/>
          <w:szCs w:val="28"/>
          <w:lang w:val="es-ES"/>
        </w:rPr>
        <w:footnoteReference w:id="74"/>
      </w:r>
      <w:r w:rsidRPr="00B41EAD">
        <w:rPr>
          <w:bCs/>
          <w:i/>
          <w:iCs/>
          <w:color w:val="000000" w:themeColor="text1"/>
          <w:sz w:val="28"/>
          <w:szCs w:val="28"/>
          <w:lang w:val="es-ES"/>
        </w:rPr>
        <w:t xml:space="preserve">. </w:t>
      </w:r>
    </w:p>
    <w:p w14:paraId="6D30BA10" w14:textId="77777777" w:rsidR="00D67726" w:rsidRPr="00B41EAD" w:rsidRDefault="00D67726" w:rsidP="00D67726">
      <w:pPr>
        <w:pStyle w:val="Prrafodelista"/>
        <w:rPr>
          <w:bCs/>
          <w:color w:val="000000" w:themeColor="text1"/>
          <w:sz w:val="28"/>
          <w:szCs w:val="28"/>
          <w:lang w:val="es-ES"/>
        </w:rPr>
      </w:pPr>
    </w:p>
    <w:p w14:paraId="25790127" w14:textId="77777777" w:rsidR="00D67726" w:rsidRPr="00B41EAD" w:rsidRDefault="00B516CC">
      <w:pPr>
        <w:pStyle w:val="Prrafodelista"/>
        <w:numPr>
          <w:ilvl w:val="0"/>
          <w:numId w:val="2"/>
        </w:numPr>
        <w:ind w:left="0" w:firstLine="0"/>
        <w:jc w:val="both"/>
        <w:rPr>
          <w:color w:val="000000" w:themeColor="text1"/>
          <w:sz w:val="28"/>
          <w:szCs w:val="28"/>
          <w:lang w:val="es-ES"/>
        </w:rPr>
      </w:pPr>
      <w:r w:rsidRPr="00B41EAD">
        <w:rPr>
          <w:bCs/>
          <w:color w:val="000000" w:themeColor="text1"/>
          <w:sz w:val="28"/>
          <w:szCs w:val="28"/>
          <w:lang w:val="es-ES"/>
        </w:rPr>
        <w:t>Sin perjuicio de lo anterior, los jueces pueden apartarse de los precedentes amparados en los principios de independencia y autonomía, siempre y cuando hagan referencia al precedente que inaplicarán (principio de transparencia) y satisfagan la carga argumentativa, de manera adecuada, estricta y suficiente, tendiente a exponer las razones por las cuales se considera necesario apartarse del precedente (principio de razón suficiente). Frente a este último requisito, no basta con ofrecer simplemente argumentos contrarios, sino que resulta imprescindible soportar que el precedente no resulta válido, correcto o es suficiente para resolver el nuevo caso</w:t>
      </w:r>
      <w:r w:rsidRPr="00B41EAD">
        <w:rPr>
          <w:rStyle w:val="Refdenotaalpie"/>
          <w:bCs/>
          <w:color w:val="000000" w:themeColor="text1"/>
          <w:sz w:val="28"/>
          <w:szCs w:val="28"/>
          <w:lang w:val="es-ES"/>
        </w:rPr>
        <w:footnoteReference w:id="75"/>
      </w:r>
      <w:r w:rsidRPr="00B41EAD">
        <w:rPr>
          <w:bCs/>
          <w:color w:val="000000" w:themeColor="text1"/>
          <w:sz w:val="28"/>
          <w:szCs w:val="28"/>
          <w:lang w:val="es-ES"/>
        </w:rPr>
        <w:t>.</w:t>
      </w:r>
    </w:p>
    <w:p w14:paraId="2E2DF934" w14:textId="77777777" w:rsidR="00D67726" w:rsidRPr="00B41EAD" w:rsidRDefault="00D67726" w:rsidP="00D67726">
      <w:pPr>
        <w:pStyle w:val="Prrafodelista"/>
        <w:rPr>
          <w:bCs/>
          <w:color w:val="000000" w:themeColor="text1"/>
          <w:sz w:val="28"/>
          <w:szCs w:val="28"/>
          <w:lang w:val="es-ES"/>
        </w:rPr>
      </w:pPr>
    </w:p>
    <w:p w14:paraId="7810D885" w14:textId="77777777" w:rsidR="00D67726" w:rsidRPr="00B41EAD" w:rsidRDefault="00B516CC">
      <w:pPr>
        <w:pStyle w:val="Prrafodelista"/>
        <w:numPr>
          <w:ilvl w:val="0"/>
          <w:numId w:val="2"/>
        </w:numPr>
        <w:ind w:left="0" w:firstLine="0"/>
        <w:jc w:val="both"/>
        <w:rPr>
          <w:color w:val="000000" w:themeColor="text1"/>
          <w:sz w:val="28"/>
          <w:szCs w:val="28"/>
          <w:lang w:val="es-ES"/>
        </w:rPr>
      </w:pPr>
      <w:r w:rsidRPr="00B41EAD">
        <w:rPr>
          <w:bCs/>
          <w:color w:val="000000" w:themeColor="text1"/>
          <w:sz w:val="28"/>
          <w:szCs w:val="28"/>
          <w:lang w:val="es-ES"/>
        </w:rPr>
        <w:t xml:space="preserve">Por lo anterior, “(…) resultarán inadmisibles, por ser contrarias a los principios de igualdad, legalidad y seguridad jurídica, posturas que nieguen la fuerza vinculante </w:t>
      </w:r>
      <w:r w:rsidRPr="00B41EAD">
        <w:rPr>
          <w:bCs/>
          <w:i/>
          <w:iCs/>
          <w:color w:val="000000" w:themeColor="text1"/>
          <w:sz w:val="28"/>
          <w:szCs w:val="28"/>
          <w:lang w:val="es-ES"/>
        </w:rPr>
        <w:t xml:space="preserve">prima facie </w:t>
      </w:r>
      <w:r w:rsidRPr="00B41EAD">
        <w:rPr>
          <w:bCs/>
          <w:color w:val="000000" w:themeColor="text1"/>
          <w:sz w:val="28"/>
          <w:szCs w:val="28"/>
          <w:lang w:val="es-ES"/>
        </w:rPr>
        <w:t>del precedente, fundamenten el cambio de jurisprudencia en un simple arrepentimiento o cambio de parecer, o sustenten esa decisión en el particular entendimiento que el juez o tribunal tengan de las reglas formales de derecho aplicables al caso (…)”</w:t>
      </w:r>
      <w:r w:rsidRPr="00B41EAD">
        <w:rPr>
          <w:rStyle w:val="Refdenotaalpie"/>
          <w:bCs/>
          <w:color w:val="000000" w:themeColor="text1"/>
          <w:sz w:val="28"/>
          <w:szCs w:val="28"/>
          <w:lang w:val="es-ES"/>
        </w:rPr>
        <w:footnoteReference w:id="76"/>
      </w:r>
      <w:r w:rsidRPr="00B41EAD">
        <w:rPr>
          <w:bCs/>
          <w:color w:val="000000" w:themeColor="text1"/>
          <w:sz w:val="28"/>
          <w:szCs w:val="28"/>
          <w:lang w:val="es-ES"/>
        </w:rPr>
        <w:t>.</w:t>
      </w:r>
    </w:p>
    <w:p w14:paraId="394F5D01" w14:textId="77777777" w:rsidR="00D67726" w:rsidRPr="00B41EAD" w:rsidRDefault="00D67726" w:rsidP="00D67726">
      <w:pPr>
        <w:pStyle w:val="Prrafodelista"/>
        <w:rPr>
          <w:color w:val="000000" w:themeColor="text1"/>
          <w:sz w:val="28"/>
          <w:szCs w:val="28"/>
          <w:shd w:val="clear" w:color="auto" w:fill="FFFFFF"/>
          <w:lang w:val="es-ES"/>
        </w:rPr>
      </w:pPr>
    </w:p>
    <w:p w14:paraId="7AC037E6" w14:textId="05E2431D" w:rsidR="00B516CC" w:rsidRPr="00B41EAD" w:rsidRDefault="00B516C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shd w:val="clear" w:color="auto" w:fill="FFFFFF"/>
          <w:lang w:val="es-ES"/>
        </w:rPr>
        <w:t>Por lo expuesto, los jueces incurren en el defecto de desconocimiento del precedente judicial cuando se apartan del precedente horizontal o vertical, sin satisfacer las cargas de los principios de transparencia y razón suficiente, que tienen el fin de salvaguardar los preceptos constitucionales.</w:t>
      </w:r>
    </w:p>
    <w:p w14:paraId="1F2CDB60" w14:textId="07E8A2DB" w:rsidR="00F86EB8" w:rsidRPr="00B41EAD" w:rsidRDefault="00F86EB8" w:rsidP="00F86EB8">
      <w:pPr>
        <w:pStyle w:val="Prrafodelista"/>
        <w:rPr>
          <w:color w:val="000000" w:themeColor="text1"/>
          <w:sz w:val="28"/>
          <w:szCs w:val="28"/>
          <w:lang w:val="es-ES"/>
        </w:rPr>
      </w:pPr>
    </w:p>
    <w:p w14:paraId="0D5FE914" w14:textId="77777777" w:rsidR="00F86EB8" w:rsidRPr="00B41EAD" w:rsidRDefault="00F86EB8">
      <w:pPr>
        <w:pStyle w:val="Ttulo2"/>
        <w:numPr>
          <w:ilvl w:val="0"/>
          <w:numId w:val="5"/>
        </w:numPr>
        <w:ind w:left="567" w:hanging="567"/>
        <w:jc w:val="both"/>
        <w:rPr>
          <w:color w:val="000000" w:themeColor="text1"/>
          <w:sz w:val="28"/>
          <w:szCs w:val="28"/>
          <w:lang w:val="es-ES"/>
        </w:rPr>
      </w:pPr>
      <w:r w:rsidRPr="00B41EAD">
        <w:rPr>
          <w:color w:val="000000" w:themeColor="text1"/>
          <w:sz w:val="28"/>
          <w:szCs w:val="28"/>
          <w:lang w:val="es-ES"/>
        </w:rPr>
        <w:t>Análisis de los casos concretos</w:t>
      </w:r>
    </w:p>
    <w:p w14:paraId="02BC5D3D" w14:textId="77777777" w:rsidR="00F86EB8" w:rsidRPr="00B41EAD" w:rsidRDefault="00F86EB8" w:rsidP="00F86EB8">
      <w:pPr>
        <w:pStyle w:val="Prrafodelista"/>
        <w:rPr>
          <w:color w:val="000000" w:themeColor="text1"/>
          <w:sz w:val="28"/>
          <w:szCs w:val="28"/>
          <w:lang w:val="es-ES"/>
        </w:rPr>
      </w:pPr>
    </w:p>
    <w:p w14:paraId="146B4257" w14:textId="1FED22A9" w:rsidR="00F86EB8" w:rsidRPr="00B41EAD" w:rsidRDefault="00F86EB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 continuación, la Sala Plena de la Corte Constitucional se pronunciará sobre el fondo de las dos acciones de tutelas de la referencia, promovidas contra las decisiones judiciales que, en segunda instancia, declararon la caducidad de las demandas de reparación directa promovidas en cada caso por la comisión de presuntas ejecuciones extrajudiciales por parte de agentes del Estado. </w:t>
      </w:r>
    </w:p>
    <w:p w14:paraId="4DD929A8" w14:textId="77777777" w:rsidR="00F86EB8" w:rsidRPr="00B41EAD" w:rsidRDefault="00F86EB8" w:rsidP="00F86EB8">
      <w:pPr>
        <w:pStyle w:val="Prrafodelista"/>
        <w:ind w:left="0"/>
        <w:jc w:val="both"/>
        <w:rPr>
          <w:color w:val="000000" w:themeColor="text1"/>
          <w:sz w:val="28"/>
          <w:szCs w:val="28"/>
          <w:lang w:val="es-ES"/>
        </w:rPr>
      </w:pPr>
    </w:p>
    <w:p w14:paraId="0F19858E" w14:textId="73194C55" w:rsidR="00F86EB8" w:rsidRPr="00B41EAD" w:rsidRDefault="000F3E5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Ante estos hechos, es necesario no perder de vista que, como se detalló en las consideraciones generales de esta providencia, al menos </w:t>
      </w:r>
      <w:r w:rsidR="00F86EB8" w:rsidRPr="00B41EAD">
        <w:rPr>
          <w:color w:val="000000" w:themeColor="text1"/>
          <w:sz w:val="28"/>
          <w:szCs w:val="28"/>
          <w:lang w:val="es-ES"/>
        </w:rPr>
        <w:t>desde la Sentencia SU-312 de 2020</w:t>
      </w:r>
      <w:r w:rsidRPr="00B41EAD">
        <w:rPr>
          <w:rStyle w:val="Refdenotaalpie"/>
          <w:color w:val="000000" w:themeColor="text1"/>
          <w:sz w:val="28"/>
          <w:szCs w:val="28"/>
          <w:lang w:val="es-ES"/>
        </w:rPr>
        <w:footnoteReference w:id="77"/>
      </w:r>
      <w:r w:rsidR="00F86EB8" w:rsidRPr="00B41EAD">
        <w:rPr>
          <w:color w:val="000000" w:themeColor="text1"/>
          <w:sz w:val="28"/>
          <w:szCs w:val="28"/>
          <w:lang w:val="es-ES"/>
        </w:rPr>
        <w:t>, la</w:t>
      </w:r>
      <w:r w:rsidRPr="00B41EAD">
        <w:rPr>
          <w:color w:val="000000" w:themeColor="text1"/>
          <w:sz w:val="28"/>
          <w:szCs w:val="28"/>
          <w:lang w:val="es-ES"/>
        </w:rPr>
        <w:t xml:space="preserve"> Corte Constitucional </w:t>
      </w:r>
      <w:r w:rsidR="00F86EB8" w:rsidRPr="00B41EAD">
        <w:rPr>
          <w:color w:val="000000" w:themeColor="text1"/>
          <w:sz w:val="28"/>
          <w:szCs w:val="28"/>
          <w:lang w:val="es-ES"/>
        </w:rPr>
        <w:t xml:space="preserve">se pronunció sobre el alcance de la sentencia de unificación del 29 de enero de 2020, adoptada por la Sección Tercera del Consejo de Estado, cuya aplicación ha suscitado la controversia sobre la configuración de la caducidad del medio de control de reparación directa en los dos casos objeto de revisión. </w:t>
      </w:r>
    </w:p>
    <w:p w14:paraId="61254FE2" w14:textId="77777777" w:rsidR="00F86EB8" w:rsidRPr="00B41EAD" w:rsidRDefault="00F86EB8" w:rsidP="00F86EB8">
      <w:pPr>
        <w:pStyle w:val="Prrafodelista"/>
        <w:rPr>
          <w:color w:val="000000" w:themeColor="text1"/>
          <w:sz w:val="28"/>
          <w:szCs w:val="28"/>
          <w:lang w:val="es-ES"/>
        </w:rPr>
      </w:pPr>
    </w:p>
    <w:p w14:paraId="6F766CE3" w14:textId="2C925F4D" w:rsidR="00F86EB8" w:rsidRPr="00B41EAD" w:rsidRDefault="00F86EB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Al unificar la jurisprudencia sobre la materia, una de las subreglas fijadas por la Corte Constitucional correspondió a aquella según la cual, tratándose de demandas formuladas por la eventual responsabilidad estatal derivada de delitos de lesa humanidad, crímenes de genera o genocidio, “</w:t>
      </w:r>
      <w:r w:rsidRPr="00B41EAD">
        <w:rPr>
          <w:color w:val="000000" w:themeColor="text1"/>
          <w:sz w:val="28"/>
          <w:szCs w:val="28"/>
          <w:shd w:val="clear" w:color="auto" w:fill="FFFFFF"/>
          <w:lang w:val="es-ES"/>
        </w:rPr>
        <w:t>[l]os interesados en la reparación patrimonial cuentan con un plazo razonable de dos años para acudir al aparato jurisdiccional y satisfacer sus pretensiones, el cual no se cuenta necesariamente desde el momento del daño que origina el perjuicio, sino que sólo se inicia a contabilizar cuando el afectado tenga conocimiento de que el menoscabo fue causado por el Estado y se encuentre en la capacidad material de imputarle el mismo ante el aparato jurisdiccional</w:t>
      </w:r>
      <w:r w:rsidRPr="00B41EAD">
        <w:rPr>
          <w:color w:val="000000" w:themeColor="text1"/>
          <w:sz w:val="28"/>
          <w:szCs w:val="28"/>
          <w:lang w:val="es-ES"/>
        </w:rPr>
        <w:t>”</w:t>
      </w:r>
      <w:r w:rsidRPr="00B41EAD">
        <w:rPr>
          <w:rStyle w:val="Refdenotaalpie"/>
          <w:color w:val="000000" w:themeColor="text1"/>
          <w:sz w:val="28"/>
          <w:szCs w:val="28"/>
          <w:lang w:val="es-ES"/>
        </w:rPr>
        <w:footnoteReference w:id="78"/>
      </w:r>
      <w:r w:rsidRPr="00B41EAD">
        <w:rPr>
          <w:color w:val="000000" w:themeColor="text1"/>
          <w:sz w:val="28"/>
          <w:szCs w:val="28"/>
          <w:lang w:val="es-ES"/>
        </w:rPr>
        <w:t xml:space="preserve">. </w:t>
      </w:r>
    </w:p>
    <w:p w14:paraId="01061408" w14:textId="77777777" w:rsidR="000F3E5C" w:rsidRPr="00B41EAD" w:rsidRDefault="000F3E5C" w:rsidP="000F3E5C">
      <w:pPr>
        <w:pStyle w:val="Prrafodelista"/>
        <w:rPr>
          <w:color w:val="000000" w:themeColor="text1"/>
          <w:sz w:val="28"/>
          <w:szCs w:val="28"/>
          <w:lang w:val="es-ES"/>
        </w:rPr>
      </w:pPr>
    </w:p>
    <w:p w14:paraId="065EE1B8" w14:textId="2A4994A8" w:rsidR="000F3E5C" w:rsidRPr="00B41EAD" w:rsidRDefault="000F3E5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Con base en lo expuesto, a </w:t>
      </w:r>
      <w:proofErr w:type="gramStart"/>
      <w:r w:rsidRPr="00B41EAD">
        <w:rPr>
          <w:color w:val="000000" w:themeColor="text1"/>
          <w:sz w:val="28"/>
          <w:szCs w:val="28"/>
          <w:lang w:val="es-ES"/>
        </w:rPr>
        <w:t>continuación</w:t>
      </w:r>
      <w:proofErr w:type="gramEnd"/>
      <w:r w:rsidRPr="00B41EAD">
        <w:rPr>
          <w:color w:val="000000" w:themeColor="text1"/>
          <w:sz w:val="28"/>
          <w:szCs w:val="28"/>
          <w:lang w:val="es-ES"/>
        </w:rPr>
        <w:t xml:space="preserve"> la Sala dará respuesta a cada uno de los problemas jurídicos formulados en cada caso concreto. </w:t>
      </w:r>
    </w:p>
    <w:p w14:paraId="29D8F6F5" w14:textId="77777777" w:rsidR="00F86EB8" w:rsidRPr="00B41EAD" w:rsidRDefault="00F86EB8" w:rsidP="002C34EE">
      <w:pPr>
        <w:rPr>
          <w:color w:val="000000" w:themeColor="text1"/>
          <w:sz w:val="28"/>
          <w:szCs w:val="28"/>
          <w:lang w:val="es-ES"/>
        </w:rPr>
      </w:pPr>
    </w:p>
    <w:p w14:paraId="23E5B066" w14:textId="13A5D174" w:rsidR="002C34EE" w:rsidRPr="00B41EAD" w:rsidRDefault="00D67726" w:rsidP="00036F2D">
      <w:pPr>
        <w:jc w:val="both"/>
        <w:rPr>
          <w:b/>
          <w:bCs/>
          <w:color w:val="000000" w:themeColor="text1"/>
          <w:sz w:val="28"/>
          <w:szCs w:val="28"/>
          <w:lang w:val="es-ES"/>
        </w:rPr>
      </w:pPr>
      <w:r w:rsidRPr="00B41EAD">
        <w:rPr>
          <w:b/>
          <w:bCs/>
          <w:color w:val="000000" w:themeColor="text1"/>
          <w:sz w:val="28"/>
          <w:szCs w:val="28"/>
          <w:lang w:val="es-ES"/>
        </w:rPr>
        <w:t xml:space="preserve">6.1. </w:t>
      </w:r>
      <w:r w:rsidR="00446679" w:rsidRPr="00B41EAD">
        <w:rPr>
          <w:b/>
          <w:bCs/>
          <w:color w:val="000000" w:themeColor="text1"/>
          <w:sz w:val="28"/>
          <w:szCs w:val="28"/>
          <w:lang w:val="es-ES"/>
        </w:rPr>
        <w:t xml:space="preserve">Expediente T-10.001.552: </w:t>
      </w:r>
      <w:r w:rsidR="002C34EE" w:rsidRPr="00B41EAD">
        <w:rPr>
          <w:b/>
          <w:bCs/>
          <w:color w:val="000000" w:themeColor="text1"/>
          <w:sz w:val="28"/>
          <w:szCs w:val="28"/>
          <w:lang w:val="es-ES"/>
        </w:rPr>
        <w:t xml:space="preserve">la Subsección C de la Sección Tercera del Consejo de Estado incurrió </w:t>
      </w:r>
      <w:r w:rsidR="00510C19" w:rsidRPr="00B41EAD">
        <w:rPr>
          <w:b/>
          <w:bCs/>
          <w:color w:val="000000" w:themeColor="text1"/>
          <w:sz w:val="28"/>
          <w:szCs w:val="28"/>
          <w:lang w:val="es-ES"/>
        </w:rPr>
        <w:t>en defecto fáctico y desconocimiento del precedente judicial, al declarar la caducidad del medio de control de reparación directa promovido por la presunta ejecución extrajudicial del señor Carlos Mario Durango Vallejo</w:t>
      </w:r>
    </w:p>
    <w:p w14:paraId="5CEE94CE" w14:textId="77777777" w:rsidR="009874B1" w:rsidRPr="00B41EAD" w:rsidRDefault="009874B1" w:rsidP="009874B1">
      <w:pPr>
        <w:rPr>
          <w:color w:val="000000" w:themeColor="text1"/>
          <w:sz w:val="28"/>
          <w:szCs w:val="28"/>
          <w:lang w:val="es-ES"/>
        </w:rPr>
      </w:pPr>
    </w:p>
    <w:p w14:paraId="3BA6E35E" w14:textId="73881C86" w:rsidR="00510C19" w:rsidRPr="00B41EAD" w:rsidRDefault="00510C1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Analizado el asunto, la Sala Plena de la Corte Constitucional establece que</w:t>
      </w:r>
      <w:r w:rsidR="009A5BC1" w:rsidRPr="00B41EAD">
        <w:rPr>
          <w:color w:val="000000" w:themeColor="text1"/>
          <w:sz w:val="28"/>
          <w:szCs w:val="28"/>
          <w:lang w:val="es-ES"/>
        </w:rPr>
        <w:t xml:space="preserve"> </w:t>
      </w:r>
      <w:r w:rsidR="009874B1" w:rsidRPr="00B41EAD">
        <w:rPr>
          <w:color w:val="000000" w:themeColor="text1"/>
          <w:sz w:val="28"/>
          <w:szCs w:val="28"/>
          <w:lang w:val="es-ES"/>
        </w:rPr>
        <w:t>la autoridad judicial accionada</w:t>
      </w:r>
      <w:r w:rsidR="009A5BC1" w:rsidRPr="00B41EAD">
        <w:rPr>
          <w:color w:val="000000" w:themeColor="text1"/>
          <w:sz w:val="28"/>
          <w:szCs w:val="28"/>
          <w:lang w:val="es-ES"/>
        </w:rPr>
        <w:t xml:space="preserve"> en efecto</w:t>
      </w:r>
      <w:r w:rsidR="009874B1" w:rsidRPr="00B41EAD">
        <w:rPr>
          <w:color w:val="000000" w:themeColor="text1"/>
          <w:sz w:val="28"/>
          <w:szCs w:val="28"/>
          <w:lang w:val="es-ES"/>
        </w:rPr>
        <w:t xml:space="preserve"> desconoció las subreglas de su propio </w:t>
      </w:r>
      <w:r w:rsidR="009874B1" w:rsidRPr="00B41EAD">
        <w:rPr>
          <w:color w:val="000000" w:themeColor="text1"/>
          <w:sz w:val="28"/>
          <w:szCs w:val="28"/>
          <w:lang w:val="es-ES"/>
        </w:rPr>
        <w:lastRenderedPageBreak/>
        <w:t>precedente, contenido en la sentencia de unificación del 29 de enero de 2020, y, sobre todo, el alcance constitucional del mismo, precisado en la Sentencia SU-312 de 2020 de la Corte Constitucional</w:t>
      </w:r>
      <w:r w:rsidRPr="00B41EAD">
        <w:rPr>
          <w:color w:val="000000" w:themeColor="text1"/>
          <w:sz w:val="28"/>
          <w:szCs w:val="28"/>
          <w:lang w:val="es-ES"/>
        </w:rPr>
        <w:t>. Este desconocimiento condujo a la configuración concurrente de un defecto fáctico por indebida valoración probatoria</w:t>
      </w:r>
      <w:r w:rsidR="00136F21" w:rsidRPr="00B41EAD">
        <w:rPr>
          <w:color w:val="000000" w:themeColor="text1"/>
          <w:sz w:val="28"/>
          <w:szCs w:val="28"/>
          <w:lang w:val="es-ES"/>
        </w:rPr>
        <w:t>, tal como se explica a continuación.</w:t>
      </w:r>
      <w:r w:rsidRPr="00B41EAD">
        <w:rPr>
          <w:color w:val="000000" w:themeColor="text1"/>
          <w:sz w:val="28"/>
          <w:szCs w:val="28"/>
          <w:lang w:val="es-ES"/>
        </w:rPr>
        <w:t xml:space="preserve"> </w:t>
      </w:r>
    </w:p>
    <w:p w14:paraId="5D007EFA" w14:textId="77777777" w:rsidR="00510C19" w:rsidRPr="00B41EAD" w:rsidRDefault="00510C19" w:rsidP="00510C19">
      <w:pPr>
        <w:pStyle w:val="Prrafodelista"/>
        <w:ind w:left="0"/>
        <w:jc w:val="both"/>
        <w:rPr>
          <w:color w:val="000000" w:themeColor="text1"/>
          <w:sz w:val="28"/>
          <w:szCs w:val="28"/>
          <w:lang w:val="es-ES"/>
        </w:rPr>
      </w:pPr>
    </w:p>
    <w:p w14:paraId="741A8335" w14:textId="724C9C63" w:rsidR="009874B1" w:rsidRPr="00B41EAD" w:rsidRDefault="009874B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la providencia controvertida, la Subsección C de la Sección Tercera del Consejo de Estado se limitó a señalar que, en el día del fallecimiento </w:t>
      </w:r>
      <w:r w:rsidR="00544AF2" w:rsidRPr="00B41EAD">
        <w:rPr>
          <w:color w:val="000000" w:themeColor="text1"/>
          <w:sz w:val="28"/>
          <w:szCs w:val="28"/>
          <w:lang w:val="es-ES"/>
        </w:rPr>
        <w:t>de</w:t>
      </w:r>
      <w:r w:rsidRPr="00B41EAD">
        <w:rPr>
          <w:color w:val="000000" w:themeColor="text1"/>
          <w:sz w:val="28"/>
          <w:szCs w:val="28"/>
          <w:lang w:val="es-ES"/>
        </w:rPr>
        <w:t xml:space="preserve"> Carlos Mario Durango Vallejo, los demandantes conocieron dicho suceso, así como “las circunstancias en que ocurrió”</w:t>
      </w:r>
      <w:r w:rsidR="00136F21" w:rsidRPr="00B41EAD">
        <w:rPr>
          <w:color w:val="000000" w:themeColor="text1"/>
          <w:sz w:val="28"/>
          <w:szCs w:val="28"/>
          <w:lang w:val="es-ES"/>
        </w:rPr>
        <w:t>, lo que activaba el inicio del término de caducidad del medio de control de reparación directa</w:t>
      </w:r>
      <w:r w:rsidRPr="00B41EAD">
        <w:rPr>
          <w:color w:val="000000" w:themeColor="text1"/>
          <w:sz w:val="28"/>
          <w:szCs w:val="28"/>
          <w:lang w:val="es-ES"/>
        </w:rPr>
        <w:t xml:space="preserve">. </w:t>
      </w:r>
      <w:r w:rsidR="00136F21" w:rsidRPr="00B41EAD">
        <w:rPr>
          <w:color w:val="000000" w:themeColor="text1"/>
          <w:sz w:val="28"/>
          <w:szCs w:val="28"/>
          <w:lang w:val="es-ES"/>
        </w:rPr>
        <w:t>Este razonamiento</w:t>
      </w:r>
      <w:r w:rsidRPr="00B41EAD">
        <w:rPr>
          <w:color w:val="000000" w:themeColor="text1"/>
          <w:sz w:val="28"/>
          <w:szCs w:val="28"/>
          <w:lang w:val="es-ES"/>
        </w:rPr>
        <w:t xml:space="preserve"> es jurídicamente problemátic</w:t>
      </w:r>
      <w:r w:rsidR="00136F21" w:rsidRPr="00B41EAD">
        <w:rPr>
          <w:color w:val="000000" w:themeColor="text1"/>
          <w:sz w:val="28"/>
          <w:szCs w:val="28"/>
          <w:lang w:val="es-ES"/>
        </w:rPr>
        <w:t>o</w:t>
      </w:r>
      <w:r w:rsidRPr="00B41EAD">
        <w:rPr>
          <w:color w:val="000000" w:themeColor="text1"/>
          <w:sz w:val="28"/>
          <w:szCs w:val="28"/>
          <w:lang w:val="es-ES"/>
        </w:rPr>
        <w:t xml:space="preserve"> por </w:t>
      </w:r>
      <w:r w:rsidR="00510C19" w:rsidRPr="00B41EAD">
        <w:rPr>
          <w:color w:val="000000" w:themeColor="text1"/>
          <w:sz w:val="28"/>
          <w:szCs w:val="28"/>
          <w:lang w:val="es-ES"/>
        </w:rPr>
        <w:t>diversas razones</w:t>
      </w:r>
      <w:r w:rsidRPr="00B41EAD">
        <w:rPr>
          <w:color w:val="000000" w:themeColor="text1"/>
          <w:sz w:val="28"/>
          <w:szCs w:val="28"/>
          <w:lang w:val="es-ES"/>
        </w:rPr>
        <w:t>.</w:t>
      </w:r>
    </w:p>
    <w:p w14:paraId="06AE7AC1" w14:textId="77777777" w:rsidR="009874B1" w:rsidRPr="00B41EAD" w:rsidRDefault="009874B1" w:rsidP="009874B1">
      <w:pPr>
        <w:pStyle w:val="Prrafodelista"/>
        <w:ind w:left="0"/>
        <w:jc w:val="both"/>
        <w:rPr>
          <w:color w:val="000000" w:themeColor="text1"/>
          <w:sz w:val="28"/>
          <w:szCs w:val="28"/>
          <w:lang w:val="es-ES"/>
        </w:rPr>
      </w:pPr>
    </w:p>
    <w:p w14:paraId="716A3505" w14:textId="6CBD5690" w:rsidR="009874B1" w:rsidRPr="00B41EAD" w:rsidRDefault="009874B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Para comenzar, la </w:t>
      </w:r>
      <w:r w:rsidR="00510C19" w:rsidRPr="00B41EAD">
        <w:rPr>
          <w:color w:val="000000" w:themeColor="text1"/>
          <w:sz w:val="28"/>
          <w:szCs w:val="28"/>
          <w:lang w:val="es-ES"/>
        </w:rPr>
        <w:t>autoridad judicial</w:t>
      </w:r>
      <w:r w:rsidRPr="00B41EAD">
        <w:rPr>
          <w:color w:val="000000" w:themeColor="text1"/>
          <w:sz w:val="28"/>
          <w:szCs w:val="28"/>
          <w:lang w:val="es-ES"/>
        </w:rPr>
        <w:t xml:space="preserve"> pasó por alto que se trataba de un caso en el que se pretendía la reparación derivada de un presunto delito de lesa humanidad, supuestamente cometido por agentes del Estado</w:t>
      </w:r>
      <w:r w:rsidR="00C6412D" w:rsidRPr="00B41EAD">
        <w:rPr>
          <w:color w:val="000000" w:themeColor="text1"/>
          <w:sz w:val="28"/>
          <w:szCs w:val="28"/>
          <w:lang w:val="es-ES"/>
        </w:rPr>
        <w:t>; en concreto</w:t>
      </w:r>
      <w:r w:rsidRPr="00B41EAD">
        <w:rPr>
          <w:color w:val="000000" w:themeColor="text1"/>
          <w:sz w:val="28"/>
          <w:szCs w:val="28"/>
          <w:lang w:val="es-ES"/>
        </w:rPr>
        <w:t xml:space="preserve">, la </w:t>
      </w:r>
      <w:r w:rsidR="00136F21" w:rsidRPr="00B41EAD">
        <w:rPr>
          <w:color w:val="000000" w:themeColor="text1"/>
          <w:sz w:val="28"/>
          <w:szCs w:val="28"/>
          <w:lang w:val="es-ES"/>
        </w:rPr>
        <w:t xml:space="preserve">presunta </w:t>
      </w:r>
      <w:r w:rsidRPr="00B41EAD">
        <w:rPr>
          <w:color w:val="000000" w:themeColor="text1"/>
          <w:sz w:val="28"/>
          <w:szCs w:val="28"/>
          <w:lang w:val="es-ES"/>
        </w:rPr>
        <w:t xml:space="preserve">ejecución extrajudicial del señor Carlos Mario Durango Vallejo. </w:t>
      </w:r>
      <w:r w:rsidR="00136F21" w:rsidRPr="00B41EAD">
        <w:rPr>
          <w:color w:val="000000" w:themeColor="text1"/>
          <w:sz w:val="28"/>
          <w:szCs w:val="28"/>
          <w:lang w:val="es-ES"/>
        </w:rPr>
        <w:t>Ante este panorama</w:t>
      </w:r>
      <w:r w:rsidRPr="00B41EAD">
        <w:rPr>
          <w:color w:val="000000" w:themeColor="text1"/>
          <w:sz w:val="28"/>
          <w:szCs w:val="28"/>
          <w:lang w:val="es-ES"/>
        </w:rPr>
        <w:t xml:space="preserve">, estaba en la obligación de valorar la caducidad del medio de control de reparación directa </w:t>
      </w:r>
      <w:r w:rsidR="00F7781F" w:rsidRPr="00B41EAD">
        <w:rPr>
          <w:color w:val="000000" w:themeColor="text1"/>
          <w:sz w:val="28"/>
          <w:szCs w:val="28"/>
          <w:lang w:val="es-ES"/>
        </w:rPr>
        <w:t>en virtud de</w:t>
      </w:r>
      <w:r w:rsidRPr="00B41EAD">
        <w:rPr>
          <w:color w:val="000000" w:themeColor="text1"/>
          <w:sz w:val="28"/>
          <w:szCs w:val="28"/>
          <w:lang w:val="es-ES"/>
        </w:rPr>
        <w:t xml:space="preserve"> la subregla jurisprudencial según la cual el término de dos años debe contabilizarse a partir de dos presupuestos relevantes: (i) desde el momento en que se tuvo “conocimiento de que el menoscabo fue causado por el Estado” y (</w:t>
      </w:r>
      <w:proofErr w:type="spellStart"/>
      <w:r w:rsidRPr="00B41EAD">
        <w:rPr>
          <w:color w:val="000000" w:themeColor="text1"/>
          <w:sz w:val="28"/>
          <w:szCs w:val="28"/>
          <w:lang w:val="es-ES"/>
        </w:rPr>
        <w:t>ii</w:t>
      </w:r>
      <w:proofErr w:type="spellEnd"/>
      <w:r w:rsidRPr="00B41EAD">
        <w:rPr>
          <w:color w:val="000000" w:themeColor="text1"/>
          <w:sz w:val="28"/>
          <w:szCs w:val="28"/>
          <w:lang w:val="es-ES"/>
        </w:rPr>
        <w:t>) que la parte demandante “se encuentre en la capacidad material de imputarle el mismo ante el aparato jurisdiccional”.</w:t>
      </w:r>
    </w:p>
    <w:p w14:paraId="1280E4EC" w14:textId="77777777" w:rsidR="009874B1" w:rsidRPr="00B41EAD" w:rsidRDefault="009874B1" w:rsidP="009874B1">
      <w:pPr>
        <w:pStyle w:val="Prrafodelista"/>
        <w:rPr>
          <w:color w:val="000000" w:themeColor="text1"/>
          <w:sz w:val="28"/>
          <w:szCs w:val="28"/>
          <w:lang w:val="es-ES"/>
        </w:rPr>
      </w:pPr>
    </w:p>
    <w:p w14:paraId="6683F88A" w14:textId="687D3146" w:rsidR="00873921" w:rsidRPr="00B41EAD" w:rsidRDefault="009874B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Estos elementos no fueron ni siquiera considerados en la providencia judicial cuestionada en la acción de tutela. Por el contrario, la autoridad accionada optó por una subregla ajena al precedente judicial propio y constitucional, al hacer depender la configuración de la caducidad del momento en que los demandantes conocieron</w:t>
      </w:r>
      <w:r w:rsidR="00890C7A" w:rsidRPr="00B41EAD">
        <w:rPr>
          <w:color w:val="000000" w:themeColor="text1"/>
          <w:sz w:val="28"/>
          <w:szCs w:val="28"/>
          <w:lang w:val="es-ES"/>
        </w:rPr>
        <w:t xml:space="preserve">, en general, </w:t>
      </w:r>
      <w:r w:rsidRPr="00B41EAD">
        <w:rPr>
          <w:color w:val="000000" w:themeColor="text1"/>
          <w:sz w:val="28"/>
          <w:szCs w:val="28"/>
          <w:lang w:val="es-ES"/>
        </w:rPr>
        <w:t>“las circunstancias” en las que se produjo la muerte de la víctima directa</w:t>
      </w:r>
      <w:r w:rsidR="00F7781F" w:rsidRPr="00B41EAD">
        <w:rPr>
          <w:color w:val="000000" w:themeColor="text1"/>
          <w:sz w:val="28"/>
          <w:szCs w:val="28"/>
          <w:lang w:val="es-ES"/>
        </w:rPr>
        <w:t>;</w:t>
      </w:r>
      <w:r w:rsidR="00890C7A" w:rsidRPr="00B41EAD">
        <w:rPr>
          <w:color w:val="000000" w:themeColor="text1"/>
          <w:sz w:val="28"/>
          <w:szCs w:val="28"/>
          <w:lang w:val="es-ES"/>
        </w:rPr>
        <w:t xml:space="preserve"> sin explicar a qué hacía referencia tal expresión y cómo se relacionaba este nuevo criterio con l</w:t>
      </w:r>
      <w:r w:rsidR="00F7781F" w:rsidRPr="00B41EAD">
        <w:rPr>
          <w:color w:val="000000" w:themeColor="text1"/>
          <w:sz w:val="28"/>
          <w:szCs w:val="28"/>
          <w:lang w:val="es-ES"/>
        </w:rPr>
        <w:t xml:space="preserve">os presupuestos </w:t>
      </w:r>
      <w:r w:rsidR="00890C7A" w:rsidRPr="00B41EAD">
        <w:rPr>
          <w:color w:val="000000" w:themeColor="text1"/>
          <w:sz w:val="28"/>
          <w:szCs w:val="28"/>
          <w:lang w:val="es-ES"/>
        </w:rPr>
        <w:t>previamente establecid</w:t>
      </w:r>
      <w:r w:rsidR="00F7781F" w:rsidRPr="00B41EAD">
        <w:rPr>
          <w:color w:val="000000" w:themeColor="text1"/>
          <w:sz w:val="28"/>
          <w:szCs w:val="28"/>
          <w:lang w:val="es-ES"/>
        </w:rPr>
        <w:t>o</w:t>
      </w:r>
      <w:r w:rsidR="00890C7A" w:rsidRPr="00B41EAD">
        <w:rPr>
          <w:color w:val="000000" w:themeColor="text1"/>
          <w:sz w:val="28"/>
          <w:szCs w:val="28"/>
          <w:lang w:val="es-ES"/>
        </w:rPr>
        <w:t>s tanto por la misma Sección Tercera como por la Sala Plena de la Corte Constitucional</w:t>
      </w:r>
      <w:r w:rsidR="00136F21" w:rsidRPr="00B41EAD">
        <w:rPr>
          <w:color w:val="000000" w:themeColor="text1"/>
          <w:sz w:val="28"/>
          <w:szCs w:val="28"/>
          <w:lang w:val="es-ES"/>
        </w:rPr>
        <w:t>, vigentes al momento de adoptarse la decisión.</w:t>
      </w:r>
    </w:p>
    <w:p w14:paraId="25D833A2" w14:textId="77777777" w:rsidR="00873921" w:rsidRPr="00B41EAD" w:rsidRDefault="00873921" w:rsidP="00873921">
      <w:pPr>
        <w:pStyle w:val="Prrafodelista"/>
        <w:ind w:left="0"/>
        <w:jc w:val="both"/>
        <w:rPr>
          <w:color w:val="000000" w:themeColor="text1"/>
          <w:sz w:val="28"/>
          <w:szCs w:val="28"/>
          <w:lang w:val="es-ES"/>
        </w:rPr>
      </w:pPr>
    </w:p>
    <w:p w14:paraId="08DDAA38" w14:textId="0184FF37" w:rsidR="009874B1" w:rsidRPr="00B41EAD" w:rsidRDefault="00136F2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esa medida, la </w:t>
      </w:r>
      <w:r w:rsidR="009874B1" w:rsidRPr="00B41EAD">
        <w:rPr>
          <w:color w:val="000000" w:themeColor="text1"/>
          <w:sz w:val="28"/>
          <w:szCs w:val="28"/>
          <w:lang w:val="es-ES"/>
        </w:rPr>
        <w:t>Corte observa</w:t>
      </w:r>
      <w:r w:rsidR="00601C64" w:rsidRPr="00B41EAD">
        <w:rPr>
          <w:color w:val="000000" w:themeColor="text1"/>
          <w:sz w:val="28"/>
          <w:szCs w:val="28"/>
          <w:lang w:val="es-ES"/>
        </w:rPr>
        <w:t xml:space="preserve"> </w:t>
      </w:r>
      <w:r w:rsidR="009874B1" w:rsidRPr="00B41EAD">
        <w:rPr>
          <w:color w:val="000000" w:themeColor="text1"/>
          <w:sz w:val="28"/>
          <w:szCs w:val="28"/>
          <w:lang w:val="es-ES"/>
        </w:rPr>
        <w:t>que la caducidad fue</w:t>
      </w:r>
      <w:r w:rsidR="00873921" w:rsidRPr="00B41EAD">
        <w:rPr>
          <w:color w:val="000000" w:themeColor="text1"/>
          <w:sz w:val="28"/>
          <w:szCs w:val="28"/>
          <w:lang w:val="es-ES"/>
        </w:rPr>
        <w:t xml:space="preserve"> indebidamente</w:t>
      </w:r>
      <w:r w:rsidR="009874B1" w:rsidRPr="00B41EAD">
        <w:rPr>
          <w:color w:val="000000" w:themeColor="text1"/>
          <w:sz w:val="28"/>
          <w:szCs w:val="28"/>
          <w:lang w:val="es-ES"/>
        </w:rPr>
        <w:t xml:space="preserve"> declarada con base en la simple enunciación de</w:t>
      </w:r>
      <w:r w:rsidR="00873921" w:rsidRPr="00B41EAD">
        <w:rPr>
          <w:color w:val="000000" w:themeColor="text1"/>
          <w:sz w:val="28"/>
          <w:szCs w:val="28"/>
          <w:lang w:val="es-ES"/>
        </w:rPr>
        <w:t xml:space="preserve"> haberse conocido “las circunstancias” del fallecimiento de Carlos Mario por parte de los actores. Tal determinación la hizo la Subsección C de la Sección Tercera del Consejo de Estado</w:t>
      </w:r>
      <w:r w:rsidR="009874B1" w:rsidRPr="00B41EAD">
        <w:rPr>
          <w:color w:val="000000" w:themeColor="text1"/>
          <w:sz w:val="28"/>
          <w:szCs w:val="28"/>
          <w:lang w:val="es-ES"/>
        </w:rPr>
        <w:t xml:space="preserve">, sin ninguna motivación acerca de (i) cuáles fueron </w:t>
      </w:r>
      <w:r w:rsidR="00873921" w:rsidRPr="00B41EAD">
        <w:rPr>
          <w:color w:val="000000" w:themeColor="text1"/>
          <w:sz w:val="28"/>
          <w:szCs w:val="28"/>
          <w:lang w:val="es-ES"/>
        </w:rPr>
        <w:t xml:space="preserve">específicamente </w:t>
      </w:r>
      <w:r w:rsidR="009874B1" w:rsidRPr="00B41EAD">
        <w:rPr>
          <w:color w:val="000000" w:themeColor="text1"/>
          <w:sz w:val="28"/>
          <w:szCs w:val="28"/>
          <w:lang w:val="es-ES"/>
        </w:rPr>
        <w:t>las circunstancias supuestamente conocidas por los demandantes desde el 19 de agosto de 1996, (</w:t>
      </w:r>
      <w:proofErr w:type="spellStart"/>
      <w:r w:rsidR="009874B1" w:rsidRPr="00B41EAD">
        <w:rPr>
          <w:color w:val="000000" w:themeColor="text1"/>
          <w:sz w:val="28"/>
          <w:szCs w:val="28"/>
          <w:lang w:val="es-ES"/>
        </w:rPr>
        <w:t>ii</w:t>
      </w:r>
      <w:proofErr w:type="spellEnd"/>
      <w:r w:rsidR="009874B1" w:rsidRPr="00B41EAD">
        <w:rPr>
          <w:color w:val="000000" w:themeColor="text1"/>
          <w:sz w:val="28"/>
          <w:szCs w:val="28"/>
          <w:lang w:val="es-ES"/>
        </w:rPr>
        <w:t>) cómo fueron conocidas y (</w:t>
      </w:r>
      <w:proofErr w:type="spellStart"/>
      <w:r w:rsidR="009874B1" w:rsidRPr="00B41EAD">
        <w:rPr>
          <w:color w:val="000000" w:themeColor="text1"/>
          <w:sz w:val="28"/>
          <w:szCs w:val="28"/>
          <w:lang w:val="es-ES"/>
        </w:rPr>
        <w:t>iii</w:t>
      </w:r>
      <w:proofErr w:type="spellEnd"/>
      <w:r w:rsidR="009874B1" w:rsidRPr="00B41EAD">
        <w:rPr>
          <w:color w:val="000000" w:themeColor="text1"/>
          <w:sz w:val="28"/>
          <w:szCs w:val="28"/>
          <w:lang w:val="es-ES"/>
        </w:rPr>
        <w:t>) por qué era posible llegar a esta conclusión, a partir de los elementos obrantes en el expediente. Situación que hace que la providencia se torne carente de una motivación adecuada</w:t>
      </w:r>
      <w:r w:rsidR="009E5D30" w:rsidRPr="00B41EAD">
        <w:rPr>
          <w:color w:val="000000" w:themeColor="text1"/>
          <w:sz w:val="28"/>
          <w:szCs w:val="28"/>
          <w:lang w:val="es-ES"/>
        </w:rPr>
        <w:t xml:space="preserve"> en términos de valoración probatoria</w:t>
      </w:r>
      <w:r w:rsidR="009874B1" w:rsidRPr="00B41EAD">
        <w:rPr>
          <w:color w:val="000000" w:themeColor="text1"/>
          <w:sz w:val="28"/>
          <w:szCs w:val="28"/>
          <w:lang w:val="es-ES"/>
        </w:rPr>
        <w:t>.</w:t>
      </w:r>
    </w:p>
    <w:p w14:paraId="3AD7D014" w14:textId="77777777" w:rsidR="009874B1" w:rsidRPr="00B41EAD" w:rsidRDefault="009874B1" w:rsidP="009874B1">
      <w:pPr>
        <w:pStyle w:val="Prrafodelista"/>
        <w:rPr>
          <w:color w:val="000000" w:themeColor="text1"/>
          <w:sz w:val="28"/>
          <w:szCs w:val="28"/>
          <w:lang w:val="es-ES"/>
        </w:rPr>
      </w:pPr>
    </w:p>
    <w:p w14:paraId="4343615B" w14:textId="001865B3" w:rsidR="009874B1" w:rsidRPr="00B41EAD" w:rsidRDefault="0087392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Para</w:t>
      </w:r>
      <w:r w:rsidR="009874B1" w:rsidRPr="00B41EAD">
        <w:rPr>
          <w:color w:val="000000" w:themeColor="text1"/>
          <w:sz w:val="28"/>
          <w:szCs w:val="28"/>
          <w:lang w:val="es-ES"/>
        </w:rPr>
        <w:t xml:space="preserve"> la Sala</w:t>
      </w:r>
      <w:r w:rsidRPr="00B41EAD">
        <w:rPr>
          <w:color w:val="000000" w:themeColor="text1"/>
          <w:sz w:val="28"/>
          <w:szCs w:val="28"/>
          <w:lang w:val="es-ES"/>
        </w:rPr>
        <w:t>, enton</w:t>
      </w:r>
      <w:r w:rsidR="009E5D30" w:rsidRPr="00B41EAD">
        <w:rPr>
          <w:color w:val="000000" w:themeColor="text1"/>
          <w:sz w:val="28"/>
          <w:szCs w:val="28"/>
          <w:lang w:val="es-ES"/>
        </w:rPr>
        <w:t>c</w:t>
      </w:r>
      <w:r w:rsidRPr="00B41EAD">
        <w:rPr>
          <w:color w:val="000000" w:themeColor="text1"/>
          <w:sz w:val="28"/>
          <w:szCs w:val="28"/>
          <w:lang w:val="es-ES"/>
        </w:rPr>
        <w:t>es,</w:t>
      </w:r>
      <w:r w:rsidR="009874B1" w:rsidRPr="00B41EAD">
        <w:rPr>
          <w:color w:val="000000" w:themeColor="text1"/>
          <w:sz w:val="28"/>
          <w:szCs w:val="28"/>
          <w:lang w:val="es-ES"/>
        </w:rPr>
        <w:t xml:space="preserve"> la providencia objeto de tutela incurrió en un claro desconocimiento del precedente judicial estrictamente aplicable en el caso </w:t>
      </w:r>
      <w:r w:rsidR="009874B1" w:rsidRPr="00B41EAD">
        <w:rPr>
          <w:color w:val="000000" w:themeColor="text1"/>
          <w:sz w:val="28"/>
          <w:szCs w:val="28"/>
          <w:lang w:val="es-ES"/>
        </w:rPr>
        <w:lastRenderedPageBreak/>
        <w:t xml:space="preserve">concreto, que concurre en este caso con un defecto fáctico al haberse dado por probados los elementos que darían lugar a que se contabilizara el término de caducidad desde el momento mismo en el que ocurrió el deceso </w:t>
      </w:r>
      <w:r w:rsidR="00544AF2" w:rsidRPr="00B41EAD">
        <w:rPr>
          <w:color w:val="000000" w:themeColor="text1"/>
          <w:sz w:val="28"/>
          <w:szCs w:val="28"/>
          <w:lang w:val="es-ES"/>
        </w:rPr>
        <w:t>de</w:t>
      </w:r>
      <w:r w:rsidR="009874B1" w:rsidRPr="00B41EAD">
        <w:rPr>
          <w:color w:val="000000" w:themeColor="text1"/>
          <w:sz w:val="28"/>
          <w:szCs w:val="28"/>
          <w:lang w:val="es-ES"/>
        </w:rPr>
        <w:t xml:space="preserve"> Carlos Mario Durango Vallejo, sin motivación y valoración alguna del acervo probatorio obrante en el expediente. Tal situación no solo afecta la validez de la decisión, sino que infringe los derechos al debido proceso</w:t>
      </w:r>
      <w:r w:rsidR="009E5D30" w:rsidRPr="00B41EAD">
        <w:rPr>
          <w:color w:val="000000" w:themeColor="text1"/>
          <w:sz w:val="28"/>
          <w:szCs w:val="28"/>
          <w:lang w:val="es-ES"/>
        </w:rPr>
        <w:t xml:space="preserve"> y</w:t>
      </w:r>
      <w:r w:rsidR="009874B1" w:rsidRPr="00B41EAD">
        <w:rPr>
          <w:color w:val="000000" w:themeColor="text1"/>
          <w:sz w:val="28"/>
          <w:szCs w:val="28"/>
          <w:lang w:val="es-ES"/>
        </w:rPr>
        <w:t xml:space="preserve"> al acceso a la</w:t>
      </w:r>
      <w:r w:rsidR="009E5D30" w:rsidRPr="00B41EAD">
        <w:rPr>
          <w:color w:val="000000" w:themeColor="text1"/>
          <w:sz w:val="28"/>
          <w:szCs w:val="28"/>
          <w:lang w:val="es-ES"/>
        </w:rPr>
        <w:t xml:space="preserve"> administración de</w:t>
      </w:r>
      <w:r w:rsidR="009874B1" w:rsidRPr="00B41EAD">
        <w:rPr>
          <w:color w:val="000000" w:themeColor="text1"/>
          <w:sz w:val="28"/>
          <w:szCs w:val="28"/>
          <w:lang w:val="es-ES"/>
        </w:rPr>
        <w:t xml:space="preserve"> justicia, así como las garantías de las presuntas víctimas de graves violaciones de derechos humanos, en los términos indicados en las consideraciones generales de esta sentencia. </w:t>
      </w:r>
    </w:p>
    <w:p w14:paraId="32093157" w14:textId="77777777" w:rsidR="002D171E" w:rsidRPr="00B41EAD" w:rsidRDefault="002D171E" w:rsidP="002D171E">
      <w:pPr>
        <w:pStyle w:val="Prrafodelista"/>
        <w:ind w:left="0"/>
        <w:jc w:val="both"/>
        <w:rPr>
          <w:color w:val="000000" w:themeColor="text1"/>
          <w:sz w:val="28"/>
          <w:szCs w:val="28"/>
          <w:lang w:val="es-ES"/>
        </w:rPr>
      </w:pPr>
    </w:p>
    <w:p w14:paraId="4BA98F32" w14:textId="6F3A9E40" w:rsidR="00890C7A" w:rsidRPr="00B41EAD" w:rsidRDefault="0087392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Asimismo</w:t>
      </w:r>
      <w:r w:rsidR="00890C7A" w:rsidRPr="00B41EAD">
        <w:rPr>
          <w:color w:val="000000" w:themeColor="text1"/>
          <w:sz w:val="28"/>
          <w:szCs w:val="28"/>
          <w:lang w:val="es-ES"/>
        </w:rPr>
        <w:t>,</w:t>
      </w:r>
      <w:r w:rsidR="00975A2E" w:rsidRPr="00B41EAD">
        <w:rPr>
          <w:color w:val="000000" w:themeColor="text1"/>
          <w:sz w:val="28"/>
          <w:szCs w:val="28"/>
          <w:lang w:val="es-ES"/>
        </w:rPr>
        <w:t xml:space="preserve"> la omisión de la valoración probatoria en la que incurrió</w:t>
      </w:r>
      <w:r w:rsidR="00F7781F" w:rsidRPr="00B41EAD">
        <w:rPr>
          <w:color w:val="000000" w:themeColor="text1"/>
          <w:sz w:val="28"/>
          <w:szCs w:val="28"/>
          <w:lang w:val="es-ES"/>
        </w:rPr>
        <w:t xml:space="preserve"> la Subsección C de la Sección Tercera del Consejo de Estado hizo que se dejara de </w:t>
      </w:r>
      <w:r w:rsidR="00975A2E" w:rsidRPr="00B41EAD">
        <w:rPr>
          <w:color w:val="000000" w:themeColor="text1"/>
          <w:sz w:val="28"/>
          <w:szCs w:val="28"/>
          <w:lang w:val="es-ES"/>
        </w:rPr>
        <w:t>lado que, en definitiva, de</w:t>
      </w:r>
      <w:r w:rsidR="00F7781F" w:rsidRPr="00B41EAD">
        <w:rPr>
          <w:color w:val="000000" w:themeColor="text1"/>
          <w:sz w:val="28"/>
          <w:szCs w:val="28"/>
          <w:lang w:val="es-ES"/>
        </w:rPr>
        <w:t>l expediente no es posible establecer</w:t>
      </w:r>
      <w:r w:rsidR="00C35DA8" w:rsidRPr="00B41EAD">
        <w:rPr>
          <w:color w:val="000000" w:themeColor="text1"/>
          <w:sz w:val="28"/>
          <w:szCs w:val="28"/>
          <w:lang w:val="es-ES"/>
        </w:rPr>
        <w:t xml:space="preserve"> con claridad</w:t>
      </w:r>
      <w:r w:rsidR="00F7781F" w:rsidRPr="00B41EAD">
        <w:rPr>
          <w:color w:val="000000" w:themeColor="text1"/>
          <w:sz w:val="28"/>
          <w:szCs w:val="28"/>
          <w:lang w:val="es-ES"/>
        </w:rPr>
        <w:t xml:space="preserve"> </w:t>
      </w:r>
      <w:r w:rsidRPr="00B41EAD">
        <w:rPr>
          <w:color w:val="000000" w:themeColor="text1"/>
          <w:sz w:val="28"/>
          <w:szCs w:val="28"/>
          <w:lang w:val="es-ES"/>
        </w:rPr>
        <w:t>que desde</w:t>
      </w:r>
      <w:r w:rsidR="00F7781F" w:rsidRPr="00B41EAD">
        <w:rPr>
          <w:color w:val="000000" w:themeColor="text1"/>
          <w:sz w:val="28"/>
          <w:szCs w:val="28"/>
          <w:lang w:val="es-ES"/>
        </w:rPr>
        <w:t xml:space="preserve"> el 19 de agosto de 1996 </w:t>
      </w:r>
      <w:r w:rsidR="00C35DA8" w:rsidRPr="00B41EAD">
        <w:rPr>
          <w:color w:val="000000" w:themeColor="text1"/>
          <w:sz w:val="28"/>
          <w:szCs w:val="28"/>
          <w:lang w:val="es-ES"/>
        </w:rPr>
        <w:t xml:space="preserve">los demandantes </w:t>
      </w:r>
      <w:r w:rsidRPr="00B41EAD">
        <w:rPr>
          <w:color w:val="000000" w:themeColor="text1"/>
          <w:sz w:val="28"/>
          <w:szCs w:val="28"/>
          <w:lang w:val="es-ES"/>
        </w:rPr>
        <w:t>hubieran tenido</w:t>
      </w:r>
      <w:r w:rsidR="00C35DA8" w:rsidRPr="00B41EAD">
        <w:rPr>
          <w:color w:val="000000" w:themeColor="text1"/>
          <w:sz w:val="28"/>
          <w:szCs w:val="28"/>
          <w:lang w:val="es-ES"/>
        </w:rPr>
        <w:t xml:space="preserve"> “conocimiento de que el menoscabo fue causado por el Estado” y (</w:t>
      </w:r>
      <w:proofErr w:type="spellStart"/>
      <w:r w:rsidR="00C35DA8" w:rsidRPr="00B41EAD">
        <w:rPr>
          <w:color w:val="000000" w:themeColor="text1"/>
          <w:sz w:val="28"/>
          <w:szCs w:val="28"/>
          <w:lang w:val="es-ES"/>
        </w:rPr>
        <w:t>ii</w:t>
      </w:r>
      <w:proofErr w:type="spellEnd"/>
      <w:r w:rsidR="00C35DA8" w:rsidRPr="00B41EAD">
        <w:rPr>
          <w:color w:val="000000" w:themeColor="text1"/>
          <w:sz w:val="28"/>
          <w:szCs w:val="28"/>
          <w:lang w:val="es-ES"/>
        </w:rPr>
        <w:t>) que desde ese instante la parte demandante se encontraba en la capacidad material de imputarle tal menoscabo ante el aparato jurisdiccional.</w:t>
      </w:r>
    </w:p>
    <w:p w14:paraId="42E75C16" w14:textId="77777777" w:rsidR="00890C7A" w:rsidRPr="00B41EAD" w:rsidRDefault="00890C7A" w:rsidP="00890C7A">
      <w:pPr>
        <w:pStyle w:val="Prrafodelista"/>
        <w:rPr>
          <w:color w:val="000000" w:themeColor="text1"/>
          <w:sz w:val="28"/>
          <w:szCs w:val="28"/>
          <w:lang w:val="es-ES"/>
        </w:rPr>
      </w:pPr>
    </w:p>
    <w:p w14:paraId="37D3A832" w14:textId="68DA0A9F" w:rsidR="009437F3" w:rsidRPr="00B41EAD" w:rsidRDefault="00C35DA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Analizados los elementos probatorios puestos en conocimiento por la parte demandante desde la formulación del medio de control de reparación directa</w:t>
      </w:r>
      <w:r w:rsidR="007034A5" w:rsidRPr="00B41EAD">
        <w:rPr>
          <w:color w:val="000000" w:themeColor="text1"/>
          <w:sz w:val="28"/>
          <w:szCs w:val="28"/>
          <w:lang w:val="es-ES"/>
        </w:rPr>
        <w:t>,</w:t>
      </w:r>
      <w:r w:rsidRPr="00B41EAD">
        <w:rPr>
          <w:color w:val="000000" w:themeColor="text1"/>
          <w:sz w:val="28"/>
          <w:szCs w:val="28"/>
          <w:lang w:val="es-ES"/>
        </w:rPr>
        <w:t xml:space="preserve"> se tiene que, e</w:t>
      </w:r>
      <w:r w:rsidR="00E31285" w:rsidRPr="00B41EAD">
        <w:rPr>
          <w:color w:val="000000" w:themeColor="text1"/>
          <w:sz w:val="28"/>
          <w:szCs w:val="28"/>
          <w:lang w:val="es-ES"/>
        </w:rPr>
        <w:t>n el registro civil de defunción</w:t>
      </w:r>
      <w:r w:rsidRPr="00B41EAD">
        <w:rPr>
          <w:color w:val="000000" w:themeColor="text1"/>
          <w:sz w:val="28"/>
          <w:szCs w:val="28"/>
          <w:lang w:val="es-ES"/>
        </w:rPr>
        <w:t>,</w:t>
      </w:r>
      <w:r w:rsidR="00E31285" w:rsidRPr="00B41EAD">
        <w:rPr>
          <w:color w:val="000000" w:themeColor="text1"/>
          <w:sz w:val="28"/>
          <w:szCs w:val="28"/>
          <w:lang w:val="es-ES"/>
        </w:rPr>
        <w:t xml:space="preserve"> se </w:t>
      </w:r>
      <w:r w:rsidR="00601C64" w:rsidRPr="00B41EAD">
        <w:rPr>
          <w:color w:val="000000" w:themeColor="text1"/>
          <w:sz w:val="28"/>
          <w:szCs w:val="28"/>
          <w:lang w:val="es-ES"/>
        </w:rPr>
        <w:t xml:space="preserve">fijó </w:t>
      </w:r>
      <w:r w:rsidR="00E31285" w:rsidRPr="00B41EAD">
        <w:rPr>
          <w:color w:val="000000" w:themeColor="text1"/>
          <w:sz w:val="28"/>
          <w:szCs w:val="28"/>
          <w:lang w:val="es-ES"/>
        </w:rPr>
        <w:t>como causa de muerte “shock traumático, heridas múltiples por arma de fuego”, causada el 20 de agosto de 1996</w:t>
      </w:r>
      <w:r w:rsidR="00E31285" w:rsidRPr="00B41EAD">
        <w:rPr>
          <w:rStyle w:val="Refdenotaalpie"/>
          <w:color w:val="000000" w:themeColor="text1"/>
          <w:sz w:val="28"/>
          <w:szCs w:val="28"/>
          <w:lang w:val="es-ES"/>
        </w:rPr>
        <w:footnoteReference w:id="79"/>
      </w:r>
      <w:r w:rsidR="0062275D" w:rsidRPr="00B41EAD">
        <w:rPr>
          <w:color w:val="000000" w:themeColor="text1"/>
          <w:sz w:val="28"/>
          <w:szCs w:val="28"/>
          <w:lang w:val="es-ES"/>
        </w:rPr>
        <w:t xml:space="preserve">; </w:t>
      </w:r>
      <w:r w:rsidR="007034A5" w:rsidRPr="00B41EAD">
        <w:rPr>
          <w:color w:val="000000" w:themeColor="text1"/>
          <w:sz w:val="28"/>
          <w:szCs w:val="28"/>
          <w:lang w:val="es-ES"/>
        </w:rPr>
        <w:t xml:space="preserve">y </w:t>
      </w:r>
      <w:r w:rsidR="00E31285" w:rsidRPr="00B41EAD">
        <w:rPr>
          <w:color w:val="000000" w:themeColor="text1"/>
          <w:sz w:val="28"/>
          <w:szCs w:val="28"/>
          <w:lang w:val="es-ES"/>
        </w:rPr>
        <w:t xml:space="preserve">según </w:t>
      </w:r>
      <w:r w:rsidR="007034A5" w:rsidRPr="00B41EAD">
        <w:rPr>
          <w:color w:val="000000" w:themeColor="text1"/>
          <w:sz w:val="28"/>
          <w:szCs w:val="28"/>
          <w:lang w:val="es-ES"/>
        </w:rPr>
        <w:t xml:space="preserve">el </w:t>
      </w:r>
      <w:r w:rsidR="00E31285" w:rsidRPr="00B41EAD">
        <w:rPr>
          <w:color w:val="000000" w:themeColor="text1"/>
          <w:sz w:val="28"/>
          <w:szCs w:val="28"/>
          <w:lang w:val="es-ES"/>
        </w:rPr>
        <w:t>acta de levantamiento de cadáver, el deceso estaría relacionado con “un orificio en la cabeza y otro en el cuerpo ‘espalda’ al parecer causados con arma de fuego”</w:t>
      </w:r>
      <w:r w:rsidR="00E31285" w:rsidRPr="00B41EAD">
        <w:rPr>
          <w:rStyle w:val="Refdenotaalpie"/>
          <w:color w:val="000000" w:themeColor="text1"/>
          <w:sz w:val="28"/>
          <w:szCs w:val="28"/>
          <w:lang w:val="es-ES"/>
        </w:rPr>
        <w:footnoteReference w:id="80"/>
      </w:r>
      <w:r w:rsidR="00E31285" w:rsidRPr="00B41EAD">
        <w:rPr>
          <w:color w:val="000000" w:themeColor="text1"/>
          <w:sz w:val="28"/>
          <w:szCs w:val="28"/>
          <w:lang w:val="es-ES"/>
        </w:rPr>
        <w:t>.</w:t>
      </w:r>
    </w:p>
    <w:p w14:paraId="7293FD7E" w14:textId="7737EEDE" w:rsidR="00E61DB0" w:rsidRPr="00B41EAD" w:rsidRDefault="00E31285" w:rsidP="009437F3">
      <w:pPr>
        <w:pStyle w:val="Prrafodelista"/>
        <w:ind w:left="0"/>
        <w:jc w:val="both"/>
        <w:rPr>
          <w:color w:val="000000" w:themeColor="text1"/>
          <w:sz w:val="28"/>
          <w:szCs w:val="28"/>
          <w:lang w:val="es-ES"/>
        </w:rPr>
      </w:pPr>
      <w:r w:rsidRPr="00B41EAD">
        <w:rPr>
          <w:color w:val="000000" w:themeColor="text1"/>
          <w:sz w:val="28"/>
          <w:szCs w:val="28"/>
          <w:lang w:val="es-ES"/>
        </w:rPr>
        <w:t xml:space="preserve"> </w:t>
      </w:r>
    </w:p>
    <w:p w14:paraId="45CB994D" w14:textId="43022E83" w:rsidR="008D577D" w:rsidRPr="00B41EAD" w:rsidRDefault="00C35DA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w:t>
      </w:r>
      <w:r w:rsidR="00873921" w:rsidRPr="00B41EAD">
        <w:rPr>
          <w:color w:val="000000" w:themeColor="text1"/>
          <w:sz w:val="28"/>
          <w:szCs w:val="28"/>
          <w:lang w:val="es-ES"/>
        </w:rPr>
        <w:t>demás</w:t>
      </w:r>
      <w:r w:rsidRPr="00B41EAD">
        <w:rPr>
          <w:color w:val="000000" w:themeColor="text1"/>
          <w:sz w:val="28"/>
          <w:szCs w:val="28"/>
          <w:lang w:val="es-ES"/>
        </w:rPr>
        <w:t>, e</w:t>
      </w:r>
      <w:r w:rsidR="008D577D" w:rsidRPr="00B41EAD">
        <w:rPr>
          <w:color w:val="000000" w:themeColor="text1"/>
          <w:sz w:val="28"/>
          <w:szCs w:val="28"/>
          <w:lang w:val="es-ES"/>
        </w:rPr>
        <w:t>l 26 de agosto de 1996, e</w:t>
      </w:r>
      <w:r w:rsidR="009437F3" w:rsidRPr="00B41EAD">
        <w:rPr>
          <w:color w:val="000000" w:themeColor="text1"/>
          <w:sz w:val="28"/>
          <w:szCs w:val="28"/>
          <w:lang w:val="es-ES"/>
        </w:rPr>
        <w:t xml:space="preserve">l Juzgado </w:t>
      </w:r>
      <w:r w:rsidR="008D577D" w:rsidRPr="00B41EAD">
        <w:rPr>
          <w:color w:val="000000" w:themeColor="text1"/>
          <w:sz w:val="28"/>
          <w:szCs w:val="28"/>
          <w:lang w:val="es-ES"/>
        </w:rPr>
        <w:t>1</w:t>
      </w:r>
      <w:r w:rsidR="009437F3" w:rsidRPr="00B41EAD">
        <w:rPr>
          <w:color w:val="000000" w:themeColor="text1"/>
          <w:sz w:val="28"/>
          <w:szCs w:val="28"/>
          <w:lang w:val="es-ES"/>
        </w:rPr>
        <w:t>14 de Instrucción Penal Militar de Carepa, Antioquia, inició investigación preliminar por los hechos en los que falleció el señor Carlos Mario Durango</w:t>
      </w:r>
      <w:r w:rsidR="007034A5" w:rsidRPr="00B41EAD">
        <w:rPr>
          <w:color w:val="000000" w:themeColor="text1"/>
          <w:sz w:val="28"/>
          <w:szCs w:val="28"/>
          <w:lang w:val="es-ES"/>
        </w:rPr>
        <w:t>. A</w:t>
      </w:r>
      <w:r w:rsidR="00435F42" w:rsidRPr="00B41EAD">
        <w:rPr>
          <w:color w:val="000000" w:themeColor="text1"/>
          <w:sz w:val="28"/>
          <w:szCs w:val="28"/>
          <w:lang w:val="es-ES"/>
        </w:rPr>
        <w:t xml:space="preserve"> la misma fueron </w:t>
      </w:r>
      <w:r w:rsidR="005A5055" w:rsidRPr="00B41EAD">
        <w:rPr>
          <w:color w:val="000000" w:themeColor="text1"/>
          <w:sz w:val="28"/>
          <w:szCs w:val="28"/>
          <w:lang w:val="es-ES"/>
        </w:rPr>
        <w:t>vinculados los miembros del Ejército Nacional CT. Carlos Julio Infante Ríos, ST. Harold Ortiz Amaya y CP. Riveros Sarmiento</w:t>
      </w:r>
      <w:r w:rsidR="008D577D" w:rsidRPr="00B41EAD">
        <w:rPr>
          <w:rStyle w:val="Refdenotaalpie"/>
          <w:color w:val="000000" w:themeColor="text1"/>
          <w:sz w:val="28"/>
          <w:szCs w:val="28"/>
          <w:lang w:val="es-ES"/>
        </w:rPr>
        <w:footnoteReference w:id="81"/>
      </w:r>
      <w:r w:rsidR="00A7042A" w:rsidRPr="00B41EAD">
        <w:rPr>
          <w:color w:val="000000" w:themeColor="text1"/>
          <w:sz w:val="28"/>
          <w:szCs w:val="28"/>
          <w:lang w:val="es-ES"/>
        </w:rPr>
        <w:t>,</w:t>
      </w:r>
      <w:r w:rsidR="008D577D" w:rsidRPr="00B41EAD">
        <w:rPr>
          <w:color w:val="000000" w:themeColor="text1"/>
          <w:sz w:val="28"/>
          <w:szCs w:val="28"/>
          <w:lang w:val="es-ES"/>
        </w:rPr>
        <w:t xml:space="preserve"> quienes en sus declaraciones insistieron en que se trató del abatimiento de "subversivos"</w:t>
      </w:r>
      <w:r w:rsidR="00EB4599" w:rsidRPr="00B41EAD">
        <w:rPr>
          <w:color w:val="000000" w:themeColor="text1"/>
          <w:sz w:val="28"/>
          <w:szCs w:val="28"/>
          <w:lang w:val="es-ES"/>
        </w:rPr>
        <w:t xml:space="preserve"> en un cruce de disparos</w:t>
      </w:r>
      <w:r w:rsidR="008D577D" w:rsidRPr="00B41EAD">
        <w:rPr>
          <w:color w:val="000000" w:themeColor="text1"/>
          <w:sz w:val="28"/>
          <w:szCs w:val="28"/>
          <w:lang w:val="es-ES"/>
        </w:rPr>
        <w:t xml:space="preserve">. </w:t>
      </w:r>
      <w:r w:rsidR="005A5055" w:rsidRPr="00B41EAD">
        <w:rPr>
          <w:color w:val="000000" w:themeColor="text1"/>
          <w:sz w:val="28"/>
          <w:szCs w:val="28"/>
          <w:lang w:val="es-ES"/>
        </w:rPr>
        <w:t xml:space="preserve"> </w:t>
      </w:r>
    </w:p>
    <w:p w14:paraId="2EC4F837" w14:textId="77777777" w:rsidR="008D577D" w:rsidRPr="00B41EAD" w:rsidRDefault="008D577D" w:rsidP="008D577D">
      <w:pPr>
        <w:pStyle w:val="Prrafodelista"/>
        <w:rPr>
          <w:color w:val="000000" w:themeColor="text1"/>
          <w:sz w:val="28"/>
          <w:szCs w:val="28"/>
          <w:lang w:val="es-ES"/>
        </w:rPr>
      </w:pPr>
    </w:p>
    <w:p w14:paraId="390F64AD" w14:textId="77777777" w:rsidR="00396A44" w:rsidRPr="00B41EAD" w:rsidRDefault="008D577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Cuatro meses después, el 20 de diciembre de 1996</w:t>
      </w:r>
      <w:r w:rsidR="00396A44" w:rsidRPr="00B41EAD">
        <w:rPr>
          <w:color w:val="000000" w:themeColor="text1"/>
          <w:sz w:val="28"/>
          <w:szCs w:val="28"/>
          <w:lang w:val="es-ES"/>
        </w:rPr>
        <w:t>, el Juzgado</w:t>
      </w:r>
      <w:r w:rsidRPr="00B41EAD">
        <w:rPr>
          <w:color w:val="000000" w:themeColor="text1"/>
          <w:sz w:val="28"/>
          <w:szCs w:val="28"/>
          <w:lang w:val="es-ES"/>
        </w:rPr>
        <w:t xml:space="preserve"> decidió “abstenerse de abrir investigación penal” y ordenar el archivo de todo lo actuado. Como fundamento</w:t>
      </w:r>
      <w:r w:rsidR="00396A44" w:rsidRPr="00B41EAD">
        <w:rPr>
          <w:color w:val="000000" w:themeColor="text1"/>
          <w:sz w:val="28"/>
          <w:szCs w:val="28"/>
          <w:lang w:val="es-ES"/>
        </w:rPr>
        <w:t xml:space="preserve"> se indicó que “los hechos materia de denuncia se contraen a que el día 18 de agosto de 1996, miembros de la Contraguerrilla Cobra del Batallón </w:t>
      </w:r>
      <w:proofErr w:type="spellStart"/>
      <w:r w:rsidR="00396A44" w:rsidRPr="00B41EAD">
        <w:rPr>
          <w:color w:val="000000" w:themeColor="text1"/>
          <w:sz w:val="28"/>
          <w:szCs w:val="28"/>
          <w:lang w:val="es-ES"/>
        </w:rPr>
        <w:t>Voltígeros</w:t>
      </w:r>
      <w:proofErr w:type="spellEnd"/>
      <w:r w:rsidR="00396A44" w:rsidRPr="00B41EAD">
        <w:rPr>
          <w:color w:val="000000" w:themeColor="text1"/>
          <w:sz w:val="28"/>
          <w:szCs w:val="28"/>
          <w:lang w:val="es-ES"/>
        </w:rPr>
        <w:t xml:space="preserve">, cuando se encontraban realizando un patrullaje de registro y control en la vereda </w:t>
      </w:r>
      <w:proofErr w:type="spellStart"/>
      <w:r w:rsidR="00396A44" w:rsidRPr="00B41EAD">
        <w:rPr>
          <w:color w:val="000000" w:themeColor="text1"/>
          <w:sz w:val="28"/>
          <w:szCs w:val="28"/>
          <w:lang w:val="es-ES"/>
        </w:rPr>
        <w:t>Surrembay</w:t>
      </w:r>
      <w:proofErr w:type="spellEnd"/>
      <w:r w:rsidR="00396A44" w:rsidRPr="00B41EAD">
        <w:rPr>
          <w:color w:val="000000" w:themeColor="text1"/>
          <w:sz w:val="28"/>
          <w:szCs w:val="28"/>
          <w:lang w:val="es-ES"/>
        </w:rPr>
        <w:t>, un grupo de bandoleros los atacaron con armas de corto y largo alcance, reaccionando la tropa y dando como resultado la baja de dos sujetos y la incautación del material de guerra”</w:t>
      </w:r>
      <w:r w:rsidR="00396A44" w:rsidRPr="00B41EAD">
        <w:rPr>
          <w:rStyle w:val="Refdenotaalpie"/>
          <w:color w:val="000000" w:themeColor="text1"/>
          <w:sz w:val="28"/>
          <w:szCs w:val="28"/>
          <w:lang w:val="es-ES"/>
        </w:rPr>
        <w:footnoteReference w:id="82"/>
      </w:r>
      <w:r w:rsidR="00396A44" w:rsidRPr="00B41EAD">
        <w:rPr>
          <w:color w:val="000000" w:themeColor="text1"/>
          <w:sz w:val="28"/>
          <w:szCs w:val="28"/>
          <w:lang w:val="es-ES"/>
        </w:rPr>
        <w:t xml:space="preserve">. </w:t>
      </w:r>
    </w:p>
    <w:p w14:paraId="1E960410" w14:textId="77777777" w:rsidR="00396A44" w:rsidRPr="00B41EAD" w:rsidRDefault="00396A44" w:rsidP="00396A44">
      <w:pPr>
        <w:pStyle w:val="Prrafodelista"/>
        <w:rPr>
          <w:color w:val="000000" w:themeColor="text1"/>
          <w:sz w:val="28"/>
          <w:szCs w:val="28"/>
          <w:lang w:val="es-ES"/>
        </w:rPr>
      </w:pPr>
    </w:p>
    <w:p w14:paraId="47554219" w14:textId="08576456" w:rsidR="00396A44" w:rsidRPr="00B41EAD" w:rsidRDefault="00396A44">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 este modo, la autoridad castrense concluyó </w:t>
      </w:r>
      <w:r w:rsidR="00947B87" w:rsidRPr="00B41EAD">
        <w:rPr>
          <w:color w:val="000000" w:themeColor="text1"/>
          <w:sz w:val="28"/>
          <w:szCs w:val="28"/>
          <w:lang w:val="es-ES"/>
        </w:rPr>
        <w:t>lo siguiente</w:t>
      </w:r>
      <w:r w:rsidRPr="00B41EAD">
        <w:rPr>
          <w:color w:val="000000" w:themeColor="text1"/>
          <w:sz w:val="28"/>
          <w:szCs w:val="28"/>
          <w:lang w:val="es-ES"/>
        </w:rPr>
        <w:t>:</w:t>
      </w:r>
    </w:p>
    <w:p w14:paraId="7C47FDCE" w14:textId="796CB2F3" w:rsidR="00396A44" w:rsidRPr="00B41EAD" w:rsidRDefault="00396A44" w:rsidP="00396A44">
      <w:pPr>
        <w:pStyle w:val="Prrafodelista"/>
        <w:rPr>
          <w:color w:val="000000" w:themeColor="text1"/>
          <w:sz w:val="28"/>
          <w:szCs w:val="28"/>
          <w:lang w:val="es-ES"/>
        </w:rPr>
      </w:pPr>
    </w:p>
    <w:p w14:paraId="5A1A092A" w14:textId="70330A07" w:rsidR="00396A44" w:rsidRPr="00B41EAD" w:rsidRDefault="00396A44" w:rsidP="00947B87">
      <w:pPr>
        <w:pStyle w:val="Prrafodelista"/>
        <w:ind w:left="1134"/>
        <w:jc w:val="both"/>
        <w:rPr>
          <w:color w:val="000000" w:themeColor="text1"/>
          <w:sz w:val="28"/>
          <w:szCs w:val="28"/>
          <w:lang w:val="es-ES"/>
        </w:rPr>
      </w:pPr>
      <w:r w:rsidRPr="00B41EAD">
        <w:rPr>
          <w:color w:val="000000" w:themeColor="text1"/>
          <w:sz w:val="28"/>
          <w:szCs w:val="28"/>
          <w:lang w:val="es-ES"/>
        </w:rPr>
        <w:t>“</w:t>
      </w:r>
      <w:r w:rsidR="00947B87" w:rsidRPr="00B41EAD">
        <w:rPr>
          <w:color w:val="000000" w:themeColor="text1"/>
          <w:sz w:val="28"/>
          <w:szCs w:val="28"/>
          <w:lang w:val="es-ES"/>
        </w:rPr>
        <w:t xml:space="preserve">Analizadas y estudiadas las piezas procesales que obran en el expediente, podemos deducir que tal como lo exigen las normas procedimentales en la materia, nos encontramos frente a una situación de peligro inminente al momento de adelantar la operación, pues fueron atacados intempestivamente con disparos dando como resultado la muerte de dos (2) subversivos y de no haber sido por la reacción rápida y oportuna de los integrantes de la patrulla, otro hubiera sido el resultado con consecuencias seguramente muy nefastas para el personal del Ejército Nacional. […] || Así las cosas, este despacho debe ABSTENERSE de abrir investigación penal, </w:t>
      </w:r>
      <w:proofErr w:type="gramStart"/>
      <w:r w:rsidR="00947B87" w:rsidRPr="00B41EAD">
        <w:rPr>
          <w:color w:val="000000" w:themeColor="text1"/>
          <w:sz w:val="28"/>
          <w:szCs w:val="28"/>
          <w:lang w:val="es-ES"/>
        </w:rPr>
        <w:t>pues</w:t>
      </w:r>
      <w:proofErr w:type="gramEnd"/>
      <w:r w:rsidR="00947B87" w:rsidRPr="00B41EAD">
        <w:rPr>
          <w:color w:val="000000" w:themeColor="text1"/>
          <w:sz w:val="28"/>
          <w:szCs w:val="28"/>
          <w:lang w:val="es-ES"/>
        </w:rPr>
        <w:t xml:space="preserve"> aunque el comportamiento de los militares es típico del punible de homicidio, no es antijurídico ni culpable, ya que actuaron en estricto cumplimiento de un deber legal, en ejercicio de un cargo público y por la necesidad de defender sus vidas y la de sus compañeros contra injusta agresión de que fueron objeto por parte de la guerrilla y probada suficientemente entre agresión y las medidas de defensa</w:t>
      </w:r>
      <w:r w:rsidRPr="00B41EAD">
        <w:rPr>
          <w:color w:val="000000" w:themeColor="text1"/>
          <w:sz w:val="28"/>
          <w:szCs w:val="28"/>
          <w:lang w:val="es-ES"/>
        </w:rPr>
        <w:t>”</w:t>
      </w:r>
      <w:r w:rsidR="00947B87" w:rsidRPr="00B41EAD">
        <w:rPr>
          <w:rStyle w:val="Refdenotaalpie"/>
          <w:color w:val="000000" w:themeColor="text1"/>
          <w:sz w:val="28"/>
          <w:szCs w:val="28"/>
          <w:lang w:val="es-ES"/>
        </w:rPr>
        <w:footnoteReference w:id="83"/>
      </w:r>
      <w:r w:rsidR="00947B87" w:rsidRPr="00B41EAD">
        <w:rPr>
          <w:color w:val="000000" w:themeColor="text1"/>
          <w:sz w:val="28"/>
          <w:szCs w:val="28"/>
          <w:lang w:val="es-ES"/>
        </w:rPr>
        <w:t>.</w:t>
      </w:r>
    </w:p>
    <w:p w14:paraId="7114A8D3" w14:textId="77777777" w:rsidR="00947B87" w:rsidRPr="00B41EAD" w:rsidRDefault="00947B87" w:rsidP="00947B87">
      <w:pPr>
        <w:jc w:val="both"/>
        <w:rPr>
          <w:color w:val="000000" w:themeColor="text1"/>
          <w:sz w:val="28"/>
          <w:szCs w:val="28"/>
          <w:lang w:val="es-ES"/>
        </w:rPr>
      </w:pPr>
    </w:p>
    <w:p w14:paraId="570D16C7" w14:textId="46B1E403" w:rsidR="009E5D30" w:rsidRPr="00B41EAD" w:rsidRDefault="009E5D3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Es evidente que d</w:t>
      </w:r>
      <w:r w:rsidR="007034A5" w:rsidRPr="00B41EAD">
        <w:rPr>
          <w:color w:val="000000" w:themeColor="text1"/>
          <w:sz w:val="28"/>
          <w:szCs w:val="28"/>
          <w:lang w:val="es-ES"/>
        </w:rPr>
        <w:t xml:space="preserve">e esta información de ninguna manera es posible </w:t>
      </w:r>
      <w:r w:rsidR="00F15FCA" w:rsidRPr="00B41EAD">
        <w:rPr>
          <w:color w:val="000000" w:themeColor="text1"/>
          <w:sz w:val="28"/>
          <w:szCs w:val="28"/>
          <w:lang w:val="es-ES"/>
        </w:rPr>
        <w:t>asumir</w:t>
      </w:r>
      <w:r w:rsidR="007034A5" w:rsidRPr="00B41EAD">
        <w:rPr>
          <w:color w:val="000000" w:themeColor="text1"/>
          <w:sz w:val="28"/>
          <w:szCs w:val="28"/>
          <w:lang w:val="es-ES"/>
        </w:rPr>
        <w:t xml:space="preserve"> que los demandantes c</w:t>
      </w:r>
      <w:r w:rsidR="00F15FCA" w:rsidRPr="00B41EAD">
        <w:rPr>
          <w:color w:val="000000" w:themeColor="text1"/>
          <w:sz w:val="28"/>
          <w:szCs w:val="28"/>
          <w:lang w:val="es-ES"/>
        </w:rPr>
        <w:t>onocieron</w:t>
      </w:r>
      <w:r w:rsidR="007034A5" w:rsidRPr="00B41EAD">
        <w:rPr>
          <w:color w:val="000000" w:themeColor="text1"/>
          <w:sz w:val="28"/>
          <w:szCs w:val="28"/>
          <w:lang w:val="es-ES"/>
        </w:rPr>
        <w:t>, exactamente desde el momento del fallecimiento</w:t>
      </w:r>
      <w:r w:rsidR="00E104A6" w:rsidRPr="00B41EAD">
        <w:rPr>
          <w:color w:val="000000" w:themeColor="text1"/>
          <w:sz w:val="28"/>
          <w:szCs w:val="28"/>
          <w:lang w:val="es-ES"/>
        </w:rPr>
        <w:t xml:space="preserve"> de Carlos Mario Durango Vallejo</w:t>
      </w:r>
      <w:r w:rsidR="007034A5" w:rsidRPr="00B41EAD">
        <w:rPr>
          <w:color w:val="000000" w:themeColor="text1"/>
          <w:sz w:val="28"/>
          <w:szCs w:val="28"/>
          <w:lang w:val="es-ES"/>
        </w:rPr>
        <w:t xml:space="preserve">, que se trataba </w:t>
      </w:r>
      <w:r w:rsidR="00E104A6" w:rsidRPr="00B41EAD">
        <w:rPr>
          <w:color w:val="000000" w:themeColor="text1"/>
          <w:sz w:val="28"/>
          <w:szCs w:val="28"/>
          <w:lang w:val="es-ES"/>
        </w:rPr>
        <w:t xml:space="preserve">probablemente </w:t>
      </w:r>
      <w:r w:rsidR="007034A5" w:rsidRPr="00B41EAD">
        <w:rPr>
          <w:color w:val="000000" w:themeColor="text1"/>
          <w:sz w:val="28"/>
          <w:szCs w:val="28"/>
          <w:lang w:val="es-ES"/>
        </w:rPr>
        <w:t>de hechos antijurídicos imputa</w:t>
      </w:r>
      <w:r w:rsidR="000D73E6" w:rsidRPr="00B41EAD">
        <w:rPr>
          <w:color w:val="000000" w:themeColor="text1"/>
          <w:sz w:val="28"/>
          <w:szCs w:val="28"/>
          <w:lang w:val="es-ES"/>
        </w:rPr>
        <w:t>b</w:t>
      </w:r>
      <w:r w:rsidR="007034A5" w:rsidRPr="00B41EAD">
        <w:rPr>
          <w:color w:val="000000" w:themeColor="text1"/>
          <w:sz w:val="28"/>
          <w:szCs w:val="28"/>
          <w:lang w:val="es-ES"/>
        </w:rPr>
        <w:t>les al Estado ante la administración de justicia, como lo exige la jurisprudencia ampliamente reiterada en esta sentencia</w:t>
      </w:r>
      <w:r w:rsidRPr="00B41EAD">
        <w:rPr>
          <w:color w:val="000000" w:themeColor="text1"/>
          <w:sz w:val="28"/>
          <w:szCs w:val="28"/>
          <w:lang w:val="es-ES"/>
        </w:rPr>
        <w:t>, a efectos de contabilizar la caducidad del medio de control</w:t>
      </w:r>
      <w:r w:rsidR="007034A5" w:rsidRPr="00B41EAD">
        <w:rPr>
          <w:color w:val="000000" w:themeColor="text1"/>
          <w:sz w:val="28"/>
          <w:szCs w:val="28"/>
          <w:lang w:val="es-ES"/>
        </w:rPr>
        <w:t>.</w:t>
      </w:r>
    </w:p>
    <w:p w14:paraId="7DF4708A" w14:textId="77777777" w:rsidR="009E5D30" w:rsidRPr="00B41EAD" w:rsidRDefault="009E5D30" w:rsidP="009E5D30">
      <w:pPr>
        <w:pStyle w:val="Prrafodelista"/>
        <w:ind w:left="0"/>
        <w:jc w:val="both"/>
        <w:rPr>
          <w:color w:val="000000" w:themeColor="text1"/>
          <w:sz w:val="28"/>
          <w:szCs w:val="28"/>
          <w:lang w:val="es-ES"/>
        </w:rPr>
      </w:pPr>
    </w:p>
    <w:p w14:paraId="1849B1CE" w14:textId="7F928E36" w:rsidR="00F15FCA" w:rsidRPr="00B41EAD" w:rsidRDefault="00E104A6">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 hecho, lo que se </w:t>
      </w:r>
      <w:r w:rsidR="009E5D30" w:rsidRPr="00B41EAD">
        <w:rPr>
          <w:color w:val="000000" w:themeColor="text1"/>
          <w:sz w:val="28"/>
          <w:szCs w:val="28"/>
          <w:lang w:val="es-ES"/>
        </w:rPr>
        <w:t xml:space="preserve">observa </w:t>
      </w:r>
      <w:r w:rsidRPr="00B41EAD">
        <w:rPr>
          <w:color w:val="000000" w:themeColor="text1"/>
          <w:sz w:val="28"/>
          <w:szCs w:val="28"/>
          <w:lang w:val="es-ES"/>
        </w:rPr>
        <w:t xml:space="preserve">es que, por un lado, los demandantes no tuvieron participación alguna en la investigación adelantada por la jurisdicción penal militar; </w:t>
      </w:r>
      <w:proofErr w:type="gramStart"/>
      <w:r w:rsidRPr="00B41EAD">
        <w:rPr>
          <w:color w:val="000000" w:themeColor="text1"/>
          <w:sz w:val="28"/>
          <w:szCs w:val="28"/>
          <w:lang w:val="es-ES"/>
        </w:rPr>
        <w:t>y</w:t>
      </w:r>
      <w:proofErr w:type="gramEnd"/>
      <w:r w:rsidRPr="00B41EAD">
        <w:rPr>
          <w:color w:val="000000" w:themeColor="text1"/>
          <w:sz w:val="28"/>
          <w:szCs w:val="28"/>
          <w:lang w:val="es-ES"/>
        </w:rPr>
        <w:t xml:space="preserve"> por otro lado, que en el curso de la misma las actuaciones</w:t>
      </w:r>
      <w:r w:rsidR="00F15FCA" w:rsidRPr="00B41EAD">
        <w:rPr>
          <w:color w:val="000000" w:themeColor="text1"/>
          <w:sz w:val="28"/>
          <w:szCs w:val="28"/>
          <w:lang w:val="es-ES"/>
        </w:rPr>
        <w:t xml:space="preserve"> judiciales</w:t>
      </w:r>
      <w:r w:rsidRPr="00B41EAD">
        <w:rPr>
          <w:color w:val="000000" w:themeColor="text1"/>
          <w:sz w:val="28"/>
          <w:szCs w:val="28"/>
          <w:lang w:val="es-ES"/>
        </w:rPr>
        <w:t xml:space="preserve"> mantuvieron </w:t>
      </w:r>
      <w:r w:rsidR="00F15FCA" w:rsidRPr="00B41EAD">
        <w:rPr>
          <w:color w:val="000000" w:themeColor="text1"/>
          <w:sz w:val="28"/>
          <w:szCs w:val="28"/>
          <w:lang w:val="es-ES"/>
        </w:rPr>
        <w:t>la legalidad del operativo militar</w:t>
      </w:r>
      <w:r w:rsidR="009E5D30" w:rsidRPr="00B41EAD">
        <w:rPr>
          <w:color w:val="000000" w:themeColor="text1"/>
          <w:sz w:val="28"/>
          <w:szCs w:val="28"/>
          <w:lang w:val="es-ES"/>
        </w:rPr>
        <w:t xml:space="preserve"> que terminó con la vida del señor Durango Vallejo, insistiendo en que los hechos no se enmarcaban en una actuación antijurídica por parte de los agentes del Estado. </w:t>
      </w:r>
      <w:r w:rsidR="00F15FCA" w:rsidRPr="00B41EAD">
        <w:rPr>
          <w:color w:val="000000" w:themeColor="text1"/>
          <w:sz w:val="28"/>
          <w:szCs w:val="28"/>
          <w:lang w:val="es-ES"/>
        </w:rPr>
        <w:t xml:space="preserve"> </w:t>
      </w:r>
    </w:p>
    <w:p w14:paraId="4C3AA18E" w14:textId="77777777" w:rsidR="00911375" w:rsidRPr="00B41EAD" w:rsidRDefault="00911375" w:rsidP="00911375">
      <w:pPr>
        <w:pStyle w:val="Prrafodelista"/>
        <w:ind w:left="0"/>
        <w:jc w:val="both"/>
        <w:rPr>
          <w:color w:val="000000" w:themeColor="text1"/>
          <w:sz w:val="28"/>
          <w:szCs w:val="28"/>
          <w:lang w:val="es-ES"/>
        </w:rPr>
      </w:pPr>
    </w:p>
    <w:p w14:paraId="0B09B231" w14:textId="5547F217" w:rsidR="004E767E" w:rsidRPr="00B41EAD" w:rsidRDefault="00F15FCA">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Ahora bien, </w:t>
      </w:r>
      <w:r w:rsidR="00601C64" w:rsidRPr="00B41EAD">
        <w:rPr>
          <w:color w:val="000000" w:themeColor="text1"/>
          <w:sz w:val="28"/>
          <w:szCs w:val="28"/>
          <w:lang w:val="es-ES"/>
        </w:rPr>
        <w:t xml:space="preserve">de acuerdo con el expediente, </w:t>
      </w:r>
      <w:r w:rsidR="00137C74" w:rsidRPr="00B41EAD">
        <w:rPr>
          <w:color w:val="000000" w:themeColor="text1"/>
          <w:sz w:val="28"/>
          <w:szCs w:val="28"/>
          <w:lang w:val="es-ES"/>
        </w:rPr>
        <w:t>desde el año 201</w:t>
      </w:r>
      <w:r w:rsidR="00A603DE" w:rsidRPr="00B41EAD">
        <w:rPr>
          <w:color w:val="000000" w:themeColor="text1"/>
          <w:sz w:val="28"/>
          <w:szCs w:val="28"/>
          <w:lang w:val="es-ES"/>
        </w:rPr>
        <w:t>6</w:t>
      </w:r>
      <w:r w:rsidR="00137C74" w:rsidRPr="00B41EAD">
        <w:rPr>
          <w:color w:val="000000" w:themeColor="text1"/>
          <w:sz w:val="28"/>
          <w:szCs w:val="28"/>
          <w:lang w:val="es-ES"/>
        </w:rPr>
        <w:t xml:space="preserve"> </w:t>
      </w:r>
      <w:r w:rsidR="00A603DE" w:rsidRPr="00B41EAD">
        <w:rPr>
          <w:color w:val="000000" w:themeColor="text1"/>
          <w:sz w:val="28"/>
          <w:szCs w:val="28"/>
          <w:lang w:val="es-ES"/>
        </w:rPr>
        <w:t xml:space="preserve">los demandantes intentaron tener acceso a la información </w:t>
      </w:r>
      <w:r w:rsidR="00687E63" w:rsidRPr="00B41EAD">
        <w:rPr>
          <w:color w:val="000000" w:themeColor="text1"/>
          <w:sz w:val="28"/>
          <w:szCs w:val="28"/>
          <w:lang w:val="es-ES"/>
        </w:rPr>
        <w:t>de la causa penal</w:t>
      </w:r>
      <w:r w:rsidR="00A603DE" w:rsidRPr="00B41EAD">
        <w:rPr>
          <w:color w:val="000000" w:themeColor="text1"/>
          <w:sz w:val="28"/>
          <w:szCs w:val="28"/>
          <w:lang w:val="es-ES"/>
        </w:rPr>
        <w:t xml:space="preserve">. Inicialmente, </w:t>
      </w:r>
      <w:r w:rsidR="00687E63" w:rsidRPr="00B41EAD">
        <w:rPr>
          <w:color w:val="000000" w:themeColor="text1"/>
          <w:sz w:val="28"/>
          <w:szCs w:val="28"/>
          <w:lang w:val="es-ES"/>
        </w:rPr>
        <w:t xml:space="preserve">el </w:t>
      </w:r>
      <w:r w:rsidR="00A603DE" w:rsidRPr="00B41EAD">
        <w:rPr>
          <w:color w:val="000000" w:themeColor="text1"/>
          <w:sz w:val="28"/>
          <w:szCs w:val="28"/>
          <w:lang w:val="es-ES"/>
        </w:rPr>
        <w:t xml:space="preserve">9 de diciembre de ese año, la Unidad Seccional de Fiscalía </w:t>
      </w:r>
      <w:proofErr w:type="gramStart"/>
      <w:r w:rsidR="00A603DE" w:rsidRPr="00B41EAD">
        <w:rPr>
          <w:color w:val="000000" w:themeColor="text1"/>
          <w:sz w:val="28"/>
          <w:szCs w:val="28"/>
          <w:lang w:val="es-ES"/>
        </w:rPr>
        <w:t>Delegada</w:t>
      </w:r>
      <w:proofErr w:type="gramEnd"/>
      <w:r w:rsidR="00A603DE" w:rsidRPr="00B41EAD">
        <w:rPr>
          <w:color w:val="000000" w:themeColor="text1"/>
          <w:sz w:val="28"/>
          <w:szCs w:val="28"/>
          <w:lang w:val="es-ES"/>
        </w:rPr>
        <w:t xml:space="preserve"> ante los Jueces Penales del Circuito de Apartadó</w:t>
      </w:r>
      <w:r w:rsidR="00601C64" w:rsidRPr="00B41EAD">
        <w:rPr>
          <w:color w:val="000000" w:themeColor="text1"/>
          <w:sz w:val="28"/>
          <w:szCs w:val="28"/>
          <w:lang w:val="es-ES"/>
        </w:rPr>
        <w:t xml:space="preserve"> comunicó</w:t>
      </w:r>
      <w:r w:rsidR="00A603DE" w:rsidRPr="00B41EAD">
        <w:rPr>
          <w:color w:val="000000" w:themeColor="text1"/>
          <w:sz w:val="28"/>
          <w:szCs w:val="28"/>
          <w:lang w:val="es-ES"/>
        </w:rPr>
        <w:t xml:space="preserve"> a la señora Fabiola </w:t>
      </w:r>
      <w:proofErr w:type="spellStart"/>
      <w:r w:rsidR="00A603DE" w:rsidRPr="00B41EAD">
        <w:rPr>
          <w:color w:val="000000" w:themeColor="text1"/>
          <w:sz w:val="28"/>
          <w:szCs w:val="28"/>
          <w:lang w:val="es-ES"/>
        </w:rPr>
        <w:t>Tilano</w:t>
      </w:r>
      <w:proofErr w:type="spellEnd"/>
      <w:r w:rsidR="00A603DE" w:rsidRPr="00B41EAD">
        <w:rPr>
          <w:color w:val="000000" w:themeColor="text1"/>
          <w:sz w:val="28"/>
          <w:szCs w:val="28"/>
          <w:lang w:val="es-ES"/>
        </w:rPr>
        <w:t xml:space="preserve"> Arboleda, en su calidad de compañera permanente de la</w:t>
      </w:r>
      <w:r w:rsidR="004E767E" w:rsidRPr="00B41EAD">
        <w:rPr>
          <w:color w:val="000000" w:themeColor="text1"/>
          <w:sz w:val="28"/>
          <w:szCs w:val="28"/>
          <w:lang w:val="es-ES"/>
        </w:rPr>
        <w:t xml:space="preserve"> presunta</w:t>
      </w:r>
      <w:r w:rsidR="00A603DE" w:rsidRPr="00B41EAD">
        <w:rPr>
          <w:color w:val="000000" w:themeColor="text1"/>
          <w:sz w:val="28"/>
          <w:szCs w:val="28"/>
          <w:lang w:val="es-ES"/>
        </w:rPr>
        <w:t xml:space="preserve"> víctima directa, que</w:t>
      </w:r>
      <w:r w:rsidR="004E767E" w:rsidRPr="00B41EAD">
        <w:rPr>
          <w:color w:val="000000" w:themeColor="text1"/>
          <w:sz w:val="28"/>
          <w:szCs w:val="28"/>
          <w:lang w:val="es-ES"/>
        </w:rPr>
        <w:t>:</w:t>
      </w:r>
    </w:p>
    <w:p w14:paraId="0C8C7085" w14:textId="77777777" w:rsidR="004E767E" w:rsidRPr="00B41EAD" w:rsidRDefault="004E767E" w:rsidP="004E767E">
      <w:pPr>
        <w:pStyle w:val="Prrafodelista"/>
        <w:ind w:left="0"/>
        <w:jc w:val="both"/>
        <w:rPr>
          <w:color w:val="000000" w:themeColor="text1"/>
          <w:sz w:val="28"/>
          <w:szCs w:val="28"/>
          <w:lang w:val="es-ES"/>
        </w:rPr>
      </w:pPr>
    </w:p>
    <w:p w14:paraId="3F194A03" w14:textId="34291A16" w:rsidR="00A603DE" w:rsidRPr="00B41EAD" w:rsidRDefault="00A603DE" w:rsidP="004E767E">
      <w:pPr>
        <w:pStyle w:val="Prrafodelista"/>
        <w:ind w:left="567"/>
        <w:jc w:val="both"/>
        <w:rPr>
          <w:color w:val="000000" w:themeColor="text1"/>
          <w:sz w:val="28"/>
          <w:szCs w:val="28"/>
          <w:lang w:val="es-ES"/>
        </w:rPr>
      </w:pPr>
      <w:r w:rsidRPr="00B41EAD">
        <w:rPr>
          <w:color w:val="000000" w:themeColor="text1"/>
          <w:sz w:val="28"/>
          <w:szCs w:val="28"/>
          <w:lang w:val="es-ES"/>
        </w:rPr>
        <w:t xml:space="preserve">“revisados los libros </w:t>
      </w:r>
      <w:proofErr w:type="spellStart"/>
      <w:r w:rsidRPr="00B41EAD">
        <w:rPr>
          <w:color w:val="000000" w:themeColor="text1"/>
          <w:sz w:val="28"/>
          <w:szCs w:val="28"/>
          <w:lang w:val="es-ES"/>
        </w:rPr>
        <w:t>radi</w:t>
      </w:r>
      <w:r w:rsidR="004B3097" w:rsidRPr="00B41EAD">
        <w:rPr>
          <w:color w:val="000000" w:themeColor="text1"/>
          <w:sz w:val="28"/>
          <w:szCs w:val="28"/>
          <w:lang w:val="es-ES"/>
        </w:rPr>
        <w:t>c</w:t>
      </w:r>
      <w:r w:rsidRPr="00B41EAD">
        <w:rPr>
          <w:color w:val="000000" w:themeColor="text1"/>
          <w:sz w:val="28"/>
          <w:szCs w:val="28"/>
          <w:lang w:val="es-ES"/>
        </w:rPr>
        <w:t>adores</w:t>
      </w:r>
      <w:proofErr w:type="spellEnd"/>
      <w:r w:rsidRPr="00B41EAD">
        <w:rPr>
          <w:color w:val="000000" w:themeColor="text1"/>
          <w:sz w:val="28"/>
          <w:szCs w:val="28"/>
          <w:lang w:val="es-ES"/>
        </w:rPr>
        <w:t xml:space="preserve"> que se llevan en esta unidad </w:t>
      </w:r>
      <w:r w:rsidR="004E767E" w:rsidRPr="00B41EAD">
        <w:rPr>
          <w:color w:val="000000" w:themeColor="text1"/>
          <w:sz w:val="28"/>
          <w:szCs w:val="28"/>
          <w:lang w:val="es-ES"/>
        </w:rPr>
        <w:t xml:space="preserve">de Fiscalía se encontró, en el libro de radicados varios, en la página 154, la siguiente anotación: Radicado No. 234, víctima Carlos Mario Durango y NN, Sindicado: Ejército, hechos agosto 19 de 1996 (paraje </w:t>
      </w:r>
      <w:proofErr w:type="spellStart"/>
      <w:r w:rsidR="004E767E" w:rsidRPr="00B41EAD">
        <w:rPr>
          <w:color w:val="000000" w:themeColor="text1"/>
          <w:sz w:val="28"/>
          <w:szCs w:val="28"/>
          <w:lang w:val="es-ES"/>
        </w:rPr>
        <w:t>Surrambay</w:t>
      </w:r>
      <w:proofErr w:type="spellEnd"/>
      <w:r w:rsidR="004E767E" w:rsidRPr="00B41EAD">
        <w:rPr>
          <w:color w:val="000000" w:themeColor="text1"/>
          <w:sz w:val="28"/>
          <w:szCs w:val="28"/>
          <w:lang w:val="es-ES"/>
        </w:rPr>
        <w:t xml:space="preserve">), y señala que el 28 de octubre de 1996 se remitieron las diligencias al Juzgado Penal Militar por competencia. Por lo anterior, se le sugiere dirigirse a los Jueces de </w:t>
      </w:r>
      <w:r w:rsidR="004E767E" w:rsidRPr="00B41EAD">
        <w:rPr>
          <w:color w:val="000000" w:themeColor="text1"/>
          <w:sz w:val="28"/>
          <w:szCs w:val="28"/>
          <w:lang w:val="es-ES"/>
        </w:rPr>
        <w:lastRenderedPageBreak/>
        <w:t>Instrucción Penal Militar con sede en la Brigada XVII de Carepa, Antioquia</w:t>
      </w:r>
      <w:r w:rsidRPr="00B41EAD">
        <w:rPr>
          <w:color w:val="000000" w:themeColor="text1"/>
          <w:sz w:val="28"/>
          <w:szCs w:val="28"/>
          <w:lang w:val="es-ES"/>
        </w:rPr>
        <w:t>”</w:t>
      </w:r>
      <w:r w:rsidR="004E767E" w:rsidRPr="00B41EAD">
        <w:rPr>
          <w:rStyle w:val="Refdenotaalpie"/>
          <w:color w:val="000000" w:themeColor="text1"/>
          <w:sz w:val="28"/>
          <w:szCs w:val="28"/>
          <w:lang w:val="es-ES"/>
        </w:rPr>
        <w:footnoteReference w:id="84"/>
      </w:r>
      <w:r w:rsidR="004E767E" w:rsidRPr="00B41EAD">
        <w:rPr>
          <w:color w:val="000000" w:themeColor="text1"/>
          <w:sz w:val="28"/>
          <w:szCs w:val="28"/>
          <w:lang w:val="es-ES"/>
        </w:rPr>
        <w:t>.</w:t>
      </w:r>
    </w:p>
    <w:p w14:paraId="4192368E" w14:textId="2143BF94" w:rsidR="00A603DE" w:rsidRPr="00B41EAD" w:rsidRDefault="00A603DE" w:rsidP="00A603DE">
      <w:pPr>
        <w:pStyle w:val="Prrafodelista"/>
        <w:ind w:left="0"/>
        <w:jc w:val="both"/>
        <w:rPr>
          <w:color w:val="000000" w:themeColor="text1"/>
          <w:sz w:val="28"/>
          <w:szCs w:val="28"/>
          <w:lang w:val="es-ES"/>
        </w:rPr>
      </w:pPr>
      <w:r w:rsidRPr="00B41EAD">
        <w:rPr>
          <w:color w:val="000000" w:themeColor="text1"/>
          <w:sz w:val="28"/>
          <w:szCs w:val="28"/>
          <w:lang w:val="es-ES"/>
        </w:rPr>
        <w:t xml:space="preserve"> </w:t>
      </w:r>
    </w:p>
    <w:p w14:paraId="59653239" w14:textId="45BF310E" w:rsidR="00231E6C" w:rsidRPr="00B41EAD" w:rsidRDefault="004E767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Con posterioridad, </w:t>
      </w:r>
      <w:r w:rsidR="00A603DE" w:rsidRPr="00B41EAD">
        <w:rPr>
          <w:color w:val="000000" w:themeColor="text1"/>
          <w:sz w:val="28"/>
          <w:szCs w:val="28"/>
          <w:lang w:val="es-ES"/>
        </w:rPr>
        <w:t xml:space="preserve">el 6 de marzo de </w:t>
      </w:r>
      <w:r w:rsidRPr="00B41EAD">
        <w:rPr>
          <w:color w:val="000000" w:themeColor="text1"/>
          <w:sz w:val="28"/>
          <w:szCs w:val="28"/>
          <w:lang w:val="es-ES"/>
        </w:rPr>
        <w:t>2017</w:t>
      </w:r>
      <w:r w:rsidR="00A603DE" w:rsidRPr="00B41EAD">
        <w:rPr>
          <w:color w:val="000000" w:themeColor="text1"/>
          <w:sz w:val="28"/>
          <w:szCs w:val="28"/>
          <w:lang w:val="es-ES"/>
        </w:rPr>
        <w:t xml:space="preserve">, el Juzgado 94 de Instrucción Penal Militar negó el acceso a la información solicitada por la señora </w:t>
      </w:r>
      <w:proofErr w:type="spellStart"/>
      <w:r w:rsidR="00A603DE" w:rsidRPr="00B41EAD">
        <w:rPr>
          <w:color w:val="000000" w:themeColor="text1"/>
          <w:sz w:val="28"/>
          <w:szCs w:val="28"/>
          <w:lang w:val="es-ES"/>
        </w:rPr>
        <w:t>Tilano</w:t>
      </w:r>
      <w:proofErr w:type="spellEnd"/>
      <w:r w:rsidR="00A603DE" w:rsidRPr="00B41EAD">
        <w:rPr>
          <w:color w:val="000000" w:themeColor="text1"/>
          <w:sz w:val="28"/>
          <w:szCs w:val="28"/>
          <w:lang w:val="es-ES"/>
        </w:rPr>
        <w:t xml:space="preserve"> Arboleda,</w:t>
      </w:r>
      <w:r w:rsidRPr="00B41EAD">
        <w:rPr>
          <w:color w:val="000000" w:themeColor="text1"/>
          <w:sz w:val="28"/>
          <w:szCs w:val="28"/>
          <w:lang w:val="es-ES"/>
        </w:rPr>
        <w:t xml:space="preserve"> </w:t>
      </w:r>
      <w:r w:rsidR="00A603DE" w:rsidRPr="00B41EAD">
        <w:rPr>
          <w:color w:val="000000" w:themeColor="text1"/>
          <w:sz w:val="28"/>
          <w:szCs w:val="28"/>
          <w:lang w:val="es-ES"/>
        </w:rPr>
        <w:t xml:space="preserve">tras advertir que no se había acreditado su relación o parentesco con el señor Carlos Mario Durango Vallejo. Ante esta situación, el </w:t>
      </w:r>
      <w:r w:rsidRPr="00B41EAD">
        <w:rPr>
          <w:color w:val="000000" w:themeColor="text1"/>
          <w:sz w:val="28"/>
          <w:szCs w:val="28"/>
          <w:lang w:val="es-ES"/>
        </w:rPr>
        <w:t xml:space="preserve">28 de marzo siguiente, la peticionaria allegó declaraciones </w:t>
      </w:r>
      <w:proofErr w:type="spellStart"/>
      <w:r w:rsidRPr="00B41EAD">
        <w:rPr>
          <w:color w:val="000000" w:themeColor="text1"/>
          <w:sz w:val="28"/>
          <w:szCs w:val="28"/>
          <w:lang w:val="es-ES"/>
        </w:rPr>
        <w:t>extrajuicio</w:t>
      </w:r>
      <w:proofErr w:type="spellEnd"/>
      <w:r w:rsidRPr="00B41EAD">
        <w:rPr>
          <w:color w:val="000000" w:themeColor="text1"/>
          <w:sz w:val="28"/>
          <w:szCs w:val="28"/>
          <w:lang w:val="es-ES"/>
        </w:rPr>
        <w:t xml:space="preserve"> para acreditar su vínculo</w:t>
      </w:r>
      <w:r w:rsidR="00231E6C" w:rsidRPr="00B41EAD">
        <w:rPr>
          <w:color w:val="000000" w:themeColor="text1"/>
          <w:sz w:val="28"/>
          <w:szCs w:val="28"/>
          <w:lang w:val="es-ES"/>
        </w:rPr>
        <w:t>;</w:t>
      </w:r>
      <w:r w:rsidRPr="00B41EAD">
        <w:rPr>
          <w:color w:val="000000" w:themeColor="text1"/>
          <w:sz w:val="28"/>
          <w:szCs w:val="28"/>
          <w:lang w:val="es-ES"/>
        </w:rPr>
        <w:t xml:space="preserve"> y a la </w:t>
      </w:r>
      <w:r w:rsidR="00687E63" w:rsidRPr="00B41EAD">
        <w:rPr>
          <w:color w:val="000000" w:themeColor="text1"/>
          <w:sz w:val="28"/>
          <w:szCs w:val="28"/>
          <w:lang w:val="es-ES"/>
        </w:rPr>
        <w:t>solicitud</w:t>
      </w:r>
      <w:r w:rsidRPr="00B41EAD">
        <w:rPr>
          <w:color w:val="000000" w:themeColor="text1"/>
          <w:sz w:val="28"/>
          <w:szCs w:val="28"/>
          <w:lang w:val="es-ES"/>
        </w:rPr>
        <w:t xml:space="preserve"> se unió Paola Andrea Durango </w:t>
      </w:r>
      <w:proofErr w:type="spellStart"/>
      <w:r w:rsidRPr="00B41EAD">
        <w:rPr>
          <w:color w:val="000000" w:themeColor="text1"/>
          <w:sz w:val="28"/>
          <w:szCs w:val="28"/>
          <w:lang w:val="es-ES"/>
        </w:rPr>
        <w:t>Tilano</w:t>
      </w:r>
      <w:proofErr w:type="spellEnd"/>
      <w:r w:rsidRPr="00B41EAD">
        <w:rPr>
          <w:color w:val="000000" w:themeColor="text1"/>
          <w:sz w:val="28"/>
          <w:szCs w:val="28"/>
          <w:lang w:val="es-ES"/>
        </w:rPr>
        <w:t xml:space="preserve">, en su calidad de hija. En respuesta, el </w:t>
      </w:r>
      <w:r w:rsidR="00231E6C" w:rsidRPr="00B41EAD">
        <w:rPr>
          <w:color w:val="000000" w:themeColor="text1"/>
          <w:sz w:val="28"/>
          <w:szCs w:val="28"/>
          <w:lang w:val="es-ES"/>
        </w:rPr>
        <w:t>27 de abril de 2017 el Juzgado 94 de Instrucción Penal Militar accedió a la solicitud y entregó 145 folios contentivos de la investigación preliminar.</w:t>
      </w:r>
      <w:r w:rsidR="00D90696" w:rsidRPr="00B41EAD">
        <w:rPr>
          <w:color w:val="000000" w:themeColor="text1"/>
          <w:sz w:val="28"/>
          <w:szCs w:val="28"/>
          <w:lang w:val="es-ES"/>
        </w:rPr>
        <w:t xml:space="preserve"> Después</w:t>
      </w:r>
      <w:r w:rsidR="00231E6C" w:rsidRPr="00B41EAD">
        <w:rPr>
          <w:color w:val="000000" w:themeColor="text1"/>
          <w:sz w:val="28"/>
          <w:szCs w:val="28"/>
          <w:lang w:val="es-ES"/>
        </w:rPr>
        <w:t>, el 24 de julio de 2020, el Juzgado 94 de Instrucción Penal Militar</w:t>
      </w:r>
      <w:r w:rsidR="00D90696" w:rsidRPr="00B41EAD">
        <w:rPr>
          <w:color w:val="000000" w:themeColor="text1"/>
          <w:sz w:val="28"/>
          <w:szCs w:val="28"/>
          <w:lang w:val="es-ES"/>
        </w:rPr>
        <w:t xml:space="preserve"> entregó al ahora apoderado de los demandantes lo que sería el expediente de la investigación preliminar, ya no en 145 folios, sino en 93</w:t>
      </w:r>
      <w:r w:rsidR="00D90696" w:rsidRPr="00B41EAD">
        <w:rPr>
          <w:rStyle w:val="Refdenotaalpie"/>
          <w:color w:val="000000" w:themeColor="text1"/>
          <w:sz w:val="28"/>
          <w:szCs w:val="28"/>
          <w:lang w:val="es-ES"/>
        </w:rPr>
        <w:footnoteReference w:id="85"/>
      </w:r>
      <w:r w:rsidR="00544AF2" w:rsidRPr="00B41EAD">
        <w:rPr>
          <w:color w:val="000000" w:themeColor="text1"/>
          <w:sz w:val="28"/>
          <w:szCs w:val="28"/>
          <w:lang w:val="es-ES"/>
        </w:rPr>
        <w:t>.</w:t>
      </w:r>
    </w:p>
    <w:p w14:paraId="3845597A" w14:textId="77777777" w:rsidR="00D90696" w:rsidRPr="00B41EAD" w:rsidRDefault="00D90696" w:rsidP="00D90696">
      <w:pPr>
        <w:pStyle w:val="Prrafodelista"/>
        <w:ind w:left="0"/>
        <w:jc w:val="both"/>
        <w:rPr>
          <w:color w:val="000000" w:themeColor="text1"/>
          <w:sz w:val="28"/>
          <w:szCs w:val="28"/>
          <w:lang w:val="es-ES"/>
        </w:rPr>
      </w:pPr>
    </w:p>
    <w:p w14:paraId="0E6A3EF7" w14:textId="763399B7" w:rsidR="00687E63" w:rsidRPr="00B41EAD" w:rsidRDefault="00D90696">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Ni el contenido de </w:t>
      </w:r>
      <w:r w:rsidR="001E4AE1" w:rsidRPr="00B41EAD">
        <w:rPr>
          <w:color w:val="000000" w:themeColor="text1"/>
          <w:sz w:val="28"/>
          <w:szCs w:val="28"/>
          <w:lang w:val="es-ES"/>
        </w:rPr>
        <w:t xml:space="preserve">la investigación preliminar adelantada por la Jurisdicción Penal Militar, ni </w:t>
      </w:r>
      <w:r w:rsidR="00687E63" w:rsidRPr="00B41EAD">
        <w:rPr>
          <w:color w:val="000000" w:themeColor="text1"/>
          <w:sz w:val="28"/>
          <w:szCs w:val="28"/>
          <w:lang w:val="es-ES"/>
        </w:rPr>
        <w:t xml:space="preserve">las dificultades en el </w:t>
      </w:r>
      <w:r w:rsidR="001E4AE1" w:rsidRPr="00B41EAD">
        <w:rPr>
          <w:color w:val="000000" w:themeColor="text1"/>
          <w:sz w:val="28"/>
          <w:szCs w:val="28"/>
          <w:lang w:val="es-ES"/>
        </w:rPr>
        <w:t>acceso a la misma por la parte demandante, fue</w:t>
      </w:r>
      <w:r w:rsidR="00687E63" w:rsidRPr="00B41EAD">
        <w:rPr>
          <w:color w:val="000000" w:themeColor="text1"/>
          <w:sz w:val="28"/>
          <w:szCs w:val="28"/>
          <w:lang w:val="es-ES"/>
        </w:rPr>
        <w:t xml:space="preserve">ron </w:t>
      </w:r>
      <w:r w:rsidR="001E4AE1" w:rsidRPr="00B41EAD">
        <w:rPr>
          <w:color w:val="000000" w:themeColor="text1"/>
          <w:sz w:val="28"/>
          <w:szCs w:val="28"/>
          <w:lang w:val="es-ES"/>
        </w:rPr>
        <w:t>tenida</w:t>
      </w:r>
      <w:r w:rsidR="00687E63" w:rsidRPr="00B41EAD">
        <w:rPr>
          <w:color w:val="000000" w:themeColor="text1"/>
          <w:sz w:val="28"/>
          <w:szCs w:val="28"/>
          <w:lang w:val="es-ES"/>
        </w:rPr>
        <w:t>s</w:t>
      </w:r>
      <w:r w:rsidR="001E4AE1" w:rsidRPr="00B41EAD">
        <w:rPr>
          <w:color w:val="000000" w:themeColor="text1"/>
          <w:sz w:val="28"/>
          <w:szCs w:val="28"/>
          <w:lang w:val="es-ES"/>
        </w:rPr>
        <w:t xml:space="preserve"> en cuenta expresamente por la Subsección C de la Sección Tercera del Consejo de Estado a la hora de </w:t>
      </w:r>
      <w:r w:rsidR="005E3BEE" w:rsidRPr="00B41EAD">
        <w:rPr>
          <w:color w:val="000000" w:themeColor="text1"/>
          <w:sz w:val="28"/>
          <w:szCs w:val="28"/>
          <w:lang w:val="es-ES"/>
        </w:rPr>
        <w:t xml:space="preserve">determinar </w:t>
      </w:r>
      <w:r w:rsidR="00687E63" w:rsidRPr="00B41EAD">
        <w:rPr>
          <w:color w:val="000000" w:themeColor="text1"/>
          <w:sz w:val="28"/>
          <w:szCs w:val="28"/>
          <w:lang w:val="es-ES"/>
        </w:rPr>
        <w:t xml:space="preserve">indebidamente </w:t>
      </w:r>
      <w:r w:rsidR="005E3BEE" w:rsidRPr="00B41EAD">
        <w:rPr>
          <w:color w:val="000000" w:themeColor="text1"/>
          <w:sz w:val="28"/>
          <w:szCs w:val="28"/>
          <w:lang w:val="es-ES"/>
        </w:rPr>
        <w:t>que el término de caducidad del medio de control debía contabilizarse desde el momento en el que falleció el señor Durango Vallejo.</w:t>
      </w:r>
      <w:r w:rsidR="009E1F69" w:rsidRPr="00B41EAD">
        <w:rPr>
          <w:color w:val="000000" w:themeColor="text1"/>
          <w:sz w:val="28"/>
          <w:szCs w:val="28"/>
          <w:lang w:val="es-ES"/>
        </w:rPr>
        <w:t xml:space="preserve"> A esto se suma una ausencia total de un análisis de contexto que tuviera en cuenta que el asunto se enmarcaba en una posible ejecución extrajudicial, como se explicará más adelante.</w:t>
      </w:r>
    </w:p>
    <w:p w14:paraId="1CFE3903" w14:textId="77777777" w:rsidR="00687E63" w:rsidRPr="00B41EAD" w:rsidRDefault="00687E63" w:rsidP="00687E63">
      <w:pPr>
        <w:pStyle w:val="Prrafodelista"/>
        <w:rPr>
          <w:color w:val="000000" w:themeColor="text1"/>
          <w:sz w:val="28"/>
          <w:szCs w:val="28"/>
          <w:lang w:val="es-ES"/>
        </w:rPr>
      </w:pPr>
    </w:p>
    <w:p w14:paraId="3BA64988" w14:textId="05190C57" w:rsidR="0062275D" w:rsidRPr="00B41EAD" w:rsidRDefault="00687E6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Ahora, </w:t>
      </w:r>
      <w:r w:rsidR="005E3BEE" w:rsidRPr="00B41EAD">
        <w:rPr>
          <w:color w:val="000000" w:themeColor="text1"/>
          <w:sz w:val="28"/>
          <w:szCs w:val="28"/>
          <w:lang w:val="es-ES"/>
        </w:rPr>
        <w:t>si bien el agotamiento del proceso penal no es imprescindible para la activación de la Jurisdicción de lo Contencioso Administrativ</w:t>
      </w:r>
      <w:r w:rsidR="00A7042A" w:rsidRPr="00B41EAD">
        <w:rPr>
          <w:color w:val="000000" w:themeColor="text1"/>
          <w:sz w:val="28"/>
          <w:szCs w:val="28"/>
          <w:lang w:val="es-ES"/>
        </w:rPr>
        <w:t>a</w:t>
      </w:r>
      <w:r w:rsidR="005E3BEE" w:rsidRPr="00B41EAD">
        <w:rPr>
          <w:color w:val="000000" w:themeColor="text1"/>
          <w:sz w:val="28"/>
          <w:szCs w:val="28"/>
          <w:lang w:val="es-ES"/>
        </w:rPr>
        <w:t xml:space="preserve">, lo cierto es que </w:t>
      </w:r>
      <w:r w:rsidR="00255D92" w:rsidRPr="00B41EAD">
        <w:rPr>
          <w:color w:val="000000" w:themeColor="text1"/>
          <w:sz w:val="28"/>
          <w:szCs w:val="28"/>
          <w:lang w:val="es-ES"/>
        </w:rPr>
        <w:t xml:space="preserve">en este caso </w:t>
      </w:r>
      <w:r w:rsidR="005E3BEE" w:rsidRPr="00B41EAD">
        <w:rPr>
          <w:color w:val="000000" w:themeColor="text1"/>
          <w:sz w:val="28"/>
          <w:szCs w:val="28"/>
          <w:lang w:val="es-ES"/>
        </w:rPr>
        <w:t xml:space="preserve">la autoridad judicial accionada </w:t>
      </w:r>
      <w:r w:rsidR="00255D92" w:rsidRPr="00B41EAD">
        <w:rPr>
          <w:color w:val="000000" w:themeColor="text1"/>
          <w:sz w:val="28"/>
          <w:szCs w:val="28"/>
          <w:lang w:val="es-ES"/>
        </w:rPr>
        <w:t>estaba llamada a tener en cuenta que,</w:t>
      </w:r>
      <w:r w:rsidR="004B3097" w:rsidRPr="00B41EAD">
        <w:rPr>
          <w:color w:val="000000" w:themeColor="text1"/>
          <w:sz w:val="28"/>
          <w:szCs w:val="28"/>
          <w:lang w:val="es-ES"/>
        </w:rPr>
        <w:t xml:space="preserve"> habiendo tenido acceso al expediente del trámite penal, </w:t>
      </w:r>
      <w:r w:rsidR="00255D92" w:rsidRPr="00B41EAD">
        <w:rPr>
          <w:color w:val="000000" w:themeColor="text1"/>
          <w:sz w:val="28"/>
          <w:szCs w:val="28"/>
          <w:lang w:val="es-ES"/>
        </w:rPr>
        <w:t xml:space="preserve">de </w:t>
      </w:r>
      <w:r w:rsidR="004B3097" w:rsidRPr="00B41EAD">
        <w:rPr>
          <w:color w:val="000000" w:themeColor="text1"/>
          <w:sz w:val="28"/>
          <w:szCs w:val="28"/>
          <w:lang w:val="es-ES"/>
        </w:rPr>
        <w:t>ninguna de las pruebas disponibles</w:t>
      </w:r>
      <w:r w:rsidR="00255D92" w:rsidRPr="00B41EAD">
        <w:rPr>
          <w:color w:val="000000" w:themeColor="text1"/>
          <w:sz w:val="28"/>
          <w:szCs w:val="28"/>
          <w:lang w:val="es-ES"/>
        </w:rPr>
        <w:t xml:space="preserve"> era posible </w:t>
      </w:r>
      <w:r w:rsidR="0062275D" w:rsidRPr="00B41EAD">
        <w:rPr>
          <w:color w:val="000000" w:themeColor="text1"/>
          <w:sz w:val="28"/>
          <w:szCs w:val="28"/>
          <w:lang w:val="es-ES"/>
        </w:rPr>
        <w:t>determinar</w:t>
      </w:r>
      <w:r w:rsidR="00255D92" w:rsidRPr="00B41EAD">
        <w:rPr>
          <w:color w:val="000000" w:themeColor="text1"/>
          <w:sz w:val="28"/>
          <w:szCs w:val="28"/>
          <w:lang w:val="es-ES"/>
        </w:rPr>
        <w:t xml:space="preserve"> que desde el 9 de agosto de 1996 los demandantes contaban con elementos </w:t>
      </w:r>
      <w:r w:rsidR="0062275D" w:rsidRPr="00B41EAD">
        <w:rPr>
          <w:color w:val="000000" w:themeColor="text1"/>
          <w:sz w:val="28"/>
          <w:szCs w:val="28"/>
          <w:lang w:val="es-ES"/>
        </w:rPr>
        <w:t xml:space="preserve">suficientes </w:t>
      </w:r>
      <w:r w:rsidR="00255D92" w:rsidRPr="00B41EAD">
        <w:rPr>
          <w:color w:val="000000" w:themeColor="text1"/>
          <w:sz w:val="28"/>
          <w:szCs w:val="28"/>
          <w:lang w:val="es-ES"/>
        </w:rPr>
        <w:t>para demandar al Estado y</w:t>
      </w:r>
      <w:r w:rsidR="00F80F3D" w:rsidRPr="00B41EAD">
        <w:rPr>
          <w:color w:val="000000" w:themeColor="text1"/>
          <w:sz w:val="28"/>
          <w:szCs w:val="28"/>
          <w:lang w:val="es-ES"/>
        </w:rPr>
        <w:t xml:space="preserve">, sobre todo, </w:t>
      </w:r>
      <w:r w:rsidR="00255D92" w:rsidRPr="00B41EAD">
        <w:rPr>
          <w:color w:val="000000" w:themeColor="text1"/>
          <w:sz w:val="28"/>
          <w:szCs w:val="28"/>
          <w:lang w:val="es-ES"/>
        </w:rPr>
        <w:t xml:space="preserve">pretender </w:t>
      </w:r>
      <w:r w:rsidRPr="00B41EAD">
        <w:rPr>
          <w:color w:val="000000" w:themeColor="text1"/>
          <w:sz w:val="28"/>
          <w:szCs w:val="28"/>
          <w:lang w:val="es-ES"/>
        </w:rPr>
        <w:t xml:space="preserve">desde ese momento </w:t>
      </w:r>
      <w:r w:rsidR="00255D92" w:rsidRPr="00B41EAD">
        <w:rPr>
          <w:color w:val="000000" w:themeColor="text1"/>
          <w:sz w:val="28"/>
          <w:szCs w:val="28"/>
          <w:lang w:val="es-ES"/>
        </w:rPr>
        <w:t xml:space="preserve">la imputación de un presunto daño antijurídico ante la administración de justicia. </w:t>
      </w:r>
    </w:p>
    <w:p w14:paraId="3A0654E5" w14:textId="77777777" w:rsidR="00D933F1" w:rsidRPr="00B41EAD" w:rsidRDefault="00D933F1" w:rsidP="00D933F1">
      <w:pPr>
        <w:pStyle w:val="Prrafodelista"/>
        <w:rPr>
          <w:color w:val="000000" w:themeColor="text1"/>
          <w:sz w:val="28"/>
          <w:szCs w:val="28"/>
          <w:lang w:val="es-ES"/>
        </w:rPr>
      </w:pPr>
    </w:p>
    <w:p w14:paraId="01A3F6D1" w14:textId="3084FD6B" w:rsidR="00D933F1" w:rsidRPr="00B41EAD" w:rsidRDefault="00D933F1" w:rsidP="00D933F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Para la Sala Plena de la Corte Constitucional es claro que si en este caso se hubieran seguido las exigencias de la autoridad judicial accionada, esto es, se hubiera acudido al medio de control de reparación directa desde el momento en el que ocurrieron los hechos o desde el momento en el que la investigación de los hechos fue asumida por la Justicia Penal Militar, era altamente probable que las pretensiones no tuvieran prosperidad alguna, pues para ese momento, de acuerdo con todo lo dicho, el homicidio del señor Carlos Mario Durango Vallejo se tenía como una muerte legítima en combate y</w:t>
      </w:r>
      <w:r w:rsidR="00466513" w:rsidRPr="00B41EAD">
        <w:rPr>
          <w:color w:val="000000" w:themeColor="text1"/>
          <w:sz w:val="28"/>
          <w:szCs w:val="28"/>
          <w:lang w:val="es-ES"/>
        </w:rPr>
        <w:t xml:space="preserve"> las víctimas no se encontraban en</w:t>
      </w:r>
      <w:r w:rsidRPr="00B41EAD">
        <w:rPr>
          <w:color w:val="000000" w:themeColor="text1"/>
          <w:sz w:val="28"/>
          <w:szCs w:val="28"/>
          <w:lang w:val="es-ES"/>
        </w:rPr>
        <w:t xml:space="preserve"> posibilidad de acceder a información adicional para desvirtuar dicha </w:t>
      </w:r>
      <w:r w:rsidR="00466513" w:rsidRPr="00B41EAD">
        <w:rPr>
          <w:color w:val="000000" w:themeColor="text1"/>
          <w:sz w:val="28"/>
          <w:szCs w:val="28"/>
          <w:lang w:val="es-ES"/>
        </w:rPr>
        <w:t>hipótesis institucional</w:t>
      </w:r>
      <w:r w:rsidRPr="00B41EAD">
        <w:rPr>
          <w:color w:val="000000" w:themeColor="text1"/>
          <w:sz w:val="28"/>
          <w:szCs w:val="28"/>
          <w:lang w:val="es-ES"/>
        </w:rPr>
        <w:t>.</w:t>
      </w:r>
    </w:p>
    <w:p w14:paraId="3679AA11" w14:textId="747E1787" w:rsidR="00D933F1" w:rsidRPr="00B41EAD" w:rsidRDefault="00D933F1" w:rsidP="00D933F1">
      <w:pPr>
        <w:pStyle w:val="Prrafodelista"/>
        <w:ind w:left="0"/>
        <w:jc w:val="both"/>
        <w:rPr>
          <w:color w:val="000000" w:themeColor="text1"/>
          <w:sz w:val="28"/>
          <w:szCs w:val="28"/>
          <w:lang w:val="es-ES"/>
        </w:rPr>
      </w:pPr>
    </w:p>
    <w:p w14:paraId="24598F94" w14:textId="77777777" w:rsidR="00D933F1" w:rsidRPr="00B41EAD" w:rsidRDefault="00D933F1" w:rsidP="00D933F1">
      <w:pPr>
        <w:pStyle w:val="Prrafodelista"/>
        <w:ind w:left="0"/>
        <w:jc w:val="both"/>
        <w:rPr>
          <w:color w:val="000000" w:themeColor="text1"/>
          <w:sz w:val="28"/>
          <w:szCs w:val="28"/>
          <w:lang w:val="es-ES"/>
        </w:rPr>
      </w:pPr>
    </w:p>
    <w:p w14:paraId="1CA6FE28" w14:textId="385E3339" w:rsidR="0062275D" w:rsidRPr="00B41EAD" w:rsidRDefault="00601C64">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Este</w:t>
      </w:r>
      <w:r w:rsidR="0062275D" w:rsidRPr="00B41EAD">
        <w:rPr>
          <w:color w:val="000000" w:themeColor="text1"/>
          <w:sz w:val="28"/>
          <w:szCs w:val="28"/>
          <w:lang w:val="es-ES"/>
        </w:rPr>
        <w:t xml:space="preserve"> caso, además, plantea</w:t>
      </w:r>
      <w:r w:rsidR="00687E63" w:rsidRPr="00B41EAD">
        <w:rPr>
          <w:color w:val="000000" w:themeColor="text1"/>
          <w:sz w:val="28"/>
          <w:szCs w:val="28"/>
          <w:lang w:val="es-ES"/>
        </w:rPr>
        <w:t>ba a la autoridad judicial</w:t>
      </w:r>
      <w:r w:rsidR="0062275D" w:rsidRPr="00B41EAD">
        <w:rPr>
          <w:color w:val="000000" w:themeColor="text1"/>
          <w:sz w:val="28"/>
          <w:szCs w:val="28"/>
          <w:lang w:val="es-ES"/>
        </w:rPr>
        <w:t xml:space="preserve"> la necesidad de un análisis que, en consonancia con los estándares de protección de los derechos de las víctimas de delitos asociados a presuntas graves violaciones de derechos humanos, se bas</w:t>
      </w:r>
      <w:r w:rsidR="00687E63" w:rsidRPr="00B41EAD">
        <w:rPr>
          <w:color w:val="000000" w:themeColor="text1"/>
          <w:sz w:val="28"/>
          <w:szCs w:val="28"/>
          <w:lang w:val="es-ES"/>
        </w:rPr>
        <w:t>ara</w:t>
      </w:r>
      <w:r w:rsidR="0062275D" w:rsidRPr="00B41EAD">
        <w:rPr>
          <w:color w:val="000000" w:themeColor="text1"/>
          <w:sz w:val="28"/>
          <w:szCs w:val="28"/>
          <w:lang w:val="es-ES"/>
        </w:rPr>
        <w:t xml:space="preserve"> en </w:t>
      </w:r>
      <w:r w:rsidR="00687E63" w:rsidRPr="00B41EAD">
        <w:rPr>
          <w:color w:val="000000" w:themeColor="text1"/>
          <w:sz w:val="28"/>
          <w:szCs w:val="28"/>
          <w:lang w:val="es-ES"/>
        </w:rPr>
        <w:t xml:space="preserve">una </w:t>
      </w:r>
      <w:r w:rsidR="0062275D" w:rsidRPr="00B41EAD">
        <w:rPr>
          <w:color w:val="000000" w:themeColor="text1"/>
          <w:sz w:val="28"/>
          <w:szCs w:val="28"/>
          <w:lang w:val="es-ES"/>
        </w:rPr>
        <w:t xml:space="preserve">postura flexible y garantista en la valoración de las pruebas. </w:t>
      </w:r>
    </w:p>
    <w:p w14:paraId="4D710618" w14:textId="77777777" w:rsidR="0062275D" w:rsidRPr="00B41EAD" w:rsidRDefault="0062275D" w:rsidP="0062275D">
      <w:pPr>
        <w:pStyle w:val="Prrafodelista"/>
        <w:rPr>
          <w:color w:val="000000" w:themeColor="text1"/>
          <w:sz w:val="28"/>
          <w:szCs w:val="28"/>
          <w:lang w:val="es-ES"/>
        </w:rPr>
      </w:pPr>
    </w:p>
    <w:p w14:paraId="630998EF" w14:textId="7C55F654" w:rsidR="0062275D" w:rsidRPr="00B41EAD" w:rsidRDefault="00601C64">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D</w:t>
      </w:r>
      <w:r w:rsidR="0062275D" w:rsidRPr="00B41EAD">
        <w:rPr>
          <w:color w:val="000000" w:themeColor="text1"/>
          <w:sz w:val="28"/>
          <w:szCs w:val="28"/>
          <w:lang w:val="es-ES"/>
        </w:rPr>
        <w:t>esde la demanda</w:t>
      </w:r>
      <w:r w:rsidRPr="00B41EAD">
        <w:rPr>
          <w:color w:val="000000" w:themeColor="text1"/>
          <w:sz w:val="28"/>
          <w:szCs w:val="28"/>
          <w:lang w:val="es-ES"/>
        </w:rPr>
        <w:t xml:space="preserve"> de reparación directa </w:t>
      </w:r>
      <w:r w:rsidR="0062275D" w:rsidRPr="00B41EAD">
        <w:rPr>
          <w:color w:val="000000" w:themeColor="text1"/>
          <w:sz w:val="28"/>
          <w:szCs w:val="28"/>
          <w:lang w:val="es-ES"/>
        </w:rPr>
        <w:t xml:space="preserve">se ha indicado que los hechos eventualmente estarían vinculados </w:t>
      </w:r>
      <w:r w:rsidRPr="00B41EAD">
        <w:rPr>
          <w:color w:val="000000" w:themeColor="text1"/>
          <w:sz w:val="28"/>
          <w:szCs w:val="28"/>
          <w:lang w:val="es-ES"/>
        </w:rPr>
        <w:t>con</w:t>
      </w:r>
      <w:r w:rsidR="0062275D" w:rsidRPr="00B41EAD">
        <w:rPr>
          <w:color w:val="000000" w:themeColor="text1"/>
          <w:sz w:val="28"/>
          <w:szCs w:val="28"/>
          <w:lang w:val="es-ES"/>
        </w:rPr>
        <w:t xml:space="preserve"> la comisión de una presunta ejecución extrajudicial. Una de las más atroces formas de violación de derechos humanos, y que, conforme a la jurisprudencia nacional e internacional, puede ser clasificada como crimen de lesa humanidad. Este tipo de delitos </w:t>
      </w:r>
      <w:r w:rsidRPr="00B41EAD">
        <w:rPr>
          <w:color w:val="000000" w:themeColor="text1"/>
          <w:sz w:val="28"/>
          <w:szCs w:val="28"/>
          <w:lang w:val="es-ES"/>
        </w:rPr>
        <w:t>exige</w:t>
      </w:r>
      <w:r w:rsidR="0062275D" w:rsidRPr="00B41EAD">
        <w:rPr>
          <w:color w:val="000000" w:themeColor="text1"/>
          <w:sz w:val="28"/>
          <w:szCs w:val="28"/>
          <w:lang w:val="es-ES"/>
        </w:rPr>
        <w:t xml:space="preserve"> una especial sensibilidad en la apreciación de las pruebas</w:t>
      </w:r>
      <w:r w:rsidRPr="00B41EAD">
        <w:rPr>
          <w:color w:val="000000" w:themeColor="text1"/>
          <w:sz w:val="28"/>
          <w:szCs w:val="28"/>
          <w:lang w:val="es-ES"/>
        </w:rPr>
        <w:t xml:space="preserve"> por parte de las autoridades que conocen de las causas judiciales</w:t>
      </w:r>
      <w:r w:rsidR="0062275D" w:rsidRPr="00B41EAD">
        <w:rPr>
          <w:color w:val="000000" w:themeColor="text1"/>
          <w:sz w:val="28"/>
          <w:szCs w:val="28"/>
          <w:lang w:val="es-ES"/>
        </w:rPr>
        <w:t>, pues las víctimas y sus familiares suelen enfrentar serias dificultades para afrontar las consecuencias y cargas propias de este tipo de hechos.</w:t>
      </w:r>
    </w:p>
    <w:p w14:paraId="023CEB95" w14:textId="77777777" w:rsidR="0062275D" w:rsidRPr="00B41EAD" w:rsidRDefault="0062275D" w:rsidP="0062275D">
      <w:pPr>
        <w:pStyle w:val="Prrafodelista"/>
        <w:rPr>
          <w:color w:val="000000" w:themeColor="text1"/>
          <w:sz w:val="28"/>
          <w:szCs w:val="28"/>
          <w:lang w:val="es-ES"/>
        </w:rPr>
      </w:pPr>
    </w:p>
    <w:p w14:paraId="2CD8D678" w14:textId="54CDEFCF" w:rsidR="00022D13" w:rsidRPr="00B41EAD" w:rsidRDefault="0062275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este sentido, como lo ha indicado la Corte, en estos </w:t>
      </w:r>
      <w:r w:rsidR="00601C64" w:rsidRPr="00B41EAD">
        <w:rPr>
          <w:color w:val="000000" w:themeColor="text1"/>
          <w:sz w:val="28"/>
          <w:szCs w:val="28"/>
          <w:lang w:val="es-ES"/>
        </w:rPr>
        <w:t xml:space="preserve">eventos </w:t>
      </w:r>
      <w:r w:rsidRPr="00B41EAD">
        <w:rPr>
          <w:color w:val="000000" w:themeColor="text1"/>
          <w:sz w:val="28"/>
          <w:szCs w:val="28"/>
          <w:lang w:val="es-ES"/>
        </w:rPr>
        <w:t>resulta indispensable aplicar un criterio flexible y garantista que permita superar las limitaciones probatorias impuestas por la complejidad y gravedad de los hechos</w:t>
      </w:r>
      <w:r w:rsidR="00022D13" w:rsidRPr="00B41EAD">
        <w:rPr>
          <w:color w:val="000000" w:themeColor="text1"/>
          <w:sz w:val="28"/>
          <w:szCs w:val="28"/>
          <w:lang w:val="es-ES"/>
        </w:rPr>
        <w:t>. Así, la jurisprudencia c</w:t>
      </w:r>
      <w:r w:rsidRPr="00B41EAD">
        <w:rPr>
          <w:color w:val="000000" w:themeColor="text1"/>
          <w:sz w:val="28"/>
          <w:szCs w:val="28"/>
          <w:lang w:val="es-ES"/>
        </w:rPr>
        <w:t>onstitucional ha sostenido que, ante crímenes de tal magnitud, las exigencias tradicionales del derecho probatorio no pueden aplicarse de manera rígida, ya que hacerlo perpetuaría una situación de injusticia estructural en la que las víctimas, por las características de los hechos, se ven impedidas de acceder a los mecanismos judiciales en igualdad de condiciones.</w:t>
      </w:r>
    </w:p>
    <w:p w14:paraId="15A889D8" w14:textId="77777777" w:rsidR="00022D13" w:rsidRPr="00B41EAD" w:rsidRDefault="00022D13" w:rsidP="00022D13">
      <w:pPr>
        <w:pStyle w:val="Prrafodelista"/>
        <w:rPr>
          <w:color w:val="000000" w:themeColor="text1"/>
          <w:sz w:val="28"/>
          <w:szCs w:val="28"/>
          <w:lang w:val="es-ES"/>
        </w:rPr>
      </w:pPr>
    </w:p>
    <w:p w14:paraId="4BDB46F7" w14:textId="6BFE7245" w:rsidR="00022D13" w:rsidRPr="00B41EAD" w:rsidRDefault="0062275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La protección de los derechos fundamentales en estos casos requiere</w:t>
      </w:r>
      <w:r w:rsidR="00601C64" w:rsidRPr="00B41EAD">
        <w:rPr>
          <w:color w:val="000000" w:themeColor="text1"/>
          <w:sz w:val="28"/>
          <w:szCs w:val="28"/>
          <w:lang w:val="es-ES"/>
        </w:rPr>
        <w:t xml:space="preserve">, entonces, </w:t>
      </w:r>
      <w:r w:rsidRPr="00B41EAD">
        <w:rPr>
          <w:color w:val="000000" w:themeColor="text1"/>
          <w:sz w:val="28"/>
          <w:szCs w:val="28"/>
          <w:lang w:val="es-ES"/>
        </w:rPr>
        <w:t xml:space="preserve">un enfoque </w:t>
      </w:r>
      <w:r w:rsidR="00601C64" w:rsidRPr="00B41EAD">
        <w:rPr>
          <w:color w:val="000000" w:themeColor="text1"/>
          <w:sz w:val="28"/>
          <w:szCs w:val="28"/>
          <w:lang w:val="es-ES"/>
        </w:rPr>
        <w:t xml:space="preserve">con el que </w:t>
      </w:r>
      <w:r w:rsidR="00022D13" w:rsidRPr="00B41EAD">
        <w:rPr>
          <w:color w:val="000000" w:themeColor="text1"/>
          <w:sz w:val="28"/>
          <w:szCs w:val="28"/>
          <w:lang w:val="es-ES"/>
        </w:rPr>
        <w:t xml:space="preserve">se </w:t>
      </w:r>
      <w:r w:rsidRPr="00B41EAD">
        <w:rPr>
          <w:color w:val="000000" w:themeColor="text1"/>
          <w:sz w:val="28"/>
          <w:szCs w:val="28"/>
          <w:lang w:val="es-ES"/>
        </w:rPr>
        <w:t>priorice la verdad y la reparación, permitiendo que las</w:t>
      </w:r>
      <w:r w:rsidR="00022D13" w:rsidRPr="00B41EAD">
        <w:rPr>
          <w:color w:val="000000" w:themeColor="text1"/>
          <w:sz w:val="28"/>
          <w:szCs w:val="28"/>
          <w:lang w:val="es-ES"/>
        </w:rPr>
        <w:t xml:space="preserve"> presuntas </w:t>
      </w:r>
      <w:r w:rsidRPr="00B41EAD">
        <w:rPr>
          <w:color w:val="000000" w:themeColor="text1"/>
          <w:sz w:val="28"/>
          <w:szCs w:val="28"/>
          <w:lang w:val="es-ES"/>
        </w:rPr>
        <w:t>víctimas puedan ejercer su derecho a la justicia</w:t>
      </w:r>
      <w:r w:rsidR="00601C64" w:rsidRPr="00B41EAD">
        <w:rPr>
          <w:color w:val="000000" w:themeColor="text1"/>
          <w:sz w:val="28"/>
          <w:szCs w:val="28"/>
          <w:lang w:val="es-ES"/>
        </w:rPr>
        <w:t>,</w:t>
      </w:r>
      <w:r w:rsidRPr="00B41EAD">
        <w:rPr>
          <w:color w:val="000000" w:themeColor="text1"/>
          <w:sz w:val="28"/>
          <w:szCs w:val="28"/>
          <w:lang w:val="es-ES"/>
        </w:rPr>
        <w:t xml:space="preserve"> aun cuando el </w:t>
      </w:r>
      <w:r w:rsidR="00601C64" w:rsidRPr="00B41EAD">
        <w:rPr>
          <w:color w:val="000000" w:themeColor="text1"/>
          <w:sz w:val="28"/>
          <w:szCs w:val="28"/>
          <w:lang w:val="es-ES"/>
        </w:rPr>
        <w:t xml:space="preserve">estándar </w:t>
      </w:r>
      <w:r w:rsidRPr="00B41EAD">
        <w:rPr>
          <w:color w:val="000000" w:themeColor="text1"/>
          <w:sz w:val="28"/>
          <w:szCs w:val="28"/>
          <w:lang w:val="es-ES"/>
        </w:rPr>
        <w:t>probatorio</w:t>
      </w:r>
      <w:r w:rsidR="00601C64" w:rsidRPr="00B41EAD">
        <w:rPr>
          <w:color w:val="000000" w:themeColor="text1"/>
          <w:sz w:val="28"/>
          <w:szCs w:val="28"/>
          <w:lang w:val="es-ES"/>
        </w:rPr>
        <w:t xml:space="preserve"> comúnmente exigido </w:t>
      </w:r>
      <w:r w:rsidR="00BF0D9F" w:rsidRPr="00B41EAD">
        <w:rPr>
          <w:color w:val="000000" w:themeColor="text1"/>
          <w:sz w:val="28"/>
          <w:szCs w:val="28"/>
          <w:lang w:val="es-ES"/>
        </w:rPr>
        <w:t>en la Jurisdicción de lo Contencioso Administrativo no siempre sea posible cumplirlo</w:t>
      </w:r>
      <w:r w:rsidRPr="00B41EAD">
        <w:rPr>
          <w:color w:val="000000" w:themeColor="text1"/>
          <w:sz w:val="28"/>
          <w:szCs w:val="28"/>
          <w:lang w:val="es-ES"/>
        </w:rPr>
        <w:t>.</w:t>
      </w:r>
      <w:r w:rsidR="00022D13" w:rsidRPr="00B41EAD">
        <w:rPr>
          <w:color w:val="000000" w:themeColor="text1"/>
          <w:sz w:val="28"/>
          <w:szCs w:val="28"/>
          <w:lang w:val="es-ES"/>
        </w:rPr>
        <w:t xml:space="preserve"> </w:t>
      </w:r>
      <w:r w:rsidR="00BF0D9F" w:rsidRPr="00B41EAD">
        <w:rPr>
          <w:color w:val="000000" w:themeColor="text1"/>
          <w:sz w:val="28"/>
          <w:szCs w:val="28"/>
          <w:lang w:val="es-ES"/>
        </w:rPr>
        <w:t>Por ello</w:t>
      </w:r>
      <w:r w:rsidRPr="00B41EAD">
        <w:rPr>
          <w:color w:val="000000" w:themeColor="text1"/>
          <w:sz w:val="28"/>
          <w:szCs w:val="28"/>
          <w:lang w:val="es-ES"/>
        </w:rPr>
        <w:t xml:space="preserve">, la </w:t>
      </w:r>
      <w:r w:rsidR="00022D13" w:rsidRPr="00B41EAD">
        <w:rPr>
          <w:color w:val="000000" w:themeColor="text1"/>
          <w:sz w:val="28"/>
          <w:szCs w:val="28"/>
          <w:lang w:val="es-ES"/>
        </w:rPr>
        <w:t xml:space="preserve">misma </w:t>
      </w:r>
      <w:r w:rsidRPr="00B41EAD">
        <w:rPr>
          <w:color w:val="000000" w:themeColor="text1"/>
          <w:sz w:val="28"/>
          <w:szCs w:val="28"/>
          <w:lang w:val="es-ES"/>
        </w:rPr>
        <w:t>Sección Tercera del Consejo de Estado ha desarrollado criterios que</w:t>
      </w:r>
      <w:r w:rsidR="00BF0D9F" w:rsidRPr="00B41EAD">
        <w:rPr>
          <w:color w:val="000000" w:themeColor="text1"/>
          <w:sz w:val="28"/>
          <w:szCs w:val="28"/>
          <w:lang w:val="es-ES"/>
        </w:rPr>
        <w:t xml:space="preserve"> imponen</w:t>
      </w:r>
      <w:r w:rsidRPr="00B41EAD">
        <w:rPr>
          <w:color w:val="000000" w:themeColor="text1"/>
          <w:sz w:val="28"/>
          <w:szCs w:val="28"/>
          <w:lang w:val="es-ES"/>
        </w:rPr>
        <w:t xml:space="preserve"> un análisis más comprensivo de las barreras de acceso a la justicia en </w:t>
      </w:r>
      <w:r w:rsidR="00BF0D9F" w:rsidRPr="00B41EAD">
        <w:rPr>
          <w:color w:val="000000" w:themeColor="text1"/>
          <w:sz w:val="28"/>
          <w:szCs w:val="28"/>
          <w:lang w:val="es-ES"/>
        </w:rPr>
        <w:t xml:space="preserve">los </w:t>
      </w:r>
      <w:r w:rsidRPr="00B41EAD">
        <w:rPr>
          <w:color w:val="000000" w:themeColor="text1"/>
          <w:sz w:val="28"/>
          <w:szCs w:val="28"/>
          <w:lang w:val="es-ES"/>
        </w:rPr>
        <w:t xml:space="preserve">contextos de graves violaciones a los derechos humanos. </w:t>
      </w:r>
    </w:p>
    <w:p w14:paraId="363E4C65" w14:textId="77777777" w:rsidR="00022D13" w:rsidRPr="00B41EAD" w:rsidRDefault="00022D13" w:rsidP="00022D13">
      <w:pPr>
        <w:pStyle w:val="Prrafodelista"/>
        <w:rPr>
          <w:color w:val="000000" w:themeColor="text1"/>
          <w:sz w:val="28"/>
          <w:szCs w:val="28"/>
          <w:lang w:val="es-ES"/>
        </w:rPr>
      </w:pPr>
    </w:p>
    <w:p w14:paraId="0A48CC14" w14:textId="77777777" w:rsidR="00C6412D" w:rsidRPr="00B41EAD" w:rsidRDefault="00BF0D9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Pues bien, las autoridades judiciales deben ser conscientes de que l</w:t>
      </w:r>
      <w:r w:rsidR="0062275D" w:rsidRPr="00B41EAD">
        <w:rPr>
          <w:color w:val="000000" w:themeColor="text1"/>
          <w:sz w:val="28"/>
          <w:szCs w:val="28"/>
          <w:lang w:val="es-ES"/>
        </w:rPr>
        <w:t xml:space="preserve">as víctimas de ejecuciones extrajudiciales se </w:t>
      </w:r>
      <w:r w:rsidRPr="00B41EAD">
        <w:rPr>
          <w:color w:val="000000" w:themeColor="text1"/>
          <w:sz w:val="28"/>
          <w:szCs w:val="28"/>
          <w:lang w:val="es-ES"/>
        </w:rPr>
        <w:t xml:space="preserve">han enfrentado históricamente </w:t>
      </w:r>
      <w:r w:rsidR="0062275D" w:rsidRPr="00B41EAD">
        <w:rPr>
          <w:color w:val="000000" w:themeColor="text1"/>
          <w:sz w:val="28"/>
          <w:szCs w:val="28"/>
          <w:lang w:val="es-ES"/>
        </w:rPr>
        <w:t xml:space="preserve">a múltiples obstáculos para acceder a la verdad y, en consecuencia, a la justicia. Estos obstáculos no solo </w:t>
      </w:r>
      <w:r w:rsidR="00022D13" w:rsidRPr="00B41EAD">
        <w:rPr>
          <w:color w:val="000000" w:themeColor="text1"/>
          <w:sz w:val="28"/>
          <w:szCs w:val="28"/>
          <w:lang w:val="es-ES"/>
        </w:rPr>
        <w:t xml:space="preserve">han incluido </w:t>
      </w:r>
      <w:r w:rsidR="0062275D" w:rsidRPr="00B41EAD">
        <w:rPr>
          <w:color w:val="000000" w:themeColor="text1"/>
          <w:sz w:val="28"/>
          <w:szCs w:val="28"/>
          <w:lang w:val="es-ES"/>
        </w:rPr>
        <w:t>la ausencia de información veraz sobre los hechos, sino también un entorno de intimidación, impunidad y encubrimiento por parte de</w:t>
      </w:r>
      <w:r w:rsidRPr="00B41EAD">
        <w:rPr>
          <w:color w:val="000000" w:themeColor="text1"/>
          <w:sz w:val="28"/>
          <w:szCs w:val="28"/>
          <w:lang w:val="es-ES"/>
        </w:rPr>
        <w:t xml:space="preserve"> los presuntos victimarios</w:t>
      </w:r>
      <w:r w:rsidR="0062275D" w:rsidRPr="00B41EAD">
        <w:rPr>
          <w:color w:val="000000" w:themeColor="text1"/>
          <w:sz w:val="28"/>
          <w:szCs w:val="28"/>
          <w:lang w:val="es-ES"/>
        </w:rPr>
        <w:t xml:space="preserve">, lo cual </w:t>
      </w:r>
      <w:r w:rsidRPr="00B41EAD">
        <w:rPr>
          <w:color w:val="000000" w:themeColor="text1"/>
          <w:sz w:val="28"/>
          <w:szCs w:val="28"/>
          <w:lang w:val="es-ES"/>
        </w:rPr>
        <w:t>ha dificultado</w:t>
      </w:r>
      <w:r w:rsidR="0062275D" w:rsidRPr="00B41EAD">
        <w:rPr>
          <w:color w:val="000000" w:themeColor="text1"/>
          <w:sz w:val="28"/>
          <w:szCs w:val="28"/>
          <w:lang w:val="es-ES"/>
        </w:rPr>
        <w:t xml:space="preserve"> gravemente el acceso oportuno a los medios judiciales. </w:t>
      </w:r>
    </w:p>
    <w:p w14:paraId="25C9CAFF" w14:textId="77777777" w:rsidR="00C6412D" w:rsidRPr="00B41EAD" w:rsidRDefault="00C6412D" w:rsidP="00C6412D">
      <w:pPr>
        <w:pStyle w:val="Prrafodelista"/>
        <w:rPr>
          <w:color w:val="000000" w:themeColor="text1"/>
          <w:sz w:val="28"/>
          <w:szCs w:val="28"/>
          <w:lang w:val="es-ES"/>
        </w:rPr>
      </w:pPr>
    </w:p>
    <w:p w14:paraId="362D52FB" w14:textId="1139C015" w:rsidR="00022D13" w:rsidRPr="00B41EAD" w:rsidRDefault="0062275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ese sentido, </w:t>
      </w:r>
      <w:r w:rsidR="00BF0D9F" w:rsidRPr="00B41EAD">
        <w:rPr>
          <w:color w:val="000000" w:themeColor="text1"/>
          <w:sz w:val="28"/>
          <w:szCs w:val="28"/>
          <w:lang w:val="es-ES"/>
        </w:rPr>
        <w:t xml:space="preserve">en estos casos </w:t>
      </w:r>
      <w:r w:rsidRPr="00B41EAD">
        <w:rPr>
          <w:color w:val="000000" w:themeColor="text1"/>
          <w:sz w:val="28"/>
          <w:szCs w:val="28"/>
          <w:lang w:val="es-ES"/>
        </w:rPr>
        <w:t xml:space="preserve">es necesario adoptar un enfoque contextual que </w:t>
      </w:r>
      <w:r w:rsidR="00BF0D9F" w:rsidRPr="00B41EAD">
        <w:rPr>
          <w:color w:val="000000" w:themeColor="text1"/>
          <w:sz w:val="28"/>
          <w:szCs w:val="28"/>
          <w:lang w:val="es-ES"/>
        </w:rPr>
        <w:t xml:space="preserve">atienda </w:t>
      </w:r>
      <w:r w:rsidRPr="00B41EAD">
        <w:rPr>
          <w:color w:val="000000" w:themeColor="text1"/>
          <w:sz w:val="28"/>
          <w:szCs w:val="28"/>
          <w:lang w:val="es-ES"/>
        </w:rPr>
        <w:t xml:space="preserve">la asimetría de poder </w:t>
      </w:r>
      <w:r w:rsidR="00BF0D9F" w:rsidRPr="00B41EAD">
        <w:rPr>
          <w:color w:val="000000" w:themeColor="text1"/>
          <w:sz w:val="28"/>
          <w:szCs w:val="28"/>
          <w:lang w:val="es-ES"/>
        </w:rPr>
        <w:t xml:space="preserve">que naturalmente existe </w:t>
      </w:r>
      <w:r w:rsidRPr="00B41EAD">
        <w:rPr>
          <w:color w:val="000000" w:themeColor="text1"/>
          <w:sz w:val="28"/>
          <w:szCs w:val="28"/>
          <w:lang w:val="es-ES"/>
        </w:rPr>
        <w:t>entre</w:t>
      </w:r>
      <w:r w:rsidR="00BF0D9F" w:rsidRPr="00B41EAD">
        <w:rPr>
          <w:color w:val="000000" w:themeColor="text1"/>
          <w:sz w:val="28"/>
          <w:szCs w:val="28"/>
          <w:lang w:val="es-ES"/>
        </w:rPr>
        <w:t xml:space="preserve"> las víctimas y </w:t>
      </w:r>
      <w:r w:rsidRPr="00B41EAD">
        <w:rPr>
          <w:color w:val="000000" w:themeColor="text1"/>
          <w:sz w:val="28"/>
          <w:szCs w:val="28"/>
          <w:lang w:val="es-ES"/>
        </w:rPr>
        <w:t>el Estado</w:t>
      </w:r>
      <w:r w:rsidR="00BF0D9F" w:rsidRPr="00B41EAD">
        <w:rPr>
          <w:color w:val="000000" w:themeColor="text1"/>
          <w:sz w:val="28"/>
          <w:szCs w:val="28"/>
          <w:lang w:val="es-ES"/>
        </w:rPr>
        <w:t>, que es señalado de haber cometido un daño antijurídico especialmente grave</w:t>
      </w:r>
      <w:r w:rsidRPr="00B41EAD">
        <w:rPr>
          <w:color w:val="000000" w:themeColor="text1"/>
          <w:sz w:val="28"/>
          <w:szCs w:val="28"/>
          <w:lang w:val="es-ES"/>
        </w:rPr>
        <w:t xml:space="preserve">. </w:t>
      </w:r>
      <w:r w:rsidR="00BF0D9F" w:rsidRPr="00B41EAD">
        <w:rPr>
          <w:color w:val="000000" w:themeColor="text1"/>
          <w:sz w:val="28"/>
          <w:szCs w:val="28"/>
          <w:lang w:val="es-ES"/>
        </w:rPr>
        <w:t xml:space="preserve">Por ello, no es constitucionalmente razonable </w:t>
      </w:r>
      <w:r w:rsidRPr="00B41EAD">
        <w:rPr>
          <w:color w:val="000000" w:themeColor="text1"/>
          <w:sz w:val="28"/>
          <w:szCs w:val="28"/>
          <w:lang w:val="es-ES"/>
        </w:rPr>
        <w:t xml:space="preserve">exigir a las víctimas un </w:t>
      </w:r>
      <w:r w:rsidRPr="00B41EAD">
        <w:rPr>
          <w:color w:val="000000" w:themeColor="text1"/>
          <w:sz w:val="28"/>
          <w:szCs w:val="28"/>
          <w:lang w:val="es-ES"/>
        </w:rPr>
        <w:lastRenderedPageBreak/>
        <w:t xml:space="preserve">comportamiento </w:t>
      </w:r>
      <w:r w:rsidR="00022D13" w:rsidRPr="00B41EAD">
        <w:rPr>
          <w:color w:val="000000" w:themeColor="text1"/>
          <w:sz w:val="28"/>
          <w:szCs w:val="28"/>
          <w:lang w:val="es-ES"/>
        </w:rPr>
        <w:t>estricto e inflexible</w:t>
      </w:r>
      <w:r w:rsidRPr="00B41EAD">
        <w:rPr>
          <w:color w:val="000000" w:themeColor="text1"/>
          <w:sz w:val="28"/>
          <w:szCs w:val="28"/>
          <w:lang w:val="es-ES"/>
        </w:rPr>
        <w:t xml:space="preserve"> en la </w:t>
      </w:r>
      <w:r w:rsidR="00022D13" w:rsidRPr="00B41EAD">
        <w:rPr>
          <w:color w:val="000000" w:themeColor="text1"/>
          <w:sz w:val="28"/>
          <w:szCs w:val="28"/>
          <w:lang w:val="es-ES"/>
        </w:rPr>
        <w:t xml:space="preserve">formulación </w:t>
      </w:r>
      <w:r w:rsidRPr="00B41EAD">
        <w:rPr>
          <w:color w:val="000000" w:themeColor="text1"/>
          <w:sz w:val="28"/>
          <w:szCs w:val="28"/>
          <w:lang w:val="es-ES"/>
        </w:rPr>
        <w:t>de las acciones</w:t>
      </w:r>
      <w:r w:rsidR="00BF0D9F" w:rsidRPr="00B41EAD">
        <w:rPr>
          <w:color w:val="000000" w:themeColor="text1"/>
          <w:sz w:val="28"/>
          <w:szCs w:val="28"/>
          <w:lang w:val="es-ES"/>
        </w:rPr>
        <w:t xml:space="preserve"> judiciales,</w:t>
      </w:r>
      <w:r w:rsidRPr="00B41EAD">
        <w:rPr>
          <w:color w:val="000000" w:themeColor="text1"/>
          <w:sz w:val="28"/>
          <w:szCs w:val="28"/>
          <w:lang w:val="es-ES"/>
        </w:rPr>
        <w:t xml:space="preserve"> cuando el entorno mismo </w:t>
      </w:r>
      <w:r w:rsidR="00BF0D9F" w:rsidRPr="00B41EAD">
        <w:rPr>
          <w:color w:val="000000" w:themeColor="text1"/>
          <w:sz w:val="28"/>
          <w:szCs w:val="28"/>
          <w:lang w:val="es-ES"/>
        </w:rPr>
        <w:t xml:space="preserve">les ha impedido </w:t>
      </w:r>
      <w:r w:rsidRPr="00B41EAD">
        <w:rPr>
          <w:color w:val="000000" w:themeColor="text1"/>
          <w:sz w:val="28"/>
          <w:szCs w:val="28"/>
          <w:lang w:val="es-ES"/>
        </w:rPr>
        <w:t xml:space="preserve">actuar </w:t>
      </w:r>
      <w:r w:rsidR="00687E63" w:rsidRPr="00B41EAD">
        <w:rPr>
          <w:color w:val="000000" w:themeColor="text1"/>
          <w:sz w:val="28"/>
          <w:szCs w:val="28"/>
          <w:lang w:val="es-ES"/>
        </w:rPr>
        <w:t>de manera libre</w:t>
      </w:r>
      <w:r w:rsidRPr="00B41EAD">
        <w:rPr>
          <w:color w:val="000000" w:themeColor="text1"/>
          <w:sz w:val="28"/>
          <w:szCs w:val="28"/>
          <w:lang w:val="es-ES"/>
        </w:rPr>
        <w:t xml:space="preserve"> y acceder </w:t>
      </w:r>
      <w:r w:rsidR="00022D13" w:rsidRPr="00B41EAD">
        <w:rPr>
          <w:color w:val="000000" w:themeColor="text1"/>
          <w:sz w:val="28"/>
          <w:szCs w:val="28"/>
          <w:lang w:val="es-ES"/>
        </w:rPr>
        <w:t xml:space="preserve">fácilmente </w:t>
      </w:r>
      <w:r w:rsidRPr="00B41EAD">
        <w:rPr>
          <w:color w:val="000000" w:themeColor="text1"/>
          <w:sz w:val="28"/>
          <w:szCs w:val="28"/>
          <w:lang w:val="es-ES"/>
        </w:rPr>
        <w:t xml:space="preserve">a la información </w:t>
      </w:r>
      <w:r w:rsidR="00BF0D9F" w:rsidRPr="00B41EAD">
        <w:rPr>
          <w:color w:val="000000" w:themeColor="text1"/>
          <w:sz w:val="28"/>
          <w:szCs w:val="28"/>
          <w:lang w:val="es-ES"/>
        </w:rPr>
        <w:t>necesaria</w:t>
      </w:r>
      <w:r w:rsidR="00687E63" w:rsidRPr="00B41EAD">
        <w:rPr>
          <w:color w:val="000000" w:themeColor="text1"/>
          <w:sz w:val="28"/>
          <w:szCs w:val="28"/>
          <w:lang w:val="es-ES"/>
        </w:rPr>
        <w:t xml:space="preserve"> para acudir de manera efectiva al sistema judicial</w:t>
      </w:r>
      <w:r w:rsidRPr="00B41EAD">
        <w:rPr>
          <w:color w:val="000000" w:themeColor="text1"/>
          <w:sz w:val="28"/>
          <w:szCs w:val="28"/>
          <w:lang w:val="es-ES"/>
        </w:rPr>
        <w:t>.</w:t>
      </w:r>
    </w:p>
    <w:p w14:paraId="03D54765" w14:textId="77777777" w:rsidR="00022D13" w:rsidRPr="00B41EAD" w:rsidRDefault="00022D13" w:rsidP="00022D13">
      <w:pPr>
        <w:pStyle w:val="Prrafodelista"/>
        <w:rPr>
          <w:color w:val="000000" w:themeColor="text1"/>
          <w:sz w:val="28"/>
          <w:szCs w:val="28"/>
          <w:lang w:val="es-ES"/>
        </w:rPr>
      </w:pPr>
    </w:p>
    <w:p w14:paraId="5A17FBF6" w14:textId="222DA941" w:rsidR="00687E63" w:rsidRPr="00B41EAD" w:rsidRDefault="00BF0D9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 propósito de lo anterior, </w:t>
      </w:r>
      <w:r w:rsidR="00022D13" w:rsidRPr="00B41EAD">
        <w:rPr>
          <w:color w:val="000000" w:themeColor="text1"/>
          <w:sz w:val="28"/>
          <w:szCs w:val="28"/>
          <w:lang w:val="es-ES"/>
        </w:rPr>
        <w:t>en la</w:t>
      </w:r>
      <w:r w:rsidRPr="00B41EAD">
        <w:rPr>
          <w:color w:val="000000" w:themeColor="text1"/>
          <w:sz w:val="28"/>
          <w:szCs w:val="28"/>
          <w:lang w:val="es-ES"/>
        </w:rPr>
        <w:t xml:space="preserve"> reciente </w:t>
      </w:r>
      <w:r w:rsidR="00022D13" w:rsidRPr="00B41EAD">
        <w:rPr>
          <w:color w:val="000000" w:themeColor="text1"/>
          <w:sz w:val="28"/>
          <w:szCs w:val="28"/>
          <w:lang w:val="es-ES"/>
        </w:rPr>
        <w:t>Sentencia SU-167 de 2023</w:t>
      </w:r>
      <w:r w:rsidR="00687E63" w:rsidRPr="00B41EAD">
        <w:rPr>
          <w:rStyle w:val="Refdenotaalpie"/>
          <w:color w:val="000000" w:themeColor="text1"/>
          <w:sz w:val="28"/>
          <w:szCs w:val="28"/>
          <w:lang w:val="es-ES"/>
        </w:rPr>
        <w:footnoteReference w:id="86"/>
      </w:r>
      <w:r w:rsidR="00022D13" w:rsidRPr="00B41EAD">
        <w:rPr>
          <w:color w:val="000000" w:themeColor="text1"/>
          <w:sz w:val="28"/>
          <w:szCs w:val="28"/>
          <w:lang w:val="es-ES"/>
        </w:rPr>
        <w:t xml:space="preserve">, esta </w:t>
      </w:r>
      <w:r w:rsidR="00A7042A" w:rsidRPr="00B41EAD">
        <w:rPr>
          <w:color w:val="000000" w:themeColor="text1"/>
          <w:sz w:val="28"/>
          <w:szCs w:val="28"/>
          <w:lang w:val="es-ES"/>
        </w:rPr>
        <w:t>C</w:t>
      </w:r>
      <w:r w:rsidR="00022D13" w:rsidRPr="00B41EAD">
        <w:rPr>
          <w:color w:val="000000" w:themeColor="text1"/>
          <w:sz w:val="28"/>
          <w:szCs w:val="28"/>
          <w:lang w:val="es-ES"/>
        </w:rPr>
        <w:t>orporación recordó el</w:t>
      </w:r>
      <w:r w:rsidR="0062275D" w:rsidRPr="00B41EAD">
        <w:rPr>
          <w:color w:val="000000" w:themeColor="text1"/>
          <w:sz w:val="28"/>
          <w:szCs w:val="28"/>
          <w:lang w:val="es-ES"/>
        </w:rPr>
        <w:t xml:space="preserve"> </w:t>
      </w:r>
      <w:r w:rsidRPr="00B41EAD">
        <w:rPr>
          <w:color w:val="000000" w:themeColor="text1"/>
          <w:sz w:val="28"/>
          <w:szCs w:val="28"/>
          <w:lang w:val="es-ES"/>
        </w:rPr>
        <w:t>“</w:t>
      </w:r>
      <w:r w:rsidR="0062275D" w:rsidRPr="00B41EAD">
        <w:rPr>
          <w:color w:val="000000" w:themeColor="text1"/>
          <w:sz w:val="28"/>
          <w:szCs w:val="28"/>
          <w:lang w:val="es-ES"/>
        </w:rPr>
        <w:t xml:space="preserve">Informe Final Hay </w:t>
      </w:r>
      <w:r w:rsidR="00022D13" w:rsidRPr="00B41EAD">
        <w:rPr>
          <w:color w:val="000000" w:themeColor="text1"/>
          <w:sz w:val="28"/>
          <w:szCs w:val="28"/>
          <w:lang w:val="es-ES"/>
        </w:rPr>
        <w:t>F</w:t>
      </w:r>
      <w:r w:rsidR="0062275D" w:rsidRPr="00B41EAD">
        <w:rPr>
          <w:color w:val="000000" w:themeColor="text1"/>
          <w:sz w:val="28"/>
          <w:szCs w:val="28"/>
          <w:lang w:val="es-ES"/>
        </w:rPr>
        <w:t>uturo si hay Verdad</w:t>
      </w:r>
      <w:r w:rsidR="00022D13" w:rsidRPr="00B41EAD">
        <w:rPr>
          <w:color w:val="000000" w:themeColor="text1"/>
          <w:sz w:val="28"/>
          <w:szCs w:val="28"/>
          <w:lang w:val="es-ES"/>
        </w:rPr>
        <w:t>”</w:t>
      </w:r>
      <w:r w:rsidR="0062275D" w:rsidRPr="00B41EAD">
        <w:rPr>
          <w:color w:val="000000" w:themeColor="text1"/>
          <w:sz w:val="28"/>
          <w:szCs w:val="28"/>
          <w:lang w:val="es-ES"/>
        </w:rPr>
        <w:t xml:space="preserve">, </w:t>
      </w:r>
      <w:r w:rsidR="00022D13" w:rsidRPr="00B41EAD">
        <w:rPr>
          <w:color w:val="000000" w:themeColor="text1"/>
          <w:sz w:val="28"/>
          <w:szCs w:val="28"/>
          <w:lang w:val="es-ES"/>
        </w:rPr>
        <w:t>de</w:t>
      </w:r>
      <w:r w:rsidR="0062275D" w:rsidRPr="00B41EAD">
        <w:rPr>
          <w:color w:val="000000" w:themeColor="text1"/>
          <w:sz w:val="28"/>
          <w:szCs w:val="28"/>
          <w:lang w:val="es-ES"/>
        </w:rPr>
        <w:t xml:space="preserve"> la Comisión para el Esclarecimiento de la Verdad, la Convivencia y la No Repetición</w:t>
      </w:r>
      <w:r w:rsidRPr="00B41EAD">
        <w:rPr>
          <w:color w:val="000000" w:themeColor="text1"/>
          <w:sz w:val="28"/>
          <w:szCs w:val="28"/>
          <w:lang w:val="es-ES"/>
        </w:rPr>
        <w:t xml:space="preserve">, con el propósito de recordar que la gravísima problemática de </w:t>
      </w:r>
      <w:r w:rsidR="005421D6" w:rsidRPr="00B41EAD">
        <w:rPr>
          <w:color w:val="000000" w:themeColor="text1"/>
          <w:sz w:val="28"/>
          <w:szCs w:val="28"/>
          <w:lang w:val="es-ES"/>
        </w:rPr>
        <w:t xml:space="preserve">ejecuciones extrajudiciales en Colombia </w:t>
      </w:r>
      <w:r w:rsidR="0062275D" w:rsidRPr="00B41EAD">
        <w:rPr>
          <w:color w:val="000000" w:themeColor="text1"/>
          <w:sz w:val="28"/>
          <w:szCs w:val="28"/>
          <w:lang w:val="es-ES"/>
        </w:rPr>
        <w:t>no fue reconocida sino hasta 2008</w:t>
      </w:r>
      <w:r w:rsidR="005421D6" w:rsidRPr="00B41EAD">
        <w:rPr>
          <w:color w:val="000000" w:themeColor="text1"/>
          <w:sz w:val="28"/>
          <w:szCs w:val="28"/>
          <w:lang w:val="es-ES"/>
        </w:rPr>
        <w:t xml:space="preserve"> como una </w:t>
      </w:r>
      <w:r w:rsidRPr="00B41EAD">
        <w:rPr>
          <w:color w:val="000000" w:themeColor="text1"/>
          <w:sz w:val="28"/>
          <w:szCs w:val="28"/>
          <w:lang w:val="es-ES"/>
        </w:rPr>
        <w:t xml:space="preserve">situación </w:t>
      </w:r>
      <w:r w:rsidR="005421D6" w:rsidRPr="00B41EAD">
        <w:rPr>
          <w:color w:val="000000" w:themeColor="text1"/>
          <w:sz w:val="28"/>
          <w:szCs w:val="28"/>
          <w:lang w:val="es-ES"/>
        </w:rPr>
        <w:t>sistémica</w:t>
      </w:r>
      <w:r w:rsidR="0062275D" w:rsidRPr="00B41EAD">
        <w:rPr>
          <w:color w:val="000000" w:themeColor="text1"/>
          <w:sz w:val="28"/>
          <w:szCs w:val="28"/>
          <w:lang w:val="es-ES"/>
        </w:rPr>
        <w:t>, cuando las madres de Soacha visibilizaron las denuncias</w:t>
      </w:r>
      <w:r w:rsidRPr="00B41EAD">
        <w:rPr>
          <w:color w:val="000000" w:themeColor="text1"/>
          <w:sz w:val="28"/>
          <w:szCs w:val="28"/>
          <w:lang w:val="es-ES"/>
        </w:rPr>
        <w:t xml:space="preserve"> masivas</w:t>
      </w:r>
      <w:r w:rsidR="0062275D" w:rsidRPr="00B41EAD">
        <w:rPr>
          <w:color w:val="000000" w:themeColor="text1"/>
          <w:sz w:val="28"/>
          <w:szCs w:val="28"/>
          <w:lang w:val="es-ES"/>
        </w:rPr>
        <w:t xml:space="preserve"> sobre la desaparición y posterior asesinato de sus hijos.</w:t>
      </w:r>
      <w:r w:rsidR="005421D6" w:rsidRPr="00B41EAD">
        <w:rPr>
          <w:color w:val="000000" w:themeColor="text1"/>
          <w:sz w:val="28"/>
          <w:szCs w:val="28"/>
          <w:lang w:val="es-ES"/>
        </w:rPr>
        <w:t xml:space="preserve"> </w:t>
      </w:r>
    </w:p>
    <w:p w14:paraId="6529EBF9" w14:textId="77777777" w:rsidR="00687E63" w:rsidRPr="00B41EAD" w:rsidRDefault="00687E63" w:rsidP="00687E63">
      <w:pPr>
        <w:pStyle w:val="Prrafodelista"/>
        <w:rPr>
          <w:color w:val="000000" w:themeColor="text1"/>
          <w:sz w:val="28"/>
          <w:szCs w:val="28"/>
          <w:lang w:val="es-ES"/>
        </w:rPr>
      </w:pPr>
    </w:p>
    <w:p w14:paraId="613CCA99" w14:textId="08D4784E" w:rsidR="005421D6" w:rsidRPr="00B41EAD" w:rsidRDefault="0062275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Antes de esa fecha, las denuncias individuales de </w:t>
      </w:r>
      <w:r w:rsidR="005421D6" w:rsidRPr="00B41EAD">
        <w:rPr>
          <w:color w:val="000000" w:themeColor="text1"/>
          <w:sz w:val="28"/>
          <w:szCs w:val="28"/>
          <w:lang w:val="es-ES"/>
        </w:rPr>
        <w:t>estos hechos</w:t>
      </w:r>
      <w:r w:rsidRPr="00B41EAD">
        <w:rPr>
          <w:color w:val="000000" w:themeColor="text1"/>
          <w:sz w:val="28"/>
          <w:szCs w:val="28"/>
          <w:lang w:val="es-ES"/>
        </w:rPr>
        <w:t xml:space="preserve"> no recibieron atención suficiente</w:t>
      </w:r>
      <w:r w:rsidR="005421D6" w:rsidRPr="00B41EAD">
        <w:rPr>
          <w:color w:val="000000" w:themeColor="text1"/>
          <w:sz w:val="28"/>
          <w:szCs w:val="28"/>
          <w:lang w:val="es-ES"/>
        </w:rPr>
        <w:t>, dados los obstáculos innegables -a veces insuperables- que dificultaban seriamente obtener información que permitiera un acceso oportuno y pertinente a la justicia. Este contexto de dificultades ampliamente documentad</w:t>
      </w:r>
      <w:r w:rsidR="00BF0D9F" w:rsidRPr="00B41EAD">
        <w:rPr>
          <w:color w:val="000000" w:themeColor="text1"/>
          <w:sz w:val="28"/>
          <w:szCs w:val="28"/>
          <w:lang w:val="es-ES"/>
        </w:rPr>
        <w:t>o</w:t>
      </w:r>
      <w:r w:rsidR="005421D6" w:rsidRPr="00B41EAD">
        <w:rPr>
          <w:color w:val="000000" w:themeColor="text1"/>
          <w:sz w:val="28"/>
          <w:szCs w:val="28"/>
          <w:lang w:val="es-ES"/>
        </w:rPr>
        <w:t xml:space="preserve"> en Colombia </w:t>
      </w:r>
      <w:r w:rsidR="00BF0D9F" w:rsidRPr="00B41EAD">
        <w:rPr>
          <w:color w:val="000000" w:themeColor="text1"/>
          <w:sz w:val="28"/>
          <w:szCs w:val="28"/>
          <w:lang w:val="es-ES"/>
        </w:rPr>
        <w:t xml:space="preserve">demanda, como lo ha señalado la Corte Constitucional, </w:t>
      </w:r>
      <w:r w:rsidRPr="00B41EAD">
        <w:rPr>
          <w:color w:val="000000" w:themeColor="text1"/>
          <w:sz w:val="28"/>
          <w:szCs w:val="28"/>
          <w:lang w:val="es-ES"/>
        </w:rPr>
        <w:t xml:space="preserve">una consideración flexible de </w:t>
      </w:r>
      <w:r w:rsidR="00BF0D9F" w:rsidRPr="00B41EAD">
        <w:rPr>
          <w:color w:val="000000" w:themeColor="text1"/>
          <w:sz w:val="28"/>
          <w:szCs w:val="28"/>
          <w:lang w:val="es-ES"/>
        </w:rPr>
        <w:t xml:space="preserve">las reglas </w:t>
      </w:r>
      <w:r w:rsidRPr="00B41EAD">
        <w:rPr>
          <w:color w:val="000000" w:themeColor="text1"/>
          <w:sz w:val="28"/>
          <w:szCs w:val="28"/>
          <w:lang w:val="es-ES"/>
        </w:rPr>
        <w:t xml:space="preserve">procesales y </w:t>
      </w:r>
      <w:r w:rsidR="00BF0D9F" w:rsidRPr="00B41EAD">
        <w:rPr>
          <w:color w:val="000000" w:themeColor="text1"/>
          <w:sz w:val="28"/>
          <w:szCs w:val="28"/>
          <w:lang w:val="es-ES"/>
        </w:rPr>
        <w:t xml:space="preserve">de </w:t>
      </w:r>
      <w:r w:rsidRPr="00B41EAD">
        <w:rPr>
          <w:color w:val="000000" w:themeColor="text1"/>
          <w:sz w:val="28"/>
          <w:szCs w:val="28"/>
          <w:lang w:val="es-ES"/>
        </w:rPr>
        <w:t>los requisitos probatorios</w:t>
      </w:r>
      <w:r w:rsidR="00E40846" w:rsidRPr="00B41EAD">
        <w:rPr>
          <w:color w:val="000000" w:themeColor="text1"/>
          <w:sz w:val="28"/>
          <w:szCs w:val="28"/>
          <w:lang w:val="es-ES"/>
        </w:rPr>
        <w:t xml:space="preserve"> por parte del aparato jurisdiccional, siempre </w:t>
      </w:r>
      <w:r w:rsidR="005421D6" w:rsidRPr="00B41EAD">
        <w:rPr>
          <w:color w:val="000000" w:themeColor="text1"/>
          <w:sz w:val="28"/>
          <w:szCs w:val="28"/>
          <w:lang w:val="es-ES"/>
        </w:rPr>
        <w:t>en favor de</w:t>
      </w:r>
      <w:r w:rsidR="00E40846" w:rsidRPr="00B41EAD">
        <w:rPr>
          <w:color w:val="000000" w:themeColor="text1"/>
          <w:sz w:val="28"/>
          <w:szCs w:val="28"/>
          <w:lang w:val="es-ES"/>
        </w:rPr>
        <w:t xml:space="preserve">l mayor acceso posible a la justicia material por parte de </w:t>
      </w:r>
      <w:r w:rsidR="005421D6" w:rsidRPr="00B41EAD">
        <w:rPr>
          <w:color w:val="000000" w:themeColor="text1"/>
          <w:sz w:val="28"/>
          <w:szCs w:val="28"/>
          <w:lang w:val="es-ES"/>
        </w:rPr>
        <w:t>las víctimas.</w:t>
      </w:r>
    </w:p>
    <w:p w14:paraId="74354883" w14:textId="77777777" w:rsidR="005421D6" w:rsidRPr="00B41EAD" w:rsidRDefault="005421D6" w:rsidP="005421D6">
      <w:pPr>
        <w:pStyle w:val="Prrafodelista"/>
        <w:rPr>
          <w:color w:val="000000" w:themeColor="text1"/>
          <w:sz w:val="28"/>
          <w:szCs w:val="28"/>
          <w:lang w:val="es-ES"/>
        </w:rPr>
      </w:pPr>
    </w:p>
    <w:p w14:paraId="372CDB7E" w14:textId="76D0E744" w:rsidR="002E6CF1" w:rsidRPr="00B41EAD" w:rsidRDefault="002E6CF1" w:rsidP="002E6CF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shd w:val="clear" w:color="auto" w:fill="FFFFFF"/>
        </w:rPr>
        <w:t xml:space="preserve">El informe en mención muestra cómo las instituciones y la </w:t>
      </w:r>
      <w:r w:rsidR="00FC681E" w:rsidRPr="00B41EAD">
        <w:rPr>
          <w:color w:val="000000" w:themeColor="text1"/>
          <w:sz w:val="28"/>
          <w:szCs w:val="28"/>
          <w:shd w:val="clear" w:color="auto" w:fill="FFFFFF"/>
        </w:rPr>
        <w:t>F</w:t>
      </w:r>
      <w:r w:rsidRPr="00B41EAD">
        <w:rPr>
          <w:color w:val="000000" w:themeColor="text1"/>
          <w:sz w:val="28"/>
          <w:szCs w:val="28"/>
          <w:shd w:val="clear" w:color="auto" w:fill="FFFFFF"/>
        </w:rPr>
        <w:t xml:space="preserve">uerza </w:t>
      </w:r>
      <w:r w:rsidR="00FC681E" w:rsidRPr="00B41EAD">
        <w:rPr>
          <w:color w:val="000000" w:themeColor="text1"/>
          <w:sz w:val="28"/>
          <w:szCs w:val="28"/>
          <w:shd w:val="clear" w:color="auto" w:fill="FFFFFF"/>
        </w:rPr>
        <w:t>P</w:t>
      </w:r>
      <w:r w:rsidRPr="00B41EAD">
        <w:rPr>
          <w:color w:val="000000" w:themeColor="text1"/>
          <w:sz w:val="28"/>
          <w:szCs w:val="28"/>
          <w:shd w:val="clear" w:color="auto" w:fill="FFFFFF"/>
        </w:rPr>
        <w:t>ública acudieron a mecanismos de encubrimiento respecto de las ejecuciones extrajudiciales cometidas en distintas zonas del país. De hecho, la sofisticación para encubrir la verdad, así como las amenazas</w:t>
      </w:r>
      <w:r w:rsidRPr="00B41EAD">
        <w:rPr>
          <w:rStyle w:val="Refdenotaalpie"/>
          <w:color w:val="000000" w:themeColor="text1"/>
          <w:sz w:val="28"/>
          <w:szCs w:val="28"/>
          <w:shd w:val="clear" w:color="auto" w:fill="FFFFFF"/>
        </w:rPr>
        <w:footnoteReference w:id="87"/>
      </w:r>
      <w:r w:rsidRPr="00B41EAD">
        <w:rPr>
          <w:color w:val="000000" w:themeColor="text1"/>
          <w:sz w:val="28"/>
          <w:szCs w:val="28"/>
          <w:shd w:val="clear" w:color="auto" w:fill="FFFFFF"/>
        </w:rPr>
        <w:t xml:space="preserve"> y hostigamientos por parte de agentes estatales hacia la población civil para evitar que denunciaran los crímenes cometidos, hacían parte del repertorio de acciones violentas que padecieron familiares de las víctimas y que, en consecuencia, vieron obstaculizado el acceso a la administración de justicia. En ese sentido, según el Informe, una parte del contexto de ejecuciones extrajudiciales se dio en los siguientes términos:</w:t>
      </w:r>
    </w:p>
    <w:p w14:paraId="25BF9A85" w14:textId="77777777" w:rsidR="002E6CF1" w:rsidRPr="00B41EAD" w:rsidRDefault="002E6CF1" w:rsidP="002E6CF1">
      <w:pPr>
        <w:jc w:val="both"/>
        <w:rPr>
          <w:color w:val="000000" w:themeColor="text1"/>
          <w:sz w:val="28"/>
          <w:szCs w:val="28"/>
          <w:shd w:val="clear" w:color="auto" w:fill="FFFFFF"/>
        </w:rPr>
      </w:pPr>
    </w:p>
    <w:p w14:paraId="3B200514" w14:textId="77777777" w:rsidR="002E6CF1" w:rsidRPr="00B41EAD" w:rsidRDefault="002E6CF1" w:rsidP="002E6CF1">
      <w:pPr>
        <w:ind w:left="567" w:right="708"/>
        <w:jc w:val="both"/>
        <w:rPr>
          <w:color w:val="000000" w:themeColor="text1"/>
          <w:sz w:val="28"/>
          <w:szCs w:val="28"/>
          <w:shd w:val="clear" w:color="auto" w:fill="FFFFFF"/>
        </w:rPr>
      </w:pPr>
      <w:r w:rsidRPr="00B41EAD">
        <w:rPr>
          <w:color w:val="000000" w:themeColor="text1"/>
          <w:sz w:val="28"/>
          <w:szCs w:val="28"/>
          <w:shd w:val="clear" w:color="auto" w:fill="FFFFFF"/>
        </w:rPr>
        <w:t xml:space="preserve">“A partir de los datos disponibles sobre los casos y las víctimas, el ACNUDH estimó en 2011 que más de 3.000 personas podrían haber sido víctimas de ejecuciones extrajudiciales, atribuidas principalmente al Ejército. La mayoría de esos casos habían ocurrido entre los años 2004 y 2008. El ACNUDH reiteró que era fundamental que la justicia penal militar trasladara inmediatamente todos los casos en que pudiera haber violaciones de los derechos humanos a la justicia ordinaria y que se revisaran aquellos que hubieran sido archivados por la justicia penal militar sin una adecuada investigación. Además, el ACNUDH observó que el traslado y la destitución de algunos jueces militares podrían haber </w:t>
      </w:r>
      <w:r w:rsidRPr="00B41EAD">
        <w:rPr>
          <w:color w:val="000000" w:themeColor="text1"/>
          <w:sz w:val="28"/>
          <w:szCs w:val="28"/>
          <w:shd w:val="clear" w:color="auto" w:fill="FFFFFF"/>
        </w:rPr>
        <w:lastRenderedPageBreak/>
        <w:t xml:space="preserve">sido motivados por su colaboración con la justicia ordinaria. </w:t>
      </w:r>
      <w:r w:rsidRPr="00B41EAD">
        <w:rPr>
          <w:color w:val="000000" w:themeColor="text1"/>
          <w:sz w:val="28"/>
          <w:szCs w:val="28"/>
        </w:rPr>
        <w:t xml:space="preserve"> </w:t>
      </w:r>
      <w:r w:rsidRPr="00B41EAD">
        <w:rPr>
          <w:color w:val="000000" w:themeColor="text1"/>
          <w:sz w:val="28"/>
          <w:szCs w:val="28"/>
          <w:shd w:val="clear" w:color="auto" w:fill="FFFFFF"/>
        </w:rPr>
        <w:t xml:space="preserve">En marzo de 2012, el ACNUDH comunicó que la práctica de las ejecuciones extrajudiciales no estaba totalmente erradicada, y que había observado casos con características que podrían indicar la comisión de ejecuciones extrajudiciales durante 2011 en los departamentos de Arauca, Bogotá, Cauca y Cesar. El ACNUDH señaló que esos casos deberían alertar a las autoridades sobre la necesidad de redoblar los esfuerzos para prevenir esta grave violación de los derechos humanos, haciendo hincapié en la aplicación efectiva de las medidas introducidas en 2008 con ese objetivo. </w:t>
      </w:r>
    </w:p>
    <w:p w14:paraId="14734445" w14:textId="77777777" w:rsidR="002E6CF1" w:rsidRPr="00B41EAD" w:rsidRDefault="002E6CF1" w:rsidP="002E6CF1">
      <w:pPr>
        <w:ind w:left="567" w:right="708"/>
        <w:jc w:val="both"/>
        <w:rPr>
          <w:color w:val="000000" w:themeColor="text1"/>
          <w:sz w:val="28"/>
          <w:szCs w:val="28"/>
          <w:shd w:val="clear" w:color="auto" w:fill="FFFFFF"/>
        </w:rPr>
      </w:pPr>
    </w:p>
    <w:p w14:paraId="1686FD73" w14:textId="566FA755" w:rsidR="002E6CF1" w:rsidRPr="00B41EAD" w:rsidRDefault="002E6CF1" w:rsidP="002E6CF1">
      <w:pPr>
        <w:ind w:left="567" w:right="708"/>
        <w:jc w:val="both"/>
        <w:rPr>
          <w:color w:val="000000" w:themeColor="text1"/>
          <w:sz w:val="28"/>
          <w:szCs w:val="28"/>
          <w:shd w:val="clear" w:color="auto" w:fill="FFFFFF"/>
        </w:rPr>
      </w:pPr>
      <w:r w:rsidRPr="00B41EAD">
        <w:rPr>
          <w:color w:val="000000" w:themeColor="text1"/>
          <w:sz w:val="28"/>
          <w:szCs w:val="28"/>
          <w:shd w:val="clear" w:color="auto" w:fill="FFFFFF"/>
        </w:rPr>
        <w:t xml:space="preserve">El ACNUDH observó que algunos oficiales del Ejército y otros altos funcionarios públicos continuaban negando la existencia de las ejecuciones extrajudiciales y desprestigiando al sistema judicial cuando se pronunciaban sentencias condenatorias. </w:t>
      </w:r>
      <w:r w:rsidRPr="00B41EAD">
        <w:rPr>
          <w:color w:val="000000" w:themeColor="text1"/>
          <w:sz w:val="28"/>
          <w:szCs w:val="28"/>
        </w:rPr>
        <w:t xml:space="preserve"> </w:t>
      </w:r>
      <w:r w:rsidRPr="00B41EAD">
        <w:rPr>
          <w:color w:val="000000" w:themeColor="text1"/>
          <w:sz w:val="28"/>
          <w:szCs w:val="28"/>
          <w:shd w:val="clear" w:color="auto" w:fill="FFFFFF"/>
        </w:rPr>
        <w:t xml:space="preserve">Tras examinar la información facilitada para la preparación del presente informe de seguimiento, el Relator Especial actual observa que los informes indican que sigue habiendo ejecuciones extrajudiciales cometidas por las Fuerzas Armadas y la policía y que la tasa de impunidad por esas violaciones de los derechos humanos sigue siendo alta debido a la falta de avances en las investigaciones penales. Aunque un número importante de casos de ejecuciones extrajudiciales se han trasladado a la </w:t>
      </w:r>
      <w:proofErr w:type="gramStart"/>
      <w:r w:rsidRPr="00B41EAD">
        <w:rPr>
          <w:color w:val="000000" w:themeColor="text1"/>
          <w:sz w:val="28"/>
          <w:szCs w:val="28"/>
          <w:shd w:val="clear" w:color="auto" w:fill="FFFFFF"/>
        </w:rPr>
        <w:t>Fiscalía General</w:t>
      </w:r>
      <w:proofErr w:type="gramEnd"/>
      <w:r w:rsidRPr="00B41EAD">
        <w:rPr>
          <w:color w:val="000000" w:themeColor="text1"/>
          <w:sz w:val="28"/>
          <w:szCs w:val="28"/>
          <w:shd w:val="clear" w:color="auto" w:fill="FFFFFF"/>
        </w:rPr>
        <w:t>, el Relator Especial considera preocupante que el Estado no facilite información sobre el número de condenas dictadas contra miembros de las Fuerzas Armadas por las ejecuciones extrajudiciales ni sobre las sanciones impuestas en esos casos (…).</w:t>
      </w:r>
    </w:p>
    <w:p w14:paraId="747FE8D9" w14:textId="77777777" w:rsidR="002E6CF1" w:rsidRPr="00B41EAD" w:rsidRDefault="002E6CF1" w:rsidP="002E6CF1">
      <w:pPr>
        <w:ind w:left="567" w:right="708"/>
        <w:jc w:val="both"/>
        <w:rPr>
          <w:color w:val="000000" w:themeColor="text1"/>
          <w:sz w:val="28"/>
          <w:szCs w:val="28"/>
          <w:shd w:val="clear" w:color="auto" w:fill="FFFFFF"/>
        </w:rPr>
      </w:pPr>
    </w:p>
    <w:p w14:paraId="2ECEC04D" w14:textId="7BC02CE3" w:rsidR="002E6CF1" w:rsidRPr="00B41EAD" w:rsidRDefault="002E6CF1" w:rsidP="002E6CF1">
      <w:pPr>
        <w:ind w:left="567" w:right="708"/>
        <w:jc w:val="both"/>
        <w:rPr>
          <w:color w:val="000000" w:themeColor="text1"/>
          <w:sz w:val="28"/>
          <w:szCs w:val="28"/>
          <w:shd w:val="clear" w:color="auto" w:fill="FFFFFF"/>
        </w:rPr>
      </w:pPr>
      <w:r w:rsidRPr="00B41EAD">
        <w:rPr>
          <w:color w:val="000000" w:themeColor="text1"/>
          <w:sz w:val="28"/>
          <w:szCs w:val="28"/>
          <w:shd w:val="clear" w:color="auto" w:fill="FFFFFF"/>
        </w:rPr>
        <w:t>El Relator Especial está preocupado por diversos informes que indican que los jueces militares que han intentado trasladar las investigaciones a la justicia ordinaria han sido objeto de represalias y presiones, y que se impide que los miembros de las fuerzas de seguridad acusados de participar en ejecuciones extrajudiciales confiesen su participación en esos delitos. El Relator Especial está de acuerdo con el ACNUDH en que es esencial que las autoridades civiles y militares del más alto nivel apoyen de forma inequívoca a los miembros de las fuerzas de seguridad que colaboren con los procesos judiciales”</w:t>
      </w:r>
      <w:r w:rsidRPr="00B41EAD">
        <w:rPr>
          <w:rStyle w:val="Refdenotaalpie"/>
          <w:color w:val="000000" w:themeColor="text1"/>
          <w:sz w:val="28"/>
          <w:szCs w:val="28"/>
          <w:shd w:val="clear" w:color="auto" w:fill="FFFFFF"/>
        </w:rPr>
        <w:t xml:space="preserve"> </w:t>
      </w:r>
      <w:r w:rsidRPr="00B41EAD">
        <w:rPr>
          <w:rStyle w:val="Refdenotaalpie"/>
          <w:color w:val="000000" w:themeColor="text1"/>
          <w:sz w:val="28"/>
          <w:szCs w:val="28"/>
          <w:shd w:val="clear" w:color="auto" w:fill="FFFFFF"/>
        </w:rPr>
        <w:footnoteReference w:id="88"/>
      </w:r>
      <w:r w:rsidRPr="00B41EAD">
        <w:rPr>
          <w:color w:val="000000" w:themeColor="text1"/>
          <w:sz w:val="28"/>
          <w:szCs w:val="28"/>
          <w:shd w:val="clear" w:color="auto" w:fill="FFFFFF"/>
        </w:rPr>
        <w:t>.</w:t>
      </w:r>
    </w:p>
    <w:p w14:paraId="77F67CEB" w14:textId="77777777" w:rsidR="002E6CF1" w:rsidRPr="00B41EAD" w:rsidRDefault="002E6CF1" w:rsidP="002E6CF1">
      <w:pPr>
        <w:rPr>
          <w:color w:val="000000" w:themeColor="text1"/>
          <w:sz w:val="28"/>
          <w:szCs w:val="28"/>
          <w:lang w:val="es-ES"/>
        </w:rPr>
      </w:pPr>
    </w:p>
    <w:p w14:paraId="6D175E58" w14:textId="5579AD7B" w:rsidR="005B07E9" w:rsidRPr="00B41EAD" w:rsidRDefault="0062275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 la luz de lo expuesto, el análisis judicial de los casos </w:t>
      </w:r>
      <w:r w:rsidR="005421D6" w:rsidRPr="00B41EAD">
        <w:rPr>
          <w:color w:val="000000" w:themeColor="text1"/>
          <w:sz w:val="28"/>
          <w:szCs w:val="28"/>
          <w:lang w:val="es-ES"/>
        </w:rPr>
        <w:t xml:space="preserve">relacionados con presuntas </w:t>
      </w:r>
      <w:r w:rsidRPr="00B41EAD">
        <w:rPr>
          <w:color w:val="000000" w:themeColor="text1"/>
          <w:sz w:val="28"/>
          <w:szCs w:val="28"/>
          <w:lang w:val="es-ES"/>
        </w:rPr>
        <w:t>ejecuciones extrajudiciales debe ir más allá de una simple interpretación formal de los hechos y</w:t>
      </w:r>
      <w:r w:rsidR="005421D6" w:rsidRPr="00B41EAD">
        <w:rPr>
          <w:color w:val="000000" w:themeColor="text1"/>
          <w:sz w:val="28"/>
          <w:szCs w:val="28"/>
          <w:lang w:val="es-ES"/>
        </w:rPr>
        <w:t xml:space="preserve"> de</w:t>
      </w:r>
      <w:r w:rsidRPr="00B41EAD">
        <w:rPr>
          <w:color w:val="000000" w:themeColor="text1"/>
          <w:sz w:val="28"/>
          <w:szCs w:val="28"/>
          <w:lang w:val="es-ES"/>
        </w:rPr>
        <w:t xml:space="preserve"> los plazos procesales. Debe incorporar una comprensión profunda de las dinámicas estructurales que impiden a las víctimas acceder a la justicia, adoptando un</w:t>
      </w:r>
      <w:r w:rsidR="00E40846" w:rsidRPr="00B41EAD">
        <w:rPr>
          <w:color w:val="000000" w:themeColor="text1"/>
          <w:sz w:val="28"/>
          <w:szCs w:val="28"/>
          <w:lang w:val="es-ES"/>
        </w:rPr>
        <w:t xml:space="preserve">a orientación </w:t>
      </w:r>
      <w:r w:rsidRPr="00B41EAD">
        <w:rPr>
          <w:color w:val="000000" w:themeColor="text1"/>
          <w:sz w:val="28"/>
          <w:szCs w:val="28"/>
          <w:lang w:val="es-ES"/>
        </w:rPr>
        <w:t xml:space="preserve">que priorice la protección de sus derechos fundamentales. </w:t>
      </w:r>
    </w:p>
    <w:p w14:paraId="348B4D1B" w14:textId="77777777" w:rsidR="005B07E9" w:rsidRPr="00B41EAD" w:rsidRDefault="005B07E9" w:rsidP="005B07E9">
      <w:pPr>
        <w:pStyle w:val="Prrafodelista"/>
        <w:rPr>
          <w:color w:val="000000" w:themeColor="text1"/>
          <w:sz w:val="28"/>
          <w:szCs w:val="28"/>
          <w:lang w:val="es-ES"/>
        </w:rPr>
      </w:pPr>
    </w:p>
    <w:p w14:paraId="75263E3A" w14:textId="10431EC1" w:rsidR="005B07E9" w:rsidRPr="00B41EAD" w:rsidRDefault="000E599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lastRenderedPageBreak/>
        <w:t>En ese sentido,</w:t>
      </w:r>
      <w:r w:rsidR="00E40846" w:rsidRPr="00B41EAD">
        <w:rPr>
          <w:color w:val="000000" w:themeColor="text1"/>
          <w:sz w:val="28"/>
          <w:szCs w:val="28"/>
          <w:lang w:val="es-ES"/>
        </w:rPr>
        <w:t xml:space="preserve"> para la Corte Constitucional </w:t>
      </w:r>
      <w:r w:rsidR="0062275D" w:rsidRPr="00B41EAD">
        <w:rPr>
          <w:color w:val="000000" w:themeColor="text1"/>
          <w:sz w:val="28"/>
          <w:szCs w:val="28"/>
          <w:lang w:val="es-ES"/>
        </w:rPr>
        <w:t xml:space="preserve">el defecto fáctico que </w:t>
      </w:r>
      <w:r w:rsidR="0076274F" w:rsidRPr="00B41EAD">
        <w:rPr>
          <w:color w:val="000000" w:themeColor="text1"/>
          <w:sz w:val="28"/>
          <w:szCs w:val="28"/>
          <w:lang w:val="es-ES"/>
        </w:rPr>
        <w:t>concurre</w:t>
      </w:r>
      <w:r w:rsidR="005B07E9" w:rsidRPr="00B41EAD">
        <w:rPr>
          <w:color w:val="000000" w:themeColor="text1"/>
          <w:sz w:val="28"/>
          <w:szCs w:val="28"/>
          <w:lang w:val="es-ES"/>
        </w:rPr>
        <w:t xml:space="preserve"> </w:t>
      </w:r>
      <w:r w:rsidR="0062275D" w:rsidRPr="00B41EAD">
        <w:rPr>
          <w:color w:val="000000" w:themeColor="text1"/>
          <w:sz w:val="28"/>
          <w:szCs w:val="28"/>
          <w:lang w:val="es-ES"/>
        </w:rPr>
        <w:t xml:space="preserve">en </w:t>
      </w:r>
      <w:r w:rsidR="005B07E9" w:rsidRPr="00B41EAD">
        <w:rPr>
          <w:color w:val="000000" w:themeColor="text1"/>
          <w:sz w:val="28"/>
          <w:szCs w:val="28"/>
          <w:lang w:val="es-ES"/>
        </w:rPr>
        <w:t>e</w:t>
      </w:r>
      <w:r w:rsidR="00687E63" w:rsidRPr="00B41EAD">
        <w:rPr>
          <w:color w:val="000000" w:themeColor="text1"/>
          <w:sz w:val="28"/>
          <w:szCs w:val="28"/>
          <w:lang w:val="es-ES"/>
        </w:rPr>
        <w:t>l caso</w:t>
      </w:r>
      <w:r w:rsidR="005B07E9" w:rsidRPr="00B41EAD">
        <w:rPr>
          <w:color w:val="000000" w:themeColor="text1"/>
          <w:sz w:val="28"/>
          <w:szCs w:val="28"/>
          <w:lang w:val="es-ES"/>
        </w:rPr>
        <w:t xml:space="preserve"> </w:t>
      </w:r>
      <w:r w:rsidR="00E40846" w:rsidRPr="00B41EAD">
        <w:rPr>
          <w:color w:val="000000" w:themeColor="text1"/>
          <w:sz w:val="28"/>
          <w:szCs w:val="28"/>
          <w:lang w:val="es-ES"/>
        </w:rPr>
        <w:t>objeto de análisis se configura</w:t>
      </w:r>
      <w:r w:rsidR="005B07E9" w:rsidRPr="00B41EAD">
        <w:rPr>
          <w:color w:val="000000" w:themeColor="text1"/>
          <w:sz w:val="28"/>
          <w:szCs w:val="28"/>
          <w:lang w:val="es-ES"/>
        </w:rPr>
        <w:t xml:space="preserve">, también, </w:t>
      </w:r>
      <w:r w:rsidR="00E40846" w:rsidRPr="00B41EAD">
        <w:rPr>
          <w:color w:val="000000" w:themeColor="text1"/>
          <w:sz w:val="28"/>
          <w:szCs w:val="28"/>
          <w:lang w:val="es-ES"/>
        </w:rPr>
        <w:t xml:space="preserve">ante </w:t>
      </w:r>
      <w:r w:rsidR="0062275D" w:rsidRPr="00B41EAD">
        <w:rPr>
          <w:color w:val="000000" w:themeColor="text1"/>
          <w:sz w:val="28"/>
          <w:szCs w:val="28"/>
          <w:lang w:val="es-ES"/>
        </w:rPr>
        <w:t xml:space="preserve">la </w:t>
      </w:r>
      <w:r w:rsidR="005B07E9" w:rsidRPr="00B41EAD">
        <w:rPr>
          <w:color w:val="000000" w:themeColor="text1"/>
          <w:sz w:val="28"/>
          <w:szCs w:val="28"/>
          <w:lang w:val="es-ES"/>
        </w:rPr>
        <w:t xml:space="preserve">ausencia de una valoración contextual de los hechos, al momento de determinar si la demanda de reparación directa fue promovida oportunamente. </w:t>
      </w:r>
      <w:r w:rsidR="0062275D" w:rsidRPr="00B41EAD">
        <w:rPr>
          <w:color w:val="000000" w:themeColor="text1"/>
          <w:sz w:val="28"/>
          <w:szCs w:val="28"/>
          <w:lang w:val="es-ES"/>
        </w:rPr>
        <w:t>La omisión en valorar adecuadamente estas circunstancias constituye</w:t>
      </w:r>
      <w:r w:rsidR="005B07E9" w:rsidRPr="00B41EAD">
        <w:rPr>
          <w:color w:val="000000" w:themeColor="text1"/>
          <w:sz w:val="28"/>
          <w:szCs w:val="28"/>
          <w:lang w:val="es-ES"/>
        </w:rPr>
        <w:t xml:space="preserve">, de nuevo, </w:t>
      </w:r>
      <w:r w:rsidR="0062275D" w:rsidRPr="00B41EAD">
        <w:rPr>
          <w:color w:val="000000" w:themeColor="text1"/>
          <w:sz w:val="28"/>
          <w:szCs w:val="28"/>
          <w:lang w:val="es-ES"/>
        </w:rPr>
        <w:t xml:space="preserve">una violación </w:t>
      </w:r>
      <w:r w:rsidR="0076274F" w:rsidRPr="00B41EAD">
        <w:rPr>
          <w:color w:val="000000" w:themeColor="text1"/>
          <w:sz w:val="28"/>
          <w:szCs w:val="28"/>
          <w:lang w:val="es-ES"/>
        </w:rPr>
        <w:t xml:space="preserve">del </w:t>
      </w:r>
      <w:r w:rsidR="0062275D" w:rsidRPr="00B41EAD">
        <w:rPr>
          <w:color w:val="000000" w:themeColor="text1"/>
          <w:sz w:val="28"/>
          <w:szCs w:val="28"/>
          <w:lang w:val="es-ES"/>
        </w:rPr>
        <w:t>derecho al acceso a la</w:t>
      </w:r>
      <w:r w:rsidR="005B07E9" w:rsidRPr="00B41EAD">
        <w:rPr>
          <w:color w:val="000000" w:themeColor="text1"/>
          <w:sz w:val="28"/>
          <w:szCs w:val="28"/>
          <w:lang w:val="es-ES"/>
        </w:rPr>
        <w:t xml:space="preserve"> administración de</w:t>
      </w:r>
      <w:r w:rsidR="0062275D" w:rsidRPr="00B41EAD">
        <w:rPr>
          <w:color w:val="000000" w:themeColor="text1"/>
          <w:sz w:val="28"/>
          <w:szCs w:val="28"/>
          <w:lang w:val="es-ES"/>
        </w:rPr>
        <w:t xml:space="preserve"> justicia y perpetúa </w:t>
      </w:r>
      <w:r w:rsidR="005B07E9" w:rsidRPr="00B41EAD">
        <w:rPr>
          <w:color w:val="000000" w:themeColor="text1"/>
          <w:sz w:val="28"/>
          <w:szCs w:val="28"/>
          <w:lang w:val="es-ES"/>
        </w:rPr>
        <w:t>l</w:t>
      </w:r>
      <w:r w:rsidR="0062275D" w:rsidRPr="00B41EAD">
        <w:rPr>
          <w:color w:val="000000" w:themeColor="text1"/>
          <w:sz w:val="28"/>
          <w:szCs w:val="28"/>
          <w:lang w:val="es-ES"/>
        </w:rPr>
        <w:t xml:space="preserve">a situación de indefensión </w:t>
      </w:r>
      <w:r w:rsidR="005B07E9" w:rsidRPr="00B41EAD">
        <w:rPr>
          <w:color w:val="000000" w:themeColor="text1"/>
          <w:sz w:val="28"/>
          <w:szCs w:val="28"/>
          <w:lang w:val="es-ES"/>
        </w:rPr>
        <w:t xml:space="preserve">en la que se encontrarían las presuntas </w:t>
      </w:r>
      <w:r w:rsidR="0062275D" w:rsidRPr="00B41EAD">
        <w:rPr>
          <w:color w:val="000000" w:themeColor="text1"/>
          <w:sz w:val="28"/>
          <w:szCs w:val="28"/>
          <w:lang w:val="es-ES"/>
        </w:rPr>
        <w:t>víctimas</w:t>
      </w:r>
      <w:r w:rsidR="005B07E9" w:rsidRPr="00B41EAD">
        <w:rPr>
          <w:color w:val="000000" w:themeColor="text1"/>
          <w:sz w:val="28"/>
          <w:szCs w:val="28"/>
          <w:lang w:val="es-ES"/>
        </w:rPr>
        <w:t xml:space="preserve"> de hechos vinculados a una </w:t>
      </w:r>
      <w:r w:rsidR="0076274F" w:rsidRPr="00B41EAD">
        <w:rPr>
          <w:color w:val="000000" w:themeColor="text1"/>
          <w:sz w:val="28"/>
          <w:szCs w:val="28"/>
          <w:lang w:val="es-ES"/>
        </w:rPr>
        <w:t>posible</w:t>
      </w:r>
      <w:r w:rsidR="005B07E9" w:rsidRPr="00B41EAD">
        <w:rPr>
          <w:color w:val="000000" w:themeColor="text1"/>
          <w:sz w:val="28"/>
          <w:szCs w:val="28"/>
          <w:lang w:val="es-ES"/>
        </w:rPr>
        <w:t xml:space="preserve"> grave violación de derechos humanos.</w:t>
      </w:r>
    </w:p>
    <w:p w14:paraId="572E1AE0" w14:textId="77777777" w:rsidR="005B07E9" w:rsidRPr="00B41EAD" w:rsidRDefault="005B07E9" w:rsidP="00FA2FE2">
      <w:pPr>
        <w:rPr>
          <w:color w:val="000000" w:themeColor="text1"/>
          <w:sz w:val="28"/>
          <w:szCs w:val="28"/>
          <w:lang w:val="es-ES"/>
        </w:rPr>
      </w:pPr>
    </w:p>
    <w:p w14:paraId="1A737920" w14:textId="4CC2D9D6" w:rsidR="00FD6F73" w:rsidRPr="00B41EAD" w:rsidRDefault="0076274F">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Con base en todo lo expuesto, </w:t>
      </w:r>
      <w:r w:rsidRPr="00B41EAD">
        <w:rPr>
          <w:b/>
          <w:bCs/>
          <w:color w:val="000000" w:themeColor="text1"/>
          <w:sz w:val="28"/>
          <w:szCs w:val="28"/>
          <w:lang w:val="es-ES"/>
        </w:rPr>
        <w:t>a modo de remedio judicial</w:t>
      </w:r>
      <w:r w:rsidR="0026033C" w:rsidRPr="00B41EAD">
        <w:rPr>
          <w:b/>
          <w:bCs/>
          <w:color w:val="000000" w:themeColor="text1"/>
          <w:sz w:val="28"/>
          <w:szCs w:val="28"/>
          <w:lang w:val="es-ES"/>
        </w:rPr>
        <w:t xml:space="preserve"> dentro de expediente T-10.001.552</w:t>
      </w:r>
      <w:r w:rsidRPr="00B41EAD">
        <w:rPr>
          <w:color w:val="000000" w:themeColor="text1"/>
          <w:sz w:val="28"/>
          <w:szCs w:val="28"/>
          <w:lang w:val="es-ES"/>
        </w:rPr>
        <w:t xml:space="preserve">, la Sala Plena de la Corte Constitucional revocará la </w:t>
      </w:r>
      <w:r w:rsidR="00A7042A" w:rsidRPr="00B41EAD">
        <w:rPr>
          <w:color w:val="000000" w:themeColor="text1"/>
          <w:sz w:val="28"/>
          <w:szCs w:val="28"/>
          <w:lang w:val="es-ES"/>
        </w:rPr>
        <w:t>S</w:t>
      </w:r>
      <w:r w:rsidRPr="00B41EAD">
        <w:rPr>
          <w:color w:val="000000" w:themeColor="text1"/>
          <w:sz w:val="28"/>
          <w:szCs w:val="28"/>
          <w:lang w:val="es-ES"/>
        </w:rPr>
        <w:t xml:space="preserve">entencia proferida </w:t>
      </w:r>
      <w:r w:rsidR="00CD1386" w:rsidRPr="00B41EAD">
        <w:rPr>
          <w:color w:val="000000" w:themeColor="text1"/>
          <w:sz w:val="28"/>
          <w:szCs w:val="28"/>
          <w:lang w:val="es-ES"/>
        </w:rPr>
        <w:t>el 11 de diciembre de 2023, en la que la Subsección B de la Sección Tercera del Consejo de Estado declaró improcedente la acción de tutela de la referencia</w:t>
      </w:r>
      <w:r w:rsidR="00DE2317" w:rsidRPr="00B41EAD">
        <w:rPr>
          <w:color w:val="000000" w:themeColor="text1"/>
          <w:sz w:val="28"/>
          <w:szCs w:val="28"/>
          <w:lang w:val="es-ES"/>
        </w:rPr>
        <w:t>, y se accederá al amparo de los derechos fundamentales al debido proceso, al acceso a la administración de justicia, así como a las garantías de verdad, reparación integral y no repetición invocadas conculcadas a los accionantes</w:t>
      </w:r>
      <w:r w:rsidR="00CD1386" w:rsidRPr="00B41EAD">
        <w:rPr>
          <w:color w:val="000000" w:themeColor="text1"/>
          <w:sz w:val="28"/>
          <w:szCs w:val="28"/>
          <w:lang w:val="es-ES"/>
        </w:rPr>
        <w:t xml:space="preserve">. En consecuencia, se dejará sin efectos la providencia controvertida en la solicitud de amparo y se ordenará a la Subsección C de la Sección Tercera del Consejo de Estado que, en el término máximo de </w:t>
      </w:r>
      <w:r w:rsidR="00DE2317" w:rsidRPr="00B41EAD">
        <w:rPr>
          <w:color w:val="000000" w:themeColor="text1"/>
          <w:sz w:val="28"/>
          <w:szCs w:val="28"/>
          <w:lang w:val="es-ES"/>
        </w:rPr>
        <w:t>20</w:t>
      </w:r>
      <w:r w:rsidR="00CD1386" w:rsidRPr="00B41EAD">
        <w:rPr>
          <w:color w:val="000000" w:themeColor="text1"/>
          <w:sz w:val="28"/>
          <w:szCs w:val="28"/>
          <w:lang w:val="es-ES"/>
        </w:rPr>
        <w:t xml:space="preserve"> días, contados a partir de la notificación de esta sentencia, emita una nueva providencia de segunda instancia, en la que valore la caducidad del medio de control de reparación directa </w:t>
      </w:r>
      <w:r w:rsidR="00FD6F73" w:rsidRPr="00B41EAD">
        <w:rPr>
          <w:color w:val="000000" w:themeColor="text1"/>
          <w:sz w:val="28"/>
          <w:szCs w:val="28"/>
          <w:lang w:val="es-ES"/>
        </w:rPr>
        <w:t>con base en lo</w:t>
      </w:r>
      <w:r w:rsidR="00CD1386" w:rsidRPr="00B41EAD">
        <w:rPr>
          <w:color w:val="000000" w:themeColor="text1"/>
          <w:sz w:val="28"/>
          <w:szCs w:val="28"/>
          <w:lang w:val="es-ES"/>
        </w:rPr>
        <w:t xml:space="preserve"> señalado en la parte motiva de esta decisión.</w:t>
      </w:r>
    </w:p>
    <w:p w14:paraId="5AFA81E3" w14:textId="59DFB75B" w:rsidR="00FD6F73" w:rsidRPr="00B41EAD" w:rsidRDefault="00FD6F73" w:rsidP="00FD6F73">
      <w:pPr>
        <w:pStyle w:val="Prrafodelista"/>
        <w:rPr>
          <w:color w:val="000000" w:themeColor="text1"/>
          <w:sz w:val="28"/>
          <w:szCs w:val="28"/>
          <w:lang w:val="es-ES"/>
        </w:rPr>
      </w:pPr>
    </w:p>
    <w:p w14:paraId="79008E6E" w14:textId="011AEE99" w:rsidR="00FD6F73" w:rsidRPr="00B41EAD" w:rsidRDefault="00B6694A" w:rsidP="00FD6F73">
      <w:pPr>
        <w:jc w:val="both"/>
        <w:rPr>
          <w:b/>
          <w:bCs/>
          <w:color w:val="000000" w:themeColor="text1"/>
          <w:sz w:val="28"/>
          <w:szCs w:val="28"/>
          <w:lang w:val="es-ES"/>
        </w:rPr>
      </w:pPr>
      <w:r w:rsidRPr="00B41EAD">
        <w:rPr>
          <w:b/>
          <w:bCs/>
          <w:color w:val="000000" w:themeColor="text1"/>
          <w:sz w:val="28"/>
          <w:szCs w:val="28"/>
          <w:lang w:val="es-ES"/>
        </w:rPr>
        <w:t xml:space="preserve">6.2. Expediente T-10.007.411 (primer problema jurídico): el Tribunal Administrativo del Tolima incurrió </w:t>
      </w:r>
      <w:r w:rsidR="00130A5B" w:rsidRPr="00B41EAD">
        <w:rPr>
          <w:b/>
          <w:bCs/>
          <w:color w:val="000000" w:themeColor="text1"/>
          <w:sz w:val="28"/>
          <w:szCs w:val="28"/>
          <w:lang w:val="es-ES"/>
        </w:rPr>
        <w:t>en defecto fáctico al declarar que el término de caducidad del medio de control de reparación directa promovido con ocasión de la presunta ejecución extrajudicial del señor Jorge Armando Guevara Pérez debía contabilizarse desde el 17 de marzo de 2010, cuando la demandante rindió una entrevista ante la Fiscalía General de la Nación en la que afirmó que el deceso de la víctima pudo haberse tratado de “un falso positivo”</w:t>
      </w:r>
    </w:p>
    <w:p w14:paraId="4E8FCD6F" w14:textId="77777777" w:rsidR="00B6694A" w:rsidRPr="00B41EAD" w:rsidRDefault="00B6694A" w:rsidP="00FD6F73">
      <w:pPr>
        <w:jc w:val="both"/>
        <w:rPr>
          <w:b/>
          <w:bCs/>
          <w:color w:val="000000" w:themeColor="text1"/>
          <w:sz w:val="28"/>
          <w:szCs w:val="28"/>
          <w:lang w:val="es-ES"/>
        </w:rPr>
      </w:pPr>
    </w:p>
    <w:p w14:paraId="1F1B59DD" w14:textId="185E1650" w:rsidR="008E0947" w:rsidRPr="00B41EAD" w:rsidRDefault="00FD6F7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este segundo caso, los accionantes cuestiona</w:t>
      </w:r>
      <w:r w:rsidR="00B6694A" w:rsidRPr="00B41EAD">
        <w:rPr>
          <w:color w:val="000000" w:themeColor="text1"/>
          <w:sz w:val="28"/>
          <w:szCs w:val="28"/>
          <w:lang w:val="es-ES"/>
        </w:rPr>
        <w:t>ron</w:t>
      </w:r>
      <w:r w:rsidRPr="00B41EAD">
        <w:rPr>
          <w:color w:val="000000" w:themeColor="text1"/>
          <w:sz w:val="28"/>
          <w:szCs w:val="28"/>
          <w:lang w:val="es-ES"/>
        </w:rPr>
        <w:t xml:space="preserve"> la sentencia de segunda instancia, proferida por el Tribunal Administrativo del Tolima</w:t>
      </w:r>
      <w:r w:rsidR="00C525AE" w:rsidRPr="00B41EAD">
        <w:rPr>
          <w:color w:val="000000" w:themeColor="text1"/>
          <w:sz w:val="28"/>
          <w:szCs w:val="28"/>
          <w:lang w:val="es-ES"/>
        </w:rPr>
        <w:t xml:space="preserve"> </w:t>
      </w:r>
      <w:r w:rsidRPr="00B41EAD">
        <w:rPr>
          <w:color w:val="000000" w:themeColor="text1"/>
          <w:sz w:val="28"/>
          <w:szCs w:val="28"/>
          <w:lang w:val="es-ES"/>
        </w:rPr>
        <w:t>el 2 de marzo de 2023, en la que se decidió declarar de oficio la caducidad del medio de control</w:t>
      </w:r>
      <w:r w:rsidR="00C525AE" w:rsidRPr="00B41EAD">
        <w:rPr>
          <w:color w:val="000000" w:themeColor="text1"/>
          <w:sz w:val="28"/>
          <w:szCs w:val="28"/>
          <w:lang w:val="es-ES"/>
        </w:rPr>
        <w:t xml:space="preserve"> de reparación directa</w:t>
      </w:r>
      <w:r w:rsidRPr="00B41EAD">
        <w:rPr>
          <w:color w:val="000000" w:themeColor="text1"/>
          <w:sz w:val="28"/>
          <w:szCs w:val="28"/>
          <w:lang w:val="es-ES"/>
        </w:rPr>
        <w:t xml:space="preserve"> promovido con ocasión de la presunta ejecución extrajudicial del s</w:t>
      </w:r>
      <w:r w:rsidR="00C525AE" w:rsidRPr="00B41EAD">
        <w:rPr>
          <w:color w:val="000000" w:themeColor="text1"/>
          <w:sz w:val="28"/>
          <w:szCs w:val="28"/>
          <w:lang w:val="es-ES"/>
        </w:rPr>
        <w:t xml:space="preserve">eñor </w:t>
      </w:r>
      <w:bookmarkStart w:id="2" w:name="OLE_LINK1"/>
      <w:bookmarkStart w:id="3" w:name="OLE_LINK2"/>
      <w:r w:rsidR="00C525AE" w:rsidRPr="00B41EAD">
        <w:rPr>
          <w:color w:val="000000" w:themeColor="text1"/>
          <w:sz w:val="28"/>
          <w:szCs w:val="28"/>
          <w:lang w:val="es-ES"/>
        </w:rPr>
        <w:t>Jorge Armando Guevara Pérez</w:t>
      </w:r>
      <w:bookmarkEnd w:id="2"/>
      <w:bookmarkEnd w:id="3"/>
      <w:r w:rsidR="008E0947" w:rsidRPr="00B41EAD">
        <w:rPr>
          <w:color w:val="000000" w:themeColor="text1"/>
          <w:sz w:val="28"/>
          <w:szCs w:val="28"/>
          <w:lang w:val="es-ES"/>
        </w:rPr>
        <w:t>, cuyo deceso ocurrió el 30 de marzo de 2008</w:t>
      </w:r>
      <w:r w:rsidR="00C525AE" w:rsidRPr="00B41EAD">
        <w:rPr>
          <w:color w:val="000000" w:themeColor="text1"/>
          <w:sz w:val="28"/>
          <w:szCs w:val="28"/>
          <w:lang w:val="es-ES"/>
        </w:rPr>
        <w:t xml:space="preserve">. </w:t>
      </w:r>
    </w:p>
    <w:p w14:paraId="4BA11CE9" w14:textId="77777777" w:rsidR="008E0947" w:rsidRPr="00B41EAD" w:rsidRDefault="008E0947" w:rsidP="008E0947">
      <w:pPr>
        <w:pStyle w:val="Prrafodelista"/>
        <w:ind w:left="0"/>
        <w:jc w:val="both"/>
        <w:rPr>
          <w:color w:val="000000" w:themeColor="text1"/>
          <w:sz w:val="28"/>
          <w:szCs w:val="28"/>
          <w:lang w:val="es-ES"/>
        </w:rPr>
      </w:pPr>
    </w:p>
    <w:p w14:paraId="47A19BAE" w14:textId="6A2BBB8F" w:rsidR="008E0947" w:rsidRPr="00B41EAD" w:rsidRDefault="00C525A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Como fundamento de </w:t>
      </w:r>
      <w:r w:rsidR="008E0947" w:rsidRPr="00B41EAD">
        <w:rPr>
          <w:color w:val="000000" w:themeColor="text1"/>
          <w:sz w:val="28"/>
          <w:szCs w:val="28"/>
          <w:lang w:val="es-ES"/>
        </w:rPr>
        <w:t>la</w:t>
      </w:r>
      <w:r w:rsidRPr="00B41EAD">
        <w:rPr>
          <w:color w:val="000000" w:themeColor="text1"/>
          <w:sz w:val="28"/>
          <w:szCs w:val="28"/>
          <w:lang w:val="es-ES"/>
        </w:rPr>
        <w:t xml:space="preserve"> decisión, la autoridad judicial accionada </w:t>
      </w:r>
      <w:r w:rsidR="00F96B2E" w:rsidRPr="00B41EAD">
        <w:rPr>
          <w:color w:val="000000" w:themeColor="text1"/>
          <w:sz w:val="28"/>
          <w:szCs w:val="28"/>
          <w:lang w:val="es-ES"/>
        </w:rPr>
        <w:t>concluyó que, atendiendo el precedente contenido en la sentencia de unificación del 29 de enero de 2020</w:t>
      </w:r>
      <w:r w:rsidR="00F96B2E" w:rsidRPr="00B41EAD">
        <w:rPr>
          <w:rStyle w:val="Refdenotaalpie"/>
          <w:color w:val="000000" w:themeColor="text1"/>
          <w:sz w:val="28"/>
          <w:szCs w:val="28"/>
          <w:lang w:val="es-ES"/>
        </w:rPr>
        <w:footnoteReference w:id="89"/>
      </w:r>
      <w:r w:rsidR="00544AF2" w:rsidRPr="00B41EAD">
        <w:rPr>
          <w:color w:val="000000" w:themeColor="text1"/>
          <w:sz w:val="28"/>
          <w:szCs w:val="28"/>
          <w:lang w:val="es-ES"/>
        </w:rPr>
        <w:t>,</w:t>
      </w:r>
      <w:r w:rsidR="008E0947" w:rsidRPr="00B41EAD">
        <w:rPr>
          <w:color w:val="000000" w:themeColor="text1"/>
          <w:sz w:val="28"/>
          <w:szCs w:val="28"/>
          <w:lang w:val="es-ES"/>
        </w:rPr>
        <w:t xml:space="preserve"> la fecha en la cual debía iniciar la contabilización del término de caducidad era el 17 de marzo de 2010, pues ese día la señora Diana Marcela Cortés Herrera, en su calidad de compañera permanente de la víctima directa, rindió una </w:t>
      </w:r>
      <w:r w:rsidR="008E0947" w:rsidRPr="00B41EAD">
        <w:rPr>
          <w:color w:val="000000" w:themeColor="text1"/>
          <w:sz w:val="28"/>
          <w:szCs w:val="28"/>
          <w:lang w:val="es-ES"/>
        </w:rPr>
        <w:lastRenderedPageBreak/>
        <w:t>entrevista dentro del proceso penal</w:t>
      </w:r>
      <w:r w:rsidR="009C390E" w:rsidRPr="00B41EAD">
        <w:rPr>
          <w:color w:val="000000" w:themeColor="text1"/>
          <w:sz w:val="28"/>
          <w:szCs w:val="28"/>
          <w:lang w:val="es-ES"/>
        </w:rPr>
        <w:t xml:space="preserve"> adelantado</w:t>
      </w:r>
      <w:r w:rsidR="008E0947" w:rsidRPr="00B41EAD">
        <w:rPr>
          <w:color w:val="000000" w:themeColor="text1"/>
          <w:sz w:val="28"/>
          <w:szCs w:val="28"/>
          <w:lang w:val="es-ES"/>
        </w:rPr>
        <w:t xml:space="preserve"> por los presuntos hechos </w:t>
      </w:r>
      <w:proofErr w:type="spellStart"/>
      <w:r w:rsidR="008E0947" w:rsidRPr="00B41EAD">
        <w:rPr>
          <w:color w:val="000000" w:themeColor="text1"/>
          <w:sz w:val="28"/>
          <w:szCs w:val="28"/>
          <w:lang w:val="es-ES"/>
        </w:rPr>
        <w:t>victimizantes</w:t>
      </w:r>
      <w:proofErr w:type="spellEnd"/>
      <w:r w:rsidR="009C390E" w:rsidRPr="00B41EAD">
        <w:rPr>
          <w:color w:val="000000" w:themeColor="text1"/>
          <w:sz w:val="28"/>
          <w:szCs w:val="28"/>
          <w:lang w:val="es-ES"/>
        </w:rPr>
        <w:t>; y en dicha diligencia, la señora Cortés Herrara</w:t>
      </w:r>
      <w:r w:rsidR="008E0947" w:rsidRPr="00B41EAD">
        <w:rPr>
          <w:color w:val="000000" w:themeColor="text1"/>
          <w:sz w:val="28"/>
          <w:szCs w:val="28"/>
          <w:lang w:val="es-ES"/>
        </w:rPr>
        <w:t xml:space="preserve"> señaló lo siguiente: </w:t>
      </w:r>
    </w:p>
    <w:p w14:paraId="26BBD6BE" w14:textId="27220BC4" w:rsidR="008E0947" w:rsidRPr="00B41EAD" w:rsidRDefault="008E0947" w:rsidP="008E0947">
      <w:pPr>
        <w:pStyle w:val="Prrafodelista"/>
        <w:rPr>
          <w:color w:val="000000" w:themeColor="text1"/>
          <w:sz w:val="28"/>
          <w:szCs w:val="28"/>
          <w:lang w:val="es-ES"/>
        </w:rPr>
      </w:pPr>
    </w:p>
    <w:p w14:paraId="602A21C9" w14:textId="3B1A0C30" w:rsidR="008E0947" w:rsidRPr="00B41EAD" w:rsidRDefault="008E0947" w:rsidP="008E0947">
      <w:pPr>
        <w:pStyle w:val="Prrafodelista"/>
        <w:jc w:val="both"/>
        <w:rPr>
          <w:color w:val="000000" w:themeColor="text1"/>
          <w:sz w:val="28"/>
          <w:szCs w:val="28"/>
          <w:lang w:val="es-ES"/>
        </w:rPr>
      </w:pPr>
      <w:r w:rsidRPr="00B41EAD">
        <w:rPr>
          <w:color w:val="000000" w:themeColor="text1"/>
          <w:sz w:val="28"/>
          <w:szCs w:val="28"/>
          <w:lang w:val="es-ES"/>
        </w:rPr>
        <w:t>“PREGUNTADO. Sírvase informar qué otro dato tiene para agregar o corregir a la presente entrevista. CONTEST</w:t>
      </w:r>
      <w:r w:rsidR="00544AF2" w:rsidRPr="00B41EAD">
        <w:rPr>
          <w:color w:val="000000" w:themeColor="text1"/>
          <w:sz w:val="28"/>
          <w:szCs w:val="28"/>
          <w:lang w:val="es-ES"/>
        </w:rPr>
        <w:t>Ó</w:t>
      </w:r>
      <w:r w:rsidRPr="00B41EAD">
        <w:rPr>
          <w:color w:val="000000" w:themeColor="text1"/>
          <w:sz w:val="28"/>
          <w:szCs w:val="28"/>
          <w:lang w:val="es-ES"/>
        </w:rPr>
        <w:t>. La señora MAR</w:t>
      </w:r>
      <w:r w:rsidR="00A7042A" w:rsidRPr="00B41EAD">
        <w:rPr>
          <w:color w:val="000000" w:themeColor="text1"/>
          <w:sz w:val="28"/>
          <w:szCs w:val="28"/>
          <w:lang w:val="es-ES"/>
        </w:rPr>
        <w:t>Í</w:t>
      </w:r>
      <w:r w:rsidRPr="00B41EAD">
        <w:rPr>
          <w:color w:val="000000" w:themeColor="text1"/>
          <w:sz w:val="28"/>
          <w:szCs w:val="28"/>
          <w:lang w:val="es-ES"/>
        </w:rPr>
        <w:t>A HERENIA me dijo que había colocado una denuncia porque eso fue un falso positivo del ejército, ella tiene abogado de nombre Alfredo, este señor lleva el caso, doy fe que mi compañero para esa fecha no podía correr, además el tiro se lo pegaron en la cabeza, parte trasera. No, no tengo nada más”</w:t>
      </w:r>
      <w:r w:rsidR="00647D7B" w:rsidRPr="00B41EAD">
        <w:rPr>
          <w:color w:val="000000" w:themeColor="text1"/>
          <w:sz w:val="28"/>
          <w:szCs w:val="28"/>
          <w:lang w:val="es-ES"/>
        </w:rPr>
        <w:t xml:space="preserve">. </w:t>
      </w:r>
    </w:p>
    <w:p w14:paraId="41E27151" w14:textId="77777777" w:rsidR="008E0947" w:rsidRPr="00B41EAD" w:rsidRDefault="008E0947" w:rsidP="008E0947">
      <w:pPr>
        <w:pStyle w:val="Prrafodelista"/>
        <w:rPr>
          <w:color w:val="000000" w:themeColor="text1"/>
          <w:sz w:val="28"/>
          <w:szCs w:val="28"/>
          <w:lang w:val="es-ES"/>
        </w:rPr>
      </w:pPr>
    </w:p>
    <w:p w14:paraId="21BC7813" w14:textId="2975256F" w:rsidR="00C337D3" w:rsidRPr="00B41EAD" w:rsidRDefault="0071060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Según el Tribunal Administrativo del Tolima, lo anterior es suficiente para considerar </w:t>
      </w:r>
      <w:r w:rsidR="00647D7B" w:rsidRPr="00B41EAD">
        <w:rPr>
          <w:color w:val="000000" w:themeColor="text1"/>
          <w:sz w:val="28"/>
          <w:szCs w:val="28"/>
          <w:lang w:val="es-ES"/>
        </w:rPr>
        <w:t>que</w:t>
      </w:r>
      <w:r w:rsidR="00C337D3" w:rsidRPr="00B41EAD">
        <w:rPr>
          <w:color w:val="000000" w:themeColor="text1"/>
          <w:sz w:val="28"/>
          <w:szCs w:val="28"/>
          <w:lang w:val="es-ES"/>
        </w:rPr>
        <w:t xml:space="preserve">, </w:t>
      </w:r>
      <w:r w:rsidR="00647D7B" w:rsidRPr="00B41EAD">
        <w:rPr>
          <w:color w:val="000000" w:themeColor="text1"/>
          <w:sz w:val="28"/>
          <w:szCs w:val="28"/>
          <w:lang w:val="es-ES"/>
        </w:rPr>
        <w:t xml:space="preserve">al menos desde la fecha de tal </w:t>
      </w:r>
      <w:r w:rsidRPr="00B41EAD">
        <w:rPr>
          <w:color w:val="000000" w:themeColor="text1"/>
          <w:sz w:val="28"/>
          <w:szCs w:val="28"/>
          <w:lang w:val="es-ES"/>
        </w:rPr>
        <w:t>entrevista, la demandante “tenía la posible acción calculada de los miembros del Ejército Nacional, traducida en la ejecución extrajudicial del señor Jorge Armando Guevara Pérez</w:t>
      </w:r>
      <w:r w:rsidR="00647D7B" w:rsidRPr="00B41EAD">
        <w:rPr>
          <w:color w:val="000000" w:themeColor="text1"/>
          <w:sz w:val="28"/>
          <w:szCs w:val="28"/>
          <w:lang w:val="es-ES"/>
        </w:rPr>
        <w:t>, toda vez que desde allí era advertible para la parte actora la intervención del Estado en tales hechos y la posible imputación del hecho dañoso</w:t>
      </w:r>
      <w:r w:rsidRPr="00B41EAD">
        <w:rPr>
          <w:color w:val="000000" w:themeColor="text1"/>
          <w:sz w:val="28"/>
          <w:szCs w:val="28"/>
          <w:lang w:val="es-ES"/>
        </w:rPr>
        <w:t>”</w:t>
      </w:r>
      <w:r w:rsidR="00647D7B" w:rsidRPr="00B41EAD">
        <w:rPr>
          <w:color w:val="000000" w:themeColor="text1"/>
          <w:sz w:val="28"/>
          <w:szCs w:val="28"/>
          <w:lang w:val="es-ES"/>
        </w:rPr>
        <w:t>. Pese a ello, la demanda fue radicada el 29 de mayo de 2019, momento para el cual el medio de control habría caducado.</w:t>
      </w:r>
    </w:p>
    <w:p w14:paraId="6826EE64" w14:textId="77777777" w:rsidR="00C337D3" w:rsidRPr="00B41EAD" w:rsidRDefault="00C337D3" w:rsidP="00C337D3">
      <w:pPr>
        <w:pStyle w:val="Prrafodelista"/>
        <w:ind w:left="0"/>
        <w:jc w:val="both"/>
        <w:rPr>
          <w:color w:val="000000" w:themeColor="text1"/>
          <w:sz w:val="28"/>
          <w:szCs w:val="28"/>
          <w:lang w:val="es-ES"/>
        </w:rPr>
      </w:pPr>
    </w:p>
    <w:p w14:paraId="4E8EFBD3" w14:textId="248D9901" w:rsidR="005F0BF5" w:rsidRPr="00B41EAD" w:rsidRDefault="009C390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Para la Sala Plena de la Corte Constitucional, </w:t>
      </w:r>
      <w:r w:rsidR="00130A5B" w:rsidRPr="00B41EAD">
        <w:rPr>
          <w:color w:val="000000" w:themeColor="text1"/>
          <w:sz w:val="28"/>
          <w:szCs w:val="28"/>
          <w:lang w:val="es-ES"/>
        </w:rPr>
        <w:t>tal</w:t>
      </w:r>
      <w:r w:rsidRPr="00B41EAD">
        <w:rPr>
          <w:color w:val="000000" w:themeColor="text1"/>
          <w:sz w:val="28"/>
          <w:szCs w:val="28"/>
          <w:lang w:val="es-ES"/>
        </w:rPr>
        <w:t xml:space="preserve"> valoración de la autoridad judicial accionada es ciertamente insuficiente. Analizada la extensa información del proceso penal que </w:t>
      </w:r>
      <w:r w:rsidR="009F3BDB" w:rsidRPr="00B41EAD">
        <w:rPr>
          <w:color w:val="000000" w:themeColor="text1"/>
          <w:sz w:val="28"/>
          <w:szCs w:val="28"/>
          <w:lang w:val="es-ES"/>
        </w:rPr>
        <w:t>se encontraba a</w:t>
      </w:r>
      <w:r w:rsidRPr="00B41EAD">
        <w:rPr>
          <w:color w:val="000000" w:themeColor="text1"/>
          <w:sz w:val="28"/>
          <w:szCs w:val="28"/>
          <w:lang w:val="es-ES"/>
        </w:rPr>
        <w:t xml:space="preserve"> disposición de la Jurisdicción de lo Contencioso Administrativo desde la formulación del medio de control, en la investigación iniciada desde el año 2008 por la Fiscalía General de la Nación, las presuntas víctimas tuvieron participación </w:t>
      </w:r>
      <w:r w:rsidR="005F0BF5" w:rsidRPr="00B41EAD">
        <w:rPr>
          <w:color w:val="000000" w:themeColor="text1"/>
          <w:sz w:val="28"/>
          <w:szCs w:val="28"/>
          <w:lang w:val="es-ES"/>
        </w:rPr>
        <w:t>directa</w:t>
      </w:r>
      <w:r w:rsidR="009F3BDB" w:rsidRPr="00B41EAD">
        <w:rPr>
          <w:color w:val="000000" w:themeColor="text1"/>
          <w:sz w:val="28"/>
          <w:szCs w:val="28"/>
          <w:lang w:val="es-ES"/>
        </w:rPr>
        <w:t xml:space="preserve"> en el proceso</w:t>
      </w:r>
      <w:r w:rsidR="005F0BF5" w:rsidRPr="00B41EAD">
        <w:rPr>
          <w:color w:val="000000" w:themeColor="text1"/>
          <w:sz w:val="28"/>
          <w:szCs w:val="28"/>
          <w:lang w:val="es-ES"/>
        </w:rPr>
        <w:t xml:space="preserve"> </w:t>
      </w:r>
      <w:r w:rsidRPr="00B41EAD">
        <w:rPr>
          <w:color w:val="000000" w:themeColor="text1"/>
          <w:sz w:val="28"/>
          <w:szCs w:val="28"/>
          <w:lang w:val="es-ES"/>
        </w:rPr>
        <w:t xml:space="preserve">a través de </w:t>
      </w:r>
      <w:r w:rsidR="009F3BDB" w:rsidRPr="00B41EAD">
        <w:rPr>
          <w:color w:val="000000" w:themeColor="text1"/>
          <w:sz w:val="28"/>
          <w:szCs w:val="28"/>
          <w:lang w:val="es-ES"/>
        </w:rPr>
        <w:t xml:space="preserve">las </w:t>
      </w:r>
      <w:r w:rsidRPr="00B41EAD">
        <w:rPr>
          <w:color w:val="000000" w:themeColor="text1"/>
          <w:sz w:val="28"/>
          <w:szCs w:val="28"/>
          <w:lang w:val="es-ES"/>
        </w:rPr>
        <w:t>entrevistas rendida</w:t>
      </w:r>
      <w:r w:rsidR="005F0BF5" w:rsidRPr="00B41EAD">
        <w:rPr>
          <w:color w:val="000000" w:themeColor="text1"/>
          <w:sz w:val="28"/>
          <w:szCs w:val="28"/>
          <w:lang w:val="es-ES"/>
        </w:rPr>
        <w:t>s</w:t>
      </w:r>
      <w:r w:rsidRPr="00B41EAD">
        <w:rPr>
          <w:color w:val="000000" w:themeColor="text1"/>
          <w:sz w:val="28"/>
          <w:szCs w:val="28"/>
          <w:lang w:val="es-ES"/>
        </w:rPr>
        <w:t xml:space="preserve"> el 17 de marzo de 2010 por Diana Marcela Cortés Herrera y</w:t>
      </w:r>
      <w:r w:rsidR="005F0BF5" w:rsidRPr="00B41EAD">
        <w:rPr>
          <w:color w:val="000000" w:themeColor="text1"/>
          <w:sz w:val="28"/>
          <w:szCs w:val="28"/>
          <w:lang w:val="es-ES"/>
        </w:rPr>
        <w:t xml:space="preserve"> por María </w:t>
      </w:r>
      <w:proofErr w:type="spellStart"/>
      <w:r w:rsidR="005F0BF5" w:rsidRPr="00B41EAD">
        <w:rPr>
          <w:color w:val="000000" w:themeColor="text1"/>
          <w:sz w:val="28"/>
          <w:szCs w:val="28"/>
          <w:lang w:val="es-ES"/>
        </w:rPr>
        <w:t>Herenia</w:t>
      </w:r>
      <w:proofErr w:type="spellEnd"/>
      <w:r w:rsidR="005F0BF5" w:rsidRPr="00B41EAD">
        <w:rPr>
          <w:color w:val="000000" w:themeColor="text1"/>
          <w:sz w:val="28"/>
          <w:szCs w:val="28"/>
          <w:lang w:val="es-ES"/>
        </w:rPr>
        <w:t xml:space="preserve"> Pérez Herrera; la primera como compañera permanente de Jorge Armando Guevara Pérez y la segunda como madre, respectivamente. </w:t>
      </w:r>
    </w:p>
    <w:p w14:paraId="5E5FA0BF" w14:textId="77777777" w:rsidR="005F0BF5" w:rsidRPr="00B41EAD" w:rsidRDefault="005F0BF5" w:rsidP="005F0BF5">
      <w:pPr>
        <w:pStyle w:val="Prrafodelista"/>
        <w:rPr>
          <w:color w:val="000000" w:themeColor="text1"/>
          <w:sz w:val="28"/>
          <w:szCs w:val="28"/>
          <w:lang w:val="es-ES"/>
        </w:rPr>
      </w:pPr>
    </w:p>
    <w:p w14:paraId="2746FD5E" w14:textId="725EB354" w:rsidR="00635190" w:rsidRPr="00B41EAD" w:rsidRDefault="005F0BF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Sobre estas dos declaraciones </w:t>
      </w:r>
      <w:r w:rsidR="009F3BDB" w:rsidRPr="00B41EAD">
        <w:rPr>
          <w:color w:val="000000" w:themeColor="text1"/>
          <w:sz w:val="28"/>
          <w:szCs w:val="28"/>
          <w:lang w:val="es-ES"/>
        </w:rPr>
        <w:t>resulta importante</w:t>
      </w:r>
      <w:r w:rsidR="00635190" w:rsidRPr="00B41EAD">
        <w:rPr>
          <w:color w:val="000000" w:themeColor="text1"/>
          <w:sz w:val="28"/>
          <w:szCs w:val="28"/>
          <w:lang w:val="es-ES"/>
        </w:rPr>
        <w:t xml:space="preserve"> considerar que, </w:t>
      </w:r>
      <w:r w:rsidR="009F3BDB" w:rsidRPr="00B41EAD">
        <w:rPr>
          <w:color w:val="000000" w:themeColor="text1"/>
          <w:sz w:val="28"/>
          <w:szCs w:val="28"/>
          <w:lang w:val="es-ES"/>
        </w:rPr>
        <w:t>en definitiva</w:t>
      </w:r>
      <w:r w:rsidR="00635190" w:rsidRPr="00B41EAD">
        <w:rPr>
          <w:color w:val="000000" w:themeColor="text1"/>
          <w:sz w:val="28"/>
          <w:szCs w:val="28"/>
          <w:lang w:val="es-ES"/>
        </w:rPr>
        <w:t xml:space="preserve">, </w:t>
      </w:r>
      <w:r w:rsidR="009F3BDB" w:rsidRPr="00B41EAD">
        <w:rPr>
          <w:color w:val="000000" w:themeColor="text1"/>
          <w:sz w:val="28"/>
          <w:szCs w:val="28"/>
          <w:lang w:val="es-ES"/>
        </w:rPr>
        <w:t>de aquellas no es posible desprender que desde ese momento las víctimas contaran con elementos suficientes para demandar administrativamente al Estado y, sobre todo, pretender la imputación de un daño antijurídico ante el aparato jurisdiccional, de acuerdo con lo establecido tanto en la sentencia de unificación del 29 de enero de 2020 previamente citada, como en la Sentencia SU-312 de 2020</w:t>
      </w:r>
      <w:r w:rsidR="009F3BDB" w:rsidRPr="00B41EAD">
        <w:rPr>
          <w:rStyle w:val="Refdenotaalpie"/>
          <w:color w:val="000000" w:themeColor="text1"/>
          <w:sz w:val="28"/>
          <w:szCs w:val="28"/>
          <w:lang w:val="es-ES"/>
        </w:rPr>
        <w:footnoteReference w:id="90"/>
      </w:r>
      <w:r w:rsidR="009F3BDB" w:rsidRPr="00B41EAD">
        <w:rPr>
          <w:color w:val="000000" w:themeColor="text1"/>
          <w:sz w:val="28"/>
          <w:szCs w:val="28"/>
          <w:lang w:val="es-ES"/>
        </w:rPr>
        <w:t>.</w:t>
      </w:r>
    </w:p>
    <w:p w14:paraId="477C3C25" w14:textId="77777777" w:rsidR="009F3BDB" w:rsidRPr="00B41EAD" w:rsidRDefault="009F3BDB" w:rsidP="009F3BDB">
      <w:pPr>
        <w:pStyle w:val="Prrafodelista"/>
        <w:rPr>
          <w:color w:val="000000" w:themeColor="text1"/>
          <w:sz w:val="28"/>
          <w:szCs w:val="28"/>
          <w:lang w:val="es-ES"/>
        </w:rPr>
      </w:pPr>
    </w:p>
    <w:p w14:paraId="15B4786A" w14:textId="10AA8866" w:rsidR="009F3BDB" w:rsidRPr="00B41EAD" w:rsidRDefault="00375D7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De este modo</w:t>
      </w:r>
      <w:r w:rsidR="009F3BDB" w:rsidRPr="00B41EAD">
        <w:rPr>
          <w:color w:val="000000" w:themeColor="text1"/>
          <w:sz w:val="28"/>
          <w:szCs w:val="28"/>
          <w:lang w:val="es-ES"/>
        </w:rPr>
        <w:t xml:space="preserve">, el elemento usado por el Tribunal Administrativo del Tolima para iniciar la contabilización del término de caducidad consistió en la simple afirmación hecha por la señora Cortés Herrera de </w:t>
      </w:r>
      <w:r w:rsidR="00F276AE" w:rsidRPr="00B41EAD">
        <w:rPr>
          <w:color w:val="000000" w:themeColor="text1"/>
          <w:sz w:val="28"/>
          <w:szCs w:val="28"/>
          <w:lang w:val="es-ES"/>
        </w:rPr>
        <w:t>haber escuchado</w:t>
      </w:r>
      <w:r w:rsidR="00AF67A8" w:rsidRPr="00B41EAD">
        <w:rPr>
          <w:color w:val="000000" w:themeColor="text1"/>
          <w:sz w:val="28"/>
          <w:szCs w:val="28"/>
          <w:lang w:val="es-ES"/>
        </w:rPr>
        <w:t>,</w:t>
      </w:r>
      <w:r w:rsidR="00FA2FE2" w:rsidRPr="00B41EAD">
        <w:rPr>
          <w:color w:val="000000" w:themeColor="text1"/>
          <w:sz w:val="28"/>
          <w:szCs w:val="28"/>
          <w:lang w:val="es-ES"/>
        </w:rPr>
        <w:t xml:space="preserve"> </w:t>
      </w:r>
      <w:r w:rsidR="00AF67A8" w:rsidRPr="00B41EAD">
        <w:rPr>
          <w:color w:val="000000" w:themeColor="text1"/>
          <w:sz w:val="28"/>
          <w:szCs w:val="28"/>
          <w:lang w:val="es-ES"/>
        </w:rPr>
        <w:t>de parte de</w:t>
      </w:r>
      <w:r w:rsidR="00FA2FE2" w:rsidRPr="00B41EAD">
        <w:rPr>
          <w:color w:val="000000" w:themeColor="text1"/>
          <w:sz w:val="28"/>
          <w:szCs w:val="28"/>
          <w:lang w:val="es-ES"/>
        </w:rPr>
        <w:t xml:space="preserve"> la señora María </w:t>
      </w:r>
      <w:proofErr w:type="spellStart"/>
      <w:r w:rsidR="00FA2FE2" w:rsidRPr="00B41EAD">
        <w:rPr>
          <w:color w:val="000000" w:themeColor="text1"/>
          <w:sz w:val="28"/>
          <w:szCs w:val="28"/>
          <w:lang w:val="es-ES"/>
        </w:rPr>
        <w:t>Herenia</w:t>
      </w:r>
      <w:proofErr w:type="spellEnd"/>
      <w:r w:rsidR="00FA2FE2" w:rsidRPr="00B41EAD">
        <w:rPr>
          <w:color w:val="000000" w:themeColor="text1"/>
          <w:sz w:val="28"/>
          <w:szCs w:val="28"/>
          <w:lang w:val="es-ES"/>
        </w:rPr>
        <w:t xml:space="preserve"> Pérez Herrera,</w:t>
      </w:r>
      <w:r w:rsidR="00F276AE" w:rsidRPr="00B41EAD">
        <w:rPr>
          <w:color w:val="000000" w:themeColor="text1"/>
          <w:sz w:val="28"/>
          <w:szCs w:val="28"/>
          <w:lang w:val="es-ES"/>
        </w:rPr>
        <w:t xml:space="preserve"> que </w:t>
      </w:r>
      <w:r w:rsidR="009F3BDB" w:rsidRPr="00B41EAD">
        <w:rPr>
          <w:color w:val="000000" w:themeColor="text1"/>
          <w:sz w:val="28"/>
          <w:szCs w:val="28"/>
          <w:lang w:val="es-ES"/>
        </w:rPr>
        <w:t>la muerte de su compañero permanente pudo haber sido “un falso positivo del Ejército”</w:t>
      </w:r>
      <w:r w:rsidR="00AF67A8" w:rsidRPr="00B41EAD">
        <w:rPr>
          <w:color w:val="000000" w:themeColor="text1"/>
          <w:sz w:val="28"/>
          <w:szCs w:val="28"/>
          <w:lang w:val="es-ES"/>
        </w:rPr>
        <w:t>, lo que la hacía un testigo de oídas</w:t>
      </w:r>
      <w:r w:rsidR="003C3444" w:rsidRPr="00B41EAD">
        <w:rPr>
          <w:color w:val="000000" w:themeColor="text1"/>
          <w:sz w:val="28"/>
          <w:szCs w:val="28"/>
          <w:lang w:val="es-ES"/>
        </w:rPr>
        <w:t xml:space="preserve">. </w:t>
      </w:r>
      <w:r w:rsidR="00AF67A8" w:rsidRPr="00B41EAD">
        <w:rPr>
          <w:color w:val="000000" w:themeColor="text1"/>
          <w:sz w:val="28"/>
          <w:szCs w:val="28"/>
          <w:lang w:val="es-ES"/>
        </w:rPr>
        <w:t>En consecuencia, o</w:t>
      </w:r>
      <w:r w:rsidR="00F276AE" w:rsidRPr="00B41EAD">
        <w:rPr>
          <w:color w:val="000000" w:themeColor="text1"/>
          <w:sz w:val="28"/>
          <w:szCs w:val="28"/>
          <w:lang w:val="es-ES"/>
        </w:rPr>
        <w:t xml:space="preserve">torgarle el valor </w:t>
      </w:r>
      <w:r w:rsidR="00C22317" w:rsidRPr="00B41EAD">
        <w:rPr>
          <w:color w:val="000000" w:themeColor="text1"/>
          <w:sz w:val="28"/>
          <w:szCs w:val="28"/>
          <w:lang w:val="es-ES"/>
        </w:rPr>
        <w:t xml:space="preserve">de </w:t>
      </w:r>
      <w:r w:rsidR="00F276AE" w:rsidRPr="00B41EAD">
        <w:rPr>
          <w:color w:val="000000" w:themeColor="text1"/>
          <w:sz w:val="28"/>
          <w:szCs w:val="28"/>
          <w:lang w:val="es-ES"/>
        </w:rPr>
        <w:t xml:space="preserve">prueba de una posible ejecución </w:t>
      </w:r>
      <w:r w:rsidR="00C22317" w:rsidRPr="00B41EAD">
        <w:rPr>
          <w:color w:val="000000" w:themeColor="text1"/>
          <w:sz w:val="28"/>
          <w:szCs w:val="28"/>
          <w:lang w:val="es-ES"/>
        </w:rPr>
        <w:t xml:space="preserve">extrajudicial </w:t>
      </w:r>
      <w:r w:rsidR="00F276AE" w:rsidRPr="00B41EAD">
        <w:rPr>
          <w:color w:val="000000" w:themeColor="text1"/>
          <w:sz w:val="28"/>
          <w:szCs w:val="28"/>
          <w:lang w:val="es-ES"/>
        </w:rPr>
        <w:t xml:space="preserve">a esa afirmación es ciertamente irrazonable si se tiene en cuenta que se trató </w:t>
      </w:r>
      <w:r w:rsidR="00C22317" w:rsidRPr="00B41EAD">
        <w:rPr>
          <w:color w:val="000000" w:themeColor="text1"/>
          <w:sz w:val="28"/>
          <w:szCs w:val="28"/>
          <w:lang w:val="es-ES"/>
        </w:rPr>
        <w:t>de</w:t>
      </w:r>
      <w:r w:rsidR="00F276AE" w:rsidRPr="00B41EAD">
        <w:rPr>
          <w:color w:val="000000" w:themeColor="text1"/>
          <w:sz w:val="28"/>
          <w:szCs w:val="28"/>
          <w:lang w:val="es-ES"/>
        </w:rPr>
        <w:t xml:space="preserve"> una manifestación hecha en el marco de la incertidumbre que los mismos </w:t>
      </w:r>
      <w:r w:rsidR="00F276AE" w:rsidRPr="00B41EAD">
        <w:rPr>
          <w:color w:val="000000" w:themeColor="text1"/>
          <w:sz w:val="28"/>
          <w:szCs w:val="28"/>
          <w:lang w:val="es-ES"/>
        </w:rPr>
        <w:lastRenderedPageBreak/>
        <w:t xml:space="preserve">familiares habían expresado </w:t>
      </w:r>
      <w:r w:rsidR="00C22317" w:rsidRPr="00B41EAD">
        <w:rPr>
          <w:color w:val="000000" w:themeColor="text1"/>
          <w:sz w:val="28"/>
          <w:szCs w:val="28"/>
          <w:lang w:val="es-ES"/>
        </w:rPr>
        <w:t xml:space="preserve">ante la </w:t>
      </w:r>
      <w:proofErr w:type="gramStart"/>
      <w:r w:rsidR="00C22317" w:rsidRPr="00B41EAD">
        <w:rPr>
          <w:color w:val="000000" w:themeColor="text1"/>
          <w:sz w:val="28"/>
          <w:szCs w:val="28"/>
          <w:lang w:val="es-ES"/>
        </w:rPr>
        <w:t>Fiscalía General</w:t>
      </w:r>
      <w:proofErr w:type="gramEnd"/>
      <w:r w:rsidR="00C22317" w:rsidRPr="00B41EAD">
        <w:rPr>
          <w:color w:val="000000" w:themeColor="text1"/>
          <w:sz w:val="28"/>
          <w:szCs w:val="28"/>
          <w:lang w:val="es-ES"/>
        </w:rPr>
        <w:t xml:space="preserve"> de la Nación, sobre las circunstancias en las que ocurri</w:t>
      </w:r>
      <w:r w:rsidR="003C3444" w:rsidRPr="00B41EAD">
        <w:rPr>
          <w:color w:val="000000" w:themeColor="text1"/>
          <w:sz w:val="28"/>
          <w:szCs w:val="28"/>
          <w:lang w:val="es-ES"/>
        </w:rPr>
        <w:t xml:space="preserve">ó el deceso </w:t>
      </w:r>
      <w:r w:rsidR="00544AF2" w:rsidRPr="00B41EAD">
        <w:rPr>
          <w:color w:val="000000" w:themeColor="text1"/>
          <w:sz w:val="28"/>
          <w:szCs w:val="28"/>
          <w:lang w:val="es-ES"/>
        </w:rPr>
        <w:t>de</w:t>
      </w:r>
      <w:r w:rsidR="003C3444" w:rsidRPr="00B41EAD">
        <w:rPr>
          <w:color w:val="000000" w:themeColor="text1"/>
          <w:sz w:val="28"/>
          <w:szCs w:val="28"/>
          <w:lang w:val="es-ES"/>
        </w:rPr>
        <w:t xml:space="preserve"> Jorge Armando Guevara Pérez</w:t>
      </w:r>
      <w:r w:rsidR="00C22317" w:rsidRPr="00B41EAD">
        <w:rPr>
          <w:color w:val="000000" w:themeColor="text1"/>
          <w:sz w:val="28"/>
          <w:szCs w:val="28"/>
          <w:lang w:val="es-ES"/>
        </w:rPr>
        <w:t xml:space="preserve">. </w:t>
      </w:r>
    </w:p>
    <w:p w14:paraId="11FEF24A" w14:textId="77777777" w:rsidR="00C22317" w:rsidRPr="00B41EAD" w:rsidRDefault="00C22317" w:rsidP="00C22317">
      <w:pPr>
        <w:pStyle w:val="Prrafodelista"/>
        <w:rPr>
          <w:color w:val="000000" w:themeColor="text1"/>
          <w:sz w:val="28"/>
          <w:szCs w:val="28"/>
          <w:lang w:val="es-ES"/>
        </w:rPr>
      </w:pPr>
    </w:p>
    <w:p w14:paraId="03774782" w14:textId="51338F7C" w:rsidR="00C22317" w:rsidRPr="00B41EAD" w:rsidRDefault="00C22317">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 hecho, el contenido integral de la entrevista da cuenta de que, </w:t>
      </w:r>
      <w:r w:rsidR="00375D7D" w:rsidRPr="00B41EAD">
        <w:rPr>
          <w:color w:val="000000" w:themeColor="text1"/>
          <w:sz w:val="28"/>
          <w:szCs w:val="28"/>
          <w:lang w:val="es-ES"/>
        </w:rPr>
        <w:t>por el contrario</w:t>
      </w:r>
      <w:r w:rsidRPr="00B41EAD">
        <w:rPr>
          <w:color w:val="000000" w:themeColor="text1"/>
          <w:sz w:val="28"/>
          <w:szCs w:val="28"/>
          <w:lang w:val="es-ES"/>
        </w:rPr>
        <w:t>, la señora Diana Marcela Cortés Herrera no conocía</w:t>
      </w:r>
      <w:r w:rsidR="003C3444" w:rsidRPr="00B41EAD">
        <w:rPr>
          <w:color w:val="000000" w:themeColor="text1"/>
          <w:sz w:val="28"/>
          <w:szCs w:val="28"/>
          <w:lang w:val="es-ES"/>
        </w:rPr>
        <w:t xml:space="preserve"> </w:t>
      </w:r>
      <w:proofErr w:type="gramStart"/>
      <w:r w:rsidR="003C3444" w:rsidRPr="00B41EAD">
        <w:rPr>
          <w:color w:val="000000" w:themeColor="text1"/>
          <w:sz w:val="28"/>
          <w:szCs w:val="28"/>
          <w:lang w:val="es-ES"/>
        </w:rPr>
        <w:t>mayor información</w:t>
      </w:r>
      <w:proofErr w:type="gramEnd"/>
      <w:r w:rsidR="003C3444" w:rsidRPr="00B41EAD">
        <w:rPr>
          <w:color w:val="000000" w:themeColor="text1"/>
          <w:sz w:val="28"/>
          <w:szCs w:val="28"/>
          <w:lang w:val="es-ES"/>
        </w:rPr>
        <w:t xml:space="preserve"> sobre</w:t>
      </w:r>
      <w:r w:rsidRPr="00B41EAD">
        <w:rPr>
          <w:color w:val="000000" w:themeColor="text1"/>
          <w:sz w:val="28"/>
          <w:szCs w:val="28"/>
          <w:lang w:val="es-ES"/>
        </w:rPr>
        <w:t xml:space="preserve"> las </w:t>
      </w:r>
      <w:r w:rsidR="003C3444" w:rsidRPr="00B41EAD">
        <w:rPr>
          <w:color w:val="000000" w:themeColor="text1"/>
          <w:sz w:val="28"/>
          <w:szCs w:val="28"/>
          <w:lang w:val="es-ES"/>
        </w:rPr>
        <w:t>condiciones en las que se hab</w:t>
      </w:r>
      <w:r w:rsidR="00130A5B" w:rsidRPr="00B41EAD">
        <w:rPr>
          <w:color w:val="000000" w:themeColor="text1"/>
          <w:sz w:val="28"/>
          <w:szCs w:val="28"/>
          <w:lang w:val="es-ES"/>
        </w:rPr>
        <w:t>r</w:t>
      </w:r>
      <w:r w:rsidR="003C3444" w:rsidRPr="00B41EAD">
        <w:rPr>
          <w:color w:val="000000" w:themeColor="text1"/>
          <w:sz w:val="28"/>
          <w:szCs w:val="28"/>
          <w:lang w:val="es-ES"/>
        </w:rPr>
        <w:t xml:space="preserve">ía dado la muerte </w:t>
      </w:r>
      <w:r w:rsidR="00130A5B" w:rsidRPr="00B41EAD">
        <w:rPr>
          <w:color w:val="000000" w:themeColor="text1"/>
          <w:sz w:val="28"/>
          <w:szCs w:val="28"/>
          <w:lang w:val="es-ES"/>
        </w:rPr>
        <w:t xml:space="preserve">de </w:t>
      </w:r>
      <w:r w:rsidRPr="00B41EAD">
        <w:rPr>
          <w:color w:val="000000" w:themeColor="text1"/>
          <w:sz w:val="28"/>
          <w:szCs w:val="28"/>
          <w:lang w:val="es-ES"/>
        </w:rPr>
        <w:t>su compañero permanente</w:t>
      </w:r>
      <w:r w:rsidR="00F3074D" w:rsidRPr="00B41EAD">
        <w:rPr>
          <w:color w:val="000000" w:themeColor="text1"/>
          <w:sz w:val="28"/>
          <w:szCs w:val="28"/>
          <w:lang w:val="es-ES"/>
        </w:rPr>
        <w:t>. La</w:t>
      </w:r>
      <w:r w:rsidRPr="00B41EAD">
        <w:rPr>
          <w:color w:val="000000" w:themeColor="text1"/>
          <w:sz w:val="28"/>
          <w:szCs w:val="28"/>
          <w:lang w:val="es-ES"/>
        </w:rPr>
        <w:t xml:space="preserve"> descripción </w:t>
      </w:r>
      <w:r w:rsidR="00F3074D" w:rsidRPr="00B41EAD">
        <w:rPr>
          <w:color w:val="000000" w:themeColor="text1"/>
          <w:sz w:val="28"/>
          <w:szCs w:val="28"/>
          <w:lang w:val="es-ES"/>
        </w:rPr>
        <w:t xml:space="preserve">que ella narró </w:t>
      </w:r>
      <w:r w:rsidRPr="00B41EAD">
        <w:rPr>
          <w:color w:val="000000" w:themeColor="text1"/>
          <w:sz w:val="28"/>
          <w:szCs w:val="28"/>
          <w:lang w:val="es-ES"/>
        </w:rPr>
        <w:t xml:space="preserve">de lo acontecido fue la siguiente: </w:t>
      </w:r>
    </w:p>
    <w:p w14:paraId="7BA0E0EC" w14:textId="1B0EF61C" w:rsidR="00C22317" w:rsidRPr="00B41EAD" w:rsidRDefault="00C22317" w:rsidP="00C22317">
      <w:pPr>
        <w:pStyle w:val="Prrafodelista"/>
        <w:rPr>
          <w:color w:val="000000" w:themeColor="text1"/>
          <w:sz w:val="28"/>
          <w:szCs w:val="28"/>
          <w:lang w:val="es-ES"/>
        </w:rPr>
      </w:pPr>
    </w:p>
    <w:p w14:paraId="28045FF9" w14:textId="6C0C4F1C" w:rsidR="00C22317" w:rsidRPr="00B41EAD" w:rsidRDefault="00C22317" w:rsidP="00375D7D">
      <w:pPr>
        <w:pStyle w:val="Prrafodelista"/>
        <w:jc w:val="both"/>
        <w:rPr>
          <w:color w:val="000000" w:themeColor="text1"/>
          <w:sz w:val="28"/>
          <w:szCs w:val="28"/>
          <w:lang w:val="es-ES"/>
        </w:rPr>
      </w:pPr>
      <w:r w:rsidRPr="00B41EAD">
        <w:rPr>
          <w:color w:val="000000" w:themeColor="text1"/>
          <w:sz w:val="28"/>
          <w:szCs w:val="28"/>
          <w:lang w:val="es-ES"/>
        </w:rPr>
        <w:t>“(…) el jueves de esa misma semana fue a ver un trabajo de pintura, lo recogieron en un carro en la casa, no sé quién era, no lo conozco, solo llegó una sola persona, el día viernes estuvo en la casa y el sábado lo llamaron y le dijeron que el trabajo de pintura era en el Municipio del Guamo Tolima, lo llamaron</w:t>
      </w:r>
      <w:r w:rsidR="00375D7D" w:rsidRPr="00B41EAD">
        <w:rPr>
          <w:color w:val="000000" w:themeColor="text1"/>
          <w:sz w:val="28"/>
          <w:szCs w:val="28"/>
          <w:lang w:val="es-ES"/>
        </w:rPr>
        <w:t xml:space="preserve"> al celular no recuerdo el número por el momento, esa noche estuvimos los dos en la pieza con la niña, yo le pregunté a dónde era y él me dijo que el trabajo era en el Guamo, yo le dije que si lo acompañaba, él me dijo que no porque iba a hacer un trabajo y que a la niña dónde la íbamos a dejar, me dijo yo voy y la llamo para que usted vaya, el día 29 de marzo de 2008 eran como las seis y media de la mañana que salió de la casa, iba vestido con un buzo azul oscuro manga larga con logotipo en la parte delantera en letras blancas, pantalón jean azul oscuro, no recuerdo el color del interior, llevaba unas chanclas playeras, en el pie enfermo portaba unas vendas blancas, se fue en la moto, se fue solo, él no llevaba nada, solo el chaleco de la moto y el casco, además llevaba la fotocopia de la cédula y los documentos de la moto, el celular y cien mil pesos en efectivo, a esa de las once y media del mismo día yo lo llamé al celular pero no me contestaba, siguió insistiendo y hasta las seis de la tarde me fui para la SIJIN de la 21 y averigüé y me dijeron que tenía que esperar, al ver que no me contestaba tomé esta decisión de ir a la SIJIN, en caso de un accidente de tránsito, allí no me dieron ningún dato y me fui para la casa. Eran como las diez y media de la noche del día 29-03-2008 yo me encontraba en la casa del hermano de nombre Jesús Albeiro Guevara Pérez cuando recibió una llamada y le comentaron que a Jorge lo habían matado</w:t>
      </w:r>
      <w:r w:rsidRPr="00B41EAD">
        <w:rPr>
          <w:color w:val="000000" w:themeColor="text1"/>
          <w:sz w:val="28"/>
          <w:szCs w:val="28"/>
          <w:lang w:val="es-ES"/>
        </w:rPr>
        <w:t>”</w:t>
      </w:r>
      <w:r w:rsidR="00F3074D" w:rsidRPr="00B41EAD">
        <w:rPr>
          <w:rStyle w:val="Refdenotaalpie"/>
          <w:color w:val="000000" w:themeColor="text1"/>
          <w:sz w:val="28"/>
          <w:szCs w:val="28"/>
          <w:lang w:val="es-ES"/>
        </w:rPr>
        <w:footnoteReference w:id="91"/>
      </w:r>
      <w:r w:rsidR="00375D7D" w:rsidRPr="00B41EAD">
        <w:rPr>
          <w:color w:val="000000" w:themeColor="text1"/>
          <w:sz w:val="28"/>
          <w:szCs w:val="28"/>
          <w:lang w:val="es-ES"/>
        </w:rPr>
        <w:t xml:space="preserve">. </w:t>
      </w:r>
    </w:p>
    <w:p w14:paraId="1CF917B3" w14:textId="77777777" w:rsidR="00C22317" w:rsidRPr="00B41EAD" w:rsidRDefault="00C22317" w:rsidP="00C22317">
      <w:pPr>
        <w:pStyle w:val="Prrafodelista"/>
        <w:rPr>
          <w:color w:val="000000" w:themeColor="text1"/>
          <w:sz w:val="28"/>
          <w:szCs w:val="28"/>
          <w:lang w:val="es-ES"/>
        </w:rPr>
      </w:pPr>
    </w:p>
    <w:p w14:paraId="158CBA83" w14:textId="5BA6E6DC" w:rsidR="00375D7D" w:rsidRPr="00B41EAD" w:rsidRDefault="00375D7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Después, al preguntársele si conocía de la actividad que estaba realizando el señor Jorge Armando Guevara Pérez, </w:t>
      </w:r>
      <w:r w:rsidR="00F3074D" w:rsidRPr="00B41EAD">
        <w:rPr>
          <w:color w:val="000000" w:themeColor="text1"/>
          <w:sz w:val="28"/>
          <w:szCs w:val="28"/>
          <w:lang w:val="es-ES"/>
        </w:rPr>
        <w:t>insistió en que</w:t>
      </w:r>
      <w:r w:rsidRPr="00B41EAD">
        <w:rPr>
          <w:color w:val="000000" w:themeColor="text1"/>
          <w:sz w:val="28"/>
          <w:szCs w:val="28"/>
          <w:lang w:val="es-ES"/>
        </w:rPr>
        <w:t>: “sólo tengo conocimiento que Jorge Armando cuando salió de la casa me dijo que iba a realizar un trabajo de pintura, él salió solo, no tengo conocimiento con quién se iba a encontrar, tampoco recuerdo las placas del carro que fue a la casa, el conductor no lo tengo presente, ese sujeto no entró a la casa”</w:t>
      </w:r>
      <w:r w:rsidR="00F3074D" w:rsidRPr="00B41EAD">
        <w:rPr>
          <w:rStyle w:val="Refdenotaalpie"/>
          <w:color w:val="000000" w:themeColor="text1"/>
          <w:sz w:val="28"/>
          <w:szCs w:val="28"/>
          <w:lang w:val="es-ES"/>
        </w:rPr>
        <w:footnoteReference w:id="92"/>
      </w:r>
      <w:r w:rsidRPr="00B41EAD">
        <w:rPr>
          <w:color w:val="000000" w:themeColor="text1"/>
          <w:sz w:val="28"/>
          <w:szCs w:val="28"/>
          <w:lang w:val="es-ES"/>
        </w:rPr>
        <w:t xml:space="preserve">. </w:t>
      </w:r>
    </w:p>
    <w:p w14:paraId="6972CECC" w14:textId="77777777" w:rsidR="00635190" w:rsidRPr="00B41EAD" w:rsidRDefault="00635190" w:rsidP="00635190">
      <w:pPr>
        <w:pStyle w:val="Prrafodelista"/>
        <w:rPr>
          <w:color w:val="000000" w:themeColor="text1"/>
          <w:sz w:val="28"/>
          <w:szCs w:val="28"/>
          <w:lang w:val="es-ES"/>
        </w:rPr>
      </w:pPr>
    </w:p>
    <w:p w14:paraId="145957B7" w14:textId="74728C18" w:rsidR="00F3074D" w:rsidRPr="00B41EAD" w:rsidRDefault="00F3074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Por su parte, en la entrevista rendida el mismo día por la señora María </w:t>
      </w:r>
      <w:proofErr w:type="spellStart"/>
      <w:r w:rsidRPr="00B41EAD">
        <w:rPr>
          <w:color w:val="000000" w:themeColor="text1"/>
          <w:sz w:val="28"/>
          <w:szCs w:val="28"/>
          <w:lang w:val="es-ES"/>
        </w:rPr>
        <w:t>Herenia</w:t>
      </w:r>
      <w:proofErr w:type="spellEnd"/>
      <w:r w:rsidRPr="00B41EAD">
        <w:rPr>
          <w:color w:val="000000" w:themeColor="text1"/>
          <w:sz w:val="28"/>
          <w:szCs w:val="28"/>
          <w:lang w:val="es-ES"/>
        </w:rPr>
        <w:t xml:space="preserve"> Pérez Herrera, madre de </w:t>
      </w:r>
      <w:r w:rsidR="008B3E93" w:rsidRPr="00B41EAD">
        <w:rPr>
          <w:color w:val="000000" w:themeColor="text1"/>
          <w:sz w:val="28"/>
          <w:szCs w:val="28"/>
          <w:lang w:val="es-ES"/>
        </w:rPr>
        <w:t>la víctima directa</w:t>
      </w:r>
      <w:r w:rsidR="001C2635" w:rsidRPr="00B41EAD">
        <w:rPr>
          <w:color w:val="000000" w:themeColor="text1"/>
          <w:sz w:val="28"/>
          <w:szCs w:val="28"/>
          <w:lang w:val="es-ES"/>
        </w:rPr>
        <w:t xml:space="preserve">, ella señaló lo siguiente: </w:t>
      </w:r>
    </w:p>
    <w:p w14:paraId="4852DED9" w14:textId="266B51E1" w:rsidR="001C2635" w:rsidRPr="00B41EAD" w:rsidRDefault="001C2635" w:rsidP="001C2635">
      <w:pPr>
        <w:pStyle w:val="Prrafodelista"/>
        <w:rPr>
          <w:color w:val="000000" w:themeColor="text1"/>
          <w:sz w:val="28"/>
          <w:szCs w:val="28"/>
          <w:lang w:val="es-ES"/>
        </w:rPr>
      </w:pPr>
    </w:p>
    <w:p w14:paraId="7E30EAF1" w14:textId="298C9C73" w:rsidR="001C2635" w:rsidRPr="00B41EAD" w:rsidRDefault="001C2635" w:rsidP="008B3E93">
      <w:pPr>
        <w:pStyle w:val="Prrafodelista"/>
        <w:jc w:val="both"/>
        <w:rPr>
          <w:color w:val="000000" w:themeColor="text1"/>
          <w:sz w:val="28"/>
          <w:szCs w:val="28"/>
          <w:lang w:val="es-ES"/>
        </w:rPr>
      </w:pPr>
      <w:r w:rsidRPr="00B41EAD">
        <w:rPr>
          <w:color w:val="000000" w:themeColor="text1"/>
          <w:sz w:val="28"/>
          <w:szCs w:val="28"/>
          <w:lang w:val="es-ES"/>
        </w:rPr>
        <w:lastRenderedPageBreak/>
        <w:t>“(…) mi hijo Jorge Armando vivía con Diana en un apartamento en la parte del fondo de la casa, ella también me dijo que Jorge Armando se iba a ver el trabajo de pintura, salió a las siete de la mañana, yo salí de la casa a las ocho de la mañana a abrir el negocio que tengo, durante ese tiempo llamé a la casa a preguntar si ya había llegado Jorge Armando y Diana me contestaba que no, yo cerré el negocio y me fui para la casa y mandé a Diana a que preguntara al permanente de la Policía y a la Fiscalía y en la Fiscalía le dijeron a Diana que a Jorge Armando lo habían matado, en esas nos fuimos para el hospital Federico cuando íbamos llegando a la morgue esas salía el carro de la Fiscalía y el personal llamaron a Diana y le confirmaron que lo habían traído. De ahí no sé más, la Fiscal le entregó a Diana los papeles de la moto y los documentos de Jorge Armando. PREGUNTADO. Sírvase informar si usted tiene conocimiento de la causa del deceso de su hijo. CONTEST</w:t>
      </w:r>
      <w:r w:rsidR="00544AF2" w:rsidRPr="00B41EAD">
        <w:rPr>
          <w:color w:val="000000" w:themeColor="text1"/>
          <w:sz w:val="28"/>
          <w:szCs w:val="28"/>
          <w:lang w:val="es-ES"/>
        </w:rPr>
        <w:t>Ó</w:t>
      </w:r>
      <w:r w:rsidRPr="00B41EAD">
        <w:rPr>
          <w:color w:val="000000" w:themeColor="text1"/>
          <w:sz w:val="28"/>
          <w:szCs w:val="28"/>
          <w:lang w:val="es-ES"/>
        </w:rPr>
        <w:t>. Yo no sé nada de eso. PREGUNTADO. Sab</w:t>
      </w:r>
      <w:r w:rsidR="008B3E93" w:rsidRPr="00B41EAD">
        <w:rPr>
          <w:color w:val="000000" w:themeColor="text1"/>
          <w:sz w:val="28"/>
          <w:szCs w:val="28"/>
          <w:lang w:val="es-ES"/>
        </w:rPr>
        <w:t>e</w:t>
      </w:r>
      <w:r w:rsidRPr="00B41EAD">
        <w:rPr>
          <w:color w:val="000000" w:themeColor="text1"/>
          <w:sz w:val="28"/>
          <w:szCs w:val="28"/>
          <w:lang w:val="es-ES"/>
        </w:rPr>
        <w:t xml:space="preserve"> usted el lugar donde se presentó este hecho. CONTEST</w:t>
      </w:r>
      <w:r w:rsidR="00544AF2" w:rsidRPr="00B41EAD">
        <w:rPr>
          <w:color w:val="000000" w:themeColor="text1"/>
          <w:sz w:val="28"/>
          <w:szCs w:val="28"/>
          <w:lang w:val="es-ES"/>
        </w:rPr>
        <w:t>Ó</w:t>
      </w:r>
      <w:r w:rsidRPr="00B41EAD">
        <w:rPr>
          <w:color w:val="000000" w:themeColor="text1"/>
          <w:sz w:val="28"/>
          <w:szCs w:val="28"/>
          <w:lang w:val="es-ES"/>
        </w:rPr>
        <w:t xml:space="preserve">. A mí me dijeron que fue en el municipio del Guamo sin más datos. […siguen preguntas de ubicación personal de la familia…] PREGUNTADO. </w:t>
      </w:r>
      <w:r w:rsidR="008B3E93" w:rsidRPr="00B41EAD">
        <w:rPr>
          <w:color w:val="000000" w:themeColor="text1"/>
          <w:sz w:val="28"/>
          <w:szCs w:val="28"/>
          <w:lang w:val="es-ES"/>
        </w:rPr>
        <w:t>Sírvase informar hasta la fecha qué conocimiento tiene usted con relación al deceso de su hijo. CONTEST</w:t>
      </w:r>
      <w:r w:rsidR="00544AF2" w:rsidRPr="00B41EAD">
        <w:rPr>
          <w:color w:val="000000" w:themeColor="text1"/>
          <w:sz w:val="28"/>
          <w:szCs w:val="28"/>
          <w:lang w:val="es-ES"/>
        </w:rPr>
        <w:t>Ó</w:t>
      </w:r>
      <w:r w:rsidR="008B3E93" w:rsidRPr="00B41EAD">
        <w:rPr>
          <w:color w:val="000000" w:themeColor="text1"/>
          <w:sz w:val="28"/>
          <w:szCs w:val="28"/>
          <w:lang w:val="es-ES"/>
        </w:rPr>
        <w:t>. A mí me dijeron que mi hijo iba por una extorsión, supuestamente si él iba por una e</w:t>
      </w:r>
      <w:r w:rsidR="00C609B5" w:rsidRPr="00B41EAD">
        <w:rPr>
          <w:color w:val="000000" w:themeColor="text1"/>
          <w:sz w:val="28"/>
          <w:szCs w:val="28"/>
          <w:lang w:val="es-ES"/>
        </w:rPr>
        <w:t>x</w:t>
      </w:r>
      <w:r w:rsidR="008B3E93" w:rsidRPr="00B41EAD">
        <w:rPr>
          <w:color w:val="000000" w:themeColor="text1"/>
          <w:sz w:val="28"/>
          <w:szCs w:val="28"/>
          <w:lang w:val="es-ES"/>
        </w:rPr>
        <w:t>torsión por qué no lo cogieron, sabiendo que él no podía correr, por qué le quitaron la vida, yo nunca le vi armas a mi hijo, yo no le conocí amigos de él, no sé con quién andaba, esto lo supe en la calle</w:t>
      </w:r>
      <w:r w:rsidRPr="00B41EAD">
        <w:rPr>
          <w:color w:val="000000" w:themeColor="text1"/>
          <w:sz w:val="28"/>
          <w:szCs w:val="28"/>
          <w:lang w:val="es-ES"/>
        </w:rPr>
        <w:t>”</w:t>
      </w:r>
      <w:r w:rsidR="00C609B5" w:rsidRPr="00B41EAD">
        <w:rPr>
          <w:color w:val="000000" w:themeColor="text1"/>
          <w:sz w:val="28"/>
          <w:szCs w:val="28"/>
          <w:lang w:val="es-ES"/>
        </w:rPr>
        <w:t>.</w:t>
      </w:r>
    </w:p>
    <w:p w14:paraId="29C284BF" w14:textId="77777777" w:rsidR="001C2635" w:rsidRPr="00B41EAD" w:rsidRDefault="001C2635" w:rsidP="001C2635">
      <w:pPr>
        <w:pStyle w:val="Prrafodelista"/>
        <w:rPr>
          <w:color w:val="000000" w:themeColor="text1"/>
          <w:sz w:val="28"/>
          <w:szCs w:val="28"/>
          <w:lang w:val="es-ES"/>
        </w:rPr>
      </w:pPr>
    </w:p>
    <w:p w14:paraId="4E91BED5" w14:textId="098DC23A" w:rsidR="001C2635" w:rsidRPr="00B41EAD" w:rsidRDefault="008B3E9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Así, e</w:t>
      </w:r>
      <w:r w:rsidR="001C2635" w:rsidRPr="00B41EAD">
        <w:rPr>
          <w:color w:val="000000" w:themeColor="text1"/>
          <w:sz w:val="28"/>
          <w:szCs w:val="28"/>
          <w:lang w:val="es-ES"/>
        </w:rPr>
        <w:t>s claro que el contenido de estas dos entrevistas es de total incertidumbre frente a lo sucedido</w:t>
      </w:r>
      <w:r w:rsidR="00C609B5" w:rsidRPr="00B41EAD">
        <w:rPr>
          <w:color w:val="000000" w:themeColor="text1"/>
          <w:sz w:val="28"/>
          <w:szCs w:val="28"/>
          <w:lang w:val="es-ES"/>
        </w:rPr>
        <w:t xml:space="preserve"> alrededor de la muerte de</w:t>
      </w:r>
      <w:r w:rsidR="003C3444" w:rsidRPr="00B41EAD">
        <w:rPr>
          <w:color w:val="000000" w:themeColor="text1"/>
          <w:sz w:val="28"/>
          <w:szCs w:val="28"/>
          <w:lang w:val="es-ES"/>
        </w:rPr>
        <w:t xml:space="preserve"> </w:t>
      </w:r>
      <w:r w:rsidR="00C609B5" w:rsidRPr="00B41EAD">
        <w:rPr>
          <w:color w:val="000000" w:themeColor="text1"/>
          <w:sz w:val="28"/>
          <w:szCs w:val="28"/>
          <w:lang w:val="es-ES"/>
        </w:rPr>
        <w:t>Jorge Armando Guevara Pérez</w:t>
      </w:r>
      <w:r w:rsidR="001C2635" w:rsidRPr="00B41EAD">
        <w:rPr>
          <w:color w:val="000000" w:themeColor="text1"/>
          <w:sz w:val="28"/>
          <w:szCs w:val="28"/>
          <w:lang w:val="es-ES"/>
        </w:rPr>
        <w:t xml:space="preserve">. </w:t>
      </w:r>
      <w:r w:rsidRPr="00B41EAD">
        <w:rPr>
          <w:color w:val="000000" w:themeColor="text1"/>
          <w:sz w:val="28"/>
          <w:szCs w:val="28"/>
          <w:lang w:val="es-ES"/>
        </w:rPr>
        <w:t>En consecuencia,</w:t>
      </w:r>
      <w:r w:rsidR="001C2635" w:rsidRPr="00B41EAD">
        <w:rPr>
          <w:color w:val="000000" w:themeColor="text1"/>
          <w:sz w:val="28"/>
          <w:szCs w:val="28"/>
          <w:lang w:val="es-ES"/>
        </w:rPr>
        <w:t xml:space="preserve"> para la Corte Constitucional </w:t>
      </w:r>
      <w:r w:rsidR="00C609B5" w:rsidRPr="00B41EAD">
        <w:rPr>
          <w:color w:val="000000" w:themeColor="text1"/>
          <w:sz w:val="28"/>
          <w:szCs w:val="28"/>
          <w:lang w:val="es-ES"/>
        </w:rPr>
        <w:t>se torna</w:t>
      </w:r>
      <w:r w:rsidR="001C2635" w:rsidRPr="00B41EAD">
        <w:rPr>
          <w:color w:val="000000" w:themeColor="text1"/>
          <w:sz w:val="28"/>
          <w:szCs w:val="28"/>
          <w:lang w:val="es-ES"/>
        </w:rPr>
        <w:t xml:space="preserve"> ciertamente irrazonable que el Tribunal Administrativo del Tolima hubiera tomado de manera aislada la afirmación de un “posible falso positivo” para considerar que</w:t>
      </w:r>
      <w:r w:rsidR="00C609B5" w:rsidRPr="00B41EAD">
        <w:rPr>
          <w:color w:val="000000" w:themeColor="text1"/>
          <w:sz w:val="28"/>
          <w:szCs w:val="28"/>
          <w:lang w:val="es-ES"/>
        </w:rPr>
        <w:t>,</w:t>
      </w:r>
      <w:r w:rsidR="001C2635" w:rsidRPr="00B41EAD">
        <w:rPr>
          <w:color w:val="000000" w:themeColor="text1"/>
          <w:sz w:val="28"/>
          <w:szCs w:val="28"/>
          <w:lang w:val="es-ES"/>
        </w:rPr>
        <w:t xml:space="preserve"> desde </w:t>
      </w:r>
      <w:r w:rsidRPr="00B41EAD">
        <w:rPr>
          <w:color w:val="000000" w:themeColor="text1"/>
          <w:sz w:val="28"/>
          <w:szCs w:val="28"/>
          <w:lang w:val="es-ES"/>
        </w:rPr>
        <w:t xml:space="preserve">el momento en que </w:t>
      </w:r>
      <w:r w:rsidR="003C3444" w:rsidRPr="00B41EAD">
        <w:rPr>
          <w:color w:val="000000" w:themeColor="text1"/>
          <w:sz w:val="28"/>
          <w:szCs w:val="28"/>
          <w:lang w:val="es-ES"/>
        </w:rPr>
        <w:t>se dio la entrevista de Diana Marcela Cortés Herrera</w:t>
      </w:r>
      <w:r w:rsidRPr="00B41EAD">
        <w:rPr>
          <w:color w:val="000000" w:themeColor="text1"/>
          <w:sz w:val="28"/>
          <w:szCs w:val="28"/>
          <w:lang w:val="es-ES"/>
        </w:rPr>
        <w:t xml:space="preserve"> -el 17 de marzo de 2017-, </w:t>
      </w:r>
      <w:r w:rsidR="001C2635" w:rsidRPr="00B41EAD">
        <w:rPr>
          <w:color w:val="000000" w:themeColor="text1"/>
          <w:sz w:val="28"/>
          <w:szCs w:val="28"/>
          <w:lang w:val="es-ES"/>
        </w:rPr>
        <w:t>se cumplía</w:t>
      </w:r>
      <w:r w:rsidRPr="00B41EAD">
        <w:rPr>
          <w:color w:val="000000" w:themeColor="text1"/>
          <w:sz w:val="28"/>
          <w:szCs w:val="28"/>
          <w:lang w:val="es-ES"/>
        </w:rPr>
        <w:t>n</w:t>
      </w:r>
      <w:r w:rsidR="001C2635" w:rsidRPr="00B41EAD">
        <w:rPr>
          <w:color w:val="000000" w:themeColor="text1"/>
          <w:sz w:val="28"/>
          <w:szCs w:val="28"/>
          <w:lang w:val="es-ES"/>
        </w:rPr>
        <w:t xml:space="preserve"> los dos elementos para iniciar la contabilización del término de caducidad del medio de control de reparación directa; esto es: </w:t>
      </w:r>
      <w:r w:rsidRPr="00B41EAD">
        <w:rPr>
          <w:color w:val="000000" w:themeColor="text1"/>
          <w:sz w:val="28"/>
          <w:szCs w:val="28"/>
          <w:lang w:val="es-ES"/>
        </w:rPr>
        <w:t>(i) que los demandantes tuvieron “conocimiento de que el menoscabo fue causado por el Estado” y (</w:t>
      </w:r>
      <w:proofErr w:type="spellStart"/>
      <w:r w:rsidRPr="00B41EAD">
        <w:rPr>
          <w:color w:val="000000" w:themeColor="text1"/>
          <w:sz w:val="28"/>
          <w:szCs w:val="28"/>
          <w:lang w:val="es-ES"/>
        </w:rPr>
        <w:t>ii</w:t>
      </w:r>
      <w:proofErr w:type="spellEnd"/>
      <w:r w:rsidRPr="00B41EAD">
        <w:rPr>
          <w:color w:val="000000" w:themeColor="text1"/>
          <w:sz w:val="28"/>
          <w:szCs w:val="28"/>
          <w:lang w:val="es-ES"/>
        </w:rPr>
        <w:t>) que desde ese instante la parte demandante se encontraba en la capacidad material de imputarle tal menoscabo ante el aparato jurisdiccional.</w:t>
      </w:r>
    </w:p>
    <w:p w14:paraId="19B87068" w14:textId="77777777" w:rsidR="00C609B5" w:rsidRPr="00B41EAD" w:rsidRDefault="00C609B5" w:rsidP="00C609B5">
      <w:pPr>
        <w:pStyle w:val="Prrafodelista"/>
        <w:ind w:left="0"/>
        <w:jc w:val="both"/>
        <w:rPr>
          <w:color w:val="000000" w:themeColor="text1"/>
          <w:sz w:val="28"/>
          <w:szCs w:val="28"/>
          <w:lang w:val="es-ES"/>
        </w:rPr>
      </w:pPr>
    </w:p>
    <w:p w14:paraId="1BE56F8D" w14:textId="125ABE49" w:rsidR="00C609B5" w:rsidRPr="00B41EAD" w:rsidRDefault="00C609B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De este modo, la autoridad judicial accionada incurrió en un defecto fáctico al menos desde dos perspectivas. Primero, al</w:t>
      </w:r>
      <w:r w:rsidR="003C3444" w:rsidRPr="00B41EAD">
        <w:rPr>
          <w:color w:val="000000" w:themeColor="text1"/>
          <w:sz w:val="28"/>
          <w:szCs w:val="28"/>
          <w:lang w:val="es-ES"/>
        </w:rPr>
        <w:t xml:space="preserve"> </w:t>
      </w:r>
      <w:r w:rsidRPr="00B41EAD">
        <w:rPr>
          <w:color w:val="000000" w:themeColor="text1"/>
          <w:sz w:val="28"/>
          <w:szCs w:val="28"/>
          <w:lang w:val="es-ES"/>
        </w:rPr>
        <w:t xml:space="preserve">haberle otorgado a </w:t>
      </w:r>
      <w:r w:rsidR="00B87C8F" w:rsidRPr="00B41EAD">
        <w:rPr>
          <w:color w:val="000000" w:themeColor="text1"/>
          <w:sz w:val="28"/>
          <w:szCs w:val="28"/>
          <w:lang w:val="es-ES"/>
        </w:rPr>
        <w:t xml:space="preserve">la afirmación hecha por </w:t>
      </w:r>
      <w:r w:rsidR="00130A5B" w:rsidRPr="00B41EAD">
        <w:rPr>
          <w:color w:val="000000" w:themeColor="text1"/>
          <w:sz w:val="28"/>
          <w:szCs w:val="28"/>
          <w:lang w:val="es-ES"/>
        </w:rPr>
        <w:t xml:space="preserve">la </w:t>
      </w:r>
      <w:r w:rsidRPr="00B41EAD">
        <w:rPr>
          <w:color w:val="000000" w:themeColor="text1"/>
          <w:sz w:val="28"/>
          <w:szCs w:val="28"/>
          <w:lang w:val="es-ES"/>
        </w:rPr>
        <w:t>señora Diana Marcela Cortés Herrera</w:t>
      </w:r>
      <w:r w:rsidR="00B87C8F" w:rsidRPr="00B41EAD">
        <w:rPr>
          <w:color w:val="000000" w:themeColor="text1"/>
          <w:sz w:val="28"/>
          <w:szCs w:val="28"/>
          <w:lang w:val="es-ES"/>
        </w:rPr>
        <w:t xml:space="preserve"> en su entrevista del 17 de marzo de </w:t>
      </w:r>
      <w:proofErr w:type="gramStart"/>
      <w:r w:rsidR="00B87C8F" w:rsidRPr="00B41EAD">
        <w:rPr>
          <w:color w:val="000000" w:themeColor="text1"/>
          <w:sz w:val="28"/>
          <w:szCs w:val="28"/>
          <w:lang w:val="es-ES"/>
        </w:rPr>
        <w:t xml:space="preserve">2010 </w:t>
      </w:r>
      <w:r w:rsidRPr="00B41EAD">
        <w:rPr>
          <w:color w:val="000000" w:themeColor="text1"/>
          <w:sz w:val="28"/>
          <w:szCs w:val="28"/>
          <w:lang w:val="es-ES"/>
        </w:rPr>
        <w:t xml:space="preserve"> un</w:t>
      </w:r>
      <w:proofErr w:type="gramEnd"/>
      <w:r w:rsidRPr="00B41EAD">
        <w:rPr>
          <w:color w:val="000000" w:themeColor="text1"/>
          <w:sz w:val="28"/>
          <w:szCs w:val="28"/>
          <w:lang w:val="es-ES"/>
        </w:rPr>
        <w:t xml:space="preserve"> alcance</w:t>
      </w:r>
      <w:r w:rsidR="009D596E" w:rsidRPr="00B41EAD">
        <w:rPr>
          <w:color w:val="000000" w:themeColor="text1"/>
          <w:sz w:val="28"/>
          <w:szCs w:val="28"/>
          <w:lang w:val="es-ES"/>
        </w:rPr>
        <w:t xml:space="preserve"> probatorio</w:t>
      </w:r>
      <w:r w:rsidRPr="00B41EAD">
        <w:rPr>
          <w:color w:val="000000" w:themeColor="text1"/>
          <w:sz w:val="28"/>
          <w:szCs w:val="28"/>
          <w:lang w:val="es-ES"/>
        </w:rPr>
        <w:t xml:space="preserve"> que no tení</w:t>
      </w:r>
      <w:r w:rsidR="009D596E" w:rsidRPr="00B41EAD">
        <w:rPr>
          <w:color w:val="000000" w:themeColor="text1"/>
          <w:sz w:val="28"/>
          <w:szCs w:val="28"/>
          <w:lang w:val="es-ES"/>
        </w:rPr>
        <w:t>a</w:t>
      </w:r>
      <w:r w:rsidRPr="00B41EAD">
        <w:rPr>
          <w:color w:val="000000" w:themeColor="text1"/>
          <w:sz w:val="28"/>
          <w:szCs w:val="28"/>
          <w:lang w:val="es-ES"/>
        </w:rPr>
        <w:t xml:space="preserve"> y, por tanto, </w:t>
      </w:r>
      <w:r w:rsidR="009D596E" w:rsidRPr="00B41EAD">
        <w:rPr>
          <w:color w:val="000000" w:themeColor="text1"/>
          <w:sz w:val="28"/>
          <w:szCs w:val="28"/>
          <w:lang w:val="es-ES"/>
        </w:rPr>
        <w:t xml:space="preserve">haber dado </w:t>
      </w:r>
      <w:r w:rsidRPr="00B41EAD">
        <w:rPr>
          <w:color w:val="000000" w:themeColor="text1"/>
          <w:sz w:val="28"/>
          <w:szCs w:val="28"/>
          <w:lang w:val="es-ES"/>
        </w:rPr>
        <w:t>por probados</w:t>
      </w:r>
      <w:r w:rsidR="009D596E" w:rsidRPr="00B41EAD">
        <w:rPr>
          <w:color w:val="000000" w:themeColor="text1"/>
          <w:sz w:val="28"/>
          <w:szCs w:val="28"/>
          <w:lang w:val="es-ES"/>
        </w:rPr>
        <w:t>, sin estarlos,</w:t>
      </w:r>
      <w:r w:rsidRPr="00B41EAD">
        <w:rPr>
          <w:color w:val="000000" w:themeColor="text1"/>
          <w:sz w:val="28"/>
          <w:szCs w:val="28"/>
          <w:lang w:val="es-ES"/>
        </w:rPr>
        <w:t xml:space="preserve"> los dos supuestos jurisprudenciales que determin</w:t>
      </w:r>
      <w:r w:rsidR="009D596E" w:rsidRPr="00B41EAD">
        <w:rPr>
          <w:color w:val="000000" w:themeColor="text1"/>
          <w:sz w:val="28"/>
          <w:szCs w:val="28"/>
          <w:lang w:val="es-ES"/>
        </w:rPr>
        <w:t>an</w:t>
      </w:r>
      <w:r w:rsidRPr="00B41EAD">
        <w:rPr>
          <w:color w:val="000000" w:themeColor="text1"/>
          <w:sz w:val="28"/>
          <w:szCs w:val="28"/>
          <w:lang w:val="es-ES"/>
        </w:rPr>
        <w:t xml:space="preserve"> el inicio del término de caducidad</w:t>
      </w:r>
      <w:r w:rsidR="009D596E" w:rsidRPr="00B41EAD">
        <w:rPr>
          <w:color w:val="000000" w:themeColor="text1"/>
          <w:sz w:val="28"/>
          <w:szCs w:val="28"/>
          <w:lang w:val="es-ES"/>
        </w:rPr>
        <w:t xml:space="preserve"> del medio de control de reparación directa promovido con ocasión del deceso </w:t>
      </w:r>
      <w:r w:rsidR="00544AF2" w:rsidRPr="00B41EAD">
        <w:rPr>
          <w:color w:val="000000" w:themeColor="text1"/>
          <w:sz w:val="28"/>
          <w:szCs w:val="28"/>
          <w:lang w:val="es-ES"/>
        </w:rPr>
        <w:t>de</w:t>
      </w:r>
      <w:r w:rsidR="009D596E" w:rsidRPr="00B41EAD">
        <w:rPr>
          <w:color w:val="000000" w:themeColor="text1"/>
          <w:sz w:val="28"/>
          <w:szCs w:val="28"/>
          <w:lang w:val="es-ES"/>
        </w:rPr>
        <w:t xml:space="preserve"> Jorge Armando Guevara Pérez.   </w:t>
      </w:r>
      <w:r w:rsidRPr="00B41EAD">
        <w:rPr>
          <w:color w:val="000000" w:themeColor="text1"/>
          <w:sz w:val="28"/>
          <w:szCs w:val="28"/>
          <w:lang w:val="es-ES"/>
        </w:rPr>
        <w:t xml:space="preserve"> </w:t>
      </w:r>
    </w:p>
    <w:p w14:paraId="4286C67F" w14:textId="77777777" w:rsidR="00F3074D" w:rsidRPr="00B41EAD" w:rsidRDefault="00F3074D" w:rsidP="00F3074D">
      <w:pPr>
        <w:pStyle w:val="Prrafodelista"/>
        <w:rPr>
          <w:color w:val="000000" w:themeColor="text1"/>
          <w:sz w:val="28"/>
          <w:szCs w:val="28"/>
          <w:lang w:val="es-ES"/>
        </w:rPr>
      </w:pPr>
    </w:p>
    <w:p w14:paraId="51904316" w14:textId="02AF707A" w:rsidR="00B87C8F" w:rsidRPr="00B41EAD" w:rsidRDefault="009D596E">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Segundo, al haber omitido</w:t>
      </w:r>
      <w:r w:rsidR="00B87C8F" w:rsidRPr="00B41EAD">
        <w:rPr>
          <w:color w:val="000000" w:themeColor="text1"/>
          <w:sz w:val="28"/>
          <w:szCs w:val="28"/>
          <w:lang w:val="es-ES"/>
        </w:rPr>
        <w:t xml:space="preserve"> valorar integralmente el material probatorio obrante en el expediente</w:t>
      </w:r>
      <w:r w:rsidR="00D52628" w:rsidRPr="00B41EAD">
        <w:rPr>
          <w:color w:val="000000" w:themeColor="text1"/>
          <w:sz w:val="28"/>
          <w:szCs w:val="28"/>
          <w:lang w:val="es-ES"/>
        </w:rPr>
        <w:t>, n</w:t>
      </w:r>
      <w:r w:rsidR="00B87C8F" w:rsidRPr="00B41EAD">
        <w:rPr>
          <w:color w:val="000000" w:themeColor="text1"/>
          <w:sz w:val="28"/>
          <w:szCs w:val="28"/>
          <w:lang w:val="es-ES"/>
        </w:rPr>
        <w:t>o sólo dejó de lado el contenido integral de las entrevistas antes señaladas, sino que ignoró por completo el curso posterior del proceso penal</w:t>
      </w:r>
      <w:r w:rsidR="00063034" w:rsidRPr="00B41EAD">
        <w:rPr>
          <w:color w:val="000000" w:themeColor="text1"/>
          <w:sz w:val="28"/>
          <w:szCs w:val="28"/>
          <w:lang w:val="es-ES"/>
        </w:rPr>
        <w:t xml:space="preserve">. En este caso, </w:t>
      </w:r>
      <w:r w:rsidR="00B87C8F" w:rsidRPr="00B41EAD">
        <w:rPr>
          <w:color w:val="000000" w:themeColor="text1"/>
          <w:sz w:val="28"/>
          <w:szCs w:val="28"/>
          <w:lang w:val="es-ES"/>
        </w:rPr>
        <w:t xml:space="preserve">aunque la investigación en la </w:t>
      </w:r>
      <w:proofErr w:type="gramStart"/>
      <w:r w:rsidR="00B87C8F" w:rsidRPr="00B41EAD">
        <w:rPr>
          <w:color w:val="000000" w:themeColor="text1"/>
          <w:sz w:val="28"/>
          <w:szCs w:val="28"/>
          <w:lang w:val="es-ES"/>
        </w:rPr>
        <w:t>Fiscalía General</w:t>
      </w:r>
      <w:proofErr w:type="gramEnd"/>
      <w:r w:rsidR="00B87C8F" w:rsidRPr="00B41EAD">
        <w:rPr>
          <w:color w:val="000000" w:themeColor="text1"/>
          <w:sz w:val="28"/>
          <w:szCs w:val="28"/>
          <w:lang w:val="es-ES"/>
        </w:rPr>
        <w:t xml:space="preserve"> de la </w:t>
      </w:r>
      <w:r w:rsidR="00B87C8F" w:rsidRPr="00B41EAD">
        <w:rPr>
          <w:color w:val="000000" w:themeColor="text1"/>
          <w:sz w:val="28"/>
          <w:szCs w:val="28"/>
          <w:lang w:val="es-ES"/>
        </w:rPr>
        <w:lastRenderedPageBreak/>
        <w:t xml:space="preserve">Nación se inició desde el año 2008, tan solo hasta </w:t>
      </w:r>
      <w:r w:rsidR="00063034" w:rsidRPr="00B41EAD">
        <w:rPr>
          <w:color w:val="000000" w:themeColor="text1"/>
          <w:sz w:val="28"/>
          <w:szCs w:val="28"/>
          <w:lang w:val="es-ES"/>
        </w:rPr>
        <w:t xml:space="preserve">el año 2018 se inició formalmente el trámite judicial correspondiente. </w:t>
      </w:r>
    </w:p>
    <w:p w14:paraId="520E5AD8" w14:textId="77777777" w:rsidR="00063034" w:rsidRPr="00B41EAD" w:rsidRDefault="00063034" w:rsidP="00063034">
      <w:pPr>
        <w:pStyle w:val="Prrafodelista"/>
        <w:rPr>
          <w:color w:val="000000" w:themeColor="text1"/>
          <w:sz w:val="28"/>
          <w:szCs w:val="28"/>
          <w:lang w:val="es-ES"/>
        </w:rPr>
      </w:pPr>
    </w:p>
    <w:p w14:paraId="68CA8C69" w14:textId="3E42B1D3" w:rsidR="007C6893" w:rsidRPr="00B41EAD" w:rsidRDefault="00063034">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Según </w:t>
      </w:r>
      <w:r w:rsidR="00EB4599" w:rsidRPr="00B41EAD">
        <w:rPr>
          <w:color w:val="000000" w:themeColor="text1"/>
          <w:sz w:val="28"/>
          <w:szCs w:val="28"/>
          <w:lang w:val="es-ES"/>
        </w:rPr>
        <w:t>la información disponible d</w:t>
      </w:r>
      <w:r w:rsidRPr="00B41EAD">
        <w:rPr>
          <w:color w:val="000000" w:themeColor="text1"/>
          <w:sz w:val="28"/>
          <w:szCs w:val="28"/>
          <w:lang w:val="es-ES"/>
        </w:rPr>
        <w:t>e</w:t>
      </w:r>
      <w:r w:rsidR="00EB4599" w:rsidRPr="00B41EAD">
        <w:rPr>
          <w:color w:val="000000" w:themeColor="text1"/>
          <w:sz w:val="28"/>
          <w:szCs w:val="28"/>
          <w:lang w:val="es-ES"/>
        </w:rPr>
        <w:t>ntro del</w:t>
      </w:r>
      <w:r w:rsidRPr="00B41EAD">
        <w:rPr>
          <w:color w:val="000000" w:themeColor="text1"/>
          <w:sz w:val="28"/>
          <w:szCs w:val="28"/>
          <w:lang w:val="es-ES"/>
        </w:rPr>
        <w:t xml:space="preserve"> expediente penal, </w:t>
      </w:r>
      <w:r w:rsidR="00EB4599" w:rsidRPr="00B41EAD">
        <w:rPr>
          <w:color w:val="000000" w:themeColor="text1"/>
          <w:sz w:val="28"/>
          <w:szCs w:val="28"/>
          <w:lang w:val="es-ES"/>
        </w:rPr>
        <w:t>se tiene que desde el año 2017</w:t>
      </w:r>
      <w:r w:rsidR="007C6893" w:rsidRPr="00B41EAD">
        <w:rPr>
          <w:color w:val="000000" w:themeColor="text1"/>
          <w:sz w:val="28"/>
          <w:szCs w:val="28"/>
          <w:lang w:val="es-ES"/>
        </w:rPr>
        <w:t xml:space="preserve"> </w:t>
      </w:r>
      <w:r w:rsidR="00161918" w:rsidRPr="00B41EAD">
        <w:rPr>
          <w:color w:val="000000" w:themeColor="text1"/>
          <w:sz w:val="28"/>
          <w:szCs w:val="28"/>
          <w:lang w:val="es-ES"/>
        </w:rPr>
        <w:t xml:space="preserve">se </w:t>
      </w:r>
      <w:r w:rsidR="0001194A" w:rsidRPr="00B41EAD">
        <w:rPr>
          <w:color w:val="000000" w:themeColor="text1"/>
          <w:sz w:val="28"/>
          <w:szCs w:val="28"/>
          <w:lang w:val="es-ES"/>
        </w:rPr>
        <w:t xml:space="preserve">adelantó </w:t>
      </w:r>
      <w:r w:rsidR="007C6893" w:rsidRPr="00B41EAD">
        <w:rPr>
          <w:color w:val="000000" w:themeColor="text1"/>
          <w:sz w:val="28"/>
          <w:szCs w:val="28"/>
          <w:lang w:val="es-ES"/>
        </w:rPr>
        <w:t xml:space="preserve">proceso judicial en contra de seis miembros del Ejército señalados de ser responsables por la comisión del delito de homicidio en persona protegida, cuyas víctimas conformarían un grupo de seis personas. </w:t>
      </w:r>
      <w:r w:rsidR="0001194A" w:rsidRPr="00B41EAD">
        <w:rPr>
          <w:color w:val="000000" w:themeColor="text1"/>
          <w:sz w:val="28"/>
          <w:szCs w:val="28"/>
          <w:lang w:val="es-ES"/>
        </w:rPr>
        <w:t xml:space="preserve">Este </w:t>
      </w:r>
      <w:r w:rsidR="007C6893" w:rsidRPr="00B41EAD">
        <w:rPr>
          <w:color w:val="000000" w:themeColor="text1"/>
          <w:sz w:val="28"/>
          <w:szCs w:val="28"/>
          <w:lang w:val="es-ES"/>
        </w:rPr>
        <w:t xml:space="preserve">proceso fue identificado con el radicado 733196000000201700014, siendo uno de los indiciados el señor Rubiel Bustos </w:t>
      </w:r>
      <w:proofErr w:type="spellStart"/>
      <w:r w:rsidR="007C6893" w:rsidRPr="00B41EAD">
        <w:rPr>
          <w:color w:val="000000" w:themeColor="text1"/>
          <w:sz w:val="28"/>
          <w:szCs w:val="28"/>
          <w:lang w:val="es-ES"/>
        </w:rPr>
        <w:t>Esc</w:t>
      </w:r>
      <w:r w:rsidR="00544AF2" w:rsidRPr="00B41EAD">
        <w:rPr>
          <w:color w:val="000000" w:themeColor="text1"/>
          <w:sz w:val="28"/>
          <w:szCs w:val="28"/>
          <w:lang w:val="es-ES"/>
        </w:rPr>
        <w:t>á</w:t>
      </w:r>
      <w:r w:rsidR="007C6893" w:rsidRPr="00B41EAD">
        <w:rPr>
          <w:color w:val="000000" w:themeColor="text1"/>
          <w:sz w:val="28"/>
          <w:szCs w:val="28"/>
          <w:lang w:val="es-ES"/>
        </w:rPr>
        <w:t>rraga</w:t>
      </w:r>
      <w:proofErr w:type="spellEnd"/>
      <w:r w:rsidR="007C6893" w:rsidRPr="00B41EAD">
        <w:rPr>
          <w:color w:val="000000" w:themeColor="text1"/>
          <w:sz w:val="28"/>
          <w:szCs w:val="28"/>
          <w:lang w:val="es-ES"/>
        </w:rPr>
        <w:t xml:space="preserve">, como sargento del Ejército Nacional y quién, al parecer, habría participado presuntamente en la coordinación de una serie de ejecuciones extrajudiciales en el departamento del Tolima. </w:t>
      </w:r>
    </w:p>
    <w:p w14:paraId="1A05420F" w14:textId="77777777" w:rsidR="007C6893" w:rsidRPr="00B41EAD" w:rsidRDefault="007C6893" w:rsidP="007C6893">
      <w:pPr>
        <w:pStyle w:val="Prrafodelista"/>
        <w:rPr>
          <w:color w:val="000000" w:themeColor="text1"/>
          <w:sz w:val="28"/>
          <w:szCs w:val="28"/>
          <w:lang w:val="es-ES"/>
        </w:rPr>
      </w:pPr>
    </w:p>
    <w:p w14:paraId="63C6D05B" w14:textId="6E454082" w:rsidR="00B8488D" w:rsidRPr="00B41EAD" w:rsidRDefault="007C689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Del mencionado proceso judicial, inicialmente, no hizo parte el caso de la víctima Jorge Armando Guevara Pérez. Sin embargo, </w:t>
      </w:r>
      <w:r w:rsidR="00B8488D" w:rsidRPr="00B41EAD">
        <w:rPr>
          <w:color w:val="000000" w:themeColor="text1"/>
          <w:sz w:val="28"/>
          <w:szCs w:val="28"/>
          <w:lang w:val="es-ES"/>
        </w:rPr>
        <w:t xml:space="preserve">la Corte observa que </w:t>
      </w:r>
      <w:r w:rsidR="00EB4599" w:rsidRPr="00B41EAD">
        <w:rPr>
          <w:color w:val="000000" w:themeColor="text1"/>
          <w:sz w:val="28"/>
          <w:szCs w:val="28"/>
          <w:lang w:val="es-ES"/>
        </w:rPr>
        <w:t xml:space="preserve">mediante oficio del 11 de febrero de 2019, la Fiscalía 39 Especializada contra Violaciones a los Derechos Humanos de </w:t>
      </w:r>
      <w:proofErr w:type="gramStart"/>
      <w:r w:rsidR="00EB4599" w:rsidRPr="00B41EAD">
        <w:rPr>
          <w:color w:val="000000" w:themeColor="text1"/>
          <w:sz w:val="28"/>
          <w:szCs w:val="28"/>
          <w:lang w:val="es-ES"/>
        </w:rPr>
        <w:t>Bogotá</w:t>
      </w:r>
      <w:r w:rsidR="00C044D6" w:rsidRPr="00B41EAD">
        <w:rPr>
          <w:color w:val="000000" w:themeColor="text1"/>
          <w:sz w:val="28"/>
          <w:szCs w:val="28"/>
          <w:lang w:val="es-ES"/>
        </w:rPr>
        <w:t xml:space="preserve">  hizo</w:t>
      </w:r>
      <w:proofErr w:type="gramEnd"/>
      <w:r w:rsidR="00C044D6" w:rsidRPr="00B41EAD">
        <w:rPr>
          <w:color w:val="000000" w:themeColor="text1"/>
          <w:sz w:val="28"/>
          <w:szCs w:val="28"/>
          <w:lang w:val="es-ES"/>
        </w:rPr>
        <w:t xml:space="preserve"> alusión a </w:t>
      </w:r>
      <w:r w:rsidR="00D57D45" w:rsidRPr="00B41EAD">
        <w:rPr>
          <w:color w:val="000000" w:themeColor="text1"/>
          <w:sz w:val="28"/>
          <w:szCs w:val="28"/>
          <w:lang w:val="es-ES"/>
        </w:rPr>
        <w:t>la</w:t>
      </w:r>
      <w:r w:rsidR="00B8488D" w:rsidRPr="00B41EAD">
        <w:rPr>
          <w:color w:val="000000" w:themeColor="text1"/>
          <w:sz w:val="28"/>
          <w:szCs w:val="28"/>
          <w:lang w:val="es-ES"/>
        </w:rPr>
        <w:t xml:space="preserve"> conexidad procesal </w:t>
      </w:r>
      <w:r w:rsidR="00D57D45" w:rsidRPr="00B41EAD">
        <w:rPr>
          <w:color w:val="000000" w:themeColor="text1"/>
          <w:sz w:val="28"/>
          <w:szCs w:val="28"/>
          <w:lang w:val="es-ES"/>
        </w:rPr>
        <w:t xml:space="preserve">que se habría declarado previamente entre </w:t>
      </w:r>
      <w:r w:rsidR="00B8488D" w:rsidRPr="00B41EAD">
        <w:rPr>
          <w:color w:val="000000" w:themeColor="text1"/>
          <w:sz w:val="28"/>
          <w:szCs w:val="28"/>
          <w:lang w:val="es-ES"/>
        </w:rPr>
        <w:t xml:space="preserve">el caso del señor Guevara Pérez </w:t>
      </w:r>
      <w:r w:rsidR="0063738A" w:rsidRPr="00B41EAD">
        <w:rPr>
          <w:color w:val="000000" w:themeColor="text1"/>
          <w:sz w:val="28"/>
          <w:szCs w:val="28"/>
          <w:lang w:val="es-ES"/>
        </w:rPr>
        <w:t xml:space="preserve">y </w:t>
      </w:r>
      <w:r w:rsidR="00B8488D" w:rsidRPr="00B41EAD">
        <w:rPr>
          <w:color w:val="000000" w:themeColor="text1"/>
          <w:sz w:val="28"/>
          <w:szCs w:val="28"/>
          <w:lang w:val="es-ES"/>
        </w:rPr>
        <w:t xml:space="preserve">el radicado 733196000000201700014. </w:t>
      </w:r>
    </w:p>
    <w:p w14:paraId="5D342BFE" w14:textId="77777777" w:rsidR="00B8488D" w:rsidRPr="00B41EAD" w:rsidRDefault="00B8488D" w:rsidP="00B8488D">
      <w:pPr>
        <w:pStyle w:val="Prrafodelista"/>
        <w:rPr>
          <w:color w:val="000000" w:themeColor="text1"/>
          <w:sz w:val="28"/>
          <w:szCs w:val="28"/>
          <w:lang w:val="es-ES"/>
        </w:rPr>
      </w:pPr>
    </w:p>
    <w:p w14:paraId="3A791459" w14:textId="43AC82B3" w:rsidR="00063034" w:rsidRPr="00B41EAD" w:rsidRDefault="00D57D4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De igual manera</w:t>
      </w:r>
      <w:r w:rsidR="00B8488D" w:rsidRPr="00B41EAD">
        <w:rPr>
          <w:color w:val="000000" w:themeColor="text1"/>
          <w:sz w:val="28"/>
          <w:szCs w:val="28"/>
          <w:lang w:val="es-ES"/>
        </w:rPr>
        <w:t>, en el oficio</w:t>
      </w:r>
      <w:r w:rsidRPr="00B41EAD">
        <w:rPr>
          <w:color w:val="000000" w:themeColor="text1"/>
          <w:sz w:val="28"/>
          <w:szCs w:val="28"/>
          <w:lang w:val="es-ES"/>
        </w:rPr>
        <w:t xml:space="preserve"> mencionado</w:t>
      </w:r>
      <w:r w:rsidR="00B60F84" w:rsidRPr="00B41EAD">
        <w:rPr>
          <w:color w:val="000000" w:themeColor="text1"/>
          <w:sz w:val="28"/>
          <w:szCs w:val="28"/>
          <w:lang w:val="es-ES"/>
        </w:rPr>
        <w:t>,</w:t>
      </w:r>
      <w:r w:rsidR="00B8488D" w:rsidRPr="00B41EAD">
        <w:rPr>
          <w:color w:val="000000" w:themeColor="text1"/>
          <w:sz w:val="28"/>
          <w:szCs w:val="28"/>
          <w:lang w:val="es-ES"/>
        </w:rPr>
        <w:t xml:space="preserve"> el ente acusador </w:t>
      </w:r>
      <w:r w:rsidRPr="00B41EAD">
        <w:rPr>
          <w:color w:val="000000" w:themeColor="text1"/>
          <w:sz w:val="28"/>
          <w:szCs w:val="28"/>
          <w:lang w:val="es-ES"/>
        </w:rPr>
        <w:t xml:space="preserve">comunicó </w:t>
      </w:r>
      <w:r w:rsidR="00C044D6" w:rsidRPr="00B41EAD">
        <w:rPr>
          <w:color w:val="000000" w:themeColor="text1"/>
          <w:sz w:val="28"/>
          <w:szCs w:val="28"/>
          <w:lang w:val="es-ES"/>
        </w:rPr>
        <w:t xml:space="preserve">al Juzgado de conocimiento </w:t>
      </w:r>
      <w:r w:rsidR="00B8488D" w:rsidRPr="00B41EAD">
        <w:rPr>
          <w:color w:val="000000" w:themeColor="text1"/>
          <w:sz w:val="28"/>
          <w:szCs w:val="28"/>
          <w:lang w:val="es-ES"/>
        </w:rPr>
        <w:t xml:space="preserve">que </w:t>
      </w:r>
      <w:r w:rsidRPr="00B41EAD">
        <w:rPr>
          <w:color w:val="000000" w:themeColor="text1"/>
          <w:sz w:val="28"/>
          <w:szCs w:val="28"/>
          <w:lang w:val="es-ES"/>
        </w:rPr>
        <w:t xml:space="preserve">(i) </w:t>
      </w:r>
      <w:r w:rsidR="00B8488D" w:rsidRPr="00B41EAD">
        <w:rPr>
          <w:color w:val="000000" w:themeColor="text1"/>
          <w:sz w:val="28"/>
          <w:szCs w:val="28"/>
          <w:lang w:val="es-ES"/>
        </w:rPr>
        <w:t xml:space="preserve">el 5 de octubre de 2018 se llevó a cabo audiencia de formulación de imputación en contra del señor Rubiel Bustos </w:t>
      </w:r>
      <w:proofErr w:type="spellStart"/>
      <w:r w:rsidR="00B8488D" w:rsidRPr="00B41EAD">
        <w:rPr>
          <w:color w:val="000000" w:themeColor="text1"/>
          <w:sz w:val="28"/>
          <w:szCs w:val="28"/>
          <w:lang w:val="es-ES"/>
        </w:rPr>
        <w:t>Escárraga</w:t>
      </w:r>
      <w:proofErr w:type="spellEnd"/>
      <w:r w:rsidRPr="00B41EAD">
        <w:rPr>
          <w:color w:val="000000" w:themeColor="text1"/>
          <w:sz w:val="28"/>
          <w:szCs w:val="28"/>
          <w:lang w:val="es-ES"/>
        </w:rPr>
        <w:t>,</w:t>
      </w:r>
      <w:r w:rsidR="00B8488D" w:rsidRPr="00B41EAD">
        <w:rPr>
          <w:color w:val="000000" w:themeColor="text1"/>
          <w:sz w:val="28"/>
          <w:szCs w:val="28"/>
          <w:lang w:val="es-ES"/>
        </w:rPr>
        <w:t xml:space="preserve"> por el delito de homicidio en persona </w:t>
      </w:r>
      <w:proofErr w:type="gramStart"/>
      <w:r w:rsidR="00B8488D" w:rsidRPr="00B41EAD">
        <w:rPr>
          <w:color w:val="000000" w:themeColor="text1"/>
          <w:sz w:val="28"/>
          <w:szCs w:val="28"/>
          <w:lang w:val="es-ES"/>
        </w:rPr>
        <w:t>protegida</w:t>
      </w:r>
      <w:r w:rsidRPr="00B41EAD">
        <w:rPr>
          <w:color w:val="000000" w:themeColor="text1"/>
          <w:sz w:val="28"/>
          <w:szCs w:val="28"/>
          <w:lang w:val="es-ES"/>
        </w:rPr>
        <w:t xml:space="preserve"> </w:t>
      </w:r>
      <w:r w:rsidR="00B8488D" w:rsidRPr="00B41EAD">
        <w:rPr>
          <w:color w:val="000000" w:themeColor="text1"/>
          <w:sz w:val="28"/>
          <w:szCs w:val="28"/>
          <w:lang w:val="es-ES"/>
        </w:rPr>
        <w:t xml:space="preserve"> </w:t>
      </w:r>
      <w:r w:rsidRPr="00B41EAD">
        <w:rPr>
          <w:color w:val="000000" w:themeColor="text1"/>
          <w:sz w:val="28"/>
          <w:szCs w:val="28"/>
          <w:lang w:val="es-ES"/>
        </w:rPr>
        <w:t>el</w:t>
      </w:r>
      <w:proofErr w:type="gramEnd"/>
      <w:r w:rsidRPr="00B41EAD">
        <w:rPr>
          <w:color w:val="000000" w:themeColor="text1"/>
          <w:sz w:val="28"/>
          <w:szCs w:val="28"/>
          <w:lang w:val="es-ES"/>
        </w:rPr>
        <w:t xml:space="preserve"> cual se habría cometido en </w:t>
      </w:r>
      <w:r w:rsidR="00B8488D" w:rsidRPr="00B41EAD">
        <w:rPr>
          <w:color w:val="000000" w:themeColor="text1"/>
          <w:sz w:val="28"/>
          <w:szCs w:val="28"/>
          <w:lang w:val="es-ES"/>
        </w:rPr>
        <w:t>contra</w:t>
      </w:r>
      <w:r w:rsidRPr="00B41EAD">
        <w:rPr>
          <w:color w:val="000000" w:themeColor="text1"/>
          <w:sz w:val="28"/>
          <w:szCs w:val="28"/>
          <w:lang w:val="es-ES"/>
        </w:rPr>
        <w:t xml:space="preserve"> de</w:t>
      </w:r>
      <w:r w:rsidR="00B8488D" w:rsidRPr="00B41EAD">
        <w:rPr>
          <w:color w:val="000000" w:themeColor="text1"/>
          <w:sz w:val="28"/>
          <w:szCs w:val="28"/>
          <w:lang w:val="es-ES"/>
        </w:rPr>
        <w:t xml:space="preserve"> la humanidad del señor Jorge Armando Guevara Pérez</w:t>
      </w:r>
      <w:r w:rsidRPr="00B41EAD">
        <w:rPr>
          <w:color w:val="000000" w:themeColor="text1"/>
          <w:sz w:val="28"/>
          <w:szCs w:val="28"/>
          <w:lang w:val="es-ES"/>
        </w:rPr>
        <w:t>; y (</w:t>
      </w:r>
      <w:proofErr w:type="spellStart"/>
      <w:r w:rsidRPr="00B41EAD">
        <w:rPr>
          <w:color w:val="000000" w:themeColor="text1"/>
          <w:sz w:val="28"/>
          <w:szCs w:val="28"/>
          <w:lang w:val="es-ES"/>
        </w:rPr>
        <w:t>ii</w:t>
      </w:r>
      <w:proofErr w:type="spellEnd"/>
      <w:r w:rsidRPr="00B41EAD">
        <w:rPr>
          <w:color w:val="000000" w:themeColor="text1"/>
          <w:sz w:val="28"/>
          <w:szCs w:val="28"/>
          <w:lang w:val="es-ES"/>
        </w:rPr>
        <w:t>) en la misma diligencia el procesado suscribió preacuerdo con la Fiscalía</w:t>
      </w:r>
      <w:r w:rsidRPr="00B41EAD">
        <w:rPr>
          <w:rStyle w:val="Refdenotaalpie"/>
          <w:color w:val="000000" w:themeColor="text1"/>
          <w:sz w:val="28"/>
          <w:szCs w:val="28"/>
          <w:lang w:val="es-ES"/>
        </w:rPr>
        <w:footnoteReference w:id="93"/>
      </w:r>
      <w:r w:rsidR="00544AF2" w:rsidRPr="00B41EAD">
        <w:rPr>
          <w:color w:val="000000" w:themeColor="text1"/>
          <w:sz w:val="28"/>
          <w:szCs w:val="28"/>
          <w:lang w:val="es-ES"/>
        </w:rPr>
        <w:t>.</w:t>
      </w:r>
      <w:r w:rsidRPr="00B41EAD">
        <w:rPr>
          <w:color w:val="000000" w:themeColor="text1"/>
          <w:sz w:val="28"/>
          <w:szCs w:val="28"/>
          <w:lang w:val="es-ES"/>
        </w:rPr>
        <w:t xml:space="preserve"> </w:t>
      </w:r>
    </w:p>
    <w:p w14:paraId="719B6FE9" w14:textId="51AAB9AE" w:rsidR="00EB4599" w:rsidRPr="00B41EAD" w:rsidRDefault="00EB4599" w:rsidP="00D57D45">
      <w:pPr>
        <w:rPr>
          <w:color w:val="000000" w:themeColor="text1"/>
          <w:sz w:val="28"/>
          <w:szCs w:val="28"/>
          <w:lang w:val="es-ES"/>
        </w:rPr>
      </w:pPr>
    </w:p>
    <w:p w14:paraId="6B131577" w14:textId="76C6210B" w:rsidR="00EB4599" w:rsidRPr="00B41EAD" w:rsidRDefault="00D57D4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el acta de preacuerdo se tuvo como víctima de los hechos asociados a la muerte del señor Guevara Pérez únicamente a la señora María </w:t>
      </w:r>
      <w:proofErr w:type="spellStart"/>
      <w:r w:rsidRPr="00B41EAD">
        <w:rPr>
          <w:color w:val="000000" w:themeColor="text1"/>
          <w:sz w:val="28"/>
          <w:szCs w:val="28"/>
          <w:lang w:val="es-ES"/>
        </w:rPr>
        <w:t>Herenia</w:t>
      </w:r>
      <w:proofErr w:type="spellEnd"/>
      <w:r w:rsidRPr="00B41EAD">
        <w:rPr>
          <w:color w:val="000000" w:themeColor="text1"/>
          <w:sz w:val="28"/>
          <w:szCs w:val="28"/>
          <w:lang w:val="es-ES"/>
        </w:rPr>
        <w:t xml:space="preserve"> Pérez Herrera, en calidad de madre. </w:t>
      </w:r>
      <w:r w:rsidR="00485E11" w:rsidRPr="00B41EAD">
        <w:rPr>
          <w:color w:val="000000" w:themeColor="text1"/>
          <w:sz w:val="28"/>
          <w:szCs w:val="28"/>
          <w:lang w:val="es-ES"/>
        </w:rPr>
        <w:t xml:space="preserve">En lo pertinente, </w:t>
      </w:r>
      <w:r w:rsidRPr="00B41EAD">
        <w:rPr>
          <w:color w:val="000000" w:themeColor="text1"/>
          <w:sz w:val="28"/>
          <w:szCs w:val="28"/>
          <w:lang w:val="es-ES"/>
        </w:rPr>
        <w:t>las circunstancias fácticas del caso</w:t>
      </w:r>
      <w:r w:rsidR="00485E11" w:rsidRPr="00B41EAD">
        <w:rPr>
          <w:color w:val="000000" w:themeColor="text1"/>
          <w:sz w:val="28"/>
          <w:szCs w:val="28"/>
          <w:lang w:val="es-ES"/>
        </w:rPr>
        <w:t xml:space="preserve"> sobre las cuales versó la celebración del preacuerdo fueron las siguientes</w:t>
      </w:r>
      <w:r w:rsidRPr="00B41EAD">
        <w:rPr>
          <w:color w:val="000000" w:themeColor="text1"/>
          <w:sz w:val="28"/>
          <w:szCs w:val="28"/>
          <w:lang w:val="es-ES"/>
        </w:rPr>
        <w:t xml:space="preserve">: </w:t>
      </w:r>
    </w:p>
    <w:p w14:paraId="48DADB1C" w14:textId="6BDC7692" w:rsidR="00D57D45" w:rsidRPr="00B41EAD" w:rsidRDefault="00D57D45" w:rsidP="00D57D45">
      <w:pPr>
        <w:pStyle w:val="Prrafodelista"/>
        <w:rPr>
          <w:color w:val="000000" w:themeColor="text1"/>
          <w:sz w:val="28"/>
          <w:szCs w:val="28"/>
          <w:lang w:val="es-ES"/>
        </w:rPr>
      </w:pPr>
    </w:p>
    <w:p w14:paraId="03BDA8C4" w14:textId="3575B736" w:rsidR="00D57D45" w:rsidRPr="00B41EAD" w:rsidRDefault="00D57D45" w:rsidP="00485E11">
      <w:pPr>
        <w:pStyle w:val="Prrafodelista"/>
        <w:jc w:val="both"/>
        <w:rPr>
          <w:color w:val="000000" w:themeColor="text1"/>
          <w:sz w:val="28"/>
          <w:szCs w:val="28"/>
          <w:lang w:val="es-ES"/>
        </w:rPr>
      </w:pPr>
      <w:r w:rsidRPr="00B41EAD">
        <w:rPr>
          <w:color w:val="000000" w:themeColor="text1"/>
          <w:sz w:val="28"/>
          <w:szCs w:val="28"/>
          <w:lang w:val="es-ES"/>
        </w:rPr>
        <w:t xml:space="preserve">“En el desarrollo de la operación militar se señala que el propietario de la </w:t>
      </w:r>
      <w:r w:rsidR="00485E11" w:rsidRPr="00B41EAD">
        <w:rPr>
          <w:color w:val="000000" w:themeColor="text1"/>
          <w:sz w:val="28"/>
          <w:szCs w:val="28"/>
          <w:lang w:val="es-ES"/>
        </w:rPr>
        <w:t>f</w:t>
      </w:r>
      <w:r w:rsidRPr="00B41EAD">
        <w:rPr>
          <w:color w:val="000000" w:themeColor="text1"/>
          <w:sz w:val="28"/>
          <w:szCs w:val="28"/>
          <w:lang w:val="es-ES"/>
        </w:rPr>
        <w:t>inca les informa sobre la presencia extraña de individuos que al parecer lo estaban extorsionando y como consecuencia el 30 de marzo de esto se da muerte a Jorge Armando Guevara Pérez y Ferney Tabares Cardona, víctimas sin que mediara ataque por parte de estas, sin que las mismas fueran combatientes o hicieran parte de las hostilidades, presentándolos como bajas en combate lo que a criterio de esta</w:t>
      </w:r>
      <w:r w:rsidR="00485E11" w:rsidRPr="00B41EAD">
        <w:rPr>
          <w:color w:val="000000" w:themeColor="text1"/>
          <w:sz w:val="28"/>
          <w:szCs w:val="28"/>
          <w:lang w:val="es-ES"/>
        </w:rPr>
        <w:t xml:space="preserve"> investigación se trató de una puesta en escena para asegurar un resultado operacional, lo que constituye una ejecución extrajudicial o los mal llamados falsos positivos</w:t>
      </w:r>
      <w:r w:rsidRPr="00B41EAD">
        <w:rPr>
          <w:color w:val="000000" w:themeColor="text1"/>
          <w:sz w:val="28"/>
          <w:szCs w:val="28"/>
          <w:lang w:val="es-ES"/>
        </w:rPr>
        <w:t>”</w:t>
      </w:r>
      <w:r w:rsidR="00485E11" w:rsidRPr="00B41EAD">
        <w:rPr>
          <w:rStyle w:val="Refdenotaalpie"/>
          <w:color w:val="000000" w:themeColor="text1"/>
          <w:sz w:val="28"/>
          <w:szCs w:val="28"/>
          <w:lang w:val="es-ES"/>
        </w:rPr>
        <w:footnoteReference w:id="94"/>
      </w:r>
      <w:r w:rsidR="00485E11" w:rsidRPr="00B41EAD">
        <w:rPr>
          <w:color w:val="000000" w:themeColor="text1"/>
          <w:sz w:val="28"/>
          <w:szCs w:val="28"/>
          <w:lang w:val="es-ES"/>
        </w:rPr>
        <w:t>.</w:t>
      </w:r>
    </w:p>
    <w:p w14:paraId="09F089A0" w14:textId="77777777" w:rsidR="00D57D45" w:rsidRPr="00B41EAD" w:rsidRDefault="00D57D45" w:rsidP="00D57D45">
      <w:pPr>
        <w:pStyle w:val="Prrafodelista"/>
        <w:rPr>
          <w:color w:val="000000" w:themeColor="text1"/>
          <w:sz w:val="28"/>
          <w:szCs w:val="28"/>
          <w:lang w:val="es-ES"/>
        </w:rPr>
      </w:pPr>
    </w:p>
    <w:p w14:paraId="3DB5C1F5" w14:textId="1F156BB7" w:rsidR="00485E11" w:rsidRPr="00B41EAD" w:rsidRDefault="00485E1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Asimismo, el procesado acept</w:t>
      </w:r>
      <w:r w:rsidR="00B60F84" w:rsidRPr="00B41EAD">
        <w:rPr>
          <w:color w:val="000000" w:themeColor="text1"/>
          <w:sz w:val="28"/>
          <w:szCs w:val="28"/>
          <w:lang w:val="es-ES"/>
        </w:rPr>
        <w:t>ó</w:t>
      </w:r>
      <w:r w:rsidRPr="00B41EAD">
        <w:rPr>
          <w:color w:val="000000" w:themeColor="text1"/>
          <w:sz w:val="28"/>
          <w:szCs w:val="28"/>
          <w:lang w:val="es-ES"/>
        </w:rPr>
        <w:t xml:space="preserve"> su culpabilidad en los siguientes términos:</w:t>
      </w:r>
    </w:p>
    <w:p w14:paraId="05170B64" w14:textId="77777777" w:rsidR="00041801" w:rsidRPr="00B41EAD" w:rsidRDefault="00041801" w:rsidP="00041801">
      <w:pPr>
        <w:pStyle w:val="Prrafodelista"/>
        <w:jc w:val="both"/>
        <w:rPr>
          <w:color w:val="000000" w:themeColor="text1"/>
          <w:sz w:val="28"/>
          <w:szCs w:val="28"/>
          <w:lang w:val="es-ES"/>
        </w:rPr>
      </w:pPr>
    </w:p>
    <w:p w14:paraId="70B0D282" w14:textId="45965B96" w:rsidR="00041801" w:rsidRPr="00B41EAD" w:rsidRDefault="00041801" w:rsidP="00041801">
      <w:pPr>
        <w:pStyle w:val="Prrafodelista"/>
        <w:jc w:val="both"/>
        <w:rPr>
          <w:color w:val="000000" w:themeColor="text1"/>
          <w:sz w:val="28"/>
          <w:szCs w:val="28"/>
          <w:lang w:val="es-ES"/>
        </w:rPr>
      </w:pPr>
      <w:r w:rsidRPr="00B41EAD">
        <w:rPr>
          <w:color w:val="000000" w:themeColor="text1"/>
          <w:sz w:val="28"/>
          <w:szCs w:val="28"/>
          <w:lang w:val="es-ES"/>
        </w:rPr>
        <w:lastRenderedPageBreak/>
        <w:t xml:space="preserve">“(…) el procesado acepta que su intervención (…) corresponde a la descrita e informada a este en la audiencia de imputación y concretada en esta diligencia de la cual se hizo una reseña en este documento. Ahora </w:t>
      </w:r>
      <w:proofErr w:type="gramStart"/>
      <w:r w:rsidRPr="00B41EAD">
        <w:rPr>
          <w:color w:val="000000" w:themeColor="text1"/>
          <w:sz w:val="28"/>
          <w:szCs w:val="28"/>
          <w:lang w:val="es-ES"/>
        </w:rPr>
        <w:t>bien</w:t>
      </w:r>
      <w:proofErr w:type="gramEnd"/>
      <w:r w:rsidRPr="00B41EAD">
        <w:rPr>
          <w:color w:val="000000" w:themeColor="text1"/>
          <w:sz w:val="28"/>
          <w:szCs w:val="28"/>
          <w:lang w:val="es-ES"/>
        </w:rPr>
        <w:t xml:space="preserve"> en cuanto a la imputación jurídica, el procesado acepta su responsabilidad en las conductas imputadas y en razón a esa aceptación y como único beneficio la fiscalía modifica la imputación jurídica degradando su intervención en el delito de homicidio en persona protegida y lo imputa para efectos de este preacuerdo en la calidad de cómplice de homicidio en persona protegida”</w:t>
      </w:r>
      <w:r w:rsidRPr="00B41EAD">
        <w:rPr>
          <w:rStyle w:val="Refdenotaalpie"/>
          <w:color w:val="000000" w:themeColor="text1"/>
          <w:sz w:val="28"/>
          <w:szCs w:val="28"/>
          <w:lang w:val="es-ES"/>
        </w:rPr>
        <w:footnoteReference w:id="95"/>
      </w:r>
      <w:r w:rsidRPr="00B41EAD">
        <w:rPr>
          <w:color w:val="000000" w:themeColor="text1"/>
          <w:sz w:val="28"/>
          <w:szCs w:val="28"/>
          <w:lang w:val="es-ES"/>
        </w:rPr>
        <w:t xml:space="preserve">. </w:t>
      </w:r>
    </w:p>
    <w:p w14:paraId="34447670" w14:textId="77777777" w:rsidR="00041801" w:rsidRPr="00B41EAD" w:rsidRDefault="00041801" w:rsidP="00041801">
      <w:pPr>
        <w:pStyle w:val="Prrafodelista"/>
        <w:jc w:val="both"/>
        <w:rPr>
          <w:color w:val="000000" w:themeColor="text1"/>
          <w:sz w:val="28"/>
          <w:szCs w:val="28"/>
          <w:lang w:val="es-ES"/>
        </w:rPr>
      </w:pPr>
    </w:p>
    <w:p w14:paraId="5F5D37CA" w14:textId="618398EE" w:rsidR="00041801" w:rsidRPr="00B41EAD" w:rsidRDefault="00702E0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w:t>
      </w:r>
      <w:r w:rsidR="00041801" w:rsidRPr="00B41EAD">
        <w:rPr>
          <w:color w:val="000000" w:themeColor="text1"/>
          <w:sz w:val="28"/>
          <w:szCs w:val="28"/>
          <w:lang w:val="es-ES"/>
        </w:rPr>
        <w:t xml:space="preserve">n audiencia del 22 de mayo de 2019, se llevó a cabo audiencia de verificación del preacuerdo ante el Juzgado 2 Penal del Circuito Especializado de Ibagué, en la que la autoridad judicial decidió no aprobarlo por indebida dosificación de la pena y la multa, lo que constituiría una violación del principio de legalidad. En consecuencia, </w:t>
      </w:r>
      <w:r w:rsidR="00161918" w:rsidRPr="00B41EAD">
        <w:rPr>
          <w:color w:val="000000" w:themeColor="text1"/>
          <w:sz w:val="28"/>
          <w:szCs w:val="28"/>
          <w:lang w:val="es-ES"/>
        </w:rPr>
        <w:t>se</w:t>
      </w:r>
      <w:r w:rsidR="00041801" w:rsidRPr="00B41EAD">
        <w:rPr>
          <w:color w:val="000000" w:themeColor="text1"/>
          <w:sz w:val="28"/>
          <w:szCs w:val="28"/>
          <w:lang w:val="es-ES"/>
        </w:rPr>
        <w:t xml:space="preserve"> </w:t>
      </w:r>
      <w:proofErr w:type="gramStart"/>
      <w:r w:rsidR="00041801" w:rsidRPr="00B41EAD">
        <w:rPr>
          <w:color w:val="000000" w:themeColor="text1"/>
          <w:sz w:val="28"/>
          <w:szCs w:val="28"/>
          <w:lang w:val="es-ES"/>
        </w:rPr>
        <w:t>dispuso</w:t>
      </w:r>
      <w:proofErr w:type="gramEnd"/>
      <w:r w:rsidR="00041801" w:rsidRPr="00B41EAD">
        <w:rPr>
          <w:color w:val="000000" w:themeColor="text1"/>
          <w:sz w:val="28"/>
          <w:szCs w:val="28"/>
          <w:lang w:val="es-ES"/>
        </w:rPr>
        <w:t xml:space="preserve"> continuar con el trámite de audiencia preparatoria de juicio oral. </w:t>
      </w:r>
    </w:p>
    <w:p w14:paraId="5CE84E3B" w14:textId="77777777" w:rsidR="00702E03" w:rsidRPr="00B41EAD" w:rsidRDefault="00702E03" w:rsidP="00702E03">
      <w:pPr>
        <w:pStyle w:val="Prrafodelista"/>
        <w:ind w:left="0"/>
        <w:jc w:val="both"/>
        <w:rPr>
          <w:color w:val="000000" w:themeColor="text1"/>
          <w:sz w:val="28"/>
          <w:szCs w:val="28"/>
          <w:lang w:val="es-ES"/>
        </w:rPr>
      </w:pPr>
    </w:p>
    <w:p w14:paraId="098C4B43" w14:textId="4F1B69BE" w:rsidR="00702E03" w:rsidRPr="00B41EAD" w:rsidRDefault="0001194A">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Después, el 29 de mayo siguiente, Diana Marcela Cortés Herrera, actuando en nombre propio y de su menor hija, formuló la demanda de reparación directa ante la Jurisdicción de lo Contencioso Administrativo. </w:t>
      </w:r>
    </w:p>
    <w:p w14:paraId="4D52B4D7" w14:textId="77777777" w:rsidR="00183910" w:rsidRPr="00B41EAD" w:rsidRDefault="00183910" w:rsidP="00183910">
      <w:pPr>
        <w:pStyle w:val="Prrafodelista"/>
        <w:rPr>
          <w:color w:val="000000" w:themeColor="text1"/>
          <w:sz w:val="28"/>
          <w:szCs w:val="28"/>
          <w:lang w:val="es-ES"/>
        </w:rPr>
      </w:pPr>
    </w:p>
    <w:p w14:paraId="69B484AC" w14:textId="5943DD7B" w:rsidR="00183910" w:rsidRPr="00B41EAD" w:rsidRDefault="00183910">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Para la Sala Plena de la Corte Constitucional es razonable admitir que la demandante hubiera acudido al medio de control de reparación directa una vez tuvo noticia del preacuerdo en el</w:t>
      </w:r>
      <w:r w:rsidR="003764FC" w:rsidRPr="00B41EAD">
        <w:rPr>
          <w:color w:val="000000" w:themeColor="text1"/>
          <w:sz w:val="28"/>
          <w:szCs w:val="28"/>
          <w:lang w:val="es-ES"/>
        </w:rPr>
        <w:t xml:space="preserve"> que el militar Bustos </w:t>
      </w:r>
      <w:proofErr w:type="spellStart"/>
      <w:r w:rsidR="003764FC" w:rsidRPr="00B41EAD">
        <w:rPr>
          <w:color w:val="000000" w:themeColor="text1"/>
          <w:sz w:val="28"/>
          <w:szCs w:val="28"/>
          <w:lang w:val="es-ES"/>
        </w:rPr>
        <w:t>Escárraga</w:t>
      </w:r>
      <w:proofErr w:type="spellEnd"/>
      <w:r w:rsidRPr="00B41EAD">
        <w:rPr>
          <w:color w:val="000000" w:themeColor="text1"/>
          <w:sz w:val="28"/>
          <w:szCs w:val="28"/>
          <w:lang w:val="es-ES"/>
        </w:rPr>
        <w:t xml:space="preserve"> aceptó su responsabilidad por la ejecución extrajudicial de Jorge Armando Guevara Pérez. Esto</w:t>
      </w:r>
      <w:r w:rsidR="003764FC" w:rsidRPr="00B41EAD">
        <w:rPr>
          <w:color w:val="000000" w:themeColor="text1"/>
          <w:sz w:val="28"/>
          <w:szCs w:val="28"/>
          <w:lang w:val="es-ES"/>
        </w:rPr>
        <w:t>,</w:t>
      </w:r>
      <w:r w:rsidRPr="00B41EAD">
        <w:rPr>
          <w:color w:val="000000" w:themeColor="text1"/>
          <w:sz w:val="28"/>
          <w:szCs w:val="28"/>
          <w:lang w:val="es-ES"/>
        </w:rPr>
        <w:t xml:space="preserve"> dado que ni en el expediente del proceso penal ni en el de reparación directa existen pruebas que lleven a establecer que, antes de dicha actuación, la</w:t>
      </w:r>
      <w:r w:rsidR="003764FC" w:rsidRPr="00B41EAD">
        <w:rPr>
          <w:color w:val="000000" w:themeColor="text1"/>
          <w:sz w:val="28"/>
          <w:szCs w:val="28"/>
          <w:lang w:val="es-ES"/>
        </w:rPr>
        <w:t xml:space="preserve"> señora Diana Marcela Cortés Herrera contara con elementos </w:t>
      </w:r>
      <w:r w:rsidR="00B60F84" w:rsidRPr="00B41EAD">
        <w:rPr>
          <w:color w:val="000000" w:themeColor="text1"/>
          <w:sz w:val="28"/>
          <w:szCs w:val="28"/>
          <w:lang w:val="es-ES"/>
        </w:rPr>
        <w:t xml:space="preserve">adicionales </w:t>
      </w:r>
      <w:r w:rsidR="003764FC" w:rsidRPr="00B41EAD">
        <w:rPr>
          <w:color w:val="000000" w:themeColor="text1"/>
          <w:sz w:val="28"/>
          <w:szCs w:val="28"/>
          <w:lang w:val="es-ES"/>
        </w:rPr>
        <w:t xml:space="preserve">que le permitieran controvertir o desvirtuar la versión que los agentes de la fuerza pública mantuvieron hasta ese momento sobre los hechos. </w:t>
      </w:r>
    </w:p>
    <w:p w14:paraId="6EACED83" w14:textId="77777777" w:rsidR="003764FC" w:rsidRPr="00B41EAD" w:rsidRDefault="003764FC" w:rsidP="003764FC">
      <w:pPr>
        <w:pStyle w:val="Prrafodelista"/>
        <w:rPr>
          <w:color w:val="000000" w:themeColor="text1"/>
          <w:sz w:val="28"/>
          <w:szCs w:val="28"/>
          <w:lang w:val="es-ES"/>
        </w:rPr>
      </w:pPr>
    </w:p>
    <w:p w14:paraId="1B0D7778" w14:textId="102E11C5" w:rsidR="003764FC" w:rsidRPr="00B41EAD" w:rsidRDefault="003764F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 lo sumo, la demandante contaba solo con algunas afirmaciones, como la de la madre del occiso, qu</w:t>
      </w:r>
      <w:r w:rsidR="00E01505" w:rsidRPr="00B41EAD">
        <w:rPr>
          <w:color w:val="000000" w:themeColor="text1"/>
          <w:sz w:val="28"/>
          <w:szCs w:val="28"/>
          <w:lang w:val="es-ES"/>
        </w:rPr>
        <w:t>ien</w:t>
      </w:r>
      <w:r w:rsidRPr="00B41EAD">
        <w:rPr>
          <w:color w:val="000000" w:themeColor="text1"/>
          <w:sz w:val="28"/>
          <w:szCs w:val="28"/>
          <w:lang w:val="es-ES"/>
        </w:rPr>
        <w:t xml:space="preserve"> mencionaba la posibilidad de que se hubiera tratado de una ejecución extrajudicial. Sin embargo, </w:t>
      </w:r>
      <w:r w:rsidR="00B60F84" w:rsidRPr="00B41EAD">
        <w:rPr>
          <w:color w:val="000000" w:themeColor="text1"/>
          <w:sz w:val="28"/>
          <w:szCs w:val="28"/>
          <w:lang w:val="es-ES"/>
        </w:rPr>
        <w:t>eran</w:t>
      </w:r>
      <w:r w:rsidRPr="00B41EAD">
        <w:rPr>
          <w:color w:val="000000" w:themeColor="text1"/>
          <w:sz w:val="28"/>
          <w:szCs w:val="28"/>
          <w:lang w:val="es-ES"/>
        </w:rPr>
        <w:t xml:space="preserve"> solamente manifestaciones basadas en las sospechas generadas ante la incertidumbre a la que se suelen enfrentar las víctimas en este tipo de casos. Esto, de ninguna manera llegaba a tener la capacidad probatoria para desvirtuar, al menos </w:t>
      </w:r>
      <w:r w:rsidRPr="00B41EAD">
        <w:rPr>
          <w:i/>
          <w:iCs/>
          <w:color w:val="000000" w:themeColor="text1"/>
          <w:sz w:val="28"/>
          <w:szCs w:val="28"/>
          <w:lang w:val="es-ES"/>
        </w:rPr>
        <w:t>prima facie</w:t>
      </w:r>
      <w:r w:rsidRPr="00B41EAD">
        <w:rPr>
          <w:color w:val="000000" w:themeColor="text1"/>
          <w:sz w:val="28"/>
          <w:szCs w:val="28"/>
          <w:lang w:val="es-ES"/>
        </w:rPr>
        <w:t xml:space="preserve">, el robusto manto de legalidad que los inculpados procuraron mantener sobre la operación militar que terminó con la vida del señor Guevara Pérez. </w:t>
      </w:r>
    </w:p>
    <w:p w14:paraId="03E16009" w14:textId="77777777" w:rsidR="003764FC" w:rsidRPr="00B41EAD" w:rsidRDefault="003764FC" w:rsidP="003764FC">
      <w:pPr>
        <w:pStyle w:val="Prrafodelista"/>
        <w:rPr>
          <w:color w:val="000000" w:themeColor="text1"/>
          <w:sz w:val="28"/>
          <w:szCs w:val="28"/>
          <w:lang w:val="es-ES"/>
        </w:rPr>
      </w:pPr>
    </w:p>
    <w:p w14:paraId="60626D95" w14:textId="2632A252" w:rsidR="001554B5" w:rsidRPr="00B41EAD" w:rsidRDefault="009D34E1">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w:t>
      </w:r>
      <w:r w:rsidR="001554B5" w:rsidRPr="00B41EAD">
        <w:rPr>
          <w:color w:val="000000" w:themeColor="text1"/>
          <w:sz w:val="28"/>
          <w:szCs w:val="28"/>
          <w:lang w:val="es-ES"/>
        </w:rPr>
        <w:t>l Tribunal Administrativo del Tolima</w:t>
      </w:r>
      <w:r w:rsidRPr="00B41EAD">
        <w:rPr>
          <w:color w:val="000000" w:themeColor="text1"/>
          <w:sz w:val="28"/>
          <w:szCs w:val="28"/>
          <w:lang w:val="es-ES"/>
        </w:rPr>
        <w:t xml:space="preserve">, además, </w:t>
      </w:r>
      <w:r w:rsidR="001554B5" w:rsidRPr="00B41EAD">
        <w:rPr>
          <w:color w:val="000000" w:themeColor="text1"/>
          <w:sz w:val="28"/>
          <w:szCs w:val="28"/>
          <w:lang w:val="es-ES"/>
        </w:rPr>
        <w:t xml:space="preserve">no tuvo en cuenta </w:t>
      </w:r>
      <w:proofErr w:type="gramStart"/>
      <w:r w:rsidR="001554B5" w:rsidRPr="00B41EAD">
        <w:rPr>
          <w:color w:val="000000" w:themeColor="text1"/>
          <w:sz w:val="28"/>
          <w:szCs w:val="28"/>
          <w:lang w:val="es-ES"/>
        </w:rPr>
        <w:t>que</w:t>
      </w:r>
      <w:proofErr w:type="gramEnd"/>
      <w:r w:rsidR="001554B5" w:rsidRPr="00B41EAD">
        <w:rPr>
          <w:color w:val="000000" w:themeColor="text1"/>
          <w:sz w:val="28"/>
          <w:szCs w:val="28"/>
          <w:lang w:val="es-ES"/>
        </w:rPr>
        <w:t xml:space="preserve"> al tratarse de un asunto enmarcado en la presunta comisión de un delito de lesa humanidad por agentes estatales, se encontraba en el deber de analizar los elementos de juicio de manera flexible, en favor de las víctimas. Como ya se ha dicho reiteradamente en esta providencia, en casos como este debe primar el </w:t>
      </w:r>
      <w:r w:rsidR="001554B5" w:rsidRPr="00B41EAD">
        <w:rPr>
          <w:color w:val="000000" w:themeColor="text1"/>
          <w:sz w:val="28"/>
          <w:szCs w:val="28"/>
          <w:lang w:val="es-ES"/>
        </w:rPr>
        <w:lastRenderedPageBreak/>
        <w:t xml:space="preserve">principio </w:t>
      </w:r>
      <w:r w:rsidR="001554B5" w:rsidRPr="00B41EAD">
        <w:rPr>
          <w:i/>
          <w:iCs/>
          <w:color w:val="000000" w:themeColor="text1"/>
          <w:sz w:val="28"/>
          <w:szCs w:val="28"/>
          <w:lang w:val="es-ES"/>
        </w:rPr>
        <w:t xml:space="preserve">pro </w:t>
      </w:r>
      <w:proofErr w:type="spellStart"/>
      <w:r w:rsidR="001554B5" w:rsidRPr="00B41EAD">
        <w:rPr>
          <w:i/>
          <w:iCs/>
          <w:color w:val="000000" w:themeColor="text1"/>
          <w:sz w:val="28"/>
          <w:szCs w:val="28"/>
          <w:lang w:val="es-ES"/>
        </w:rPr>
        <w:t>damnato</w:t>
      </w:r>
      <w:proofErr w:type="spellEnd"/>
      <w:r w:rsidR="001554B5" w:rsidRPr="00B41EAD">
        <w:rPr>
          <w:color w:val="000000" w:themeColor="text1"/>
          <w:sz w:val="28"/>
          <w:szCs w:val="28"/>
          <w:lang w:val="es-ES"/>
        </w:rPr>
        <w:t xml:space="preserve">, que exige una interpretación más favorable a la protección material de los derechos fundamentales que están comprometidos. </w:t>
      </w:r>
    </w:p>
    <w:p w14:paraId="3B12E22B" w14:textId="77777777" w:rsidR="001554B5" w:rsidRPr="00B41EAD" w:rsidRDefault="001554B5" w:rsidP="001554B5">
      <w:pPr>
        <w:pStyle w:val="Prrafodelista"/>
        <w:rPr>
          <w:color w:val="000000" w:themeColor="text1"/>
          <w:sz w:val="28"/>
          <w:szCs w:val="28"/>
          <w:lang w:val="es-ES"/>
        </w:rPr>
      </w:pPr>
    </w:p>
    <w:p w14:paraId="08E2E7C0" w14:textId="526C66CA" w:rsidR="003764FC" w:rsidRPr="00B41EAD" w:rsidRDefault="001554B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este caso, no aplicar una lectura garantista de la caducidad desconocería el derecho de los familiares de la víctima a acceder a la justicia, a la verdad y a la reparación integral. Sobre </w:t>
      </w:r>
      <w:proofErr w:type="gramStart"/>
      <w:r w:rsidRPr="00B41EAD">
        <w:rPr>
          <w:color w:val="000000" w:themeColor="text1"/>
          <w:sz w:val="28"/>
          <w:szCs w:val="28"/>
          <w:lang w:val="es-ES"/>
        </w:rPr>
        <w:t>todo</w:t>
      </w:r>
      <w:proofErr w:type="gramEnd"/>
      <w:r w:rsidRPr="00B41EAD">
        <w:rPr>
          <w:color w:val="000000" w:themeColor="text1"/>
          <w:sz w:val="28"/>
          <w:szCs w:val="28"/>
          <w:lang w:val="es-ES"/>
        </w:rPr>
        <w:t xml:space="preserve"> si se tiene en cuenta que, según la posición </w:t>
      </w:r>
      <w:r w:rsidR="009D34E1" w:rsidRPr="00B41EAD">
        <w:rPr>
          <w:color w:val="000000" w:themeColor="text1"/>
          <w:sz w:val="28"/>
          <w:szCs w:val="28"/>
          <w:lang w:val="es-ES"/>
        </w:rPr>
        <w:t xml:space="preserve">irrazonable </w:t>
      </w:r>
      <w:r w:rsidRPr="00B41EAD">
        <w:rPr>
          <w:color w:val="000000" w:themeColor="text1"/>
          <w:sz w:val="28"/>
          <w:szCs w:val="28"/>
          <w:lang w:val="es-ES"/>
        </w:rPr>
        <w:t xml:space="preserve">de la autoridad judicial accionada, los demandantes debieron activar la Jurisdicción de lo Contencioso Administrativo con base en una simple especulación inicial, con </w:t>
      </w:r>
      <w:r w:rsidR="009D34E1" w:rsidRPr="00B41EAD">
        <w:rPr>
          <w:color w:val="000000" w:themeColor="text1"/>
          <w:sz w:val="28"/>
          <w:szCs w:val="28"/>
          <w:lang w:val="es-ES"/>
        </w:rPr>
        <w:t>lo que</w:t>
      </w:r>
      <w:r w:rsidRPr="00B41EAD">
        <w:rPr>
          <w:color w:val="000000" w:themeColor="text1"/>
          <w:sz w:val="28"/>
          <w:szCs w:val="28"/>
          <w:lang w:val="es-ES"/>
        </w:rPr>
        <w:t xml:space="preserve"> se les niega la oportunidad de obtener pruebas suficientes para sustentar </w:t>
      </w:r>
      <w:r w:rsidR="009D34E1" w:rsidRPr="00B41EAD">
        <w:rPr>
          <w:color w:val="000000" w:themeColor="text1"/>
          <w:sz w:val="28"/>
          <w:szCs w:val="28"/>
          <w:lang w:val="es-ES"/>
        </w:rPr>
        <w:t>adecuadamente sus pretensiones</w:t>
      </w:r>
      <w:r w:rsidRPr="00B41EAD">
        <w:rPr>
          <w:color w:val="000000" w:themeColor="text1"/>
          <w:sz w:val="28"/>
          <w:szCs w:val="28"/>
          <w:lang w:val="es-ES"/>
        </w:rPr>
        <w:t>.</w:t>
      </w:r>
    </w:p>
    <w:p w14:paraId="1CB57B18" w14:textId="77777777" w:rsidR="009D34E1" w:rsidRPr="00B41EAD" w:rsidRDefault="009D34E1" w:rsidP="00C813FD">
      <w:pPr>
        <w:pStyle w:val="Prrafodelista"/>
        <w:jc w:val="both"/>
        <w:rPr>
          <w:color w:val="000000" w:themeColor="text1"/>
          <w:sz w:val="28"/>
          <w:szCs w:val="28"/>
          <w:lang w:val="es-ES"/>
        </w:rPr>
      </w:pPr>
    </w:p>
    <w:p w14:paraId="0B7F106A" w14:textId="77777777" w:rsidR="00B60F84" w:rsidRPr="00B41EAD" w:rsidRDefault="00C813F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Como ya se indicó, en casos de ejecuciones extrajudiciales es fundamental que </w:t>
      </w:r>
      <w:r w:rsidR="00117383" w:rsidRPr="00B41EAD">
        <w:rPr>
          <w:color w:val="000000" w:themeColor="text1"/>
          <w:sz w:val="28"/>
          <w:szCs w:val="28"/>
          <w:lang w:val="es-ES"/>
        </w:rPr>
        <w:t xml:space="preserve">la actividad judicial </w:t>
      </w:r>
      <w:r w:rsidR="00B60F84" w:rsidRPr="00B41EAD">
        <w:rPr>
          <w:color w:val="000000" w:themeColor="text1"/>
          <w:sz w:val="28"/>
          <w:szCs w:val="28"/>
          <w:lang w:val="es-ES"/>
        </w:rPr>
        <w:t xml:space="preserve">acuda a </w:t>
      </w:r>
      <w:r w:rsidR="00117383" w:rsidRPr="00B41EAD">
        <w:rPr>
          <w:color w:val="000000" w:themeColor="text1"/>
          <w:sz w:val="28"/>
          <w:szCs w:val="28"/>
          <w:lang w:val="es-ES"/>
        </w:rPr>
        <w:t>un análisis</w:t>
      </w:r>
      <w:r w:rsidRPr="00B41EAD">
        <w:rPr>
          <w:color w:val="000000" w:themeColor="text1"/>
          <w:sz w:val="28"/>
          <w:szCs w:val="28"/>
          <w:lang w:val="es-ES"/>
        </w:rPr>
        <w:t xml:space="preserve"> contextual que considere las múltiples barreras a las que se enfrentan las víctimas para acceder a la justicia. Estas barreras incluyen, en muchos casos, la falta de información veraz, la intimidación y el encubrimiento de los hechos, así como un entorno de impunidad que perpetúa la desigualdad en el acceso a los mecanismos judiciales. </w:t>
      </w:r>
    </w:p>
    <w:p w14:paraId="24A5611D" w14:textId="77777777" w:rsidR="00B60F84" w:rsidRPr="00B41EAD" w:rsidRDefault="00B60F84" w:rsidP="00B60F84">
      <w:pPr>
        <w:pStyle w:val="Prrafodelista"/>
        <w:rPr>
          <w:color w:val="000000" w:themeColor="text1"/>
          <w:sz w:val="28"/>
          <w:szCs w:val="28"/>
          <w:lang w:val="es-ES"/>
        </w:rPr>
      </w:pPr>
    </w:p>
    <w:p w14:paraId="216A150C" w14:textId="2773D5D3" w:rsidR="00117383" w:rsidRPr="00B41EAD" w:rsidRDefault="00C813FD">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Exigir que las víctimas cumplan con los mismos estándares probatorios que se aplican en otros casos, sin tener en cuenta las dificultades estructurales que enfrentan,</w:t>
      </w:r>
      <w:r w:rsidR="00117383" w:rsidRPr="00B41EAD">
        <w:rPr>
          <w:color w:val="000000" w:themeColor="text1"/>
          <w:sz w:val="28"/>
          <w:szCs w:val="28"/>
          <w:lang w:val="es-ES"/>
        </w:rPr>
        <w:t xml:space="preserve"> no sólo </w:t>
      </w:r>
      <w:r w:rsidRPr="00B41EAD">
        <w:rPr>
          <w:color w:val="000000" w:themeColor="text1"/>
          <w:sz w:val="28"/>
          <w:szCs w:val="28"/>
          <w:lang w:val="es-ES"/>
        </w:rPr>
        <w:t>resulta</w:t>
      </w:r>
      <w:r w:rsidR="00117383" w:rsidRPr="00B41EAD">
        <w:rPr>
          <w:color w:val="000000" w:themeColor="text1"/>
          <w:sz w:val="28"/>
          <w:szCs w:val="28"/>
          <w:lang w:val="es-ES"/>
        </w:rPr>
        <w:t xml:space="preserve"> injusto, </w:t>
      </w:r>
      <w:r w:rsidRPr="00B41EAD">
        <w:rPr>
          <w:color w:val="000000" w:themeColor="text1"/>
          <w:sz w:val="28"/>
          <w:szCs w:val="28"/>
          <w:lang w:val="es-ES"/>
        </w:rPr>
        <w:t>sino que perpetúa la negación de sus derechos fundamentales a la verdad,</w:t>
      </w:r>
      <w:r w:rsidR="00B60F84" w:rsidRPr="00B41EAD">
        <w:rPr>
          <w:color w:val="000000" w:themeColor="text1"/>
          <w:sz w:val="28"/>
          <w:szCs w:val="28"/>
          <w:lang w:val="es-ES"/>
        </w:rPr>
        <w:t xml:space="preserve"> a</w:t>
      </w:r>
      <w:r w:rsidRPr="00B41EAD">
        <w:rPr>
          <w:color w:val="000000" w:themeColor="text1"/>
          <w:sz w:val="28"/>
          <w:szCs w:val="28"/>
          <w:lang w:val="es-ES"/>
        </w:rPr>
        <w:t xml:space="preserve"> la justicia y </w:t>
      </w:r>
      <w:r w:rsidR="00B60F84" w:rsidRPr="00B41EAD">
        <w:rPr>
          <w:color w:val="000000" w:themeColor="text1"/>
          <w:sz w:val="28"/>
          <w:szCs w:val="28"/>
          <w:lang w:val="es-ES"/>
        </w:rPr>
        <w:t xml:space="preserve">a </w:t>
      </w:r>
      <w:r w:rsidRPr="00B41EAD">
        <w:rPr>
          <w:color w:val="000000" w:themeColor="text1"/>
          <w:sz w:val="28"/>
          <w:szCs w:val="28"/>
          <w:lang w:val="es-ES"/>
        </w:rPr>
        <w:t>la reparación</w:t>
      </w:r>
      <w:r w:rsidR="00117383" w:rsidRPr="00B41EAD">
        <w:rPr>
          <w:color w:val="000000" w:themeColor="text1"/>
          <w:sz w:val="28"/>
          <w:szCs w:val="28"/>
          <w:lang w:val="es-ES"/>
        </w:rPr>
        <w:t xml:space="preserve"> integral</w:t>
      </w:r>
      <w:r w:rsidRPr="00B41EAD">
        <w:rPr>
          <w:color w:val="000000" w:themeColor="text1"/>
          <w:sz w:val="28"/>
          <w:szCs w:val="28"/>
          <w:lang w:val="es-ES"/>
        </w:rPr>
        <w:t>. En este sentido, las reglas procesales deben interpretarse de manera flexible y comprensiva, permitiendo que las víctimas ejerzan plenamente sus derechos, incluso cuando no cuenten con los elementos probatorios que comúnmente se exigirían</w:t>
      </w:r>
      <w:r w:rsidR="00117383" w:rsidRPr="00B41EAD">
        <w:rPr>
          <w:color w:val="000000" w:themeColor="text1"/>
          <w:sz w:val="28"/>
          <w:szCs w:val="28"/>
          <w:lang w:val="es-ES"/>
        </w:rPr>
        <w:t>.</w:t>
      </w:r>
    </w:p>
    <w:p w14:paraId="7DB64459" w14:textId="77777777" w:rsidR="00117383" w:rsidRPr="00B41EAD" w:rsidRDefault="00117383" w:rsidP="00117383">
      <w:pPr>
        <w:pStyle w:val="Prrafodelista"/>
        <w:rPr>
          <w:color w:val="000000" w:themeColor="text1"/>
          <w:sz w:val="28"/>
          <w:szCs w:val="28"/>
          <w:lang w:val="es-ES"/>
        </w:rPr>
      </w:pPr>
    </w:p>
    <w:p w14:paraId="0B7038DC" w14:textId="21DEB9CD" w:rsidR="00041801" w:rsidRPr="00B41EAD" w:rsidRDefault="0011738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Así, tanto la jurisprudencia de la Corte Constitucional como la del Consejo de Estado, </w:t>
      </w:r>
      <w:r w:rsidR="00C813FD" w:rsidRPr="00B41EAD">
        <w:rPr>
          <w:color w:val="000000" w:themeColor="text1"/>
          <w:sz w:val="28"/>
          <w:szCs w:val="28"/>
          <w:lang w:val="es-ES"/>
        </w:rPr>
        <w:t>ha</w:t>
      </w:r>
      <w:r w:rsidRPr="00B41EAD">
        <w:rPr>
          <w:color w:val="000000" w:themeColor="text1"/>
          <w:sz w:val="28"/>
          <w:szCs w:val="28"/>
          <w:lang w:val="es-ES"/>
        </w:rPr>
        <w:t>n</w:t>
      </w:r>
      <w:r w:rsidR="00C813FD" w:rsidRPr="00B41EAD">
        <w:rPr>
          <w:color w:val="000000" w:themeColor="text1"/>
          <w:sz w:val="28"/>
          <w:szCs w:val="28"/>
          <w:lang w:val="es-ES"/>
        </w:rPr>
        <w:t xml:space="preserve"> reconocido que las ejecuciones extrajudiciales, al ser crímenes de lesa humanidad, requieren un enfoque diferenciado en el análisis judicial.</w:t>
      </w:r>
      <w:r w:rsidRPr="00B41EAD">
        <w:rPr>
          <w:color w:val="000000" w:themeColor="text1"/>
          <w:sz w:val="28"/>
          <w:szCs w:val="28"/>
          <w:lang w:val="es-ES"/>
        </w:rPr>
        <w:t xml:space="preserve"> </w:t>
      </w:r>
      <w:r w:rsidR="00C813FD" w:rsidRPr="00B41EAD">
        <w:rPr>
          <w:color w:val="000000" w:themeColor="text1"/>
          <w:sz w:val="28"/>
          <w:szCs w:val="28"/>
          <w:lang w:val="es-ES"/>
        </w:rPr>
        <w:t>Este contexto exige que las autoridades judiciales adopten un enfoque garantista, que priorice los derechos de las víctimas y reconozca las dinámicas de poder que operan en estos casos. Solo mediante un</w:t>
      </w:r>
      <w:r w:rsidRPr="00B41EAD">
        <w:rPr>
          <w:color w:val="000000" w:themeColor="text1"/>
          <w:sz w:val="28"/>
          <w:szCs w:val="28"/>
          <w:lang w:val="es-ES"/>
        </w:rPr>
        <w:t xml:space="preserve">a valoración </w:t>
      </w:r>
      <w:r w:rsidR="00C813FD" w:rsidRPr="00B41EAD">
        <w:rPr>
          <w:color w:val="000000" w:themeColor="text1"/>
          <w:sz w:val="28"/>
          <w:szCs w:val="28"/>
          <w:lang w:val="es-ES"/>
        </w:rPr>
        <w:t xml:space="preserve">que atienda a las complejidades de estos hechos es posible </w:t>
      </w:r>
      <w:r w:rsidRPr="00B41EAD">
        <w:rPr>
          <w:color w:val="000000" w:themeColor="text1"/>
          <w:sz w:val="28"/>
          <w:szCs w:val="28"/>
          <w:lang w:val="es-ES"/>
        </w:rPr>
        <w:t xml:space="preserve">materializar </w:t>
      </w:r>
      <w:r w:rsidR="00C813FD" w:rsidRPr="00B41EAD">
        <w:rPr>
          <w:color w:val="000000" w:themeColor="text1"/>
          <w:sz w:val="28"/>
          <w:szCs w:val="28"/>
          <w:lang w:val="es-ES"/>
        </w:rPr>
        <w:t xml:space="preserve">un acceso real y efectivo a la justicia, evitando </w:t>
      </w:r>
      <w:r w:rsidRPr="00B41EAD">
        <w:rPr>
          <w:color w:val="000000" w:themeColor="text1"/>
          <w:sz w:val="28"/>
          <w:szCs w:val="28"/>
          <w:lang w:val="es-ES"/>
        </w:rPr>
        <w:t>incluso escenario</w:t>
      </w:r>
      <w:r w:rsidR="00B60F84" w:rsidRPr="00B41EAD">
        <w:rPr>
          <w:color w:val="000000" w:themeColor="text1"/>
          <w:sz w:val="28"/>
          <w:szCs w:val="28"/>
          <w:lang w:val="es-ES"/>
        </w:rPr>
        <w:t>s</w:t>
      </w:r>
      <w:r w:rsidRPr="00B41EAD">
        <w:rPr>
          <w:color w:val="000000" w:themeColor="text1"/>
          <w:sz w:val="28"/>
          <w:szCs w:val="28"/>
          <w:lang w:val="es-ES"/>
        </w:rPr>
        <w:t xml:space="preserve"> indeseables de revictimización por parte del propio aparato jurisdiccional</w:t>
      </w:r>
      <w:r w:rsidR="00C813FD" w:rsidRPr="00B41EAD">
        <w:rPr>
          <w:color w:val="000000" w:themeColor="text1"/>
          <w:sz w:val="28"/>
          <w:szCs w:val="28"/>
          <w:lang w:val="es-ES"/>
        </w:rPr>
        <w:t>.</w:t>
      </w:r>
    </w:p>
    <w:p w14:paraId="59B0AE5B" w14:textId="77777777" w:rsidR="00117383" w:rsidRPr="00B41EAD" w:rsidRDefault="00117383" w:rsidP="00117383">
      <w:pPr>
        <w:pStyle w:val="Prrafodelista"/>
        <w:rPr>
          <w:color w:val="000000" w:themeColor="text1"/>
          <w:sz w:val="28"/>
          <w:szCs w:val="28"/>
          <w:lang w:val="es-ES"/>
        </w:rPr>
      </w:pPr>
    </w:p>
    <w:p w14:paraId="4D94E765" w14:textId="77777777" w:rsidR="00B60F84" w:rsidRPr="00B41EAD" w:rsidRDefault="00117383">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Con base en todo lo </w:t>
      </w:r>
      <w:r w:rsidR="00751EE9" w:rsidRPr="00B41EAD">
        <w:rPr>
          <w:color w:val="000000" w:themeColor="text1"/>
          <w:sz w:val="28"/>
          <w:szCs w:val="28"/>
          <w:lang w:val="es-ES"/>
        </w:rPr>
        <w:t xml:space="preserve">expuesto, </w:t>
      </w:r>
      <w:r w:rsidR="00E01505" w:rsidRPr="00B41EAD">
        <w:rPr>
          <w:color w:val="000000" w:themeColor="text1"/>
          <w:sz w:val="28"/>
          <w:szCs w:val="28"/>
          <w:lang w:val="es-ES"/>
        </w:rPr>
        <w:t>se</w:t>
      </w:r>
      <w:r w:rsidR="00751EE9" w:rsidRPr="00B41EAD">
        <w:rPr>
          <w:color w:val="000000" w:themeColor="text1"/>
          <w:sz w:val="28"/>
          <w:szCs w:val="28"/>
          <w:lang w:val="es-ES"/>
        </w:rPr>
        <w:t xml:space="preserve"> concluye que el Tribunal Administrativo del Tolima incurrió en un defecto fáctico al valorar de manera errónea las pruebas aportadas, en particular al otorgarle un alcance probatorio excesivo a la afirmación realizada por Diana Marcela Cortés Herrera en su entrevista de marzo de 2010, en la que mencionaba que la muerte de su compañero podría haber sido un "falso positivo". El </w:t>
      </w:r>
      <w:r w:rsidR="00B60F84" w:rsidRPr="00B41EAD">
        <w:rPr>
          <w:color w:val="000000" w:themeColor="text1"/>
          <w:sz w:val="28"/>
          <w:szCs w:val="28"/>
          <w:lang w:val="es-ES"/>
        </w:rPr>
        <w:t>T</w:t>
      </w:r>
      <w:r w:rsidR="00751EE9" w:rsidRPr="00B41EAD">
        <w:rPr>
          <w:color w:val="000000" w:themeColor="text1"/>
          <w:sz w:val="28"/>
          <w:szCs w:val="28"/>
          <w:lang w:val="es-ES"/>
        </w:rPr>
        <w:t xml:space="preserve">ribunal </w:t>
      </w:r>
      <w:r w:rsidR="00B60F84" w:rsidRPr="00B41EAD">
        <w:rPr>
          <w:color w:val="000000" w:themeColor="text1"/>
          <w:sz w:val="28"/>
          <w:szCs w:val="28"/>
          <w:lang w:val="es-ES"/>
        </w:rPr>
        <w:t xml:space="preserve">accionado </w:t>
      </w:r>
      <w:r w:rsidR="00751EE9" w:rsidRPr="00B41EAD">
        <w:rPr>
          <w:color w:val="000000" w:themeColor="text1"/>
          <w:sz w:val="28"/>
          <w:szCs w:val="28"/>
          <w:lang w:val="es-ES"/>
        </w:rPr>
        <w:t>no consideró que dicha manifestación era especulativa y no constituía un elemento que le permitiera</w:t>
      </w:r>
      <w:r w:rsidR="00B60F84" w:rsidRPr="00B41EAD">
        <w:rPr>
          <w:color w:val="000000" w:themeColor="text1"/>
          <w:sz w:val="28"/>
          <w:szCs w:val="28"/>
          <w:lang w:val="es-ES"/>
        </w:rPr>
        <w:t xml:space="preserve"> a los demandantes proponer</w:t>
      </w:r>
      <w:r w:rsidR="00751EE9" w:rsidRPr="00B41EAD">
        <w:rPr>
          <w:color w:val="000000" w:themeColor="text1"/>
          <w:sz w:val="28"/>
          <w:szCs w:val="28"/>
          <w:lang w:val="es-ES"/>
        </w:rPr>
        <w:t xml:space="preserve"> </w:t>
      </w:r>
      <w:r w:rsidR="00B60F84" w:rsidRPr="00B41EAD">
        <w:rPr>
          <w:color w:val="000000" w:themeColor="text1"/>
          <w:sz w:val="28"/>
          <w:szCs w:val="28"/>
          <w:lang w:val="es-ES"/>
        </w:rPr>
        <w:t xml:space="preserve">la </w:t>
      </w:r>
      <w:r w:rsidR="00751EE9" w:rsidRPr="00B41EAD">
        <w:rPr>
          <w:color w:val="000000" w:themeColor="text1"/>
          <w:sz w:val="28"/>
          <w:szCs w:val="28"/>
          <w:lang w:val="es-ES"/>
        </w:rPr>
        <w:t xml:space="preserve">imputación del presunto daño antijurídico al Estado, ante la Jurisdicción de lo Contencioso Administrativo. </w:t>
      </w:r>
    </w:p>
    <w:p w14:paraId="647DE727" w14:textId="77777777" w:rsidR="00B60F84" w:rsidRPr="00B41EAD" w:rsidRDefault="00B60F84" w:rsidP="00B60F84">
      <w:pPr>
        <w:pStyle w:val="Prrafodelista"/>
        <w:rPr>
          <w:color w:val="000000" w:themeColor="text1"/>
          <w:sz w:val="28"/>
          <w:szCs w:val="28"/>
          <w:lang w:val="es-ES"/>
        </w:rPr>
      </w:pPr>
    </w:p>
    <w:p w14:paraId="75256D23" w14:textId="77777777" w:rsidR="0026033C" w:rsidRPr="00B41EAD" w:rsidRDefault="00751EE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lastRenderedPageBreak/>
        <w:t xml:space="preserve">Adicionalmente, la autoridad judicial omitió valorar integralmente el material probatorio disponible, ignorando elementos esenciales del proceso penal, como el hecho de que solo en 2018 se imputaron formalmente cargos contra miembros del Ejército Nacional por el homicidio en persona protegida de Jorge Armando Guevara Pérez. </w:t>
      </w:r>
    </w:p>
    <w:p w14:paraId="37D8BD3E" w14:textId="77777777" w:rsidR="0026033C" w:rsidRPr="00B41EAD" w:rsidRDefault="0026033C" w:rsidP="0026033C">
      <w:pPr>
        <w:pStyle w:val="Prrafodelista"/>
        <w:rPr>
          <w:color w:val="000000" w:themeColor="text1"/>
          <w:sz w:val="28"/>
          <w:szCs w:val="28"/>
          <w:lang w:val="es-ES"/>
        </w:rPr>
      </w:pPr>
    </w:p>
    <w:p w14:paraId="12194D67" w14:textId="15B5CA9D" w:rsidR="00D57D45" w:rsidRPr="00B41EAD" w:rsidRDefault="00751EE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consecuencia,</w:t>
      </w:r>
      <w:r w:rsidR="0026033C" w:rsidRPr="00B41EAD">
        <w:rPr>
          <w:color w:val="000000" w:themeColor="text1"/>
          <w:sz w:val="28"/>
          <w:szCs w:val="28"/>
          <w:lang w:val="es-ES"/>
        </w:rPr>
        <w:t xml:space="preserve"> es claro que</w:t>
      </w:r>
      <w:r w:rsidRPr="00B41EAD">
        <w:rPr>
          <w:color w:val="000000" w:themeColor="text1"/>
          <w:sz w:val="28"/>
          <w:szCs w:val="28"/>
          <w:lang w:val="es-ES"/>
        </w:rPr>
        <w:t xml:space="preserve"> la decisión de iniciar el cómputo de la caducidad desde 2010, con base en una prueba insuficiente, </w:t>
      </w:r>
      <w:r w:rsidR="0026033C" w:rsidRPr="00B41EAD">
        <w:rPr>
          <w:color w:val="000000" w:themeColor="text1"/>
          <w:sz w:val="28"/>
          <w:szCs w:val="28"/>
          <w:lang w:val="es-ES"/>
        </w:rPr>
        <w:t xml:space="preserve">constituyó un defecto fáctico por vía del cual el Tribunal Administrativo del Tolima </w:t>
      </w:r>
      <w:r w:rsidRPr="00B41EAD">
        <w:rPr>
          <w:color w:val="000000" w:themeColor="text1"/>
          <w:sz w:val="28"/>
          <w:szCs w:val="28"/>
          <w:lang w:val="es-ES"/>
        </w:rPr>
        <w:t xml:space="preserve">vulneró el derecho de las víctimas a una correcta administración de justicia, al debido proceso y a las garantías de verdad, reparación integral y no repetición. </w:t>
      </w:r>
    </w:p>
    <w:p w14:paraId="10D3F907" w14:textId="54D6DDF5" w:rsidR="007455A6" w:rsidRPr="00B41EAD" w:rsidRDefault="007455A6" w:rsidP="0026033C">
      <w:pPr>
        <w:rPr>
          <w:color w:val="000000" w:themeColor="text1"/>
          <w:sz w:val="28"/>
          <w:szCs w:val="28"/>
          <w:lang w:val="es-ES"/>
        </w:rPr>
      </w:pPr>
    </w:p>
    <w:p w14:paraId="520DEFF2" w14:textId="33F28AEE" w:rsidR="007455A6" w:rsidRPr="00B41EAD" w:rsidRDefault="007455A6" w:rsidP="007455A6">
      <w:pPr>
        <w:jc w:val="both"/>
        <w:rPr>
          <w:color w:val="000000" w:themeColor="text1"/>
          <w:sz w:val="28"/>
          <w:szCs w:val="28"/>
          <w:lang w:val="es-ES"/>
        </w:rPr>
      </w:pPr>
      <w:r w:rsidRPr="00B41EAD">
        <w:rPr>
          <w:b/>
          <w:bCs/>
          <w:color w:val="000000" w:themeColor="text1"/>
          <w:sz w:val="28"/>
          <w:szCs w:val="28"/>
          <w:lang w:val="es-ES"/>
        </w:rPr>
        <w:t>6.3. Expediente T-10.007.411 (segundo problema jurídico): en Tribunal Administrativo del Tolima no incurrió en defecto por desconocimiento del precedente judicial, en los términos alegados por los accionantes</w:t>
      </w:r>
    </w:p>
    <w:p w14:paraId="3B242C90" w14:textId="77777777" w:rsidR="007455A6" w:rsidRPr="00B41EAD" w:rsidRDefault="007455A6" w:rsidP="007455A6">
      <w:pPr>
        <w:pStyle w:val="Prrafodelista"/>
        <w:rPr>
          <w:color w:val="000000" w:themeColor="text1"/>
          <w:sz w:val="28"/>
          <w:szCs w:val="28"/>
          <w:lang w:val="es-ES"/>
        </w:rPr>
      </w:pPr>
    </w:p>
    <w:p w14:paraId="676217BB" w14:textId="0BD20639" w:rsidR="005849E9" w:rsidRPr="00B41EAD" w:rsidRDefault="005849E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Para los </w:t>
      </w:r>
      <w:r w:rsidR="00380ADA" w:rsidRPr="00B41EAD">
        <w:rPr>
          <w:color w:val="000000" w:themeColor="text1"/>
          <w:sz w:val="28"/>
          <w:szCs w:val="28"/>
          <w:lang w:val="es-ES"/>
        </w:rPr>
        <w:t>actores</w:t>
      </w:r>
      <w:r w:rsidRPr="00B41EAD">
        <w:rPr>
          <w:color w:val="000000" w:themeColor="text1"/>
          <w:sz w:val="28"/>
          <w:szCs w:val="28"/>
          <w:lang w:val="es-ES"/>
        </w:rPr>
        <w:t xml:space="preserve">, la autoridad judicial </w:t>
      </w:r>
      <w:r w:rsidR="00452CE6" w:rsidRPr="00B41EAD">
        <w:rPr>
          <w:color w:val="000000" w:themeColor="text1"/>
          <w:sz w:val="28"/>
          <w:szCs w:val="28"/>
          <w:lang w:val="es-ES"/>
        </w:rPr>
        <w:t>accionada</w:t>
      </w:r>
      <w:r w:rsidRPr="00B41EAD">
        <w:rPr>
          <w:color w:val="000000" w:themeColor="text1"/>
          <w:sz w:val="28"/>
          <w:szCs w:val="28"/>
          <w:lang w:val="es-ES"/>
        </w:rPr>
        <w:t xml:space="preserve"> incurrió, además, en defecto por desconocimiento del precedente judicial contenido (i) en la sentencia del 30 de agosto de 2021, emitida por la Subsección B de la Sección </w:t>
      </w:r>
      <w:r w:rsidR="00A85149" w:rsidRPr="00B41EAD">
        <w:rPr>
          <w:color w:val="000000" w:themeColor="text1"/>
          <w:sz w:val="28"/>
          <w:szCs w:val="28"/>
          <w:lang w:val="es-ES"/>
        </w:rPr>
        <w:t>T</w:t>
      </w:r>
      <w:r w:rsidRPr="00B41EAD">
        <w:rPr>
          <w:color w:val="000000" w:themeColor="text1"/>
          <w:sz w:val="28"/>
          <w:szCs w:val="28"/>
          <w:lang w:val="es-ES"/>
        </w:rPr>
        <w:t>ercera del Consejo de Estado</w:t>
      </w:r>
      <w:r w:rsidR="00684CD2" w:rsidRPr="00B41EAD">
        <w:rPr>
          <w:color w:val="000000" w:themeColor="text1"/>
          <w:sz w:val="28"/>
          <w:szCs w:val="28"/>
          <w:lang w:val="es-ES"/>
        </w:rPr>
        <w:t xml:space="preserve"> y que habría descartado la aplicación de la regla de caducidad en los casos enmarcados en presuntos delitos de lesa humanidad</w:t>
      </w:r>
      <w:r w:rsidRPr="00B41EAD">
        <w:rPr>
          <w:color w:val="000000" w:themeColor="text1"/>
          <w:sz w:val="28"/>
          <w:szCs w:val="28"/>
          <w:lang w:val="es-ES"/>
        </w:rPr>
        <w:t>; y (</w:t>
      </w:r>
      <w:proofErr w:type="spellStart"/>
      <w:r w:rsidRPr="00B41EAD">
        <w:rPr>
          <w:color w:val="000000" w:themeColor="text1"/>
          <w:sz w:val="28"/>
          <w:szCs w:val="28"/>
          <w:lang w:val="es-ES"/>
        </w:rPr>
        <w:t>ii</w:t>
      </w:r>
      <w:proofErr w:type="spellEnd"/>
      <w:r w:rsidRPr="00B41EAD">
        <w:rPr>
          <w:color w:val="000000" w:themeColor="text1"/>
          <w:sz w:val="28"/>
          <w:szCs w:val="28"/>
          <w:lang w:val="es-ES"/>
        </w:rPr>
        <w:t>) en la Sentencia SU-</w:t>
      </w:r>
      <w:r w:rsidR="00452CE6" w:rsidRPr="00B41EAD">
        <w:rPr>
          <w:color w:val="000000" w:themeColor="text1"/>
          <w:sz w:val="28"/>
          <w:szCs w:val="28"/>
          <w:lang w:val="es-ES"/>
        </w:rPr>
        <w:t>0</w:t>
      </w:r>
      <w:r w:rsidRPr="00B41EAD">
        <w:rPr>
          <w:color w:val="000000" w:themeColor="text1"/>
          <w:sz w:val="28"/>
          <w:szCs w:val="28"/>
          <w:lang w:val="es-ES"/>
        </w:rPr>
        <w:t>60 de 2021</w:t>
      </w:r>
      <w:r w:rsidR="00BE272A" w:rsidRPr="00B41EAD">
        <w:rPr>
          <w:rStyle w:val="Refdenotaalpie"/>
          <w:color w:val="000000" w:themeColor="text1"/>
          <w:sz w:val="28"/>
          <w:szCs w:val="28"/>
          <w:lang w:val="es-ES"/>
        </w:rPr>
        <w:footnoteReference w:id="96"/>
      </w:r>
      <w:r w:rsidRPr="00B41EAD">
        <w:rPr>
          <w:color w:val="000000" w:themeColor="text1"/>
          <w:sz w:val="28"/>
          <w:szCs w:val="28"/>
          <w:lang w:val="es-ES"/>
        </w:rPr>
        <w:t>, proferida por la Corte Constitucional</w:t>
      </w:r>
      <w:r w:rsidR="00684CD2" w:rsidRPr="00B41EAD">
        <w:rPr>
          <w:color w:val="000000" w:themeColor="text1"/>
          <w:sz w:val="28"/>
          <w:szCs w:val="28"/>
          <w:lang w:val="es-ES"/>
        </w:rPr>
        <w:t>, sobre valoración flexible de los elementos de prueba en tratándose de graves violaciones de derechos humanos</w:t>
      </w:r>
      <w:r w:rsidRPr="00B41EAD">
        <w:rPr>
          <w:color w:val="000000" w:themeColor="text1"/>
          <w:sz w:val="28"/>
          <w:szCs w:val="28"/>
          <w:lang w:val="es-ES"/>
        </w:rPr>
        <w:t xml:space="preserve">. </w:t>
      </w:r>
    </w:p>
    <w:p w14:paraId="4C55B5FF" w14:textId="77777777" w:rsidR="005849E9" w:rsidRPr="00B41EAD" w:rsidRDefault="005849E9" w:rsidP="005849E9">
      <w:pPr>
        <w:pStyle w:val="Prrafodelista"/>
        <w:ind w:left="0"/>
        <w:jc w:val="both"/>
        <w:rPr>
          <w:color w:val="000000" w:themeColor="text1"/>
          <w:sz w:val="28"/>
          <w:szCs w:val="28"/>
          <w:lang w:val="es-ES"/>
        </w:rPr>
      </w:pPr>
    </w:p>
    <w:p w14:paraId="2404EFA1" w14:textId="6125BE81" w:rsidR="00751EE9" w:rsidRPr="00B41EAD" w:rsidRDefault="00BE272A">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La Sala Plena de la Corte Constitucional descarta la configuración de este defecto</w:t>
      </w:r>
      <w:r w:rsidR="00684CD2" w:rsidRPr="00B41EAD">
        <w:rPr>
          <w:color w:val="000000" w:themeColor="text1"/>
          <w:sz w:val="28"/>
          <w:szCs w:val="28"/>
          <w:lang w:val="es-ES"/>
        </w:rPr>
        <w:t xml:space="preserve"> en este caso</w:t>
      </w:r>
      <w:r w:rsidRPr="00B41EAD">
        <w:rPr>
          <w:color w:val="000000" w:themeColor="text1"/>
          <w:sz w:val="28"/>
          <w:szCs w:val="28"/>
          <w:lang w:val="es-ES"/>
        </w:rPr>
        <w:t xml:space="preserve">. Revisada en detalle la providencia accionada se encuentra que, al menos formalmente, el Tribunal Administrativo del Tolima acudió a la jurisprudencia vigente al momento de la toma de la decisión, que constituía </w:t>
      </w:r>
      <w:r w:rsidR="00684CD2" w:rsidRPr="00B41EAD">
        <w:rPr>
          <w:color w:val="000000" w:themeColor="text1"/>
          <w:sz w:val="28"/>
          <w:szCs w:val="28"/>
          <w:lang w:val="es-ES"/>
        </w:rPr>
        <w:t xml:space="preserve">el </w:t>
      </w:r>
      <w:r w:rsidRPr="00B41EAD">
        <w:rPr>
          <w:color w:val="000000" w:themeColor="text1"/>
          <w:sz w:val="28"/>
          <w:szCs w:val="28"/>
          <w:lang w:val="es-ES"/>
        </w:rPr>
        <w:t xml:space="preserve">precedente estrictamente vinculante en el caso particular, a efectos de valorar la configuración de la caducidad del medio de control de reparación directa. </w:t>
      </w:r>
    </w:p>
    <w:p w14:paraId="4E768232" w14:textId="77777777" w:rsidR="00BE272A" w:rsidRPr="00B41EAD" w:rsidRDefault="00BE272A" w:rsidP="00BE272A">
      <w:pPr>
        <w:pStyle w:val="Prrafodelista"/>
        <w:rPr>
          <w:color w:val="000000" w:themeColor="text1"/>
          <w:sz w:val="28"/>
          <w:szCs w:val="28"/>
          <w:lang w:val="es-ES"/>
        </w:rPr>
      </w:pPr>
    </w:p>
    <w:p w14:paraId="5198F653" w14:textId="0489CBFE" w:rsidR="005E2CD8" w:rsidRPr="00B41EAD" w:rsidRDefault="00BE272A">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En concreto, la autoridad judicial accionada se basó expresamente en las subreglas jurisprudenciales unificadas en la sentencia del 29 de enero de 2020</w:t>
      </w:r>
      <w:r w:rsidRPr="00B41EAD">
        <w:rPr>
          <w:rStyle w:val="Refdenotaalpie"/>
          <w:color w:val="000000" w:themeColor="text1"/>
          <w:sz w:val="28"/>
          <w:szCs w:val="28"/>
          <w:lang w:val="es-ES"/>
        </w:rPr>
        <w:footnoteReference w:id="97"/>
      </w:r>
      <w:r w:rsidRPr="00B41EAD">
        <w:rPr>
          <w:color w:val="000000" w:themeColor="text1"/>
          <w:sz w:val="28"/>
          <w:szCs w:val="28"/>
          <w:lang w:val="es-ES"/>
        </w:rPr>
        <w:t xml:space="preserve">, para adelantar el examen de caducidad del medio de control. </w:t>
      </w:r>
      <w:r w:rsidR="005E2CD8" w:rsidRPr="00B41EAD">
        <w:rPr>
          <w:color w:val="000000" w:themeColor="text1"/>
          <w:sz w:val="28"/>
          <w:szCs w:val="28"/>
          <w:lang w:val="es-ES"/>
        </w:rPr>
        <w:t>En consecuencia, a</w:t>
      </w:r>
      <w:r w:rsidRPr="00B41EAD">
        <w:rPr>
          <w:color w:val="000000" w:themeColor="text1"/>
          <w:sz w:val="28"/>
          <w:szCs w:val="28"/>
          <w:lang w:val="es-ES"/>
        </w:rPr>
        <w:t xml:space="preserve">l margen de la errada valoración probatoria en la que </w:t>
      </w:r>
      <w:r w:rsidR="005E2CD8" w:rsidRPr="00B41EAD">
        <w:rPr>
          <w:color w:val="000000" w:themeColor="text1"/>
          <w:sz w:val="28"/>
          <w:szCs w:val="28"/>
          <w:lang w:val="es-ES"/>
        </w:rPr>
        <w:t xml:space="preserve">se </w:t>
      </w:r>
      <w:r w:rsidRPr="00B41EAD">
        <w:rPr>
          <w:color w:val="000000" w:themeColor="text1"/>
          <w:sz w:val="28"/>
          <w:szCs w:val="28"/>
          <w:lang w:val="es-ES"/>
        </w:rPr>
        <w:t>incurrió al aplicar tales postulados jurisprudenciales</w:t>
      </w:r>
      <w:r w:rsidR="005E2CD8" w:rsidRPr="00B41EAD">
        <w:rPr>
          <w:color w:val="000000" w:themeColor="text1"/>
          <w:sz w:val="28"/>
          <w:szCs w:val="28"/>
          <w:lang w:val="es-ES"/>
        </w:rPr>
        <w:t xml:space="preserve"> en el caso concreto, lo cierto es que en la providencia accionada se acudió expresamente al precedente judicial que debía ser atendido en ese asunto. </w:t>
      </w:r>
    </w:p>
    <w:p w14:paraId="742EBB78" w14:textId="77777777" w:rsidR="005E2CD8" w:rsidRPr="00B41EAD" w:rsidRDefault="005E2CD8" w:rsidP="005E2CD8">
      <w:pPr>
        <w:pStyle w:val="Prrafodelista"/>
        <w:rPr>
          <w:color w:val="000000" w:themeColor="text1"/>
          <w:sz w:val="28"/>
          <w:szCs w:val="28"/>
          <w:lang w:val="es-ES"/>
        </w:rPr>
      </w:pPr>
    </w:p>
    <w:p w14:paraId="3361F1CB" w14:textId="47450A86" w:rsidR="00684CD2" w:rsidRPr="00B41EAD" w:rsidRDefault="005E2CD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Justamente, en la reciente </w:t>
      </w:r>
      <w:r w:rsidR="00085D8E" w:rsidRPr="00B41EAD">
        <w:rPr>
          <w:color w:val="000000" w:themeColor="text1"/>
          <w:sz w:val="28"/>
          <w:szCs w:val="28"/>
          <w:lang w:val="es-ES"/>
        </w:rPr>
        <w:t>S</w:t>
      </w:r>
      <w:r w:rsidRPr="00B41EAD">
        <w:rPr>
          <w:color w:val="000000" w:themeColor="text1"/>
          <w:sz w:val="28"/>
          <w:szCs w:val="28"/>
          <w:lang w:val="es-ES"/>
        </w:rPr>
        <w:t>entencia SU-167 de 2023</w:t>
      </w:r>
      <w:r w:rsidRPr="00B41EAD">
        <w:rPr>
          <w:rStyle w:val="Refdenotaalpie"/>
          <w:color w:val="000000" w:themeColor="text1"/>
          <w:sz w:val="28"/>
          <w:szCs w:val="28"/>
          <w:lang w:val="es-ES"/>
        </w:rPr>
        <w:footnoteReference w:id="98"/>
      </w:r>
      <w:r w:rsidRPr="00B41EAD">
        <w:rPr>
          <w:color w:val="000000" w:themeColor="text1"/>
          <w:sz w:val="28"/>
          <w:szCs w:val="28"/>
          <w:lang w:val="es-ES"/>
        </w:rPr>
        <w:t xml:space="preserve">, la Sala Plena de la Corte Constitucional tuvo la oportunidad de precisar que la unificación de jurisprudencia contenida en la </w:t>
      </w:r>
      <w:r w:rsidR="00DB093E" w:rsidRPr="00B41EAD">
        <w:rPr>
          <w:color w:val="000000" w:themeColor="text1"/>
          <w:sz w:val="28"/>
          <w:szCs w:val="28"/>
          <w:lang w:val="es-ES"/>
        </w:rPr>
        <w:t>S</w:t>
      </w:r>
      <w:r w:rsidRPr="00B41EAD">
        <w:rPr>
          <w:color w:val="000000" w:themeColor="text1"/>
          <w:sz w:val="28"/>
          <w:szCs w:val="28"/>
          <w:lang w:val="es-ES"/>
        </w:rPr>
        <w:t>entencia del 29 de enero de 2020</w:t>
      </w:r>
      <w:r w:rsidRPr="00B41EAD">
        <w:rPr>
          <w:rStyle w:val="Refdenotaalpie"/>
          <w:color w:val="000000" w:themeColor="text1"/>
          <w:sz w:val="28"/>
          <w:szCs w:val="28"/>
          <w:lang w:val="es-ES"/>
        </w:rPr>
        <w:footnoteReference w:id="99"/>
      </w:r>
      <w:r w:rsidRPr="00B41EAD">
        <w:rPr>
          <w:color w:val="000000" w:themeColor="text1"/>
          <w:sz w:val="28"/>
          <w:szCs w:val="28"/>
          <w:lang w:val="es-ES"/>
        </w:rPr>
        <w:t xml:space="preserve"> tiene efectos </w:t>
      </w:r>
      <w:r w:rsidRPr="00B41EAD">
        <w:rPr>
          <w:color w:val="000000" w:themeColor="text1"/>
          <w:sz w:val="28"/>
          <w:szCs w:val="28"/>
          <w:lang w:val="es-ES"/>
        </w:rPr>
        <w:lastRenderedPageBreak/>
        <w:t xml:space="preserve">generales e inmediatos, por lo que la misma debe ser atendida siempre que las subreglas allí desarrolladas mantengan vigencia al momento en el que el juez de lo contencioso administrativo deba emitir la decisión judicial correspondiente. </w:t>
      </w:r>
    </w:p>
    <w:p w14:paraId="4F85B6F0" w14:textId="77777777" w:rsidR="00684CD2" w:rsidRPr="00B41EAD" w:rsidRDefault="00684CD2" w:rsidP="00684CD2">
      <w:pPr>
        <w:pStyle w:val="Prrafodelista"/>
        <w:rPr>
          <w:color w:val="000000" w:themeColor="text1"/>
          <w:sz w:val="28"/>
          <w:szCs w:val="28"/>
          <w:lang w:val="es-ES"/>
        </w:rPr>
      </w:pPr>
    </w:p>
    <w:p w14:paraId="1102EF0B" w14:textId="3138ADF9" w:rsidR="00684CD2" w:rsidRPr="00B41EAD" w:rsidRDefault="005E2CD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Con base en ello, </w:t>
      </w:r>
      <w:r w:rsidR="00684CD2" w:rsidRPr="00B41EAD">
        <w:rPr>
          <w:color w:val="000000" w:themeColor="text1"/>
          <w:sz w:val="28"/>
          <w:szCs w:val="28"/>
          <w:lang w:val="es-ES"/>
        </w:rPr>
        <w:t xml:space="preserve">en dicha oportunidad se </w:t>
      </w:r>
      <w:r w:rsidRPr="00B41EAD">
        <w:rPr>
          <w:color w:val="000000" w:themeColor="text1"/>
          <w:sz w:val="28"/>
          <w:szCs w:val="28"/>
          <w:lang w:val="es-ES"/>
        </w:rPr>
        <w:t>descartó la configuración de</w:t>
      </w:r>
      <w:r w:rsidR="00684CD2" w:rsidRPr="00B41EAD">
        <w:rPr>
          <w:color w:val="000000" w:themeColor="text1"/>
          <w:sz w:val="28"/>
          <w:szCs w:val="28"/>
          <w:lang w:val="es-ES"/>
        </w:rPr>
        <w:t>l defecto por</w:t>
      </w:r>
      <w:r w:rsidRPr="00B41EAD">
        <w:rPr>
          <w:color w:val="000000" w:themeColor="text1"/>
          <w:sz w:val="28"/>
          <w:szCs w:val="28"/>
          <w:lang w:val="es-ES"/>
        </w:rPr>
        <w:t xml:space="preserve"> desconocimiento del precedente, el cual había sido invocado por los accionantes </w:t>
      </w:r>
      <w:r w:rsidR="00684CD2" w:rsidRPr="00B41EAD">
        <w:rPr>
          <w:color w:val="000000" w:themeColor="text1"/>
          <w:sz w:val="28"/>
          <w:szCs w:val="28"/>
          <w:lang w:val="es-ES"/>
        </w:rPr>
        <w:t>al estimar que</w:t>
      </w:r>
      <w:r w:rsidR="00A85149" w:rsidRPr="00B41EAD">
        <w:rPr>
          <w:color w:val="000000" w:themeColor="text1"/>
          <w:sz w:val="28"/>
          <w:szCs w:val="28"/>
          <w:lang w:val="es-ES"/>
        </w:rPr>
        <w:t xml:space="preserve"> </w:t>
      </w:r>
      <w:r w:rsidR="00085D8E" w:rsidRPr="00B41EAD">
        <w:rPr>
          <w:color w:val="000000" w:themeColor="text1"/>
          <w:sz w:val="28"/>
          <w:szCs w:val="28"/>
          <w:lang w:val="es-ES"/>
        </w:rPr>
        <w:t>–</w:t>
      </w:r>
      <w:r w:rsidR="00A85149" w:rsidRPr="00B41EAD">
        <w:rPr>
          <w:color w:val="000000" w:themeColor="text1"/>
          <w:sz w:val="28"/>
          <w:szCs w:val="28"/>
          <w:lang w:val="es-ES"/>
        </w:rPr>
        <w:t>en un sentido similar a las manifestaciones hechas por los accionantes dentro del expediente T-10.007.411</w:t>
      </w:r>
      <w:r w:rsidR="00085D8E" w:rsidRPr="00B41EAD">
        <w:rPr>
          <w:color w:val="000000" w:themeColor="text1"/>
          <w:sz w:val="28"/>
          <w:szCs w:val="28"/>
          <w:lang w:val="es-ES"/>
        </w:rPr>
        <w:t>–</w:t>
      </w:r>
      <w:r w:rsidR="00A85149" w:rsidRPr="00B41EAD">
        <w:rPr>
          <w:color w:val="000000" w:themeColor="text1"/>
          <w:sz w:val="28"/>
          <w:szCs w:val="28"/>
          <w:lang w:val="es-ES"/>
        </w:rPr>
        <w:t xml:space="preserve"> </w:t>
      </w:r>
      <w:r w:rsidR="00684CD2" w:rsidRPr="00B41EAD">
        <w:rPr>
          <w:color w:val="000000" w:themeColor="text1"/>
          <w:sz w:val="28"/>
          <w:szCs w:val="28"/>
          <w:lang w:val="es-ES"/>
        </w:rPr>
        <w:t xml:space="preserve">se debió aplicar los precedentes del Consejo de Estado que se negaban la </w:t>
      </w:r>
      <w:r w:rsidR="00A85149" w:rsidRPr="00B41EAD">
        <w:rPr>
          <w:color w:val="000000" w:themeColor="text1"/>
          <w:sz w:val="28"/>
          <w:szCs w:val="28"/>
          <w:lang w:val="es-ES"/>
        </w:rPr>
        <w:t>operatividad</w:t>
      </w:r>
      <w:r w:rsidR="00684CD2" w:rsidRPr="00B41EAD">
        <w:rPr>
          <w:color w:val="000000" w:themeColor="text1"/>
          <w:sz w:val="28"/>
          <w:szCs w:val="28"/>
          <w:lang w:val="es-ES"/>
        </w:rPr>
        <w:t xml:space="preserve"> de la caducidad del medio de control de reparación directa para los casos enmarcados en presuntos delitos de lesa humanidad. En concreto, la Sala señaló lo siguiente: </w:t>
      </w:r>
    </w:p>
    <w:p w14:paraId="15DB89C6" w14:textId="77777777" w:rsidR="00684CD2" w:rsidRPr="00B41EAD" w:rsidRDefault="00684CD2" w:rsidP="00684CD2">
      <w:pPr>
        <w:pStyle w:val="Prrafodelista"/>
        <w:jc w:val="both"/>
        <w:rPr>
          <w:color w:val="000000" w:themeColor="text1"/>
          <w:sz w:val="28"/>
          <w:szCs w:val="28"/>
          <w:lang w:val="es-ES"/>
        </w:rPr>
      </w:pPr>
    </w:p>
    <w:p w14:paraId="4F0509F4" w14:textId="4EDD2B86" w:rsidR="00684CD2" w:rsidRPr="00B41EAD" w:rsidRDefault="00684CD2" w:rsidP="00684CD2">
      <w:pPr>
        <w:pStyle w:val="Prrafodelista"/>
        <w:jc w:val="both"/>
        <w:rPr>
          <w:color w:val="000000" w:themeColor="text1"/>
          <w:sz w:val="28"/>
          <w:szCs w:val="28"/>
          <w:lang w:val="es-ES"/>
        </w:rPr>
      </w:pPr>
      <w:r w:rsidRPr="00B41EAD">
        <w:rPr>
          <w:color w:val="000000" w:themeColor="text1"/>
          <w:sz w:val="28"/>
          <w:szCs w:val="28"/>
          <w:lang w:val="es-ES"/>
        </w:rPr>
        <w:t>“</w:t>
      </w:r>
      <w:r w:rsidRPr="00B41EAD">
        <w:rPr>
          <w:color w:val="000000" w:themeColor="text1"/>
          <w:sz w:val="28"/>
          <w:lang w:val="es-ES"/>
        </w:rPr>
        <w:t>por regla general, los precedentes judiciales de las altas cortes tienen efectos inmediatos y son de obligatorio obedecimiento por los operadores jurídicos y las partes involucradas en un proceso en curso, aun si incorporan cambios importantes en la compresión de un determinado problema jurídico. || En el presente asunto, la Sentencia de Unificación del 29 de enero de 2020 de la Sección Tercera del Consejo de Estado dispuso la exigibilidad del requisito de caducidad frente a las demandas de reparación directa que tenían por objeto la indemnización de un daño causado por un delito de lesa humanidad. Por esa razón, para el 19 de marzo de 2021 -momento de adopción de la sentencia censurada-, no existía precedente alguno que indicara la inaplicación del requisito de caducidad en esta clase de procesos</w:t>
      </w:r>
      <w:r w:rsidRPr="00B41EAD">
        <w:rPr>
          <w:color w:val="000000" w:themeColor="text1"/>
          <w:sz w:val="28"/>
          <w:szCs w:val="28"/>
          <w:lang w:val="es-ES"/>
        </w:rPr>
        <w:t xml:space="preserve">”. </w:t>
      </w:r>
    </w:p>
    <w:p w14:paraId="31BE3027" w14:textId="77777777" w:rsidR="00684CD2" w:rsidRPr="00B41EAD" w:rsidRDefault="00684CD2" w:rsidP="00684CD2">
      <w:pPr>
        <w:pStyle w:val="Prrafodelista"/>
        <w:rPr>
          <w:color w:val="000000" w:themeColor="text1"/>
          <w:sz w:val="28"/>
          <w:szCs w:val="28"/>
          <w:lang w:val="es-ES"/>
        </w:rPr>
      </w:pPr>
    </w:p>
    <w:p w14:paraId="2D10300E" w14:textId="3371FFCB" w:rsidR="00A85149" w:rsidRPr="00B41EAD" w:rsidRDefault="00A8514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aplicación de la misma posición jurisprudencial sostenida en la reciente Sentencia SU-167 de 2023, la Sala Plena de la Corte Constitucional descarta la configuración del defecto por desconocimiento del precedente judicial contenido en la sentencia del 30 de agosto de 2021, emitida por la Subsección B de la Sección Tercera del Consejo de Estado, en la que </w:t>
      </w:r>
      <w:r w:rsidR="00B85349" w:rsidRPr="00B41EAD">
        <w:rPr>
          <w:color w:val="000000" w:themeColor="text1"/>
          <w:sz w:val="28"/>
          <w:szCs w:val="28"/>
          <w:lang w:val="es-ES"/>
        </w:rPr>
        <w:t>inaplicó</w:t>
      </w:r>
      <w:r w:rsidRPr="00B41EAD">
        <w:rPr>
          <w:color w:val="000000" w:themeColor="text1"/>
          <w:sz w:val="28"/>
          <w:szCs w:val="28"/>
          <w:lang w:val="es-ES"/>
        </w:rPr>
        <w:t xml:space="preserve"> la regla de caducidad en los casos enmarcados en presuntos delitos de lesa humanidad.</w:t>
      </w:r>
    </w:p>
    <w:p w14:paraId="53996594" w14:textId="74FD1B60" w:rsidR="00684CD2" w:rsidRPr="00B41EAD" w:rsidRDefault="00A85149" w:rsidP="00A85149">
      <w:pPr>
        <w:pStyle w:val="Prrafodelista"/>
        <w:ind w:left="0"/>
        <w:jc w:val="both"/>
        <w:rPr>
          <w:color w:val="000000" w:themeColor="text1"/>
          <w:sz w:val="28"/>
          <w:szCs w:val="28"/>
          <w:lang w:val="es-ES"/>
        </w:rPr>
      </w:pPr>
      <w:r w:rsidRPr="00B41EAD">
        <w:rPr>
          <w:color w:val="000000" w:themeColor="text1"/>
          <w:sz w:val="28"/>
          <w:szCs w:val="28"/>
          <w:lang w:val="es-ES"/>
        </w:rPr>
        <w:t xml:space="preserve"> </w:t>
      </w:r>
    </w:p>
    <w:p w14:paraId="08857FC4" w14:textId="77777777" w:rsidR="0026033C" w:rsidRPr="00B41EAD" w:rsidRDefault="00A85149">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Asimismo, la </w:t>
      </w:r>
      <w:r w:rsidR="0026033C" w:rsidRPr="00B41EAD">
        <w:rPr>
          <w:color w:val="000000" w:themeColor="text1"/>
          <w:sz w:val="28"/>
          <w:szCs w:val="28"/>
          <w:lang w:val="es-ES"/>
        </w:rPr>
        <w:t>S</w:t>
      </w:r>
      <w:r w:rsidRPr="00B41EAD">
        <w:rPr>
          <w:color w:val="000000" w:themeColor="text1"/>
          <w:sz w:val="28"/>
          <w:szCs w:val="28"/>
          <w:lang w:val="es-ES"/>
        </w:rPr>
        <w:t>ala no encuentra configurad</w:t>
      </w:r>
      <w:r w:rsidR="0026033C" w:rsidRPr="00B41EAD">
        <w:rPr>
          <w:color w:val="000000" w:themeColor="text1"/>
          <w:sz w:val="28"/>
          <w:szCs w:val="28"/>
          <w:lang w:val="es-ES"/>
        </w:rPr>
        <w:t>o</w:t>
      </w:r>
      <w:r w:rsidRPr="00B41EAD">
        <w:rPr>
          <w:color w:val="000000" w:themeColor="text1"/>
          <w:sz w:val="28"/>
          <w:szCs w:val="28"/>
          <w:lang w:val="es-ES"/>
        </w:rPr>
        <w:t xml:space="preserve"> este defecto respecto de la Sentencia SU-060 de 2021</w:t>
      </w:r>
      <w:r w:rsidRPr="00B41EAD">
        <w:rPr>
          <w:rStyle w:val="Refdenotaalpie"/>
          <w:color w:val="000000" w:themeColor="text1"/>
          <w:sz w:val="28"/>
          <w:szCs w:val="28"/>
          <w:lang w:val="es-ES"/>
        </w:rPr>
        <w:footnoteReference w:id="100"/>
      </w:r>
      <w:r w:rsidRPr="00B41EAD">
        <w:rPr>
          <w:color w:val="000000" w:themeColor="text1"/>
          <w:sz w:val="28"/>
          <w:szCs w:val="28"/>
          <w:lang w:val="es-ES"/>
        </w:rPr>
        <w:t xml:space="preserve"> por dos razones. Primero, porque dicho pronunciamiento no constituye precedente judicial en estricto sentido, pues los hechos del </w:t>
      </w:r>
      <w:r w:rsidR="0026033C" w:rsidRPr="00B41EAD">
        <w:rPr>
          <w:color w:val="000000" w:themeColor="text1"/>
          <w:sz w:val="28"/>
          <w:szCs w:val="28"/>
          <w:lang w:val="es-ES"/>
        </w:rPr>
        <w:t>asunto</w:t>
      </w:r>
      <w:r w:rsidRPr="00B41EAD">
        <w:rPr>
          <w:color w:val="000000" w:themeColor="text1"/>
          <w:sz w:val="28"/>
          <w:szCs w:val="28"/>
          <w:lang w:val="es-ES"/>
        </w:rPr>
        <w:t xml:space="preserve"> allí analizado no se relacionaban con la configuración de la caducidad del medio de control de reparación directa</w:t>
      </w:r>
      <w:r w:rsidR="0026033C" w:rsidRPr="00B41EAD">
        <w:rPr>
          <w:color w:val="000000" w:themeColor="text1"/>
          <w:sz w:val="28"/>
          <w:szCs w:val="28"/>
          <w:lang w:val="es-ES"/>
        </w:rPr>
        <w:t xml:space="preserve"> formulado en el marco de presuntos delitos de lesa humanidad. </w:t>
      </w:r>
    </w:p>
    <w:p w14:paraId="04833F33" w14:textId="77777777" w:rsidR="0026033C" w:rsidRPr="00B41EAD" w:rsidRDefault="0026033C" w:rsidP="0026033C">
      <w:pPr>
        <w:pStyle w:val="Prrafodelista"/>
        <w:rPr>
          <w:color w:val="000000" w:themeColor="text1"/>
          <w:sz w:val="28"/>
          <w:szCs w:val="28"/>
          <w:lang w:val="es-ES"/>
        </w:rPr>
      </w:pPr>
    </w:p>
    <w:p w14:paraId="052A4ED7" w14:textId="5D3E65C2" w:rsidR="00A85149" w:rsidRPr="00B41EAD" w:rsidRDefault="0026033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Segundo, porque en todo caso, como se ha dejado claro a lo largo de esta providencia, el mandato de valoración flexible y contextual de los elementos de prueba en favor de las víctimas de graves violaciones de derechos humanos ha sido reconocido permanentemente por la Corte Constitucional, también, a efectos de analizar la configuración de la caducidad de la reparación directa. Un reflejo de ello es la Sentencia SU-312 de 202</w:t>
      </w:r>
      <w:r w:rsidR="000D73E6" w:rsidRPr="00B41EAD">
        <w:rPr>
          <w:color w:val="000000" w:themeColor="text1"/>
          <w:sz w:val="28"/>
          <w:szCs w:val="28"/>
          <w:lang w:val="es-ES"/>
        </w:rPr>
        <w:t>0</w:t>
      </w:r>
      <w:r w:rsidRPr="00B41EAD">
        <w:rPr>
          <w:color w:val="000000" w:themeColor="text1"/>
          <w:sz w:val="28"/>
          <w:szCs w:val="28"/>
          <w:lang w:val="es-ES"/>
        </w:rPr>
        <w:t xml:space="preserve">, la cual sí constituía </w:t>
      </w:r>
      <w:r w:rsidR="006C0D35" w:rsidRPr="00B41EAD">
        <w:rPr>
          <w:color w:val="000000" w:themeColor="text1"/>
          <w:sz w:val="28"/>
          <w:szCs w:val="28"/>
          <w:lang w:val="es-ES"/>
        </w:rPr>
        <w:t xml:space="preserve">un </w:t>
      </w:r>
      <w:r w:rsidRPr="00B41EAD">
        <w:rPr>
          <w:color w:val="000000" w:themeColor="text1"/>
          <w:sz w:val="28"/>
          <w:szCs w:val="28"/>
          <w:lang w:val="es-ES"/>
        </w:rPr>
        <w:t xml:space="preserve">precedente vinculante en el asunto de la referencia. </w:t>
      </w:r>
    </w:p>
    <w:p w14:paraId="58BD0CA1" w14:textId="328D37BA" w:rsidR="00684CD2" w:rsidRPr="00B41EAD" w:rsidRDefault="00684CD2" w:rsidP="0026033C">
      <w:pPr>
        <w:rPr>
          <w:color w:val="000000" w:themeColor="text1"/>
          <w:sz w:val="28"/>
          <w:szCs w:val="28"/>
          <w:lang w:val="es-ES"/>
        </w:rPr>
      </w:pPr>
    </w:p>
    <w:p w14:paraId="07120295" w14:textId="58F9C726" w:rsidR="00B56F38" w:rsidRPr="00B41EAD" w:rsidRDefault="0026033C" w:rsidP="0026033C">
      <w:pPr>
        <w:rPr>
          <w:b/>
          <w:bCs/>
          <w:color w:val="000000" w:themeColor="text1"/>
          <w:sz w:val="28"/>
          <w:szCs w:val="28"/>
          <w:lang w:val="es-ES"/>
        </w:rPr>
      </w:pPr>
      <w:r w:rsidRPr="00B41EAD">
        <w:rPr>
          <w:b/>
          <w:bCs/>
          <w:color w:val="000000" w:themeColor="text1"/>
          <w:sz w:val="28"/>
          <w:szCs w:val="28"/>
          <w:lang w:val="es-ES"/>
        </w:rPr>
        <w:t>6.4. Remedio judicial dentro del expediente T-10.007.411</w:t>
      </w:r>
    </w:p>
    <w:p w14:paraId="5B5CDFCC" w14:textId="150286A1" w:rsidR="0026033C" w:rsidRPr="00B41EAD" w:rsidRDefault="0026033C" w:rsidP="0026033C">
      <w:pPr>
        <w:pStyle w:val="Prrafodelista"/>
        <w:ind w:left="0"/>
        <w:jc w:val="both"/>
        <w:rPr>
          <w:color w:val="000000" w:themeColor="text1"/>
          <w:sz w:val="28"/>
          <w:szCs w:val="28"/>
          <w:lang w:val="es-ES"/>
        </w:rPr>
      </w:pPr>
    </w:p>
    <w:p w14:paraId="70363E13" w14:textId="6677083D" w:rsidR="006C0D35" w:rsidRPr="00B41EAD" w:rsidRDefault="0026033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Ante la</w:t>
      </w:r>
      <w:r w:rsidR="006C0D35" w:rsidRPr="00B41EAD">
        <w:rPr>
          <w:color w:val="000000" w:themeColor="text1"/>
          <w:sz w:val="28"/>
          <w:szCs w:val="28"/>
          <w:lang w:val="es-ES"/>
        </w:rPr>
        <w:t xml:space="preserve"> configuración del defecto fáctico que se ha dado en este caso, </w:t>
      </w:r>
      <w:r w:rsidRPr="00B41EAD">
        <w:rPr>
          <w:color w:val="000000" w:themeColor="text1"/>
          <w:sz w:val="28"/>
          <w:szCs w:val="28"/>
          <w:lang w:val="es-ES"/>
        </w:rPr>
        <w:t xml:space="preserve">la Sala </w:t>
      </w:r>
      <w:r w:rsidR="006C0D35" w:rsidRPr="00B41EAD">
        <w:rPr>
          <w:color w:val="000000" w:themeColor="text1"/>
          <w:sz w:val="28"/>
          <w:szCs w:val="28"/>
          <w:lang w:val="es-ES"/>
        </w:rPr>
        <w:t>Plena de la Corte Constitucional decidirá revocar</w:t>
      </w:r>
      <w:r w:rsidRPr="00B41EAD">
        <w:rPr>
          <w:color w:val="000000" w:themeColor="text1"/>
          <w:sz w:val="28"/>
          <w:szCs w:val="28"/>
          <w:lang w:val="es-ES"/>
        </w:rPr>
        <w:t xml:space="preserve"> la </w:t>
      </w:r>
      <w:r w:rsidR="00085D8E" w:rsidRPr="00B41EAD">
        <w:rPr>
          <w:color w:val="000000" w:themeColor="text1"/>
          <w:sz w:val="28"/>
          <w:szCs w:val="28"/>
          <w:lang w:val="es-ES"/>
        </w:rPr>
        <w:t>S</w:t>
      </w:r>
      <w:r w:rsidRPr="00B41EAD">
        <w:rPr>
          <w:color w:val="000000" w:themeColor="text1"/>
          <w:sz w:val="28"/>
          <w:szCs w:val="28"/>
          <w:lang w:val="es-ES"/>
        </w:rPr>
        <w:t>entencia de segunda instancia proferida el 1 de noviembre de 2023 por la Subsección B de la Sección Segunda del Consejo de Estado, en la cual se decidió negar el amparo constitucional. En su lugar, por las razones expuestas en la parte motiva de esta providencia, se confirmará la sentencia de primera instancia adoptada el 13 de julio de 2023 por la Subsección A de la Sección Segunda del Consejo de Estado, en la que se decidió amparar los derechos fundamentales al debido proceso, al acceso a la administración de justicia y a la reparación integral de las accionantes, se dejó sin efectos la providencia objeto de la acción de tutela y se ordenó al Tribunal Administrativo del Tolima la adopción de una nueva providencia de reemplazo.</w:t>
      </w:r>
    </w:p>
    <w:p w14:paraId="2E3AF076" w14:textId="77777777" w:rsidR="006C0D35" w:rsidRPr="00B41EAD" w:rsidRDefault="006C0D35" w:rsidP="006C0D35">
      <w:pPr>
        <w:pStyle w:val="Prrafodelista"/>
        <w:ind w:left="0"/>
        <w:jc w:val="both"/>
        <w:rPr>
          <w:color w:val="000000" w:themeColor="text1"/>
          <w:sz w:val="28"/>
          <w:szCs w:val="28"/>
          <w:lang w:val="es-ES"/>
        </w:rPr>
      </w:pPr>
    </w:p>
    <w:p w14:paraId="69117EC8" w14:textId="4C237089" w:rsidR="0026033C" w:rsidRPr="00B41EAD" w:rsidRDefault="0026033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Sin embargo, se advertirá que en esta nueva decisión la autoridad judicial accionada deberá tener estrictamente en cuenta lo dispuesto por la Corte Constitucional en la presente providencia. </w:t>
      </w:r>
    </w:p>
    <w:p w14:paraId="6D3B932F" w14:textId="77777777" w:rsidR="00FE6AB5" w:rsidRPr="00B41EAD" w:rsidRDefault="00FE6AB5" w:rsidP="00FE6AB5">
      <w:pPr>
        <w:pStyle w:val="Prrafodelista"/>
        <w:rPr>
          <w:color w:val="000000" w:themeColor="text1"/>
          <w:sz w:val="28"/>
          <w:szCs w:val="28"/>
          <w:lang w:val="es-ES"/>
        </w:rPr>
      </w:pPr>
    </w:p>
    <w:p w14:paraId="06A118A8" w14:textId="433B3E56" w:rsidR="00FE6AB5" w:rsidRPr="00B41EAD" w:rsidRDefault="00FE6AB5">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A propósito de lo anterior, la Sala Plena </w:t>
      </w:r>
      <w:r w:rsidR="000D73E6" w:rsidRPr="00B41EAD">
        <w:rPr>
          <w:color w:val="000000" w:themeColor="text1"/>
          <w:sz w:val="28"/>
          <w:szCs w:val="28"/>
          <w:lang w:val="es-ES"/>
        </w:rPr>
        <w:t>debe aclarar</w:t>
      </w:r>
      <w:r w:rsidRPr="00B41EAD">
        <w:rPr>
          <w:color w:val="000000" w:themeColor="text1"/>
          <w:sz w:val="28"/>
          <w:szCs w:val="28"/>
          <w:lang w:val="es-ES"/>
        </w:rPr>
        <w:t xml:space="preserve"> que</w:t>
      </w:r>
      <w:r w:rsidR="000D73E6" w:rsidRPr="00B41EAD">
        <w:rPr>
          <w:color w:val="000000" w:themeColor="text1"/>
          <w:sz w:val="28"/>
          <w:szCs w:val="28"/>
          <w:lang w:val="es-ES"/>
        </w:rPr>
        <w:t xml:space="preserve">, </w:t>
      </w:r>
      <w:r w:rsidRPr="00B41EAD">
        <w:rPr>
          <w:color w:val="000000" w:themeColor="text1"/>
          <w:sz w:val="28"/>
          <w:szCs w:val="28"/>
          <w:lang w:val="es-ES"/>
        </w:rPr>
        <w:t>si bien</w:t>
      </w:r>
      <w:r w:rsidRPr="00B41EAD">
        <w:rPr>
          <w:bCs/>
          <w:color w:val="000000" w:themeColor="text1"/>
          <w:sz w:val="28"/>
          <w:szCs w:val="28"/>
        </w:rPr>
        <w:t xml:space="preserve"> en cumplimiento de </w:t>
      </w:r>
      <w:r w:rsidR="000D73E6" w:rsidRPr="00B41EAD">
        <w:rPr>
          <w:bCs/>
          <w:color w:val="000000" w:themeColor="text1"/>
          <w:sz w:val="28"/>
          <w:szCs w:val="28"/>
        </w:rPr>
        <w:t xml:space="preserve">lo dispuesto en la sentencia del </w:t>
      </w:r>
      <w:r w:rsidR="000D73E6" w:rsidRPr="00B41EAD">
        <w:rPr>
          <w:color w:val="000000" w:themeColor="text1"/>
          <w:sz w:val="28"/>
          <w:szCs w:val="28"/>
          <w:lang w:val="es-ES"/>
        </w:rPr>
        <w:t>13 de julio de 2023, emitida por la Subsección A de la Sección Segunda del Consejo de Estado,</w:t>
      </w:r>
      <w:r w:rsidRPr="00B41EAD">
        <w:rPr>
          <w:bCs/>
          <w:color w:val="000000" w:themeColor="text1"/>
          <w:sz w:val="28"/>
          <w:szCs w:val="28"/>
        </w:rPr>
        <w:t xml:space="preserve"> el Tribunal Administrativo del Tolima profirió una nueva sentencia </w:t>
      </w:r>
      <w:r w:rsidR="000D73E6" w:rsidRPr="00B41EAD">
        <w:rPr>
          <w:bCs/>
          <w:color w:val="000000" w:themeColor="text1"/>
          <w:sz w:val="28"/>
          <w:szCs w:val="28"/>
        </w:rPr>
        <w:t xml:space="preserve">de reparación directa </w:t>
      </w:r>
      <w:r w:rsidRPr="00B41EAD">
        <w:rPr>
          <w:bCs/>
          <w:color w:val="000000" w:themeColor="text1"/>
          <w:sz w:val="28"/>
          <w:szCs w:val="28"/>
        </w:rPr>
        <w:t>el 31 de agosto de 2023</w:t>
      </w:r>
      <w:r w:rsidRPr="00B41EAD">
        <w:rPr>
          <w:rStyle w:val="Refdenotaalpie"/>
          <w:color w:val="000000" w:themeColor="text1"/>
          <w:sz w:val="28"/>
          <w:szCs w:val="28"/>
        </w:rPr>
        <w:footnoteReference w:id="101"/>
      </w:r>
      <w:r w:rsidR="000D73E6" w:rsidRPr="00B41EAD">
        <w:rPr>
          <w:bCs/>
          <w:color w:val="000000" w:themeColor="text1"/>
          <w:sz w:val="28"/>
          <w:szCs w:val="28"/>
        </w:rPr>
        <w:t>,</w:t>
      </w:r>
      <w:r w:rsidR="000D73E6" w:rsidRPr="00B41EAD">
        <w:rPr>
          <w:color w:val="000000" w:themeColor="text1"/>
          <w:sz w:val="28"/>
          <w:szCs w:val="28"/>
        </w:rPr>
        <w:t xml:space="preserve"> lo cierto es que dicha providencia perdió efectos jurídicos como consecuencia de la negativa del amparo decidida en segunda instancia. Por tanto, la Corte Constitucional encuentra que el remedio judicial más adecuado en este caso es, como ya se indicó, ordenar la emisión de una nueva sentencia de reemplazo, en los términos previamente indicados.</w:t>
      </w:r>
    </w:p>
    <w:p w14:paraId="6FDC9A7B" w14:textId="77777777" w:rsidR="00B56F38" w:rsidRPr="00B41EAD" w:rsidRDefault="00B56F38" w:rsidP="00B56F38">
      <w:pPr>
        <w:rPr>
          <w:color w:val="000000" w:themeColor="text1"/>
          <w:sz w:val="28"/>
          <w:szCs w:val="28"/>
          <w:lang w:val="es-ES"/>
        </w:rPr>
      </w:pPr>
    </w:p>
    <w:p w14:paraId="60272F7B" w14:textId="6BC82B49" w:rsidR="00B56F38" w:rsidRPr="00B41EAD" w:rsidRDefault="00B56F38" w:rsidP="00B56F38">
      <w:pPr>
        <w:rPr>
          <w:b/>
          <w:bCs/>
          <w:color w:val="000000" w:themeColor="text1"/>
          <w:sz w:val="28"/>
          <w:szCs w:val="28"/>
          <w:lang w:val="es-ES"/>
        </w:rPr>
      </w:pPr>
      <w:r w:rsidRPr="00B41EAD">
        <w:rPr>
          <w:b/>
          <w:bCs/>
          <w:color w:val="000000" w:themeColor="text1"/>
          <w:sz w:val="28"/>
          <w:szCs w:val="28"/>
          <w:lang w:val="es-ES"/>
        </w:rPr>
        <w:t>6.5. Precisión final</w:t>
      </w:r>
      <w:r w:rsidR="008F386F" w:rsidRPr="00B41EAD">
        <w:rPr>
          <w:b/>
          <w:bCs/>
          <w:color w:val="000000" w:themeColor="text1"/>
          <w:sz w:val="28"/>
          <w:szCs w:val="28"/>
          <w:lang w:val="es-ES"/>
        </w:rPr>
        <w:t>, común a los dos expedientes de tutela analizados</w:t>
      </w:r>
      <w:r w:rsidRPr="00B41EAD">
        <w:rPr>
          <w:b/>
          <w:bCs/>
          <w:color w:val="000000" w:themeColor="text1"/>
          <w:sz w:val="28"/>
          <w:szCs w:val="28"/>
          <w:lang w:val="es-ES"/>
        </w:rPr>
        <w:t xml:space="preserve">   </w:t>
      </w:r>
    </w:p>
    <w:p w14:paraId="774236E8" w14:textId="77777777" w:rsidR="00B56F38" w:rsidRPr="00B41EAD" w:rsidRDefault="00B56F38" w:rsidP="00B56F38">
      <w:pPr>
        <w:rPr>
          <w:color w:val="000000" w:themeColor="text1"/>
          <w:sz w:val="28"/>
          <w:szCs w:val="28"/>
          <w:lang w:val="es-ES"/>
        </w:rPr>
      </w:pPr>
    </w:p>
    <w:p w14:paraId="54C4FFD8" w14:textId="3367BB8B" w:rsidR="00B56F38" w:rsidRPr="00B41EAD" w:rsidRDefault="008F386F" w:rsidP="00B56F38">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Como </w:t>
      </w:r>
      <w:r w:rsidR="00B56F38" w:rsidRPr="00B41EAD">
        <w:rPr>
          <w:color w:val="000000" w:themeColor="text1"/>
          <w:sz w:val="28"/>
          <w:szCs w:val="28"/>
          <w:lang w:val="es-ES"/>
        </w:rPr>
        <w:t xml:space="preserve">se indicó en la consideraciones generales de esta providencia, a partir de la Sentencia T-044 de 2022, la Corte Constitucional ha considerado que en casos </w:t>
      </w:r>
      <w:r w:rsidRPr="00B41EAD">
        <w:rPr>
          <w:color w:val="000000" w:themeColor="text1"/>
          <w:sz w:val="28"/>
          <w:szCs w:val="28"/>
          <w:lang w:val="es-ES"/>
        </w:rPr>
        <w:t>como los aquí analizados</w:t>
      </w:r>
      <w:r w:rsidR="00B56F38" w:rsidRPr="00B41EAD">
        <w:rPr>
          <w:color w:val="000000" w:themeColor="text1"/>
          <w:sz w:val="28"/>
          <w:szCs w:val="28"/>
          <w:lang w:val="es-ES"/>
        </w:rPr>
        <w:t>, es posible que se configure un defecto procedimental absoluto, pues lo cierto es que “ante el cambio relevante en los parámetros normativos, el tribunal accionado debió readecuar la fase de alegatos para garantizar el debido proceso”, el juez de lo contencioso administrativo debe adoptar las medidas necesarias para readecuar el procedimiento y, en virtud del cambio jurisprudencial, reabrir la fase de alegatos y permitir a las partes presentar nuevamente sus argumentos de conclusión para que se pronuncien frente a la aplicación, en el caso concreto, de los elementos normativos y probatorios introducidos por la Sentencia de unificación proferida el 29 de enero de 2020 por la Sección Tercera del Consejo de Estado.</w:t>
      </w:r>
    </w:p>
    <w:p w14:paraId="2497DD12" w14:textId="77777777" w:rsidR="00B56F38" w:rsidRPr="00B41EAD" w:rsidRDefault="00B56F38" w:rsidP="00B56F38">
      <w:pPr>
        <w:pStyle w:val="Prrafodelista"/>
        <w:rPr>
          <w:color w:val="000000" w:themeColor="text1"/>
          <w:sz w:val="28"/>
          <w:szCs w:val="28"/>
          <w:lang w:val="es-ES"/>
        </w:rPr>
      </w:pPr>
    </w:p>
    <w:p w14:paraId="0A659E64" w14:textId="3CCDF4DF" w:rsidR="0051551C" w:rsidRPr="00B41EAD" w:rsidRDefault="008F386F" w:rsidP="0051551C">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lastRenderedPageBreak/>
        <w:t>Sin embargo, tanto en el expediente T-10.001.</w:t>
      </w:r>
      <w:proofErr w:type="gramStart"/>
      <w:r w:rsidRPr="00B41EAD">
        <w:rPr>
          <w:color w:val="000000" w:themeColor="text1"/>
          <w:sz w:val="28"/>
          <w:szCs w:val="28"/>
          <w:lang w:val="es-ES"/>
        </w:rPr>
        <w:t>552  como</w:t>
      </w:r>
      <w:proofErr w:type="gramEnd"/>
      <w:r w:rsidRPr="00B41EAD">
        <w:rPr>
          <w:color w:val="000000" w:themeColor="text1"/>
          <w:sz w:val="28"/>
          <w:szCs w:val="28"/>
          <w:lang w:val="es-ES"/>
        </w:rPr>
        <w:t xml:space="preserve"> en el expediente T-10.007.411, la Corte no encuentra pertinente acudir a la devolución de los asuntos a efectos de que se readecue el trámite de reparación directa, esencialmente por </w:t>
      </w:r>
      <w:r w:rsidR="0051551C" w:rsidRPr="00B41EAD">
        <w:rPr>
          <w:color w:val="000000" w:themeColor="text1"/>
          <w:sz w:val="28"/>
          <w:szCs w:val="28"/>
          <w:lang w:val="es-ES"/>
        </w:rPr>
        <w:t>tres</w:t>
      </w:r>
      <w:r w:rsidRPr="00B41EAD">
        <w:rPr>
          <w:color w:val="000000" w:themeColor="text1"/>
          <w:sz w:val="28"/>
          <w:szCs w:val="28"/>
          <w:lang w:val="es-ES"/>
        </w:rPr>
        <w:t xml:space="preserve"> razones. En primer lugar, </w:t>
      </w:r>
      <w:r w:rsidR="00EE36FB" w:rsidRPr="00B41EAD">
        <w:rPr>
          <w:color w:val="000000" w:themeColor="text1"/>
          <w:sz w:val="28"/>
          <w:szCs w:val="28"/>
          <w:lang w:val="es-ES"/>
        </w:rPr>
        <w:t xml:space="preserve">en consideración del momento en el que se ejercieron los medios de control de reparación directa en cada uno de los casos analizados. En relación con el primer expediente, </w:t>
      </w:r>
      <w:r w:rsidR="0051551C" w:rsidRPr="00B41EAD">
        <w:rPr>
          <w:color w:val="000000" w:themeColor="text1"/>
          <w:sz w:val="28"/>
          <w:szCs w:val="28"/>
          <w:lang w:val="es-ES"/>
        </w:rPr>
        <w:t>la demanda fue presentada e</w:t>
      </w:r>
      <w:r w:rsidR="00EE36FB" w:rsidRPr="00B41EAD">
        <w:rPr>
          <w:color w:val="000000" w:themeColor="text1"/>
          <w:sz w:val="28"/>
          <w:szCs w:val="28"/>
          <w:lang w:val="es-ES"/>
        </w:rPr>
        <w:t>l 4 de mayo de</w:t>
      </w:r>
      <w:r w:rsidR="0051551C" w:rsidRPr="00B41EAD">
        <w:rPr>
          <w:color w:val="000000" w:themeColor="text1"/>
          <w:sz w:val="28"/>
          <w:szCs w:val="28"/>
          <w:lang w:val="es-ES"/>
        </w:rPr>
        <w:t xml:space="preserve"> 2021</w:t>
      </w:r>
      <w:r w:rsidR="00EE36FB" w:rsidRPr="00B41EAD">
        <w:rPr>
          <w:color w:val="000000" w:themeColor="text1"/>
          <w:sz w:val="28"/>
          <w:szCs w:val="28"/>
          <w:lang w:val="es-ES"/>
        </w:rPr>
        <w:t xml:space="preserve">; es decir, </w:t>
      </w:r>
      <w:r w:rsidR="0051551C" w:rsidRPr="00B41EAD">
        <w:rPr>
          <w:color w:val="000000" w:themeColor="text1"/>
          <w:sz w:val="28"/>
          <w:szCs w:val="28"/>
          <w:lang w:val="es-ES"/>
        </w:rPr>
        <w:t xml:space="preserve">después de la sentencia de unificación </w:t>
      </w:r>
      <w:r w:rsidR="00EE36FB" w:rsidRPr="00B41EAD">
        <w:rPr>
          <w:color w:val="000000" w:themeColor="text1"/>
          <w:sz w:val="28"/>
          <w:szCs w:val="28"/>
          <w:lang w:val="es-ES"/>
        </w:rPr>
        <w:t>emitida el 29 de enero de 2020 por la Sección Tercera del Consejo de Estado</w:t>
      </w:r>
      <w:r w:rsidR="0051551C" w:rsidRPr="00B41EAD">
        <w:rPr>
          <w:color w:val="000000" w:themeColor="text1"/>
          <w:sz w:val="28"/>
          <w:szCs w:val="28"/>
          <w:lang w:val="es-ES"/>
        </w:rPr>
        <w:t xml:space="preserve">. </w:t>
      </w:r>
      <w:r w:rsidR="00EE36FB" w:rsidRPr="00B41EAD">
        <w:rPr>
          <w:color w:val="000000" w:themeColor="text1"/>
          <w:sz w:val="28"/>
          <w:szCs w:val="28"/>
          <w:lang w:val="es-ES"/>
        </w:rPr>
        <w:t xml:space="preserve">Y en el segundo expediente, </w:t>
      </w:r>
      <w:r w:rsidR="0051551C" w:rsidRPr="00B41EAD">
        <w:rPr>
          <w:color w:val="000000" w:themeColor="text1"/>
          <w:sz w:val="28"/>
          <w:szCs w:val="28"/>
          <w:lang w:val="es-ES"/>
        </w:rPr>
        <w:t>si bien la demanda se presentó antes de</w:t>
      </w:r>
      <w:r w:rsidR="00EE36FB" w:rsidRPr="00B41EAD">
        <w:rPr>
          <w:color w:val="000000" w:themeColor="text1"/>
          <w:sz w:val="28"/>
          <w:szCs w:val="28"/>
          <w:lang w:val="es-ES"/>
        </w:rPr>
        <w:t>l año</w:t>
      </w:r>
      <w:r w:rsidR="0051551C" w:rsidRPr="00B41EAD">
        <w:rPr>
          <w:color w:val="000000" w:themeColor="text1"/>
          <w:sz w:val="28"/>
          <w:szCs w:val="28"/>
          <w:lang w:val="es-ES"/>
        </w:rPr>
        <w:t xml:space="preserve"> 2020, lo cierto es que los alegatos de conclusión de primera instancia, así como las demás actuaciones</w:t>
      </w:r>
      <w:r w:rsidR="001F165D" w:rsidRPr="00B41EAD">
        <w:rPr>
          <w:color w:val="000000" w:themeColor="text1"/>
          <w:sz w:val="28"/>
          <w:szCs w:val="28"/>
          <w:lang w:val="es-ES"/>
        </w:rPr>
        <w:t xml:space="preserve"> procesales</w:t>
      </w:r>
      <w:r w:rsidR="0051551C" w:rsidRPr="00B41EAD">
        <w:rPr>
          <w:color w:val="000000" w:themeColor="text1"/>
          <w:sz w:val="28"/>
          <w:szCs w:val="28"/>
          <w:lang w:val="es-ES"/>
        </w:rPr>
        <w:t>, se surtieron con posterioridad a</w:t>
      </w:r>
      <w:r w:rsidR="00EE36FB" w:rsidRPr="00B41EAD">
        <w:rPr>
          <w:color w:val="000000" w:themeColor="text1"/>
          <w:sz w:val="28"/>
          <w:szCs w:val="28"/>
          <w:lang w:val="es-ES"/>
        </w:rPr>
        <w:t xml:space="preserve"> la adopción de</w:t>
      </w:r>
      <w:r w:rsidR="0051551C" w:rsidRPr="00B41EAD">
        <w:rPr>
          <w:color w:val="000000" w:themeColor="text1"/>
          <w:sz w:val="28"/>
          <w:szCs w:val="28"/>
          <w:lang w:val="es-ES"/>
        </w:rPr>
        <w:t xml:space="preserve"> la referida </w:t>
      </w:r>
      <w:r w:rsidR="00EE36FB" w:rsidRPr="00B41EAD">
        <w:rPr>
          <w:color w:val="000000" w:themeColor="text1"/>
          <w:sz w:val="28"/>
          <w:szCs w:val="28"/>
          <w:lang w:val="es-ES"/>
        </w:rPr>
        <w:t>providencia</w:t>
      </w:r>
      <w:r w:rsidR="001F165D" w:rsidRPr="00B41EAD">
        <w:rPr>
          <w:color w:val="000000" w:themeColor="text1"/>
          <w:sz w:val="28"/>
          <w:szCs w:val="28"/>
          <w:lang w:val="es-ES"/>
        </w:rPr>
        <w:t>. Por tanto, a partir del desarrollo específico y las particularidades que tuvieron estos dos casos, para la Sala no resultaría pertinente reabrir las etapas agotadas en ambos procesos.</w:t>
      </w:r>
    </w:p>
    <w:p w14:paraId="1FAE5A58" w14:textId="77777777" w:rsidR="0051551C" w:rsidRPr="00B41EAD" w:rsidRDefault="0051551C" w:rsidP="0051551C">
      <w:pPr>
        <w:rPr>
          <w:color w:val="000000" w:themeColor="text1"/>
          <w:sz w:val="28"/>
          <w:szCs w:val="28"/>
          <w:lang w:val="es-ES"/>
        </w:rPr>
      </w:pPr>
    </w:p>
    <w:p w14:paraId="0D7B785B" w14:textId="5760FD3A" w:rsidR="00B56F38" w:rsidRPr="00B41EAD" w:rsidRDefault="0051551C" w:rsidP="00614326">
      <w:pPr>
        <w:pStyle w:val="Prrafodelista"/>
        <w:numPr>
          <w:ilvl w:val="0"/>
          <w:numId w:val="2"/>
        </w:numPr>
        <w:ind w:left="0" w:firstLine="0"/>
        <w:jc w:val="both"/>
        <w:rPr>
          <w:color w:val="000000" w:themeColor="text1"/>
          <w:sz w:val="28"/>
          <w:szCs w:val="28"/>
          <w:lang w:val="es-ES"/>
        </w:rPr>
      </w:pPr>
      <w:r w:rsidRPr="00B41EAD">
        <w:rPr>
          <w:color w:val="000000" w:themeColor="text1"/>
          <w:sz w:val="28"/>
          <w:szCs w:val="28"/>
          <w:lang w:val="es-ES"/>
        </w:rPr>
        <w:t xml:space="preserve">En segundo lugar, </w:t>
      </w:r>
      <w:r w:rsidR="001F165D" w:rsidRPr="00B41EAD">
        <w:rPr>
          <w:color w:val="000000" w:themeColor="text1"/>
          <w:sz w:val="28"/>
          <w:szCs w:val="28"/>
          <w:lang w:val="es-ES"/>
        </w:rPr>
        <w:t xml:space="preserve">porque </w:t>
      </w:r>
      <w:r w:rsidR="008F386F" w:rsidRPr="00B41EAD">
        <w:rPr>
          <w:color w:val="000000" w:themeColor="text1"/>
          <w:sz w:val="28"/>
          <w:szCs w:val="28"/>
          <w:lang w:val="es-ES"/>
        </w:rPr>
        <w:t xml:space="preserve">en las acciones de tutela de la referencia no ha estado en controversia la configuración de un defecto procedimental absoluto y, sobre todo, en </w:t>
      </w:r>
      <w:r w:rsidRPr="00B41EAD">
        <w:rPr>
          <w:color w:val="000000" w:themeColor="text1"/>
          <w:sz w:val="28"/>
          <w:szCs w:val="28"/>
          <w:lang w:val="es-ES"/>
        </w:rPr>
        <w:t>tercer</w:t>
      </w:r>
      <w:r w:rsidR="008F386F" w:rsidRPr="00B41EAD">
        <w:rPr>
          <w:color w:val="000000" w:themeColor="text1"/>
          <w:sz w:val="28"/>
          <w:szCs w:val="28"/>
          <w:lang w:val="es-ES"/>
        </w:rPr>
        <w:t xml:space="preserve"> lugar, porque a partir del análisis de los casos concretos ha quedado claro que desde la formulación misma de las demandas de reparación directa las autoridades judiciales accionadas contaban con elementos suficientes para evidenciar que los medios de control no se encontraban caducados. Por tanto, en estos casos, la medida más protectora de las garantías constitucionales que se han visto afectadas corresponde a la adopción inmediata de la decisión </w:t>
      </w:r>
      <w:r w:rsidR="00FA2FE2" w:rsidRPr="00B41EAD">
        <w:rPr>
          <w:color w:val="000000" w:themeColor="text1"/>
          <w:sz w:val="28"/>
          <w:szCs w:val="28"/>
          <w:lang w:val="es-ES"/>
        </w:rPr>
        <w:t>correspondiente, en los términos indicados previamente</w:t>
      </w:r>
      <w:r w:rsidR="008F386F" w:rsidRPr="00B41EAD">
        <w:rPr>
          <w:color w:val="000000" w:themeColor="text1"/>
          <w:sz w:val="28"/>
          <w:szCs w:val="28"/>
          <w:lang w:val="es-ES"/>
        </w:rPr>
        <w:t xml:space="preserve">. </w:t>
      </w:r>
    </w:p>
    <w:p w14:paraId="357910F1" w14:textId="77777777" w:rsidR="00B56F38" w:rsidRPr="00B41EAD" w:rsidRDefault="00B56F38" w:rsidP="00614326">
      <w:pPr>
        <w:jc w:val="both"/>
        <w:rPr>
          <w:color w:val="000000" w:themeColor="text1"/>
          <w:sz w:val="28"/>
          <w:szCs w:val="28"/>
          <w:lang w:val="es-ES"/>
        </w:rPr>
      </w:pPr>
    </w:p>
    <w:p w14:paraId="4E92CB9C" w14:textId="4075F8ED" w:rsidR="008C23B1" w:rsidRPr="00B41EAD" w:rsidRDefault="008C23B1" w:rsidP="006C0D35">
      <w:pPr>
        <w:pStyle w:val="Ttulo1"/>
        <w:tabs>
          <w:tab w:val="clear" w:pos="720"/>
        </w:tabs>
        <w:jc w:val="both"/>
        <w:rPr>
          <w:b/>
          <w:bCs/>
          <w:color w:val="000000" w:themeColor="text1"/>
          <w:sz w:val="28"/>
          <w:szCs w:val="28"/>
          <w:lang w:val="es-ES"/>
        </w:rPr>
      </w:pPr>
      <w:r w:rsidRPr="00B41EAD">
        <w:rPr>
          <w:b/>
          <w:bCs/>
          <w:color w:val="000000" w:themeColor="text1"/>
          <w:sz w:val="28"/>
          <w:szCs w:val="28"/>
          <w:lang w:val="es-ES"/>
        </w:rPr>
        <w:t>DECISIÓN</w:t>
      </w:r>
    </w:p>
    <w:p w14:paraId="596EDBC6" w14:textId="62B8E0B6" w:rsidR="105B277E" w:rsidRPr="00B41EAD" w:rsidRDefault="105B277E" w:rsidP="00614326">
      <w:pPr>
        <w:jc w:val="both"/>
        <w:rPr>
          <w:b/>
          <w:bCs/>
          <w:color w:val="000000" w:themeColor="text1"/>
          <w:sz w:val="28"/>
          <w:szCs w:val="28"/>
          <w:lang w:val="es-ES" w:eastAsia="es-CO"/>
        </w:rPr>
      </w:pPr>
    </w:p>
    <w:p w14:paraId="69918F50" w14:textId="4A09A9AA" w:rsidR="006C0D35" w:rsidRPr="00B41EAD" w:rsidRDefault="006C0D35" w:rsidP="00614326">
      <w:pPr>
        <w:jc w:val="both"/>
        <w:rPr>
          <w:color w:val="000000" w:themeColor="text1"/>
          <w:sz w:val="28"/>
          <w:szCs w:val="28"/>
          <w:lang w:val="es-ES" w:eastAsia="es-CO"/>
        </w:rPr>
      </w:pPr>
      <w:r w:rsidRPr="00B41EAD">
        <w:rPr>
          <w:color w:val="000000" w:themeColor="text1"/>
          <w:sz w:val="28"/>
          <w:szCs w:val="28"/>
          <w:lang w:val="es-ES" w:eastAsia="es-CO"/>
        </w:rPr>
        <w:t>En mérito de lo expuesto, la Sala Plena de la Corte Constitucional, administrando justicia en nombre del Pueblo y por mandato de la Constitución,</w:t>
      </w:r>
    </w:p>
    <w:p w14:paraId="016AD66B" w14:textId="77777777" w:rsidR="006C0D35" w:rsidRPr="00B41EAD" w:rsidRDefault="006C0D35" w:rsidP="00614326">
      <w:pPr>
        <w:jc w:val="center"/>
        <w:rPr>
          <w:b/>
          <w:color w:val="000000" w:themeColor="text1"/>
          <w:sz w:val="28"/>
          <w:szCs w:val="28"/>
          <w:lang w:val="es-ES" w:eastAsia="es-ES_tradnl"/>
        </w:rPr>
      </w:pPr>
    </w:p>
    <w:p w14:paraId="329AD217" w14:textId="6FBEAFCA" w:rsidR="008C23B1" w:rsidRPr="00B41EAD" w:rsidRDefault="008C23B1" w:rsidP="00614326">
      <w:pPr>
        <w:jc w:val="center"/>
        <w:rPr>
          <w:b/>
          <w:color w:val="000000" w:themeColor="text1"/>
          <w:sz w:val="28"/>
          <w:szCs w:val="28"/>
          <w:lang w:val="es-ES" w:eastAsia="es-ES_tradnl"/>
        </w:rPr>
      </w:pPr>
      <w:r w:rsidRPr="00B41EAD">
        <w:rPr>
          <w:b/>
          <w:color w:val="000000" w:themeColor="text1"/>
          <w:sz w:val="28"/>
          <w:szCs w:val="28"/>
          <w:lang w:val="es-ES" w:eastAsia="es-ES_tradnl"/>
        </w:rPr>
        <w:t>RESUELVE</w:t>
      </w:r>
    </w:p>
    <w:p w14:paraId="66ACE555" w14:textId="73ED7691" w:rsidR="008C23B1" w:rsidRPr="00B41EAD" w:rsidRDefault="008C23B1" w:rsidP="105B277E">
      <w:pPr>
        <w:jc w:val="both"/>
        <w:rPr>
          <w:b/>
          <w:bCs/>
          <w:color w:val="000000" w:themeColor="text1"/>
          <w:sz w:val="28"/>
          <w:szCs w:val="28"/>
          <w:lang w:val="es-ES" w:eastAsia="es-CO"/>
        </w:rPr>
      </w:pPr>
    </w:p>
    <w:p w14:paraId="6E1C986B" w14:textId="64881311" w:rsidR="00DE2317" w:rsidRPr="00B41EAD" w:rsidRDefault="006C0D35" w:rsidP="006C0D35">
      <w:pPr>
        <w:shd w:val="clear" w:color="auto" w:fill="FFFFFF"/>
        <w:jc w:val="both"/>
        <w:rPr>
          <w:color w:val="000000" w:themeColor="text1"/>
          <w:sz w:val="28"/>
          <w:szCs w:val="28"/>
          <w:lang w:val="es-ES"/>
        </w:rPr>
      </w:pPr>
      <w:r w:rsidRPr="00B41EAD">
        <w:rPr>
          <w:b/>
          <w:bCs/>
          <w:color w:val="000000" w:themeColor="text1"/>
          <w:sz w:val="28"/>
          <w:szCs w:val="28"/>
          <w:lang w:val="es-ES" w:eastAsia="en-US"/>
        </w:rPr>
        <w:t xml:space="preserve">Primero. </w:t>
      </w:r>
      <w:r w:rsidR="00DE2317" w:rsidRPr="00B41EAD">
        <w:rPr>
          <w:b/>
          <w:bCs/>
          <w:color w:val="000000" w:themeColor="text1"/>
          <w:sz w:val="28"/>
          <w:szCs w:val="28"/>
          <w:lang w:val="es-ES" w:eastAsia="en-US"/>
        </w:rPr>
        <w:t xml:space="preserve">En relación con el expediente </w:t>
      </w:r>
      <w:r w:rsidR="00DE2317" w:rsidRPr="00B41EAD">
        <w:rPr>
          <w:b/>
          <w:bCs/>
          <w:color w:val="000000" w:themeColor="text1"/>
          <w:sz w:val="28"/>
          <w:szCs w:val="28"/>
          <w:lang w:val="es-ES"/>
        </w:rPr>
        <w:t xml:space="preserve">T-10.001.552, </w:t>
      </w:r>
      <w:r w:rsidRPr="00B41EAD">
        <w:rPr>
          <w:b/>
          <w:bCs/>
          <w:color w:val="000000" w:themeColor="text1"/>
          <w:sz w:val="28"/>
          <w:szCs w:val="28"/>
          <w:lang w:val="es-ES" w:eastAsia="en-US"/>
        </w:rPr>
        <w:t>REVOCAR</w:t>
      </w:r>
      <w:r w:rsidRPr="00B41EAD">
        <w:rPr>
          <w:color w:val="000000" w:themeColor="text1"/>
          <w:sz w:val="28"/>
          <w:szCs w:val="28"/>
          <w:lang w:val="es-ES" w:eastAsia="en-US"/>
        </w:rPr>
        <w:t xml:space="preserve"> </w:t>
      </w:r>
      <w:r w:rsidR="00DE2317" w:rsidRPr="00B41EAD">
        <w:rPr>
          <w:color w:val="000000" w:themeColor="text1"/>
          <w:sz w:val="28"/>
          <w:szCs w:val="28"/>
          <w:lang w:val="es-ES" w:eastAsia="en-US"/>
        </w:rPr>
        <w:t xml:space="preserve">la </w:t>
      </w:r>
      <w:r w:rsidR="00085D8E" w:rsidRPr="00B41EAD">
        <w:rPr>
          <w:color w:val="000000" w:themeColor="text1"/>
          <w:sz w:val="28"/>
          <w:szCs w:val="28"/>
          <w:lang w:val="es-ES"/>
        </w:rPr>
        <w:t>S</w:t>
      </w:r>
      <w:r w:rsidR="00DE2317" w:rsidRPr="00B41EAD">
        <w:rPr>
          <w:color w:val="000000" w:themeColor="text1"/>
          <w:sz w:val="28"/>
          <w:szCs w:val="28"/>
          <w:lang w:val="es-ES"/>
        </w:rPr>
        <w:t xml:space="preserve">entencia de segunda instancia proferida el 11 de diciembre de 2023, en la que la Subsección B de la Sección Tercera del Consejo de Estado declaró la improcedencia de la acción de tutela de la referencia. En su lugar, </w:t>
      </w:r>
      <w:r w:rsidR="00DE2317" w:rsidRPr="00B41EAD">
        <w:rPr>
          <w:b/>
          <w:bCs/>
          <w:color w:val="000000" w:themeColor="text1"/>
          <w:sz w:val="28"/>
          <w:szCs w:val="28"/>
          <w:lang w:val="es-ES"/>
        </w:rPr>
        <w:t>AMPARAR</w:t>
      </w:r>
      <w:r w:rsidR="00DE2317" w:rsidRPr="00B41EAD">
        <w:rPr>
          <w:color w:val="000000" w:themeColor="text1"/>
          <w:sz w:val="28"/>
          <w:szCs w:val="28"/>
          <w:lang w:val="es-ES"/>
        </w:rPr>
        <w:t xml:space="preserve"> los derechos fundamentales al debido proceso y al acceso a la administración de justicia, así como las garantías de verdad, reparación integral y no repetición, en favor de </w:t>
      </w:r>
      <w:r w:rsidR="000D73E6" w:rsidRPr="00B41EAD">
        <w:rPr>
          <w:color w:val="000000" w:themeColor="text1"/>
          <w:sz w:val="28"/>
          <w:szCs w:val="28"/>
          <w:lang w:val="es-ES"/>
        </w:rPr>
        <w:t>la parte accionante</w:t>
      </w:r>
      <w:r w:rsidR="00DE2317" w:rsidRPr="00B41EAD">
        <w:rPr>
          <w:color w:val="000000" w:themeColor="text1"/>
          <w:sz w:val="28"/>
          <w:szCs w:val="28"/>
          <w:lang w:val="es-ES"/>
        </w:rPr>
        <w:t xml:space="preserve">. </w:t>
      </w:r>
    </w:p>
    <w:p w14:paraId="55E07EA8" w14:textId="77777777" w:rsidR="00DE2317" w:rsidRPr="00B41EAD" w:rsidRDefault="00DE2317" w:rsidP="00DE2317">
      <w:pPr>
        <w:pStyle w:val="Prrafodelista"/>
        <w:ind w:left="0"/>
        <w:jc w:val="both"/>
        <w:rPr>
          <w:b/>
          <w:bCs/>
          <w:color w:val="000000" w:themeColor="text1"/>
          <w:sz w:val="28"/>
          <w:szCs w:val="28"/>
          <w:lang w:val="es-ES"/>
        </w:rPr>
      </w:pPr>
    </w:p>
    <w:p w14:paraId="4ED175D5" w14:textId="7C01C14F" w:rsidR="00DE2317" w:rsidRPr="00B41EAD" w:rsidRDefault="00DE2317" w:rsidP="00DE2317">
      <w:pPr>
        <w:pStyle w:val="Prrafodelista"/>
        <w:ind w:left="0"/>
        <w:jc w:val="both"/>
        <w:rPr>
          <w:color w:val="000000" w:themeColor="text1"/>
          <w:sz w:val="28"/>
          <w:szCs w:val="28"/>
          <w:lang w:val="es-ES"/>
        </w:rPr>
      </w:pPr>
      <w:r w:rsidRPr="00B41EAD">
        <w:rPr>
          <w:b/>
          <w:bCs/>
          <w:color w:val="000000" w:themeColor="text1"/>
          <w:sz w:val="28"/>
          <w:szCs w:val="28"/>
          <w:lang w:val="es-ES"/>
        </w:rPr>
        <w:t xml:space="preserve">Segundo. </w:t>
      </w:r>
      <w:r w:rsidRPr="00B41EAD">
        <w:rPr>
          <w:color w:val="000000" w:themeColor="text1"/>
          <w:sz w:val="28"/>
          <w:szCs w:val="28"/>
          <w:lang w:val="es-ES"/>
        </w:rPr>
        <w:t xml:space="preserve">Como consecuencia de lo anterior, </w:t>
      </w:r>
      <w:r w:rsidRPr="00B41EAD">
        <w:rPr>
          <w:b/>
          <w:bCs/>
          <w:color w:val="000000" w:themeColor="text1"/>
          <w:sz w:val="28"/>
          <w:szCs w:val="28"/>
          <w:lang w:val="es-ES"/>
        </w:rPr>
        <w:t xml:space="preserve">DEJAR SIN EFECTOS </w:t>
      </w:r>
      <w:r w:rsidRPr="00B41EAD">
        <w:rPr>
          <w:color w:val="000000" w:themeColor="text1"/>
          <w:sz w:val="28"/>
          <w:szCs w:val="28"/>
          <w:lang w:val="es-ES"/>
        </w:rPr>
        <w:t xml:space="preserve">la providencia </w:t>
      </w:r>
      <w:r w:rsidRPr="00B41EAD">
        <w:rPr>
          <w:color w:val="000000" w:themeColor="text1"/>
          <w:sz w:val="28"/>
          <w:szCs w:val="28"/>
          <w:lang w:val="es-ES" w:eastAsia="en-US"/>
        </w:rPr>
        <w:t xml:space="preserve">del 7 de septiembre de 2022, proferida por la Subsección C de la Sección Tercera del Consejo de Estado, dentro del proceso de reparación directa identificado con el radicado 05001233300020210081201 (68097); y </w:t>
      </w:r>
      <w:r w:rsidRPr="00B41EAD">
        <w:rPr>
          <w:b/>
          <w:bCs/>
          <w:color w:val="000000" w:themeColor="text1"/>
          <w:sz w:val="28"/>
          <w:szCs w:val="28"/>
          <w:lang w:val="es-ES" w:eastAsia="en-US"/>
        </w:rPr>
        <w:t xml:space="preserve">ORDENAR </w:t>
      </w:r>
      <w:r w:rsidRPr="00B41EAD">
        <w:rPr>
          <w:color w:val="000000" w:themeColor="text1"/>
          <w:sz w:val="28"/>
          <w:szCs w:val="28"/>
          <w:lang w:val="es-ES" w:eastAsia="en-US"/>
        </w:rPr>
        <w:t>a dicha autoridad judicial que, en el término máximo</w:t>
      </w:r>
      <w:r w:rsidRPr="00B41EAD">
        <w:rPr>
          <w:b/>
          <w:bCs/>
          <w:color w:val="000000" w:themeColor="text1"/>
          <w:sz w:val="28"/>
          <w:szCs w:val="28"/>
          <w:lang w:val="es-ES" w:eastAsia="en-US"/>
        </w:rPr>
        <w:t xml:space="preserve"> </w:t>
      </w:r>
      <w:r w:rsidRPr="00B41EAD">
        <w:rPr>
          <w:color w:val="000000" w:themeColor="text1"/>
          <w:sz w:val="28"/>
          <w:szCs w:val="28"/>
          <w:lang w:val="es-ES" w:eastAsia="en-US"/>
        </w:rPr>
        <w:t xml:space="preserve">de </w:t>
      </w:r>
      <w:r w:rsidRPr="00B41EAD">
        <w:rPr>
          <w:color w:val="000000" w:themeColor="text1"/>
          <w:sz w:val="28"/>
          <w:szCs w:val="28"/>
          <w:lang w:val="es-ES"/>
        </w:rPr>
        <w:t xml:space="preserve">veinte (20) días, contados a partir de la notificación de esta sentencia, emita una nueva providencia de segunda instancia, en la que vuelva a valorar la caducidad del medio de control de </w:t>
      </w:r>
      <w:r w:rsidRPr="00B41EAD">
        <w:rPr>
          <w:color w:val="000000" w:themeColor="text1"/>
          <w:sz w:val="28"/>
          <w:szCs w:val="28"/>
          <w:lang w:val="es-ES"/>
        </w:rPr>
        <w:lastRenderedPageBreak/>
        <w:t>reparación directa, teniendo en cuenta</w:t>
      </w:r>
      <w:r w:rsidR="003B7FFD" w:rsidRPr="00B41EAD">
        <w:rPr>
          <w:color w:val="000000" w:themeColor="text1"/>
          <w:sz w:val="28"/>
          <w:szCs w:val="28"/>
          <w:lang w:val="es-ES"/>
        </w:rPr>
        <w:t xml:space="preserve"> estrictamente</w:t>
      </w:r>
      <w:r w:rsidRPr="00B41EAD">
        <w:rPr>
          <w:color w:val="000000" w:themeColor="text1"/>
          <w:sz w:val="28"/>
          <w:szCs w:val="28"/>
          <w:lang w:val="es-ES"/>
        </w:rPr>
        <w:t xml:space="preserve"> lo señalado en la parte motiva de esta decisión.</w:t>
      </w:r>
    </w:p>
    <w:p w14:paraId="4839E38C" w14:textId="6FDB4C25" w:rsidR="00DE2317" w:rsidRPr="00B41EAD" w:rsidRDefault="00DE2317" w:rsidP="00DE2317">
      <w:pPr>
        <w:pStyle w:val="Prrafodelista"/>
        <w:ind w:left="0"/>
        <w:jc w:val="both"/>
        <w:rPr>
          <w:b/>
          <w:bCs/>
          <w:color w:val="000000" w:themeColor="text1"/>
          <w:sz w:val="28"/>
          <w:szCs w:val="28"/>
          <w:lang w:val="es-ES"/>
        </w:rPr>
      </w:pPr>
    </w:p>
    <w:p w14:paraId="4B0522EC" w14:textId="7264598A" w:rsidR="00DE2317" w:rsidRPr="00B41EAD" w:rsidRDefault="00DE2317" w:rsidP="00DE2317">
      <w:pPr>
        <w:pStyle w:val="Prrafodelista"/>
        <w:ind w:left="0"/>
        <w:jc w:val="both"/>
        <w:rPr>
          <w:color w:val="000000" w:themeColor="text1"/>
          <w:sz w:val="28"/>
          <w:szCs w:val="28"/>
          <w:lang w:val="es-ES"/>
        </w:rPr>
      </w:pPr>
      <w:r w:rsidRPr="00B41EAD">
        <w:rPr>
          <w:b/>
          <w:bCs/>
          <w:color w:val="000000" w:themeColor="text1"/>
          <w:sz w:val="28"/>
          <w:szCs w:val="28"/>
          <w:lang w:val="es-ES"/>
        </w:rPr>
        <w:t xml:space="preserve">Tercero. En relación con el expediente T-10.007.411, REVOCAR </w:t>
      </w:r>
      <w:r w:rsidRPr="00B41EAD">
        <w:rPr>
          <w:color w:val="000000" w:themeColor="text1"/>
          <w:sz w:val="28"/>
          <w:szCs w:val="28"/>
          <w:lang w:val="es-ES"/>
        </w:rPr>
        <w:t xml:space="preserve">la </w:t>
      </w:r>
      <w:r w:rsidR="00085D8E" w:rsidRPr="00B41EAD">
        <w:rPr>
          <w:color w:val="000000" w:themeColor="text1"/>
          <w:sz w:val="28"/>
          <w:szCs w:val="28"/>
          <w:lang w:val="es-ES"/>
        </w:rPr>
        <w:t>S</w:t>
      </w:r>
      <w:r w:rsidRPr="00B41EAD">
        <w:rPr>
          <w:color w:val="000000" w:themeColor="text1"/>
          <w:sz w:val="28"/>
          <w:szCs w:val="28"/>
          <w:lang w:val="es-ES"/>
        </w:rPr>
        <w:t xml:space="preserve">entencia de segunda instancia proferida el 1 de noviembre de 2023 por la Subsección B de la Sección Segunda del Consejo de Estado, en la cual se negó el amparo constitucional. En su lugar, por las razones expuestas en la parte motiva de esta providencia, </w:t>
      </w:r>
      <w:r w:rsidRPr="00B41EAD">
        <w:rPr>
          <w:b/>
          <w:bCs/>
          <w:color w:val="000000" w:themeColor="text1"/>
          <w:sz w:val="28"/>
          <w:szCs w:val="28"/>
          <w:lang w:val="es-ES"/>
        </w:rPr>
        <w:t>CONFIRMAR</w:t>
      </w:r>
      <w:r w:rsidRPr="00B41EAD">
        <w:rPr>
          <w:color w:val="000000" w:themeColor="text1"/>
          <w:sz w:val="28"/>
          <w:szCs w:val="28"/>
          <w:lang w:val="es-ES"/>
        </w:rPr>
        <w:t xml:space="preserve"> la </w:t>
      </w:r>
      <w:r w:rsidR="00085D8E" w:rsidRPr="00B41EAD">
        <w:rPr>
          <w:color w:val="000000" w:themeColor="text1"/>
          <w:sz w:val="28"/>
          <w:szCs w:val="28"/>
          <w:lang w:val="es-ES"/>
        </w:rPr>
        <w:t>S</w:t>
      </w:r>
      <w:r w:rsidRPr="00B41EAD">
        <w:rPr>
          <w:color w:val="000000" w:themeColor="text1"/>
          <w:sz w:val="28"/>
          <w:szCs w:val="28"/>
          <w:lang w:val="es-ES"/>
        </w:rPr>
        <w:t xml:space="preserve">entencia de primera instancia, adoptada el 13 de julio de 2023 por la Subsección A de la Sección Segunda del Consejo de Estado, en la que se decidió </w:t>
      </w:r>
      <w:r w:rsidR="003B7FFD" w:rsidRPr="00B41EAD">
        <w:rPr>
          <w:color w:val="000000" w:themeColor="text1"/>
          <w:sz w:val="28"/>
          <w:szCs w:val="28"/>
          <w:lang w:val="es-ES"/>
        </w:rPr>
        <w:t xml:space="preserve">(i) </w:t>
      </w:r>
      <w:r w:rsidRPr="00B41EAD">
        <w:rPr>
          <w:color w:val="000000" w:themeColor="text1"/>
          <w:sz w:val="28"/>
          <w:szCs w:val="28"/>
          <w:lang w:val="es-ES"/>
        </w:rPr>
        <w:t xml:space="preserve">amparar los derechos fundamentales al debido proceso, al acceso a la administración de justicia y a la reparación integral de las accionantes, </w:t>
      </w:r>
      <w:r w:rsidR="003B7FFD" w:rsidRPr="00B41EAD">
        <w:rPr>
          <w:color w:val="000000" w:themeColor="text1"/>
          <w:sz w:val="28"/>
          <w:szCs w:val="28"/>
          <w:lang w:val="es-ES"/>
        </w:rPr>
        <w:t>(</w:t>
      </w:r>
      <w:proofErr w:type="spellStart"/>
      <w:r w:rsidR="003B7FFD" w:rsidRPr="00B41EAD">
        <w:rPr>
          <w:color w:val="000000" w:themeColor="text1"/>
          <w:sz w:val="28"/>
          <w:szCs w:val="28"/>
          <w:lang w:val="es-ES"/>
        </w:rPr>
        <w:t>ii</w:t>
      </w:r>
      <w:proofErr w:type="spellEnd"/>
      <w:r w:rsidR="003B7FFD" w:rsidRPr="00B41EAD">
        <w:rPr>
          <w:color w:val="000000" w:themeColor="text1"/>
          <w:sz w:val="28"/>
          <w:szCs w:val="28"/>
          <w:lang w:val="es-ES"/>
        </w:rPr>
        <w:t>) dejar</w:t>
      </w:r>
      <w:r w:rsidRPr="00B41EAD">
        <w:rPr>
          <w:color w:val="000000" w:themeColor="text1"/>
          <w:sz w:val="28"/>
          <w:szCs w:val="28"/>
          <w:lang w:val="es-ES"/>
        </w:rPr>
        <w:t xml:space="preserve"> sin efectos la providencia objeto de la acción de tutela y</w:t>
      </w:r>
      <w:r w:rsidR="003B7FFD" w:rsidRPr="00B41EAD">
        <w:rPr>
          <w:color w:val="000000" w:themeColor="text1"/>
          <w:sz w:val="28"/>
          <w:szCs w:val="28"/>
          <w:lang w:val="es-ES"/>
        </w:rPr>
        <w:t xml:space="preserve"> (</w:t>
      </w:r>
      <w:proofErr w:type="spellStart"/>
      <w:r w:rsidR="003B7FFD" w:rsidRPr="00B41EAD">
        <w:rPr>
          <w:color w:val="000000" w:themeColor="text1"/>
          <w:sz w:val="28"/>
          <w:szCs w:val="28"/>
          <w:lang w:val="es-ES"/>
        </w:rPr>
        <w:t>ii</w:t>
      </w:r>
      <w:proofErr w:type="spellEnd"/>
      <w:r w:rsidR="003B7FFD" w:rsidRPr="00B41EAD">
        <w:rPr>
          <w:color w:val="000000" w:themeColor="text1"/>
          <w:sz w:val="28"/>
          <w:szCs w:val="28"/>
          <w:lang w:val="es-ES"/>
        </w:rPr>
        <w:t>) ordenar</w:t>
      </w:r>
      <w:r w:rsidRPr="00B41EAD">
        <w:rPr>
          <w:color w:val="000000" w:themeColor="text1"/>
          <w:sz w:val="28"/>
          <w:szCs w:val="28"/>
          <w:lang w:val="es-ES"/>
        </w:rPr>
        <w:t xml:space="preserve"> al Tribunal Administrativo del Tolima </w:t>
      </w:r>
      <w:r w:rsidR="003B7FFD" w:rsidRPr="00B41EAD">
        <w:rPr>
          <w:color w:val="000000" w:themeColor="text1"/>
          <w:sz w:val="28"/>
          <w:szCs w:val="28"/>
          <w:lang w:val="es-ES"/>
        </w:rPr>
        <w:t xml:space="preserve">que en el término máximo de veinte (20) días adopte la </w:t>
      </w:r>
      <w:r w:rsidRPr="00B41EAD">
        <w:rPr>
          <w:color w:val="000000" w:themeColor="text1"/>
          <w:sz w:val="28"/>
          <w:szCs w:val="28"/>
          <w:lang w:val="es-ES"/>
        </w:rPr>
        <w:t>providencia de reemplazo.</w:t>
      </w:r>
    </w:p>
    <w:p w14:paraId="0A26C020" w14:textId="0BA553B6" w:rsidR="003B7FFD" w:rsidRPr="00B41EAD" w:rsidRDefault="003B7FFD" w:rsidP="00DE2317">
      <w:pPr>
        <w:pStyle w:val="Prrafodelista"/>
        <w:ind w:left="0"/>
        <w:jc w:val="both"/>
        <w:rPr>
          <w:color w:val="000000" w:themeColor="text1"/>
          <w:sz w:val="28"/>
          <w:szCs w:val="28"/>
          <w:lang w:val="es-ES"/>
        </w:rPr>
      </w:pPr>
    </w:p>
    <w:p w14:paraId="6089168D" w14:textId="7CB86326" w:rsidR="003B7FFD" w:rsidRPr="00B41EAD" w:rsidRDefault="003B7FFD" w:rsidP="00DE2317">
      <w:pPr>
        <w:pStyle w:val="Prrafodelista"/>
        <w:ind w:left="0"/>
        <w:jc w:val="both"/>
        <w:rPr>
          <w:b/>
          <w:bCs/>
          <w:color w:val="000000" w:themeColor="text1"/>
          <w:sz w:val="28"/>
          <w:szCs w:val="28"/>
          <w:lang w:val="es-ES"/>
        </w:rPr>
      </w:pPr>
      <w:r w:rsidRPr="00B41EAD">
        <w:rPr>
          <w:b/>
          <w:bCs/>
          <w:color w:val="000000" w:themeColor="text1"/>
          <w:sz w:val="28"/>
          <w:szCs w:val="28"/>
          <w:lang w:val="es-ES"/>
        </w:rPr>
        <w:t xml:space="preserve">Cuarto. ADVERTIR </w:t>
      </w:r>
      <w:r w:rsidRPr="00B41EAD">
        <w:rPr>
          <w:color w:val="000000" w:themeColor="text1"/>
          <w:sz w:val="28"/>
          <w:szCs w:val="28"/>
          <w:lang w:val="es-ES"/>
        </w:rPr>
        <w:t xml:space="preserve">al Tribunal Administrativo del Tolima que la nueva sentencia que se adopte en el marco del proceso de reparación directa identificado con el radicado 73001333300320190021801, deberá tener en cuenta estrictamente los fundamentos de la presente providencia, que llevaron a otorgar el amparo reclamado por los tutelantes. </w:t>
      </w:r>
    </w:p>
    <w:p w14:paraId="1B661B24" w14:textId="77777777" w:rsidR="006C0D35" w:rsidRPr="00B41EAD" w:rsidRDefault="006C0D35" w:rsidP="006C0D35">
      <w:pPr>
        <w:shd w:val="clear" w:color="auto" w:fill="FFFFFF"/>
        <w:jc w:val="both"/>
        <w:rPr>
          <w:color w:val="000000" w:themeColor="text1"/>
          <w:sz w:val="28"/>
          <w:szCs w:val="28"/>
          <w:lang w:val="es-ES" w:eastAsia="en-US"/>
        </w:rPr>
      </w:pPr>
    </w:p>
    <w:p w14:paraId="2BF17227" w14:textId="3AFCA744" w:rsidR="006C0D35" w:rsidRPr="00B41EAD" w:rsidRDefault="003B7FFD" w:rsidP="003B7FFD">
      <w:pPr>
        <w:shd w:val="clear" w:color="auto" w:fill="FFFFFF"/>
        <w:jc w:val="both"/>
        <w:rPr>
          <w:color w:val="000000" w:themeColor="text1"/>
          <w:sz w:val="28"/>
          <w:szCs w:val="28"/>
          <w:lang w:val="es-ES" w:eastAsia="en-US"/>
        </w:rPr>
      </w:pPr>
      <w:r w:rsidRPr="00B41EAD">
        <w:rPr>
          <w:b/>
          <w:bCs/>
          <w:color w:val="000000" w:themeColor="text1"/>
          <w:sz w:val="28"/>
          <w:szCs w:val="28"/>
          <w:lang w:val="es-ES" w:eastAsia="en-US"/>
        </w:rPr>
        <w:t>Quinto</w:t>
      </w:r>
      <w:r w:rsidR="006C0D35" w:rsidRPr="00B41EAD">
        <w:rPr>
          <w:b/>
          <w:bCs/>
          <w:color w:val="000000" w:themeColor="text1"/>
          <w:sz w:val="28"/>
          <w:szCs w:val="28"/>
          <w:lang w:val="es-ES" w:eastAsia="en-US"/>
        </w:rPr>
        <w:t xml:space="preserve">. </w:t>
      </w:r>
      <w:r w:rsidR="006C0D35" w:rsidRPr="00B41EAD">
        <w:rPr>
          <w:color w:val="000000" w:themeColor="text1"/>
          <w:sz w:val="28"/>
          <w:szCs w:val="28"/>
          <w:shd w:val="clear" w:color="auto" w:fill="FFFFFF"/>
          <w:lang w:val="es-ES" w:eastAsia="en-US"/>
        </w:rPr>
        <w:t xml:space="preserve">Por la </w:t>
      </w:r>
      <w:r w:rsidR="00DB093E" w:rsidRPr="00B41EAD">
        <w:rPr>
          <w:color w:val="000000" w:themeColor="text1"/>
          <w:sz w:val="28"/>
          <w:szCs w:val="28"/>
          <w:shd w:val="clear" w:color="auto" w:fill="FFFFFF"/>
          <w:lang w:val="es-ES" w:eastAsia="en-US"/>
        </w:rPr>
        <w:t>S</w:t>
      </w:r>
      <w:r w:rsidR="006C0D35" w:rsidRPr="00B41EAD">
        <w:rPr>
          <w:color w:val="000000" w:themeColor="text1"/>
          <w:sz w:val="28"/>
          <w:szCs w:val="28"/>
          <w:shd w:val="clear" w:color="auto" w:fill="FFFFFF"/>
          <w:lang w:val="es-ES" w:eastAsia="en-US"/>
        </w:rPr>
        <w:t xml:space="preserve">ecretaría </w:t>
      </w:r>
      <w:r w:rsidR="00DB093E" w:rsidRPr="00B41EAD">
        <w:rPr>
          <w:color w:val="000000" w:themeColor="text1"/>
          <w:sz w:val="28"/>
          <w:szCs w:val="28"/>
          <w:shd w:val="clear" w:color="auto" w:fill="FFFFFF"/>
          <w:lang w:val="es-ES" w:eastAsia="en-US"/>
        </w:rPr>
        <w:t>G</w:t>
      </w:r>
      <w:r w:rsidR="006C0D35" w:rsidRPr="00B41EAD">
        <w:rPr>
          <w:color w:val="000000" w:themeColor="text1"/>
          <w:sz w:val="28"/>
          <w:szCs w:val="28"/>
          <w:shd w:val="clear" w:color="auto" w:fill="FFFFFF"/>
          <w:lang w:val="es-ES" w:eastAsia="en-US"/>
        </w:rPr>
        <w:t xml:space="preserve">eneral de la Corte Constitucional, </w:t>
      </w:r>
      <w:r w:rsidR="006C0D35" w:rsidRPr="00B41EAD">
        <w:rPr>
          <w:b/>
          <w:bCs/>
          <w:color w:val="000000" w:themeColor="text1"/>
          <w:sz w:val="28"/>
          <w:szCs w:val="28"/>
          <w:shd w:val="clear" w:color="auto" w:fill="FFFFFF"/>
          <w:lang w:val="es-ES" w:eastAsia="en-US"/>
        </w:rPr>
        <w:t xml:space="preserve">LÍBRENSE </w:t>
      </w:r>
      <w:r w:rsidR="006C0D35" w:rsidRPr="00B41EAD">
        <w:rPr>
          <w:color w:val="000000" w:themeColor="text1"/>
          <w:sz w:val="28"/>
          <w:szCs w:val="28"/>
          <w:shd w:val="clear" w:color="auto" w:fill="FFFFFF"/>
          <w:lang w:val="es-ES" w:eastAsia="en-US"/>
        </w:rPr>
        <w:t>las comunicaciones de que trata el artículo 36 del Decreto 2591 de 1991.</w:t>
      </w:r>
    </w:p>
    <w:p w14:paraId="68B51A0F" w14:textId="77777777" w:rsidR="006C0D35" w:rsidRPr="00B41EAD" w:rsidRDefault="006C0D35" w:rsidP="006C0D35">
      <w:pPr>
        <w:jc w:val="both"/>
        <w:textAlignment w:val="baseline"/>
        <w:rPr>
          <w:color w:val="000000" w:themeColor="text1"/>
          <w:sz w:val="28"/>
          <w:szCs w:val="28"/>
          <w:lang w:val="es-ES" w:eastAsia="en-US"/>
        </w:rPr>
      </w:pPr>
      <w:r w:rsidRPr="00B41EAD">
        <w:rPr>
          <w:color w:val="000000" w:themeColor="text1"/>
          <w:sz w:val="28"/>
          <w:szCs w:val="28"/>
          <w:lang w:val="es-ES" w:eastAsia="en-US"/>
        </w:rPr>
        <w:t> </w:t>
      </w:r>
    </w:p>
    <w:p w14:paraId="06B58DC4" w14:textId="68A61090" w:rsidR="006C0D35" w:rsidRDefault="006C0D35" w:rsidP="006C0D35">
      <w:pPr>
        <w:ind w:right="45"/>
        <w:jc w:val="both"/>
        <w:textAlignment w:val="baseline"/>
        <w:rPr>
          <w:color w:val="000000" w:themeColor="text1"/>
          <w:sz w:val="28"/>
          <w:szCs w:val="28"/>
          <w:lang w:val="es-ES" w:eastAsia="en-US"/>
        </w:rPr>
      </w:pPr>
      <w:r w:rsidRPr="00B41EAD">
        <w:rPr>
          <w:color w:val="000000" w:themeColor="text1"/>
          <w:sz w:val="28"/>
          <w:szCs w:val="28"/>
          <w:lang w:val="es-ES" w:eastAsia="en-US"/>
        </w:rPr>
        <w:t>Notifíquese, comuníquese y cúmplase,</w:t>
      </w:r>
    </w:p>
    <w:p w14:paraId="45D6633E" w14:textId="4CAA0FD3" w:rsidR="00EC4296" w:rsidRDefault="00EC4296" w:rsidP="006C0D35">
      <w:pPr>
        <w:ind w:right="45"/>
        <w:jc w:val="both"/>
        <w:textAlignment w:val="baseline"/>
        <w:rPr>
          <w:color w:val="000000" w:themeColor="text1"/>
          <w:sz w:val="28"/>
          <w:szCs w:val="28"/>
          <w:lang w:val="es-ES" w:eastAsia="en-US"/>
        </w:rPr>
      </w:pPr>
    </w:p>
    <w:p w14:paraId="332DE460" w14:textId="7D9581CC" w:rsidR="00EC4296" w:rsidRDefault="00EC4296" w:rsidP="006C0D35">
      <w:pPr>
        <w:ind w:right="45"/>
        <w:jc w:val="both"/>
        <w:textAlignment w:val="baseline"/>
        <w:rPr>
          <w:color w:val="000000" w:themeColor="text1"/>
          <w:sz w:val="28"/>
          <w:szCs w:val="28"/>
          <w:lang w:val="es-ES" w:eastAsia="en-US"/>
        </w:rPr>
      </w:pPr>
    </w:p>
    <w:p w14:paraId="289F2D31" w14:textId="4CDBF541"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JOSE FERNANDO REYES CUARTAS</w:t>
      </w:r>
    </w:p>
    <w:p w14:paraId="2D5CAD0F" w14:textId="4845A3E2"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Presidente</w:t>
      </w:r>
    </w:p>
    <w:p w14:paraId="32ACFDA1" w14:textId="314A960D" w:rsidR="00EC4296" w:rsidRDefault="00EC4296" w:rsidP="00EC4296">
      <w:pPr>
        <w:ind w:right="45"/>
        <w:jc w:val="center"/>
        <w:textAlignment w:val="baseline"/>
        <w:rPr>
          <w:color w:val="000000" w:themeColor="text1"/>
          <w:sz w:val="28"/>
          <w:szCs w:val="28"/>
          <w:lang w:val="es-ES" w:eastAsia="en-US"/>
        </w:rPr>
      </w:pPr>
    </w:p>
    <w:p w14:paraId="156B3CC7" w14:textId="4E075FC8" w:rsidR="00EC4296" w:rsidRDefault="00EC4296" w:rsidP="00EC4296">
      <w:pPr>
        <w:ind w:right="45"/>
        <w:jc w:val="center"/>
        <w:textAlignment w:val="baseline"/>
        <w:rPr>
          <w:color w:val="000000" w:themeColor="text1"/>
          <w:sz w:val="28"/>
          <w:szCs w:val="28"/>
          <w:lang w:val="es-ES" w:eastAsia="en-US"/>
        </w:rPr>
      </w:pPr>
    </w:p>
    <w:p w14:paraId="0BF24C0F" w14:textId="695C8B1A" w:rsidR="00EC4296" w:rsidRDefault="00EC4296" w:rsidP="00EC4296">
      <w:pPr>
        <w:ind w:right="45"/>
        <w:jc w:val="center"/>
        <w:textAlignment w:val="baseline"/>
        <w:rPr>
          <w:color w:val="000000" w:themeColor="text1"/>
          <w:sz w:val="28"/>
          <w:szCs w:val="28"/>
          <w:lang w:val="es-ES" w:eastAsia="en-US"/>
        </w:rPr>
      </w:pPr>
    </w:p>
    <w:p w14:paraId="34BC27AB" w14:textId="75C833E3"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NATALIA ÁNGEL CABO</w:t>
      </w:r>
    </w:p>
    <w:p w14:paraId="1C7B715F" w14:textId="41FC4583"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Magistrada</w:t>
      </w:r>
    </w:p>
    <w:p w14:paraId="060396C6" w14:textId="0B521A28"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Ausente con comisión</w:t>
      </w:r>
    </w:p>
    <w:p w14:paraId="67C225BA" w14:textId="1A9AB44E" w:rsidR="00EC4296" w:rsidRDefault="00EC4296" w:rsidP="00EC4296">
      <w:pPr>
        <w:ind w:right="45"/>
        <w:jc w:val="center"/>
        <w:textAlignment w:val="baseline"/>
        <w:rPr>
          <w:color w:val="000000" w:themeColor="text1"/>
          <w:sz w:val="28"/>
          <w:szCs w:val="28"/>
          <w:lang w:val="es-ES" w:eastAsia="en-US"/>
        </w:rPr>
      </w:pPr>
    </w:p>
    <w:p w14:paraId="3C03DBE5" w14:textId="7B17A592" w:rsidR="00EC4296" w:rsidRDefault="00EC4296" w:rsidP="00EC4296">
      <w:pPr>
        <w:ind w:right="45"/>
        <w:jc w:val="center"/>
        <w:textAlignment w:val="baseline"/>
        <w:rPr>
          <w:color w:val="000000" w:themeColor="text1"/>
          <w:sz w:val="28"/>
          <w:szCs w:val="28"/>
          <w:lang w:val="es-ES" w:eastAsia="en-US"/>
        </w:rPr>
      </w:pPr>
    </w:p>
    <w:p w14:paraId="5537D9E2" w14:textId="5AAE9914" w:rsidR="00EC4296" w:rsidRDefault="00EC4296" w:rsidP="00EC4296">
      <w:pPr>
        <w:ind w:right="45"/>
        <w:jc w:val="center"/>
        <w:textAlignment w:val="baseline"/>
        <w:rPr>
          <w:color w:val="000000" w:themeColor="text1"/>
          <w:sz w:val="28"/>
          <w:szCs w:val="28"/>
          <w:lang w:val="es-ES" w:eastAsia="en-US"/>
        </w:rPr>
      </w:pPr>
    </w:p>
    <w:p w14:paraId="71A9CFED" w14:textId="06A0053C"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JUAN CARLOS CORTÉS GONZÁLEZ</w:t>
      </w:r>
    </w:p>
    <w:p w14:paraId="43F5801A" w14:textId="05058502"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Magistrado</w:t>
      </w:r>
    </w:p>
    <w:p w14:paraId="3FCC6116" w14:textId="4DA9DC9A" w:rsidR="00EC4296" w:rsidRDefault="00EC4296" w:rsidP="00EC4296">
      <w:pPr>
        <w:ind w:right="45"/>
        <w:jc w:val="center"/>
        <w:textAlignment w:val="baseline"/>
        <w:rPr>
          <w:color w:val="000000" w:themeColor="text1"/>
          <w:sz w:val="28"/>
          <w:szCs w:val="28"/>
          <w:lang w:val="es-ES" w:eastAsia="en-US"/>
        </w:rPr>
      </w:pPr>
    </w:p>
    <w:p w14:paraId="0880E062" w14:textId="532CBA4F" w:rsidR="00EC4296" w:rsidRDefault="00EC4296" w:rsidP="00EC4296">
      <w:pPr>
        <w:ind w:right="45"/>
        <w:jc w:val="center"/>
        <w:textAlignment w:val="baseline"/>
        <w:rPr>
          <w:color w:val="000000" w:themeColor="text1"/>
          <w:sz w:val="28"/>
          <w:szCs w:val="28"/>
          <w:lang w:val="es-ES" w:eastAsia="en-US"/>
        </w:rPr>
      </w:pPr>
    </w:p>
    <w:p w14:paraId="75F45711" w14:textId="39BD165F" w:rsidR="00EC4296" w:rsidRDefault="00EC4296" w:rsidP="00EC4296">
      <w:pPr>
        <w:ind w:right="45"/>
        <w:jc w:val="center"/>
        <w:textAlignment w:val="baseline"/>
        <w:rPr>
          <w:color w:val="000000" w:themeColor="text1"/>
          <w:sz w:val="28"/>
          <w:szCs w:val="28"/>
          <w:lang w:val="es-ES" w:eastAsia="en-US"/>
        </w:rPr>
      </w:pPr>
    </w:p>
    <w:p w14:paraId="314F6386" w14:textId="51EAAA77"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DIANA FAJARDO RIVERA</w:t>
      </w:r>
    </w:p>
    <w:p w14:paraId="329A8321" w14:textId="1D494DA9"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Magistrada</w:t>
      </w:r>
    </w:p>
    <w:p w14:paraId="203501F8" w14:textId="144238A3" w:rsidR="00EC4296" w:rsidRDefault="00EC4296" w:rsidP="00EC4296">
      <w:pPr>
        <w:ind w:right="45"/>
        <w:jc w:val="center"/>
        <w:textAlignment w:val="baseline"/>
        <w:rPr>
          <w:color w:val="000000" w:themeColor="text1"/>
          <w:sz w:val="28"/>
          <w:szCs w:val="28"/>
          <w:lang w:val="es-ES" w:eastAsia="en-US"/>
        </w:rPr>
      </w:pPr>
    </w:p>
    <w:p w14:paraId="4B837B17" w14:textId="0E15EBD6" w:rsidR="00EC4296" w:rsidRDefault="00EC4296" w:rsidP="00EC4296">
      <w:pPr>
        <w:ind w:right="45"/>
        <w:jc w:val="center"/>
        <w:textAlignment w:val="baseline"/>
        <w:rPr>
          <w:color w:val="000000" w:themeColor="text1"/>
          <w:sz w:val="28"/>
          <w:szCs w:val="28"/>
          <w:lang w:val="es-ES" w:eastAsia="en-US"/>
        </w:rPr>
      </w:pPr>
    </w:p>
    <w:p w14:paraId="7A053958" w14:textId="3575E58C" w:rsidR="00EC4296" w:rsidRDefault="00EC4296" w:rsidP="00EC4296">
      <w:pPr>
        <w:ind w:right="45"/>
        <w:jc w:val="center"/>
        <w:textAlignment w:val="baseline"/>
        <w:rPr>
          <w:color w:val="000000" w:themeColor="text1"/>
          <w:sz w:val="28"/>
          <w:szCs w:val="28"/>
          <w:lang w:val="es-ES" w:eastAsia="en-US"/>
        </w:rPr>
      </w:pPr>
    </w:p>
    <w:p w14:paraId="126DAAE8" w14:textId="0046A67A"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VLADIMIR FERNÁNDEZ ANDRADE</w:t>
      </w:r>
    </w:p>
    <w:p w14:paraId="316D5077" w14:textId="35CDF8B4"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Magistrado</w:t>
      </w:r>
    </w:p>
    <w:p w14:paraId="39CAD5CD" w14:textId="754951C2" w:rsidR="00EC4296" w:rsidRDefault="00EC4296" w:rsidP="00EC4296">
      <w:pPr>
        <w:ind w:right="45"/>
        <w:jc w:val="center"/>
        <w:textAlignment w:val="baseline"/>
        <w:rPr>
          <w:color w:val="000000" w:themeColor="text1"/>
          <w:sz w:val="28"/>
          <w:szCs w:val="28"/>
          <w:lang w:val="es-ES" w:eastAsia="en-US"/>
        </w:rPr>
      </w:pPr>
    </w:p>
    <w:p w14:paraId="18D27B7C" w14:textId="5DD80F33" w:rsidR="00EC4296" w:rsidRDefault="00EC4296" w:rsidP="00EC4296">
      <w:pPr>
        <w:ind w:right="45"/>
        <w:jc w:val="center"/>
        <w:textAlignment w:val="baseline"/>
        <w:rPr>
          <w:color w:val="000000" w:themeColor="text1"/>
          <w:sz w:val="28"/>
          <w:szCs w:val="28"/>
          <w:lang w:val="es-ES" w:eastAsia="en-US"/>
        </w:rPr>
      </w:pPr>
    </w:p>
    <w:p w14:paraId="44CBF87C" w14:textId="60088888" w:rsidR="00EC4296" w:rsidRDefault="00EC4296" w:rsidP="00EC4296">
      <w:pPr>
        <w:ind w:right="45"/>
        <w:jc w:val="center"/>
        <w:textAlignment w:val="baseline"/>
        <w:rPr>
          <w:color w:val="000000" w:themeColor="text1"/>
          <w:sz w:val="28"/>
          <w:szCs w:val="28"/>
          <w:lang w:val="es-ES" w:eastAsia="en-US"/>
        </w:rPr>
      </w:pPr>
    </w:p>
    <w:p w14:paraId="7B2C8077" w14:textId="79611A7E"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 xml:space="preserve">JORGE ENRIQUE IBÁÑEZ NAJAR </w:t>
      </w:r>
    </w:p>
    <w:p w14:paraId="1D424524" w14:textId="05FB07B0"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Magistrado</w:t>
      </w:r>
    </w:p>
    <w:p w14:paraId="0A62913B" w14:textId="5AC3FFFC" w:rsidR="00EC4296" w:rsidRDefault="00EC4296" w:rsidP="00EC4296">
      <w:pPr>
        <w:ind w:right="45"/>
        <w:jc w:val="center"/>
        <w:textAlignment w:val="baseline"/>
        <w:rPr>
          <w:color w:val="000000" w:themeColor="text1"/>
          <w:sz w:val="28"/>
          <w:szCs w:val="28"/>
          <w:lang w:val="es-ES" w:eastAsia="en-US"/>
        </w:rPr>
      </w:pPr>
    </w:p>
    <w:p w14:paraId="2C404F4C" w14:textId="3A2EEDE7" w:rsidR="00EC4296" w:rsidRDefault="00EC4296" w:rsidP="00EC4296">
      <w:pPr>
        <w:ind w:right="45"/>
        <w:jc w:val="center"/>
        <w:textAlignment w:val="baseline"/>
        <w:rPr>
          <w:color w:val="000000" w:themeColor="text1"/>
          <w:sz w:val="28"/>
          <w:szCs w:val="28"/>
          <w:lang w:val="es-ES" w:eastAsia="en-US"/>
        </w:rPr>
      </w:pPr>
    </w:p>
    <w:p w14:paraId="356981D9" w14:textId="2BA72DE3" w:rsidR="00EC4296" w:rsidRDefault="00EC4296" w:rsidP="00EC4296">
      <w:pPr>
        <w:ind w:right="45"/>
        <w:jc w:val="center"/>
        <w:textAlignment w:val="baseline"/>
        <w:rPr>
          <w:color w:val="000000" w:themeColor="text1"/>
          <w:sz w:val="28"/>
          <w:szCs w:val="28"/>
          <w:lang w:val="es-ES" w:eastAsia="en-US"/>
        </w:rPr>
      </w:pPr>
    </w:p>
    <w:p w14:paraId="3EE46358" w14:textId="36FA20A7"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ANTONIO JOSÉ LIZARAZO OCAMPO</w:t>
      </w:r>
    </w:p>
    <w:p w14:paraId="34C36E3A" w14:textId="69157F9F"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Magistrado</w:t>
      </w:r>
    </w:p>
    <w:p w14:paraId="78CDDCA9" w14:textId="219DA043"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Con salvamento parcial de voto</w:t>
      </w:r>
    </w:p>
    <w:p w14:paraId="3719EF20" w14:textId="38193786" w:rsidR="00EC4296" w:rsidRDefault="00EC4296" w:rsidP="00EC4296">
      <w:pPr>
        <w:ind w:right="45"/>
        <w:jc w:val="center"/>
        <w:textAlignment w:val="baseline"/>
        <w:rPr>
          <w:color w:val="000000" w:themeColor="text1"/>
          <w:sz w:val="28"/>
          <w:szCs w:val="28"/>
          <w:lang w:val="es-ES" w:eastAsia="en-US"/>
        </w:rPr>
      </w:pPr>
    </w:p>
    <w:p w14:paraId="3A73D391" w14:textId="08882AE2" w:rsidR="00EC4296" w:rsidRDefault="00EC4296" w:rsidP="00EC4296">
      <w:pPr>
        <w:ind w:right="45"/>
        <w:jc w:val="center"/>
        <w:textAlignment w:val="baseline"/>
        <w:rPr>
          <w:color w:val="000000" w:themeColor="text1"/>
          <w:sz w:val="28"/>
          <w:szCs w:val="28"/>
          <w:lang w:val="es-ES" w:eastAsia="en-US"/>
        </w:rPr>
      </w:pPr>
    </w:p>
    <w:p w14:paraId="6AE1E555" w14:textId="7727E7C9" w:rsidR="00EC4296" w:rsidRDefault="00EC4296" w:rsidP="00EC4296">
      <w:pPr>
        <w:ind w:right="45"/>
        <w:jc w:val="center"/>
        <w:textAlignment w:val="baseline"/>
        <w:rPr>
          <w:color w:val="000000" w:themeColor="text1"/>
          <w:sz w:val="28"/>
          <w:szCs w:val="28"/>
          <w:lang w:val="es-ES" w:eastAsia="en-US"/>
        </w:rPr>
      </w:pPr>
    </w:p>
    <w:p w14:paraId="475F8FB7" w14:textId="6C8342BD"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PAOLA ANDREA MENESES MOSQUERA</w:t>
      </w:r>
    </w:p>
    <w:p w14:paraId="02A42FF2" w14:textId="194E4579"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Magistrada</w:t>
      </w:r>
    </w:p>
    <w:p w14:paraId="6ACBF69D" w14:textId="2215DF4F" w:rsidR="00EC4296" w:rsidRDefault="00EC4296" w:rsidP="00EC4296">
      <w:pPr>
        <w:ind w:right="45"/>
        <w:jc w:val="center"/>
        <w:textAlignment w:val="baseline"/>
        <w:rPr>
          <w:color w:val="000000" w:themeColor="text1"/>
          <w:sz w:val="28"/>
          <w:szCs w:val="28"/>
          <w:lang w:val="es-ES" w:eastAsia="en-US"/>
        </w:rPr>
      </w:pPr>
    </w:p>
    <w:p w14:paraId="3C24A3CE" w14:textId="64ACE1F6" w:rsidR="00EC4296" w:rsidRDefault="00EC4296" w:rsidP="00EC4296">
      <w:pPr>
        <w:ind w:right="45"/>
        <w:jc w:val="center"/>
        <w:textAlignment w:val="baseline"/>
        <w:rPr>
          <w:color w:val="000000" w:themeColor="text1"/>
          <w:sz w:val="28"/>
          <w:szCs w:val="28"/>
          <w:lang w:val="es-ES" w:eastAsia="en-US"/>
        </w:rPr>
      </w:pPr>
    </w:p>
    <w:p w14:paraId="5765892F" w14:textId="6D4CC2B6" w:rsidR="00EC4296" w:rsidRDefault="00EC4296" w:rsidP="00EC4296">
      <w:pPr>
        <w:ind w:right="45"/>
        <w:jc w:val="center"/>
        <w:textAlignment w:val="baseline"/>
        <w:rPr>
          <w:color w:val="000000" w:themeColor="text1"/>
          <w:sz w:val="28"/>
          <w:szCs w:val="28"/>
          <w:lang w:val="es-ES" w:eastAsia="en-US"/>
        </w:rPr>
      </w:pPr>
    </w:p>
    <w:p w14:paraId="5C46C58F" w14:textId="24F7F029"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CRISTINA PARDO SCHLESINGER</w:t>
      </w:r>
    </w:p>
    <w:p w14:paraId="56C50DC4" w14:textId="0B650A98"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Magistrada</w:t>
      </w:r>
    </w:p>
    <w:p w14:paraId="3E542C0E" w14:textId="670F14A4" w:rsidR="00EC4296" w:rsidRDefault="00EC4296" w:rsidP="00EC4296">
      <w:pPr>
        <w:ind w:right="45"/>
        <w:jc w:val="center"/>
        <w:textAlignment w:val="baseline"/>
        <w:rPr>
          <w:color w:val="000000" w:themeColor="text1"/>
          <w:sz w:val="28"/>
          <w:szCs w:val="28"/>
          <w:lang w:val="es-ES" w:eastAsia="en-US"/>
        </w:rPr>
      </w:pPr>
    </w:p>
    <w:p w14:paraId="4897D0A9" w14:textId="032CD19E" w:rsidR="00EC4296" w:rsidRDefault="00EC4296" w:rsidP="00EC4296">
      <w:pPr>
        <w:ind w:right="45"/>
        <w:jc w:val="center"/>
        <w:textAlignment w:val="baseline"/>
        <w:rPr>
          <w:color w:val="000000" w:themeColor="text1"/>
          <w:sz w:val="28"/>
          <w:szCs w:val="28"/>
          <w:lang w:val="es-ES" w:eastAsia="en-US"/>
        </w:rPr>
      </w:pPr>
    </w:p>
    <w:p w14:paraId="6972554A" w14:textId="623EEF3F" w:rsidR="00EC4296" w:rsidRDefault="00EC4296" w:rsidP="00EC4296">
      <w:pPr>
        <w:ind w:right="45"/>
        <w:jc w:val="center"/>
        <w:textAlignment w:val="baseline"/>
        <w:rPr>
          <w:color w:val="000000" w:themeColor="text1"/>
          <w:sz w:val="28"/>
          <w:szCs w:val="28"/>
          <w:lang w:val="es-ES" w:eastAsia="en-US"/>
        </w:rPr>
      </w:pPr>
    </w:p>
    <w:p w14:paraId="103F4A39" w14:textId="2E9F488A"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ANDREA LILIANA ROMERO LOPEZ</w:t>
      </w:r>
    </w:p>
    <w:p w14:paraId="2FAE9B5E" w14:textId="700ACC71" w:rsidR="00EC4296" w:rsidRDefault="00EC4296" w:rsidP="00EC4296">
      <w:pPr>
        <w:ind w:right="45"/>
        <w:jc w:val="center"/>
        <w:textAlignment w:val="baseline"/>
        <w:rPr>
          <w:color w:val="000000" w:themeColor="text1"/>
          <w:sz w:val="28"/>
          <w:szCs w:val="28"/>
          <w:lang w:val="es-ES" w:eastAsia="en-US"/>
        </w:rPr>
      </w:pPr>
      <w:r w:rsidRPr="00EC4296">
        <w:rPr>
          <w:color w:val="000000" w:themeColor="text1"/>
          <w:sz w:val="28"/>
          <w:szCs w:val="28"/>
          <w:lang w:val="es-ES" w:eastAsia="en-US"/>
        </w:rPr>
        <w:t>Secretaria General</w:t>
      </w:r>
    </w:p>
    <w:sectPr w:rsidR="00EC4296" w:rsidSect="00F0222F">
      <w:headerReference w:type="default" r:id="rId9"/>
      <w:footerReference w:type="even" r:id="rId10"/>
      <w:footerReference w:type="default" r:id="rId11"/>
      <w:headerReference w:type="first" r:id="rId12"/>
      <w:footerReference w:type="first" r:id="rId13"/>
      <w:pgSz w:w="12240" w:h="18720" w:code="14"/>
      <w:pgMar w:top="1304" w:right="1467" w:bottom="1417" w:left="156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9620F" w14:textId="77777777" w:rsidR="008B2A01" w:rsidRDefault="008B2A01" w:rsidP="006D732D">
      <w:r>
        <w:separator/>
      </w:r>
    </w:p>
  </w:endnote>
  <w:endnote w:type="continuationSeparator" w:id="0">
    <w:p w14:paraId="3BEC35F7" w14:textId="77777777" w:rsidR="008B2A01" w:rsidRDefault="008B2A01" w:rsidP="006D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271902269"/>
      <w:docPartObj>
        <w:docPartGallery w:val="Page Numbers (Bottom of Page)"/>
        <w:docPartUnique/>
      </w:docPartObj>
    </w:sdtPr>
    <w:sdtEndPr>
      <w:rPr>
        <w:rStyle w:val="Nmerodepgina"/>
      </w:rPr>
    </w:sdtEndPr>
    <w:sdtContent>
      <w:p w14:paraId="5DECAB6F" w14:textId="63A9E746" w:rsidR="000E222A" w:rsidRDefault="000E222A" w:rsidP="000055D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7E5354E4" w14:textId="77777777" w:rsidR="000E222A" w:rsidRDefault="000E222A" w:rsidP="000E22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82805942"/>
      <w:docPartObj>
        <w:docPartGallery w:val="Page Numbers (Bottom of Page)"/>
        <w:docPartUnique/>
      </w:docPartObj>
    </w:sdtPr>
    <w:sdtEndPr>
      <w:rPr>
        <w:rStyle w:val="Nmerodepgina"/>
      </w:rPr>
    </w:sdtEndPr>
    <w:sdtContent>
      <w:p w14:paraId="4C8534C7" w14:textId="33EF53B1" w:rsidR="000E222A" w:rsidRDefault="000E222A" w:rsidP="000055D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BF13AF">
          <w:rPr>
            <w:rStyle w:val="Nmerodepgina"/>
            <w:noProof/>
          </w:rPr>
          <w:t>47</w:t>
        </w:r>
        <w:r>
          <w:rPr>
            <w:rStyle w:val="Nmerodepgina"/>
          </w:rPr>
          <w:fldChar w:fldCharType="end"/>
        </w:r>
      </w:p>
    </w:sdtContent>
  </w:sdt>
  <w:p w14:paraId="29D0DB99" w14:textId="77777777" w:rsidR="000E222A" w:rsidRDefault="000E222A" w:rsidP="000E222A">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05B277E" w14:paraId="5B001597" w14:textId="77777777" w:rsidTr="105B277E">
      <w:trPr>
        <w:trHeight w:val="300"/>
      </w:trPr>
      <w:tc>
        <w:tcPr>
          <w:tcW w:w="3070" w:type="dxa"/>
        </w:tcPr>
        <w:p w14:paraId="5C42BCD3" w14:textId="312E366D" w:rsidR="105B277E" w:rsidRDefault="105B277E" w:rsidP="105B277E">
          <w:pPr>
            <w:pStyle w:val="Encabezado"/>
            <w:ind w:left="-115"/>
          </w:pPr>
        </w:p>
      </w:tc>
      <w:tc>
        <w:tcPr>
          <w:tcW w:w="3070" w:type="dxa"/>
        </w:tcPr>
        <w:p w14:paraId="2E4166AD" w14:textId="6D4F0CCB" w:rsidR="105B277E" w:rsidRDefault="105B277E" w:rsidP="105B277E">
          <w:pPr>
            <w:pStyle w:val="Encabezado"/>
            <w:jc w:val="center"/>
          </w:pPr>
        </w:p>
      </w:tc>
      <w:tc>
        <w:tcPr>
          <w:tcW w:w="3070" w:type="dxa"/>
        </w:tcPr>
        <w:p w14:paraId="2381F48F" w14:textId="20B0F516" w:rsidR="105B277E" w:rsidRDefault="105B277E" w:rsidP="105B277E">
          <w:pPr>
            <w:pStyle w:val="Encabezado"/>
            <w:ind w:right="-115"/>
            <w:jc w:val="right"/>
          </w:pPr>
        </w:p>
      </w:tc>
    </w:tr>
  </w:tbl>
  <w:p w14:paraId="04AC8E82" w14:textId="44084C49" w:rsidR="105B277E" w:rsidRDefault="105B277E" w:rsidP="105B27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E416DA" w14:textId="77777777" w:rsidR="008B2A01" w:rsidRDefault="008B2A01" w:rsidP="006D732D">
      <w:r>
        <w:separator/>
      </w:r>
    </w:p>
  </w:footnote>
  <w:footnote w:type="continuationSeparator" w:id="0">
    <w:p w14:paraId="6B4D9FA1" w14:textId="77777777" w:rsidR="008B2A01" w:rsidRDefault="008B2A01" w:rsidP="006D732D">
      <w:r>
        <w:continuationSeparator/>
      </w:r>
    </w:p>
  </w:footnote>
  <w:footnote w:id="1">
    <w:p w14:paraId="59D09EB7" w14:textId="77777777" w:rsidR="002D09D3" w:rsidRPr="00B41EAD" w:rsidRDefault="002D09D3"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Sentencia de unificación del 29 de enero de 2020 de la Sala Plena de la Sección Tercera del Consejo de Estado, Exp. n.° 61033. C.P. Marta Nubia Velásquez Rico. </w:t>
      </w:r>
    </w:p>
  </w:footnote>
  <w:footnote w:id="2">
    <w:p w14:paraId="3365AE1E" w14:textId="77777777" w:rsidR="002D09D3" w:rsidRPr="00B41EAD" w:rsidRDefault="002D09D3"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M.P. Luis Guillermo Guerrero Pérez.</w:t>
      </w:r>
    </w:p>
  </w:footnote>
  <w:footnote w:id="3">
    <w:p w14:paraId="499BF1C8" w14:textId="08393689" w:rsidR="008A74FD" w:rsidRPr="00B41EAD" w:rsidRDefault="008A74FD">
      <w:pPr>
        <w:pStyle w:val="Textonotapie"/>
      </w:pPr>
      <w:r w:rsidRPr="00B41EAD">
        <w:rPr>
          <w:rStyle w:val="Refdenotaalpie"/>
        </w:rPr>
        <w:footnoteRef/>
      </w:r>
      <w:r w:rsidRPr="00B41EAD">
        <w:t xml:space="preserve"> M.P. Paola Andrea Meneses Mosquera</w:t>
      </w:r>
    </w:p>
  </w:footnote>
  <w:footnote w:id="4">
    <w:p w14:paraId="27982124" w14:textId="41F066CD" w:rsidR="008A74FD" w:rsidRPr="00B41EAD" w:rsidRDefault="008A74FD" w:rsidP="008A74FD">
      <w:pPr>
        <w:pStyle w:val="Textonotapie"/>
        <w:jc w:val="both"/>
      </w:pPr>
      <w:r w:rsidRPr="00B41EAD">
        <w:rPr>
          <w:rStyle w:val="Refdenotaalpie"/>
        </w:rPr>
        <w:footnoteRef/>
      </w:r>
      <w:r w:rsidRPr="00B41EAD">
        <w:t xml:space="preserve"> M.P. Diana Fajardo Rivera.</w:t>
      </w:r>
    </w:p>
  </w:footnote>
  <w:footnote w:id="5">
    <w:p w14:paraId="3648FCA0" w14:textId="420A9A87" w:rsidR="006D0D9E" w:rsidRPr="00B41EAD" w:rsidRDefault="006D0D9E"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w:t>
      </w:r>
      <w:r w:rsidR="00C83ED2" w:rsidRPr="00B41EAD">
        <w:rPr>
          <w:color w:val="000000" w:themeColor="text1"/>
          <w:szCs w:val="20"/>
        </w:rPr>
        <w:t xml:space="preserve">, </w:t>
      </w:r>
      <w:r w:rsidR="00917965" w:rsidRPr="00B41EAD">
        <w:rPr>
          <w:color w:val="000000" w:themeColor="text1"/>
          <w:szCs w:val="20"/>
        </w:rPr>
        <w:t>documento digital “ED_DEMANDA_27_6_20231.pdf NroActua 2-Demanda-1.pdf”</w:t>
      </w:r>
      <w:r w:rsidR="00C202F6" w:rsidRPr="00B41EAD">
        <w:rPr>
          <w:color w:val="000000" w:themeColor="text1"/>
          <w:szCs w:val="20"/>
        </w:rPr>
        <w:t>. Ver documento “</w:t>
      </w:r>
      <w:r w:rsidR="00461F23" w:rsidRPr="00B41EAD">
        <w:rPr>
          <w:color w:val="000000" w:themeColor="text1"/>
          <w:szCs w:val="20"/>
        </w:rPr>
        <w:t>1</w:t>
      </w:r>
      <w:r w:rsidR="008C7EBD" w:rsidRPr="00B41EAD">
        <w:rPr>
          <w:color w:val="000000" w:themeColor="text1"/>
          <w:szCs w:val="20"/>
        </w:rPr>
        <w:t xml:space="preserve">. </w:t>
      </w:r>
      <w:r w:rsidR="00461F23" w:rsidRPr="00B41EAD">
        <w:rPr>
          <w:color w:val="000000" w:themeColor="text1"/>
          <w:szCs w:val="20"/>
        </w:rPr>
        <w:t xml:space="preserve">DEMANDA PAOLA ANDREA DURANGO TILANO.pdf” del enlace </w:t>
      </w:r>
      <w:r w:rsidR="0022782D" w:rsidRPr="00B41EAD">
        <w:rPr>
          <w:color w:val="000000" w:themeColor="text1"/>
          <w:szCs w:val="20"/>
        </w:rPr>
        <w:t xml:space="preserve">de </w:t>
      </w:r>
      <w:r w:rsidR="0022782D" w:rsidRPr="00B41EAD">
        <w:rPr>
          <w:i/>
          <w:iCs/>
          <w:color w:val="000000" w:themeColor="text1"/>
          <w:szCs w:val="20"/>
        </w:rPr>
        <w:t>One Drive</w:t>
      </w:r>
      <w:r w:rsidR="00C83ED2" w:rsidRPr="00B41EAD">
        <w:rPr>
          <w:color w:val="000000" w:themeColor="text1"/>
          <w:szCs w:val="20"/>
        </w:rPr>
        <w:t xml:space="preserve"> </w:t>
      </w:r>
      <w:r w:rsidR="00972ACE" w:rsidRPr="00B41EAD">
        <w:rPr>
          <w:color w:val="000000" w:themeColor="text1"/>
          <w:szCs w:val="20"/>
        </w:rPr>
        <w:t>mediante el cual aportaron las pruebas.</w:t>
      </w:r>
    </w:p>
  </w:footnote>
  <w:footnote w:id="6">
    <w:p w14:paraId="74DA303D" w14:textId="2279DAF0" w:rsidR="00FC2888" w:rsidRPr="00B41EAD" w:rsidRDefault="00FC2888"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p>
  </w:footnote>
  <w:footnote w:id="7">
    <w:p w14:paraId="625FED64" w14:textId="7F8F9B8E" w:rsidR="00CD62E1" w:rsidRPr="00B41EAD" w:rsidRDefault="00CD62E1"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 documento digital “ED_DEMANDA_27_6_20231.pdf”. Ver documento “</w:t>
      </w:r>
      <w:r w:rsidR="009721C7" w:rsidRPr="00B41EAD">
        <w:rPr>
          <w:color w:val="000000" w:themeColor="text1"/>
          <w:szCs w:val="20"/>
        </w:rPr>
        <w:t>2. Anexos Paola Tilano</w:t>
      </w:r>
      <w:r w:rsidRPr="00B41EAD">
        <w:rPr>
          <w:color w:val="000000" w:themeColor="text1"/>
          <w:szCs w:val="20"/>
        </w:rPr>
        <w:t xml:space="preserve">.pdf” del enlace de </w:t>
      </w:r>
      <w:r w:rsidRPr="00B41EAD">
        <w:rPr>
          <w:i/>
          <w:iCs/>
          <w:color w:val="000000" w:themeColor="text1"/>
          <w:szCs w:val="20"/>
        </w:rPr>
        <w:t>One Drive</w:t>
      </w:r>
      <w:r w:rsidRPr="00B41EAD">
        <w:rPr>
          <w:color w:val="000000" w:themeColor="text1"/>
          <w:szCs w:val="20"/>
        </w:rPr>
        <w:t xml:space="preserve"> mediante el cual aportaron las pruebas.</w:t>
      </w:r>
      <w:r w:rsidR="00E87203" w:rsidRPr="00B41EAD">
        <w:rPr>
          <w:color w:val="000000" w:themeColor="text1"/>
          <w:szCs w:val="20"/>
        </w:rPr>
        <w:t xml:space="preserve"> Ver pág. 168 y siguientes.</w:t>
      </w:r>
    </w:p>
  </w:footnote>
  <w:footnote w:id="8">
    <w:p w14:paraId="0C243B1C" w14:textId="398CD133" w:rsidR="00880147" w:rsidRPr="00B41EAD" w:rsidRDefault="00880147"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F02337" w:rsidRPr="00B41EAD">
        <w:rPr>
          <w:color w:val="000000" w:themeColor="text1"/>
          <w:szCs w:val="20"/>
        </w:rPr>
        <w:t xml:space="preserve">Expediente T-10.001.552, documento digital </w:t>
      </w:r>
      <w:r w:rsidR="00C86299" w:rsidRPr="00B41EAD">
        <w:rPr>
          <w:color w:val="000000" w:themeColor="text1"/>
          <w:szCs w:val="20"/>
        </w:rPr>
        <w:t>“010RECIBEPRUEBAS_CORREO_CAROLINAGUZ.pdf</w:t>
      </w:r>
      <w:r w:rsidR="00C838BD" w:rsidRPr="00B41EAD">
        <w:rPr>
          <w:color w:val="000000" w:themeColor="text1"/>
          <w:szCs w:val="20"/>
        </w:rPr>
        <w:t xml:space="preserve">”. Enlace “2021-00812”. Documento </w:t>
      </w:r>
      <w:r w:rsidR="00F02337" w:rsidRPr="00B41EAD">
        <w:rPr>
          <w:color w:val="000000" w:themeColor="text1"/>
          <w:szCs w:val="20"/>
        </w:rPr>
        <w:t>“</w:t>
      </w:r>
      <w:r w:rsidR="00495855" w:rsidRPr="00B41EAD">
        <w:rPr>
          <w:color w:val="000000" w:themeColor="text1"/>
          <w:szCs w:val="20"/>
        </w:rPr>
        <w:t xml:space="preserve">02Fecha recepcion TAA.pdf”. </w:t>
      </w:r>
    </w:p>
  </w:footnote>
  <w:footnote w:id="9">
    <w:p w14:paraId="2C47ABEA" w14:textId="0C64E05E" w:rsidR="009D20CE" w:rsidRPr="00B41EAD" w:rsidRDefault="009D20CE" w:rsidP="002E6CF1">
      <w:pPr>
        <w:pStyle w:val="Textonotapie"/>
        <w:jc w:val="both"/>
        <w:rPr>
          <w:color w:val="000000" w:themeColor="text1"/>
          <w:lang w:val="es-ES"/>
        </w:rPr>
      </w:pPr>
      <w:r w:rsidRPr="00B41EAD">
        <w:rPr>
          <w:rStyle w:val="Refdenotaalpie"/>
          <w:color w:val="000000" w:themeColor="text1"/>
        </w:rPr>
        <w:footnoteRef/>
      </w:r>
      <w:r w:rsidRPr="00B41EAD">
        <w:rPr>
          <w:color w:val="000000" w:themeColor="text1"/>
        </w:rPr>
        <w:t xml:space="preserve"> Expediente T-10.001.552, documento digital “ED_DEMANDA_27_6_20231.pdf NroActua 2-Demanda-1”. Léase el documento denominado “1. Demanda Paola Andrea Durango Tilano.pdf”. Pp. 16-20.</w:t>
      </w:r>
    </w:p>
  </w:footnote>
  <w:footnote w:id="10">
    <w:p w14:paraId="338A7D58" w14:textId="7E0868B5" w:rsidR="00042079" w:rsidRPr="00B41EAD" w:rsidRDefault="00042079"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 documento digital “ED_DEMANDA_27_6_20231.pdf”. Ver documento “</w:t>
      </w:r>
      <w:r w:rsidR="00B542A5" w:rsidRPr="00B41EAD">
        <w:rPr>
          <w:color w:val="000000" w:themeColor="text1"/>
          <w:szCs w:val="20"/>
        </w:rPr>
        <w:t>11. 2021 AUTO QUE RECHAZA DDA</w:t>
      </w:r>
      <w:r w:rsidRPr="00B41EAD">
        <w:rPr>
          <w:color w:val="000000" w:themeColor="text1"/>
          <w:szCs w:val="20"/>
        </w:rPr>
        <w:t xml:space="preserve">.pdf” del enlace de </w:t>
      </w:r>
      <w:r w:rsidRPr="00B41EAD">
        <w:rPr>
          <w:i/>
          <w:iCs/>
          <w:color w:val="000000" w:themeColor="text1"/>
          <w:szCs w:val="20"/>
        </w:rPr>
        <w:t>One Drive</w:t>
      </w:r>
      <w:r w:rsidRPr="00B41EAD">
        <w:rPr>
          <w:color w:val="000000" w:themeColor="text1"/>
          <w:szCs w:val="20"/>
        </w:rPr>
        <w:t xml:space="preserve"> </w:t>
      </w:r>
      <w:r w:rsidR="00972ACE" w:rsidRPr="00B41EAD">
        <w:rPr>
          <w:color w:val="000000" w:themeColor="text1"/>
          <w:szCs w:val="20"/>
        </w:rPr>
        <w:t>mediante el cual aportaron las pruebas</w:t>
      </w:r>
      <w:r w:rsidRPr="00B41EAD">
        <w:rPr>
          <w:color w:val="000000" w:themeColor="text1"/>
          <w:szCs w:val="20"/>
        </w:rPr>
        <w:t>.</w:t>
      </w:r>
    </w:p>
  </w:footnote>
  <w:footnote w:id="11">
    <w:p w14:paraId="4CD9D48F" w14:textId="23A5F538" w:rsidR="00891B7C" w:rsidRPr="00B41EAD" w:rsidRDefault="00891B7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 documento digital “ED_DEMANDA_27_6_20231.pdf”. Ver documento “</w:t>
      </w:r>
      <w:r w:rsidR="00A55608" w:rsidRPr="00B41EAD">
        <w:rPr>
          <w:color w:val="000000" w:themeColor="text1"/>
          <w:szCs w:val="20"/>
        </w:rPr>
        <w:t>13. 2021 00812 Concede recurso apelacion</w:t>
      </w:r>
      <w:r w:rsidRPr="00B41EAD">
        <w:rPr>
          <w:color w:val="000000" w:themeColor="text1"/>
          <w:szCs w:val="20"/>
        </w:rPr>
        <w:t xml:space="preserve">.pdf” del enlace de </w:t>
      </w:r>
      <w:r w:rsidRPr="00B41EAD">
        <w:rPr>
          <w:i/>
          <w:iCs/>
          <w:color w:val="000000" w:themeColor="text1"/>
          <w:szCs w:val="20"/>
        </w:rPr>
        <w:t>One Drive</w:t>
      </w:r>
      <w:r w:rsidRPr="00B41EAD">
        <w:rPr>
          <w:color w:val="000000" w:themeColor="text1"/>
          <w:szCs w:val="20"/>
        </w:rPr>
        <w:t xml:space="preserve"> mediante el cual aportaron las pruebas.</w:t>
      </w:r>
    </w:p>
  </w:footnote>
  <w:footnote w:id="12">
    <w:p w14:paraId="7FCB5C39" w14:textId="1D3E1E9B" w:rsidR="00F71B98" w:rsidRPr="00B41EAD" w:rsidRDefault="00F71B98"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7B1A96" w:rsidRPr="00B41EAD">
        <w:rPr>
          <w:color w:val="000000" w:themeColor="text1"/>
          <w:szCs w:val="20"/>
        </w:rPr>
        <w:t>Expediente T-10.001.552, documento digital “ED_DEMANDA_27_6_20231.pdf”. Ver documento “</w:t>
      </w:r>
      <w:r w:rsidR="00967AF8" w:rsidRPr="00B41EAD">
        <w:rPr>
          <w:color w:val="000000" w:themeColor="text1"/>
          <w:szCs w:val="20"/>
        </w:rPr>
        <w:t>12. APELACIÓN CADUCIDAD 2021_0812 (1)</w:t>
      </w:r>
      <w:r w:rsidR="007B1A96" w:rsidRPr="00B41EAD">
        <w:rPr>
          <w:color w:val="000000" w:themeColor="text1"/>
          <w:szCs w:val="20"/>
        </w:rPr>
        <w:t xml:space="preserve">.pdf” del enlace de </w:t>
      </w:r>
      <w:r w:rsidR="007B1A96" w:rsidRPr="00B41EAD">
        <w:rPr>
          <w:i/>
          <w:iCs/>
          <w:color w:val="000000" w:themeColor="text1"/>
          <w:szCs w:val="20"/>
        </w:rPr>
        <w:t>One Drive</w:t>
      </w:r>
      <w:r w:rsidR="007B1A96" w:rsidRPr="00B41EAD">
        <w:rPr>
          <w:color w:val="000000" w:themeColor="text1"/>
          <w:szCs w:val="20"/>
        </w:rPr>
        <w:t xml:space="preserve"> mediante el cual aportaron las pruebas.</w:t>
      </w:r>
    </w:p>
  </w:footnote>
  <w:footnote w:id="13">
    <w:p w14:paraId="5FFD985C" w14:textId="77777777" w:rsidR="009D20CE" w:rsidRPr="00B41EAD" w:rsidRDefault="009D20CE" w:rsidP="002E6CF1">
      <w:pPr>
        <w:pStyle w:val="Textonotapie"/>
        <w:jc w:val="both"/>
        <w:rPr>
          <w:color w:val="000000" w:themeColor="text1"/>
        </w:rPr>
      </w:pPr>
      <w:r w:rsidRPr="00B41EAD">
        <w:rPr>
          <w:rStyle w:val="Refdenotaalpie"/>
          <w:color w:val="000000" w:themeColor="text1"/>
        </w:rPr>
        <w:footnoteRef/>
      </w:r>
      <w:r w:rsidRPr="00B41EAD">
        <w:rPr>
          <w:color w:val="000000" w:themeColor="text1"/>
        </w:rPr>
        <w:t xml:space="preserve"> Expediente T-10.001.552, documento digital “</w:t>
      </w:r>
      <w:hyperlink r:id="rId1" w:tgtFrame="_new" w:history="1">
        <w:r w:rsidRPr="00B41EAD">
          <w:rPr>
            <w:rStyle w:val="Hipervnculo"/>
            <w:color w:val="000000" w:themeColor="text1"/>
          </w:rPr>
          <w:t>ED_DEMANDA_27_6_20231.pdf NroActua 2-Demanda-1</w:t>
        </w:r>
      </w:hyperlink>
      <w:r w:rsidRPr="00B41EAD">
        <w:rPr>
          <w:color w:val="000000" w:themeColor="text1"/>
        </w:rPr>
        <w:t xml:space="preserve">”. Léase el documento denominado “12.Apelación Caducidad 2021_0812(1).pdf”, disponible en el One Drive incorporado al escrito de tutela. P. 14. </w:t>
      </w:r>
    </w:p>
  </w:footnote>
  <w:footnote w:id="14">
    <w:p w14:paraId="1ECAF172" w14:textId="77777777" w:rsidR="009D20CE" w:rsidRPr="00B41EAD" w:rsidRDefault="009D20CE" w:rsidP="002E6CF1">
      <w:pPr>
        <w:pStyle w:val="Textonotapie"/>
        <w:jc w:val="both"/>
        <w:rPr>
          <w:color w:val="000000" w:themeColor="text1"/>
        </w:rPr>
      </w:pPr>
      <w:r w:rsidRPr="00B41EAD">
        <w:rPr>
          <w:rStyle w:val="Refdenotaalpie"/>
          <w:color w:val="000000" w:themeColor="text1"/>
        </w:rPr>
        <w:footnoteRef/>
      </w:r>
      <w:r w:rsidRPr="00B41EAD">
        <w:rPr>
          <w:color w:val="000000" w:themeColor="text1"/>
        </w:rPr>
        <w:t xml:space="preserve"> </w:t>
      </w:r>
      <w:r w:rsidRPr="00B41EAD">
        <w:rPr>
          <w:i/>
          <w:iCs/>
          <w:color w:val="000000" w:themeColor="text1"/>
        </w:rPr>
        <w:t>Ibidem.</w:t>
      </w:r>
      <w:r w:rsidRPr="00B41EAD">
        <w:rPr>
          <w:color w:val="000000" w:themeColor="text1"/>
        </w:rPr>
        <w:t xml:space="preserve">  </w:t>
      </w:r>
    </w:p>
  </w:footnote>
  <w:footnote w:id="15">
    <w:p w14:paraId="4AC5298D" w14:textId="7328E23E" w:rsidR="00517E8F" w:rsidRPr="00B41EAD" w:rsidRDefault="00517E8F"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 documento digital “ED_DEMANDA_27_6_20231.pdf”. Ver documento “</w:t>
      </w:r>
      <w:r w:rsidR="00596744" w:rsidRPr="00B41EAD">
        <w:rPr>
          <w:color w:val="000000" w:themeColor="text1"/>
          <w:szCs w:val="20"/>
        </w:rPr>
        <w:t>14. 2021 812 auto que resuelve el recurso</w:t>
      </w:r>
      <w:r w:rsidRPr="00B41EAD">
        <w:rPr>
          <w:color w:val="000000" w:themeColor="text1"/>
          <w:szCs w:val="20"/>
        </w:rPr>
        <w:t xml:space="preserve">.pdf” del enlace de </w:t>
      </w:r>
      <w:r w:rsidRPr="00B41EAD">
        <w:rPr>
          <w:i/>
          <w:iCs/>
          <w:color w:val="000000" w:themeColor="text1"/>
          <w:szCs w:val="20"/>
        </w:rPr>
        <w:t>One Drive</w:t>
      </w:r>
      <w:r w:rsidRPr="00B41EAD">
        <w:rPr>
          <w:color w:val="000000" w:themeColor="text1"/>
          <w:szCs w:val="20"/>
        </w:rPr>
        <w:t xml:space="preserve"> mediante el cual aportaron las pruebas.</w:t>
      </w:r>
    </w:p>
  </w:footnote>
  <w:footnote w:id="16">
    <w:p w14:paraId="59829D42" w14:textId="027C5EBC" w:rsidR="009F68A2" w:rsidRPr="00B41EAD" w:rsidRDefault="009F68A2"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 documento digital “ED_DEMANDA_27_6_20231.pdf”.</w:t>
      </w:r>
    </w:p>
  </w:footnote>
  <w:footnote w:id="17">
    <w:p w14:paraId="4AEC4AE1" w14:textId="7157FA9D" w:rsidR="0039347D" w:rsidRPr="00B41EAD" w:rsidRDefault="0039347D" w:rsidP="00442C24">
      <w:pPr>
        <w:pStyle w:val="Textonotapie"/>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 documento digital “</w:t>
      </w:r>
      <w:r w:rsidR="00BA59F2" w:rsidRPr="00B41EAD">
        <w:rPr>
          <w:color w:val="000000" w:themeColor="text1"/>
          <w:szCs w:val="20"/>
        </w:rPr>
        <w:t>SENTENCIA_FALLO.pdf</w:t>
      </w:r>
      <w:r w:rsidRPr="00B41EAD">
        <w:rPr>
          <w:color w:val="000000" w:themeColor="text1"/>
          <w:szCs w:val="20"/>
        </w:rPr>
        <w:t>”.</w:t>
      </w:r>
    </w:p>
  </w:footnote>
  <w:footnote w:id="18">
    <w:p w14:paraId="7415F42A" w14:textId="09A9C1FC" w:rsidR="0031697E" w:rsidRPr="00B41EAD" w:rsidRDefault="0031697E" w:rsidP="00442C24">
      <w:pPr>
        <w:pStyle w:val="Textonotapie"/>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T-10.001.552, documento digital</w:t>
      </w:r>
      <w:r w:rsidR="00FC681E" w:rsidRPr="00B41EAD">
        <w:rPr>
          <w:color w:val="000000" w:themeColor="text1"/>
          <w:szCs w:val="20"/>
        </w:rPr>
        <w:t>.</w:t>
      </w:r>
      <w:r w:rsidRPr="00B41EAD">
        <w:rPr>
          <w:color w:val="000000" w:themeColor="text1"/>
          <w:szCs w:val="20"/>
        </w:rPr>
        <w:t>“</w:t>
      </w:r>
      <w:r w:rsidR="002B6BBC" w:rsidRPr="00B41EAD">
        <w:rPr>
          <w:color w:val="000000" w:themeColor="text1"/>
          <w:szCs w:val="20"/>
        </w:rPr>
        <w:t>022RECIBEMEMORIALESPORCORREOELECTRONICO_IMPUGNACIONPAOLAA</w:t>
      </w:r>
      <w:r w:rsidRPr="00B41EAD">
        <w:rPr>
          <w:color w:val="000000" w:themeColor="text1"/>
          <w:szCs w:val="20"/>
        </w:rPr>
        <w:t>.pdf”.</w:t>
      </w:r>
    </w:p>
  </w:footnote>
  <w:footnote w:id="19">
    <w:p w14:paraId="602EFE32" w14:textId="08984B7A" w:rsidR="00F602E7" w:rsidRPr="00B41EAD" w:rsidRDefault="00F602E7"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6144E7" w:rsidRPr="00B41EAD">
        <w:rPr>
          <w:color w:val="000000" w:themeColor="text1"/>
          <w:szCs w:val="20"/>
        </w:rPr>
        <w:t>Archivo</w:t>
      </w:r>
      <w:r w:rsidR="00EB6DA1" w:rsidRPr="00B41EAD">
        <w:rPr>
          <w:color w:val="000000" w:themeColor="text1"/>
          <w:szCs w:val="20"/>
        </w:rPr>
        <w:t xml:space="preserve"> digital “</w:t>
      </w:r>
      <w:r w:rsidR="00617B74" w:rsidRPr="00B41EAD">
        <w:rPr>
          <w:color w:val="000000" w:themeColor="text1"/>
          <w:szCs w:val="20"/>
        </w:rPr>
        <w:t>A1. 73001333300320190021800.pdf”.</w:t>
      </w:r>
    </w:p>
  </w:footnote>
  <w:footnote w:id="20">
    <w:p w14:paraId="3D4FE9F9" w14:textId="694DF6BB" w:rsidR="00024B47" w:rsidRPr="00B41EAD" w:rsidRDefault="00024B47"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p>
  </w:footnote>
  <w:footnote w:id="21">
    <w:p w14:paraId="1C7783AB" w14:textId="77777777" w:rsidR="00D80CB3" w:rsidRPr="00B41EAD" w:rsidRDefault="00D80CB3"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p>
  </w:footnote>
  <w:footnote w:id="22">
    <w:p w14:paraId="70623BC3" w14:textId="2B9DAFAC" w:rsidR="00EC5ACA" w:rsidRPr="00B41EAD" w:rsidRDefault="00EC5ACA"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p>
  </w:footnote>
  <w:footnote w:id="23">
    <w:p w14:paraId="3D5A8B32" w14:textId="3BAAC206" w:rsidR="00C019EA" w:rsidRPr="00B41EAD" w:rsidRDefault="00C019EA" w:rsidP="002E6CF1">
      <w:pPr>
        <w:pStyle w:val="Textonotapie"/>
        <w:jc w:val="both"/>
        <w:rPr>
          <w:color w:val="000000" w:themeColor="text1"/>
          <w:szCs w:val="20"/>
        </w:rPr>
      </w:pPr>
      <w:r w:rsidRPr="00B41EAD">
        <w:rPr>
          <w:rStyle w:val="Refdenotaalpie"/>
          <w:color w:val="000000" w:themeColor="text1"/>
          <w:szCs w:val="20"/>
        </w:rPr>
        <w:footnoteRef/>
      </w:r>
      <w:r w:rsidRPr="00B41EAD">
        <w:rPr>
          <w:i/>
          <w:iCs/>
          <w:color w:val="000000" w:themeColor="text1"/>
          <w:szCs w:val="20"/>
        </w:rPr>
        <w:t xml:space="preserve"> Ibidem</w:t>
      </w:r>
      <w:r w:rsidRPr="00B41EAD">
        <w:rPr>
          <w:color w:val="000000" w:themeColor="text1"/>
          <w:szCs w:val="20"/>
        </w:rPr>
        <w:t xml:space="preserve">. </w:t>
      </w:r>
      <w:r w:rsidR="006144E7" w:rsidRPr="00B41EAD">
        <w:rPr>
          <w:color w:val="000000" w:themeColor="text1"/>
          <w:szCs w:val="20"/>
        </w:rPr>
        <w:t>Folios</w:t>
      </w:r>
      <w:r w:rsidRPr="00B41EAD">
        <w:rPr>
          <w:color w:val="000000" w:themeColor="text1"/>
          <w:szCs w:val="20"/>
        </w:rPr>
        <w:t xml:space="preserve"> 4 y 5.</w:t>
      </w:r>
    </w:p>
  </w:footnote>
  <w:footnote w:id="24">
    <w:p w14:paraId="776F8067" w14:textId="5494723C" w:rsidR="00890051" w:rsidRPr="00B41EAD" w:rsidRDefault="00890051"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T-10.007.411, documento digital “</w:t>
      </w:r>
      <w:r w:rsidR="00C63F85" w:rsidRPr="00B41EAD">
        <w:rPr>
          <w:color w:val="000000" w:themeColor="text1"/>
          <w:szCs w:val="20"/>
        </w:rPr>
        <w:t>ED_2ESCRITODETUTELA.pdf</w:t>
      </w:r>
      <w:r w:rsidRPr="00B41EAD">
        <w:rPr>
          <w:color w:val="000000" w:themeColor="text1"/>
          <w:szCs w:val="20"/>
        </w:rPr>
        <w:t>”</w:t>
      </w:r>
      <w:r w:rsidR="00D72867" w:rsidRPr="00B41EAD">
        <w:rPr>
          <w:color w:val="000000" w:themeColor="text1"/>
          <w:szCs w:val="20"/>
        </w:rPr>
        <w:t>, pág. 41 y siguientes.</w:t>
      </w:r>
    </w:p>
  </w:footnote>
  <w:footnote w:id="25">
    <w:p w14:paraId="72EBD66C" w14:textId="6ED8B5C2" w:rsidR="00A519C5" w:rsidRPr="00B41EAD" w:rsidRDefault="00A519C5"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r w:rsidRPr="00B41EAD">
        <w:rPr>
          <w:color w:val="000000" w:themeColor="text1"/>
          <w:szCs w:val="20"/>
        </w:rPr>
        <w:t xml:space="preserve">. </w:t>
      </w:r>
      <w:r w:rsidR="006144E7" w:rsidRPr="00B41EAD">
        <w:rPr>
          <w:color w:val="000000" w:themeColor="text1"/>
          <w:szCs w:val="20"/>
        </w:rPr>
        <w:t>Folios</w:t>
      </w:r>
      <w:r w:rsidRPr="00B41EAD">
        <w:rPr>
          <w:color w:val="000000" w:themeColor="text1"/>
          <w:szCs w:val="20"/>
        </w:rPr>
        <w:t xml:space="preserve"> </w:t>
      </w:r>
      <w:r w:rsidR="00A41F6D" w:rsidRPr="00B41EAD">
        <w:rPr>
          <w:color w:val="000000" w:themeColor="text1"/>
          <w:szCs w:val="20"/>
        </w:rPr>
        <w:t>46 a 49.</w:t>
      </w:r>
    </w:p>
  </w:footnote>
  <w:footnote w:id="26">
    <w:p w14:paraId="2B7CE511" w14:textId="39BC614E" w:rsidR="007336BD" w:rsidRPr="00B41EAD" w:rsidRDefault="007336BD"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6144E7" w:rsidRPr="00B41EAD">
        <w:rPr>
          <w:color w:val="000000" w:themeColor="text1"/>
          <w:szCs w:val="20"/>
        </w:rPr>
        <w:t>Archivo</w:t>
      </w:r>
      <w:r w:rsidRPr="00B41EAD">
        <w:rPr>
          <w:color w:val="000000" w:themeColor="text1"/>
          <w:szCs w:val="20"/>
        </w:rPr>
        <w:t xml:space="preserve"> digital “</w:t>
      </w:r>
      <w:r w:rsidR="007E6697" w:rsidRPr="00B41EAD">
        <w:rPr>
          <w:color w:val="000000" w:themeColor="text1"/>
          <w:szCs w:val="20"/>
        </w:rPr>
        <w:t>F2. 2019-00218 APELACION MIN-DEFENSA</w:t>
      </w:r>
      <w:r w:rsidRPr="00B41EAD">
        <w:rPr>
          <w:color w:val="000000" w:themeColor="text1"/>
          <w:szCs w:val="20"/>
        </w:rPr>
        <w:t>.pdf”.</w:t>
      </w:r>
    </w:p>
  </w:footnote>
  <w:footnote w:id="27">
    <w:p w14:paraId="0AD04B4D" w14:textId="704F0FA3" w:rsidR="001A2629" w:rsidRPr="00B41EAD" w:rsidRDefault="001A2629"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6144E7" w:rsidRPr="00B41EAD">
        <w:rPr>
          <w:color w:val="000000" w:themeColor="text1"/>
          <w:szCs w:val="20"/>
        </w:rPr>
        <w:t>Archivo d</w:t>
      </w:r>
      <w:r w:rsidRPr="00B41EAD">
        <w:rPr>
          <w:color w:val="000000" w:themeColor="text1"/>
          <w:szCs w:val="20"/>
        </w:rPr>
        <w:t>igital “</w:t>
      </w:r>
      <w:r w:rsidR="00E670F2" w:rsidRPr="00B41EAD">
        <w:rPr>
          <w:color w:val="000000" w:themeColor="text1"/>
          <w:szCs w:val="20"/>
        </w:rPr>
        <w:t>F3. 2019-00218 RECURSO APELACION PARTE DEMANDANTE</w:t>
      </w:r>
      <w:r w:rsidRPr="00B41EAD">
        <w:rPr>
          <w:color w:val="000000" w:themeColor="text1"/>
          <w:szCs w:val="20"/>
        </w:rPr>
        <w:t>.pdf”.</w:t>
      </w:r>
    </w:p>
  </w:footnote>
  <w:footnote w:id="28">
    <w:p w14:paraId="53F8274E" w14:textId="2D2E7053" w:rsidR="00BB1915" w:rsidRPr="00B41EAD" w:rsidRDefault="00BB1915"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T-10.007.411, documento digital “ED_2ESCRITODETUTELA.pdf”</w:t>
      </w:r>
      <w:r w:rsidR="006144E7" w:rsidRPr="00B41EAD">
        <w:rPr>
          <w:color w:val="000000" w:themeColor="text1"/>
          <w:szCs w:val="20"/>
        </w:rPr>
        <w:t xml:space="preserve">. Folios </w:t>
      </w:r>
      <w:r w:rsidRPr="00B41EAD">
        <w:rPr>
          <w:color w:val="000000" w:themeColor="text1"/>
          <w:szCs w:val="20"/>
        </w:rPr>
        <w:t>8 y siguientes.</w:t>
      </w:r>
    </w:p>
  </w:footnote>
  <w:footnote w:id="29">
    <w:p w14:paraId="0010B9A4" w14:textId="3E89CDB0" w:rsidR="00C10D18" w:rsidRPr="00B41EAD" w:rsidRDefault="00C10D18"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T-10.007.411, documento digital “</w:t>
      </w:r>
      <w:r w:rsidR="007B0EAB" w:rsidRPr="00B41EAD">
        <w:rPr>
          <w:color w:val="000000" w:themeColor="text1"/>
          <w:szCs w:val="20"/>
        </w:rPr>
        <w:t>ED_1CORREOELECTRONIC.pdf</w:t>
      </w:r>
      <w:r w:rsidRPr="00B41EAD">
        <w:rPr>
          <w:color w:val="000000" w:themeColor="text1"/>
          <w:szCs w:val="20"/>
        </w:rPr>
        <w:t>”</w:t>
      </w:r>
      <w:r w:rsidR="007B0EAB" w:rsidRPr="00B41EAD">
        <w:rPr>
          <w:color w:val="000000" w:themeColor="text1"/>
          <w:szCs w:val="20"/>
        </w:rPr>
        <w:t>.</w:t>
      </w:r>
    </w:p>
  </w:footnote>
  <w:footnote w:id="30">
    <w:p w14:paraId="663FBC36" w14:textId="3905948C" w:rsidR="006F4A27" w:rsidRPr="00B41EAD" w:rsidRDefault="006F4A27"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65051C" w:rsidRPr="00B41EAD">
        <w:rPr>
          <w:color w:val="000000" w:themeColor="text1"/>
          <w:szCs w:val="20"/>
        </w:rPr>
        <w:t>Expediente T-10.007.411, documento digital “AUTOQUEADMITETUTELA.pdf”.</w:t>
      </w:r>
    </w:p>
  </w:footnote>
  <w:footnote w:id="31">
    <w:p w14:paraId="59018E86" w14:textId="43A2A558" w:rsidR="00145532" w:rsidRPr="00B41EAD" w:rsidRDefault="00145532"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T-10.007.411, documento digital “ED_2ESCRITODETUTELA.pdf”.</w:t>
      </w:r>
    </w:p>
  </w:footnote>
  <w:footnote w:id="32">
    <w:p w14:paraId="1C5BB347" w14:textId="6F7AEEFE" w:rsidR="00145532" w:rsidRPr="00B41EAD" w:rsidRDefault="00145532"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r w:rsidRPr="00B41EAD">
        <w:rPr>
          <w:color w:val="000000" w:themeColor="text1"/>
          <w:szCs w:val="20"/>
        </w:rPr>
        <w:t xml:space="preserve">. </w:t>
      </w:r>
      <w:r w:rsidR="006144E7" w:rsidRPr="00B41EAD">
        <w:rPr>
          <w:color w:val="000000" w:themeColor="text1"/>
          <w:szCs w:val="20"/>
        </w:rPr>
        <w:t>Folio</w:t>
      </w:r>
      <w:r w:rsidRPr="00B41EAD">
        <w:rPr>
          <w:color w:val="000000" w:themeColor="text1"/>
          <w:szCs w:val="20"/>
        </w:rPr>
        <w:t xml:space="preserve"> 22</w:t>
      </w:r>
      <w:r w:rsidR="00736411" w:rsidRPr="00B41EAD">
        <w:rPr>
          <w:color w:val="000000" w:themeColor="text1"/>
          <w:szCs w:val="20"/>
        </w:rPr>
        <w:t xml:space="preserve"> y siguientes.</w:t>
      </w:r>
    </w:p>
  </w:footnote>
  <w:footnote w:id="33">
    <w:p w14:paraId="67B684D5" w14:textId="508391B3" w:rsidR="005F6D19" w:rsidRPr="00B41EAD" w:rsidRDefault="005F6D19"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Acción de tutela. Exp. </w:t>
      </w:r>
      <w:r w:rsidR="00FC681E" w:rsidRPr="00B41EAD">
        <w:rPr>
          <w:color w:val="000000" w:themeColor="text1"/>
          <w:szCs w:val="20"/>
        </w:rPr>
        <w:t>n.º</w:t>
      </w:r>
      <w:r w:rsidRPr="00B41EAD">
        <w:rPr>
          <w:color w:val="000000" w:themeColor="text1"/>
          <w:szCs w:val="20"/>
        </w:rPr>
        <w:t xml:space="preserve"> 11001031500020210009701.</w:t>
      </w:r>
    </w:p>
  </w:footnote>
  <w:footnote w:id="34">
    <w:p w14:paraId="5797D8F3" w14:textId="107939C9" w:rsidR="006A1A87" w:rsidRPr="00B41EAD" w:rsidRDefault="006A1A87" w:rsidP="00442C24">
      <w:pPr>
        <w:pStyle w:val="Textonotapie"/>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T-10.007.411, documento digital “</w:t>
      </w:r>
      <w:r w:rsidR="00304DAC" w:rsidRPr="00B41EAD">
        <w:rPr>
          <w:color w:val="000000" w:themeColor="text1"/>
          <w:szCs w:val="20"/>
        </w:rPr>
        <w:t>SENTENCIA.pdf</w:t>
      </w:r>
      <w:r w:rsidRPr="00B41EAD">
        <w:rPr>
          <w:color w:val="000000" w:themeColor="text1"/>
          <w:szCs w:val="20"/>
        </w:rPr>
        <w:t>”.</w:t>
      </w:r>
    </w:p>
  </w:footnote>
  <w:footnote w:id="35">
    <w:p w14:paraId="3C496142" w14:textId="77777777" w:rsidR="00FE6AB5" w:rsidRPr="00B41EAD" w:rsidRDefault="00FE6AB5" w:rsidP="00442C24">
      <w:pPr>
        <w:pStyle w:val="Textonotapie"/>
        <w:rPr>
          <w:color w:val="000000" w:themeColor="text1"/>
        </w:rPr>
      </w:pPr>
      <w:r w:rsidRPr="00B41EAD">
        <w:rPr>
          <w:rStyle w:val="Refdenotaalpie"/>
          <w:color w:val="000000" w:themeColor="text1"/>
        </w:rPr>
        <w:footnoteRef/>
      </w:r>
      <w:r w:rsidRPr="00B41EAD">
        <w:rPr>
          <w:color w:val="000000" w:themeColor="text1"/>
        </w:rPr>
        <w:t xml:space="preserve"> Expediente T-10.007.411, documento digital “58_58_110010315000202302159002RECIBEMEMORIAL20230908111645 1.pdf”.</w:t>
      </w:r>
    </w:p>
  </w:footnote>
  <w:footnote w:id="36">
    <w:p w14:paraId="6DBCD9D9" w14:textId="77777777" w:rsidR="004A2688" w:rsidRPr="00B41EAD" w:rsidRDefault="004A2688" w:rsidP="002E6CF1">
      <w:pPr>
        <w:pStyle w:val="Textonotapie"/>
        <w:jc w:val="both"/>
        <w:rPr>
          <w:color w:val="000000" w:themeColor="text1"/>
        </w:rPr>
      </w:pPr>
      <w:r w:rsidRPr="00B41EAD">
        <w:rPr>
          <w:rStyle w:val="Refdenotaalpie"/>
          <w:color w:val="000000" w:themeColor="text1"/>
        </w:rPr>
        <w:footnoteRef/>
      </w:r>
      <w:r w:rsidRPr="00B41EAD">
        <w:rPr>
          <w:color w:val="000000" w:themeColor="text1"/>
        </w:rPr>
        <w:t xml:space="preserve"> Expediente T-10.007.411, documento digital “AUTOQUECONCEDERECURSO.pdf”.</w:t>
      </w:r>
    </w:p>
  </w:footnote>
  <w:footnote w:id="37">
    <w:p w14:paraId="00FE4908" w14:textId="77777777" w:rsidR="004A2688" w:rsidRPr="00B41EAD" w:rsidRDefault="004A2688" w:rsidP="002E6CF1">
      <w:pPr>
        <w:pStyle w:val="Textonotapie"/>
        <w:jc w:val="both"/>
        <w:rPr>
          <w:color w:val="000000" w:themeColor="text1"/>
        </w:rPr>
      </w:pPr>
      <w:r w:rsidRPr="00B41EAD">
        <w:rPr>
          <w:rStyle w:val="Refdenotaalpie"/>
          <w:color w:val="000000" w:themeColor="text1"/>
        </w:rPr>
        <w:footnoteRef/>
      </w:r>
      <w:r w:rsidRPr="00B41EAD">
        <w:rPr>
          <w:color w:val="000000" w:themeColor="text1"/>
        </w:rPr>
        <w:t xml:space="preserve"> </w:t>
      </w:r>
      <w:r w:rsidRPr="00B41EAD">
        <w:rPr>
          <w:i/>
          <w:iCs/>
          <w:color w:val="000000" w:themeColor="text1"/>
        </w:rPr>
        <w:t>Ibidem.</w:t>
      </w:r>
    </w:p>
  </w:footnote>
  <w:footnote w:id="38">
    <w:p w14:paraId="1F2E76D9" w14:textId="2FB62577" w:rsidR="00F514B0" w:rsidRPr="00B41EAD" w:rsidRDefault="00F514B0"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Expediente T-10.007.411, documento digital “</w:t>
      </w:r>
      <w:r w:rsidR="00E06F83" w:rsidRPr="00B41EAD">
        <w:rPr>
          <w:color w:val="000000" w:themeColor="text1"/>
          <w:szCs w:val="20"/>
        </w:rPr>
        <w:t>SENTENCIA_FALLO.pdf</w:t>
      </w:r>
      <w:r w:rsidRPr="00B41EAD">
        <w:rPr>
          <w:color w:val="000000" w:themeColor="text1"/>
          <w:szCs w:val="20"/>
        </w:rPr>
        <w:t>”.</w:t>
      </w:r>
    </w:p>
  </w:footnote>
  <w:footnote w:id="39">
    <w:p w14:paraId="54DD8541" w14:textId="6E215481" w:rsidR="006144E7" w:rsidRPr="00B41EAD" w:rsidRDefault="006144E7" w:rsidP="002E6CF1">
      <w:pPr>
        <w:pStyle w:val="Textonotapie"/>
        <w:jc w:val="both"/>
        <w:rPr>
          <w:color w:val="000000" w:themeColor="text1"/>
          <w:szCs w:val="20"/>
          <w:lang w:val="es-MX"/>
        </w:rPr>
      </w:pPr>
      <w:r w:rsidRPr="00B41EAD">
        <w:rPr>
          <w:rStyle w:val="Refdenotaalpie"/>
          <w:color w:val="000000" w:themeColor="text1"/>
          <w:szCs w:val="20"/>
        </w:rPr>
        <w:footnoteRef/>
      </w:r>
      <w:r w:rsidRPr="00B41EAD">
        <w:rPr>
          <w:color w:val="000000" w:themeColor="text1"/>
          <w:szCs w:val="20"/>
        </w:rPr>
        <w:t xml:space="preserve"> La Sala de Selección de tutelas número tres de 2024, integrada por la magistrada Diana Fajardo Rivera y el magistrado Jorge Enrique Ibáñez Najar, mediante auto del 22 de marzo de 2024, notificado por medio de estado No. 046 del 15 de abril de 2024, decidió: (i) seleccionar para revisión los expedientes T-10.001.552 y T-10.007.411; (ii) acumular dichos expedientes; y, (iii) repartir los expedientes acumulados a la Sala Tercera de Revisión. El 15 de abril de 2024 los expedientes acumulados pasaron al despacho de la magistrada sustanciadora.</w:t>
      </w:r>
    </w:p>
  </w:footnote>
  <w:footnote w:id="40">
    <w:p w14:paraId="110382F7" w14:textId="77777777" w:rsidR="0055311B" w:rsidRPr="00B41EAD" w:rsidRDefault="0055311B" w:rsidP="002E6CF1">
      <w:pPr>
        <w:pStyle w:val="Textonotapie"/>
        <w:ind w:right="49"/>
        <w:contextualSpacing/>
        <w:jc w:val="both"/>
        <w:rPr>
          <w:color w:val="000000" w:themeColor="text1"/>
          <w:szCs w:val="20"/>
          <w:lang w:val="es-ES"/>
        </w:rPr>
      </w:pPr>
      <w:r w:rsidRPr="00B41EAD">
        <w:rPr>
          <w:rStyle w:val="Refdenotaalpie"/>
          <w:color w:val="000000" w:themeColor="text1"/>
          <w:szCs w:val="20"/>
          <w:lang w:val="es-ES"/>
        </w:rPr>
        <w:footnoteRef/>
      </w:r>
      <w:r w:rsidRPr="00B41EAD">
        <w:rPr>
          <w:color w:val="000000" w:themeColor="text1"/>
          <w:szCs w:val="20"/>
          <w:lang w:val="es-ES"/>
        </w:rPr>
        <w:t xml:space="preserve"> Artículo 4º de la Constitución Política, principalmente.</w:t>
      </w:r>
    </w:p>
  </w:footnote>
  <w:footnote w:id="41">
    <w:p w14:paraId="4EC3F57A" w14:textId="393D3E54" w:rsidR="0055311B" w:rsidRPr="00B41EAD" w:rsidRDefault="0055311B" w:rsidP="002E6CF1">
      <w:pPr>
        <w:pStyle w:val="Textonotapie"/>
        <w:ind w:right="49"/>
        <w:contextualSpacing/>
        <w:jc w:val="both"/>
        <w:rPr>
          <w:color w:val="000000" w:themeColor="text1"/>
          <w:szCs w:val="20"/>
          <w:lang w:val="es-ES"/>
        </w:rPr>
      </w:pPr>
      <w:r w:rsidRPr="00B41EAD">
        <w:rPr>
          <w:rStyle w:val="Refdenotaalpie"/>
          <w:color w:val="000000" w:themeColor="text1"/>
          <w:szCs w:val="20"/>
          <w:lang w:val="es-ES"/>
        </w:rPr>
        <w:footnoteRef/>
      </w:r>
      <w:r w:rsidRPr="00B41EAD">
        <w:rPr>
          <w:color w:val="000000" w:themeColor="text1"/>
          <w:szCs w:val="20"/>
          <w:lang w:val="es-ES"/>
        </w:rPr>
        <w:t xml:space="preserve"> Artículo 2º </w:t>
      </w:r>
      <w:r w:rsidRPr="00B41EAD">
        <w:rPr>
          <w:i/>
          <w:iCs/>
          <w:color w:val="000000" w:themeColor="text1"/>
          <w:szCs w:val="20"/>
          <w:lang w:val="es-ES"/>
        </w:rPr>
        <w:t>ib</w:t>
      </w:r>
      <w:r w:rsidR="003E7B50" w:rsidRPr="00B41EAD">
        <w:rPr>
          <w:i/>
          <w:iCs/>
          <w:color w:val="000000" w:themeColor="text1"/>
          <w:szCs w:val="20"/>
          <w:lang w:val="es-ES"/>
        </w:rPr>
        <w:t>i</w:t>
      </w:r>
      <w:r w:rsidRPr="00B41EAD">
        <w:rPr>
          <w:i/>
          <w:iCs/>
          <w:color w:val="000000" w:themeColor="text1"/>
          <w:szCs w:val="20"/>
          <w:lang w:val="es-ES"/>
        </w:rPr>
        <w:t>dem,</w:t>
      </w:r>
      <w:r w:rsidRPr="00B41EAD">
        <w:rPr>
          <w:color w:val="000000" w:themeColor="text1"/>
          <w:szCs w:val="20"/>
          <w:lang w:val="es-ES"/>
        </w:rPr>
        <w:t xml:space="preserve"> entre otros.</w:t>
      </w:r>
    </w:p>
  </w:footnote>
  <w:footnote w:id="42">
    <w:p w14:paraId="4EAD288E" w14:textId="77777777" w:rsidR="0055311B" w:rsidRPr="00B41EAD" w:rsidRDefault="0055311B" w:rsidP="002E6CF1">
      <w:pPr>
        <w:pStyle w:val="Textonotapie"/>
        <w:ind w:right="49"/>
        <w:contextualSpacing/>
        <w:jc w:val="both"/>
        <w:rPr>
          <w:color w:val="000000" w:themeColor="text1"/>
          <w:szCs w:val="20"/>
          <w:lang w:val="es-ES"/>
        </w:rPr>
      </w:pPr>
      <w:r w:rsidRPr="00B41EAD">
        <w:rPr>
          <w:rStyle w:val="Refdenotaalpie"/>
          <w:color w:val="000000" w:themeColor="text1"/>
          <w:szCs w:val="20"/>
          <w:lang w:val="es-ES"/>
        </w:rPr>
        <w:footnoteRef/>
      </w:r>
      <w:r w:rsidRPr="00B41EAD">
        <w:rPr>
          <w:color w:val="000000" w:themeColor="text1"/>
          <w:szCs w:val="20"/>
          <w:lang w:val="es-ES"/>
        </w:rPr>
        <w:t xml:space="preserve"> M.P. Jaime Córdoba Triviño. </w:t>
      </w:r>
    </w:p>
  </w:footnote>
  <w:footnote w:id="43">
    <w:p w14:paraId="63F9A441" w14:textId="77777777" w:rsidR="0055311B" w:rsidRPr="00B41EAD" w:rsidRDefault="0055311B" w:rsidP="002E61C9">
      <w:pPr>
        <w:pStyle w:val="Textonotapie"/>
        <w:ind w:right="49"/>
        <w:contextualSpacing/>
        <w:jc w:val="both"/>
        <w:rPr>
          <w:color w:val="000000" w:themeColor="text1"/>
          <w:szCs w:val="20"/>
          <w:lang w:val="es-ES"/>
        </w:rPr>
      </w:pPr>
      <w:r w:rsidRPr="00B41EAD">
        <w:rPr>
          <w:rStyle w:val="Refdenotaalpie"/>
          <w:color w:val="000000" w:themeColor="text1"/>
          <w:szCs w:val="20"/>
          <w:lang w:val="es-ES"/>
        </w:rPr>
        <w:footnoteRef/>
      </w:r>
      <w:r w:rsidRPr="00B41EAD">
        <w:rPr>
          <w:color w:val="000000" w:themeColor="text1"/>
          <w:szCs w:val="20"/>
          <w:lang w:val="es-ES"/>
        </w:rPr>
        <w:t xml:space="preserve"> En este acápite, se sigue y reitera la presentación general de los requisitos de procedencia de la tutela contra providencias judiciales desarrollada en la Sentencia SU-226 de 2019. M.P. Diana Fajardo Rivera.</w:t>
      </w:r>
    </w:p>
  </w:footnote>
  <w:footnote w:id="44">
    <w:p w14:paraId="2DFB01B2" w14:textId="3B3B86BD" w:rsidR="00FD7A1A" w:rsidRPr="00B41EAD" w:rsidRDefault="00FD7A1A" w:rsidP="002E61C9">
      <w:pPr>
        <w:pStyle w:val="Textonotapie"/>
        <w:jc w:val="both"/>
        <w:rPr>
          <w:lang w:val="es-ES"/>
        </w:rPr>
      </w:pPr>
      <w:r w:rsidRPr="00B41EAD">
        <w:rPr>
          <w:rStyle w:val="Refdenotaalpie"/>
        </w:rPr>
        <w:footnoteRef/>
      </w:r>
      <w:r w:rsidRPr="00B41EAD">
        <w:t xml:space="preserve"> </w:t>
      </w:r>
      <w:r w:rsidRPr="00B41EAD">
        <w:rPr>
          <w:lang w:val="es-ES"/>
        </w:rPr>
        <w:t>Al consultar la información del radicado 05001233300020210081201, correspondiente al proceso de reparación promovido por Paola Andrea Durango Tilano</w:t>
      </w:r>
      <w:r w:rsidR="00A23FBC" w:rsidRPr="00B41EAD">
        <w:rPr>
          <w:lang w:val="es-ES"/>
        </w:rPr>
        <w:t xml:space="preserve">, en la página web de consulta de procesos de la Rama Judicial, se observa registro de </w:t>
      </w:r>
      <w:r w:rsidR="002E61C9" w:rsidRPr="00B41EAD">
        <w:rPr>
          <w:lang w:val="es-ES"/>
        </w:rPr>
        <w:t>notificación el 20 de febrero 2023, así: “se notifica:Auto que resuelve apelación de auto de fecha 07/09/2022 de RES186702 Noti:6635 OSCAR DARIO VILLEGAS POSADA :(enviado email), RES186702 Noti:6636 -EJÉRCITO NACIONAL :(enviado email), RES186702 Noti:6637 MINISTERIO DE DEFENSA NACIONAL :(enviado email), RES186702 Noti:6638 PROCURADURIA DELEGADA PARA LA CONCILIACION ADMINISTRATIVA :(enviado email), RES186702 Noti:6639 ANDJE :(enviado email), Anexos:1”</w:t>
      </w:r>
    </w:p>
  </w:footnote>
  <w:footnote w:id="45">
    <w:p w14:paraId="511021F9" w14:textId="7CFA8A1B" w:rsidR="00FE6AB5" w:rsidRPr="00B41EAD" w:rsidRDefault="00FE6AB5" w:rsidP="002E6CF1">
      <w:pPr>
        <w:pStyle w:val="Textonotapie"/>
        <w:jc w:val="both"/>
        <w:rPr>
          <w:color w:val="000000" w:themeColor="text1"/>
        </w:rPr>
      </w:pPr>
      <w:r w:rsidRPr="00B41EAD">
        <w:rPr>
          <w:rStyle w:val="Refdenotaalpie"/>
          <w:color w:val="000000" w:themeColor="text1"/>
        </w:rPr>
        <w:footnoteRef/>
      </w:r>
      <w:r w:rsidRPr="00B41EAD">
        <w:rPr>
          <w:color w:val="000000" w:themeColor="text1"/>
        </w:rPr>
        <w:t xml:space="preserve"> Sentencia SU-167 de 2023. M.P. Diana Fajardo Rivera.</w:t>
      </w:r>
    </w:p>
  </w:footnote>
  <w:footnote w:id="46">
    <w:p w14:paraId="0E5C3C73" w14:textId="0C097C0A" w:rsidR="000E5016" w:rsidRPr="00B41EAD" w:rsidRDefault="000E5016"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Sentencia de unificación del 29 de enero de 2020 de la Sala Plena de la Sección Tercera del Consejo de Estado, Exp. n.° 61033. C.P. Marta Nubia Velásquez Rico. </w:t>
      </w:r>
    </w:p>
  </w:footnote>
  <w:footnote w:id="47">
    <w:p w14:paraId="0CE86F54" w14:textId="50CB7448" w:rsidR="004A2688" w:rsidRPr="00B41EAD" w:rsidRDefault="004A2688" w:rsidP="002E6CF1">
      <w:pPr>
        <w:pStyle w:val="Textonotapie"/>
        <w:jc w:val="both"/>
        <w:rPr>
          <w:color w:val="000000" w:themeColor="text1"/>
          <w:lang w:val="es-ES"/>
        </w:rPr>
      </w:pPr>
      <w:r w:rsidRPr="00B41EAD">
        <w:rPr>
          <w:rStyle w:val="Refdenotaalpie"/>
          <w:color w:val="000000" w:themeColor="text1"/>
        </w:rPr>
        <w:footnoteRef/>
      </w:r>
      <w:r w:rsidRPr="00B41EAD">
        <w:rPr>
          <w:color w:val="000000" w:themeColor="text1"/>
        </w:rPr>
        <w:t xml:space="preserve"> </w:t>
      </w:r>
      <w:r w:rsidRPr="00B41EAD">
        <w:rPr>
          <w:color w:val="000000" w:themeColor="text1"/>
          <w:lang w:val="es-ES"/>
        </w:rPr>
        <w:t>Acerca de este principio del derecho, también conocido como “iura novit cura”, en la Sentencia T-577 de 2017 (M.P.</w:t>
      </w:r>
      <w:r w:rsidR="002E6CF1" w:rsidRPr="00B41EAD">
        <w:rPr>
          <w:color w:val="000000" w:themeColor="text1"/>
          <w:lang w:val="es-ES"/>
        </w:rPr>
        <w:t xml:space="preserve"> Diana Fajardo Rivera</w:t>
      </w:r>
      <w:r w:rsidRPr="00B41EAD">
        <w:rPr>
          <w:color w:val="000000" w:themeColor="text1"/>
          <w:lang w:val="es-ES"/>
        </w:rPr>
        <w:t>)</w:t>
      </w:r>
      <w:r w:rsidR="002E6CF1" w:rsidRPr="00B41EAD">
        <w:rPr>
          <w:color w:val="000000" w:themeColor="text1"/>
          <w:lang w:val="es-ES"/>
        </w:rPr>
        <w:t xml:space="preserve">, se indicó lo siguiente: “la Corte Constitucional ha manifestado que en virtud del principio </w:t>
      </w:r>
      <w:r w:rsidR="002E6CF1" w:rsidRPr="00B41EAD">
        <w:rPr>
          <w:i/>
          <w:iCs/>
          <w:color w:val="000000" w:themeColor="text1"/>
          <w:lang w:val="es-ES"/>
        </w:rPr>
        <w:t>iura novit curia</w:t>
      </w:r>
      <w:r w:rsidR="002E6CF1" w:rsidRPr="00B41EAD">
        <w:rPr>
          <w:color w:val="000000" w:themeColor="text1"/>
          <w:lang w:val="es-ES"/>
        </w:rPr>
        <w:t>, corresponde al juez la aplicación del derecho con prescindencia del invocado por las partes, constituyendo tal prerrogativa un deber para el juzgador, a quien incumbe la determinación correcta del derecho, debiendo discernir los conflictos litigiosos y dirimirlos según el derecho vigente, calificando autónomamente la realidad del hecho y subsumiéndolo en las normas jurídicas que lo rigen”.</w:t>
      </w:r>
    </w:p>
  </w:footnote>
  <w:footnote w:id="48">
    <w:p w14:paraId="564A1ACB" w14:textId="0489563C" w:rsidR="009E39BB" w:rsidRPr="00B41EAD" w:rsidRDefault="009E39BB"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Sentencia SU-114 de 2023. M.P. Diana Fajardo Rivera. Más recientemente la Corte</w:t>
      </w:r>
      <w:r w:rsidR="00C42A91" w:rsidRPr="00B41EAD">
        <w:rPr>
          <w:color w:val="000000" w:themeColor="text1"/>
          <w:szCs w:val="20"/>
        </w:rPr>
        <w:t xml:space="preserve"> se refirió y aplicó esta posibilidad en la Sentencia SU-287 de 2024. M.P. Diana Fajardo Rivera. </w:t>
      </w:r>
    </w:p>
  </w:footnote>
  <w:footnote w:id="49">
    <w:p w14:paraId="0B2A8B3D" w14:textId="77777777" w:rsidR="00A12F22" w:rsidRPr="00B41EAD" w:rsidRDefault="00A12F22"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Sentencia de unificación del 29 de enero de 2020 de la Sala Plena de la Sección Tercera del Consejo de Estado, Exp. n.° 61033. C.P. Marta Nubia Velásquez Rico. </w:t>
      </w:r>
    </w:p>
  </w:footnote>
  <w:footnote w:id="50">
    <w:p w14:paraId="51529964" w14:textId="7F6D0B3B" w:rsidR="00FB305F" w:rsidRPr="00B41EAD" w:rsidRDefault="00FB305F"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Artículo 90 de la Constitución Política: “</w:t>
      </w:r>
      <w:r w:rsidR="005A2FEE" w:rsidRPr="00B41EAD">
        <w:rPr>
          <w:color w:val="000000" w:themeColor="text1"/>
          <w:szCs w:val="20"/>
        </w:rPr>
        <w:t>[e]</w:t>
      </w:r>
      <w:r w:rsidR="00F44AD8" w:rsidRPr="00B41EAD">
        <w:rPr>
          <w:color w:val="000000" w:themeColor="text1"/>
          <w:szCs w:val="20"/>
        </w:rPr>
        <w:t xml:space="preserve">l Estado responderá patrimonialmente por los daños antijurídicos que le sean imputables, causados por la acción o la omisión de las autoridades públicas. </w:t>
      </w:r>
      <w:r w:rsidR="00C42A91" w:rsidRPr="00B41EAD">
        <w:rPr>
          <w:color w:val="000000" w:themeColor="text1"/>
          <w:szCs w:val="20"/>
        </w:rPr>
        <w:t xml:space="preserve">|| </w:t>
      </w:r>
      <w:r w:rsidR="00F44AD8" w:rsidRPr="00B41EAD">
        <w:rPr>
          <w:color w:val="000000" w:themeColor="text1"/>
          <w:szCs w:val="20"/>
        </w:rPr>
        <w:t>En el evento de ser condenado el Estado a la reparación patrimonial de uno de tales daños, que haya sido consecuencia de la conducta dolosa o gravemente culposa de un agente suyo, aquel deberá repetir contra este</w:t>
      </w:r>
      <w:r w:rsidR="00AE0930" w:rsidRPr="00B41EAD">
        <w:rPr>
          <w:color w:val="000000" w:themeColor="text1"/>
          <w:szCs w:val="20"/>
        </w:rPr>
        <w:t>”</w:t>
      </w:r>
      <w:r w:rsidR="00F44AD8" w:rsidRPr="00B41EAD">
        <w:rPr>
          <w:color w:val="000000" w:themeColor="text1"/>
          <w:szCs w:val="20"/>
        </w:rPr>
        <w:t>.</w:t>
      </w:r>
    </w:p>
  </w:footnote>
  <w:footnote w:id="51">
    <w:p w14:paraId="3B3AA256" w14:textId="3E3AEDE6" w:rsidR="00150416" w:rsidRPr="00B41EAD" w:rsidRDefault="00150416"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797668" w:rsidRPr="00B41EAD">
        <w:rPr>
          <w:color w:val="000000" w:themeColor="text1"/>
          <w:szCs w:val="20"/>
        </w:rPr>
        <w:t>Sentencia SU-659 de 2015</w:t>
      </w:r>
      <w:r w:rsidR="005A2FEE" w:rsidRPr="00B41EAD">
        <w:rPr>
          <w:color w:val="000000" w:themeColor="text1"/>
          <w:szCs w:val="20"/>
        </w:rPr>
        <w:t xml:space="preserve">. </w:t>
      </w:r>
      <w:r w:rsidR="00797668" w:rsidRPr="00B41EAD">
        <w:rPr>
          <w:color w:val="000000" w:themeColor="text1"/>
          <w:szCs w:val="20"/>
        </w:rPr>
        <w:t xml:space="preserve">M.P. </w:t>
      </w:r>
      <w:r w:rsidR="00444646" w:rsidRPr="00B41EAD">
        <w:rPr>
          <w:color w:val="000000" w:themeColor="text1"/>
          <w:szCs w:val="20"/>
        </w:rPr>
        <w:t>Alberto Rojas R</w:t>
      </w:r>
      <w:r w:rsidR="00B85349" w:rsidRPr="00B41EAD">
        <w:rPr>
          <w:color w:val="000000" w:themeColor="text1"/>
          <w:szCs w:val="20"/>
        </w:rPr>
        <w:t>í</w:t>
      </w:r>
      <w:r w:rsidR="00444646" w:rsidRPr="00B41EAD">
        <w:rPr>
          <w:color w:val="000000" w:themeColor="text1"/>
          <w:szCs w:val="20"/>
        </w:rPr>
        <w:t>os.</w:t>
      </w:r>
      <w:r w:rsidR="001616CF" w:rsidRPr="00B41EAD">
        <w:rPr>
          <w:color w:val="000000" w:themeColor="text1"/>
          <w:szCs w:val="20"/>
        </w:rPr>
        <w:t xml:space="preserve"> </w:t>
      </w:r>
      <w:r w:rsidR="001616CF" w:rsidRPr="00B41EAD">
        <w:rPr>
          <w:i/>
          <w:iCs/>
          <w:color w:val="000000" w:themeColor="text1"/>
          <w:szCs w:val="20"/>
        </w:rPr>
        <w:t>Cfr</w:t>
      </w:r>
      <w:r w:rsidR="00B85349" w:rsidRPr="00B41EAD">
        <w:rPr>
          <w:i/>
          <w:iCs/>
          <w:color w:val="000000" w:themeColor="text1"/>
          <w:szCs w:val="20"/>
        </w:rPr>
        <w:t>.</w:t>
      </w:r>
      <w:r w:rsidR="00B85349" w:rsidRPr="00B41EAD">
        <w:rPr>
          <w:color w:val="000000" w:themeColor="text1"/>
          <w:szCs w:val="20"/>
        </w:rPr>
        <w:t xml:space="preserve"> S</w:t>
      </w:r>
      <w:r w:rsidR="001616CF" w:rsidRPr="00B41EAD">
        <w:rPr>
          <w:color w:val="000000" w:themeColor="text1"/>
          <w:szCs w:val="20"/>
        </w:rPr>
        <w:t xml:space="preserve">entencia </w:t>
      </w:r>
      <w:r w:rsidR="00873B6C" w:rsidRPr="00B41EAD">
        <w:rPr>
          <w:color w:val="000000" w:themeColor="text1"/>
          <w:szCs w:val="20"/>
        </w:rPr>
        <w:t>C-418 de 1994.</w:t>
      </w:r>
      <w:r w:rsidR="00704DEB" w:rsidRPr="00B41EAD">
        <w:rPr>
          <w:color w:val="000000" w:themeColor="text1"/>
          <w:szCs w:val="20"/>
        </w:rPr>
        <w:t xml:space="preserve"> M.P. Jorge Arango Mejía.</w:t>
      </w:r>
    </w:p>
  </w:footnote>
  <w:footnote w:id="52">
    <w:p w14:paraId="51A1BCBE" w14:textId="62795FDC" w:rsidR="008E3352" w:rsidRPr="00B41EAD" w:rsidRDefault="008E3352"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Auto del 7 de febrero de 2018 de la Subsección B de la Sección Tercera del Consejo de Estado. C.P. Ramiro Pazos Guerrero. Rad. </w:t>
      </w:r>
      <w:r w:rsidR="00DB093E" w:rsidRPr="00B41EAD">
        <w:rPr>
          <w:color w:val="000000" w:themeColor="text1"/>
          <w:szCs w:val="20"/>
        </w:rPr>
        <w:t>n.º</w:t>
      </w:r>
      <w:r w:rsidRPr="00B41EAD">
        <w:rPr>
          <w:color w:val="000000" w:themeColor="text1"/>
          <w:szCs w:val="20"/>
        </w:rPr>
        <w:t xml:space="preserve"> 05001-23-33-000-2016-02696-01(58805).</w:t>
      </w:r>
    </w:p>
  </w:footnote>
  <w:footnote w:id="53">
    <w:p w14:paraId="312A4A96" w14:textId="656409EF" w:rsidR="008E3352" w:rsidRPr="00B41EAD" w:rsidRDefault="008E3352"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r w:rsidRPr="00B41EAD">
        <w:rPr>
          <w:color w:val="000000" w:themeColor="text1"/>
          <w:szCs w:val="20"/>
        </w:rPr>
        <w:t xml:space="preserve"> </w:t>
      </w:r>
    </w:p>
  </w:footnote>
  <w:footnote w:id="54">
    <w:p w14:paraId="07EEF715" w14:textId="655F60F9" w:rsidR="00764CD1" w:rsidRPr="00B41EAD" w:rsidRDefault="00764CD1"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Auto del 13 de mayo de 2015 de la Subsección A de la Sección Tercera del Consejo de Estado. C.P. Hernán Andrade Rincón. Rad. </w:t>
      </w:r>
      <w:r w:rsidR="00DB093E" w:rsidRPr="00B41EAD">
        <w:rPr>
          <w:color w:val="000000" w:themeColor="text1"/>
          <w:szCs w:val="20"/>
        </w:rPr>
        <w:t>n.º</w:t>
      </w:r>
      <w:r w:rsidRPr="00B41EAD">
        <w:rPr>
          <w:color w:val="000000" w:themeColor="text1"/>
          <w:szCs w:val="20"/>
        </w:rPr>
        <w:t xml:space="preserve"> 18001-23-33-000-2014-00072-01(51576).</w:t>
      </w:r>
    </w:p>
  </w:footnote>
  <w:footnote w:id="55">
    <w:p w14:paraId="79DEAE24" w14:textId="4F77913B" w:rsidR="00880F90" w:rsidRPr="00B41EAD" w:rsidRDefault="00880F90"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Sentencia del 29 de enero de 2020. Sala Plena de la Sección Tercera del Consejo de Estado. C.P. Marta Nubia Velásquez Rico.</w:t>
      </w:r>
    </w:p>
  </w:footnote>
  <w:footnote w:id="56">
    <w:p w14:paraId="0F09656D" w14:textId="04CE2BD7" w:rsidR="00DE4F4A" w:rsidRPr="00B41EAD" w:rsidRDefault="00DE4F4A"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p>
  </w:footnote>
  <w:footnote w:id="57">
    <w:p w14:paraId="4C63D685" w14:textId="5B97FBB3" w:rsidR="00817809" w:rsidRPr="00B41EAD" w:rsidRDefault="00817809"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p>
  </w:footnote>
  <w:footnote w:id="58">
    <w:p w14:paraId="6D5DEDD1" w14:textId="42A7C427" w:rsidR="00CE4BBF" w:rsidRPr="00B41EAD" w:rsidRDefault="00CE4BBF"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6372C2" w:rsidRPr="00B41EAD">
        <w:rPr>
          <w:color w:val="000000" w:themeColor="text1"/>
          <w:szCs w:val="20"/>
        </w:rPr>
        <w:t>Sentencia del 13 de marzo de 2024 de la Subsección C de la Sección Tercera del Consejo de Estado. C.P. Jaime Enrique Rodríguez Navas.</w:t>
      </w:r>
    </w:p>
  </w:footnote>
  <w:footnote w:id="59">
    <w:p w14:paraId="3B0DEBBE" w14:textId="0439119D" w:rsidR="006102AD" w:rsidRPr="00B41EAD" w:rsidRDefault="006102AD" w:rsidP="002E6CF1">
      <w:pPr>
        <w:pStyle w:val="Textonotapie"/>
        <w:jc w:val="both"/>
        <w:rPr>
          <w:color w:val="000000" w:themeColor="text1"/>
          <w:lang w:val="es-ES"/>
        </w:rPr>
      </w:pPr>
      <w:r w:rsidRPr="00B41EAD">
        <w:rPr>
          <w:rStyle w:val="Refdenotaalpie"/>
          <w:color w:val="000000" w:themeColor="text1"/>
        </w:rPr>
        <w:footnoteRef/>
      </w:r>
      <w:r w:rsidRPr="00B41EAD">
        <w:rPr>
          <w:color w:val="000000" w:themeColor="text1"/>
        </w:rPr>
        <w:t xml:space="preserve"> Un ejemplo de ese recorrido jurisprudencial son las sentencias T-490 de 2014 (M.P. Mauricio González Cuervo) y T-352 de 2016 (M.P. Gabriel Eduardo Mendoza Martelo) en las que se analizó la aplicabilidad de la caducidad en casos de reclamaciones por violaciones a derechos humanos. Mientras que en la primera sentencia se afirmó que la caducidad procede en estos casos y que la imprescriptibilidad de los crímenes de lesa humanidad en el ámbito penal no se extiende a las acciones indemnizatorias, cuyo objetivo es la reparación; en la segunda (T-352 de 2016) se indicó lo contrario. En esta última se sostuvo que la caducidad, aunque es constitucionalmente válida, puede convertirse en una barrera que impida el acceso efectivo a la justicia para las víctimas del conflicto armado, lo que haría nugatoria la defensa de sus derechos. Además se resaltó que, de acuerdo con la jurisprudencia del Consejo de Estado de ese momento y la de la Corte Interamericana de Derechos Humanos, el paso del tiempo no debería ser un impedimento para que las víctimas acudan a la jurisdicción a solicitar la reparación integral de los daños sufridos.</w:t>
      </w:r>
    </w:p>
  </w:footnote>
  <w:footnote w:id="60">
    <w:p w14:paraId="10F58228" w14:textId="77777777" w:rsidR="006102AD" w:rsidRPr="00B41EAD" w:rsidRDefault="006102AD"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M.P. Luis Guillermo Guerrero Pérez.</w:t>
      </w:r>
    </w:p>
  </w:footnote>
  <w:footnote w:id="61">
    <w:p w14:paraId="0888F8F7" w14:textId="10E95901" w:rsidR="00625992" w:rsidRPr="00B41EAD" w:rsidRDefault="00F60C92" w:rsidP="002E6CF1">
      <w:pPr>
        <w:pStyle w:val="Textonotapie"/>
        <w:jc w:val="both"/>
        <w:rPr>
          <w:color w:val="000000" w:themeColor="text1"/>
          <w:szCs w:val="20"/>
          <w:lang w:val="es-ES"/>
        </w:rPr>
      </w:pPr>
      <w:r w:rsidRPr="00B41EAD">
        <w:rPr>
          <w:rStyle w:val="Refdenotaalpie"/>
          <w:color w:val="000000" w:themeColor="text1"/>
          <w:szCs w:val="20"/>
        </w:rPr>
        <w:footnoteRef/>
      </w:r>
      <w:r w:rsidR="00625992" w:rsidRPr="00B41EAD">
        <w:rPr>
          <w:color w:val="000000" w:themeColor="text1"/>
          <w:szCs w:val="20"/>
        </w:rPr>
        <w:t xml:space="preserve"> Sentencia de unificación del 29 de enero de 2020 de la Sala Plena de la Sección Tercera del Consejo de Estado, Exp. n.° 61033. C.P. Marta Nubia Velásquez Rico. </w:t>
      </w:r>
    </w:p>
  </w:footnote>
  <w:footnote w:id="62">
    <w:p w14:paraId="1F25A9B0" w14:textId="08C17375" w:rsidR="00A94869" w:rsidRPr="00B41EAD" w:rsidRDefault="00A94869"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AE7399" w:rsidRPr="00B41EAD">
        <w:rPr>
          <w:color w:val="000000" w:themeColor="text1"/>
          <w:szCs w:val="20"/>
        </w:rPr>
        <w:t xml:space="preserve">Sentencia T-044 </w:t>
      </w:r>
      <w:r w:rsidR="00704DEB" w:rsidRPr="00B41EAD">
        <w:rPr>
          <w:color w:val="000000" w:themeColor="text1"/>
          <w:szCs w:val="20"/>
        </w:rPr>
        <w:t>de</w:t>
      </w:r>
      <w:r w:rsidR="00AE7399" w:rsidRPr="00B41EAD">
        <w:rPr>
          <w:color w:val="000000" w:themeColor="text1"/>
          <w:szCs w:val="20"/>
        </w:rPr>
        <w:t xml:space="preserve"> 2022. M.P. Paola Andrea Meneses Mosquera.</w:t>
      </w:r>
    </w:p>
  </w:footnote>
  <w:footnote w:id="63">
    <w:p w14:paraId="39D2DD34" w14:textId="0F0EA733" w:rsidR="009A7653" w:rsidRPr="00B41EAD" w:rsidRDefault="009A7653"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DC6DAD" w:rsidRPr="00B41EAD">
        <w:rPr>
          <w:color w:val="000000" w:themeColor="text1"/>
          <w:szCs w:val="20"/>
        </w:rPr>
        <w:t xml:space="preserve">Sentencia T-210 </w:t>
      </w:r>
      <w:r w:rsidR="00704DEB" w:rsidRPr="00B41EAD">
        <w:rPr>
          <w:color w:val="000000" w:themeColor="text1"/>
          <w:szCs w:val="20"/>
        </w:rPr>
        <w:t>de</w:t>
      </w:r>
      <w:r w:rsidR="00DC6DAD" w:rsidRPr="00B41EAD">
        <w:rPr>
          <w:color w:val="000000" w:themeColor="text1"/>
          <w:szCs w:val="20"/>
        </w:rPr>
        <w:t xml:space="preserve"> 2022. M.P. Paola Andrea Meneses Mosquera.</w:t>
      </w:r>
    </w:p>
  </w:footnote>
  <w:footnote w:id="64">
    <w:p w14:paraId="6058B94A" w14:textId="3069A2B7" w:rsidR="003E2571" w:rsidRPr="00B41EAD" w:rsidRDefault="003E2571"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M.P. Diana Fajardo Rivera.</w:t>
      </w:r>
    </w:p>
  </w:footnote>
  <w:footnote w:id="65">
    <w:p w14:paraId="05D90155" w14:textId="48FB31EB" w:rsidR="003E2571" w:rsidRPr="00B41EAD" w:rsidRDefault="003E2571"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M.P. Paola Andrea Meneses Mosquera.</w:t>
      </w:r>
    </w:p>
  </w:footnote>
  <w:footnote w:id="66">
    <w:p w14:paraId="3B2D7C33" w14:textId="77777777"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“La Administración de Justicia es función pública. Sus decisiones son independientes (…)”.</w:t>
      </w:r>
    </w:p>
  </w:footnote>
  <w:footnote w:id="67">
    <w:p w14:paraId="5B027DED" w14:textId="249C3E4D"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“Los jueces, en sus providencias, solo están sometidos al imperio de la ley (…)”</w:t>
      </w:r>
      <w:r w:rsidR="00A7042A" w:rsidRPr="00B41EAD">
        <w:rPr>
          <w:color w:val="000000" w:themeColor="text1"/>
          <w:szCs w:val="20"/>
        </w:rPr>
        <w:t>.</w:t>
      </w:r>
    </w:p>
  </w:footnote>
  <w:footnote w:id="68">
    <w:p w14:paraId="09A5DF4B" w14:textId="7EF81813"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DB093E" w:rsidRPr="00B41EAD">
        <w:rPr>
          <w:color w:val="000000" w:themeColor="text1"/>
          <w:szCs w:val="20"/>
        </w:rPr>
        <w:t xml:space="preserve">Sentencia </w:t>
      </w:r>
      <w:r w:rsidRPr="00B41EAD">
        <w:rPr>
          <w:color w:val="000000" w:themeColor="text1"/>
          <w:szCs w:val="20"/>
        </w:rPr>
        <w:t xml:space="preserve">T-786 de 2011. M.P. Jorge Iván Palacio Palacio. Ver también, </w:t>
      </w:r>
      <w:r w:rsidRPr="00B41EAD">
        <w:rPr>
          <w:color w:val="000000" w:themeColor="text1"/>
          <w:szCs w:val="20"/>
          <w:lang w:val="es-ES"/>
        </w:rPr>
        <w:t>sentencias T-590 de 2009</w:t>
      </w:r>
      <w:r w:rsidR="00704DEB" w:rsidRPr="00B41EAD">
        <w:rPr>
          <w:color w:val="000000" w:themeColor="text1"/>
          <w:szCs w:val="20"/>
          <w:lang w:val="es-ES"/>
        </w:rPr>
        <w:t xml:space="preserve">. M.P. Luis Ernesto Vargas Silva </w:t>
      </w:r>
      <w:r w:rsidRPr="00B41EAD">
        <w:rPr>
          <w:color w:val="000000" w:themeColor="text1"/>
          <w:szCs w:val="20"/>
          <w:lang w:val="es-ES"/>
        </w:rPr>
        <w:t xml:space="preserve">y </w:t>
      </w:r>
      <w:r w:rsidRPr="00B41EAD">
        <w:rPr>
          <w:color w:val="000000" w:themeColor="text1"/>
          <w:szCs w:val="20"/>
        </w:rPr>
        <w:t>T-636 de 2006.</w:t>
      </w:r>
      <w:r w:rsidR="00704DEB" w:rsidRPr="00B41EAD">
        <w:rPr>
          <w:color w:val="000000" w:themeColor="text1"/>
          <w:szCs w:val="20"/>
        </w:rPr>
        <w:t xml:space="preserve"> M.P. Clara Inés Vargas Hernández.</w:t>
      </w:r>
    </w:p>
  </w:footnote>
  <w:footnote w:id="69">
    <w:p w14:paraId="3B73ECD4" w14:textId="704222DE"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DB093E" w:rsidRPr="00B41EAD">
        <w:rPr>
          <w:color w:val="000000" w:themeColor="text1"/>
          <w:szCs w:val="20"/>
        </w:rPr>
        <w:t xml:space="preserve">Sentencia </w:t>
      </w:r>
      <w:r w:rsidRPr="00B41EAD">
        <w:rPr>
          <w:color w:val="000000" w:themeColor="text1"/>
          <w:szCs w:val="20"/>
        </w:rPr>
        <w:t xml:space="preserve">T-147 de 2017. M.P. María Victoria Calle Correa. </w:t>
      </w:r>
    </w:p>
  </w:footnote>
  <w:footnote w:id="70">
    <w:p w14:paraId="69515DC6" w14:textId="6DD2F704"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DB093E" w:rsidRPr="00B41EAD">
        <w:rPr>
          <w:color w:val="000000" w:themeColor="text1"/>
          <w:szCs w:val="20"/>
        </w:rPr>
        <w:t xml:space="preserve">Sentencia </w:t>
      </w:r>
      <w:r w:rsidRPr="00B41EAD">
        <w:rPr>
          <w:color w:val="000000" w:themeColor="text1"/>
          <w:szCs w:val="20"/>
        </w:rPr>
        <w:t>T-653 de 2010. M.P. Jorge Iván Palacio Palacio.</w:t>
      </w:r>
    </w:p>
  </w:footnote>
  <w:footnote w:id="71">
    <w:p w14:paraId="7187702F" w14:textId="1718196F"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DB093E" w:rsidRPr="00B41EAD">
        <w:rPr>
          <w:i/>
          <w:iCs/>
          <w:color w:val="000000" w:themeColor="text1"/>
          <w:szCs w:val="20"/>
        </w:rPr>
        <w:t>Ibidem.</w:t>
      </w:r>
      <w:r w:rsidRPr="00B41EAD">
        <w:rPr>
          <w:color w:val="000000" w:themeColor="text1"/>
          <w:szCs w:val="20"/>
        </w:rPr>
        <w:t xml:space="preserve"> </w:t>
      </w:r>
    </w:p>
  </w:footnote>
  <w:footnote w:id="72">
    <w:p w14:paraId="73E7B38E" w14:textId="40551262"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FC681E" w:rsidRPr="00B41EAD">
        <w:rPr>
          <w:color w:val="000000" w:themeColor="text1"/>
          <w:szCs w:val="20"/>
        </w:rPr>
        <w:t xml:space="preserve">Sentencia </w:t>
      </w:r>
      <w:r w:rsidRPr="00B41EAD">
        <w:rPr>
          <w:color w:val="000000" w:themeColor="text1"/>
          <w:szCs w:val="20"/>
        </w:rPr>
        <w:t xml:space="preserve">SU-023 de 2018. M.P. Carlos Bernal Pulido. </w:t>
      </w:r>
    </w:p>
  </w:footnote>
  <w:footnote w:id="73">
    <w:p w14:paraId="2AAE67F5" w14:textId="6A08165F"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FC681E" w:rsidRPr="00B41EAD">
        <w:rPr>
          <w:color w:val="000000" w:themeColor="text1"/>
          <w:szCs w:val="20"/>
        </w:rPr>
        <w:t xml:space="preserve">Sentencia </w:t>
      </w:r>
      <w:r w:rsidRPr="00B41EAD">
        <w:rPr>
          <w:color w:val="000000" w:themeColor="text1"/>
          <w:szCs w:val="20"/>
        </w:rPr>
        <w:t>SU-149 de 2021. M.P. Gloria Stella Ortiz Delgado.</w:t>
      </w:r>
    </w:p>
  </w:footnote>
  <w:footnote w:id="74">
    <w:p w14:paraId="7FD6F6F8" w14:textId="0ECBF9F9"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Ver, entre otras, las sentencias SU-035 de 2018</w:t>
      </w:r>
      <w:r w:rsidR="00704DEB" w:rsidRPr="00B41EAD">
        <w:rPr>
          <w:color w:val="000000" w:themeColor="text1"/>
          <w:szCs w:val="20"/>
        </w:rPr>
        <w:t xml:space="preserve">. M.P. José Fernando Reyes Cuartas y </w:t>
      </w:r>
      <w:r w:rsidRPr="00B41EAD">
        <w:rPr>
          <w:color w:val="000000" w:themeColor="text1"/>
          <w:szCs w:val="20"/>
        </w:rPr>
        <w:t>SU-354 de 2017</w:t>
      </w:r>
      <w:r w:rsidR="00704DEB" w:rsidRPr="00B41EAD">
        <w:rPr>
          <w:color w:val="000000" w:themeColor="text1"/>
          <w:szCs w:val="20"/>
        </w:rPr>
        <w:t>. M.P. (</w:t>
      </w:r>
      <w:r w:rsidR="00A7042A" w:rsidRPr="00B41EAD">
        <w:rPr>
          <w:color w:val="000000" w:themeColor="text1"/>
          <w:szCs w:val="20"/>
        </w:rPr>
        <w:t>E</w:t>
      </w:r>
      <w:r w:rsidR="00704DEB" w:rsidRPr="00B41EAD">
        <w:rPr>
          <w:color w:val="000000" w:themeColor="text1"/>
          <w:szCs w:val="20"/>
        </w:rPr>
        <w:t>) Iván Humberto Escrucería Mayolo.</w:t>
      </w:r>
    </w:p>
  </w:footnote>
  <w:footnote w:id="75">
    <w:p w14:paraId="74CD878B" w14:textId="12947D29"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Ver, entre otras, la</w:t>
      </w:r>
      <w:r w:rsidR="00704DEB" w:rsidRPr="00B41EAD">
        <w:rPr>
          <w:color w:val="000000" w:themeColor="text1"/>
          <w:szCs w:val="20"/>
        </w:rPr>
        <w:t xml:space="preserve"> </w:t>
      </w:r>
      <w:r w:rsidR="00FC681E" w:rsidRPr="00B41EAD">
        <w:rPr>
          <w:color w:val="000000" w:themeColor="text1"/>
          <w:szCs w:val="20"/>
        </w:rPr>
        <w:t>S</w:t>
      </w:r>
      <w:r w:rsidRPr="00B41EAD">
        <w:rPr>
          <w:color w:val="000000" w:themeColor="text1"/>
          <w:szCs w:val="20"/>
        </w:rPr>
        <w:t>entencia C-634 de 2011</w:t>
      </w:r>
      <w:r w:rsidR="00704DEB" w:rsidRPr="00B41EAD">
        <w:rPr>
          <w:color w:val="000000" w:themeColor="text1"/>
          <w:szCs w:val="20"/>
        </w:rPr>
        <w:t xml:space="preserve">. M.P. Luis Ernesto Vargas Silva. </w:t>
      </w:r>
    </w:p>
  </w:footnote>
  <w:footnote w:id="76">
    <w:p w14:paraId="0BD5DEA7" w14:textId="79541B6C" w:rsidR="00B516CC" w:rsidRPr="00B41EAD" w:rsidRDefault="00B516CC" w:rsidP="002E6CF1">
      <w:pPr>
        <w:pStyle w:val="Textonotapie"/>
        <w:jc w:val="both"/>
        <w:rPr>
          <w:color w:val="000000" w:themeColor="text1"/>
          <w:szCs w:val="20"/>
        </w:rPr>
      </w:pPr>
      <w:r w:rsidRPr="00B41EAD">
        <w:rPr>
          <w:rStyle w:val="Refdenotaalpie"/>
          <w:color w:val="000000" w:themeColor="text1"/>
          <w:szCs w:val="20"/>
        </w:rPr>
        <w:footnoteRef/>
      </w:r>
      <w:r w:rsidRPr="00B41EAD">
        <w:rPr>
          <w:color w:val="000000" w:themeColor="text1"/>
          <w:szCs w:val="20"/>
        </w:rPr>
        <w:t xml:space="preserve"> </w:t>
      </w:r>
      <w:r w:rsidR="00A7042A" w:rsidRPr="00B41EAD">
        <w:rPr>
          <w:color w:val="000000" w:themeColor="text1"/>
          <w:szCs w:val="20"/>
        </w:rPr>
        <w:t xml:space="preserve">Sentencia </w:t>
      </w:r>
      <w:r w:rsidRPr="00B41EAD">
        <w:rPr>
          <w:color w:val="000000" w:themeColor="text1"/>
          <w:szCs w:val="20"/>
        </w:rPr>
        <w:t xml:space="preserve">C-634 de 2011. M.P. Luis Ernesto Vargas Silva. </w:t>
      </w:r>
    </w:p>
  </w:footnote>
  <w:footnote w:id="77">
    <w:p w14:paraId="314DECC0" w14:textId="20B0EE7F" w:rsidR="000F3E5C" w:rsidRPr="00B41EAD" w:rsidRDefault="000F3E5C"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M.P. Luis Guillermo Guerrero Pérez.</w:t>
      </w:r>
    </w:p>
  </w:footnote>
  <w:footnote w:id="78">
    <w:p w14:paraId="4D6CBF94" w14:textId="4E3916E5" w:rsidR="00F86EB8" w:rsidRPr="00B41EAD" w:rsidRDefault="00F86EB8"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 xml:space="preserve">Sentencia SU-312 de 2020. M.P. </w:t>
      </w:r>
      <w:r w:rsidR="00510C19" w:rsidRPr="00B41EAD">
        <w:rPr>
          <w:color w:val="000000" w:themeColor="text1"/>
          <w:szCs w:val="20"/>
          <w:lang w:val="es-ES"/>
        </w:rPr>
        <w:t>Luis Guillermo Guerrero Pérez.</w:t>
      </w:r>
    </w:p>
  </w:footnote>
  <w:footnote w:id="79">
    <w:p w14:paraId="0D88CEB3" w14:textId="33774382" w:rsidR="00E31285" w:rsidRPr="00B41EAD" w:rsidRDefault="00E31285"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 xml:space="preserve">Archivo “2. Anexos Paola Tilano.pdf” Folio 8. </w:t>
      </w:r>
    </w:p>
  </w:footnote>
  <w:footnote w:id="80">
    <w:p w14:paraId="35449150" w14:textId="7155D0E7" w:rsidR="00E31285" w:rsidRPr="00B41EAD" w:rsidRDefault="00E31285"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rPr>
        <w:t>Ibidem.</w:t>
      </w:r>
      <w:r w:rsidRPr="00B41EAD">
        <w:rPr>
          <w:color w:val="000000" w:themeColor="text1"/>
          <w:szCs w:val="20"/>
        </w:rPr>
        <w:t xml:space="preserve"> </w:t>
      </w:r>
      <w:r w:rsidRPr="00B41EAD">
        <w:rPr>
          <w:color w:val="000000" w:themeColor="text1"/>
          <w:szCs w:val="20"/>
          <w:lang w:val="es-ES"/>
        </w:rPr>
        <w:t>Folio 23</w:t>
      </w:r>
      <w:r w:rsidR="005A5055" w:rsidRPr="00B41EAD">
        <w:rPr>
          <w:color w:val="000000" w:themeColor="text1"/>
          <w:szCs w:val="20"/>
          <w:lang w:val="es-ES"/>
        </w:rPr>
        <w:t>.</w:t>
      </w:r>
    </w:p>
  </w:footnote>
  <w:footnote w:id="81">
    <w:p w14:paraId="454D760D" w14:textId="77777777" w:rsidR="008D577D" w:rsidRPr="00B41EAD" w:rsidRDefault="008D577D"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47.</w:t>
      </w:r>
    </w:p>
  </w:footnote>
  <w:footnote w:id="82">
    <w:p w14:paraId="2211F706" w14:textId="64BF02A7" w:rsidR="00396A44" w:rsidRPr="00B41EAD" w:rsidRDefault="00396A44"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91.</w:t>
      </w:r>
    </w:p>
  </w:footnote>
  <w:footnote w:id="83">
    <w:p w14:paraId="4B73E9A0" w14:textId="5221A7E6" w:rsidR="00947B87" w:rsidRPr="00B41EAD" w:rsidRDefault="00947B87"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92.</w:t>
      </w:r>
    </w:p>
  </w:footnote>
  <w:footnote w:id="84">
    <w:p w14:paraId="084DC2FF" w14:textId="6F05D0E9" w:rsidR="004E767E" w:rsidRPr="00B41EAD" w:rsidRDefault="004E767E"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185.</w:t>
      </w:r>
    </w:p>
  </w:footnote>
  <w:footnote w:id="85">
    <w:p w14:paraId="210F62C4" w14:textId="1D36AE57" w:rsidR="00D90696" w:rsidRPr="00B41EAD" w:rsidRDefault="00D90696"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37.</w:t>
      </w:r>
    </w:p>
  </w:footnote>
  <w:footnote w:id="86">
    <w:p w14:paraId="33E9A96E" w14:textId="2ABBFC8D" w:rsidR="00687E63" w:rsidRPr="00B41EAD" w:rsidRDefault="00687E63"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M.P. Diana Fajardo Rivera.</w:t>
      </w:r>
    </w:p>
  </w:footnote>
  <w:footnote w:id="87">
    <w:p w14:paraId="32C3B748" w14:textId="65924C75" w:rsidR="002E6CF1" w:rsidRPr="00B41EAD" w:rsidRDefault="002E6CF1" w:rsidP="002E6CF1">
      <w:pPr>
        <w:pStyle w:val="Textonotapie"/>
        <w:jc w:val="both"/>
        <w:rPr>
          <w:i/>
          <w:iCs/>
          <w:color w:val="000000" w:themeColor="text1"/>
        </w:rPr>
      </w:pPr>
      <w:r w:rsidRPr="00B41EAD">
        <w:rPr>
          <w:rStyle w:val="Refdenotaalpie"/>
          <w:color w:val="000000" w:themeColor="text1"/>
        </w:rPr>
        <w:footnoteRef/>
      </w:r>
      <w:r w:rsidRPr="00B41EAD">
        <w:rPr>
          <w:color w:val="000000" w:themeColor="text1"/>
        </w:rPr>
        <w:t xml:space="preserve"> Según el Informe del Relator Especial sobre las ejecuciones judiciales del 15 de mayo de 2012, “el Relator Especial recibió información que indicaba que las familias de las víctimas habían sido objeto de graves amenazas. También fue informado de que, de las 17 investigaciones penales iniciadas en 2008, solo 1 había dado lugar a condenas (8 miembros de la fuerza militar habían sido condenados en junio de 2011)”</w:t>
      </w:r>
      <w:r w:rsidR="00FC681E" w:rsidRPr="00B41EAD">
        <w:rPr>
          <w:color w:val="000000" w:themeColor="text1"/>
        </w:rPr>
        <w:t>.</w:t>
      </w:r>
    </w:p>
  </w:footnote>
  <w:footnote w:id="88">
    <w:p w14:paraId="640ED658" w14:textId="77777777" w:rsidR="002E6CF1" w:rsidRPr="00B41EAD" w:rsidRDefault="002E6CF1" w:rsidP="002E6CF1">
      <w:pPr>
        <w:pStyle w:val="Textonotapie"/>
        <w:jc w:val="both"/>
        <w:rPr>
          <w:color w:val="000000" w:themeColor="text1"/>
        </w:rPr>
      </w:pPr>
      <w:r w:rsidRPr="00B41EAD">
        <w:rPr>
          <w:rStyle w:val="Refdenotaalpie"/>
          <w:color w:val="000000" w:themeColor="text1"/>
        </w:rPr>
        <w:footnoteRef/>
      </w:r>
      <w:r w:rsidRPr="00B41EAD">
        <w:rPr>
          <w:color w:val="000000" w:themeColor="text1"/>
        </w:rPr>
        <w:t xml:space="preserve"> Informe del Relator Especial sobre las ejecuciones extrajudiciales, sumarias o arbitrarias, Christof Heyns. Consejo de Derechos Humanos, Asamblea General de Naciones Unidas. A/HRC/20/22/Add.2. 15 de mayo de 2012. </w:t>
      </w:r>
    </w:p>
  </w:footnote>
  <w:footnote w:id="89">
    <w:p w14:paraId="1D95FC69" w14:textId="59AD066D" w:rsidR="00F96B2E" w:rsidRPr="00B41EAD" w:rsidRDefault="00F96B2E"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Sentencia de unificación del 29 de enero de 2020 de la Sala Plena de la Sección Tercera del Consejo de Estado, Exp. n.° 61033. C.P. Marta Nubia Velásquez Rico. </w:t>
      </w:r>
    </w:p>
  </w:footnote>
  <w:footnote w:id="90">
    <w:p w14:paraId="3890D346" w14:textId="4EA8B6A2" w:rsidR="009F3BDB" w:rsidRPr="00B41EAD" w:rsidRDefault="009F3BDB"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 xml:space="preserve">M.P. Luis Guillermo Guerrero Pérez. </w:t>
      </w:r>
    </w:p>
  </w:footnote>
  <w:footnote w:id="91">
    <w:p w14:paraId="2F43E7A0" w14:textId="2FB58F61" w:rsidR="00F3074D" w:rsidRPr="00B41EAD" w:rsidRDefault="00F3074D"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 xml:space="preserve">Archivo digital “002 cuaderno dos EMP.pdf” del expediente digital del proceso de reparación directa. Folios 150 y 151. </w:t>
      </w:r>
    </w:p>
  </w:footnote>
  <w:footnote w:id="92">
    <w:p w14:paraId="35FD4D21" w14:textId="50A8130E" w:rsidR="00F3074D" w:rsidRPr="00B41EAD" w:rsidRDefault="00F3074D"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151. </w:t>
      </w:r>
    </w:p>
  </w:footnote>
  <w:footnote w:id="93">
    <w:p w14:paraId="187C43F4" w14:textId="0572FA65" w:rsidR="00D57D45" w:rsidRPr="00B41EAD" w:rsidRDefault="00D57D45"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Oficio disponible en el archivo digital “044 oficio de la fiscalía y anexos 11-02-2019”.</w:t>
      </w:r>
    </w:p>
  </w:footnote>
  <w:footnote w:id="94">
    <w:p w14:paraId="00025A07" w14:textId="54CADA7D" w:rsidR="00485E11" w:rsidRPr="00B41EAD" w:rsidRDefault="00485E11"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7.</w:t>
      </w:r>
    </w:p>
  </w:footnote>
  <w:footnote w:id="95">
    <w:p w14:paraId="6B163349" w14:textId="77777777" w:rsidR="00041801" w:rsidRPr="00B41EAD" w:rsidRDefault="00041801"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i/>
          <w:iCs/>
          <w:color w:val="000000" w:themeColor="text1"/>
          <w:szCs w:val="20"/>
          <w:lang w:val="es-ES"/>
        </w:rPr>
        <w:t>Ibidem.</w:t>
      </w:r>
      <w:r w:rsidRPr="00B41EAD">
        <w:rPr>
          <w:color w:val="000000" w:themeColor="text1"/>
          <w:szCs w:val="20"/>
          <w:lang w:val="es-ES"/>
        </w:rPr>
        <w:t xml:space="preserve"> Folio 11. </w:t>
      </w:r>
    </w:p>
  </w:footnote>
  <w:footnote w:id="96">
    <w:p w14:paraId="77C33902" w14:textId="3C102082" w:rsidR="00BE272A" w:rsidRPr="00B41EAD" w:rsidRDefault="00BE272A"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M.P. José Fernando Reyes Cuartas.</w:t>
      </w:r>
    </w:p>
  </w:footnote>
  <w:footnote w:id="97">
    <w:p w14:paraId="029BDB29" w14:textId="193FB00D" w:rsidR="00BE272A" w:rsidRPr="00B41EAD" w:rsidRDefault="00BE272A"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Sentencia de unificación del 29 de enero de 2020 de la Sala Plena de la Sección Tercera del Consejo de Estado, Exp. n.° 61033. C.P. Marta Nubia Velásquez Rico. </w:t>
      </w:r>
    </w:p>
  </w:footnote>
  <w:footnote w:id="98">
    <w:p w14:paraId="7FF45F7C" w14:textId="379AEAF0" w:rsidR="005E2CD8" w:rsidRPr="00B41EAD" w:rsidRDefault="005E2CD8"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 xml:space="preserve">M.P. Diana Fajardo Rivera. </w:t>
      </w:r>
    </w:p>
  </w:footnote>
  <w:footnote w:id="99">
    <w:p w14:paraId="34584830" w14:textId="1633439F" w:rsidR="005E2CD8" w:rsidRPr="00B41EAD" w:rsidRDefault="005E2CD8"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i/>
          <w:iCs/>
          <w:color w:val="000000" w:themeColor="text1"/>
          <w:szCs w:val="20"/>
        </w:rPr>
        <w:t>Ibidem.</w:t>
      </w:r>
      <w:r w:rsidRPr="00B41EAD">
        <w:rPr>
          <w:color w:val="000000" w:themeColor="text1"/>
          <w:szCs w:val="20"/>
        </w:rPr>
        <w:t xml:space="preserve"> </w:t>
      </w:r>
    </w:p>
  </w:footnote>
  <w:footnote w:id="100">
    <w:p w14:paraId="0036A1DF" w14:textId="77777777" w:rsidR="00A85149" w:rsidRPr="00B41EAD" w:rsidRDefault="00A85149" w:rsidP="002E6CF1">
      <w:pPr>
        <w:pStyle w:val="Textonotapie"/>
        <w:jc w:val="both"/>
        <w:rPr>
          <w:color w:val="000000" w:themeColor="text1"/>
          <w:szCs w:val="20"/>
          <w:lang w:val="es-ES"/>
        </w:rPr>
      </w:pPr>
      <w:r w:rsidRPr="00B41EAD">
        <w:rPr>
          <w:rStyle w:val="Refdenotaalpie"/>
          <w:color w:val="000000" w:themeColor="text1"/>
          <w:szCs w:val="20"/>
        </w:rPr>
        <w:footnoteRef/>
      </w:r>
      <w:r w:rsidRPr="00B41EAD">
        <w:rPr>
          <w:color w:val="000000" w:themeColor="text1"/>
          <w:szCs w:val="20"/>
        </w:rPr>
        <w:t xml:space="preserve"> </w:t>
      </w:r>
      <w:r w:rsidRPr="00B41EAD">
        <w:rPr>
          <w:color w:val="000000" w:themeColor="text1"/>
          <w:szCs w:val="20"/>
          <w:lang w:val="es-ES"/>
        </w:rPr>
        <w:t>M.P. José Fernando Reyes Cuartas.</w:t>
      </w:r>
    </w:p>
  </w:footnote>
  <w:footnote w:id="101">
    <w:p w14:paraId="33FF8682" w14:textId="77777777" w:rsidR="00FE6AB5" w:rsidRPr="002E6CF1" w:rsidRDefault="00FE6AB5" w:rsidP="00442C24">
      <w:pPr>
        <w:pStyle w:val="Textonotapie"/>
        <w:rPr>
          <w:color w:val="000000" w:themeColor="text1"/>
        </w:rPr>
      </w:pPr>
      <w:r w:rsidRPr="00B41EAD">
        <w:rPr>
          <w:rStyle w:val="Refdenotaalpie"/>
          <w:color w:val="000000" w:themeColor="text1"/>
        </w:rPr>
        <w:footnoteRef/>
      </w:r>
      <w:r w:rsidRPr="00B41EAD">
        <w:rPr>
          <w:color w:val="000000" w:themeColor="text1"/>
        </w:rPr>
        <w:t xml:space="preserve"> Expediente T-10.007.411, documento digital “58_58_110010315000202302159002RECIBEMEMORIAL20230908111645 1.pdf”.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57399" w14:textId="0A487E2F" w:rsidR="0053116E" w:rsidRPr="00364098" w:rsidRDefault="0053116E">
    <w:pPr>
      <w:pStyle w:val="Encabezado"/>
      <w:jc w:val="right"/>
      <w:rPr>
        <w:sz w:val="20"/>
      </w:rPr>
    </w:pPr>
  </w:p>
  <w:p w14:paraId="1A9DB154" w14:textId="77777777" w:rsidR="000E222A" w:rsidRDefault="000E222A" w:rsidP="000E222A">
    <w:pPr>
      <w:pStyle w:val="Encabezado"/>
      <w:jc w:val="right"/>
      <w:rPr>
        <w:i/>
        <w:iCs/>
        <w:sz w:val="20"/>
      </w:rPr>
    </w:pPr>
  </w:p>
  <w:p w14:paraId="17B9E8DE" w14:textId="3978AC95" w:rsidR="0036730B" w:rsidRDefault="0036730B" w:rsidP="000E222A">
    <w:pPr>
      <w:pStyle w:val="Encabezado"/>
      <w:jc w:val="right"/>
      <w:rPr>
        <w:i/>
        <w:iCs/>
        <w:sz w:val="20"/>
      </w:rPr>
    </w:pPr>
    <w:r>
      <w:rPr>
        <w:i/>
        <w:iCs/>
        <w:sz w:val="20"/>
      </w:rPr>
      <w:t>E</w:t>
    </w:r>
    <w:r w:rsidRPr="0036730B">
      <w:rPr>
        <w:i/>
        <w:iCs/>
        <w:sz w:val="20"/>
      </w:rPr>
      <w:t>xpedientes acumulados T-10.001.552 y T-10.007.411</w:t>
    </w:r>
  </w:p>
  <w:p w14:paraId="4C2F05DD" w14:textId="47D15AF9" w:rsidR="000E222A" w:rsidRPr="000E222A" w:rsidRDefault="105B277E" w:rsidP="105B277E">
    <w:pPr>
      <w:pStyle w:val="Encabezado"/>
      <w:jc w:val="right"/>
      <w:rPr>
        <w:i/>
        <w:iCs/>
        <w:sz w:val="20"/>
        <w:szCs w:val="20"/>
      </w:rPr>
    </w:pPr>
    <w:r w:rsidRPr="105B277E">
      <w:rPr>
        <w:i/>
        <w:iCs/>
        <w:sz w:val="20"/>
        <w:szCs w:val="20"/>
      </w:rPr>
      <w:t>M.</w:t>
    </w:r>
    <w:r w:rsidR="00E104A6">
      <w:rPr>
        <w:i/>
        <w:iCs/>
        <w:sz w:val="20"/>
        <w:szCs w:val="20"/>
      </w:rPr>
      <w:t>P</w:t>
    </w:r>
    <w:r w:rsidRPr="105B277E">
      <w:rPr>
        <w:i/>
        <w:iCs/>
        <w:sz w:val="20"/>
        <w:szCs w:val="20"/>
      </w:rPr>
      <w:t>. Diana Fajardo Rivera</w:t>
    </w:r>
  </w:p>
  <w:p w14:paraId="2F05DBDE" w14:textId="47F5394A" w:rsidR="000E222A" w:rsidRDefault="000E222A" w:rsidP="000E222A">
    <w:pPr>
      <w:pStyle w:val="Encabezado"/>
      <w:jc w:val="right"/>
      <w:rPr>
        <w:sz w:val="20"/>
      </w:rPr>
    </w:pPr>
  </w:p>
  <w:p w14:paraId="25A3BA1B" w14:textId="77777777" w:rsidR="000E222A" w:rsidRPr="0053116E" w:rsidRDefault="000E222A" w:rsidP="000E222A">
    <w:pPr>
      <w:pStyle w:val="Encabezado"/>
      <w:jc w:val="right"/>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70"/>
      <w:gridCol w:w="3070"/>
      <w:gridCol w:w="3070"/>
    </w:tblGrid>
    <w:tr w:rsidR="105B277E" w14:paraId="40E28AEC" w14:textId="77777777" w:rsidTr="105B277E">
      <w:trPr>
        <w:trHeight w:val="300"/>
      </w:trPr>
      <w:tc>
        <w:tcPr>
          <w:tcW w:w="3070" w:type="dxa"/>
        </w:tcPr>
        <w:p w14:paraId="6EE3F4E5" w14:textId="5B1F65EA" w:rsidR="105B277E" w:rsidRDefault="105B277E" w:rsidP="105B277E">
          <w:pPr>
            <w:pStyle w:val="Encabezado"/>
            <w:ind w:left="-115"/>
          </w:pPr>
        </w:p>
      </w:tc>
      <w:tc>
        <w:tcPr>
          <w:tcW w:w="3070" w:type="dxa"/>
        </w:tcPr>
        <w:p w14:paraId="1D65EDDB" w14:textId="1C6DA555" w:rsidR="105B277E" w:rsidRDefault="105B277E" w:rsidP="105B277E">
          <w:pPr>
            <w:pStyle w:val="Encabezado"/>
            <w:jc w:val="center"/>
          </w:pPr>
        </w:p>
      </w:tc>
      <w:tc>
        <w:tcPr>
          <w:tcW w:w="3070" w:type="dxa"/>
        </w:tcPr>
        <w:p w14:paraId="59FA78D6" w14:textId="6F9C5331" w:rsidR="105B277E" w:rsidRDefault="105B277E" w:rsidP="105B277E">
          <w:pPr>
            <w:pStyle w:val="Encabezado"/>
            <w:ind w:right="-115"/>
            <w:jc w:val="right"/>
          </w:pPr>
        </w:p>
      </w:tc>
    </w:tr>
  </w:tbl>
  <w:p w14:paraId="53B2ECC9" w14:textId="7E2719EA" w:rsidR="105B277E" w:rsidRDefault="105B277E" w:rsidP="105B27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9EF"/>
    <w:multiLevelType w:val="hybridMultilevel"/>
    <w:tmpl w:val="1736D060"/>
    <w:lvl w:ilvl="0" w:tplc="040A000F">
      <w:start w:val="1"/>
      <w:numFmt w:val="decimal"/>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4F66F1D"/>
    <w:multiLevelType w:val="hybridMultilevel"/>
    <w:tmpl w:val="1C32057A"/>
    <w:lvl w:ilvl="0" w:tplc="79AEA786">
      <w:start w:val="1"/>
      <w:numFmt w:val="lowerLetter"/>
      <w:lvlText w:val="%1."/>
      <w:lvlJc w:val="left"/>
      <w:pPr>
        <w:ind w:left="720" w:hanging="360"/>
      </w:pPr>
      <w:rPr>
        <w:rFonts w:hint="default"/>
        <w:lang w:val="es-E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22971E0"/>
    <w:multiLevelType w:val="hybridMultilevel"/>
    <w:tmpl w:val="D8B4168A"/>
    <w:lvl w:ilvl="0" w:tplc="0C8A71F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1C810B5"/>
    <w:multiLevelType w:val="hybridMultilevel"/>
    <w:tmpl w:val="B0B6AA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B445686"/>
    <w:multiLevelType w:val="multilevel"/>
    <w:tmpl w:val="D31EAB98"/>
    <w:lvl w:ilvl="0">
      <w:start w:val="1"/>
      <w:numFmt w:val="upperRoman"/>
      <w:pStyle w:val="Ttulo1"/>
      <w:lvlText w:val="%1."/>
      <w:lvlJc w:val="left"/>
      <w:pPr>
        <w:tabs>
          <w:tab w:val="num" w:pos="720"/>
        </w:tabs>
        <w:ind w:left="0" w:firstLine="0"/>
      </w:pPr>
      <w:rPr>
        <w:rFonts w:ascii="Times New Roman" w:hAnsi="Times New Roman" w:cs="Times New Roman" w:hint="default"/>
        <w:b/>
        <w:i w:val="0"/>
        <w:caps/>
        <w:sz w:val="28"/>
      </w:rPr>
    </w:lvl>
    <w:lvl w:ilvl="1">
      <w:start w:val="1"/>
      <w:numFmt w:val="decimal"/>
      <w:pStyle w:val="Ttulo2"/>
      <w:lvlText w:val="%2."/>
      <w:lvlJc w:val="left"/>
      <w:pPr>
        <w:tabs>
          <w:tab w:val="num" w:pos="360"/>
        </w:tabs>
        <w:ind w:left="0" w:firstLine="0"/>
      </w:pPr>
      <w:rPr>
        <w:rFonts w:ascii="Times New Roman" w:hAnsi="Times New Roman" w:cs="Times New Roman" w:hint="default"/>
        <w:b/>
        <w:i w:val="0"/>
        <w:sz w:val="28"/>
        <w:szCs w:val="28"/>
      </w:rPr>
    </w:lvl>
    <w:lvl w:ilvl="2">
      <w:start w:val="1"/>
      <w:numFmt w:val="decimal"/>
      <w:pStyle w:val="Ttulo3"/>
      <w:lvlText w:val="%2.%3."/>
      <w:lvlJc w:val="left"/>
      <w:pPr>
        <w:tabs>
          <w:tab w:val="num" w:pos="840"/>
        </w:tabs>
        <w:ind w:left="120" w:firstLine="0"/>
      </w:pPr>
      <w:rPr>
        <w:rFonts w:ascii="Times New Roman" w:hAnsi="Times New Roman" w:cs="Times New Roman" w:hint="default"/>
        <w:b/>
        <w:i w:val="0"/>
        <w:sz w:val="24"/>
        <w:szCs w:val="24"/>
      </w:rPr>
    </w:lvl>
    <w:lvl w:ilvl="3">
      <w:start w:val="1"/>
      <w:numFmt w:val="decimal"/>
      <w:pStyle w:val="Ttulo4"/>
      <w:lvlText w:val="%2.%3.%4."/>
      <w:lvlJc w:val="left"/>
      <w:pPr>
        <w:tabs>
          <w:tab w:val="num" w:pos="720"/>
        </w:tabs>
        <w:ind w:left="0" w:firstLine="0"/>
      </w:pPr>
      <w:rPr>
        <w:rFonts w:ascii="Times New Roman" w:hAnsi="Times New Roman" w:cs="Times New Roman" w:hint="default"/>
        <w:b/>
        <w:i w:val="0"/>
        <w:sz w:val="28"/>
      </w:rPr>
    </w:lvl>
    <w:lvl w:ilvl="4">
      <w:start w:val="1"/>
      <w:numFmt w:val="decimal"/>
      <w:pStyle w:val="Ttulo5"/>
      <w:lvlText w:val="%2.%3.%4.%5."/>
      <w:lvlJc w:val="left"/>
      <w:pPr>
        <w:tabs>
          <w:tab w:val="num" w:pos="720"/>
        </w:tabs>
        <w:ind w:left="0" w:firstLine="0"/>
      </w:pPr>
      <w:rPr>
        <w:rFonts w:ascii="Times New Roman" w:hAnsi="Times New Roman" w:cs="Times New Roman" w:hint="default"/>
        <w:b/>
        <w:i w:val="0"/>
        <w:sz w:val="28"/>
      </w:rPr>
    </w:lvl>
    <w:lvl w:ilvl="5">
      <w:start w:val="1"/>
      <w:numFmt w:val="lowerLetter"/>
      <w:pStyle w:val="Ttulo6"/>
      <w:lvlText w:val="(%6)"/>
      <w:lvlJc w:val="left"/>
      <w:pPr>
        <w:tabs>
          <w:tab w:val="num" w:pos="3960"/>
        </w:tabs>
        <w:ind w:left="3600" w:firstLine="0"/>
      </w:pPr>
      <w:rPr>
        <w:rFonts w:cs="Times New Roman"/>
      </w:rPr>
    </w:lvl>
    <w:lvl w:ilvl="6">
      <w:start w:val="1"/>
      <w:numFmt w:val="lowerRoman"/>
      <w:pStyle w:val="Ttulo7"/>
      <w:lvlText w:val="(%7)"/>
      <w:lvlJc w:val="left"/>
      <w:pPr>
        <w:tabs>
          <w:tab w:val="num" w:pos="4680"/>
        </w:tabs>
        <w:ind w:left="4320" w:firstLine="0"/>
      </w:pPr>
      <w:rPr>
        <w:rFonts w:cs="Times New Roman"/>
      </w:rPr>
    </w:lvl>
    <w:lvl w:ilvl="7">
      <w:start w:val="1"/>
      <w:numFmt w:val="lowerLetter"/>
      <w:pStyle w:val="Ttulo8"/>
      <w:lvlText w:val="(%8)"/>
      <w:lvlJc w:val="left"/>
      <w:pPr>
        <w:tabs>
          <w:tab w:val="num" w:pos="5400"/>
        </w:tabs>
        <w:ind w:left="5040" w:firstLine="0"/>
      </w:pPr>
      <w:rPr>
        <w:rFonts w:cs="Times New Roman"/>
      </w:rPr>
    </w:lvl>
    <w:lvl w:ilvl="8">
      <w:start w:val="1"/>
      <w:numFmt w:val="lowerRoman"/>
      <w:pStyle w:val="Ttulo9"/>
      <w:lvlText w:val="(%9)"/>
      <w:lvlJc w:val="left"/>
      <w:pPr>
        <w:tabs>
          <w:tab w:val="num" w:pos="6120"/>
        </w:tabs>
        <w:ind w:left="5760" w:firstLine="0"/>
      </w:pPr>
      <w:rPr>
        <w:rFonts w:cs="Times New Roman"/>
      </w:rPr>
    </w:lvl>
  </w:abstractNum>
  <w:abstractNum w:abstractNumId="5" w15:restartNumberingAfterBreak="0">
    <w:nsid w:val="49592CF6"/>
    <w:multiLevelType w:val="hybridMultilevel"/>
    <w:tmpl w:val="372E6DEE"/>
    <w:lvl w:ilvl="0" w:tplc="0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B065E0E"/>
    <w:multiLevelType w:val="hybridMultilevel"/>
    <w:tmpl w:val="DDC20F86"/>
    <w:lvl w:ilvl="0" w:tplc="5622C248">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3196329"/>
    <w:multiLevelType w:val="hybridMultilevel"/>
    <w:tmpl w:val="B27CE2EA"/>
    <w:lvl w:ilvl="0" w:tplc="DB8E8AE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73571C5"/>
    <w:multiLevelType w:val="hybridMultilevel"/>
    <w:tmpl w:val="A7B8DB50"/>
    <w:lvl w:ilvl="0" w:tplc="0C8A71F8">
      <w:start w:val="1"/>
      <w:numFmt w:val="low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64122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318343">
    <w:abstractNumId w:val="3"/>
  </w:num>
  <w:num w:numId="3" w16cid:durableId="1995378119">
    <w:abstractNumId w:val="7"/>
  </w:num>
  <w:num w:numId="4" w16cid:durableId="342586486">
    <w:abstractNumId w:val="0"/>
  </w:num>
  <w:num w:numId="5" w16cid:durableId="1757239327">
    <w:abstractNumId w:val="5"/>
  </w:num>
  <w:num w:numId="6" w16cid:durableId="1450931218">
    <w:abstractNumId w:val="8"/>
  </w:num>
  <w:num w:numId="7" w16cid:durableId="570971055">
    <w:abstractNumId w:val="2"/>
  </w:num>
  <w:num w:numId="8" w16cid:durableId="2116512658">
    <w:abstractNumId w:val="1"/>
  </w:num>
  <w:num w:numId="9" w16cid:durableId="26195617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32D"/>
    <w:rsid w:val="00001165"/>
    <w:rsid w:val="00001E19"/>
    <w:rsid w:val="00003186"/>
    <w:rsid w:val="00003C5D"/>
    <w:rsid w:val="00004551"/>
    <w:rsid w:val="00004B21"/>
    <w:rsid w:val="00004E4E"/>
    <w:rsid w:val="000055DD"/>
    <w:rsid w:val="00006443"/>
    <w:rsid w:val="0001194A"/>
    <w:rsid w:val="00013144"/>
    <w:rsid w:val="00013FE4"/>
    <w:rsid w:val="000144E9"/>
    <w:rsid w:val="00017141"/>
    <w:rsid w:val="00017705"/>
    <w:rsid w:val="00017DA8"/>
    <w:rsid w:val="0002287E"/>
    <w:rsid w:val="0002290B"/>
    <w:rsid w:val="00022D13"/>
    <w:rsid w:val="00024B47"/>
    <w:rsid w:val="00024FC3"/>
    <w:rsid w:val="00030CF0"/>
    <w:rsid w:val="00030F8D"/>
    <w:rsid w:val="0003334C"/>
    <w:rsid w:val="00036433"/>
    <w:rsid w:val="00036F2D"/>
    <w:rsid w:val="00036F52"/>
    <w:rsid w:val="000372E4"/>
    <w:rsid w:val="00040101"/>
    <w:rsid w:val="0004055D"/>
    <w:rsid w:val="00040AD1"/>
    <w:rsid w:val="00041801"/>
    <w:rsid w:val="00041B91"/>
    <w:rsid w:val="00042079"/>
    <w:rsid w:val="0004668A"/>
    <w:rsid w:val="000479D1"/>
    <w:rsid w:val="0005060A"/>
    <w:rsid w:val="00050B2A"/>
    <w:rsid w:val="00051AAC"/>
    <w:rsid w:val="00052754"/>
    <w:rsid w:val="00053567"/>
    <w:rsid w:val="000573D5"/>
    <w:rsid w:val="0006057A"/>
    <w:rsid w:val="00061224"/>
    <w:rsid w:val="00061632"/>
    <w:rsid w:val="00063034"/>
    <w:rsid w:val="0006343F"/>
    <w:rsid w:val="000643F1"/>
    <w:rsid w:val="00065244"/>
    <w:rsid w:val="000652EB"/>
    <w:rsid w:val="000663D1"/>
    <w:rsid w:val="00066D5F"/>
    <w:rsid w:val="0006744D"/>
    <w:rsid w:val="0006752E"/>
    <w:rsid w:val="000728B7"/>
    <w:rsid w:val="0007300A"/>
    <w:rsid w:val="00073043"/>
    <w:rsid w:val="0007427F"/>
    <w:rsid w:val="00074EA3"/>
    <w:rsid w:val="00076F6F"/>
    <w:rsid w:val="000778FD"/>
    <w:rsid w:val="00077A76"/>
    <w:rsid w:val="00080422"/>
    <w:rsid w:val="000811E5"/>
    <w:rsid w:val="00082B0E"/>
    <w:rsid w:val="0008322B"/>
    <w:rsid w:val="00083959"/>
    <w:rsid w:val="00085B5E"/>
    <w:rsid w:val="00085D8E"/>
    <w:rsid w:val="00085E71"/>
    <w:rsid w:val="0008657D"/>
    <w:rsid w:val="00086E1A"/>
    <w:rsid w:val="00090C23"/>
    <w:rsid w:val="000925AD"/>
    <w:rsid w:val="000959ED"/>
    <w:rsid w:val="00095CE2"/>
    <w:rsid w:val="00096EE0"/>
    <w:rsid w:val="00097BEB"/>
    <w:rsid w:val="00097E85"/>
    <w:rsid w:val="000A09B0"/>
    <w:rsid w:val="000A1292"/>
    <w:rsid w:val="000A442B"/>
    <w:rsid w:val="000A45FC"/>
    <w:rsid w:val="000A477E"/>
    <w:rsid w:val="000A571D"/>
    <w:rsid w:val="000A63E0"/>
    <w:rsid w:val="000A6D20"/>
    <w:rsid w:val="000B07D4"/>
    <w:rsid w:val="000B0CC4"/>
    <w:rsid w:val="000B21FA"/>
    <w:rsid w:val="000B2516"/>
    <w:rsid w:val="000B3B2C"/>
    <w:rsid w:val="000B3ED0"/>
    <w:rsid w:val="000B3FB9"/>
    <w:rsid w:val="000B41A4"/>
    <w:rsid w:val="000B5DA4"/>
    <w:rsid w:val="000B67A1"/>
    <w:rsid w:val="000B69DC"/>
    <w:rsid w:val="000C3138"/>
    <w:rsid w:val="000C3D4A"/>
    <w:rsid w:val="000C41F5"/>
    <w:rsid w:val="000C4A9D"/>
    <w:rsid w:val="000C6420"/>
    <w:rsid w:val="000C662E"/>
    <w:rsid w:val="000C72B9"/>
    <w:rsid w:val="000C7F2F"/>
    <w:rsid w:val="000D0784"/>
    <w:rsid w:val="000D2B5A"/>
    <w:rsid w:val="000D511F"/>
    <w:rsid w:val="000D71BC"/>
    <w:rsid w:val="000D73E6"/>
    <w:rsid w:val="000D75AF"/>
    <w:rsid w:val="000E06D1"/>
    <w:rsid w:val="000E222A"/>
    <w:rsid w:val="000E5016"/>
    <w:rsid w:val="000E551B"/>
    <w:rsid w:val="000E5995"/>
    <w:rsid w:val="000E5B22"/>
    <w:rsid w:val="000E5E7D"/>
    <w:rsid w:val="000E793E"/>
    <w:rsid w:val="000F017F"/>
    <w:rsid w:val="000F0899"/>
    <w:rsid w:val="000F1542"/>
    <w:rsid w:val="000F1E17"/>
    <w:rsid w:val="000F25B9"/>
    <w:rsid w:val="000F3BFF"/>
    <w:rsid w:val="000F3E5C"/>
    <w:rsid w:val="000F6AC4"/>
    <w:rsid w:val="0010290F"/>
    <w:rsid w:val="00102A1C"/>
    <w:rsid w:val="001030DF"/>
    <w:rsid w:val="00103B26"/>
    <w:rsid w:val="0010521A"/>
    <w:rsid w:val="00105594"/>
    <w:rsid w:val="00105C99"/>
    <w:rsid w:val="0010606C"/>
    <w:rsid w:val="001070F9"/>
    <w:rsid w:val="001073D1"/>
    <w:rsid w:val="00107FF1"/>
    <w:rsid w:val="00108EA3"/>
    <w:rsid w:val="0011083A"/>
    <w:rsid w:val="0011194E"/>
    <w:rsid w:val="001146D8"/>
    <w:rsid w:val="0011579F"/>
    <w:rsid w:val="00117383"/>
    <w:rsid w:val="001210D0"/>
    <w:rsid w:val="00122688"/>
    <w:rsid w:val="00123540"/>
    <w:rsid w:val="00123A45"/>
    <w:rsid w:val="00125615"/>
    <w:rsid w:val="0012682E"/>
    <w:rsid w:val="00130A5B"/>
    <w:rsid w:val="001312E7"/>
    <w:rsid w:val="00131D07"/>
    <w:rsid w:val="001320A9"/>
    <w:rsid w:val="001328E2"/>
    <w:rsid w:val="00133CE3"/>
    <w:rsid w:val="001342BE"/>
    <w:rsid w:val="00136A3F"/>
    <w:rsid w:val="00136F21"/>
    <w:rsid w:val="001371D0"/>
    <w:rsid w:val="00137C74"/>
    <w:rsid w:val="00140609"/>
    <w:rsid w:val="0014124C"/>
    <w:rsid w:val="00141D06"/>
    <w:rsid w:val="001424BC"/>
    <w:rsid w:val="00142E35"/>
    <w:rsid w:val="00143085"/>
    <w:rsid w:val="00143B15"/>
    <w:rsid w:val="001450D5"/>
    <w:rsid w:val="00145250"/>
    <w:rsid w:val="00145532"/>
    <w:rsid w:val="00145616"/>
    <w:rsid w:val="001467AD"/>
    <w:rsid w:val="00147796"/>
    <w:rsid w:val="00150416"/>
    <w:rsid w:val="0015197D"/>
    <w:rsid w:val="001538A8"/>
    <w:rsid w:val="00154069"/>
    <w:rsid w:val="001540E5"/>
    <w:rsid w:val="00154108"/>
    <w:rsid w:val="0015423A"/>
    <w:rsid w:val="0015427C"/>
    <w:rsid w:val="001554B5"/>
    <w:rsid w:val="001557C6"/>
    <w:rsid w:val="00155FE2"/>
    <w:rsid w:val="00160FA7"/>
    <w:rsid w:val="00160FFF"/>
    <w:rsid w:val="001616CF"/>
    <w:rsid w:val="00161918"/>
    <w:rsid w:val="00163251"/>
    <w:rsid w:val="00163E80"/>
    <w:rsid w:val="00165ACD"/>
    <w:rsid w:val="001677C0"/>
    <w:rsid w:val="00167AF7"/>
    <w:rsid w:val="00176AB5"/>
    <w:rsid w:val="00181429"/>
    <w:rsid w:val="001824B0"/>
    <w:rsid w:val="00183910"/>
    <w:rsid w:val="00183938"/>
    <w:rsid w:val="0018420A"/>
    <w:rsid w:val="001847E5"/>
    <w:rsid w:val="001859B6"/>
    <w:rsid w:val="001875F0"/>
    <w:rsid w:val="00187ED2"/>
    <w:rsid w:val="00190493"/>
    <w:rsid w:val="0019065D"/>
    <w:rsid w:val="00191169"/>
    <w:rsid w:val="0019195A"/>
    <w:rsid w:val="00192F55"/>
    <w:rsid w:val="00194B6E"/>
    <w:rsid w:val="00195B0C"/>
    <w:rsid w:val="00196A40"/>
    <w:rsid w:val="001971BB"/>
    <w:rsid w:val="001976F4"/>
    <w:rsid w:val="001A1377"/>
    <w:rsid w:val="001A13E9"/>
    <w:rsid w:val="001A15AF"/>
    <w:rsid w:val="001A1855"/>
    <w:rsid w:val="001A2629"/>
    <w:rsid w:val="001A2F41"/>
    <w:rsid w:val="001A5838"/>
    <w:rsid w:val="001A5FDB"/>
    <w:rsid w:val="001A63A2"/>
    <w:rsid w:val="001A7814"/>
    <w:rsid w:val="001B1493"/>
    <w:rsid w:val="001B1CC5"/>
    <w:rsid w:val="001B238C"/>
    <w:rsid w:val="001B485B"/>
    <w:rsid w:val="001B6834"/>
    <w:rsid w:val="001B7BA6"/>
    <w:rsid w:val="001C1137"/>
    <w:rsid w:val="001C2635"/>
    <w:rsid w:val="001C722D"/>
    <w:rsid w:val="001D0930"/>
    <w:rsid w:val="001D0D92"/>
    <w:rsid w:val="001D134D"/>
    <w:rsid w:val="001D30C0"/>
    <w:rsid w:val="001D5483"/>
    <w:rsid w:val="001D5512"/>
    <w:rsid w:val="001D6264"/>
    <w:rsid w:val="001D7EA8"/>
    <w:rsid w:val="001E0307"/>
    <w:rsid w:val="001E0374"/>
    <w:rsid w:val="001E1B83"/>
    <w:rsid w:val="001E2268"/>
    <w:rsid w:val="001E4AE1"/>
    <w:rsid w:val="001E504F"/>
    <w:rsid w:val="001E5B08"/>
    <w:rsid w:val="001E5E1D"/>
    <w:rsid w:val="001E70E5"/>
    <w:rsid w:val="001E78C0"/>
    <w:rsid w:val="001F00F4"/>
    <w:rsid w:val="001F0180"/>
    <w:rsid w:val="001F100D"/>
    <w:rsid w:val="001F165D"/>
    <w:rsid w:val="001F18C8"/>
    <w:rsid w:val="001F31A6"/>
    <w:rsid w:val="001F38F0"/>
    <w:rsid w:val="001F3A2C"/>
    <w:rsid w:val="001F3C01"/>
    <w:rsid w:val="001F48DB"/>
    <w:rsid w:val="002011A4"/>
    <w:rsid w:val="00203E41"/>
    <w:rsid w:val="00204367"/>
    <w:rsid w:val="002049BB"/>
    <w:rsid w:val="00204A2C"/>
    <w:rsid w:val="0020553D"/>
    <w:rsid w:val="0020559D"/>
    <w:rsid w:val="00205838"/>
    <w:rsid w:val="00205F9F"/>
    <w:rsid w:val="00206F05"/>
    <w:rsid w:val="002125B0"/>
    <w:rsid w:val="00212CE8"/>
    <w:rsid w:val="0021398C"/>
    <w:rsid w:val="0021406E"/>
    <w:rsid w:val="00216030"/>
    <w:rsid w:val="002167C8"/>
    <w:rsid w:val="00216E36"/>
    <w:rsid w:val="00216EA0"/>
    <w:rsid w:val="00217086"/>
    <w:rsid w:val="002173E7"/>
    <w:rsid w:val="00217AB8"/>
    <w:rsid w:val="00221D0C"/>
    <w:rsid w:val="002226FF"/>
    <w:rsid w:val="0022281F"/>
    <w:rsid w:val="00223BC3"/>
    <w:rsid w:val="00224696"/>
    <w:rsid w:val="00226336"/>
    <w:rsid w:val="0022782D"/>
    <w:rsid w:val="00227E11"/>
    <w:rsid w:val="00230804"/>
    <w:rsid w:val="002310E3"/>
    <w:rsid w:val="00231D1C"/>
    <w:rsid w:val="00231E6C"/>
    <w:rsid w:val="00232ADB"/>
    <w:rsid w:val="00233669"/>
    <w:rsid w:val="00235A31"/>
    <w:rsid w:val="002360CA"/>
    <w:rsid w:val="00237514"/>
    <w:rsid w:val="00237677"/>
    <w:rsid w:val="002377A2"/>
    <w:rsid w:val="00237A64"/>
    <w:rsid w:val="0024079E"/>
    <w:rsid w:val="00241445"/>
    <w:rsid w:val="002414E5"/>
    <w:rsid w:val="002428AB"/>
    <w:rsid w:val="00242DA9"/>
    <w:rsid w:val="00244A15"/>
    <w:rsid w:val="00244E2F"/>
    <w:rsid w:val="00245264"/>
    <w:rsid w:val="00246138"/>
    <w:rsid w:val="002462EA"/>
    <w:rsid w:val="0024793C"/>
    <w:rsid w:val="00251A06"/>
    <w:rsid w:val="00252D39"/>
    <w:rsid w:val="00253B95"/>
    <w:rsid w:val="002544C5"/>
    <w:rsid w:val="002551BE"/>
    <w:rsid w:val="00255420"/>
    <w:rsid w:val="00255D92"/>
    <w:rsid w:val="0026033C"/>
    <w:rsid w:val="00260569"/>
    <w:rsid w:val="00260AC7"/>
    <w:rsid w:val="00261057"/>
    <w:rsid w:val="00261D68"/>
    <w:rsid w:val="002621B1"/>
    <w:rsid w:val="00262623"/>
    <w:rsid w:val="00262757"/>
    <w:rsid w:val="00262AFC"/>
    <w:rsid w:val="00262BFD"/>
    <w:rsid w:val="002645B7"/>
    <w:rsid w:val="00264805"/>
    <w:rsid w:val="00265C89"/>
    <w:rsid w:val="002662C8"/>
    <w:rsid w:val="0026790D"/>
    <w:rsid w:val="00267956"/>
    <w:rsid w:val="00270B8F"/>
    <w:rsid w:val="00270C50"/>
    <w:rsid w:val="00270C57"/>
    <w:rsid w:val="0027189C"/>
    <w:rsid w:val="00272015"/>
    <w:rsid w:val="002738D2"/>
    <w:rsid w:val="0027484C"/>
    <w:rsid w:val="00275BC0"/>
    <w:rsid w:val="002774E7"/>
    <w:rsid w:val="0027E2A2"/>
    <w:rsid w:val="002802AD"/>
    <w:rsid w:val="00280BFF"/>
    <w:rsid w:val="00281BF8"/>
    <w:rsid w:val="00281D3A"/>
    <w:rsid w:val="00283DB4"/>
    <w:rsid w:val="00285337"/>
    <w:rsid w:val="00286232"/>
    <w:rsid w:val="002862EA"/>
    <w:rsid w:val="00291457"/>
    <w:rsid w:val="0029188F"/>
    <w:rsid w:val="00292C4B"/>
    <w:rsid w:val="002933CB"/>
    <w:rsid w:val="0029515D"/>
    <w:rsid w:val="00295DBC"/>
    <w:rsid w:val="002962BE"/>
    <w:rsid w:val="00296FF8"/>
    <w:rsid w:val="002A11BB"/>
    <w:rsid w:val="002A2309"/>
    <w:rsid w:val="002A2CC7"/>
    <w:rsid w:val="002A34B4"/>
    <w:rsid w:val="002A5427"/>
    <w:rsid w:val="002A66AC"/>
    <w:rsid w:val="002A766C"/>
    <w:rsid w:val="002B0822"/>
    <w:rsid w:val="002B1763"/>
    <w:rsid w:val="002B1D0E"/>
    <w:rsid w:val="002B59E6"/>
    <w:rsid w:val="002B5A99"/>
    <w:rsid w:val="002B5F16"/>
    <w:rsid w:val="002B6800"/>
    <w:rsid w:val="002B6BBC"/>
    <w:rsid w:val="002C0D6A"/>
    <w:rsid w:val="002C34EE"/>
    <w:rsid w:val="002C3AC9"/>
    <w:rsid w:val="002C3AF3"/>
    <w:rsid w:val="002C5373"/>
    <w:rsid w:val="002C6CF6"/>
    <w:rsid w:val="002C6EDB"/>
    <w:rsid w:val="002C744E"/>
    <w:rsid w:val="002D09D3"/>
    <w:rsid w:val="002D16A9"/>
    <w:rsid w:val="002D171E"/>
    <w:rsid w:val="002D758B"/>
    <w:rsid w:val="002D7FE8"/>
    <w:rsid w:val="002E1992"/>
    <w:rsid w:val="002E1A29"/>
    <w:rsid w:val="002E2624"/>
    <w:rsid w:val="002E2FE0"/>
    <w:rsid w:val="002E5281"/>
    <w:rsid w:val="002E5606"/>
    <w:rsid w:val="002E5B57"/>
    <w:rsid w:val="002E5E3C"/>
    <w:rsid w:val="002E61C9"/>
    <w:rsid w:val="002E6CF1"/>
    <w:rsid w:val="002E742D"/>
    <w:rsid w:val="002F055D"/>
    <w:rsid w:val="002F0A2C"/>
    <w:rsid w:val="002F0B9D"/>
    <w:rsid w:val="002F1240"/>
    <w:rsid w:val="002F219B"/>
    <w:rsid w:val="002F238D"/>
    <w:rsid w:val="002F6684"/>
    <w:rsid w:val="002F6FAF"/>
    <w:rsid w:val="002F7CCA"/>
    <w:rsid w:val="002F7D6D"/>
    <w:rsid w:val="00304DAC"/>
    <w:rsid w:val="003050D4"/>
    <w:rsid w:val="00305A50"/>
    <w:rsid w:val="00305F07"/>
    <w:rsid w:val="00305F79"/>
    <w:rsid w:val="00306276"/>
    <w:rsid w:val="00307ACA"/>
    <w:rsid w:val="00311380"/>
    <w:rsid w:val="003113C0"/>
    <w:rsid w:val="00314CF4"/>
    <w:rsid w:val="00315A08"/>
    <w:rsid w:val="00315E96"/>
    <w:rsid w:val="0031697E"/>
    <w:rsid w:val="00316A53"/>
    <w:rsid w:val="00320759"/>
    <w:rsid w:val="00324713"/>
    <w:rsid w:val="00326BA2"/>
    <w:rsid w:val="00327A22"/>
    <w:rsid w:val="00330926"/>
    <w:rsid w:val="00331600"/>
    <w:rsid w:val="00332E47"/>
    <w:rsid w:val="00333315"/>
    <w:rsid w:val="003334D4"/>
    <w:rsid w:val="00333AF9"/>
    <w:rsid w:val="00333CE2"/>
    <w:rsid w:val="00334907"/>
    <w:rsid w:val="003357B3"/>
    <w:rsid w:val="00336291"/>
    <w:rsid w:val="00336B60"/>
    <w:rsid w:val="00337017"/>
    <w:rsid w:val="00340C94"/>
    <w:rsid w:val="00340FA1"/>
    <w:rsid w:val="00342353"/>
    <w:rsid w:val="003426D3"/>
    <w:rsid w:val="00342883"/>
    <w:rsid w:val="003428FB"/>
    <w:rsid w:val="003445DF"/>
    <w:rsid w:val="00344B70"/>
    <w:rsid w:val="003469D7"/>
    <w:rsid w:val="00352BE0"/>
    <w:rsid w:val="00353D5C"/>
    <w:rsid w:val="00354685"/>
    <w:rsid w:val="00354BC1"/>
    <w:rsid w:val="00356996"/>
    <w:rsid w:val="00357DDE"/>
    <w:rsid w:val="00362BBB"/>
    <w:rsid w:val="00364098"/>
    <w:rsid w:val="003656D3"/>
    <w:rsid w:val="0036730B"/>
    <w:rsid w:val="00372187"/>
    <w:rsid w:val="003722CE"/>
    <w:rsid w:val="00373AFA"/>
    <w:rsid w:val="00375D7D"/>
    <w:rsid w:val="00376466"/>
    <w:rsid w:val="003764FC"/>
    <w:rsid w:val="00377429"/>
    <w:rsid w:val="00380582"/>
    <w:rsid w:val="00380ADA"/>
    <w:rsid w:val="00380FD4"/>
    <w:rsid w:val="00381CE3"/>
    <w:rsid w:val="0038214E"/>
    <w:rsid w:val="003834AE"/>
    <w:rsid w:val="00385F05"/>
    <w:rsid w:val="00385FF7"/>
    <w:rsid w:val="00387E46"/>
    <w:rsid w:val="0039347D"/>
    <w:rsid w:val="003935A2"/>
    <w:rsid w:val="0039444E"/>
    <w:rsid w:val="00396A44"/>
    <w:rsid w:val="00396C00"/>
    <w:rsid w:val="003A0A97"/>
    <w:rsid w:val="003A4A0A"/>
    <w:rsid w:val="003A51F1"/>
    <w:rsid w:val="003A5ADD"/>
    <w:rsid w:val="003A65B6"/>
    <w:rsid w:val="003A7772"/>
    <w:rsid w:val="003A7852"/>
    <w:rsid w:val="003B2212"/>
    <w:rsid w:val="003B23E2"/>
    <w:rsid w:val="003B386E"/>
    <w:rsid w:val="003B3F20"/>
    <w:rsid w:val="003B559A"/>
    <w:rsid w:val="003B5F7D"/>
    <w:rsid w:val="003B7BCF"/>
    <w:rsid w:val="003B7D9D"/>
    <w:rsid w:val="003B7FFD"/>
    <w:rsid w:val="003C0376"/>
    <w:rsid w:val="003C20E5"/>
    <w:rsid w:val="003C3444"/>
    <w:rsid w:val="003C3932"/>
    <w:rsid w:val="003C3CB8"/>
    <w:rsid w:val="003C4409"/>
    <w:rsid w:val="003C574F"/>
    <w:rsid w:val="003C73DE"/>
    <w:rsid w:val="003D19CD"/>
    <w:rsid w:val="003D20AB"/>
    <w:rsid w:val="003D20C5"/>
    <w:rsid w:val="003D2402"/>
    <w:rsid w:val="003D2A64"/>
    <w:rsid w:val="003D374B"/>
    <w:rsid w:val="003D40F0"/>
    <w:rsid w:val="003D554D"/>
    <w:rsid w:val="003D5E3D"/>
    <w:rsid w:val="003E15DF"/>
    <w:rsid w:val="003E18DF"/>
    <w:rsid w:val="003E1C90"/>
    <w:rsid w:val="003E2571"/>
    <w:rsid w:val="003E34A9"/>
    <w:rsid w:val="003E5809"/>
    <w:rsid w:val="003E6796"/>
    <w:rsid w:val="003E79AE"/>
    <w:rsid w:val="003E7B50"/>
    <w:rsid w:val="003F090B"/>
    <w:rsid w:val="003F0E31"/>
    <w:rsid w:val="003F2F5B"/>
    <w:rsid w:val="003F3022"/>
    <w:rsid w:val="003F396E"/>
    <w:rsid w:val="003F3D0A"/>
    <w:rsid w:val="003F411F"/>
    <w:rsid w:val="003F47CA"/>
    <w:rsid w:val="003F517F"/>
    <w:rsid w:val="003F6CBD"/>
    <w:rsid w:val="004005DD"/>
    <w:rsid w:val="00400737"/>
    <w:rsid w:val="00402EAD"/>
    <w:rsid w:val="004033B0"/>
    <w:rsid w:val="004041FA"/>
    <w:rsid w:val="0040584A"/>
    <w:rsid w:val="00406B8C"/>
    <w:rsid w:val="0041060B"/>
    <w:rsid w:val="00412A93"/>
    <w:rsid w:val="004134E9"/>
    <w:rsid w:val="0042054E"/>
    <w:rsid w:val="00420931"/>
    <w:rsid w:val="004250C4"/>
    <w:rsid w:val="00425530"/>
    <w:rsid w:val="004266C7"/>
    <w:rsid w:val="0042773E"/>
    <w:rsid w:val="00427F8D"/>
    <w:rsid w:val="00430966"/>
    <w:rsid w:val="0043484A"/>
    <w:rsid w:val="00435973"/>
    <w:rsid w:val="00435F42"/>
    <w:rsid w:val="00437AFE"/>
    <w:rsid w:val="00440BD7"/>
    <w:rsid w:val="00441E1D"/>
    <w:rsid w:val="00442C24"/>
    <w:rsid w:val="00443F9E"/>
    <w:rsid w:val="00444646"/>
    <w:rsid w:val="00446170"/>
    <w:rsid w:val="00446679"/>
    <w:rsid w:val="0044683B"/>
    <w:rsid w:val="00447EA8"/>
    <w:rsid w:val="00450A2E"/>
    <w:rsid w:val="004511BF"/>
    <w:rsid w:val="00452CE6"/>
    <w:rsid w:val="004536C9"/>
    <w:rsid w:val="0045479C"/>
    <w:rsid w:val="0045601E"/>
    <w:rsid w:val="00456129"/>
    <w:rsid w:val="0045666B"/>
    <w:rsid w:val="00456AC3"/>
    <w:rsid w:val="00461F23"/>
    <w:rsid w:val="00462BFC"/>
    <w:rsid w:val="00463BB9"/>
    <w:rsid w:val="00464044"/>
    <w:rsid w:val="004649B9"/>
    <w:rsid w:val="00465746"/>
    <w:rsid w:val="00466513"/>
    <w:rsid w:val="00466ED0"/>
    <w:rsid w:val="0047104E"/>
    <w:rsid w:val="00471CD1"/>
    <w:rsid w:val="0047247A"/>
    <w:rsid w:val="00473E3B"/>
    <w:rsid w:val="00475A0A"/>
    <w:rsid w:val="00475EC1"/>
    <w:rsid w:val="00476076"/>
    <w:rsid w:val="004768DC"/>
    <w:rsid w:val="00477AE9"/>
    <w:rsid w:val="00480AD7"/>
    <w:rsid w:val="004817AB"/>
    <w:rsid w:val="004827B1"/>
    <w:rsid w:val="00484164"/>
    <w:rsid w:val="00484F69"/>
    <w:rsid w:val="00485734"/>
    <w:rsid w:val="00485E11"/>
    <w:rsid w:val="00486C3B"/>
    <w:rsid w:val="00490A04"/>
    <w:rsid w:val="004920AD"/>
    <w:rsid w:val="00493505"/>
    <w:rsid w:val="00493586"/>
    <w:rsid w:val="004957A5"/>
    <w:rsid w:val="00495855"/>
    <w:rsid w:val="004974F8"/>
    <w:rsid w:val="0049770D"/>
    <w:rsid w:val="004A0800"/>
    <w:rsid w:val="004A0A4B"/>
    <w:rsid w:val="004A2429"/>
    <w:rsid w:val="004A2688"/>
    <w:rsid w:val="004A2BC1"/>
    <w:rsid w:val="004A4F6A"/>
    <w:rsid w:val="004A6B9B"/>
    <w:rsid w:val="004A7CA3"/>
    <w:rsid w:val="004B0A56"/>
    <w:rsid w:val="004B25EA"/>
    <w:rsid w:val="004B3097"/>
    <w:rsid w:val="004B5E78"/>
    <w:rsid w:val="004B726B"/>
    <w:rsid w:val="004C0D10"/>
    <w:rsid w:val="004C30C3"/>
    <w:rsid w:val="004C33A1"/>
    <w:rsid w:val="004C3D69"/>
    <w:rsid w:val="004C3DC6"/>
    <w:rsid w:val="004C450E"/>
    <w:rsid w:val="004C5858"/>
    <w:rsid w:val="004C6DA3"/>
    <w:rsid w:val="004C6F7D"/>
    <w:rsid w:val="004C7E6D"/>
    <w:rsid w:val="004D0EDA"/>
    <w:rsid w:val="004D1668"/>
    <w:rsid w:val="004D2F65"/>
    <w:rsid w:val="004D46FD"/>
    <w:rsid w:val="004D5424"/>
    <w:rsid w:val="004D5D93"/>
    <w:rsid w:val="004E0659"/>
    <w:rsid w:val="004E28CD"/>
    <w:rsid w:val="004E4601"/>
    <w:rsid w:val="004E65F9"/>
    <w:rsid w:val="004E767E"/>
    <w:rsid w:val="004F0876"/>
    <w:rsid w:val="004F0A15"/>
    <w:rsid w:val="004F0F76"/>
    <w:rsid w:val="004F1E6C"/>
    <w:rsid w:val="004F23FB"/>
    <w:rsid w:val="004F2CC0"/>
    <w:rsid w:val="004F4460"/>
    <w:rsid w:val="004F498A"/>
    <w:rsid w:val="004F4D4B"/>
    <w:rsid w:val="004F5608"/>
    <w:rsid w:val="004F580F"/>
    <w:rsid w:val="004F58D1"/>
    <w:rsid w:val="004F611A"/>
    <w:rsid w:val="004F7641"/>
    <w:rsid w:val="004F7F10"/>
    <w:rsid w:val="00500115"/>
    <w:rsid w:val="005008A9"/>
    <w:rsid w:val="00501621"/>
    <w:rsid w:val="005067A6"/>
    <w:rsid w:val="00510C19"/>
    <w:rsid w:val="00510FC1"/>
    <w:rsid w:val="0051201B"/>
    <w:rsid w:val="00512998"/>
    <w:rsid w:val="00514CED"/>
    <w:rsid w:val="0051551C"/>
    <w:rsid w:val="0051560D"/>
    <w:rsid w:val="005175CF"/>
    <w:rsid w:val="00517E1E"/>
    <w:rsid w:val="00517E8F"/>
    <w:rsid w:val="00521C32"/>
    <w:rsid w:val="00521F35"/>
    <w:rsid w:val="005220F6"/>
    <w:rsid w:val="005225A0"/>
    <w:rsid w:val="00523342"/>
    <w:rsid w:val="00524042"/>
    <w:rsid w:val="005248F4"/>
    <w:rsid w:val="00527A54"/>
    <w:rsid w:val="00527AFA"/>
    <w:rsid w:val="0053097B"/>
    <w:rsid w:val="0053116E"/>
    <w:rsid w:val="005327FB"/>
    <w:rsid w:val="00533B5E"/>
    <w:rsid w:val="00534765"/>
    <w:rsid w:val="00534B5C"/>
    <w:rsid w:val="00535577"/>
    <w:rsid w:val="005421D6"/>
    <w:rsid w:val="005427C6"/>
    <w:rsid w:val="005437A9"/>
    <w:rsid w:val="00543AB8"/>
    <w:rsid w:val="00544AF2"/>
    <w:rsid w:val="00546361"/>
    <w:rsid w:val="00546B13"/>
    <w:rsid w:val="00547D43"/>
    <w:rsid w:val="005502BA"/>
    <w:rsid w:val="00550683"/>
    <w:rsid w:val="00550B7B"/>
    <w:rsid w:val="0055311B"/>
    <w:rsid w:val="00553B08"/>
    <w:rsid w:val="00554305"/>
    <w:rsid w:val="00554E1A"/>
    <w:rsid w:val="005555F0"/>
    <w:rsid w:val="00555906"/>
    <w:rsid w:val="00557F5B"/>
    <w:rsid w:val="00561048"/>
    <w:rsid w:val="005637E3"/>
    <w:rsid w:val="005643F7"/>
    <w:rsid w:val="00564C5E"/>
    <w:rsid w:val="005652C6"/>
    <w:rsid w:val="00565327"/>
    <w:rsid w:val="00567BA3"/>
    <w:rsid w:val="00570BF0"/>
    <w:rsid w:val="0057166A"/>
    <w:rsid w:val="00573519"/>
    <w:rsid w:val="00574069"/>
    <w:rsid w:val="00576CD8"/>
    <w:rsid w:val="0057741D"/>
    <w:rsid w:val="00577650"/>
    <w:rsid w:val="005818C7"/>
    <w:rsid w:val="00583285"/>
    <w:rsid w:val="005849E9"/>
    <w:rsid w:val="00584A9A"/>
    <w:rsid w:val="005854F4"/>
    <w:rsid w:val="00585F50"/>
    <w:rsid w:val="00586500"/>
    <w:rsid w:val="0059032A"/>
    <w:rsid w:val="00591BF1"/>
    <w:rsid w:val="00593249"/>
    <w:rsid w:val="005939C4"/>
    <w:rsid w:val="00593D89"/>
    <w:rsid w:val="00593FDA"/>
    <w:rsid w:val="00594E69"/>
    <w:rsid w:val="00594F9B"/>
    <w:rsid w:val="00596744"/>
    <w:rsid w:val="00596795"/>
    <w:rsid w:val="0059710F"/>
    <w:rsid w:val="00597334"/>
    <w:rsid w:val="0059748C"/>
    <w:rsid w:val="005979AD"/>
    <w:rsid w:val="005A078F"/>
    <w:rsid w:val="005A2FEE"/>
    <w:rsid w:val="005A46F7"/>
    <w:rsid w:val="005A5055"/>
    <w:rsid w:val="005A64B7"/>
    <w:rsid w:val="005B07E9"/>
    <w:rsid w:val="005B1E11"/>
    <w:rsid w:val="005B2265"/>
    <w:rsid w:val="005B3545"/>
    <w:rsid w:val="005B40B2"/>
    <w:rsid w:val="005B4A9F"/>
    <w:rsid w:val="005C04F2"/>
    <w:rsid w:val="005C06B9"/>
    <w:rsid w:val="005C18DF"/>
    <w:rsid w:val="005C47C2"/>
    <w:rsid w:val="005C4D23"/>
    <w:rsid w:val="005C5AA5"/>
    <w:rsid w:val="005D0A80"/>
    <w:rsid w:val="005D0E0B"/>
    <w:rsid w:val="005D3266"/>
    <w:rsid w:val="005D3272"/>
    <w:rsid w:val="005D4482"/>
    <w:rsid w:val="005D6340"/>
    <w:rsid w:val="005D648F"/>
    <w:rsid w:val="005D66A3"/>
    <w:rsid w:val="005D6ECB"/>
    <w:rsid w:val="005E21E3"/>
    <w:rsid w:val="005E2CD8"/>
    <w:rsid w:val="005E3BEE"/>
    <w:rsid w:val="005E48C4"/>
    <w:rsid w:val="005E52DD"/>
    <w:rsid w:val="005E577E"/>
    <w:rsid w:val="005E6A2A"/>
    <w:rsid w:val="005E6E37"/>
    <w:rsid w:val="005F01BD"/>
    <w:rsid w:val="005F0BF5"/>
    <w:rsid w:val="005F1243"/>
    <w:rsid w:val="005F17C6"/>
    <w:rsid w:val="005F6D19"/>
    <w:rsid w:val="005F7EFE"/>
    <w:rsid w:val="00601C64"/>
    <w:rsid w:val="0060264D"/>
    <w:rsid w:val="00603E99"/>
    <w:rsid w:val="00604A14"/>
    <w:rsid w:val="0060799E"/>
    <w:rsid w:val="006102AD"/>
    <w:rsid w:val="00611A6B"/>
    <w:rsid w:val="00613595"/>
    <w:rsid w:val="00614326"/>
    <w:rsid w:val="006144E7"/>
    <w:rsid w:val="00615B4D"/>
    <w:rsid w:val="00617B74"/>
    <w:rsid w:val="00620330"/>
    <w:rsid w:val="006219DC"/>
    <w:rsid w:val="00622178"/>
    <w:rsid w:val="0062275D"/>
    <w:rsid w:val="00622ED2"/>
    <w:rsid w:val="00625115"/>
    <w:rsid w:val="00625992"/>
    <w:rsid w:val="00627205"/>
    <w:rsid w:val="00630192"/>
    <w:rsid w:val="00630C06"/>
    <w:rsid w:val="00630E47"/>
    <w:rsid w:val="00631323"/>
    <w:rsid w:val="006318E1"/>
    <w:rsid w:val="00631966"/>
    <w:rsid w:val="00631EBF"/>
    <w:rsid w:val="00632190"/>
    <w:rsid w:val="00632718"/>
    <w:rsid w:val="00634CBD"/>
    <w:rsid w:val="00635190"/>
    <w:rsid w:val="00636950"/>
    <w:rsid w:val="006370A1"/>
    <w:rsid w:val="006372C2"/>
    <w:rsid w:val="0063738A"/>
    <w:rsid w:val="00640B7E"/>
    <w:rsid w:val="00643061"/>
    <w:rsid w:val="006438DE"/>
    <w:rsid w:val="00643F21"/>
    <w:rsid w:val="00644A17"/>
    <w:rsid w:val="00645450"/>
    <w:rsid w:val="00646937"/>
    <w:rsid w:val="00647CEF"/>
    <w:rsid w:val="00647D7B"/>
    <w:rsid w:val="0065051C"/>
    <w:rsid w:val="00651148"/>
    <w:rsid w:val="00652832"/>
    <w:rsid w:val="00652FF5"/>
    <w:rsid w:val="006556A0"/>
    <w:rsid w:val="00655981"/>
    <w:rsid w:val="006605AA"/>
    <w:rsid w:val="00660694"/>
    <w:rsid w:val="006608E6"/>
    <w:rsid w:val="00663769"/>
    <w:rsid w:val="006640AC"/>
    <w:rsid w:val="00664E76"/>
    <w:rsid w:val="00664FCB"/>
    <w:rsid w:val="00665F7C"/>
    <w:rsid w:val="00670E37"/>
    <w:rsid w:val="00672163"/>
    <w:rsid w:val="00673A5A"/>
    <w:rsid w:val="00676F45"/>
    <w:rsid w:val="00677BB2"/>
    <w:rsid w:val="00681DF9"/>
    <w:rsid w:val="006832F3"/>
    <w:rsid w:val="006847A4"/>
    <w:rsid w:val="00684CD2"/>
    <w:rsid w:val="00685534"/>
    <w:rsid w:val="006869FB"/>
    <w:rsid w:val="00687E63"/>
    <w:rsid w:val="00690ACC"/>
    <w:rsid w:val="00691D73"/>
    <w:rsid w:val="006947AF"/>
    <w:rsid w:val="00695341"/>
    <w:rsid w:val="006953AA"/>
    <w:rsid w:val="0069620C"/>
    <w:rsid w:val="00697244"/>
    <w:rsid w:val="00697C3B"/>
    <w:rsid w:val="006A010C"/>
    <w:rsid w:val="006A0F63"/>
    <w:rsid w:val="006A1A87"/>
    <w:rsid w:val="006A1ACE"/>
    <w:rsid w:val="006A1D36"/>
    <w:rsid w:val="006A22BA"/>
    <w:rsid w:val="006A2712"/>
    <w:rsid w:val="006A43B0"/>
    <w:rsid w:val="006A493A"/>
    <w:rsid w:val="006B0A69"/>
    <w:rsid w:val="006B4944"/>
    <w:rsid w:val="006B5AE0"/>
    <w:rsid w:val="006C090C"/>
    <w:rsid w:val="006C0D35"/>
    <w:rsid w:val="006C1DD9"/>
    <w:rsid w:val="006C2DA8"/>
    <w:rsid w:val="006C3562"/>
    <w:rsid w:val="006C3F08"/>
    <w:rsid w:val="006C47A9"/>
    <w:rsid w:val="006C62B0"/>
    <w:rsid w:val="006C6469"/>
    <w:rsid w:val="006C6C07"/>
    <w:rsid w:val="006C6C65"/>
    <w:rsid w:val="006C6ECE"/>
    <w:rsid w:val="006C76A4"/>
    <w:rsid w:val="006D02AB"/>
    <w:rsid w:val="006D0D9E"/>
    <w:rsid w:val="006D135B"/>
    <w:rsid w:val="006D20FA"/>
    <w:rsid w:val="006D53AC"/>
    <w:rsid w:val="006D5449"/>
    <w:rsid w:val="006D56EE"/>
    <w:rsid w:val="006D596F"/>
    <w:rsid w:val="006D721A"/>
    <w:rsid w:val="006D732D"/>
    <w:rsid w:val="006D7B09"/>
    <w:rsid w:val="006E1229"/>
    <w:rsid w:val="006E1944"/>
    <w:rsid w:val="006E2736"/>
    <w:rsid w:val="006E2DD2"/>
    <w:rsid w:val="006E35F4"/>
    <w:rsid w:val="006E3685"/>
    <w:rsid w:val="006E4AD2"/>
    <w:rsid w:val="006E4F13"/>
    <w:rsid w:val="006E54B0"/>
    <w:rsid w:val="006E5978"/>
    <w:rsid w:val="006E5CCC"/>
    <w:rsid w:val="006E6FA6"/>
    <w:rsid w:val="006F4A27"/>
    <w:rsid w:val="006F55A1"/>
    <w:rsid w:val="006F6BB4"/>
    <w:rsid w:val="006F6DE6"/>
    <w:rsid w:val="006F73FA"/>
    <w:rsid w:val="0070111D"/>
    <w:rsid w:val="00701232"/>
    <w:rsid w:val="00701BE5"/>
    <w:rsid w:val="00702E03"/>
    <w:rsid w:val="007034A5"/>
    <w:rsid w:val="007048F8"/>
    <w:rsid w:val="00704D27"/>
    <w:rsid w:val="00704DEB"/>
    <w:rsid w:val="00705C23"/>
    <w:rsid w:val="0070672E"/>
    <w:rsid w:val="00707EF5"/>
    <w:rsid w:val="0071060C"/>
    <w:rsid w:val="00715913"/>
    <w:rsid w:val="0071685E"/>
    <w:rsid w:val="00720A2D"/>
    <w:rsid w:val="0072132F"/>
    <w:rsid w:val="007218CD"/>
    <w:rsid w:val="00722E56"/>
    <w:rsid w:val="00722EDD"/>
    <w:rsid w:val="00723EDA"/>
    <w:rsid w:val="00726CA1"/>
    <w:rsid w:val="00730DFE"/>
    <w:rsid w:val="0073119E"/>
    <w:rsid w:val="0073291A"/>
    <w:rsid w:val="007336BD"/>
    <w:rsid w:val="00734585"/>
    <w:rsid w:val="00735599"/>
    <w:rsid w:val="00736411"/>
    <w:rsid w:val="00736423"/>
    <w:rsid w:val="007374B6"/>
    <w:rsid w:val="0074013A"/>
    <w:rsid w:val="0074309F"/>
    <w:rsid w:val="00744F67"/>
    <w:rsid w:val="00744FFB"/>
    <w:rsid w:val="007453CD"/>
    <w:rsid w:val="007455A6"/>
    <w:rsid w:val="007512F1"/>
    <w:rsid w:val="00751EE9"/>
    <w:rsid w:val="00752170"/>
    <w:rsid w:val="00752DAC"/>
    <w:rsid w:val="0075455F"/>
    <w:rsid w:val="007577ED"/>
    <w:rsid w:val="00757C00"/>
    <w:rsid w:val="00757D54"/>
    <w:rsid w:val="007601A7"/>
    <w:rsid w:val="0076267D"/>
    <w:rsid w:val="0076274F"/>
    <w:rsid w:val="00764CD1"/>
    <w:rsid w:val="00767835"/>
    <w:rsid w:val="00767EBF"/>
    <w:rsid w:val="0077240C"/>
    <w:rsid w:val="007752E6"/>
    <w:rsid w:val="00775751"/>
    <w:rsid w:val="0077709C"/>
    <w:rsid w:val="0077785E"/>
    <w:rsid w:val="0078015A"/>
    <w:rsid w:val="007808B0"/>
    <w:rsid w:val="0078198E"/>
    <w:rsid w:val="007825D0"/>
    <w:rsid w:val="0078392F"/>
    <w:rsid w:val="00783B99"/>
    <w:rsid w:val="00783FC6"/>
    <w:rsid w:val="00784CD3"/>
    <w:rsid w:val="00784D96"/>
    <w:rsid w:val="00785B5F"/>
    <w:rsid w:val="0078715E"/>
    <w:rsid w:val="00787A8E"/>
    <w:rsid w:val="00793049"/>
    <w:rsid w:val="0079351B"/>
    <w:rsid w:val="007951A9"/>
    <w:rsid w:val="007957A1"/>
    <w:rsid w:val="00795F5D"/>
    <w:rsid w:val="00797668"/>
    <w:rsid w:val="00797CC0"/>
    <w:rsid w:val="007A0642"/>
    <w:rsid w:val="007A2F20"/>
    <w:rsid w:val="007A429F"/>
    <w:rsid w:val="007B0EAB"/>
    <w:rsid w:val="007B175A"/>
    <w:rsid w:val="007B1A96"/>
    <w:rsid w:val="007B32DC"/>
    <w:rsid w:val="007B32EC"/>
    <w:rsid w:val="007B45B2"/>
    <w:rsid w:val="007B553A"/>
    <w:rsid w:val="007B6011"/>
    <w:rsid w:val="007B673D"/>
    <w:rsid w:val="007B7B4C"/>
    <w:rsid w:val="007C13FD"/>
    <w:rsid w:val="007C3F68"/>
    <w:rsid w:val="007C4DB3"/>
    <w:rsid w:val="007C5E44"/>
    <w:rsid w:val="007C6893"/>
    <w:rsid w:val="007C6FE7"/>
    <w:rsid w:val="007C71FE"/>
    <w:rsid w:val="007D09A5"/>
    <w:rsid w:val="007D1A42"/>
    <w:rsid w:val="007D51EA"/>
    <w:rsid w:val="007D70FC"/>
    <w:rsid w:val="007E00B1"/>
    <w:rsid w:val="007E19B9"/>
    <w:rsid w:val="007E5BF1"/>
    <w:rsid w:val="007E6697"/>
    <w:rsid w:val="007E7F55"/>
    <w:rsid w:val="007F1DBC"/>
    <w:rsid w:val="007F2271"/>
    <w:rsid w:val="007F26D9"/>
    <w:rsid w:val="007F3221"/>
    <w:rsid w:val="007F52A4"/>
    <w:rsid w:val="007F6EDF"/>
    <w:rsid w:val="007F6FC0"/>
    <w:rsid w:val="007F7CB7"/>
    <w:rsid w:val="00800B5C"/>
    <w:rsid w:val="008022D0"/>
    <w:rsid w:val="00805819"/>
    <w:rsid w:val="00805ACC"/>
    <w:rsid w:val="008071C7"/>
    <w:rsid w:val="008075B2"/>
    <w:rsid w:val="0081025B"/>
    <w:rsid w:val="008107CB"/>
    <w:rsid w:val="008115B8"/>
    <w:rsid w:val="00811AA9"/>
    <w:rsid w:val="0081562C"/>
    <w:rsid w:val="008160FE"/>
    <w:rsid w:val="00816713"/>
    <w:rsid w:val="008171C2"/>
    <w:rsid w:val="00817809"/>
    <w:rsid w:val="008211BC"/>
    <w:rsid w:val="00821FCA"/>
    <w:rsid w:val="00822406"/>
    <w:rsid w:val="00822CE5"/>
    <w:rsid w:val="0082311B"/>
    <w:rsid w:val="0082368C"/>
    <w:rsid w:val="0082392F"/>
    <w:rsid w:val="008244BF"/>
    <w:rsid w:val="008244D3"/>
    <w:rsid w:val="00824CF7"/>
    <w:rsid w:val="00825EC0"/>
    <w:rsid w:val="0083086E"/>
    <w:rsid w:val="00831341"/>
    <w:rsid w:val="008318D7"/>
    <w:rsid w:val="00832022"/>
    <w:rsid w:val="008327D8"/>
    <w:rsid w:val="00833355"/>
    <w:rsid w:val="00834B00"/>
    <w:rsid w:val="0083528D"/>
    <w:rsid w:val="008405FE"/>
    <w:rsid w:val="00841322"/>
    <w:rsid w:val="00842350"/>
    <w:rsid w:val="00842ED7"/>
    <w:rsid w:val="00843021"/>
    <w:rsid w:val="00843747"/>
    <w:rsid w:val="0084491D"/>
    <w:rsid w:val="00845D6A"/>
    <w:rsid w:val="00846914"/>
    <w:rsid w:val="0085021D"/>
    <w:rsid w:val="008502DC"/>
    <w:rsid w:val="0085176E"/>
    <w:rsid w:val="0085359F"/>
    <w:rsid w:val="00853D47"/>
    <w:rsid w:val="0085404A"/>
    <w:rsid w:val="0085435A"/>
    <w:rsid w:val="00855108"/>
    <w:rsid w:val="008607B3"/>
    <w:rsid w:val="00860B2F"/>
    <w:rsid w:val="008617E6"/>
    <w:rsid w:val="008618A1"/>
    <w:rsid w:val="00863AF3"/>
    <w:rsid w:val="00866A95"/>
    <w:rsid w:val="00873921"/>
    <w:rsid w:val="00873B6C"/>
    <w:rsid w:val="00874257"/>
    <w:rsid w:val="00877ABE"/>
    <w:rsid w:val="00880147"/>
    <w:rsid w:val="00880F90"/>
    <w:rsid w:val="00883D69"/>
    <w:rsid w:val="008841F9"/>
    <w:rsid w:val="00884F31"/>
    <w:rsid w:val="00890051"/>
    <w:rsid w:val="00890C7A"/>
    <w:rsid w:val="008917DB"/>
    <w:rsid w:val="00891B7C"/>
    <w:rsid w:val="008940A5"/>
    <w:rsid w:val="00894FE9"/>
    <w:rsid w:val="008A1EE9"/>
    <w:rsid w:val="008A210F"/>
    <w:rsid w:val="008A218B"/>
    <w:rsid w:val="008A2FAF"/>
    <w:rsid w:val="008A40F7"/>
    <w:rsid w:val="008A5788"/>
    <w:rsid w:val="008A683A"/>
    <w:rsid w:val="008A6C89"/>
    <w:rsid w:val="008A74FD"/>
    <w:rsid w:val="008A7F0B"/>
    <w:rsid w:val="008B0752"/>
    <w:rsid w:val="008B0A87"/>
    <w:rsid w:val="008B1047"/>
    <w:rsid w:val="008B296B"/>
    <w:rsid w:val="008B2A01"/>
    <w:rsid w:val="008B3382"/>
    <w:rsid w:val="008B3AE9"/>
    <w:rsid w:val="008B3E93"/>
    <w:rsid w:val="008B40DD"/>
    <w:rsid w:val="008B5B61"/>
    <w:rsid w:val="008B63A8"/>
    <w:rsid w:val="008B69AD"/>
    <w:rsid w:val="008B6D1A"/>
    <w:rsid w:val="008C0AB1"/>
    <w:rsid w:val="008C1E99"/>
    <w:rsid w:val="008C23B1"/>
    <w:rsid w:val="008C3E46"/>
    <w:rsid w:val="008C4C09"/>
    <w:rsid w:val="008C5D54"/>
    <w:rsid w:val="008C7C34"/>
    <w:rsid w:val="008C7EBD"/>
    <w:rsid w:val="008D00C1"/>
    <w:rsid w:val="008D0E15"/>
    <w:rsid w:val="008D20D7"/>
    <w:rsid w:val="008D3075"/>
    <w:rsid w:val="008D374A"/>
    <w:rsid w:val="008D3BAC"/>
    <w:rsid w:val="008D3D5D"/>
    <w:rsid w:val="008D4EDC"/>
    <w:rsid w:val="008D577D"/>
    <w:rsid w:val="008D698E"/>
    <w:rsid w:val="008E0947"/>
    <w:rsid w:val="008E2670"/>
    <w:rsid w:val="008E3352"/>
    <w:rsid w:val="008E3BF7"/>
    <w:rsid w:val="008E4F4B"/>
    <w:rsid w:val="008E6946"/>
    <w:rsid w:val="008E6D36"/>
    <w:rsid w:val="008F00DD"/>
    <w:rsid w:val="008F07AD"/>
    <w:rsid w:val="008F2475"/>
    <w:rsid w:val="008F386F"/>
    <w:rsid w:val="008F4DA9"/>
    <w:rsid w:val="008F4FD2"/>
    <w:rsid w:val="008F5565"/>
    <w:rsid w:val="00901565"/>
    <w:rsid w:val="0090417C"/>
    <w:rsid w:val="00906B37"/>
    <w:rsid w:val="009100DB"/>
    <w:rsid w:val="00911375"/>
    <w:rsid w:val="009119CD"/>
    <w:rsid w:val="00911D18"/>
    <w:rsid w:val="00913A9E"/>
    <w:rsid w:val="00914D05"/>
    <w:rsid w:val="00916845"/>
    <w:rsid w:val="00917454"/>
    <w:rsid w:val="00917965"/>
    <w:rsid w:val="00922845"/>
    <w:rsid w:val="00922B49"/>
    <w:rsid w:val="00925936"/>
    <w:rsid w:val="009268F3"/>
    <w:rsid w:val="00927A42"/>
    <w:rsid w:val="00927DE6"/>
    <w:rsid w:val="009331C7"/>
    <w:rsid w:val="00933A7A"/>
    <w:rsid w:val="00933E4A"/>
    <w:rsid w:val="00934A43"/>
    <w:rsid w:val="00935AE0"/>
    <w:rsid w:val="00940658"/>
    <w:rsid w:val="00942F22"/>
    <w:rsid w:val="009432A4"/>
    <w:rsid w:val="009437F3"/>
    <w:rsid w:val="00946BC8"/>
    <w:rsid w:val="00946D36"/>
    <w:rsid w:val="00947B87"/>
    <w:rsid w:val="009507A9"/>
    <w:rsid w:val="0095097A"/>
    <w:rsid w:val="00953EF1"/>
    <w:rsid w:val="00957A83"/>
    <w:rsid w:val="0096070F"/>
    <w:rsid w:val="009619D6"/>
    <w:rsid w:val="00963E70"/>
    <w:rsid w:val="00964142"/>
    <w:rsid w:val="00965D1E"/>
    <w:rsid w:val="009676E2"/>
    <w:rsid w:val="00967AF8"/>
    <w:rsid w:val="00967EB3"/>
    <w:rsid w:val="009714AD"/>
    <w:rsid w:val="00971521"/>
    <w:rsid w:val="009721C7"/>
    <w:rsid w:val="00972ACE"/>
    <w:rsid w:val="00973465"/>
    <w:rsid w:val="00973AE1"/>
    <w:rsid w:val="00975A2E"/>
    <w:rsid w:val="00975FD2"/>
    <w:rsid w:val="00977ECB"/>
    <w:rsid w:val="00980629"/>
    <w:rsid w:val="00980718"/>
    <w:rsid w:val="00981F63"/>
    <w:rsid w:val="00982A1A"/>
    <w:rsid w:val="00982D9F"/>
    <w:rsid w:val="00982E81"/>
    <w:rsid w:val="009860AF"/>
    <w:rsid w:val="00986674"/>
    <w:rsid w:val="009866D9"/>
    <w:rsid w:val="0098734D"/>
    <w:rsid w:val="009874B1"/>
    <w:rsid w:val="009879A8"/>
    <w:rsid w:val="0099050A"/>
    <w:rsid w:val="00992E60"/>
    <w:rsid w:val="00993C36"/>
    <w:rsid w:val="00993D0F"/>
    <w:rsid w:val="009969C2"/>
    <w:rsid w:val="00996FFA"/>
    <w:rsid w:val="00997FF7"/>
    <w:rsid w:val="009A0491"/>
    <w:rsid w:val="009A0694"/>
    <w:rsid w:val="009A4A09"/>
    <w:rsid w:val="009A5680"/>
    <w:rsid w:val="009A5BC1"/>
    <w:rsid w:val="009A71FA"/>
    <w:rsid w:val="009A7653"/>
    <w:rsid w:val="009B14B9"/>
    <w:rsid w:val="009B2410"/>
    <w:rsid w:val="009B706F"/>
    <w:rsid w:val="009B7DEF"/>
    <w:rsid w:val="009C015D"/>
    <w:rsid w:val="009C0C13"/>
    <w:rsid w:val="009C0F0F"/>
    <w:rsid w:val="009C1209"/>
    <w:rsid w:val="009C1327"/>
    <w:rsid w:val="009C193B"/>
    <w:rsid w:val="009C22D0"/>
    <w:rsid w:val="009C390E"/>
    <w:rsid w:val="009C39BD"/>
    <w:rsid w:val="009C4CDD"/>
    <w:rsid w:val="009C55A7"/>
    <w:rsid w:val="009C5878"/>
    <w:rsid w:val="009C5EDC"/>
    <w:rsid w:val="009C6628"/>
    <w:rsid w:val="009C66BC"/>
    <w:rsid w:val="009C73C5"/>
    <w:rsid w:val="009C7CE8"/>
    <w:rsid w:val="009D10BC"/>
    <w:rsid w:val="009D10D6"/>
    <w:rsid w:val="009D1125"/>
    <w:rsid w:val="009D1370"/>
    <w:rsid w:val="009D20CE"/>
    <w:rsid w:val="009D328F"/>
    <w:rsid w:val="009D3340"/>
    <w:rsid w:val="009D34E1"/>
    <w:rsid w:val="009D3F10"/>
    <w:rsid w:val="009D4997"/>
    <w:rsid w:val="009D596E"/>
    <w:rsid w:val="009E130D"/>
    <w:rsid w:val="009E187D"/>
    <w:rsid w:val="009E1F69"/>
    <w:rsid w:val="009E2980"/>
    <w:rsid w:val="009E35FB"/>
    <w:rsid w:val="009E39BB"/>
    <w:rsid w:val="009E3BB6"/>
    <w:rsid w:val="009E48B4"/>
    <w:rsid w:val="009E5193"/>
    <w:rsid w:val="009E5775"/>
    <w:rsid w:val="009E5D30"/>
    <w:rsid w:val="009E6B58"/>
    <w:rsid w:val="009E730F"/>
    <w:rsid w:val="009F0728"/>
    <w:rsid w:val="009F09B4"/>
    <w:rsid w:val="009F1B40"/>
    <w:rsid w:val="009F3587"/>
    <w:rsid w:val="009F3591"/>
    <w:rsid w:val="009F3BDB"/>
    <w:rsid w:val="009F4E18"/>
    <w:rsid w:val="009F53E9"/>
    <w:rsid w:val="009F68A2"/>
    <w:rsid w:val="009F7882"/>
    <w:rsid w:val="00A02EF2"/>
    <w:rsid w:val="00A04655"/>
    <w:rsid w:val="00A0575A"/>
    <w:rsid w:val="00A057A4"/>
    <w:rsid w:val="00A06F32"/>
    <w:rsid w:val="00A0794A"/>
    <w:rsid w:val="00A120D3"/>
    <w:rsid w:val="00A12168"/>
    <w:rsid w:val="00A123B5"/>
    <w:rsid w:val="00A12742"/>
    <w:rsid w:val="00A12F22"/>
    <w:rsid w:val="00A146E3"/>
    <w:rsid w:val="00A1661D"/>
    <w:rsid w:val="00A16B1A"/>
    <w:rsid w:val="00A1752E"/>
    <w:rsid w:val="00A17AF1"/>
    <w:rsid w:val="00A17D0B"/>
    <w:rsid w:val="00A210B8"/>
    <w:rsid w:val="00A213D1"/>
    <w:rsid w:val="00A21D1A"/>
    <w:rsid w:val="00A229B6"/>
    <w:rsid w:val="00A23AC0"/>
    <w:rsid w:val="00A23FBC"/>
    <w:rsid w:val="00A2765D"/>
    <w:rsid w:val="00A279FF"/>
    <w:rsid w:val="00A3213F"/>
    <w:rsid w:val="00A3269D"/>
    <w:rsid w:val="00A332C2"/>
    <w:rsid w:val="00A33C2A"/>
    <w:rsid w:val="00A33D56"/>
    <w:rsid w:val="00A344D2"/>
    <w:rsid w:val="00A408DF"/>
    <w:rsid w:val="00A4150C"/>
    <w:rsid w:val="00A417A9"/>
    <w:rsid w:val="00A41F6D"/>
    <w:rsid w:val="00A42218"/>
    <w:rsid w:val="00A43B2E"/>
    <w:rsid w:val="00A448D0"/>
    <w:rsid w:val="00A501FE"/>
    <w:rsid w:val="00A519C5"/>
    <w:rsid w:val="00A51B77"/>
    <w:rsid w:val="00A533D1"/>
    <w:rsid w:val="00A55608"/>
    <w:rsid w:val="00A603DE"/>
    <w:rsid w:val="00A60534"/>
    <w:rsid w:val="00A61B91"/>
    <w:rsid w:val="00A62250"/>
    <w:rsid w:val="00A62310"/>
    <w:rsid w:val="00A623E2"/>
    <w:rsid w:val="00A67FB4"/>
    <w:rsid w:val="00A7001E"/>
    <w:rsid w:val="00A700FA"/>
    <w:rsid w:val="00A7042A"/>
    <w:rsid w:val="00A718AE"/>
    <w:rsid w:val="00A71946"/>
    <w:rsid w:val="00A71A4A"/>
    <w:rsid w:val="00A71A9A"/>
    <w:rsid w:val="00A7270B"/>
    <w:rsid w:val="00A7517A"/>
    <w:rsid w:val="00A75B25"/>
    <w:rsid w:val="00A760D2"/>
    <w:rsid w:val="00A76B5F"/>
    <w:rsid w:val="00A7748F"/>
    <w:rsid w:val="00A77D3E"/>
    <w:rsid w:val="00A813CC"/>
    <w:rsid w:val="00A8145E"/>
    <w:rsid w:val="00A81A15"/>
    <w:rsid w:val="00A81DAA"/>
    <w:rsid w:val="00A829B6"/>
    <w:rsid w:val="00A83D50"/>
    <w:rsid w:val="00A85149"/>
    <w:rsid w:val="00A85755"/>
    <w:rsid w:val="00A87FF7"/>
    <w:rsid w:val="00A919F0"/>
    <w:rsid w:val="00A92359"/>
    <w:rsid w:val="00A936E5"/>
    <w:rsid w:val="00A9446F"/>
    <w:rsid w:val="00A94869"/>
    <w:rsid w:val="00A965BF"/>
    <w:rsid w:val="00A96CB0"/>
    <w:rsid w:val="00A979D7"/>
    <w:rsid w:val="00AA02D6"/>
    <w:rsid w:val="00AA13F5"/>
    <w:rsid w:val="00AA22CB"/>
    <w:rsid w:val="00AA2C64"/>
    <w:rsid w:val="00AA780A"/>
    <w:rsid w:val="00AB1688"/>
    <w:rsid w:val="00AB1D89"/>
    <w:rsid w:val="00AB24E2"/>
    <w:rsid w:val="00AB40F7"/>
    <w:rsid w:val="00AB51B0"/>
    <w:rsid w:val="00AB7083"/>
    <w:rsid w:val="00AB7477"/>
    <w:rsid w:val="00AB78ED"/>
    <w:rsid w:val="00AC0047"/>
    <w:rsid w:val="00AC03E2"/>
    <w:rsid w:val="00AC0720"/>
    <w:rsid w:val="00AC2081"/>
    <w:rsid w:val="00AC3FBB"/>
    <w:rsid w:val="00AC406B"/>
    <w:rsid w:val="00AC4DB1"/>
    <w:rsid w:val="00AC7203"/>
    <w:rsid w:val="00AC72A5"/>
    <w:rsid w:val="00AC77D8"/>
    <w:rsid w:val="00AD4801"/>
    <w:rsid w:val="00AD575E"/>
    <w:rsid w:val="00AD76BE"/>
    <w:rsid w:val="00AE0930"/>
    <w:rsid w:val="00AE1224"/>
    <w:rsid w:val="00AE3617"/>
    <w:rsid w:val="00AE7399"/>
    <w:rsid w:val="00AF0655"/>
    <w:rsid w:val="00AF13A9"/>
    <w:rsid w:val="00AF45EF"/>
    <w:rsid w:val="00AF597C"/>
    <w:rsid w:val="00AF67A8"/>
    <w:rsid w:val="00B005A1"/>
    <w:rsid w:val="00B03894"/>
    <w:rsid w:val="00B0441C"/>
    <w:rsid w:val="00B05795"/>
    <w:rsid w:val="00B06618"/>
    <w:rsid w:val="00B07EF0"/>
    <w:rsid w:val="00B12321"/>
    <w:rsid w:val="00B1280E"/>
    <w:rsid w:val="00B13343"/>
    <w:rsid w:val="00B14AD5"/>
    <w:rsid w:val="00B15A27"/>
    <w:rsid w:val="00B22BE0"/>
    <w:rsid w:val="00B24B8C"/>
    <w:rsid w:val="00B25A91"/>
    <w:rsid w:val="00B2636A"/>
    <w:rsid w:val="00B27EA0"/>
    <w:rsid w:val="00B3059F"/>
    <w:rsid w:val="00B311E9"/>
    <w:rsid w:val="00B318BB"/>
    <w:rsid w:val="00B3208D"/>
    <w:rsid w:val="00B32772"/>
    <w:rsid w:val="00B32CEB"/>
    <w:rsid w:val="00B32E25"/>
    <w:rsid w:val="00B33749"/>
    <w:rsid w:val="00B3701C"/>
    <w:rsid w:val="00B37A29"/>
    <w:rsid w:val="00B37F02"/>
    <w:rsid w:val="00B400FE"/>
    <w:rsid w:val="00B40692"/>
    <w:rsid w:val="00B40E23"/>
    <w:rsid w:val="00B41176"/>
    <w:rsid w:val="00B41EAD"/>
    <w:rsid w:val="00B43214"/>
    <w:rsid w:val="00B4407F"/>
    <w:rsid w:val="00B44262"/>
    <w:rsid w:val="00B45D05"/>
    <w:rsid w:val="00B46D34"/>
    <w:rsid w:val="00B4717D"/>
    <w:rsid w:val="00B474C8"/>
    <w:rsid w:val="00B47DF8"/>
    <w:rsid w:val="00B50F39"/>
    <w:rsid w:val="00B516CC"/>
    <w:rsid w:val="00B542A5"/>
    <w:rsid w:val="00B54D55"/>
    <w:rsid w:val="00B55BF7"/>
    <w:rsid w:val="00B55F6D"/>
    <w:rsid w:val="00B560C8"/>
    <w:rsid w:val="00B56577"/>
    <w:rsid w:val="00B56F38"/>
    <w:rsid w:val="00B572EA"/>
    <w:rsid w:val="00B57DEC"/>
    <w:rsid w:val="00B60F84"/>
    <w:rsid w:val="00B610F9"/>
    <w:rsid w:val="00B6261A"/>
    <w:rsid w:val="00B632EB"/>
    <w:rsid w:val="00B636E9"/>
    <w:rsid w:val="00B641EE"/>
    <w:rsid w:val="00B65E9E"/>
    <w:rsid w:val="00B661F7"/>
    <w:rsid w:val="00B6694A"/>
    <w:rsid w:val="00B7143B"/>
    <w:rsid w:val="00B718A8"/>
    <w:rsid w:val="00B73C1C"/>
    <w:rsid w:val="00B741D8"/>
    <w:rsid w:val="00B747B6"/>
    <w:rsid w:val="00B74E15"/>
    <w:rsid w:val="00B77590"/>
    <w:rsid w:val="00B80C61"/>
    <w:rsid w:val="00B81934"/>
    <w:rsid w:val="00B8488D"/>
    <w:rsid w:val="00B84A83"/>
    <w:rsid w:val="00B84D91"/>
    <w:rsid w:val="00B85349"/>
    <w:rsid w:val="00B86BC8"/>
    <w:rsid w:val="00B87803"/>
    <w:rsid w:val="00B87C8F"/>
    <w:rsid w:val="00B921EF"/>
    <w:rsid w:val="00B9239C"/>
    <w:rsid w:val="00B92E05"/>
    <w:rsid w:val="00B92FFB"/>
    <w:rsid w:val="00B94110"/>
    <w:rsid w:val="00B969D9"/>
    <w:rsid w:val="00B97A2A"/>
    <w:rsid w:val="00BA1249"/>
    <w:rsid w:val="00BA265F"/>
    <w:rsid w:val="00BA2E71"/>
    <w:rsid w:val="00BA5743"/>
    <w:rsid w:val="00BA59F2"/>
    <w:rsid w:val="00BA7208"/>
    <w:rsid w:val="00BB07E4"/>
    <w:rsid w:val="00BB1484"/>
    <w:rsid w:val="00BB1915"/>
    <w:rsid w:val="00BB1E77"/>
    <w:rsid w:val="00BB2A15"/>
    <w:rsid w:val="00BB4EE2"/>
    <w:rsid w:val="00BB6740"/>
    <w:rsid w:val="00BB6803"/>
    <w:rsid w:val="00BB76E6"/>
    <w:rsid w:val="00BC25BE"/>
    <w:rsid w:val="00BC7D73"/>
    <w:rsid w:val="00BD0D52"/>
    <w:rsid w:val="00BD27CE"/>
    <w:rsid w:val="00BD4DD5"/>
    <w:rsid w:val="00BD6D56"/>
    <w:rsid w:val="00BE0C4A"/>
    <w:rsid w:val="00BE124D"/>
    <w:rsid w:val="00BE272A"/>
    <w:rsid w:val="00BE2B6E"/>
    <w:rsid w:val="00BE508F"/>
    <w:rsid w:val="00BE622A"/>
    <w:rsid w:val="00BE6273"/>
    <w:rsid w:val="00BF0D9F"/>
    <w:rsid w:val="00BF13AF"/>
    <w:rsid w:val="00BF2AAF"/>
    <w:rsid w:val="00BF4E2C"/>
    <w:rsid w:val="00BF6672"/>
    <w:rsid w:val="00BF6A11"/>
    <w:rsid w:val="00BF72CD"/>
    <w:rsid w:val="00C008A0"/>
    <w:rsid w:val="00C00EA7"/>
    <w:rsid w:val="00C01279"/>
    <w:rsid w:val="00C019EA"/>
    <w:rsid w:val="00C0240F"/>
    <w:rsid w:val="00C02F29"/>
    <w:rsid w:val="00C044D6"/>
    <w:rsid w:val="00C04D89"/>
    <w:rsid w:val="00C0764A"/>
    <w:rsid w:val="00C07863"/>
    <w:rsid w:val="00C10D18"/>
    <w:rsid w:val="00C1385C"/>
    <w:rsid w:val="00C142D0"/>
    <w:rsid w:val="00C145A8"/>
    <w:rsid w:val="00C202F6"/>
    <w:rsid w:val="00C20BA2"/>
    <w:rsid w:val="00C20DED"/>
    <w:rsid w:val="00C21000"/>
    <w:rsid w:val="00C21758"/>
    <w:rsid w:val="00C21E14"/>
    <w:rsid w:val="00C22317"/>
    <w:rsid w:val="00C2235B"/>
    <w:rsid w:val="00C23329"/>
    <w:rsid w:val="00C23D0D"/>
    <w:rsid w:val="00C23E34"/>
    <w:rsid w:val="00C244D3"/>
    <w:rsid w:val="00C250B7"/>
    <w:rsid w:val="00C2681B"/>
    <w:rsid w:val="00C26BFC"/>
    <w:rsid w:val="00C3108C"/>
    <w:rsid w:val="00C31397"/>
    <w:rsid w:val="00C337D3"/>
    <w:rsid w:val="00C3436E"/>
    <w:rsid w:val="00C3549B"/>
    <w:rsid w:val="00C35DA8"/>
    <w:rsid w:val="00C36146"/>
    <w:rsid w:val="00C416D3"/>
    <w:rsid w:val="00C42894"/>
    <w:rsid w:val="00C42A91"/>
    <w:rsid w:val="00C43ADB"/>
    <w:rsid w:val="00C44840"/>
    <w:rsid w:val="00C453F3"/>
    <w:rsid w:val="00C47A43"/>
    <w:rsid w:val="00C516E7"/>
    <w:rsid w:val="00C525AE"/>
    <w:rsid w:val="00C5263F"/>
    <w:rsid w:val="00C5392A"/>
    <w:rsid w:val="00C53C17"/>
    <w:rsid w:val="00C54457"/>
    <w:rsid w:val="00C55336"/>
    <w:rsid w:val="00C56648"/>
    <w:rsid w:val="00C57E71"/>
    <w:rsid w:val="00C609B5"/>
    <w:rsid w:val="00C61548"/>
    <w:rsid w:val="00C62DBD"/>
    <w:rsid w:val="00C630E0"/>
    <w:rsid w:val="00C63F85"/>
    <w:rsid w:val="00C6412D"/>
    <w:rsid w:val="00C6475A"/>
    <w:rsid w:val="00C714C7"/>
    <w:rsid w:val="00C7193D"/>
    <w:rsid w:val="00C7266D"/>
    <w:rsid w:val="00C72FAC"/>
    <w:rsid w:val="00C73894"/>
    <w:rsid w:val="00C75DD8"/>
    <w:rsid w:val="00C761BD"/>
    <w:rsid w:val="00C76256"/>
    <w:rsid w:val="00C76465"/>
    <w:rsid w:val="00C76817"/>
    <w:rsid w:val="00C77746"/>
    <w:rsid w:val="00C813FD"/>
    <w:rsid w:val="00C82649"/>
    <w:rsid w:val="00C838BD"/>
    <w:rsid w:val="00C83ED2"/>
    <w:rsid w:val="00C84E94"/>
    <w:rsid w:val="00C85557"/>
    <w:rsid w:val="00C86299"/>
    <w:rsid w:val="00C86A24"/>
    <w:rsid w:val="00C90988"/>
    <w:rsid w:val="00C92905"/>
    <w:rsid w:val="00C93691"/>
    <w:rsid w:val="00C96F9D"/>
    <w:rsid w:val="00CA0109"/>
    <w:rsid w:val="00CA06E4"/>
    <w:rsid w:val="00CA1DAE"/>
    <w:rsid w:val="00CA2619"/>
    <w:rsid w:val="00CA3A54"/>
    <w:rsid w:val="00CA5AF7"/>
    <w:rsid w:val="00CA6162"/>
    <w:rsid w:val="00CA6BC5"/>
    <w:rsid w:val="00CA79AF"/>
    <w:rsid w:val="00CB0A3A"/>
    <w:rsid w:val="00CB20D8"/>
    <w:rsid w:val="00CB2FAF"/>
    <w:rsid w:val="00CB2FE6"/>
    <w:rsid w:val="00CB3AF2"/>
    <w:rsid w:val="00CB40B6"/>
    <w:rsid w:val="00CB41A3"/>
    <w:rsid w:val="00CB43E1"/>
    <w:rsid w:val="00CB4BF8"/>
    <w:rsid w:val="00CB5CD3"/>
    <w:rsid w:val="00CB7B1B"/>
    <w:rsid w:val="00CB7FDB"/>
    <w:rsid w:val="00CC0ABC"/>
    <w:rsid w:val="00CC1AAA"/>
    <w:rsid w:val="00CC213D"/>
    <w:rsid w:val="00CC2692"/>
    <w:rsid w:val="00CC2799"/>
    <w:rsid w:val="00CC2B2E"/>
    <w:rsid w:val="00CC32DD"/>
    <w:rsid w:val="00CC39D1"/>
    <w:rsid w:val="00CC3A50"/>
    <w:rsid w:val="00CC3B82"/>
    <w:rsid w:val="00CC4A95"/>
    <w:rsid w:val="00CC5931"/>
    <w:rsid w:val="00CC7F1B"/>
    <w:rsid w:val="00CD08AE"/>
    <w:rsid w:val="00CD0AAA"/>
    <w:rsid w:val="00CD1195"/>
    <w:rsid w:val="00CD1386"/>
    <w:rsid w:val="00CD1C29"/>
    <w:rsid w:val="00CD34A2"/>
    <w:rsid w:val="00CD4369"/>
    <w:rsid w:val="00CD62E1"/>
    <w:rsid w:val="00CD64C6"/>
    <w:rsid w:val="00CD6C87"/>
    <w:rsid w:val="00CE1B9E"/>
    <w:rsid w:val="00CE2189"/>
    <w:rsid w:val="00CE2493"/>
    <w:rsid w:val="00CE2C0C"/>
    <w:rsid w:val="00CE2FE8"/>
    <w:rsid w:val="00CE372B"/>
    <w:rsid w:val="00CE3CA0"/>
    <w:rsid w:val="00CE4BBF"/>
    <w:rsid w:val="00CE628F"/>
    <w:rsid w:val="00CF1068"/>
    <w:rsid w:val="00CF17C7"/>
    <w:rsid w:val="00CF1975"/>
    <w:rsid w:val="00CF3BA3"/>
    <w:rsid w:val="00CF4665"/>
    <w:rsid w:val="00CF5BEE"/>
    <w:rsid w:val="00CF5D6F"/>
    <w:rsid w:val="00CF7DCB"/>
    <w:rsid w:val="00D0034F"/>
    <w:rsid w:val="00D01D81"/>
    <w:rsid w:val="00D02675"/>
    <w:rsid w:val="00D03927"/>
    <w:rsid w:val="00D05138"/>
    <w:rsid w:val="00D0544F"/>
    <w:rsid w:val="00D05A9D"/>
    <w:rsid w:val="00D05F2F"/>
    <w:rsid w:val="00D10CA8"/>
    <w:rsid w:val="00D1171E"/>
    <w:rsid w:val="00D14924"/>
    <w:rsid w:val="00D15674"/>
    <w:rsid w:val="00D16291"/>
    <w:rsid w:val="00D16735"/>
    <w:rsid w:val="00D16D17"/>
    <w:rsid w:val="00D1722F"/>
    <w:rsid w:val="00D1794F"/>
    <w:rsid w:val="00D2046E"/>
    <w:rsid w:val="00D22612"/>
    <w:rsid w:val="00D2374F"/>
    <w:rsid w:val="00D23C78"/>
    <w:rsid w:val="00D24553"/>
    <w:rsid w:val="00D27BF8"/>
    <w:rsid w:val="00D3084C"/>
    <w:rsid w:val="00D3485C"/>
    <w:rsid w:val="00D34C8E"/>
    <w:rsid w:val="00D35707"/>
    <w:rsid w:val="00D35844"/>
    <w:rsid w:val="00D35E15"/>
    <w:rsid w:val="00D409F5"/>
    <w:rsid w:val="00D40AB4"/>
    <w:rsid w:val="00D441C5"/>
    <w:rsid w:val="00D4629B"/>
    <w:rsid w:val="00D46977"/>
    <w:rsid w:val="00D47422"/>
    <w:rsid w:val="00D52628"/>
    <w:rsid w:val="00D55E32"/>
    <w:rsid w:val="00D57741"/>
    <w:rsid w:val="00D57D45"/>
    <w:rsid w:val="00D64836"/>
    <w:rsid w:val="00D65365"/>
    <w:rsid w:val="00D6539E"/>
    <w:rsid w:val="00D65678"/>
    <w:rsid w:val="00D6616A"/>
    <w:rsid w:val="00D667BB"/>
    <w:rsid w:val="00D66925"/>
    <w:rsid w:val="00D67726"/>
    <w:rsid w:val="00D712CC"/>
    <w:rsid w:val="00D718EA"/>
    <w:rsid w:val="00D72867"/>
    <w:rsid w:val="00D73860"/>
    <w:rsid w:val="00D7483E"/>
    <w:rsid w:val="00D757A9"/>
    <w:rsid w:val="00D76433"/>
    <w:rsid w:val="00D773A8"/>
    <w:rsid w:val="00D80CB3"/>
    <w:rsid w:val="00D80D01"/>
    <w:rsid w:val="00D80DB1"/>
    <w:rsid w:val="00D83EBF"/>
    <w:rsid w:val="00D84E98"/>
    <w:rsid w:val="00D87471"/>
    <w:rsid w:val="00D90669"/>
    <w:rsid w:val="00D90696"/>
    <w:rsid w:val="00D90913"/>
    <w:rsid w:val="00D91EDB"/>
    <w:rsid w:val="00D921F5"/>
    <w:rsid w:val="00D927AC"/>
    <w:rsid w:val="00D933F1"/>
    <w:rsid w:val="00D9389A"/>
    <w:rsid w:val="00D9478D"/>
    <w:rsid w:val="00D95D0E"/>
    <w:rsid w:val="00D97283"/>
    <w:rsid w:val="00D97CEC"/>
    <w:rsid w:val="00DA0F39"/>
    <w:rsid w:val="00DA1788"/>
    <w:rsid w:val="00DA1D5C"/>
    <w:rsid w:val="00DA3B30"/>
    <w:rsid w:val="00DA3B44"/>
    <w:rsid w:val="00DA3F08"/>
    <w:rsid w:val="00DA5AF2"/>
    <w:rsid w:val="00DA5BF3"/>
    <w:rsid w:val="00DA7518"/>
    <w:rsid w:val="00DA79D8"/>
    <w:rsid w:val="00DB0032"/>
    <w:rsid w:val="00DB093E"/>
    <w:rsid w:val="00DB4545"/>
    <w:rsid w:val="00DB490F"/>
    <w:rsid w:val="00DB60ED"/>
    <w:rsid w:val="00DB6DD7"/>
    <w:rsid w:val="00DB743F"/>
    <w:rsid w:val="00DB7DC6"/>
    <w:rsid w:val="00DC096A"/>
    <w:rsid w:val="00DC107D"/>
    <w:rsid w:val="00DC2A89"/>
    <w:rsid w:val="00DC41C7"/>
    <w:rsid w:val="00DC43C0"/>
    <w:rsid w:val="00DC477F"/>
    <w:rsid w:val="00DC4DC6"/>
    <w:rsid w:val="00DC683D"/>
    <w:rsid w:val="00DC6DAD"/>
    <w:rsid w:val="00DC7C33"/>
    <w:rsid w:val="00DD153A"/>
    <w:rsid w:val="00DD1680"/>
    <w:rsid w:val="00DD2558"/>
    <w:rsid w:val="00DD331B"/>
    <w:rsid w:val="00DD4D46"/>
    <w:rsid w:val="00DD5456"/>
    <w:rsid w:val="00DD7188"/>
    <w:rsid w:val="00DE0054"/>
    <w:rsid w:val="00DE02CF"/>
    <w:rsid w:val="00DE22AC"/>
    <w:rsid w:val="00DE22E5"/>
    <w:rsid w:val="00DE2317"/>
    <w:rsid w:val="00DE3186"/>
    <w:rsid w:val="00DE4287"/>
    <w:rsid w:val="00DE439A"/>
    <w:rsid w:val="00DE4F4A"/>
    <w:rsid w:val="00DE5225"/>
    <w:rsid w:val="00DE5713"/>
    <w:rsid w:val="00DF15F0"/>
    <w:rsid w:val="00DF2F5D"/>
    <w:rsid w:val="00DF3A53"/>
    <w:rsid w:val="00DF4B4A"/>
    <w:rsid w:val="00DF51C1"/>
    <w:rsid w:val="00DF59D6"/>
    <w:rsid w:val="00DF6490"/>
    <w:rsid w:val="00DF72A2"/>
    <w:rsid w:val="00DF7838"/>
    <w:rsid w:val="00E01505"/>
    <w:rsid w:val="00E01AE9"/>
    <w:rsid w:val="00E026AF"/>
    <w:rsid w:val="00E02D4B"/>
    <w:rsid w:val="00E0315E"/>
    <w:rsid w:val="00E03EE2"/>
    <w:rsid w:val="00E0503A"/>
    <w:rsid w:val="00E0586C"/>
    <w:rsid w:val="00E0659F"/>
    <w:rsid w:val="00E06B91"/>
    <w:rsid w:val="00E06F83"/>
    <w:rsid w:val="00E07A18"/>
    <w:rsid w:val="00E104A6"/>
    <w:rsid w:val="00E109CA"/>
    <w:rsid w:val="00E115DC"/>
    <w:rsid w:val="00E15682"/>
    <w:rsid w:val="00E15CBE"/>
    <w:rsid w:val="00E20C24"/>
    <w:rsid w:val="00E21970"/>
    <w:rsid w:val="00E23679"/>
    <w:rsid w:val="00E23E1B"/>
    <w:rsid w:val="00E247BD"/>
    <w:rsid w:val="00E24A2D"/>
    <w:rsid w:val="00E24F90"/>
    <w:rsid w:val="00E27B1A"/>
    <w:rsid w:val="00E31285"/>
    <w:rsid w:val="00E31DC2"/>
    <w:rsid w:val="00E33B5D"/>
    <w:rsid w:val="00E34560"/>
    <w:rsid w:val="00E34BBE"/>
    <w:rsid w:val="00E36A77"/>
    <w:rsid w:val="00E37047"/>
    <w:rsid w:val="00E37A94"/>
    <w:rsid w:val="00E40846"/>
    <w:rsid w:val="00E41F32"/>
    <w:rsid w:val="00E454B9"/>
    <w:rsid w:val="00E473C5"/>
    <w:rsid w:val="00E47880"/>
    <w:rsid w:val="00E506D8"/>
    <w:rsid w:val="00E52681"/>
    <w:rsid w:val="00E53DF3"/>
    <w:rsid w:val="00E542F5"/>
    <w:rsid w:val="00E5538F"/>
    <w:rsid w:val="00E5700F"/>
    <w:rsid w:val="00E57103"/>
    <w:rsid w:val="00E61DB0"/>
    <w:rsid w:val="00E65AAB"/>
    <w:rsid w:val="00E670F2"/>
    <w:rsid w:val="00E6727B"/>
    <w:rsid w:val="00E674E1"/>
    <w:rsid w:val="00E70AD3"/>
    <w:rsid w:val="00E71035"/>
    <w:rsid w:val="00E719E8"/>
    <w:rsid w:val="00E72229"/>
    <w:rsid w:val="00E745FE"/>
    <w:rsid w:val="00E76A03"/>
    <w:rsid w:val="00E778A3"/>
    <w:rsid w:val="00E779CA"/>
    <w:rsid w:val="00E816D7"/>
    <w:rsid w:val="00E82DFE"/>
    <w:rsid w:val="00E8527F"/>
    <w:rsid w:val="00E87203"/>
    <w:rsid w:val="00E907B0"/>
    <w:rsid w:val="00E90B74"/>
    <w:rsid w:val="00E91ED5"/>
    <w:rsid w:val="00E9388A"/>
    <w:rsid w:val="00E93A11"/>
    <w:rsid w:val="00E93A6F"/>
    <w:rsid w:val="00E95668"/>
    <w:rsid w:val="00E9653D"/>
    <w:rsid w:val="00EA0D44"/>
    <w:rsid w:val="00EA159D"/>
    <w:rsid w:val="00EA19C5"/>
    <w:rsid w:val="00EA2949"/>
    <w:rsid w:val="00EA2E61"/>
    <w:rsid w:val="00EA4054"/>
    <w:rsid w:val="00EA6955"/>
    <w:rsid w:val="00EA734F"/>
    <w:rsid w:val="00EB0170"/>
    <w:rsid w:val="00EB0C09"/>
    <w:rsid w:val="00EB1590"/>
    <w:rsid w:val="00EB1D17"/>
    <w:rsid w:val="00EB1E8B"/>
    <w:rsid w:val="00EB4599"/>
    <w:rsid w:val="00EB5F5E"/>
    <w:rsid w:val="00EB6DA1"/>
    <w:rsid w:val="00EB795E"/>
    <w:rsid w:val="00EBDA87"/>
    <w:rsid w:val="00EC02F8"/>
    <w:rsid w:val="00EC0A2B"/>
    <w:rsid w:val="00EC3F03"/>
    <w:rsid w:val="00EC4296"/>
    <w:rsid w:val="00EC47D2"/>
    <w:rsid w:val="00EC49D7"/>
    <w:rsid w:val="00EC5ACA"/>
    <w:rsid w:val="00ED0C5C"/>
    <w:rsid w:val="00ED338C"/>
    <w:rsid w:val="00ED5591"/>
    <w:rsid w:val="00ED5634"/>
    <w:rsid w:val="00ED7FC1"/>
    <w:rsid w:val="00EE36FB"/>
    <w:rsid w:val="00EE429B"/>
    <w:rsid w:val="00EE4813"/>
    <w:rsid w:val="00EE4EA9"/>
    <w:rsid w:val="00EE633A"/>
    <w:rsid w:val="00EF2DCB"/>
    <w:rsid w:val="00EF3457"/>
    <w:rsid w:val="00EF5664"/>
    <w:rsid w:val="00F01401"/>
    <w:rsid w:val="00F020E8"/>
    <w:rsid w:val="00F0222F"/>
    <w:rsid w:val="00F02337"/>
    <w:rsid w:val="00F0263C"/>
    <w:rsid w:val="00F03103"/>
    <w:rsid w:val="00F03881"/>
    <w:rsid w:val="00F03B0B"/>
    <w:rsid w:val="00F04CD4"/>
    <w:rsid w:val="00F058BF"/>
    <w:rsid w:val="00F10F3A"/>
    <w:rsid w:val="00F11C55"/>
    <w:rsid w:val="00F133D8"/>
    <w:rsid w:val="00F14624"/>
    <w:rsid w:val="00F14906"/>
    <w:rsid w:val="00F14CC4"/>
    <w:rsid w:val="00F15039"/>
    <w:rsid w:val="00F15FCA"/>
    <w:rsid w:val="00F16DC5"/>
    <w:rsid w:val="00F20CCB"/>
    <w:rsid w:val="00F21D97"/>
    <w:rsid w:val="00F244EE"/>
    <w:rsid w:val="00F276AE"/>
    <w:rsid w:val="00F27F98"/>
    <w:rsid w:val="00F3074D"/>
    <w:rsid w:val="00F3386E"/>
    <w:rsid w:val="00F33A90"/>
    <w:rsid w:val="00F3427C"/>
    <w:rsid w:val="00F34AF7"/>
    <w:rsid w:val="00F35DD5"/>
    <w:rsid w:val="00F366FA"/>
    <w:rsid w:val="00F36E15"/>
    <w:rsid w:val="00F43B9E"/>
    <w:rsid w:val="00F43E63"/>
    <w:rsid w:val="00F4445C"/>
    <w:rsid w:val="00F44AD8"/>
    <w:rsid w:val="00F46AB8"/>
    <w:rsid w:val="00F506E7"/>
    <w:rsid w:val="00F50ABE"/>
    <w:rsid w:val="00F51186"/>
    <w:rsid w:val="00F514B0"/>
    <w:rsid w:val="00F56249"/>
    <w:rsid w:val="00F56906"/>
    <w:rsid w:val="00F57835"/>
    <w:rsid w:val="00F60290"/>
    <w:rsid w:val="00F602E7"/>
    <w:rsid w:val="00F60C92"/>
    <w:rsid w:val="00F63842"/>
    <w:rsid w:val="00F63BDD"/>
    <w:rsid w:val="00F642F0"/>
    <w:rsid w:val="00F644B7"/>
    <w:rsid w:val="00F64A19"/>
    <w:rsid w:val="00F65540"/>
    <w:rsid w:val="00F65C85"/>
    <w:rsid w:val="00F67201"/>
    <w:rsid w:val="00F7019A"/>
    <w:rsid w:val="00F70F5F"/>
    <w:rsid w:val="00F71A54"/>
    <w:rsid w:val="00F71B98"/>
    <w:rsid w:val="00F728F9"/>
    <w:rsid w:val="00F72987"/>
    <w:rsid w:val="00F7351F"/>
    <w:rsid w:val="00F73FD6"/>
    <w:rsid w:val="00F754DF"/>
    <w:rsid w:val="00F75984"/>
    <w:rsid w:val="00F75B3C"/>
    <w:rsid w:val="00F7781F"/>
    <w:rsid w:val="00F8075C"/>
    <w:rsid w:val="00F80BEA"/>
    <w:rsid w:val="00F80F3D"/>
    <w:rsid w:val="00F81CB9"/>
    <w:rsid w:val="00F8481F"/>
    <w:rsid w:val="00F85766"/>
    <w:rsid w:val="00F86EB8"/>
    <w:rsid w:val="00F874D1"/>
    <w:rsid w:val="00F90BBD"/>
    <w:rsid w:val="00F9283D"/>
    <w:rsid w:val="00F94B26"/>
    <w:rsid w:val="00F95302"/>
    <w:rsid w:val="00F96B2E"/>
    <w:rsid w:val="00F974D1"/>
    <w:rsid w:val="00FA0226"/>
    <w:rsid w:val="00FA0435"/>
    <w:rsid w:val="00FA0750"/>
    <w:rsid w:val="00FA07E6"/>
    <w:rsid w:val="00FA0FA0"/>
    <w:rsid w:val="00FA1749"/>
    <w:rsid w:val="00FA1877"/>
    <w:rsid w:val="00FA2167"/>
    <w:rsid w:val="00FA2796"/>
    <w:rsid w:val="00FA2FE2"/>
    <w:rsid w:val="00FA55C3"/>
    <w:rsid w:val="00FB0202"/>
    <w:rsid w:val="00FB1482"/>
    <w:rsid w:val="00FB2A2E"/>
    <w:rsid w:val="00FB2C0C"/>
    <w:rsid w:val="00FB305F"/>
    <w:rsid w:val="00FB39DB"/>
    <w:rsid w:val="00FB4672"/>
    <w:rsid w:val="00FC0022"/>
    <w:rsid w:val="00FC0265"/>
    <w:rsid w:val="00FC0589"/>
    <w:rsid w:val="00FC08AF"/>
    <w:rsid w:val="00FC20CE"/>
    <w:rsid w:val="00FC2888"/>
    <w:rsid w:val="00FC28C0"/>
    <w:rsid w:val="00FC29AF"/>
    <w:rsid w:val="00FC611E"/>
    <w:rsid w:val="00FC681E"/>
    <w:rsid w:val="00FC6CE9"/>
    <w:rsid w:val="00FC7355"/>
    <w:rsid w:val="00FD0E44"/>
    <w:rsid w:val="00FD1E93"/>
    <w:rsid w:val="00FD2345"/>
    <w:rsid w:val="00FD4108"/>
    <w:rsid w:val="00FD641D"/>
    <w:rsid w:val="00FD6B96"/>
    <w:rsid w:val="00FD6F73"/>
    <w:rsid w:val="00FD7497"/>
    <w:rsid w:val="00FD79F4"/>
    <w:rsid w:val="00FD7A1A"/>
    <w:rsid w:val="00FE2655"/>
    <w:rsid w:val="00FE3E4B"/>
    <w:rsid w:val="00FE431D"/>
    <w:rsid w:val="00FE47A0"/>
    <w:rsid w:val="00FE48E2"/>
    <w:rsid w:val="00FE6AB5"/>
    <w:rsid w:val="00FE6DB1"/>
    <w:rsid w:val="00FE78AD"/>
    <w:rsid w:val="00FE7E62"/>
    <w:rsid w:val="00FF10A8"/>
    <w:rsid w:val="00FF1F01"/>
    <w:rsid w:val="00FF3111"/>
    <w:rsid w:val="00FF35C8"/>
    <w:rsid w:val="00FF50E9"/>
    <w:rsid w:val="00FF5C0A"/>
    <w:rsid w:val="00FF62F8"/>
    <w:rsid w:val="00FF6A5B"/>
    <w:rsid w:val="00FF705A"/>
    <w:rsid w:val="00FF7495"/>
    <w:rsid w:val="010E83C3"/>
    <w:rsid w:val="01265938"/>
    <w:rsid w:val="0190EDC0"/>
    <w:rsid w:val="01B05EDE"/>
    <w:rsid w:val="02143837"/>
    <w:rsid w:val="038A6564"/>
    <w:rsid w:val="03EB028A"/>
    <w:rsid w:val="046F8B72"/>
    <w:rsid w:val="0485C744"/>
    <w:rsid w:val="05A6B4F3"/>
    <w:rsid w:val="05F4C379"/>
    <w:rsid w:val="0737F4D6"/>
    <w:rsid w:val="07747397"/>
    <w:rsid w:val="077E3A9D"/>
    <w:rsid w:val="07F4F37F"/>
    <w:rsid w:val="08076351"/>
    <w:rsid w:val="080FCD7B"/>
    <w:rsid w:val="082C20D8"/>
    <w:rsid w:val="08629002"/>
    <w:rsid w:val="08C20447"/>
    <w:rsid w:val="08C44FE0"/>
    <w:rsid w:val="093FF9ED"/>
    <w:rsid w:val="0968FAE1"/>
    <w:rsid w:val="09A60610"/>
    <w:rsid w:val="09BCA322"/>
    <w:rsid w:val="09D3A0A3"/>
    <w:rsid w:val="0A4DBDCA"/>
    <w:rsid w:val="0A9EB9E8"/>
    <w:rsid w:val="0B533B2C"/>
    <w:rsid w:val="0B8ADDAF"/>
    <w:rsid w:val="0BC561C5"/>
    <w:rsid w:val="0C0EDA7F"/>
    <w:rsid w:val="0C526479"/>
    <w:rsid w:val="0C72835B"/>
    <w:rsid w:val="0C8B694B"/>
    <w:rsid w:val="0CA94BEA"/>
    <w:rsid w:val="0CB3C615"/>
    <w:rsid w:val="0CDCBB81"/>
    <w:rsid w:val="0DCFD91A"/>
    <w:rsid w:val="0EBB23EB"/>
    <w:rsid w:val="0EF73EC3"/>
    <w:rsid w:val="0F321DD6"/>
    <w:rsid w:val="0FCDFB58"/>
    <w:rsid w:val="102EA390"/>
    <w:rsid w:val="104EEB5D"/>
    <w:rsid w:val="105B277E"/>
    <w:rsid w:val="10A1E29F"/>
    <w:rsid w:val="10D6F8DC"/>
    <w:rsid w:val="10F07EE4"/>
    <w:rsid w:val="12031BEF"/>
    <w:rsid w:val="12183BF7"/>
    <w:rsid w:val="1254DD7A"/>
    <w:rsid w:val="12670938"/>
    <w:rsid w:val="128B1ABC"/>
    <w:rsid w:val="13D89071"/>
    <w:rsid w:val="141C3E2B"/>
    <w:rsid w:val="151CD30E"/>
    <w:rsid w:val="15965B81"/>
    <w:rsid w:val="15DB28ED"/>
    <w:rsid w:val="1602E71C"/>
    <w:rsid w:val="1663438B"/>
    <w:rsid w:val="1735E90B"/>
    <w:rsid w:val="174584C7"/>
    <w:rsid w:val="175A02C8"/>
    <w:rsid w:val="17B5EABE"/>
    <w:rsid w:val="17E152A1"/>
    <w:rsid w:val="182E7191"/>
    <w:rsid w:val="18559BC3"/>
    <w:rsid w:val="18AF03E6"/>
    <w:rsid w:val="18DCB54A"/>
    <w:rsid w:val="190BF60A"/>
    <w:rsid w:val="194E49C2"/>
    <w:rsid w:val="196B5EF1"/>
    <w:rsid w:val="197ED277"/>
    <w:rsid w:val="1A024010"/>
    <w:rsid w:val="1B9BE7D3"/>
    <w:rsid w:val="1BAA14C3"/>
    <w:rsid w:val="1BE53102"/>
    <w:rsid w:val="1C04C369"/>
    <w:rsid w:val="1C779B30"/>
    <w:rsid w:val="1C966DDE"/>
    <w:rsid w:val="1D23028E"/>
    <w:rsid w:val="1D364E1E"/>
    <w:rsid w:val="1D525124"/>
    <w:rsid w:val="1E0BE344"/>
    <w:rsid w:val="1E6B0A35"/>
    <w:rsid w:val="1EA7D967"/>
    <w:rsid w:val="1F0B18C2"/>
    <w:rsid w:val="1F3A8758"/>
    <w:rsid w:val="1F957DA8"/>
    <w:rsid w:val="1FAC4089"/>
    <w:rsid w:val="1FBC2F0D"/>
    <w:rsid w:val="209F81B9"/>
    <w:rsid w:val="20B4DA48"/>
    <w:rsid w:val="21126448"/>
    <w:rsid w:val="213C111A"/>
    <w:rsid w:val="21E6AB07"/>
    <w:rsid w:val="2220744A"/>
    <w:rsid w:val="2267DB5A"/>
    <w:rsid w:val="228D8B59"/>
    <w:rsid w:val="241D9C5B"/>
    <w:rsid w:val="2533FD4D"/>
    <w:rsid w:val="25866550"/>
    <w:rsid w:val="2594CD81"/>
    <w:rsid w:val="25AC64E6"/>
    <w:rsid w:val="260CD04E"/>
    <w:rsid w:val="26682728"/>
    <w:rsid w:val="26B5C80E"/>
    <w:rsid w:val="26BBD383"/>
    <w:rsid w:val="2759406F"/>
    <w:rsid w:val="27803C0B"/>
    <w:rsid w:val="2826862C"/>
    <w:rsid w:val="28285B0C"/>
    <w:rsid w:val="28A1680A"/>
    <w:rsid w:val="290F4AA9"/>
    <w:rsid w:val="2970A8B1"/>
    <w:rsid w:val="297DD160"/>
    <w:rsid w:val="29A016DA"/>
    <w:rsid w:val="29F536A9"/>
    <w:rsid w:val="2A011E93"/>
    <w:rsid w:val="2A1EB328"/>
    <w:rsid w:val="2A33D82C"/>
    <w:rsid w:val="2B7A0000"/>
    <w:rsid w:val="2B7F8385"/>
    <w:rsid w:val="2B9ACB4A"/>
    <w:rsid w:val="2C60F370"/>
    <w:rsid w:val="2C612D5C"/>
    <w:rsid w:val="2CEDCF6A"/>
    <w:rsid w:val="2D1EF1CD"/>
    <w:rsid w:val="2D347CBD"/>
    <w:rsid w:val="2D4A856B"/>
    <w:rsid w:val="2D4AB57E"/>
    <w:rsid w:val="2D7719B9"/>
    <w:rsid w:val="2DCA2481"/>
    <w:rsid w:val="2E8D4CFB"/>
    <w:rsid w:val="2F009CA4"/>
    <w:rsid w:val="2F228528"/>
    <w:rsid w:val="2FA5BD74"/>
    <w:rsid w:val="2FD39E8F"/>
    <w:rsid w:val="2FDE5AAC"/>
    <w:rsid w:val="30320E5C"/>
    <w:rsid w:val="30A6F945"/>
    <w:rsid w:val="3169143F"/>
    <w:rsid w:val="31B9373C"/>
    <w:rsid w:val="31DE0B9C"/>
    <w:rsid w:val="31E8D5AA"/>
    <w:rsid w:val="31F7FD77"/>
    <w:rsid w:val="31FE4E72"/>
    <w:rsid w:val="326EFAFC"/>
    <w:rsid w:val="32F5F2F3"/>
    <w:rsid w:val="330624FF"/>
    <w:rsid w:val="3325FB53"/>
    <w:rsid w:val="33B6FD53"/>
    <w:rsid w:val="33F7E25F"/>
    <w:rsid w:val="3401E512"/>
    <w:rsid w:val="352314E2"/>
    <w:rsid w:val="35849416"/>
    <w:rsid w:val="366681A4"/>
    <w:rsid w:val="36CEECEE"/>
    <w:rsid w:val="372C3462"/>
    <w:rsid w:val="37B58FB2"/>
    <w:rsid w:val="37DE5AFC"/>
    <w:rsid w:val="38AD116C"/>
    <w:rsid w:val="390E6055"/>
    <w:rsid w:val="3948324E"/>
    <w:rsid w:val="39534D04"/>
    <w:rsid w:val="399561E0"/>
    <w:rsid w:val="39AF3317"/>
    <w:rsid w:val="3A209269"/>
    <w:rsid w:val="3AA09227"/>
    <w:rsid w:val="3B2E57FB"/>
    <w:rsid w:val="3B7732E7"/>
    <w:rsid w:val="3B9552BD"/>
    <w:rsid w:val="3C4F271D"/>
    <w:rsid w:val="3C95FEEB"/>
    <w:rsid w:val="3CCBCFF3"/>
    <w:rsid w:val="3CDB12B8"/>
    <w:rsid w:val="3DB86DD0"/>
    <w:rsid w:val="3E7321A9"/>
    <w:rsid w:val="3E992702"/>
    <w:rsid w:val="3EA8EE74"/>
    <w:rsid w:val="3FCEFE23"/>
    <w:rsid w:val="40863928"/>
    <w:rsid w:val="4095F412"/>
    <w:rsid w:val="41315D4C"/>
    <w:rsid w:val="4209155A"/>
    <w:rsid w:val="4240067C"/>
    <w:rsid w:val="426CF36F"/>
    <w:rsid w:val="42EEAF7F"/>
    <w:rsid w:val="43E30B7E"/>
    <w:rsid w:val="4460FFB9"/>
    <w:rsid w:val="44A27F61"/>
    <w:rsid w:val="44C3F093"/>
    <w:rsid w:val="44D7F9AB"/>
    <w:rsid w:val="44E60300"/>
    <w:rsid w:val="454B73B9"/>
    <w:rsid w:val="4550A202"/>
    <w:rsid w:val="45816DA1"/>
    <w:rsid w:val="45DFC61D"/>
    <w:rsid w:val="4665059D"/>
    <w:rsid w:val="46C8D401"/>
    <w:rsid w:val="471AB466"/>
    <w:rsid w:val="474D0F6D"/>
    <w:rsid w:val="47BE0355"/>
    <w:rsid w:val="4816743D"/>
    <w:rsid w:val="482605C5"/>
    <w:rsid w:val="48D5DABB"/>
    <w:rsid w:val="48D82C73"/>
    <w:rsid w:val="48F22769"/>
    <w:rsid w:val="491F0932"/>
    <w:rsid w:val="492C9841"/>
    <w:rsid w:val="493FA546"/>
    <w:rsid w:val="4974BAC7"/>
    <w:rsid w:val="497B94DF"/>
    <w:rsid w:val="49920E3F"/>
    <w:rsid w:val="499DCBBB"/>
    <w:rsid w:val="49AFD304"/>
    <w:rsid w:val="4A4F8BEE"/>
    <w:rsid w:val="4A587EFA"/>
    <w:rsid w:val="4C6D7005"/>
    <w:rsid w:val="4CBE9E12"/>
    <w:rsid w:val="4D467DB2"/>
    <w:rsid w:val="4D96F325"/>
    <w:rsid w:val="4DD96277"/>
    <w:rsid w:val="4ECA1A9A"/>
    <w:rsid w:val="4EEC49C9"/>
    <w:rsid w:val="4EEF61EE"/>
    <w:rsid w:val="4F1EF437"/>
    <w:rsid w:val="4F4450BE"/>
    <w:rsid w:val="4F812C29"/>
    <w:rsid w:val="4FDB2157"/>
    <w:rsid w:val="4FEE1DD0"/>
    <w:rsid w:val="50012D1B"/>
    <w:rsid w:val="5048E94C"/>
    <w:rsid w:val="5088E69C"/>
    <w:rsid w:val="50BC126A"/>
    <w:rsid w:val="50E024B2"/>
    <w:rsid w:val="51132408"/>
    <w:rsid w:val="51BC0991"/>
    <w:rsid w:val="521653A5"/>
    <w:rsid w:val="52275CF7"/>
    <w:rsid w:val="5276B5D3"/>
    <w:rsid w:val="5279E662"/>
    <w:rsid w:val="528925DE"/>
    <w:rsid w:val="5393514A"/>
    <w:rsid w:val="53BDBD91"/>
    <w:rsid w:val="541CF265"/>
    <w:rsid w:val="5555B787"/>
    <w:rsid w:val="55685563"/>
    <w:rsid w:val="55D3CA62"/>
    <w:rsid w:val="5616C86F"/>
    <w:rsid w:val="56282944"/>
    <w:rsid w:val="567DDD96"/>
    <w:rsid w:val="569E3B5F"/>
    <w:rsid w:val="56DF97ED"/>
    <w:rsid w:val="56F2C761"/>
    <w:rsid w:val="57216C81"/>
    <w:rsid w:val="57A4C435"/>
    <w:rsid w:val="5860A605"/>
    <w:rsid w:val="586341CE"/>
    <w:rsid w:val="58C8EC50"/>
    <w:rsid w:val="59A4F580"/>
    <w:rsid w:val="5A2C1DDD"/>
    <w:rsid w:val="5A41F4D9"/>
    <w:rsid w:val="5AAAE40E"/>
    <w:rsid w:val="5AD974B3"/>
    <w:rsid w:val="5B870656"/>
    <w:rsid w:val="5CEF36AF"/>
    <w:rsid w:val="5DAA9010"/>
    <w:rsid w:val="5E208067"/>
    <w:rsid w:val="5E21F23F"/>
    <w:rsid w:val="5EC07311"/>
    <w:rsid w:val="5ED1859E"/>
    <w:rsid w:val="5F25C7DE"/>
    <w:rsid w:val="5FC6998D"/>
    <w:rsid w:val="5FE0D0FA"/>
    <w:rsid w:val="5FE483E6"/>
    <w:rsid w:val="602ED426"/>
    <w:rsid w:val="604F0C7B"/>
    <w:rsid w:val="6068B978"/>
    <w:rsid w:val="60853C62"/>
    <w:rsid w:val="60D65B10"/>
    <w:rsid w:val="60DCD2A3"/>
    <w:rsid w:val="612B1A19"/>
    <w:rsid w:val="61549120"/>
    <w:rsid w:val="6172B872"/>
    <w:rsid w:val="6172EBCE"/>
    <w:rsid w:val="62C4ECB1"/>
    <w:rsid w:val="63CBE5BE"/>
    <w:rsid w:val="640588EA"/>
    <w:rsid w:val="64213F72"/>
    <w:rsid w:val="6461FAA9"/>
    <w:rsid w:val="6523F951"/>
    <w:rsid w:val="660A985E"/>
    <w:rsid w:val="661C16E1"/>
    <w:rsid w:val="661FF7C9"/>
    <w:rsid w:val="66BCA8E5"/>
    <w:rsid w:val="66BCF9A7"/>
    <w:rsid w:val="674C2F71"/>
    <w:rsid w:val="676078A2"/>
    <w:rsid w:val="67AAA8F2"/>
    <w:rsid w:val="67C2ABAC"/>
    <w:rsid w:val="686BA79B"/>
    <w:rsid w:val="68731C51"/>
    <w:rsid w:val="68C50A14"/>
    <w:rsid w:val="68CDC656"/>
    <w:rsid w:val="690945E4"/>
    <w:rsid w:val="69386B5A"/>
    <w:rsid w:val="69457B44"/>
    <w:rsid w:val="69DB97BC"/>
    <w:rsid w:val="6A106510"/>
    <w:rsid w:val="6A1480E0"/>
    <w:rsid w:val="6A3002B0"/>
    <w:rsid w:val="6B135CE3"/>
    <w:rsid w:val="6B6CDF63"/>
    <w:rsid w:val="6C129E71"/>
    <w:rsid w:val="6C500CD5"/>
    <w:rsid w:val="6C669052"/>
    <w:rsid w:val="6DFABB13"/>
    <w:rsid w:val="6E009F55"/>
    <w:rsid w:val="6E29D855"/>
    <w:rsid w:val="6F037797"/>
    <w:rsid w:val="6FB9B069"/>
    <w:rsid w:val="706983C6"/>
    <w:rsid w:val="7074B4D0"/>
    <w:rsid w:val="7077FC87"/>
    <w:rsid w:val="710A171B"/>
    <w:rsid w:val="71263752"/>
    <w:rsid w:val="714DD939"/>
    <w:rsid w:val="71988936"/>
    <w:rsid w:val="71C47384"/>
    <w:rsid w:val="7283A9DD"/>
    <w:rsid w:val="72A46402"/>
    <w:rsid w:val="72CE4C91"/>
    <w:rsid w:val="7357CEC5"/>
    <w:rsid w:val="7368BACD"/>
    <w:rsid w:val="73F29D29"/>
    <w:rsid w:val="74807B1F"/>
    <w:rsid w:val="7511EA63"/>
    <w:rsid w:val="757458E5"/>
    <w:rsid w:val="758B72D9"/>
    <w:rsid w:val="764264E2"/>
    <w:rsid w:val="76C848DA"/>
    <w:rsid w:val="76C9D786"/>
    <w:rsid w:val="77693D90"/>
    <w:rsid w:val="77E1F5E7"/>
    <w:rsid w:val="786BA9ED"/>
    <w:rsid w:val="78997780"/>
    <w:rsid w:val="7909B12D"/>
    <w:rsid w:val="796CF1E6"/>
    <w:rsid w:val="7985AF37"/>
    <w:rsid w:val="799D3827"/>
    <w:rsid w:val="7A4046A9"/>
    <w:rsid w:val="7AD7206B"/>
    <w:rsid w:val="7C126AB5"/>
    <w:rsid w:val="7C9998AC"/>
    <w:rsid w:val="7CF35AD1"/>
    <w:rsid w:val="7D09519A"/>
    <w:rsid w:val="7D9A51A9"/>
    <w:rsid w:val="7DF00D16"/>
    <w:rsid w:val="7E8BF7E2"/>
    <w:rsid w:val="7EEEFD04"/>
    <w:rsid w:val="7F49D75C"/>
    <w:rsid w:val="7F86A4A0"/>
    <w:rsid w:val="7FE5D3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A1869F"/>
  <w15:docId w15:val="{B3707D9B-5D69-492A-A7F5-4EDC20CF3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B5F"/>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qFormat/>
    <w:rsid w:val="006D732D"/>
    <w:pPr>
      <w:keepNext/>
      <w:numPr>
        <w:numId w:val="1"/>
      </w:numPr>
      <w:ind w:right="900"/>
      <w:outlineLvl w:val="0"/>
    </w:pPr>
    <w:rPr>
      <w:lang w:val="es-ES_tradnl"/>
    </w:rPr>
  </w:style>
  <w:style w:type="paragraph" w:styleId="Ttulo2">
    <w:name w:val="heading 2"/>
    <w:basedOn w:val="Normal"/>
    <w:next w:val="Normal"/>
    <w:link w:val="Ttulo2Car"/>
    <w:qFormat/>
    <w:rsid w:val="006D732D"/>
    <w:pPr>
      <w:keepNext/>
      <w:numPr>
        <w:ilvl w:val="1"/>
        <w:numId w:val="1"/>
      </w:numPr>
      <w:outlineLvl w:val="1"/>
    </w:pPr>
    <w:rPr>
      <w:b/>
      <w:bCs/>
      <w:sz w:val="26"/>
      <w:szCs w:val="26"/>
      <w:lang w:val="x-none"/>
    </w:rPr>
  </w:style>
  <w:style w:type="paragraph" w:styleId="Ttulo3">
    <w:name w:val="heading 3"/>
    <w:basedOn w:val="Normal"/>
    <w:next w:val="Normal"/>
    <w:link w:val="Ttulo3Car"/>
    <w:qFormat/>
    <w:rsid w:val="006D732D"/>
    <w:pPr>
      <w:keepNext/>
      <w:numPr>
        <w:ilvl w:val="2"/>
        <w:numId w:val="1"/>
      </w:numPr>
      <w:ind w:right="51"/>
      <w:outlineLvl w:val="2"/>
    </w:pPr>
    <w:rPr>
      <w:b/>
      <w:bCs/>
      <w:lang w:val="es-MX"/>
    </w:rPr>
  </w:style>
  <w:style w:type="paragraph" w:styleId="Ttulo4">
    <w:name w:val="heading 4"/>
    <w:basedOn w:val="Normal"/>
    <w:next w:val="Normal"/>
    <w:link w:val="Ttulo4Car"/>
    <w:qFormat/>
    <w:rsid w:val="006D732D"/>
    <w:pPr>
      <w:keepNext/>
      <w:numPr>
        <w:ilvl w:val="3"/>
        <w:numId w:val="1"/>
      </w:numPr>
      <w:outlineLvl w:val="3"/>
    </w:pPr>
    <w:rPr>
      <w:b/>
      <w:bCs/>
      <w:lang w:val="x-none"/>
    </w:rPr>
  </w:style>
  <w:style w:type="paragraph" w:styleId="Ttulo5">
    <w:name w:val="heading 5"/>
    <w:basedOn w:val="Normal"/>
    <w:next w:val="Normal"/>
    <w:link w:val="Ttulo5Car"/>
    <w:qFormat/>
    <w:rsid w:val="006D732D"/>
    <w:pPr>
      <w:keepNext/>
      <w:numPr>
        <w:ilvl w:val="4"/>
        <w:numId w:val="1"/>
      </w:numPr>
      <w:jc w:val="center"/>
      <w:outlineLvl w:val="4"/>
    </w:pPr>
    <w:rPr>
      <w:b/>
      <w:bCs/>
      <w:lang w:val="es-ES_tradnl"/>
    </w:rPr>
  </w:style>
  <w:style w:type="paragraph" w:styleId="Ttulo6">
    <w:name w:val="heading 6"/>
    <w:basedOn w:val="Normal"/>
    <w:next w:val="Normal"/>
    <w:link w:val="Ttulo6Car"/>
    <w:qFormat/>
    <w:rsid w:val="006D732D"/>
    <w:pPr>
      <w:keepNext/>
      <w:numPr>
        <w:ilvl w:val="5"/>
        <w:numId w:val="1"/>
      </w:numPr>
      <w:ind w:right="-232"/>
      <w:outlineLvl w:val="5"/>
    </w:pPr>
    <w:rPr>
      <w:b/>
      <w:bCs/>
      <w:lang w:val="x-none"/>
    </w:rPr>
  </w:style>
  <w:style w:type="paragraph" w:styleId="Ttulo7">
    <w:name w:val="heading 7"/>
    <w:basedOn w:val="Normal"/>
    <w:next w:val="Normal"/>
    <w:link w:val="Ttulo7Car"/>
    <w:qFormat/>
    <w:rsid w:val="006D732D"/>
    <w:pPr>
      <w:numPr>
        <w:ilvl w:val="6"/>
        <w:numId w:val="1"/>
      </w:numPr>
      <w:spacing w:before="240" w:after="60"/>
      <w:outlineLvl w:val="6"/>
    </w:pPr>
    <w:rPr>
      <w:lang w:val="x-none"/>
    </w:rPr>
  </w:style>
  <w:style w:type="paragraph" w:styleId="Ttulo8">
    <w:name w:val="heading 8"/>
    <w:basedOn w:val="Normal"/>
    <w:next w:val="Normal"/>
    <w:link w:val="Ttulo8Car"/>
    <w:qFormat/>
    <w:rsid w:val="006D732D"/>
    <w:pPr>
      <w:numPr>
        <w:ilvl w:val="7"/>
        <w:numId w:val="1"/>
      </w:numPr>
      <w:spacing w:before="240" w:after="60"/>
      <w:outlineLvl w:val="7"/>
    </w:pPr>
    <w:rPr>
      <w:i/>
      <w:iCs/>
      <w:lang w:val="x-none"/>
    </w:rPr>
  </w:style>
  <w:style w:type="paragraph" w:styleId="Ttulo9">
    <w:name w:val="heading 9"/>
    <w:basedOn w:val="Normal"/>
    <w:next w:val="Normal"/>
    <w:link w:val="Ttulo9Car"/>
    <w:qFormat/>
    <w:rsid w:val="006D732D"/>
    <w:pPr>
      <w:numPr>
        <w:ilvl w:val="8"/>
        <w:numId w:val="1"/>
      </w:numPr>
      <w:spacing w:before="240" w:after="60"/>
      <w:outlineLvl w:val="8"/>
    </w:pPr>
    <w:rPr>
      <w:rFonts w:ascii="Arial" w:hAnsi="Arial"/>
      <w:sz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D732D"/>
    <w:rPr>
      <w:rFonts w:ascii="Times New Roman" w:eastAsia="Times New Roman" w:hAnsi="Times New Roman" w:cs="Times New Roman"/>
      <w:sz w:val="24"/>
      <w:szCs w:val="24"/>
      <w:lang w:val="es-ES_tradnl" w:eastAsia="es-MX"/>
    </w:rPr>
  </w:style>
  <w:style w:type="character" w:customStyle="1" w:styleId="Ttulo2Car">
    <w:name w:val="Título 2 Car"/>
    <w:basedOn w:val="Fuentedeprrafopredeter"/>
    <w:link w:val="Ttulo2"/>
    <w:rsid w:val="006D732D"/>
    <w:rPr>
      <w:rFonts w:ascii="Times New Roman" w:eastAsia="Times New Roman" w:hAnsi="Times New Roman" w:cs="Times New Roman"/>
      <w:b/>
      <w:bCs/>
      <w:sz w:val="26"/>
      <w:szCs w:val="26"/>
      <w:lang w:val="x-none" w:eastAsia="es-MX"/>
    </w:rPr>
  </w:style>
  <w:style w:type="character" w:customStyle="1" w:styleId="Ttulo3Car">
    <w:name w:val="Título 3 Car"/>
    <w:basedOn w:val="Fuentedeprrafopredeter"/>
    <w:link w:val="Ttulo3"/>
    <w:rsid w:val="006D732D"/>
    <w:rPr>
      <w:rFonts w:ascii="Times New Roman" w:eastAsia="Times New Roman" w:hAnsi="Times New Roman" w:cs="Times New Roman"/>
      <w:b/>
      <w:bCs/>
      <w:sz w:val="24"/>
      <w:szCs w:val="24"/>
      <w:lang w:val="es-MX" w:eastAsia="es-MX"/>
    </w:rPr>
  </w:style>
  <w:style w:type="character" w:customStyle="1" w:styleId="Ttulo4Car">
    <w:name w:val="Título 4 Car"/>
    <w:basedOn w:val="Fuentedeprrafopredeter"/>
    <w:link w:val="Ttulo4"/>
    <w:rsid w:val="006D732D"/>
    <w:rPr>
      <w:rFonts w:ascii="Times New Roman" w:eastAsia="Times New Roman" w:hAnsi="Times New Roman" w:cs="Times New Roman"/>
      <w:b/>
      <w:bCs/>
      <w:sz w:val="24"/>
      <w:szCs w:val="24"/>
      <w:lang w:val="x-none" w:eastAsia="es-MX"/>
    </w:rPr>
  </w:style>
  <w:style w:type="character" w:customStyle="1" w:styleId="Ttulo5Car">
    <w:name w:val="Título 5 Car"/>
    <w:basedOn w:val="Fuentedeprrafopredeter"/>
    <w:link w:val="Ttulo5"/>
    <w:rsid w:val="006D732D"/>
    <w:rPr>
      <w:rFonts w:ascii="Times New Roman" w:eastAsia="Times New Roman" w:hAnsi="Times New Roman" w:cs="Times New Roman"/>
      <w:b/>
      <w:bCs/>
      <w:sz w:val="24"/>
      <w:szCs w:val="24"/>
      <w:lang w:val="es-ES_tradnl" w:eastAsia="es-MX"/>
    </w:rPr>
  </w:style>
  <w:style w:type="character" w:customStyle="1" w:styleId="Ttulo6Car">
    <w:name w:val="Título 6 Car"/>
    <w:basedOn w:val="Fuentedeprrafopredeter"/>
    <w:link w:val="Ttulo6"/>
    <w:rsid w:val="006D732D"/>
    <w:rPr>
      <w:rFonts w:ascii="Times New Roman" w:eastAsia="Times New Roman" w:hAnsi="Times New Roman" w:cs="Times New Roman"/>
      <w:b/>
      <w:bCs/>
      <w:sz w:val="24"/>
      <w:szCs w:val="24"/>
      <w:lang w:val="x-none" w:eastAsia="es-MX"/>
    </w:rPr>
  </w:style>
  <w:style w:type="character" w:customStyle="1" w:styleId="Ttulo7Car">
    <w:name w:val="Título 7 Car"/>
    <w:basedOn w:val="Fuentedeprrafopredeter"/>
    <w:link w:val="Ttulo7"/>
    <w:rsid w:val="006D732D"/>
    <w:rPr>
      <w:rFonts w:ascii="Times New Roman" w:eastAsia="Times New Roman" w:hAnsi="Times New Roman" w:cs="Times New Roman"/>
      <w:sz w:val="24"/>
      <w:szCs w:val="24"/>
      <w:lang w:val="x-none" w:eastAsia="es-MX"/>
    </w:rPr>
  </w:style>
  <w:style w:type="character" w:customStyle="1" w:styleId="Ttulo8Car">
    <w:name w:val="Título 8 Car"/>
    <w:basedOn w:val="Fuentedeprrafopredeter"/>
    <w:link w:val="Ttulo8"/>
    <w:rsid w:val="006D732D"/>
    <w:rPr>
      <w:rFonts w:ascii="Times New Roman" w:eastAsia="Times New Roman" w:hAnsi="Times New Roman" w:cs="Times New Roman"/>
      <w:i/>
      <w:iCs/>
      <w:sz w:val="24"/>
      <w:szCs w:val="24"/>
      <w:lang w:val="x-none" w:eastAsia="es-MX"/>
    </w:rPr>
  </w:style>
  <w:style w:type="character" w:customStyle="1" w:styleId="Ttulo9Car">
    <w:name w:val="Título 9 Car"/>
    <w:basedOn w:val="Fuentedeprrafopredeter"/>
    <w:link w:val="Ttulo9"/>
    <w:rsid w:val="006D732D"/>
    <w:rPr>
      <w:rFonts w:ascii="Arial" w:eastAsia="Times New Roman" w:hAnsi="Arial" w:cs="Times New Roman"/>
      <w:sz w:val="20"/>
      <w:szCs w:val="24"/>
      <w:lang w:val="x-none" w:eastAsia="es-MX"/>
    </w:rPr>
  </w:style>
  <w:style w:type="paragraph" w:styleId="Sangradetextonormal">
    <w:name w:val="Body Text Indent"/>
    <w:basedOn w:val="Normal"/>
    <w:link w:val="SangradetextonormalCar"/>
    <w:uiPriority w:val="99"/>
    <w:semiHidden/>
    <w:unhideWhenUsed/>
    <w:rsid w:val="006D732D"/>
    <w:pPr>
      <w:spacing w:after="120"/>
      <w:ind w:left="283"/>
    </w:pPr>
    <w:rPr>
      <w:rFonts w:eastAsia="SimSun"/>
      <w:szCs w:val="28"/>
      <w:lang w:val="es-ES" w:eastAsia="es-ES"/>
    </w:rPr>
  </w:style>
  <w:style w:type="character" w:customStyle="1" w:styleId="SangradetextonormalCar">
    <w:name w:val="Sangría de texto normal Car"/>
    <w:basedOn w:val="Fuentedeprrafopredeter"/>
    <w:link w:val="Sangradetextonormal"/>
    <w:uiPriority w:val="99"/>
    <w:semiHidden/>
    <w:rsid w:val="006D732D"/>
    <w:rPr>
      <w:rFonts w:ascii="Times New Roman" w:eastAsia="SimSun" w:hAnsi="Times New Roman" w:cs="Times New Roman"/>
      <w:sz w:val="28"/>
      <w:szCs w:val="28"/>
      <w:lang w:val="es-ES" w:eastAsia="es-ES"/>
    </w:rPr>
  </w:style>
  <w:style w:type="paragraph" w:styleId="Textoindependiente">
    <w:name w:val="Body Text"/>
    <w:basedOn w:val="Normal"/>
    <w:link w:val="TextoindependienteCar"/>
    <w:uiPriority w:val="99"/>
    <w:unhideWhenUsed/>
    <w:rsid w:val="006D732D"/>
    <w:pPr>
      <w:spacing w:after="120"/>
    </w:pPr>
    <w:rPr>
      <w:rFonts w:eastAsia="SimSun"/>
      <w:szCs w:val="28"/>
      <w:lang w:val="es-ES" w:eastAsia="es-ES"/>
    </w:rPr>
  </w:style>
  <w:style w:type="character" w:customStyle="1" w:styleId="TextoindependienteCar">
    <w:name w:val="Texto independiente Car"/>
    <w:basedOn w:val="Fuentedeprrafopredeter"/>
    <w:link w:val="Textoindependiente"/>
    <w:uiPriority w:val="99"/>
    <w:rsid w:val="006D732D"/>
    <w:rPr>
      <w:rFonts w:ascii="Times New Roman" w:eastAsia="SimSun" w:hAnsi="Times New Roman" w:cs="Times New Roman"/>
      <w:sz w:val="28"/>
      <w:szCs w:val="28"/>
      <w:lang w:val="es-ES" w:eastAsia="es-ES"/>
    </w:rPr>
  </w:style>
  <w:style w:type="paragraph" w:styleId="Textonotapie">
    <w:name w:val="footnote text"/>
    <w:aliases w:val="Ref. de nota al pie1,Texto de nota al pie,referencia nota al pie,Fago Fußnotenzeichen,Appel note de bas de page,Footnotes refss,Footnote Text Char Char Char Char Char,Footnote Text Char Char Char Char,FA Fu,Footnote Text Char Char Char,ft"/>
    <w:basedOn w:val="Normal"/>
    <w:link w:val="TextonotapieCar"/>
    <w:uiPriority w:val="99"/>
    <w:unhideWhenUsed/>
    <w:qFormat/>
    <w:rsid w:val="006D732D"/>
    <w:rPr>
      <w:sz w:val="20"/>
    </w:rPr>
  </w:style>
  <w:style w:type="character" w:customStyle="1" w:styleId="TextonotapieCar">
    <w:name w:val="Texto nota pie Car"/>
    <w:aliases w:val="Ref. de nota al pie1 Car,Texto de nota al pie Car,referencia nota al pie Car,Fago Fußnotenzeichen Car,Appel note de bas de page Car,Footnotes refss Car,Footnote Text Char Char Char Char Char Car,Footnote Text Char Char Char Char Car"/>
    <w:basedOn w:val="Fuentedeprrafopredeter"/>
    <w:link w:val="Textonotapie"/>
    <w:uiPriority w:val="99"/>
    <w:qFormat/>
    <w:rsid w:val="006D732D"/>
    <w:rPr>
      <w:rFonts w:ascii="Times New Roman" w:eastAsia="Times New Roman" w:hAnsi="Times New Roman" w:cs="Times New Roman"/>
      <w:sz w:val="20"/>
      <w:szCs w:val="20"/>
      <w:lang w:eastAsia="es-CO"/>
    </w:rPr>
  </w:style>
  <w:style w:type="character" w:styleId="Refdenotaalpie">
    <w:name w:val="footnote reference"/>
    <w:aliases w:val="Footnote number,BVI fnr,f,4_G,16 Point,Superscript 6 Point,Ref. de nota al pi,Appel note de bas de...,Ref. de nota al pie 2,Texto nota pie Car2,Footnote Text Char Char Char Char Car1,Footnote reference Car1,FA Fu Car1,Nota a pie,Ref"/>
    <w:basedOn w:val="Fuentedeprrafopredeter"/>
    <w:link w:val="Piedepagina"/>
    <w:uiPriority w:val="99"/>
    <w:unhideWhenUsed/>
    <w:qFormat/>
    <w:rsid w:val="006D732D"/>
    <w:rPr>
      <w:vertAlign w:val="superscript"/>
    </w:rPr>
  </w:style>
  <w:style w:type="paragraph" w:customStyle="1" w:styleId="Piedepagina">
    <w:name w:val="Pie de pagina"/>
    <w:aliases w:val="Nota de pie,Ref. de nota al pie2"/>
    <w:basedOn w:val="Normal"/>
    <w:link w:val="Refdenotaalpie"/>
    <w:uiPriority w:val="99"/>
    <w:qFormat/>
    <w:rsid w:val="006D732D"/>
    <w:pPr>
      <w:spacing w:after="160" w:line="240" w:lineRule="exact"/>
    </w:pPr>
    <w:rPr>
      <w:rFonts w:asciiTheme="minorHAnsi" w:eastAsiaTheme="minorHAnsi" w:hAnsiTheme="minorHAnsi" w:cstheme="minorBidi"/>
      <w:sz w:val="22"/>
      <w:szCs w:val="22"/>
      <w:vertAlign w:val="superscript"/>
      <w:lang w:eastAsia="en-US"/>
    </w:rPr>
  </w:style>
  <w:style w:type="paragraph" w:styleId="Prrafodelista">
    <w:name w:val="List Paragraph"/>
    <w:aliases w:val="Colorful List - Accent 11,Ha,List Paragraph1,lp1,Normal1,List Paragraph2,List1,titulo 3,Párrafo de lista1,Bullets,Párrafo de lista2,Lista vistosa - Énfasis 11,Cuadrícula clara - Énfasis 31,Dot pt,F5 List Paragraph,No Spacing1,Normal2"/>
    <w:basedOn w:val="Normal"/>
    <w:link w:val="PrrafodelistaCar"/>
    <w:uiPriority w:val="34"/>
    <w:qFormat/>
    <w:rsid w:val="002125B0"/>
    <w:pPr>
      <w:ind w:left="720"/>
      <w:contextualSpacing/>
    </w:pPr>
  </w:style>
  <w:style w:type="paragraph" w:styleId="Encabezado">
    <w:name w:val="header"/>
    <w:basedOn w:val="Normal"/>
    <w:link w:val="EncabezadoCar"/>
    <w:unhideWhenUsed/>
    <w:rsid w:val="0053116E"/>
    <w:pPr>
      <w:tabs>
        <w:tab w:val="center" w:pos="4419"/>
        <w:tab w:val="right" w:pos="8838"/>
      </w:tabs>
    </w:pPr>
  </w:style>
  <w:style w:type="character" w:customStyle="1" w:styleId="EncabezadoCar">
    <w:name w:val="Encabezado Car"/>
    <w:basedOn w:val="Fuentedeprrafopredeter"/>
    <w:link w:val="Encabezado"/>
    <w:rsid w:val="0053116E"/>
    <w:rPr>
      <w:rFonts w:ascii="Times New Roman" w:eastAsia="Times New Roman" w:hAnsi="Times New Roman" w:cs="Times New Roman"/>
      <w:sz w:val="28"/>
      <w:szCs w:val="20"/>
      <w:lang w:eastAsia="es-CO"/>
    </w:rPr>
  </w:style>
  <w:style w:type="paragraph" w:styleId="Piedepgina">
    <w:name w:val="footer"/>
    <w:basedOn w:val="Normal"/>
    <w:link w:val="PiedepginaCar"/>
    <w:uiPriority w:val="99"/>
    <w:unhideWhenUsed/>
    <w:rsid w:val="0053116E"/>
    <w:pPr>
      <w:tabs>
        <w:tab w:val="center" w:pos="4419"/>
        <w:tab w:val="right" w:pos="8838"/>
      </w:tabs>
    </w:pPr>
  </w:style>
  <w:style w:type="character" w:customStyle="1" w:styleId="PiedepginaCar">
    <w:name w:val="Pie de página Car"/>
    <w:basedOn w:val="Fuentedeprrafopredeter"/>
    <w:link w:val="Piedepgina"/>
    <w:uiPriority w:val="99"/>
    <w:rsid w:val="0053116E"/>
    <w:rPr>
      <w:rFonts w:ascii="Times New Roman" w:eastAsia="Times New Roman" w:hAnsi="Times New Roman" w:cs="Times New Roman"/>
      <w:sz w:val="28"/>
      <w:szCs w:val="20"/>
      <w:lang w:eastAsia="es-CO"/>
    </w:rPr>
  </w:style>
  <w:style w:type="paragraph" w:styleId="Textodeglobo">
    <w:name w:val="Balloon Text"/>
    <w:basedOn w:val="Normal"/>
    <w:link w:val="TextodegloboCar"/>
    <w:uiPriority w:val="99"/>
    <w:semiHidden/>
    <w:unhideWhenUsed/>
    <w:rsid w:val="003D2A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D2A64"/>
    <w:rPr>
      <w:rFonts w:ascii="Segoe UI" w:eastAsia="Times New Roman" w:hAnsi="Segoe UI" w:cs="Segoe UI"/>
      <w:sz w:val="18"/>
      <w:szCs w:val="18"/>
      <w:lang w:eastAsia="es-CO"/>
    </w:rPr>
  </w:style>
  <w:style w:type="paragraph" w:styleId="NormalWeb">
    <w:name w:val="Normal (Web)"/>
    <w:basedOn w:val="Normal"/>
    <w:uiPriority w:val="99"/>
    <w:rsid w:val="00C7193D"/>
    <w:pPr>
      <w:spacing w:before="100" w:beforeAutospacing="1" w:after="100" w:afterAutospacing="1"/>
    </w:pPr>
    <w:rPr>
      <w:lang w:val="es-ES" w:eastAsia="es-ES"/>
    </w:rPr>
  </w:style>
  <w:style w:type="paragraph" w:customStyle="1" w:styleId="CarCar3CarCarCarCar">
    <w:name w:val="Car Car3 Car Car Car Car"/>
    <w:basedOn w:val="Normal"/>
    <w:rsid w:val="00933E4A"/>
    <w:pPr>
      <w:spacing w:after="160" w:line="240" w:lineRule="exact"/>
    </w:pPr>
    <w:rPr>
      <w:rFonts w:ascii="Tahoma" w:hAnsi="Tahoma" w:cs="Tahoma"/>
      <w:sz w:val="20"/>
      <w:lang w:val="en-US" w:eastAsia="en-US"/>
    </w:rPr>
  </w:style>
  <w:style w:type="character" w:styleId="Hipervnculo">
    <w:name w:val="Hyperlink"/>
    <w:basedOn w:val="Fuentedeprrafopredeter"/>
    <w:uiPriority w:val="99"/>
    <w:unhideWhenUsed/>
    <w:rsid w:val="00CC32DD"/>
    <w:rPr>
      <w:color w:val="0563C1" w:themeColor="hyperlink"/>
      <w:u w:val="single"/>
    </w:rPr>
  </w:style>
  <w:style w:type="character" w:customStyle="1" w:styleId="Mencinsinresolver1">
    <w:name w:val="Mención sin resolver1"/>
    <w:basedOn w:val="Fuentedeprrafopredeter"/>
    <w:uiPriority w:val="99"/>
    <w:semiHidden/>
    <w:unhideWhenUsed/>
    <w:rsid w:val="009C0C13"/>
    <w:rPr>
      <w:color w:val="605E5C"/>
      <w:shd w:val="clear" w:color="auto" w:fill="E1DFDD"/>
    </w:rPr>
  </w:style>
  <w:style w:type="character" w:customStyle="1" w:styleId="apple-converted-space">
    <w:name w:val="apple-converted-space"/>
    <w:basedOn w:val="Fuentedeprrafopredeter"/>
    <w:rsid w:val="00334907"/>
  </w:style>
  <w:style w:type="character" w:styleId="Nmerodepgina">
    <w:name w:val="page number"/>
    <w:basedOn w:val="Fuentedeprrafopredeter"/>
    <w:uiPriority w:val="99"/>
    <w:semiHidden/>
    <w:unhideWhenUsed/>
    <w:rsid w:val="000E222A"/>
  </w:style>
  <w:style w:type="paragraph" w:styleId="Revisin">
    <w:name w:val="Revision"/>
    <w:hidden/>
    <w:uiPriority w:val="99"/>
    <w:semiHidden/>
    <w:rsid w:val="001A1855"/>
    <w:pPr>
      <w:spacing w:after="0" w:line="240" w:lineRule="auto"/>
    </w:pPr>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DF15F0"/>
    <w:rPr>
      <w:sz w:val="16"/>
      <w:szCs w:val="16"/>
    </w:rPr>
  </w:style>
  <w:style w:type="paragraph" w:styleId="Textocomentario">
    <w:name w:val="annotation text"/>
    <w:basedOn w:val="Normal"/>
    <w:link w:val="TextocomentarioCar"/>
    <w:uiPriority w:val="99"/>
    <w:unhideWhenUsed/>
    <w:rsid w:val="00DF15F0"/>
    <w:rPr>
      <w:sz w:val="20"/>
      <w:szCs w:val="20"/>
    </w:rPr>
  </w:style>
  <w:style w:type="character" w:customStyle="1" w:styleId="TextocomentarioCar">
    <w:name w:val="Texto comentario Car"/>
    <w:basedOn w:val="Fuentedeprrafopredeter"/>
    <w:link w:val="Textocomentario"/>
    <w:uiPriority w:val="99"/>
    <w:rsid w:val="00DF15F0"/>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DF15F0"/>
    <w:rPr>
      <w:b/>
      <w:bCs/>
    </w:rPr>
  </w:style>
  <w:style w:type="character" w:customStyle="1" w:styleId="AsuntodelcomentarioCar">
    <w:name w:val="Asunto del comentario Car"/>
    <w:basedOn w:val="TextocomentarioCar"/>
    <w:link w:val="Asuntodelcomentario"/>
    <w:uiPriority w:val="99"/>
    <w:semiHidden/>
    <w:rsid w:val="00DF15F0"/>
    <w:rPr>
      <w:rFonts w:ascii="Times New Roman" w:eastAsia="Times New Roman" w:hAnsi="Times New Roman" w:cs="Times New Roman"/>
      <w:b/>
      <w:bCs/>
      <w:sz w:val="20"/>
      <w:szCs w:val="20"/>
      <w:lang w:eastAsia="es-MX"/>
    </w:r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B516CC"/>
    <w:pPr>
      <w:spacing w:after="0" w:line="240" w:lineRule="auto"/>
    </w:pPr>
    <w:rPr>
      <w:sz w:val="24"/>
      <w:szCs w:val="24"/>
    </w:rPr>
  </w:style>
  <w:style w:type="character" w:customStyle="1" w:styleId="PrrafodelistaCar">
    <w:name w:val="Párrafo de lista Car"/>
    <w:aliases w:val="Colorful List - Accent 11 Car,Ha Car,List Paragraph1 Car,lp1 Car,Normal1 Car,List Paragraph2 Car,List1 Car,titulo 3 Car,Párrafo de lista1 Car,Bullets Car,Párrafo de lista2 Car,Lista vistosa - Énfasis 11 Car,Dot pt Car,Normal2 Car"/>
    <w:link w:val="Prrafodelista"/>
    <w:uiPriority w:val="34"/>
    <w:qFormat/>
    <w:locked/>
    <w:rsid w:val="00B516CC"/>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6C0D35"/>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uiPriority w:val="99"/>
    <w:qFormat/>
    <w:rsid w:val="002E6CF1"/>
    <w:pPr>
      <w:jc w:val="both"/>
    </w:pPr>
    <w:rPr>
      <w:rFonts w:eastAsiaTheme="minorHAnsi"/>
      <w:sz w:val="20"/>
      <w:szCs w:val="20"/>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33496">
      <w:bodyDiv w:val="1"/>
      <w:marLeft w:val="0"/>
      <w:marRight w:val="0"/>
      <w:marTop w:val="0"/>
      <w:marBottom w:val="0"/>
      <w:divBdr>
        <w:top w:val="none" w:sz="0" w:space="0" w:color="auto"/>
        <w:left w:val="none" w:sz="0" w:space="0" w:color="auto"/>
        <w:bottom w:val="none" w:sz="0" w:space="0" w:color="auto"/>
        <w:right w:val="none" w:sz="0" w:space="0" w:color="auto"/>
      </w:divBdr>
    </w:div>
    <w:div w:id="117798111">
      <w:bodyDiv w:val="1"/>
      <w:marLeft w:val="0"/>
      <w:marRight w:val="0"/>
      <w:marTop w:val="0"/>
      <w:marBottom w:val="0"/>
      <w:divBdr>
        <w:top w:val="none" w:sz="0" w:space="0" w:color="auto"/>
        <w:left w:val="none" w:sz="0" w:space="0" w:color="auto"/>
        <w:bottom w:val="none" w:sz="0" w:space="0" w:color="auto"/>
        <w:right w:val="none" w:sz="0" w:space="0" w:color="auto"/>
      </w:divBdr>
    </w:div>
    <w:div w:id="152990239">
      <w:bodyDiv w:val="1"/>
      <w:marLeft w:val="0"/>
      <w:marRight w:val="0"/>
      <w:marTop w:val="0"/>
      <w:marBottom w:val="0"/>
      <w:divBdr>
        <w:top w:val="none" w:sz="0" w:space="0" w:color="auto"/>
        <w:left w:val="none" w:sz="0" w:space="0" w:color="auto"/>
        <w:bottom w:val="none" w:sz="0" w:space="0" w:color="auto"/>
        <w:right w:val="none" w:sz="0" w:space="0" w:color="auto"/>
      </w:divBdr>
      <w:divsChild>
        <w:div w:id="1374965626">
          <w:marLeft w:val="0"/>
          <w:marRight w:val="0"/>
          <w:marTop w:val="0"/>
          <w:marBottom w:val="0"/>
          <w:divBdr>
            <w:top w:val="none" w:sz="0" w:space="0" w:color="auto"/>
            <w:left w:val="none" w:sz="0" w:space="0" w:color="auto"/>
            <w:bottom w:val="none" w:sz="0" w:space="0" w:color="auto"/>
            <w:right w:val="none" w:sz="0" w:space="0" w:color="auto"/>
          </w:divBdr>
          <w:divsChild>
            <w:div w:id="1500001109">
              <w:marLeft w:val="0"/>
              <w:marRight w:val="0"/>
              <w:marTop w:val="0"/>
              <w:marBottom w:val="0"/>
              <w:divBdr>
                <w:top w:val="none" w:sz="0" w:space="0" w:color="auto"/>
                <w:left w:val="none" w:sz="0" w:space="0" w:color="auto"/>
                <w:bottom w:val="none" w:sz="0" w:space="0" w:color="auto"/>
                <w:right w:val="none" w:sz="0" w:space="0" w:color="auto"/>
              </w:divBdr>
              <w:divsChild>
                <w:div w:id="197863536">
                  <w:marLeft w:val="0"/>
                  <w:marRight w:val="0"/>
                  <w:marTop w:val="0"/>
                  <w:marBottom w:val="0"/>
                  <w:divBdr>
                    <w:top w:val="none" w:sz="0" w:space="0" w:color="auto"/>
                    <w:left w:val="none" w:sz="0" w:space="0" w:color="auto"/>
                    <w:bottom w:val="none" w:sz="0" w:space="0" w:color="auto"/>
                    <w:right w:val="none" w:sz="0" w:space="0" w:color="auto"/>
                  </w:divBdr>
                  <w:divsChild>
                    <w:div w:id="14563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377478">
      <w:bodyDiv w:val="1"/>
      <w:marLeft w:val="0"/>
      <w:marRight w:val="0"/>
      <w:marTop w:val="0"/>
      <w:marBottom w:val="0"/>
      <w:divBdr>
        <w:top w:val="none" w:sz="0" w:space="0" w:color="auto"/>
        <w:left w:val="none" w:sz="0" w:space="0" w:color="auto"/>
        <w:bottom w:val="none" w:sz="0" w:space="0" w:color="auto"/>
        <w:right w:val="none" w:sz="0" w:space="0" w:color="auto"/>
      </w:divBdr>
    </w:div>
    <w:div w:id="319583112">
      <w:bodyDiv w:val="1"/>
      <w:marLeft w:val="0"/>
      <w:marRight w:val="0"/>
      <w:marTop w:val="0"/>
      <w:marBottom w:val="0"/>
      <w:divBdr>
        <w:top w:val="none" w:sz="0" w:space="0" w:color="auto"/>
        <w:left w:val="none" w:sz="0" w:space="0" w:color="auto"/>
        <w:bottom w:val="none" w:sz="0" w:space="0" w:color="auto"/>
        <w:right w:val="none" w:sz="0" w:space="0" w:color="auto"/>
      </w:divBdr>
    </w:div>
    <w:div w:id="360937518">
      <w:bodyDiv w:val="1"/>
      <w:marLeft w:val="0"/>
      <w:marRight w:val="0"/>
      <w:marTop w:val="0"/>
      <w:marBottom w:val="0"/>
      <w:divBdr>
        <w:top w:val="none" w:sz="0" w:space="0" w:color="auto"/>
        <w:left w:val="none" w:sz="0" w:space="0" w:color="auto"/>
        <w:bottom w:val="none" w:sz="0" w:space="0" w:color="auto"/>
        <w:right w:val="none" w:sz="0" w:space="0" w:color="auto"/>
      </w:divBdr>
    </w:div>
    <w:div w:id="390616225">
      <w:bodyDiv w:val="1"/>
      <w:marLeft w:val="0"/>
      <w:marRight w:val="0"/>
      <w:marTop w:val="0"/>
      <w:marBottom w:val="0"/>
      <w:divBdr>
        <w:top w:val="none" w:sz="0" w:space="0" w:color="auto"/>
        <w:left w:val="none" w:sz="0" w:space="0" w:color="auto"/>
        <w:bottom w:val="none" w:sz="0" w:space="0" w:color="auto"/>
        <w:right w:val="none" w:sz="0" w:space="0" w:color="auto"/>
      </w:divBdr>
    </w:div>
    <w:div w:id="407652875">
      <w:bodyDiv w:val="1"/>
      <w:marLeft w:val="0"/>
      <w:marRight w:val="0"/>
      <w:marTop w:val="0"/>
      <w:marBottom w:val="0"/>
      <w:divBdr>
        <w:top w:val="none" w:sz="0" w:space="0" w:color="auto"/>
        <w:left w:val="none" w:sz="0" w:space="0" w:color="auto"/>
        <w:bottom w:val="none" w:sz="0" w:space="0" w:color="auto"/>
        <w:right w:val="none" w:sz="0" w:space="0" w:color="auto"/>
      </w:divBdr>
    </w:div>
    <w:div w:id="421755669">
      <w:bodyDiv w:val="1"/>
      <w:marLeft w:val="0"/>
      <w:marRight w:val="0"/>
      <w:marTop w:val="0"/>
      <w:marBottom w:val="0"/>
      <w:divBdr>
        <w:top w:val="none" w:sz="0" w:space="0" w:color="auto"/>
        <w:left w:val="none" w:sz="0" w:space="0" w:color="auto"/>
        <w:bottom w:val="none" w:sz="0" w:space="0" w:color="auto"/>
        <w:right w:val="none" w:sz="0" w:space="0" w:color="auto"/>
      </w:divBdr>
    </w:div>
    <w:div w:id="478157143">
      <w:bodyDiv w:val="1"/>
      <w:marLeft w:val="0"/>
      <w:marRight w:val="0"/>
      <w:marTop w:val="0"/>
      <w:marBottom w:val="0"/>
      <w:divBdr>
        <w:top w:val="none" w:sz="0" w:space="0" w:color="auto"/>
        <w:left w:val="none" w:sz="0" w:space="0" w:color="auto"/>
        <w:bottom w:val="none" w:sz="0" w:space="0" w:color="auto"/>
        <w:right w:val="none" w:sz="0" w:space="0" w:color="auto"/>
      </w:divBdr>
    </w:div>
    <w:div w:id="487328258">
      <w:bodyDiv w:val="1"/>
      <w:marLeft w:val="0"/>
      <w:marRight w:val="0"/>
      <w:marTop w:val="0"/>
      <w:marBottom w:val="0"/>
      <w:divBdr>
        <w:top w:val="none" w:sz="0" w:space="0" w:color="auto"/>
        <w:left w:val="none" w:sz="0" w:space="0" w:color="auto"/>
        <w:bottom w:val="none" w:sz="0" w:space="0" w:color="auto"/>
        <w:right w:val="none" w:sz="0" w:space="0" w:color="auto"/>
      </w:divBdr>
    </w:div>
    <w:div w:id="516038109">
      <w:bodyDiv w:val="1"/>
      <w:marLeft w:val="0"/>
      <w:marRight w:val="0"/>
      <w:marTop w:val="0"/>
      <w:marBottom w:val="0"/>
      <w:divBdr>
        <w:top w:val="none" w:sz="0" w:space="0" w:color="auto"/>
        <w:left w:val="none" w:sz="0" w:space="0" w:color="auto"/>
        <w:bottom w:val="none" w:sz="0" w:space="0" w:color="auto"/>
        <w:right w:val="none" w:sz="0" w:space="0" w:color="auto"/>
      </w:divBdr>
      <w:divsChild>
        <w:div w:id="1887377384">
          <w:marLeft w:val="0"/>
          <w:marRight w:val="0"/>
          <w:marTop w:val="0"/>
          <w:marBottom w:val="0"/>
          <w:divBdr>
            <w:top w:val="none" w:sz="0" w:space="0" w:color="auto"/>
            <w:left w:val="none" w:sz="0" w:space="0" w:color="auto"/>
            <w:bottom w:val="none" w:sz="0" w:space="0" w:color="auto"/>
            <w:right w:val="none" w:sz="0" w:space="0" w:color="auto"/>
          </w:divBdr>
          <w:divsChild>
            <w:div w:id="2125222026">
              <w:marLeft w:val="0"/>
              <w:marRight w:val="0"/>
              <w:marTop w:val="0"/>
              <w:marBottom w:val="0"/>
              <w:divBdr>
                <w:top w:val="none" w:sz="0" w:space="0" w:color="auto"/>
                <w:left w:val="none" w:sz="0" w:space="0" w:color="auto"/>
                <w:bottom w:val="none" w:sz="0" w:space="0" w:color="auto"/>
                <w:right w:val="none" w:sz="0" w:space="0" w:color="auto"/>
              </w:divBdr>
              <w:divsChild>
                <w:div w:id="186799657">
                  <w:marLeft w:val="0"/>
                  <w:marRight w:val="0"/>
                  <w:marTop w:val="0"/>
                  <w:marBottom w:val="0"/>
                  <w:divBdr>
                    <w:top w:val="none" w:sz="0" w:space="0" w:color="auto"/>
                    <w:left w:val="none" w:sz="0" w:space="0" w:color="auto"/>
                    <w:bottom w:val="none" w:sz="0" w:space="0" w:color="auto"/>
                    <w:right w:val="none" w:sz="0" w:space="0" w:color="auto"/>
                  </w:divBdr>
                  <w:divsChild>
                    <w:div w:id="258218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950282">
      <w:bodyDiv w:val="1"/>
      <w:marLeft w:val="0"/>
      <w:marRight w:val="0"/>
      <w:marTop w:val="0"/>
      <w:marBottom w:val="0"/>
      <w:divBdr>
        <w:top w:val="none" w:sz="0" w:space="0" w:color="auto"/>
        <w:left w:val="none" w:sz="0" w:space="0" w:color="auto"/>
        <w:bottom w:val="none" w:sz="0" w:space="0" w:color="auto"/>
        <w:right w:val="none" w:sz="0" w:space="0" w:color="auto"/>
      </w:divBdr>
    </w:div>
    <w:div w:id="527530748">
      <w:bodyDiv w:val="1"/>
      <w:marLeft w:val="0"/>
      <w:marRight w:val="0"/>
      <w:marTop w:val="0"/>
      <w:marBottom w:val="0"/>
      <w:divBdr>
        <w:top w:val="none" w:sz="0" w:space="0" w:color="auto"/>
        <w:left w:val="none" w:sz="0" w:space="0" w:color="auto"/>
        <w:bottom w:val="none" w:sz="0" w:space="0" w:color="auto"/>
        <w:right w:val="none" w:sz="0" w:space="0" w:color="auto"/>
      </w:divBdr>
    </w:div>
    <w:div w:id="544831109">
      <w:bodyDiv w:val="1"/>
      <w:marLeft w:val="0"/>
      <w:marRight w:val="0"/>
      <w:marTop w:val="0"/>
      <w:marBottom w:val="0"/>
      <w:divBdr>
        <w:top w:val="none" w:sz="0" w:space="0" w:color="auto"/>
        <w:left w:val="none" w:sz="0" w:space="0" w:color="auto"/>
        <w:bottom w:val="none" w:sz="0" w:space="0" w:color="auto"/>
        <w:right w:val="none" w:sz="0" w:space="0" w:color="auto"/>
      </w:divBdr>
    </w:div>
    <w:div w:id="661936389">
      <w:bodyDiv w:val="1"/>
      <w:marLeft w:val="0"/>
      <w:marRight w:val="0"/>
      <w:marTop w:val="0"/>
      <w:marBottom w:val="0"/>
      <w:divBdr>
        <w:top w:val="none" w:sz="0" w:space="0" w:color="auto"/>
        <w:left w:val="none" w:sz="0" w:space="0" w:color="auto"/>
        <w:bottom w:val="none" w:sz="0" w:space="0" w:color="auto"/>
        <w:right w:val="none" w:sz="0" w:space="0" w:color="auto"/>
      </w:divBdr>
    </w:div>
    <w:div w:id="701638813">
      <w:bodyDiv w:val="1"/>
      <w:marLeft w:val="0"/>
      <w:marRight w:val="0"/>
      <w:marTop w:val="0"/>
      <w:marBottom w:val="0"/>
      <w:divBdr>
        <w:top w:val="none" w:sz="0" w:space="0" w:color="auto"/>
        <w:left w:val="none" w:sz="0" w:space="0" w:color="auto"/>
        <w:bottom w:val="none" w:sz="0" w:space="0" w:color="auto"/>
        <w:right w:val="none" w:sz="0" w:space="0" w:color="auto"/>
      </w:divBdr>
    </w:div>
    <w:div w:id="836966346">
      <w:bodyDiv w:val="1"/>
      <w:marLeft w:val="0"/>
      <w:marRight w:val="0"/>
      <w:marTop w:val="0"/>
      <w:marBottom w:val="0"/>
      <w:divBdr>
        <w:top w:val="none" w:sz="0" w:space="0" w:color="auto"/>
        <w:left w:val="none" w:sz="0" w:space="0" w:color="auto"/>
        <w:bottom w:val="none" w:sz="0" w:space="0" w:color="auto"/>
        <w:right w:val="none" w:sz="0" w:space="0" w:color="auto"/>
      </w:divBdr>
    </w:div>
    <w:div w:id="1005595764">
      <w:bodyDiv w:val="1"/>
      <w:marLeft w:val="0"/>
      <w:marRight w:val="0"/>
      <w:marTop w:val="0"/>
      <w:marBottom w:val="0"/>
      <w:divBdr>
        <w:top w:val="none" w:sz="0" w:space="0" w:color="auto"/>
        <w:left w:val="none" w:sz="0" w:space="0" w:color="auto"/>
        <w:bottom w:val="none" w:sz="0" w:space="0" w:color="auto"/>
        <w:right w:val="none" w:sz="0" w:space="0" w:color="auto"/>
      </w:divBdr>
    </w:div>
    <w:div w:id="1056783344">
      <w:bodyDiv w:val="1"/>
      <w:marLeft w:val="0"/>
      <w:marRight w:val="0"/>
      <w:marTop w:val="0"/>
      <w:marBottom w:val="0"/>
      <w:divBdr>
        <w:top w:val="none" w:sz="0" w:space="0" w:color="auto"/>
        <w:left w:val="none" w:sz="0" w:space="0" w:color="auto"/>
        <w:bottom w:val="none" w:sz="0" w:space="0" w:color="auto"/>
        <w:right w:val="none" w:sz="0" w:space="0" w:color="auto"/>
      </w:divBdr>
    </w:div>
    <w:div w:id="1067067988">
      <w:bodyDiv w:val="1"/>
      <w:marLeft w:val="0"/>
      <w:marRight w:val="0"/>
      <w:marTop w:val="0"/>
      <w:marBottom w:val="0"/>
      <w:divBdr>
        <w:top w:val="none" w:sz="0" w:space="0" w:color="auto"/>
        <w:left w:val="none" w:sz="0" w:space="0" w:color="auto"/>
        <w:bottom w:val="none" w:sz="0" w:space="0" w:color="auto"/>
        <w:right w:val="none" w:sz="0" w:space="0" w:color="auto"/>
      </w:divBdr>
    </w:div>
    <w:div w:id="1123766281">
      <w:bodyDiv w:val="1"/>
      <w:marLeft w:val="0"/>
      <w:marRight w:val="0"/>
      <w:marTop w:val="0"/>
      <w:marBottom w:val="0"/>
      <w:divBdr>
        <w:top w:val="none" w:sz="0" w:space="0" w:color="auto"/>
        <w:left w:val="none" w:sz="0" w:space="0" w:color="auto"/>
        <w:bottom w:val="none" w:sz="0" w:space="0" w:color="auto"/>
        <w:right w:val="none" w:sz="0" w:space="0" w:color="auto"/>
      </w:divBdr>
    </w:div>
    <w:div w:id="1162161724">
      <w:bodyDiv w:val="1"/>
      <w:marLeft w:val="0"/>
      <w:marRight w:val="0"/>
      <w:marTop w:val="0"/>
      <w:marBottom w:val="0"/>
      <w:divBdr>
        <w:top w:val="none" w:sz="0" w:space="0" w:color="auto"/>
        <w:left w:val="none" w:sz="0" w:space="0" w:color="auto"/>
        <w:bottom w:val="none" w:sz="0" w:space="0" w:color="auto"/>
        <w:right w:val="none" w:sz="0" w:space="0" w:color="auto"/>
      </w:divBdr>
    </w:div>
    <w:div w:id="1227376123">
      <w:bodyDiv w:val="1"/>
      <w:marLeft w:val="0"/>
      <w:marRight w:val="0"/>
      <w:marTop w:val="0"/>
      <w:marBottom w:val="0"/>
      <w:divBdr>
        <w:top w:val="none" w:sz="0" w:space="0" w:color="auto"/>
        <w:left w:val="none" w:sz="0" w:space="0" w:color="auto"/>
        <w:bottom w:val="none" w:sz="0" w:space="0" w:color="auto"/>
        <w:right w:val="none" w:sz="0" w:space="0" w:color="auto"/>
      </w:divBdr>
    </w:div>
    <w:div w:id="1240822281">
      <w:bodyDiv w:val="1"/>
      <w:marLeft w:val="0"/>
      <w:marRight w:val="0"/>
      <w:marTop w:val="0"/>
      <w:marBottom w:val="0"/>
      <w:divBdr>
        <w:top w:val="none" w:sz="0" w:space="0" w:color="auto"/>
        <w:left w:val="none" w:sz="0" w:space="0" w:color="auto"/>
        <w:bottom w:val="none" w:sz="0" w:space="0" w:color="auto"/>
        <w:right w:val="none" w:sz="0" w:space="0" w:color="auto"/>
      </w:divBdr>
    </w:div>
    <w:div w:id="1317101237">
      <w:bodyDiv w:val="1"/>
      <w:marLeft w:val="0"/>
      <w:marRight w:val="0"/>
      <w:marTop w:val="0"/>
      <w:marBottom w:val="0"/>
      <w:divBdr>
        <w:top w:val="none" w:sz="0" w:space="0" w:color="auto"/>
        <w:left w:val="none" w:sz="0" w:space="0" w:color="auto"/>
        <w:bottom w:val="none" w:sz="0" w:space="0" w:color="auto"/>
        <w:right w:val="none" w:sz="0" w:space="0" w:color="auto"/>
      </w:divBdr>
    </w:div>
    <w:div w:id="1381903175">
      <w:bodyDiv w:val="1"/>
      <w:marLeft w:val="0"/>
      <w:marRight w:val="0"/>
      <w:marTop w:val="0"/>
      <w:marBottom w:val="0"/>
      <w:divBdr>
        <w:top w:val="none" w:sz="0" w:space="0" w:color="auto"/>
        <w:left w:val="none" w:sz="0" w:space="0" w:color="auto"/>
        <w:bottom w:val="none" w:sz="0" w:space="0" w:color="auto"/>
        <w:right w:val="none" w:sz="0" w:space="0" w:color="auto"/>
      </w:divBdr>
    </w:div>
    <w:div w:id="1409158143">
      <w:bodyDiv w:val="1"/>
      <w:marLeft w:val="0"/>
      <w:marRight w:val="0"/>
      <w:marTop w:val="0"/>
      <w:marBottom w:val="0"/>
      <w:divBdr>
        <w:top w:val="none" w:sz="0" w:space="0" w:color="auto"/>
        <w:left w:val="none" w:sz="0" w:space="0" w:color="auto"/>
        <w:bottom w:val="none" w:sz="0" w:space="0" w:color="auto"/>
        <w:right w:val="none" w:sz="0" w:space="0" w:color="auto"/>
      </w:divBdr>
    </w:div>
    <w:div w:id="1462726167">
      <w:bodyDiv w:val="1"/>
      <w:marLeft w:val="0"/>
      <w:marRight w:val="0"/>
      <w:marTop w:val="0"/>
      <w:marBottom w:val="0"/>
      <w:divBdr>
        <w:top w:val="none" w:sz="0" w:space="0" w:color="auto"/>
        <w:left w:val="none" w:sz="0" w:space="0" w:color="auto"/>
        <w:bottom w:val="none" w:sz="0" w:space="0" w:color="auto"/>
        <w:right w:val="none" w:sz="0" w:space="0" w:color="auto"/>
      </w:divBdr>
    </w:div>
    <w:div w:id="1478184476">
      <w:bodyDiv w:val="1"/>
      <w:marLeft w:val="0"/>
      <w:marRight w:val="0"/>
      <w:marTop w:val="0"/>
      <w:marBottom w:val="0"/>
      <w:divBdr>
        <w:top w:val="none" w:sz="0" w:space="0" w:color="auto"/>
        <w:left w:val="none" w:sz="0" w:space="0" w:color="auto"/>
        <w:bottom w:val="none" w:sz="0" w:space="0" w:color="auto"/>
        <w:right w:val="none" w:sz="0" w:space="0" w:color="auto"/>
      </w:divBdr>
    </w:div>
    <w:div w:id="1494056769">
      <w:bodyDiv w:val="1"/>
      <w:marLeft w:val="0"/>
      <w:marRight w:val="0"/>
      <w:marTop w:val="0"/>
      <w:marBottom w:val="0"/>
      <w:divBdr>
        <w:top w:val="none" w:sz="0" w:space="0" w:color="auto"/>
        <w:left w:val="none" w:sz="0" w:space="0" w:color="auto"/>
        <w:bottom w:val="none" w:sz="0" w:space="0" w:color="auto"/>
        <w:right w:val="none" w:sz="0" w:space="0" w:color="auto"/>
      </w:divBdr>
      <w:divsChild>
        <w:div w:id="479227217">
          <w:marLeft w:val="0"/>
          <w:marRight w:val="0"/>
          <w:marTop w:val="0"/>
          <w:marBottom w:val="0"/>
          <w:divBdr>
            <w:top w:val="none" w:sz="0" w:space="0" w:color="auto"/>
            <w:left w:val="none" w:sz="0" w:space="0" w:color="auto"/>
            <w:bottom w:val="none" w:sz="0" w:space="0" w:color="auto"/>
            <w:right w:val="none" w:sz="0" w:space="0" w:color="auto"/>
          </w:divBdr>
          <w:divsChild>
            <w:div w:id="1550998335">
              <w:marLeft w:val="0"/>
              <w:marRight w:val="0"/>
              <w:marTop w:val="0"/>
              <w:marBottom w:val="0"/>
              <w:divBdr>
                <w:top w:val="none" w:sz="0" w:space="0" w:color="auto"/>
                <w:left w:val="none" w:sz="0" w:space="0" w:color="auto"/>
                <w:bottom w:val="none" w:sz="0" w:space="0" w:color="auto"/>
                <w:right w:val="none" w:sz="0" w:space="0" w:color="auto"/>
              </w:divBdr>
              <w:divsChild>
                <w:div w:id="34906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507349">
      <w:bodyDiv w:val="1"/>
      <w:marLeft w:val="0"/>
      <w:marRight w:val="0"/>
      <w:marTop w:val="0"/>
      <w:marBottom w:val="0"/>
      <w:divBdr>
        <w:top w:val="none" w:sz="0" w:space="0" w:color="auto"/>
        <w:left w:val="none" w:sz="0" w:space="0" w:color="auto"/>
        <w:bottom w:val="none" w:sz="0" w:space="0" w:color="auto"/>
        <w:right w:val="none" w:sz="0" w:space="0" w:color="auto"/>
      </w:divBdr>
    </w:div>
    <w:div w:id="1520042620">
      <w:bodyDiv w:val="1"/>
      <w:marLeft w:val="0"/>
      <w:marRight w:val="0"/>
      <w:marTop w:val="0"/>
      <w:marBottom w:val="0"/>
      <w:divBdr>
        <w:top w:val="none" w:sz="0" w:space="0" w:color="auto"/>
        <w:left w:val="none" w:sz="0" w:space="0" w:color="auto"/>
        <w:bottom w:val="none" w:sz="0" w:space="0" w:color="auto"/>
        <w:right w:val="none" w:sz="0" w:space="0" w:color="auto"/>
      </w:divBdr>
    </w:div>
    <w:div w:id="1545558327">
      <w:bodyDiv w:val="1"/>
      <w:marLeft w:val="0"/>
      <w:marRight w:val="0"/>
      <w:marTop w:val="0"/>
      <w:marBottom w:val="0"/>
      <w:divBdr>
        <w:top w:val="none" w:sz="0" w:space="0" w:color="auto"/>
        <w:left w:val="none" w:sz="0" w:space="0" w:color="auto"/>
        <w:bottom w:val="none" w:sz="0" w:space="0" w:color="auto"/>
        <w:right w:val="none" w:sz="0" w:space="0" w:color="auto"/>
      </w:divBdr>
    </w:div>
    <w:div w:id="1593275599">
      <w:bodyDiv w:val="1"/>
      <w:marLeft w:val="0"/>
      <w:marRight w:val="0"/>
      <w:marTop w:val="0"/>
      <w:marBottom w:val="0"/>
      <w:divBdr>
        <w:top w:val="none" w:sz="0" w:space="0" w:color="auto"/>
        <w:left w:val="none" w:sz="0" w:space="0" w:color="auto"/>
        <w:bottom w:val="none" w:sz="0" w:space="0" w:color="auto"/>
        <w:right w:val="none" w:sz="0" w:space="0" w:color="auto"/>
      </w:divBdr>
    </w:div>
    <w:div w:id="1605187841">
      <w:bodyDiv w:val="1"/>
      <w:marLeft w:val="0"/>
      <w:marRight w:val="0"/>
      <w:marTop w:val="0"/>
      <w:marBottom w:val="0"/>
      <w:divBdr>
        <w:top w:val="none" w:sz="0" w:space="0" w:color="auto"/>
        <w:left w:val="none" w:sz="0" w:space="0" w:color="auto"/>
        <w:bottom w:val="none" w:sz="0" w:space="0" w:color="auto"/>
        <w:right w:val="none" w:sz="0" w:space="0" w:color="auto"/>
      </w:divBdr>
    </w:div>
    <w:div w:id="1626350754">
      <w:bodyDiv w:val="1"/>
      <w:marLeft w:val="0"/>
      <w:marRight w:val="0"/>
      <w:marTop w:val="0"/>
      <w:marBottom w:val="0"/>
      <w:divBdr>
        <w:top w:val="none" w:sz="0" w:space="0" w:color="auto"/>
        <w:left w:val="none" w:sz="0" w:space="0" w:color="auto"/>
        <w:bottom w:val="none" w:sz="0" w:space="0" w:color="auto"/>
        <w:right w:val="none" w:sz="0" w:space="0" w:color="auto"/>
      </w:divBdr>
    </w:div>
    <w:div w:id="1631125859">
      <w:bodyDiv w:val="1"/>
      <w:marLeft w:val="0"/>
      <w:marRight w:val="0"/>
      <w:marTop w:val="0"/>
      <w:marBottom w:val="0"/>
      <w:divBdr>
        <w:top w:val="none" w:sz="0" w:space="0" w:color="auto"/>
        <w:left w:val="none" w:sz="0" w:space="0" w:color="auto"/>
        <w:bottom w:val="none" w:sz="0" w:space="0" w:color="auto"/>
        <w:right w:val="none" w:sz="0" w:space="0" w:color="auto"/>
      </w:divBdr>
    </w:div>
    <w:div w:id="1683118848">
      <w:bodyDiv w:val="1"/>
      <w:marLeft w:val="0"/>
      <w:marRight w:val="0"/>
      <w:marTop w:val="0"/>
      <w:marBottom w:val="0"/>
      <w:divBdr>
        <w:top w:val="none" w:sz="0" w:space="0" w:color="auto"/>
        <w:left w:val="none" w:sz="0" w:space="0" w:color="auto"/>
        <w:bottom w:val="none" w:sz="0" w:space="0" w:color="auto"/>
        <w:right w:val="none" w:sz="0" w:space="0" w:color="auto"/>
      </w:divBdr>
    </w:div>
    <w:div w:id="1691637081">
      <w:bodyDiv w:val="1"/>
      <w:marLeft w:val="0"/>
      <w:marRight w:val="0"/>
      <w:marTop w:val="0"/>
      <w:marBottom w:val="0"/>
      <w:divBdr>
        <w:top w:val="none" w:sz="0" w:space="0" w:color="auto"/>
        <w:left w:val="none" w:sz="0" w:space="0" w:color="auto"/>
        <w:bottom w:val="none" w:sz="0" w:space="0" w:color="auto"/>
        <w:right w:val="none" w:sz="0" w:space="0" w:color="auto"/>
      </w:divBdr>
    </w:div>
    <w:div w:id="1731348198">
      <w:bodyDiv w:val="1"/>
      <w:marLeft w:val="0"/>
      <w:marRight w:val="0"/>
      <w:marTop w:val="0"/>
      <w:marBottom w:val="0"/>
      <w:divBdr>
        <w:top w:val="none" w:sz="0" w:space="0" w:color="auto"/>
        <w:left w:val="none" w:sz="0" w:space="0" w:color="auto"/>
        <w:bottom w:val="none" w:sz="0" w:space="0" w:color="auto"/>
        <w:right w:val="none" w:sz="0" w:space="0" w:color="auto"/>
      </w:divBdr>
    </w:div>
    <w:div w:id="1753818815">
      <w:bodyDiv w:val="1"/>
      <w:marLeft w:val="0"/>
      <w:marRight w:val="0"/>
      <w:marTop w:val="0"/>
      <w:marBottom w:val="0"/>
      <w:divBdr>
        <w:top w:val="none" w:sz="0" w:space="0" w:color="auto"/>
        <w:left w:val="none" w:sz="0" w:space="0" w:color="auto"/>
        <w:bottom w:val="none" w:sz="0" w:space="0" w:color="auto"/>
        <w:right w:val="none" w:sz="0" w:space="0" w:color="auto"/>
      </w:divBdr>
    </w:div>
    <w:div w:id="1781097405">
      <w:bodyDiv w:val="1"/>
      <w:marLeft w:val="0"/>
      <w:marRight w:val="0"/>
      <w:marTop w:val="0"/>
      <w:marBottom w:val="0"/>
      <w:divBdr>
        <w:top w:val="none" w:sz="0" w:space="0" w:color="auto"/>
        <w:left w:val="none" w:sz="0" w:space="0" w:color="auto"/>
        <w:bottom w:val="none" w:sz="0" w:space="0" w:color="auto"/>
        <w:right w:val="none" w:sz="0" w:space="0" w:color="auto"/>
      </w:divBdr>
    </w:div>
    <w:div w:id="1796099921">
      <w:bodyDiv w:val="1"/>
      <w:marLeft w:val="0"/>
      <w:marRight w:val="0"/>
      <w:marTop w:val="0"/>
      <w:marBottom w:val="0"/>
      <w:divBdr>
        <w:top w:val="none" w:sz="0" w:space="0" w:color="auto"/>
        <w:left w:val="none" w:sz="0" w:space="0" w:color="auto"/>
        <w:bottom w:val="none" w:sz="0" w:space="0" w:color="auto"/>
        <w:right w:val="none" w:sz="0" w:space="0" w:color="auto"/>
      </w:divBdr>
    </w:div>
    <w:div w:id="1801923005">
      <w:bodyDiv w:val="1"/>
      <w:marLeft w:val="0"/>
      <w:marRight w:val="0"/>
      <w:marTop w:val="0"/>
      <w:marBottom w:val="0"/>
      <w:divBdr>
        <w:top w:val="none" w:sz="0" w:space="0" w:color="auto"/>
        <w:left w:val="none" w:sz="0" w:space="0" w:color="auto"/>
        <w:bottom w:val="none" w:sz="0" w:space="0" w:color="auto"/>
        <w:right w:val="none" w:sz="0" w:space="0" w:color="auto"/>
      </w:divBdr>
    </w:div>
    <w:div w:id="1815564124">
      <w:bodyDiv w:val="1"/>
      <w:marLeft w:val="0"/>
      <w:marRight w:val="0"/>
      <w:marTop w:val="0"/>
      <w:marBottom w:val="0"/>
      <w:divBdr>
        <w:top w:val="none" w:sz="0" w:space="0" w:color="auto"/>
        <w:left w:val="none" w:sz="0" w:space="0" w:color="auto"/>
        <w:bottom w:val="none" w:sz="0" w:space="0" w:color="auto"/>
        <w:right w:val="none" w:sz="0" w:space="0" w:color="auto"/>
      </w:divBdr>
    </w:div>
    <w:div w:id="1884365693">
      <w:bodyDiv w:val="1"/>
      <w:marLeft w:val="0"/>
      <w:marRight w:val="0"/>
      <w:marTop w:val="0"/>
      <w:marBottom w:val="0"/>
      <w:divBdr>
        <w:top w:val="none" w:sz="0" w:space="0" w:color="auto"/>
        <w:left w:val="none" w:sz="0" w:space="0" w:color="auto"/>
        <w:bottom w:val="none" w:sz="0" w:space="0" w:color="auto"/>
        <w:right w:val="none" w:sz="0" w:space="0" w:color="auto"/>
      </w:divBdr>
    </w:div>
    <w:div w:id="1890342985">
      <w:bodyDiv w:val="1"/>
      <w:marLeft w:val="0"/>
      <w:marRight w:val="0"/>
      <w:marTop w:val="0"/>
      <w:marBottom w:val="0"/>
      <w:divBdr>
        <w:top w:val="none" w:sz="0" w:space="0" w:color="auto"/>
        <w:left w:val="none" w:sz="0" w:space="0" w:color="auto"/>
        <w:bottom w:val="none" w:sz="0" w:space="0" w:color="auto"/>
        <w:right w:val="none" w:sz="0" w:space="0" w:color="auto"/>
      </w:divBdr>
    </w:div>
    <w:div w:id="1891068050">
      <w:bodyDiv w:val="1"/>
      <w:marLeft w:val="0"/>
      <w:marRight w:val="0"/>
      <w:marTop w:val="0"/>
      <w:marBottom w:val="0"/>
      <w:divBdr>
        <w:top w:val="none" w:sz="0" w:space="0" w:color="auto"/>
        <w:left w:val="none" w:sz="0" w:space="0" w:color="auto"/>
        <w:bottom w:val="none" w:sz="0" w:space="0" w:color="auto"/>
        <w:right w:val="none" w:sz="0" w:space="0" w:color="auto"/>
      </w:divBdr>
    </w:div>
    <w:div w:id="1897549312">
      <w:bodyDiv w:val="1"/>
      <w:marLeft w:val="0"/>
      <w:marRight w:val="0"/>
      <w:marTop w:val="0"/>
      <w:marBottom w:val="0"/>
      <w:divBdr>
        <w:top w:val="none" w:sz="0" w:space="0" w:color="auto"/>
        <w:left w:val="none" w:sz="0" w:space="0" w:color="auto"/>
        <w:bottom w:val="none" w:sz="0" w:space="0" w:color="auto"/>
        <w:right w:val="none" w:sz="0" w:space="0" w:color="auto"/>
      </w:divBdr>
    </w:div>
    <w:div w:id="1905337977">
      <w:bodyDiv w:val="1"/>
      <w:marLeft w:val="0"/>
      <w:marRight w:val="0"/>
      <w:marTop w:val="0"/>
      <w:marBottom w:val="0"/>
      <w:divBdr>
        <w:top w:val="none" w:sz="0" w:space="0" w:color="auto"/>
        <w:left w:val="none" w:sz="0" w:space="0" w:color="auto"/>
        <w:bottom w:val="none" w:sz="0" w:space="0" w:color="auto"/>
        <w:right w:val="none" w:sz="0" w:space="0" w:color="auto"/>
      </w:divBdr>
    </w:div>
    <w:div w:id="1925914334">
      <w:bodyDiv w:val="1"/>
      <w:marLeft w:val="0"/>
      <w:marRight w:val="0"/>
      <w:marTop w:val="0"/>
      <w:marBottom w:val="0"/>
      <w:divBdr>
        <w:top w:val="none" w:sz="0" w:space="0" w:color="auto"/>
        <w:left w:val="none" w:sz="0" w:space="0" w:color="auto"/>
        <w:bottom w:val="none" w:sz="0" w:space="0" w:color="auto"/>
        <w:right w:val="none" w:sz="0" w:space="0" w:color="auto"/>
      </w:divBdr>
    </w:div>
    <w:div w:id="1947226363">
      <w:bodyDiv w:val="1"/>
      <w:marLeft w:val="0"/>
      <w:marRight w:val="0"/>
      <w:marTop w:val="0"/>
      <w:marBottom w:val="0"/>
      <w:divBdr>
        <w:top w:val="none" w:sz="0" w:space="0" w:color="auto"/>
        <w:left w:val="none" w:sz="0" w:space="0" w:color="auto"/>
        <w:bottom w:val="none" w:sz="0" w:space="0" w:color="auto"/>
        <w:right w:val="none" w:sz="0" w:space="0" w:color="auto"/>
      </w:divBdr>
    </w:div>
    <w:div w:id="2080977586">
      <w:bodyDiv w:val="1"/>
      <w:marLeft w:val="0"/>
      <w:marRight w:val="0"/>
      <w:marTop w:val="0"/>
      <w:marBottom w:val="0"/>
      <w:divBdr>
        <w:top w:val="none" w:sz="0" w:space="0" w:color="auto"/>
        <w:left w:val="none" w:sz="0" w:space="0" w:color="auto"/>
        <w:bottom w:val="none" w:sz="0" w:space="0" w:color="auto"/>
        <w:right w:val="none" w:sz="0" w:space="0" w:color="auto"/>
      </w:divBdr>
    </w:div>
    <w:div w:id="2095121998">
      <w:bodyDiv w:val="1"/>
      <w:marLeft w:val="0"/>
      <w:marRight w:val="0"/>
      <w:marTop w:val="0"/>
      <w:marBottom w:val="0"/>
      <w:divBdr>
        <w:top w:val="none" w:sz="0" w:space="0" w:color="auto"/>
        <w:left w:val="none" w:sz="0" w:space="0" w:color="auto"/>
        <w:bottom w:val="none" w:sz="0" w:space="0" w:color="auto"/>
        <w:right w:val="none" w:sz="0" w:space="0" w:color="auto"/>
      </w:divBdr>
    </w:div>
    <w:div w:id="21052959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siicor.corteconstitucional.gov.co/controldeprocesos/file.php?archivo=ED_DEMANDA_27_6_20231.pdf%20NroActua%202-Demanda-1&amp;var=11001031500020230345800-(2024-1-17%2021-20-53)-212053-1.pdf&amp;anio=2024&amp;R=1&amp;expediente=1100103150002023034580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680E3-4B3A-473B-859D-7C2B9E24D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19637</Words>
  <Characters>108005</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Molina Valencia</dc:creator>
  <cp:keywords/>
  <dc:description/>
  <cp:lastModifiedBy>Paulino Jose Solano Camargo</cp:lastModifiedBy>
  <cp:revision>2</cp:revision>
  <cp:lastPrinted>2018-09-18T17:12:00Z</cp:lastPrinted>
  <dcterms:created xsi:type="dcterms:W3CDTF">2025-01-23T20:03:00Z</dcterms:created>
  <dcterms:modified xsi:type="dcterms:W3CDTF">2025-01-23T20:03:00Z</dcterms:modified>
</cp:coreProperties>
</file>