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8E2A9A" w14:textId="36F1BA04" w:rsidR="00CF0EB8" w:rsidRPr="004571E5" w:rsidRDefault="00CF0EB8" w:rsidP="001D459E">
      <w:pPr>
        <w:widowControl w:val="0"/>
        <w:spacing w:after="0" w:line="240" w:lineRule="auto"/>
        <w:ind w:right="51"/>
        <w:jc w:val="center"/>
        <w:outlineLvl w:val="0"/>
        <w:rPr>
          <w:rFonts w:ascii="Times New Roman" w:hAnsi="Times New Roman" w:cs="Times New Roman"/>
          <w:b/>
          <w:sz w:val="28"/>
          <w:szCs w:val="28"/>
          <w:lang w:val="es-ES_tradnl"/>
        </w:rPr>
      </w:pPr>
      <w:r w:rsidRPr="004571E5">
        <w:rPr>
          <w:rFonts w:ascii="Times New Roman" w:hAnsi="Times New Roman" w:cs="Times New Roman"/>
          <w:b/>
          <w:sz w:val="28"/>
          <w:szCs w:val="28"/>
          <w:lang w:val="es-ES_tradnl"/>
        </w:rPr>
        <w:t>REPÚBLICA DE COLOMBIA</w:t>
      </w:r>
    </w:p>
    <w:p w14:paraId="1B0548AA" w14:textId="5E8955FD" w:rsidR="00CF0EB8" w:rsidRPr="004571E5" w:rsidRDefault="001D459E" w:rsidP="001D459E">
      <w:pPr>
        <w:spacing w:after="0" w:line="240" w:lineRule="auto"/>
        <w:ind w:right="51"/>
        <w:jc w:val="center"/>
        <w:rPr>
          <w:rFonts w:ascii="Times New Roman" w:hAnsi="Times New Roman" w:cs="Times New Roman"/>
          <w:noProof/>
          <w:sz w:val="28"/>
          <w:szCs w:val="28"/>
          <w:lang w:val="es-ES_tradnl" w:eastAsia="es-ES_tradnl"/>
        </w:rPr>
      </w:pPr>
      <w:r>
        <w:rPr>
          <w:rFonts w:ascii="Times New Roman" w:hAnsi="Times New Roman" w:cs="Times New Roman"/>
          <w:noProof/>
          <w:sz w:val="28"/>
          <w:szCs w:val="28"/>
          <w:lang w:val="es-ES_tradnl" w:eastAsia="es-ES_tradnl"/>
        </w:rPr>
        <w:drawing>
          <wp:inline distT="0" distB="0" distL="0" distR="0" wp14:anchorId="1D3F8760" wp14:editId="53D99DD8">
            <wp:extent cx="792480" cy="792480"/>
            <wp:effectExtent l="0" t="0" r="7620" b="7620"/>
            <wp:docPr id="15670157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34C158C2" w14:textId="074738EC" w:rsidR="00CF0EB8" w:rsidRPr="004571E5" w:rsidRDefault="00CF0EB8" w:rsidP="001D459E">
      <w:pPr>
        <w:widowControl w:val="0"/>
        <w:spacing w:after="0" w:line="240" w:lineRule="auto"/>
        <w:ind w:right="51"/>
        <w:jc w:val="center"/>
        <w:rPr>
          <w:rFonts w:ascii="Times New Roman" w:hAnsi="Times New Roman" w:cs="Times New Roman"/>
          <w:b/>
          <w:sz w:val="28"/>
          <w:szCs w:val="28"/>
          <w:lang w:val="es-ES_tradnl"/>
        </w:rPr>
      </w:pPr>
      <w:r w:rsidRPr="004571E5">
        <w:rPr>
          <w:rFonts w:ascii="Times New Roman" w:hAnsi="Times New Roman" w:cs="Times New Roman"/>
          <w:b/>
          <w:sz w:val="28"/>
          <w:szCs w:val="28"/>
          <w:lang w:val="es-ES_tradnl"/>
        </w:rPr>
        <w:t>CORTE CONSTITUCIONAL</w:t>
      </w:r>
    </w:p>
    <w:p w14:paraId="525F6730" w14:textId="12F89933" w:rsidR="00F62128" w:rsidRPr="004571E5" w:rsidRDefault="00F62128" w:rsidP="001D459E">
      <w:pPr>
        <w:widowControl w:val="0"/>
        <w:spacing w:after="0" w:line="240" w:lineRule="auto"/>
        <w:ind w:right="51"/>
        <w:jc w:val="center"/>
        <w:rPr>
          <w:rFonts w:ascii="Times New Roman" w:hAnsi="Times New Roman" w:cs="Times New Roman"/>
          <w:b/>
          <w:sz w:val="28"/>
          <w:szCs w:val="28"/>
          <w:lang w:val="es-ES_tradnl"/>
        </w:rPr>
      </w:pPr>
      <w:r w:rsidRPr="004571E5">
        <w:rPr>
          <w:rFonts w:ascii="Times New Roman" w:hAnsi="Times New Roman" w:cs="Times New Roman"/>
          <w:b/>
          <w:sz w:val="28"/>
          <w:szCs w:val="28"/>
          <w:lang w:val="es-ES_tradnl"/>
        </w:rPr>
        <w:t xml:space="preserve">Sala </w:t>
      </w:r>
      <w:r w:rsidR="009D1518" w:rsidRPr="004571E5">
        <w:rPr>
          <w:rFonts w:ascii="Times New Roman" w:hAnsi="Times New Roman" w:cs="Times New Roman"/>
          <w:b/>
          <w:sz w:val="28"/>
          <w:szCs w:val="28"/>
          <w:lang w:val="es-ES_tradnl"/>
        </w:rPr>
        <w:t>Plena</w:t>
      </w:r>
    </w:p>
    <w:p w14:paraId="7876CA63" w14:textId="77777777" w:rsidR="00CF0EB8" w:rsidRPr="004571E5" w:rsidRDefault="00CF0EB8" w:rsidP="00481F2E">
      <w:pPr>
        <w:tabs>
          <w:tab w:val="left" w:pos="708"/>
          <w:tab w:val="center" w:pos="4252"/>
          <w:tab w:val="right" w:pos="8504"/>
        </w:tabs>
        <w:spacing w:after="0" w:line="240" w:lineRule="auto"/>
        <w:rPr>
          <w:rFonts w:ascii="Times New Roman" w:hAnsi="Times New Roman" w:cs="Times New Roman"/>
          <w:b/>
          <w:sz w:val="28"/>
          <w:szCs w:val="28"/>
          <w:lang w:val="es-ES_tradnl"/>
        </w:rPr>
      </w:pPr>
    </w:p>
    <w:p w14:paraId="003F35D9" w14:textId="54CBDE75" w:rsidR="00CF0EB8" w:rsidRPr="004571E5" w:rsidRDefault="00F6388F" w:rsidP="00481F2E">
      <w:pPr>
        <w:keepNext/>
        <w:spacing w:after="0" w:line="240" w:lineRule="auto"/>
        <w:jc w:val="center"/>
        <w:outlineLvl w:val="2"/>
        <w:rPr>
          <w:rFonts w:ascii="Times New Roman" w:hAnsi="Times New Roman" w:cs="Times New Roman"/>
          <w:b/>
          <w:bCs/>
          <w:sz w:val="28"/>
          <w:szCs w:val="28"/>
          <w:lang w:val="es-ES_tradnl"/>
        </w:rPr>
      </w:pPr>
      <w:r w:rsidRPr="004571E5">
        <w:rPr>
          <w:rFonts w:ascii="Times New Roman" w:hAnsi="Times New Roman" w:cs="Times New Roman"/>
          <w:b/>
          <w:bCs/>
          <w:sz w:val="28"/>
          <w:szCs w:val="28"/>
          <w:lang w:val="es-ES_tradnl"/>
        </w:rPr>
        <w:t xml:space="preserve">SENTENCIA </w:t>
      </w:r>
      <w:r w:rsidR="009D1518" w:rsidRPr="004571E5">
        <w:rPr>
          <w:rFonts w:ascii="Times New Roman" w:hAnsi="Times New Roman" w:cs="Times New Roman"/>
          <w:b/>
          <w:bCs/>
          <w:sz w:val="28"/>
          <w:szCs w:val="28"/>
          <w:lang w:val="es-ES_tradnl"/>
        </w:rPr>
        <w:t>SU-</w:t>
      </w:r>
      <w:r w:rsidR="00423E6E" w:rsidRPr="004571E5">
        <w:rPr>
          <w:rFonts w:ascii="Times New Roman" w:hAnsi="Times New Roman" w:cs="Times New Roman"/>
          <w:b/>
          <w:bCs/>
          <w:sz w:val="28"/>
          <w:szCs w:val="28"/>
          <w:lang w:val="es-ES_tradnl"/>
        </w:rPr>
        <w:t>484</w:t>
      </w:r>
      <w:r w:rsidRPr="004571E5">
        <w:rPr>
          <w:rFonts w:ascii="Times New Roman" w:hAnsi="Times New Roman" w:cs="Times New Roman"/>
          <w:b/>
          <w:bCs/>
          <w:sz w:val="28"/>
          <w:szCs w:val="28"/>
          <w:lang w:val="es-ES_tradnl"/>
        </w:rPr>
        <w:t xml:space="preserve"> de 202</w:t>
      </w:r>
      <w:r w:rsidR="00A5420D" w:rsidRPr="004571E5">
        <w:rPr>
          <w:rFonts w:ascii="Times New Roman" w:hAnsi="Times New Roman" w:cs="Times New Roman"/>
          <w:b/>
          <w:bCs/>
          <w:sz w:val="28"/>
          <w:szCs w:val="28"/>
          <w:lang w:val="es-ES_tradnl"/>
        </w:rPr>
        <w:t>4</w:t>
      </w:r>
    </w:p>
    <w:p w14:paraId="14017F4E" w14:textId="77777777" w:rsidR="0061593D" w:rsidRPr="004571E5" w:rsidRDefault="0061593D" w:rsidP="00481F2E">
      <w:pPr>
        <w:keepNext/>
        <w:spacing w:after="0" w:line="240" w:lineRule="auto"/>
        <w:jc w:val="center"/>
        <w:outlineLvl w:val="2"/>
        <w:rPr>
          <w:rFonts w:ascii="Times New Roman" w:hAnsi="Times New Roman" w:cs="Times New Roman"/>
          <w:b/>
          <w:bCs/>
          <w:sz w:val="28"/>
          <w:szCs w:val="28"/>
          <w:lang w:val="es-ES_tradnl"/>
        </w:rPr>
      </w:pPr>
    </w:p>
    <w:p w14:paraId="51A37413" w14:textId="49F6E8C1" w:rsidR="00D06A9B" w:rsidRPr="004571E5" w:rsidRDefault="00395A34" w:rsidP="00481F2E">
      <w:pPr>
        <w:spacing w:after="0" w:line="240" w:lineRule="auto"/>
        <w:ind w:left="3261"/>
        <w:jc w:val="both"/>
        <w:rPr>
          <w:rFonts w:ascii="Times New Roman" w:hAnsi="Times New Roman" w:cs="Times New Roman"/>
          <w:sz w:val="28"/>
          <w:szCs w:val="28"/>
          <w:lang w:val="es-ES_tradnl"/>
        </w:rPr>
      </w:pPr>
      <w:r w:rsidRPr="004571E5">
        <w:rPr>
          <w:rFonts w:ascii="Times New Roman" w:hAnsi="Times New Roman" w:cs="Times New Roman"/>
          <w:b/>
          <w:sz w:val="28"/>
          <w:szCs w:val="28"/>
          <w:lang w:val="es-ES_tradnl"/>
        </w:rPr>
        <w:t>Referencia:</w:t>
      </w:r>
      <w:r w:rsidRPr="004571E5">
        <w:rPr>
          <w:rFonts w:ascii="Times New Roman" w:hAnsi="Times New Roman" w:cs="Times New Roman"/>
          <w:sz w:val="28"/>
          <w:szCs w:val="28"/>
          <w:lang w:val="es-ES_tradnl"/>
        </w:rPr>
        <w:t xml:space="preserve"> </w:t>
      </w:r>
      <w:r w:rsidR="009D1518" w:rsidRPr="004571E5">
        <w:rPr>
          <w:rFonts w:ascii="Times New Roman" w:hAnsi="Times New Roman" w:cs="Times New Roman"/>
          <w:sz w:val="28"/>
          <w:szCs w:val="28"/>
          <w:lang w:val="es-ES"/>
        </w:rPr>
        <w:t xml:space="preserve">expedientes </w:t>
      </w:r>
      <w:r w:rsidR="006B0208" w:rsidRPr="004571E5">
        <w:rPr>
          <w:rFonts w:ascii="Times New Roman" w:hAnsi="Times New Roman" w:cs="Times New Roman"/>
          <w:sz w:val="28"/>
          <w:szCs w:val="28"/>
          <w:lang w:val="es-ES"/>
        </w:rPr>
        <w:t xml:space="preserve">AC </w:t>
      </w:r>
      <w:r w:rsidR="009D1518" w:rsidRPr="004571E5">
        <w:rPr>
          <w:rFonts w:ascii="Times New Roman" w:hAnsi="Times New Roman" w:cs="Times New Roman"/>
          <w:sz w:val="28"/>
          <w:szCs w:val="28"/>
          <w:lang w:val="es-ES"/>
        </w:rPr>
        <w:t>T-9.860.565 y T-10.191.129</w:t>
      </w:r>
    </w:p>
    <w:p w14:paraId="06A8D3F9" w14:textId="77777777" w:rsidR="00D06A9B" w:rsidRPr="004571E5" w:rsidRDefault="00D06A9B" w:rsidP="00481F2E">
      <w:pPr>
        <w:spacing w:after="0" w:line="240" w:lineRule="auto"/>
        <w:ind w:left="3261"/>
        <w:jc w:val="both"/>
        <w:rPr>
          <w:rFonts w:ascii="Times New Roman" w:hAnsi="Times New Roman" w:cs="Times New Roman"/>
          <w:sz w:val="28"/>
          <w:szCs w:val="28"/>
          <w:lang w:val="es-ES_tradnl"/>
        </w:rPr>
      </w:pPr>
    </w:p>
    <w:p w14:paraId="66C2E394" w14:textId="5FCB4DEA" w:rsidR="002D0819" w:rsidRPr="004571E5" w:rsidRDefault="009D1518" w:rsidP="00481F2E">
      <w:pPr>
        <w:spacing w:after="0" w:line="240" w:lineRule="auto"/>
        <w:ind w:left="3261"/>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Acciones de tutela instauradas por </w:t>
      </w:r>
      <w:r w:rsidRPr="004571E5">
        <w:rPr>
          <w:rFonts w:ascii="Times New Roman" w:hAnsi="Times New Roman" w:cs="Times New Roman"/>
          <w:sz w:val="28"/>
          <w:szCs w:val="28"/>
          <w:lang w:val="es-ES"/>
        </w:rPr>
        <w:t>Regina del Consuelo Henao y otros y por Luz Marina Ortega y otros en contra de la Subsección C de la Sección Tercera de</w:t>
      </w:r>
      <w:r w:rsidR="00923FF5" w:rsidRPr="004571E5">
        <w:rPr>
          <w:rFonts w:ascii="Times New Roman" w:hAnsi="Times New Roman" w:cs="Times New Roman"/>
          <w:sz w:val="28"/>
          <w:szCs w:val="28"/>
          <w:lang w:val="es-ES"/>
        </w:rPr>
        <w:t xml:space="preserve"> </w:t>
      </w:r>
      <w:r w:rsidRPr="004571E5">
        <w:rPr>
          <w:rFonts w:ascii="Times New Roman" w:hAnsi="Times New Roman" w:cs="Times New Roman"/>
          <w:sz w:val="28"/>
          <w:szCs w:val="28"/>
          <w:lang w:val="es-ES"/>
        </w:rPr>
        <w:t>l</w:t>
      </w:r>
      <w:r w:rsidR="00923FF5" w:rsidRPr="004571E5">
        <w:rPr>
          <w:rFonts w:ascii="Times New Roman" w:hAnsi="Times New Roman" w:cs="Times New Roman"/>
          <w:sz w:val="28"/>
          <w:szCs w:val="28"/>
          <w:lang w:val="es-ES"/>
        </w:rPr>
        <w:t>a Sala Contencioso Administrativa del</w:t>
      </w:r>
      <w:r w:rsidRPr="004571E5">
        <w:rPr>
          <w:rFonts w:ascii="Times New Roman" w:hAnsi="Times New Roman" w:cs="Times New Roman"/>
          <w:sz w:val="28"/>
          <w:szCs w:val="28"/>
          <w:lang w:val="es-ES"/>
        </w:rPr>
        <w:t xml:space="preserve"> Consejo de Estado</w:t>
      </w:r>
      <w:r w:rsidR="00E65557" w:rsidRPr="004571E5">
        <w:rPr>
          <w:rFonts w:ascii="Times New Roman" w:hAnsi="Times New Roman" w:cs="Times New Roman"/>
          <w:sz w:val="28"/>
          <w:szCs w:val="28"/>
        </w:rPr>
        <w:t>.</w:t>
      </w:r>
    </w:p>
    <w:p w14:paraId="72383F44" w14:textId="119E2D67" w:rsidR="00395A34" w:rsidRPr="004571E5" w:rsidRDefault="00395A34" w:rsidP="00481F2E">
      <w:pPr>
        <w:spacing w:after="0" w:line="240" w:lineRule="auto"/>
        <w:ind w:left="3261"/>
        <w:jc w:val="both"/>
        <w:rPr>
          <w:rFonts w:ascii="Times New Roman" w:hAnsi="Times New Roman" w:cs="Times New Roman"/>
          <w:sz w:val="28"/>
          <w:szCs w:val="28"/>
          <w:lang w:val="es-ES_tradnl"/>
        </w:rPr>
      </w:pPr>
    </w:p>
    <w:p w14:paraId="72DFFA81" w14:textId="6BB85221" w:rsidR="00395A34" w:rsidRPr="004571E5" w:rsidRDefault="00395A34" w:rsidP="00481F2E">
      <w:pPr>
        <w:spacing w:after="0" w:line="240" w:lineRule="auto"/>
        <w:ind w:left="3261"/>
        <w:rPr>
          <w:rFonts w:ascii="Times New Roman" w:hAnsi="Times New Roman" w:cs="Times New Roman"/>
          <w:sz w:val="28"/>
          <w:szCs w:val="28"/>
          <w:lang w:val="es-ES_tradnl"/>
        </w:rPr>
      </w:pPr>
      <w:r w:rsidRPr="004571E5">
        <w:rPr>
          <w:rFonts w:ascii="Times New Roman" w:hAnsi="Times New Roman" w:cs="Times New Roman"/>
          <w:b/>
          <w:sz w:val="28"/>
          <w:szCs w:val="28"/>
          <w:lang w:val="es-ES_tradnl"/>
        </w:rPr>
        <w:t xml:space="preserve">Magistrado </w:t>
      </w:r>
      <w:r w:rsidR="00D15E03" w:rsidRPr="004571E5">
        <w:rPr>
          <w:rFonts w:ascii="Times New Roman" w:hAnsi="Times New Roman" w:cs="Times New Roman"/>
          <w:b/>
          <w:sz w:val="28"/>
          <w:szCs w:val="28"/>
          <w:lang w:val="es-ES_tradnl"/>
        </w:rPr>
        <w:t>ponente</w:t>
      </w:r>
      <w:r w:rsidRPr="004571E5">
        <w:rPr>
          <w:rFonts w:ascii="Times New Roman" w:hAnsi="Times New Roman" w:cs="Times New Roman"/>
          <w:sz w:val="28"/>
          <w:szCs w:val="28"/>
          <w:lang w:val="es-ES_tradnl"/>
        </w:rPr>
        <w:t>:</w:t>
      </w:r>
    </w:p>
    <w:p w14:paraId="159A08CC" w14:textId="77777777" w:rsidR="00395A34" w:rsidRPr="004571E5" w:rsidRDefault="00CF0EB8" w:rsidP="00481F2E">
      <w:pPr>
        <w:spacing w:after="0" w:line="240" w:lineRule="auto"/>
        <w:ind w:left="3261"/>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José Fernando Reyes Cuartas</w:t>
      </w:r>
      <w:r w:rsidR="004A3E27" w:rsidRPr="004571E5">
        <w:rPr>
          <w:rFonts w:ascii="Times New Roman" w:hAnsi="Times New Roman" w:cs="Times New Roman"/>
          <w:sz w:val="28"/>
          <w:szCs w:val="28"/>
          <w:lang w:val="es-ES_tradnl"/>
        </w:rPr>
        <w:t xml:space="preserve"> </w:t>
      </w:r>
    </w:p>
    <w:p w14:paraId="00444080" w14:textId="77777777" w:rsidR="00544FCF" w:rsidRPr="004571E5" w:rsidRDefault="00544FCF" w:rsidP="00481F2E">
      <w:pPr>
        <w:spacing w:after="0" w:line="240" w:lineRule="auto"/>
        <w:rPr>
          <w:rFonts w:ascii="Times New Roman" w:hAnsi="Times New Roman" w:cs="Times New Roman"/>
          <w:sz w:val="28"/>
          <w:szCs w:val="28"/>
          <w:lang w:val="es-ES_tradnl"/>
        </w:rPr>
      </w:pPr>
    </w:p>
    <w:p w14:paraId="0E478A45" w14:textId="378B5C55" w:rsidR="00395A34" w:rsidRPr="004571E5" w:rsidRDefault="00395A34" w:rsidP="00481F2E">
      <w:pPr>
        <w:spacing w:after="0" w:line="240" w:lineRule="auto"/>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Bogotá D.C.</w:t>
      </w:r>
      <w:r w:rsidR="00FB359E" w:rsidRPr="004571E5">
        <w:rPr>
          <w:rFonts w:ascii="Times New Roman" w:hAnsi="Times New Roman" w:cs="Times New Roman"/>
          <w:sz w:val="28"/>
          <w:szCs w:val="28"/>
          <w:lang w:val="es-ES_tradnl"/>
        </w:rPr>
        <w:t>,</w:t>
      </w:r>
      <w:r w:rsidR="009E7B53" w:rsidRPr="004571E5">
        <w:rPr>
          <w:rFonts w:ascii="Times New Roman" w:hAnsi="Times New Roman" w:cs="Times New Roman"/>
          <w:sz w:val="28"/>
          <w:szCs w:val="28"/>
          <w:lang w:val="es-ES_tradnl"/>
        </w:rPr>
        <w:t xml:space="preserve"> </w:t>
      </w:r>
      <w:r w:rsidR="00423E6E" w:rsidRPr="004571E5">
        <w:rPr>
          <w:rFonts w:ascii="Times New Roman" w:hAnsi="Times New Roman" w:cs="Times New Roman"/>
          <w:sz w:val="28"/>
          <w:szCs w:val="28"/>
          <w:lang w:val="es-ES_tradnl"/>
        </w:rPr>
        <w:t>veinte (20) de noviembre</w:t>
      </w:r>
      <w:r w:rsidR="00E5510B" w:rsidRPr="004571E5">
        <w:rPr>
          <w:rFonts w:ascii="Times New Roman" w:hAnsi="Times New Roman" w:cs="Times New Roman"/>
          <w:sz w:val="28"/>
          <w:szCs w:val="28"/>
          <w:lang w:val="es-ES_tradnl"/>
        </w:rPr>
        <w:t xml:space="preserve"> de dos mil </w:t>
      </w:r>
      <w:r w:rsidR="00165A2B" w:rsidRPr="004571E5">
        <w:rPr>
          <w:rFonts w:ascii="Times New Roman" w:hAnsi="Times New Roman" w:cs="Times New Roman"/>
          <w:sz w:val="28"/>
          <w:szCs w:val="28"/>
          <w:lang w:val="es-ES_tradnl"/>
        </w:rPr>
        <w:t>veinti</w:t>
      </w:r>
      <w:r w:rsidR="00AE1EF9" w:rsidRPr="004571E5">
        <w:rPr>
          <w:rFonts w:ascii="Times New Roman" w:hAnsi="Times New Roman" w:cs="Times New Roman"/>
          <w:sz w:val="28"/>
          <w:szCs w:val="28"/>
          <w:lang w:val="es-ES_tradnl"/>
        </w:rPr>
        <w:t>cuatro</w:t>
      </w:r>
      <w:r w:rsidR="00E5510B" w:rsidRPr="004571E5">
        <w:rPr>
          <w:rFonts w:ascii="Times New Roman" w:hAnsi="Times New Roman" w:cs="Times New Roman"/>
          <w:sz w:val="28"/>
          <w:szCs w:val="28"/>
          <w:lang w:val="es-ES_tradnl"/>
        </w:rPr>
        <w:t xml:space="preserve"> (20</w:t>
      </w:r>
      <w:r w:rsidR="006B51F3" w:rsidRPr="004571E5">
        <w:rPr>
          <w:rFonts w:ascii="Times New Roman" w:hAnsi="Times New Roman" w:cs="Times New Roman"/>
          <w:sz w:val="28"/>
          <w:szCs w:val="28"/>
          <w:lang w:val="es-ES_tradnl"/>
        </w:rPr>
        <w:t>2</w:t>
      </w:r>
      <w:r w:rsidR="00AE1EF9" w:rsidRPr="004571E5">
        <w:rPr>
          <w:rFonts w:ascii="Times New Roman" w:hAnsi="Times New Roman" w:cs="Times New Roman"/>
          <w:sz w:val="28"/>
          <w:szCs w:val="28"/>
          <w:lang w:val="es-ES_tradnl"/>
        </w:rPr>
        <w:t>4</w:t>
      </w:r>
      <w:r w:rsidR="00CF0EB8" w:rsidRPr="004571E5">
        <w:rPr>
          <w:rFonts w:ascii="Times New Roman" w:hAnsi="Times New Roman" w:cs="Times New Roman"/>
          <w:sz w:val="28"/>
          <w:szCs w:val="28"/>
          <w:lang w:val="es-ES_tradnl"/>
        </w:rPr>
        <w:t xml:space="preserve">). </w:t>
      </w:r>
    </w:p>
    <w:p w14:paraId="69901EE7" w14:textId="77777777" w:rsidR="00026CAD" w:rsidRPr="004571E5" w:rsidRDefault="00026CAD" w:rsidP="00481F2E">
      <w:pPr>
        <w:spacing w:after="0" w:line="240" w:lineRule="auto"/>
        <w:rPr>
          <w:rFonts w:ascii="Times New Roman" w:hAnsi="Times New Roman" w:cs="Times New Roman"/>
          <w:sz w:val="28"/>
          <w:szCs w:val="28"/>
          <w:lang w:val="es-ES_tradnl"/>
        </w:rPr>
      </w:pPr>
    </w:p>
    <w:p w14:paraId="5957C038" w14:textId="79483C5A" w:rsidR="00D15E03" w:rsidRPr="004571E5" w:rsidRDefault="009D1518" w:rsidP="00481F2E">
      <w:pPr>
        <w:spacing w:after="0" w:line="240" w:lineRule="auto"/>
        <w:jc w:val="both"/>
        <w:rPr>
          <w:rFonts w:ascii="Times New Roman" w:hAnsi="Times New Roman" w:cs="Times New Roman"/>
          <w:snapToGrid w:val="0"/>
          <w:sz w:val="28"/>
          <w:szCs w:val="28"/>
          <w:lang w:val="es-ES_tradnl"/>
        </w:rPr>
      </w:pPr>
      <w:r w:rsidRPr="004571E5">
        <w:rPr>
          <w:rFonts w:ascii="Times New Roman" w:hAnsi="Times New Roman" w:cs="Times New Roman"/>
          <w:snapToGrid w:val="0"/>
          <w:sz w:val="28"/>
          <w:szCs w:val="28"/>
        </w:rPr>
        <w:t>La Sala Plena de la Corte Constitucional, conformada por las magistradas Natalia Ángel Cabo, Diana Fajardo Rivera, Paola Andrea Meneses Mosquera, Cristina Pardo Schlesinger y los magistrados Juan Carlos Cortés González, Jorge Enrique Ibáñez Najar, Vladimir Fernández Andrade, Antonio José Lizarazo Ocampo y José Fernando Reyes Cuartas -quien la preside-, en ejercicio de sus competencias constitucionales y legales, ha proferido la siguiente:</w:t>
      </w:r>
    </w:p>
    <w:p w14:paraId="6EC4EC9F" w14:textId="77777777" w:rsidR="00D15E03" w:rsidRPr="004571E5" w:rsidRDefault="00D15E03" w:rsidP="00481F2E">
      <w:pPr>
        <w:spacing w:after="0" w:line="240" w:lineRule="auto"/>
        <w:jc w:val="both"/>
        <w:rPr>
          <w:rFonts w:ascii="Times New Roman" w:hAnsi="Times New Roman" w:cs="Times New Roman"/>
          <w:snapToGrid w:val="0"/>
          <w:sz w:val="28"/>
          <w:szCs w:val="28"/>
          <w:lang w:val="es-ES_tradnl"/>
        </w:rPr>
      </w:pPr>
    </w:p>
    <w:p w14:paraId="593D1C69" w14:textId="2FBDD101" w:rsidR="00D15E03" w:rsidRPr="004571E5" w:rsidRDefault="00D15E03" w:rsidP="00481F2E">
      <w:pPr>
        <w:spacing w:after="0" w:line="240" w:lineRule="auto"/>
        <w:jc w:val="center"/>
        <w:rPr>
          <w:rFonts w:ascii="Times New Roman" w:hAnsi="Times New Roman" w:cs="Times New Roman"/>
          <w:b/>
          <w:bCs/>
          <w:snapToGrid w:val="0"/>
          <w:sz w:val="28"/>
          <w:szCs w:val="28"/>
          <w:lang w:val="es-ES_tradnl"/>
        </w:rPr>
      </w:pPr>
      <w:r w:rsidRPr="004571E5">
        <w:rPr>
          <w:rFonts w:ascii="Times New Roman" w:hAnsi="Times New Roman" w:cs="Times New Roman"/>
          <w:b/>
          <w:bCs/>
          <w:snapToGrid w:val="0"/>
          <w:sz w:val="28"/>
          <w:szCs w:val="28"/>
          <w:lang w:val="es-ES_tradnl"/>
        </w:rPr>
        <w:t>SENTENCIA</w:t>
      </w:r>
    </w:p>
    <w:p w14:paraId="0D1807CB" w14:textId="77777777" w:rsidR="00E65557" w:rsidRPr="004571E5" w:rsidRDefault="00E65557" w:rsidP="00481F2E">
      <w:pPr>
        <w:spacing w:after="0" w:line="240" w:lineRule="auto"/>
        <w:jc w:val="both"/>
        <w:rPr>
          <w:rFonts w:ascii="Times New Roman" w:hAnsi="Times New Roman" w:cs="Times New Roman"/>
          <w:sz w:val="28"/>
          <w:szCs w:val="28"/>
          <w:lang w:val="es-ES_tradnl"/>
        </w:rPr>
      </w:pPr>
    </w:p>
    <w:p w14:paraId="4CEFDF1D" w14:textId="77777777" w:rsidR="00AC3899" w:rsidRPr="004571E5" w:rsidRDefault="00AC3899" w:rsidP="00481F2E">
      <w:pPr>
        <w:spacing w:after="0" w:line="240" w:lineRule="auto"/>
        <w:jc w:val="both"/>
        <w:rPr>
          <w:rFonts w:ascii="Times New Roman" w:hAnsi="Times New Roman" w:cs="Times New Roman"/>
          <w:b/>
          <w:bCs/>
          <w:sz w:val="28"/>
          <w:szCs w:val="28"/>
          <w:lang w:val="es-ES_tradnl"/>
        </w:rPr>
      </w:pPr>
      <w:r w:rsidRPr="004571E5">
        <w:rPr>
          <w:rFonts w:ascii="Times New Roman" w:hAnsi="Times New Roman" w:cs="Times New Roman"/>
          <w:b/>
          <w:bCs/>
          <w:sz w:val="28"/>
          <w:szCs w:val="28"/>
          <w:lang w:val="es-ES_tradnl"/>
        </w:rPr>
        <w:t>Síntesis de la decisión</w:t>
      </w:r>
    </w:p>
    <w:p w14:paraId="294F2AD0" w14:textId="77777777" w:rsidR="00AC3899" w:rsidRPr="004571E5" w:rsidRDefault="00AC3899" w:rsidP="00481F2E">
      <w:pPr>
        <w:spacing w:after="0" w:line="240" w:lineRule="auto"/>
        <w:jc w:val="both"/>
        <w:rPr>
          <w:rFonts w:ascii="Times New Roman" w:hAnsi="Times New Roman" w:cs="Times New Roman"/>
          <w:b/>
          <w:bCs/>
          <w:sz w:val="28"/>
          <w:szCs w:val="28"/>
          <w:lang w:val="es-ES_tradnl"/>
        </w:rPr>
      </w:pPr>
    </w:p>
    <w:p w14:paraId="19800E26" w14:textId="611B246C" w:rsidR="00AC3899" w:rsidRPr="004571E5" w:rsidRDefault="001D6A8A" w:rsidP="00BD1619">
      <w:pPr>
        <w:spacing w:after="0" w:line="240" w:lineRule="auto"/>
        <w:jc w:val="both"/>
        <w:rPr>
          <w:rFonts w:ascii="Times New Roman" w:hAnsi="Times New Roman" w:cs="Times New Roman"/>
          <w:sz w:val="28"/>
          <w:szCs w:val="28"/>
          <w:lang w:val="es-ES"/>
        </w:rPr>
      </w:pPr>
      <w:r w:rsidRPr="004571E5">
        <w:rPr>
          <w:rFonts w:ascii="Times New Roman" w:hAnsi="Times New Roman" w:cs="Times New Roman"/>
          <w:sz w:val="28"/>
          <w:szCs w:val="28"/>
        </w:rPr>
        <w:t>La Corte conoció de dos acciones de tutela presentadas por los familiares de personas que</w:t>
      </w:r>
      <w:r w:rsidR="00780873" w:rsidRPr="004571E5">
        <w:rPr>
          <w:rFonts w:ascii="Times New Roman" w:hAnsi="Times New Roman" w:cs="Times New Roman"/>
          <w:sz w:val="28"/>
          <w:szCs w:val="28"/>
        </w:rPr>
        <w:t xml:space="preserve"> </w:t>
      </w:r>
      <w:r w:rsidRPr="004571E5">
        <w:rPr>
          <w:rFonts w:ascii="Times New Roman" w:hAnsi="Times New Roman" w:cs="Times New Roman"/>
          <w:sz w:val="28"/>
          <w:szCs w:val="28"/>
        </w:rPr>
        <w:t>murieron a causa de ejecuciones extrajudiciales</w:t>
      </w:r>
      <w:r w:rsidRPr="004571E5">
        <w:rPr>
          <w:rFonts w:ascii="Times New Roman" w:hAnsi="Times New Roman" w:cs="Times New Roman"/>
          <w:sz w:val="28"/>
          <w:szCs w:val="28"/>
          <w:lang w:val="es-ES"/>
        </w:rPr>
        <w:t>. En ambos casos, se alegó que la Subsección C de la Sección Tercera del Consejo de Estado incurrió en un defecto fáctico y desconoció el precedente</w:t>
      </w:r>
      <w:r w:rsidR="00780873" w:rsidRPr="004571E5">
        <w:rPr>
          <w:rFonts w:ascii="Times New Roman" w:hAnsi="Times New Roman" w:cs="Times New Roman"/>
          <w:sz w:val="28"/>
          <w:szCs w:val="28"/>
          <w:lang w:val="es-ES"/>
        </w:rPr>
        <w:t xml:space="preserve"> de la Corte y del Consejo de Estado en la materia</w:t>
      </w:r>
      <w:r w:rsidRPr="004571E5">
        <w:rPr>
          <w:rFonts w:ascii="Times New Roman" w:hAnsi="Times New Roman" w:cs="Times New Roman"/>
          <w:sz w:val="28"/>
          <w:szCs w:val="28"/>
          <w:lang w:val="es-ES"/>
        </w:rPr>
        <w:t xml:space="preserve">, </w:t>
      </w:r>
      <w:r w:rsidRPr="004571E5">
        <w:rPr>
          <w:rFonts w:ascii="Times New Roman" w:hAnsi="Times New Roman" w:cs="Times New Roman"/>
          <w:i/>
          <w:iCs/>
          <w:sz w:val="28"/>
          <w:szCs w:val="28"/>
          <w:lang w:val="es-ES"/>
        </w:rPr>
        <w:t xml:space="preserve">debido a la inaplicación de las reglas sobre </w:t>
      </w:r>
      <w:r w:rsidR="00DF2091" w:rsidRPr="004571E5">
        <w:rPr>
          <w:rFonts w:ascii="Times New Roman" w:hAnsi="Times New Roman" w:cs="Times New Roman"/>
          <w:i/>
          <w:iCs/>
          <w:sz w:val="28"/>
          <w:szCs w:val="28"/>
          <w:lang w:val="es-ES"/>
        </w:rPr>
        <w:t>valoración</w:t>
      </w:r>
      <w:r w:rsidRPr="004571E5">
        <w:rPr>
          <w:rFonts w:ascii="Times New Roman" w:hAnsi="Times New Roman" w:cs="Times New Roman"/>
          <w:i/>
          <w:iCs/>
          <w:sz w:val="28"/>
          <w:szCs w:val="28"/>
          <w:lang w:val="es-ES"/>
        </w:rPr>
        <w:t xml:space="preserve"> probatoria</w:t>
      </w:r>
      <w:r w:rsidRPr="004571E5">
        <w:rPr>
          <w:rFonts w:ascii="Times New Roman" w:hAnsi="Times New Roman" w:cs="Times New Roman"/>
          <w:sz w:val="28"/>
          <w:szCs w:val="28"/>
          <w:lang w:val="es-ES"/>
        </w:rPr>
        <w:t xml:space="preserve"> que la jurisprudencia ha considerado relevantes cuando, en el contexto del proceso de reparación directa, se alega una ejecución extrajudicial. En el primer caso, además, se invocó una infracción del derecho a la igualdad dado que, con base en los mismos hechos, otra autoridad judicial sí reconoció la responsabilidad del Estado. </w:t>
      </w:r>
    </w:p>
    <w:p w14:paraId="273CBE88" w14:textId="77777777" w:rsidR="001D6A8A" w:rsidRPr="004571E5" w:rsidRDefault="001D6A8A" w:rsidP="00BD1619">
      <w:pPr>
        <w:spacing w:after="0" w:line="240" w:lineRule="auto"/>
        <w:jc w:val="both"/>
        <w:rPr>
          <w:rFonts w:ascii="Times New Roman" w:hAnsi="Times New Roman" w:cs="Times New Roman"/>
          <w:sz w:val="28"/>
          <w:szCs w:val="28"/>
          <w:lang w:val="es-ES"/>
        </w:rPr>
      </w:pPr>
    </w:p>
    <w:p w14:paraId="4C3592D4" w14:textId="663A4BAE" w:rsidR="001D6A8A" w:rsidRPr="004571E5" w:rsidRDefault="009466DB" w:rsidP="00BD1619">
      <w:pPr>
        <w:spacing w:after="0" w:line="240" w:lineRule="auto"/>
        <w:jc w:val="both"/>
        <w:rPr>
          <w:rFonts w:ascii="Times New Roman" w:hAnsi="Times New Roman" w:cs="Times New Roman"/>
          <w:sz w:val="28"/>
          <w:szCs w:val="28"/>
          <w:lang w:val="es-ES"/>
        </w:rPr>
      </w:pPr>
      <w:r w:rsidRPr="004571E5">
        <w:rPr>
          <w:rFonts w:ascii="Times New Roman" w:hAnsi="Times New Roman" w:cs="Times New Roman"/>
          <w:sz w:val="28"/>
          <w:szCs w:val="28"/>
          <w:lang w:val="es-ES"/>
        </w:rPr>
        <w:t>Para ambos casos, la Corte se planteó como problema jurídico el siguiente: “¿la Subsección C de la Sección Tercera de la Sala Contencioso Administrativa del Consejo de Estado vulneró los derechos de los demandantes en los procesos de reparación directa debido a (i) la no aplicación del precedente relativo al estándar probatorio aplicable en casos de ejecuciones extrajudiciales y, en consecuencia (</w:t>
      </w:r>
      <w:proofErr w:type="spellStart"/>
      <w:r w:rsidRPr="004571E5">
        <w:rPr>
          <w:rFonts w:ascii="Times New Roman" w:hAnsi="Times New Roman" w:cs="Times New Roman"/>
          <w:sz w:val="28"/>
          <w:szCs w:val="28"/>
          <w:lang w:val="es-ES"/>
        </w:rPr>
        <w:t>ii</w:t>
      </w:r>
      <w:proofErr w:type="spellEnd"/>
      <w:r w:rsidRPr="004571E5">
        <w:rPr>
          <w:rFonts w:ascii="Times New Roman" w:hAnsi="Times New Roman" w:cs="Times New Roman"/>
          <w:sz w:val="28"/>
          <w:szCs w:val="28"/>
          <w:lang w:val="es-ES"/>
        </w:rPr>
        <w:t>) una indebida valoración probatoria?”.</w:t>
      </w:r>
    </w:p>
    <w:p w14:paraId="4A5F8235" w14:textId="6B6FB5A4" w:rsidR="001D6A8A" w:rsidRPr="004571E5" w:rsidRDefault="001D6A8A" w:rsidP="00BD1619">
      <w:pPr>
        <w:spacing w:after="0" w:line="240" w:lineRule="auto"/>
        <w:jc w:val="both"/>
        <w:rPr>
          <w:rFonts w:ascii="Times New Roman" w:hAnsi="Times New Roman" w:cs="Times New Roman"/>
          <w:sz w:val="28"/>
          <w:szCs w:val="28"/>
          <w:lang w:val="es-ES"/>
        </w:rPr>
      </w:pPr>
    </w:p>
    <w:p w14:paraId="68CB7C0E" w14:textId="519D4F55" w:rsidR="001D6A8A" w:rsidRPr="004571E5" w:rsidRDefault="001D6A8A" w:rsidP="00BD1619">
      <w:pPr>
        <w:spacing w:after="0" w:line="240" w:lineRule="auto"/>
        <w:jc w:val="both"/>
        <w:rPr>
          <w:rFonts w:ascii="Times New Roman" w:hAnsi="Times New Roman" w:cs="Times New Roman"/>
          <w:sz w:val="28"/>
          <w:szCs w:val="28"/>
          <w:lang w:val="es-ES"/>
        </w:rPr>
      </w:pPr>
      <w:r w:rsidRPr="004571E5">
        <w:rPr>
          <w:rFonts w:ascii="Times New Roman" w:hAnsi="Times New Roman" w:cs="Times New Roman"/>
          <w:sz w:val="28"/>
          <w:szCs w:val="28"/>
          <w:lang w:val="es-ES"/>
        </w:rPr>
        <w:lastRenderedPageBreak/>
        <w:t>La Sala Plena realizó unas consideraciones generales respecto del defecto fáctico y del desconocimiento del precedente horizontal, vertical y de la Corte Constitucional. Tras ello, realizó el estudio de los casos concretos y encontró, en general, (i) que ambas acciones de tutela cumplían con los requisitos de procedencia y (</w:t>
      </w:r>
      <w:proofErr w:type="spellStart"/>
      <w:r w:rsidRPr="004571E5">
        <w:rPr>
          <w:rFonts w:ascii="Times New Roman" w:hAnsi="Times New Roman" w:cs="Times New Roman"/>
          <w:sz w:val="28"/>
          <w:szCs w:val="28"/>
          <w:lang w:val="es-ES"/>
        </w:rPr>
        <w:t>ii</w:t>
      </w:r>
      <w:proofErr w:type="spellEnd"/>
      <w:r w:rsidRPr="004571E5">
        <w:rPr>
          <w:rFonts w:ascii="Times New Roman" w:hAnsi="Times New Roman" w:cs="Times New Roman"/>
          <w:sz w:val="28"/>
          <w:szCs w:val="28"/>
          <w:lang w:val="es-ES"/>
        </w:rPr>
        <w:t>) que las sentencias invocadas por las partes sí constituían</w:t>
      </w:r>
      <w:r w:rsidR="007E016C" w:rsidRPr="004571E5">
        <w:rPr>
          <w:rFonts w:ascii="Times New Roman" w:hAnsi="Times New Roman" w:cs="Times New Roman"/>
          <w:sz w:val="28"/>
          <w:szCs w:val="28"/>
          <w:lang w:val="es-ES"/>
        </w:rPr>
        <w:t xml:space="preserve"> </w:t>
      </w:r>
      <w:r w:rsidRPr="004571E5">
        <w:rPr>
          <w:rFonts w:ascii="Times New Roman" w:hAnsi="Times New Roman" w:cs="Times New Roman"/>
          <w:sz w:val="28"/>
          <w:szCs w:val="28"/>
          <w:lang w:val="es-ES"/>
        </w:rPr>
        <w:t xml:space="preserve">un precedente aplicable. </w:t>
      </w:r>
    </w:p>
    <w:p w14:paraId="7DC7B710" w14:textId="77777777" w:rsidR="001D6A8A" w:rsidRPr="004571E5" w:rsidRDefault="001D6A8A" w:rsidP="00BD1619">
      <w:pPr>
        <w:spacing w:after="0" w:line="240" w:lineRule="auto"/>
        <w:jc w:val="both"/>
        <w:rPr>
          <w:rFonts w:ascii="Times New Roman" w:hAnsi="Times New Roman" w:cs="Times New Roman"/>
          <w:sz w:val="28"/>
          <w:szCs w:val="28"/>
          <w:lang w:val="es-ES"/>
        </w:rPr>
      </w:pPr>
    </w:p>
    <w:p w14:paraId="73A51FCA" w14:textId="57F00574" w:rsidR="001D6A8A" w:rsidRPr="004571E5" w:rsidRDefault="001D6A8A" w:rsidP="00BD1619">
      <w:pPr>
        <w:spacing w:after="0" w:line="240" w:lineRule="auto"/>
        <w:jc w:val="both"/>
        <w:rPr>
          <w:rFonts w:ascii="Times New Roman" w:hAnsi="Times New Roman" w:cs="Times New Roman"/>
          <w:sz w:val="28"/>
          <w:szCs w:val="28"/>
          <w:lang w:val="es-ES"/>
        </w:rPr>
      </w:pPr>
      <w:r w:rsidRPr="004571E5">
        <w:rPr>
          <w:rFonts w:ascii="Times New Roman" w:hAnsi="Times New Roman" w:cs="Times New Roman"/>
          <w:sz w:val="28"/>
          <w:szCs w:val="28"/>
          <w:lang w:val="es-ES"/>
        </w:rPr>
        <w:t xml:space="preserve">Respecto del primer caso, la Corte encontró que </w:t>
      </w:r>
      <w:r w:rsidR="004D22D7" w:rsidRPr="004571E5">
        <w:rPr>
          <w:rFonts w:ascii="Times New Roman" w:hAnsi="Times New Roman" w:cs="Times New Roman"/>
          <w:sz w:val="28"/>
          <w:szCs w:val="28"/>
          <w:lang w:val="es-ES_tradnl"/>
        </w:rPr>
        <w:t>(i) se desconoció el precedente definido por la Corte Constitucional y (</w:t>
      </w:r>
      <w:proofErr w:type="spellStart"/>
      <w:r w:rsidR="004D22D7" w:rsidRPr="004571E5">
        <w:rPr>
          <w:rFonts w:ascii="Times New Roman" w:hAnsi="Times New Roman" w:cs="Times New Roman"/>
          <w:sz w:val="28"/>
          <w:szCs w:val="28"/>
          <w:lang w:val="es-ES_tradnl"/>
        </w:rPr>
        <w:t>ii</w:t>
      </w:r>
      <w:proofErr w:type="spellEnd"/>
      <w:r w:rsidR="004D22D7" w:rsidRPr="004571E5">
        <w:rPr>
          <w:rFonts w:ascii="Times New Roman" w:hAnsi="Times New Roman" w:cs="Times New Roman"/>
          <w:sz w:val="28"/>
          <w:szCs w:val="28"/>
          <w:lang w:val="es-ES_tradnl"/>
        </w:rPr>
        <w:t>) el precedente horizontal derivado de la jurisprudencia del Consejo de Estado. Esto, por cuanto no se cumplieron las cargas de transparencia y argumentación para apartarse del precedente. Dicho desconocimiento concurrió con (</w:t>
      </w:r>
      <w:proofErr w:type="spellStart"/>
      <w:r w:rsidR="004D22D7" w:rsidRPr="004571E5">
        <w:rPr>
          <w:rFonts w:ascii="Times New Roman" w:hAnsi="Times New Roman" w:cs="Times New Roman"/>
          <w:sz w:val="28"/>
          <w:szCs w:val="28"/>
          <w:lang w:val="es-ES_tradnl"/>
        </w:rPr>
        <w:t>iii</w:t>
      </w:r>
      <w:proofErr w:type="spellEnd"/>
      <w:r w:rsidR="004D22D7" w:rsidRPr="004571E5">
        <w:rPr>
          <w:rFonts w:ascii="Times New Roman" w:hAnsi="Times New Roman" w:cs="Times New Roman"/>
          <w:sz w:val="28"/>
          <w:szCs w:val="28"/>
          <w:lang w:val="es-ES_tradnl"/>
        </w:rPr>
        <w:t xml:space="preserve">) la configuración de un defecto fáctico por indebida valoración probatoria, pues aplicar las reglas </w:t>
      </w:r>
      <w:r w:rsidR="00DF2091" w:rsidRPr="004571E5">
        <w:rPr>
          <w:rFonts w:ascii="Times New Roman" w:hAnsi="Times New Roman" w:cs="Times New Roman"/>
          <w:sz w:val="28"/>
          <w:szCs w:val="28"/>
          <w:lang w:val="es-ES_tradnl"/>
        </w:rPr>
        <w:t>respecto del estándar probatorio</w:t>
      </w:r>
      <w:r w:rsidR="004D22D7" w:rsidRPr="004571E5">
        <w:rPr>
          <w:rFonts w:ascii="Times New Roman" w:hAnsi="Times New Roman" w:cs="Times New Roman"/>
          <w:sz w:val="28"/>
          <w:szCs w:val="28"/>
          <w:lang w:val="es-ES_tradnl"/>
        </w:rPr>
        <w:t xml:space="preserve"> habría arrojado un resultado diferente al momento de valorar los medios de prueba.</w:t>
      </w:r>
    </w:p>
    <w:p w14:paraId="21552336" w14:textId="77777777" w:rsidR="001D6A8A" w:rsidRPr="004571E5" w:rsidRDefault="001D6A8A" w:rsidP="00BD1619">
      <w:pPr>
        <w:spacing w:after="0" w:line="240" w:lineRule="auto"/>
        <w:jc w:val="both"/>
        <w:rPr>
          <w:rFonts w:ascii="Times New Roman" w:hAnsi="Times New Roman" w:cs="Times New Roman"/>
          <w:sz w:val="28"/>
          <w:szCs w:val="28"/>
          <w:lang w:val="es-ES"/>
        </w:rPr>
      </w:pPr>
    </w:p>
    <w:p w14:paraId="3026EE13" w14:textId="1BC5D65C" w:rsidR="001D6A8A" w:rsidRPr="004571E5" w:rsidRDefault="001D6A8A" w:rsidP="00BD1619">
      <w:pPr>
        <w:spacing w:after="0" w:line="240" w:lineRule="auto"/>
        <w:jc w:val="both"/>
        <w:rPr>
          <w:rFonts w:ascii="Times New Roman" w:hAnsi="Times New Roman" w:cs="Times New Roman"/>
          <w:sz w:val="28"/>
          <w:szCs w:val="28"/>
          <w:lang w:val="es-ES"/>
        </w:rPr>
      </w:pPr>
      <w:r w:rsidRPr="004571E5">
        <w:rPr>
          <w:rFonts w:ascii="Times New Roman" w:hAnsi="Times New Roman" w:cs="Times New Roman"/>
          <w:sz w:val="28"/>
          <w:szCs w:val="28"/>
          <w:lang w:val="es-ES"/>
        </w:rPr>
        <w:t xml:space="preserve">Frente al segundo caso, la Sala </w:t>
      </w:r>
      <w:r w:rsidR="0037274D" w:rsidRPr="004571E5">
        <w:rPr>
          <w:rFonts w:ascii="Times New Roman" w:hAnsi="Times New Roman" w:cs="Times New Roman"/>
          <w:sz w:val="28"/>
          <w:szCs w:val="28"/>
          <w:lang w:val="es-ES"/>
        </w:rPr>
        <w:t>P</w:t>
      </w:r>
      <w:r w:rsidRPr="004571E5">
        <w:rPr>
          <w:rFonts w:ascii="Times New Roman" w:hAnsi="Times New Roman" w:cs="Times New Roman"/>
          <w:sz w:val="28"/>
          <w:szCs w:val="28"/>
          <w:lang w:val="es-ES"/>
        </w:rPr>
        <w:t xml:space="preserve">lena halló que </w:t>
      </w:r>
      <w:r w:rsidR="004D22D7" w:rsidRPr="004571E5">
        <w:rPr>
          <w:rFonts w:ascii="Times New Roman" w:hAnsi="Times New Roman" w:cs="Times New Roman"/>
          <w:sz w:val="28"/>
          <w:szCs w:val="28"/>
          <w:lang w:val="es-ES_tradnl"/>
        </w:rPr>
        <w:t>(i) se desconoció el precedente definido por la Corte Constitucional y (</w:t>
      </w:r>
      <w:proofErr w:type="spellStart"/>
      <w:r w:rsidR="004D22D7" w:rsidRPr="004571E5">
        <w:rPr>
          <w:rFonts w:ascii="Times New Roman" w:hAnsi="Times New Roman" w:cs="Times New Roman"/>
          <w:sz w:val="28"/>
          <w:szCs w:val="28"/>
          <w:lang w:val="es-ES_tradnl"/>
        </w:rPr>
        <w:t>ii</w:t>
      </w:r>
      <w:proofErr w:type="spellEnd"/>
      <w:r w:rsidR="004D22D7" w:rsidRPr="004571E5">
        <w:rPr>
          <w:rFonts w:ascii="Times New Roman" w:hAnsi="Times New Roman" w:cs="Times New Roman"/>
          <w:sz w:val="28"/>
          <w:szCs w:val="28"/>
          <w:lang w:val="es-ES_tradnl"/>
        </w:rPr>
        <w:t xml:space="preserve">) el precedente horizontal derivado de la jurisprudencia del Consejo de Estado. Esto ocurrió pues las autoridades judiciales accionadas nunca abordaron el caso como un evento de ejecución </w:t>
      </w:r>
      <w:r w:rsidR="00374237" w:rsidRPr="004571E5">
        <w:rPr>
          <w:rFonts w:ascii="Times New Roman" w:hAnsi="Times New Roman" w:cs="Times New Roman"/>
          <w:sz w:val="28"/>
          <w:szCs w:val="28"/>
          <w:lang w:val="es-ES_tradnl"/>
        </w:rPr>
        <w:t>extra</w:t>
      </w:r>
      <w:r w:rsidR="004D22D7" w:rsidRPr="004571E5">
        <w:rPr>
          <w:rFonts w:ascii="Times New Roman" w:hAnsi="Times New Roman" w:cs="Times New Roman"/>
          <w:sz w:val="28"/>
          <w:szCs w:val="28"/>
          <w:lang w:val="es-ES_tradnl"/>
        </w:rPr>
        <w:t>judicial cuando debió estudiarse bajo esa óptica. Dicho desconocimiento concurrió con (</w:t>
      </w:r>
      <w:proofErr w:type="spellStart"/>
      <w:r w:rsidR="004D22D7" w:rsidRPr="004571E5">
        <w:rPr>
          <w:rFonts w:ascii="Times New Roman" w:hAnsi="Times New Roman" w:cs="Times New Roman"/>
          <w:sz w:val="28"/>
          <w:szCs w:val="28"/>
          <w:lang w:val="es-ES_tradnl"/>
        </w:rPr>
        <w:t>iii</w:t>
      </w:r>
      <w:proofErr w:type="spellEnd"/>
      <w:r w:rsidR="004D22D7" w:rsidRPr="004571E5">
        <w:rPr>
          <w:rFonts w:ascii="Times New Roman" w:hAnsi="Times New Roman" w:cs="Times New Roman"/>
          <w:sz w:val="28"/>
          <w:szCs w:val="28"/>
          <w:lang w:val="es-ES_tradnl"/>
        </w:rPr>
        <w:t>) la configuración de un defecto fáctico por indebida valoración probatoria</w:t>
      </w:r>
      <w:r w:rsidR="004D22D7" w:rsidRPr="004571E5">
        <w:rPr>
          <w:rFonts w:ascii="Times New Roman" w:hAnsi="Times New Roman" w:cs="Times New Roman"/>
          <w:sz w:val="28"/>
          <w:szCs w:val="28"/>
          <w:lang w:val="es-ES"/>
        </w:rPr>
        <w:t xml:space="preserve">, </w:t>
      </w:r>
      <w:r w:rsidR="0037274D" w:rsidRPr="004571E5">
        <w:rPr>
          <w:rFonts w:ascii="Times New Roman" w:hAnsi="Times New Roman" w:cs="Times New Roman"/>
          <w:sz w:val="28"/>
          <w:szCs w:val="28"/>
          <w:lang w:val="es-ES"/>
        </w:rPr>
        <w:t>dado que,</w:t>
      </w:r>
      <w:r w:rsidR="004D22D7" w:rsidRPr="004571E5">
        <w:rPr>
          <w:rFonts w:ascii="Times New Roman" w:hAnsi="Times New Roman" w:cs="Times New Roman"/>
          <w:sz w:val="28"/>
          <w:szCs w:val="28"/>
          <w:lang w:val="es-ES"/>
        </w:rPr>
        <w:t xml:space="preserve"> revisado el material</w:t>
      </w:r>
      <w:r w:rsidR="0037274D" w:rsidRPr="004571E5">
        <w:rPr>
          <w:rFonts w:ascii="Times New Roman" w:hAnsi="Times New Roman" w:cs="Times New Roman"/>
          <w:sz w:val="28"/>
          <w:szCs w:val="28"/>
          <w:lang w:val="es-ES"/>
        </w:rPr>
        <w:t xml:space="preserve"> obrante en el expediente </w:t>
      </w:r>
      <w:r w:rsidR="004D22D7" w:rsidRPr="004571E5">
        <w:rPr>
          <w:rFonts w:ascii="Times New Roman" w:hAnsi="Times New Roman" w:cs="Times New Roman"/>
          <w:sz w:val="28"/>
          <w:szCs w:val="28"/>
          <w:lang w:val="es-ES"/>
        </w:rPr>
        <w:t xml:space="preserve">bajo la perspectiva </w:t>
      </w:r>
      <w:r w:rsidR="00DF2091" w:rsidRPr="004571E5">
        <w:rPr>
          <w:rFonts w:ascii="Times New Roman" w:hAnsi="Times New Roman" w:cs="Times New Roman"/>
          <w:sz w:val="28"/>
          <w:szCs w:val="28"/>
          <w:lang w:val="es-ES"/>
        </w:rPr>
        <w:t>establecida en la jurisprudencia</w:t>
      </w:r>
      <w:r w:rsidR="0037274D" w:rsidRPr="004571E5">
        <w:rPr>
          <w:rFonts w:ascii="Times New Roman" w:hAnsi="Times New Roman" w:cs="Times New Roman"/>
          <w:sz w:val="28"/>
          <w:szCs w:val="28"/>
          <w:lang w:val="es-ES"/>
        </w:rPr>
        <w:t xml:space="preserve">, </w:t>
      </w:r>
      <w:r w:rsidR="004D22D7" w:rsidRPr="004571E5">
        <w:rPr>
          <w:rFonts w:ascii="Times New Roman" w:hAnsi="Times New Roman" w:cs="Times New Roman"/>
          <w:sz w:val="28"/>
          <w:szCs w:val="28"/>
          <w:lang w:val="es-ES"/>
        </w:rPr>
        <w:t>era posible arribar a conclusiones diferentes a las arribadas por el Consejo de Estado.</w:t>
      </w:r>
    </w:p>
    <w:p w14:paraId="12FC4EAE" w14:textId="77777777" w:rsidR="001D6A8A" w:rsidRPr="004571E5" w:rsidRDefault="001D6A8A" w:rsidP="00BD1619">
      <w:pPr>
        <w:spacing w:after="0" w:line="240" w:lineRule="auto"/>
        <w:jc w:val="both"/>
        <w:rPr>
          <w:rFonts w:ascii="Times New Roman" w:hAnsi="Times New Roman" w:cs="Times New Roman"/>
          <w:sz w:val="28"/>
          <w:szCs w:val="28"/>
          <w:lang w:val="es-ES"/>
        </w:rPr>
      </w:pPr>
    </w:p>
    <w:p w14:paraId="37ADEF9A" w14:textId="172E85E0" w:rsidR="001D6A8A" w:rsidRPr="004571E5" w:rsidRDefault="001D6A8A" w:rsidP="00BD1619">
      <w:pPr>
        <w:spacing w:after="0" w:line="240" w:lineRule="auto"/>
        <w:jc w:val="both"/>
        <w:rPr>
          <w:rFonts w:ascii="Times New Roman" w:hAnsi="Times New Roman" w:cs="Times New Roman"/>
          <w:sz w:val="28"/>
          <w:szCs w:val="28"/>
          <w:lang w:val="es-ES"/>
        </w:rPr>
      </w:pPr>
      <w:r w:rsidRPr="004571E5">
        <w:rPr>
          <w:rFonts w:ascii="Times New Roman" w:hAnsi="Times New Roman" w:cs="Times New Roman"/>
          <w:sz w:val="28"/>
          <w:szCs w:val="28"/>
          <w:lang w:val="es-ES"/>
        </w:rPr>
        <w:t>Como consecuencia de lo anterior, se revocaron las sentencias de segunda instancia dentro de los procesos de tutela y se confirmaron los fallos de primera instancia, que en ambos casos habían concedido el amparo y habían ordenado a la autoridad judicial proferir una nueva decisión teniendo en cuenta el precedente en la materia.</w:t>
      </w:r>
    </w:p>
    <w:p w14:paraId="763C1393" w14:textId="77777777" w:rsidR="00AC3899" w:rsidRPr="004571E5" w:rsidRDefault="00AC3899" w:rsidP="00481F2E">
      <w:pPr>
        <w:spacing w:after="0" w:line="240" w:lineRule="auto"/>
        <w:jc w:val="both"/>
        <w:rPr>
          <w:rFonts w:ascii="Times New Roman" w:hAnsi="Times New Roman" w:cs="Times New Roman"/>
          <w:sz w:val="28"/>
          <w:szCs w:val="28"/>
          <w:lang w:val="es-ES_tradnl"/>
        </w:rPr>
      </w:pPr>
    </w:p>
    <w:p w14:paraId="6B1AAD69" w14:textId="77777777" w:rsidR="00B650BF" w:rsidRPr="004571E5" w:rsidRDefault="007055BB" w:rsidP="00481F2E">
      <w:pPr>
        <w:spacing w:after="0" w:line="240" w:lineRule="auto"/>
        <w:jc w:val="both"/>
        <w:rPr>
          <w:rFonts w:ascii="Times New Roman" w:hAnsi="Times New Roman" w:cs="Times New Roman"/>
          <w:b/>
          <w:sz w:val="28"/>
          <w:szCs w:val="28"/>
          <w:lang w:val="es-ES_tradnl"/>
        </w:rPr>
      </w:pPr>
      <w:r w:rsidRPr="004571E5">
        <w:rPr>
          <w:rFonts w:ascii="Times New Roman" w:hAnsi="Times New Roman" w:cs="Times New Roman"/>
          <w:b/>
          <w:sz w:val="28"/>
          <w:szCs w:val="28"/>
          <w:lang w:val="es-ES_tradnl"/>
        </w:rPr>
        <w:t xml:space="preserve">I. ANTECEDENTES </w:t>
      </w:r>
    </w:p>
    <w:p w14:paraId="5F78728E" w14:textId="3ED448B4" w:rsidR="002F48F8" w:rsidRPr="004571E5" w:rsidRDefault="002F48F8" w:rsidP="00481F2E">
      <w:pPr>
        <w:shd w:val="clear" w:color="auto" w:fill="FFFFFF"/>
        <w:spacing w:after="0" w:line="240" w:lineRule="auto"/>
        <w:jc w:val="both"/>
        <w:rPr>
          <w:rFonts w:ascii="Times New Roman" w:hAnsi="Times New Roman" w:cs="Times New Roman"/>
          <w:b/>
          <w:bCs/>
          <w:sz w:val="28"/>
          <w:szCs w:val="28"/>
          <w:lang w:val="es-ES_tradnl"/>
        </w:rPr>
      </w:pPr>
    </w:p>
    <w:p w14:paraId="2C952A8C" w14:textId="2C97FAFF" w:rsidR="009D1518" w:rsidRPr="004571E5" w:rsidRDefault="009D1518" w:rsidP="00481F2E">
      <w:pPr>
        <w:shd w:val="clear" w:color="auto" w:fill="FFFFFF"/>
        <w:spacing w:after="0" w:line="240" w:lineRule="auto"/>
        <w:jc w:val="both"/>
        <w:rPr>
          <w:rFonts w:ascii="Times New Roman" w:hAnsi="Times New Roman" w:cs="Times New Roman"/>
          <w:b/>
          <w:bCs/>
          <w:i/>
          <w:iCs/>
          <w:sz w:val="28"/>
          <w:szCs w:val="28"/>
          <w:lang w:val="es-ES_tradnl"/>
        </w:rPr>
      </w:pPr>
      <w:r w:rsidRPr="004571E5">
        <w:rPr>
          <w:rFonts w:ascii="Times New Roman" w:hAnsi="Times New Roman" w:cs="Times New Roman"/>
          <w:b/>
          <w:bCs/>
          <w:i/>
          <w:iCs/>
          <w:sz w:val="28"/>
          <w:szCs w:val="28"/>
          <w:lang w:val="es-ES_tradnl"/>
        </w:rPr>
        <w:t>Expediente T-9.860.565</w:t>
      </w:r>
      <w:r w:rsidR="00C247D3" w:rsidRPr="004571E5">
        <w:rPr>
          <w:rFonts w:ascii="Times New Roman" w:hAnsi="Times New Roman" w:cs="Times New Roman"/>
          <w:b/>
          <w:bCs/>
          <w:i/>
          <w:iCs/>
          <w:sz w:val="28"/>
          <w:szCs w:val="28"/>
          <w:lang w:val="es-ES_tradnl"/>
        </w:rPr>
        <w:t xml:space="preserve"> (Caso 1)</w:t>
      </w:r>
    </w:p>
    <w:p w14:paraId="72B92651" w14:textId="77777777" w:rsidR="009D1518" w:rsidRPr="004571E5" w:rsidRDefault="009D1518" w:rsidP="00481F2E">
      <w:pPr>
        <w:shd w:val="clear" w:color="auto" w:fill="FFFFFF"/>
        <w:spacing w:after="0" w:line="240" w:lineRule="auto"/>
        <w:jc w:val="both"/>
        <w:rPr>
          <w:rFonts w:ascii="Times New Roman" w:hAnsi="Times New Roman" w:cs="Times New Roman"/>
          <w:b/>
          <w:bCs/>
          <w:sz w:val="28"/>
          <w:szCs w:val="28"/>
          <w:lang w:val="es-ES_tradnl"/>
        </w:rPr>
      </w:pPr>
    </w:p>
    <w:p w14:paraId="31246B6D" w14:textId="77777777" w:rsidR="002D0819" w:rsidRPr="004571E5" w:rsidRDefault="002D0819" w:rsidP="00481F2E">
      <w:pPr>
        <w:suppressAutoHyphens/>
        <w:overflowPunct w:val="0"/>
        <w:autoSpaceDE w:val="0"/>
        <w:autoSpaceDN w:val="0"/>
        <w:adjustRightInd w:val="0"/>
        <w:spacing w:after="0" w:line="240" w:lineRule="auto"/>
        <w:ind w:right="49"/>
        <w:jc w:val="both"/>
        <w:rPr>
          <w:rFonts w:ascii="Times New Roman" w:hAnsi="Times New Roman" w:cs="Times New Roman"/>
          <w:b/>
          <w:sz w:val="28"/>
          <w:szCs w:val="28"/>
          <w:lang w:val="es-ES_tradnl"/>
        </w:rPr>
      </w:pPr>
      <w:r w:rsidRPr="004571E5">
        <w:rPr>
          <w:rFonts w:ascii="Times New Roman" w:hAnsi="Times New Roman" w:cs="Times New Roman"/>
          <w:b/>
          <w:sz w:val="28"/>
          <w:szCs w:val="28"/>
          <w:lang w:val="es-ES_tradnl"/>
        </w:rPr>
        <w:t>Hechos</w:t>
      </w:r>
      <w:r w:rsidRPr="004571E5">
        <w:rPr>
          <w:rStyle w:val="Refdenotaalpie"/>
          <w:rFonts w:ascii="Times New Roman" w:hAnsi="Times New Roman" w:cs="Times New Roman"/>
          <w:b/>
          <w:sz w:val="28"/>
          <w:szCs w:val="28"/>
          <w:lang w:val="es-ES_tradnl"/>
        </w:rPr>
        <w:footnoteReference w:id="2"/>
      </w:r>
      <w:r w:rsidRPr="004571E5">
        <w:rPr>
          <w:rFonts w:ascii="Times New Roman" w:hAnsi="Times New Roman" w:cs="Times New Roman"/>
          <w:b/>
          <w:sz w:val="28"/>
          <w:szCs w:val="28"/>
          <w:lang w:val="es-ES_tradnl"/>
        </w:rPr>
        <w:t xml:space="preserve"> </w:t>
      </w:r>
    </w:p>
    <w:p w14:paraId="5D39F2DD" w14:textId="218FC59C" w:rsidR="002D0819" w:rsidRPr="004571E5" w:rsidRDefault="002D0819" w:rsidP="00481F2E">
      <w:pPr>
        <w:shd w:val="clear" w:color="auto" w:fill="FFFFFF"/>
        <w:spacing w:after="0" w:line="240" w:lineRule="auto"/>
        <w:ind w:right="49"/>
        <w:jc w:val="both"/>
        <w:rPr>
          <w:rFonts w:ascii="Times New Roman" w:hAnsi="Times New Roman" w:cs="Times New Roman"/>
          <w:b/>
          <w:bCs/>
          <w:sz w:val="28"/>
          <w:szCs w:val="28"/>
          <w:lang w:val="es-ES_tradnl"/>
        </w:rPr>
      </w:pPr>
    </w:p>
    <w:p w14:paraId="034BB8F1" w14:textId="6F62E8A8" w:rsidR="009D1518" w:rsidRPr="004571E5" w:rsidRDefault="009D1518" w:rsidP="00481F2E">
      <w:pPr>
        <w:numPr>
          <w:ilvl w:val="0"/>
          <w:numId w:val="1"/>
        </w:numPr>
        <w:suppressAutoHyphens/>
        <w:overflowPunct w:val="0"/>
        <w:autoSpaceDE w:val="0"/>
        <w:autoSpaceDN w:val="0"/>
        <w:adjustRightInd w:val="0"/>
        <w:spacing w:after="0" w:line="240" w:lineRule="auto"/>
        <w:ind w:right="49"/>
        <w:jc w:val="both"/>
        <w:rPr>
          <w:rFonts w:ascii="Times New Roman" w:hAnsi="Times New Roman" w:cs="Times New Roman"/>
          <w:bCs/>
          <w:sz w:val="28"/>
          <w:szCs w:val="28"/>
          <w:lang w:val="es-ES_tradnl"/>
        </w:rPr>
      </w:pPr>
      <w:bookmarkStart w:id="0" w:name="_Hlk106202138"/>
      <w:r w:rsidRPr="004571E5">
        <w:rPr>
          <w:rFonts w:ascii="Times New Roman" w:hAnsi="Times New Roman" w:cs="Times New Roman"/>
          <w:bCs/>
          <w:sz w:val="28"/>
          <w:szCs w:val="28"/>
          <w:lang w:val="es-ES_tradnl"/>
        </w:rPr>
        <w:t xml:space="preserve">El 28 de marzo de 2023, la abogada </w:t>
      </w:r>
      <w:r w:rsidRPr="004571E5">
        <w:rPr>
          <w:rFonts w:ascii="Times New Roman" w:hAnsi="Times New Roman" w:cs="Times New Roman"/>
          <w:bCs/>
          <w:sz w:val="28"/>
          <w:szCs w:val="28"/>
        </w:rPr>
        <w:t>María de los Ángeles García como apoderada de Regina del Consuelo Henao, Alba Luz Yepes Ruíz, Sara González Yepes, Daniela González Yepes y Santiago González Yepes presentó acción de tutela en contra de la Subsección C de la Sección Tercera del Consejo de Estado. Consideró vulnerados los derechos de sus representados al debido proceso, a la igualdad y al acceso a la administración de justicia. Lo anterior, por la decisión tomada en la sentencia del 8 de octubre de 2021 en la que se negaron las pretensiones de una demanda presentada en ejercicio del medio de control de reparación directa.</w:t>
      </w:r>
    </w:p>
    <w:p w14:paraId="0B029FAA" w14:textId="77777777" w:rsidR="009D1518" w:rsidRPr="004571E5" w:rsidRDefault="009D1518" w:rsidP="00481F2E">
      <w:pPr>
        <w:suppressAutoHyphens/>
        <w:overflowPunct w:val="0"/>
        <w:autoSpaceDE w:val="0"/>
        <w:autoSpaceDN w:val="0"/>
        <w:adjustRightInd w:val="0"/>
        <w:spacing w:after="0" w:line="240" w:lineRule="auto"/>
        <w:ind w:right="49"/>
        <w:jc w:val="both"/>
        <w:rPr>
          <w:rFonts w:ascii="Times New Roman" w:hAnsi="Times New Roman" w:cs="Times New Roman"/>
          <w:b/>
          <w:sz w:val="28"/>
          <w:szCs w:val="28"/>
          <w:lang w:val="es-ES_tradnl"/>
        </w:rPr>
      </w:pPr>
    </w:p>
    <w:p w14:paraId="7EB3F361" w14:textId="3A82CCC1" w:rsidR="009D1518" w:rsidRPr="004571E5" w:rsidRDefault="009D1518" w:rsidP="00481F2E">
      <w:pPr>
        <w:suppressAutoHyphens/>
        <w:overflowPunct w:val="0"/>
        <w:autoSpaceDE w:val="0"/>
        <w:autoSpaceDN w:val="0"/>
        <w:adjustRightInd w:val="0"/>
        <w:spacing w:after="0" w:line="240" w:lineRule="auto"/>
        <w:ind w:right="49"/>
        <w:jc w:val="both"/>
        <w:rPr>
          <w:rFonts w:ascii="Times New Roman" w:hAnsi="Times New Roman" w:cs="Times New Roman"/>
          <w:bCs/>
          <w:i/>
          <w:iCs/>
          <w:sz w:val="28"/>
          <w:szCs w:val="28"/>
          <w:u w:val="single"/>
          <w:lang w:val="es-ES_tradnl"/>
        </w:rPr>
      </w:pPr>
      <w:r w:rsidRPr="004571E5">
        <w:rPr>
          <w:rFonts w:ascii="Times New Roman" w:hAnsi="Times New Roman" w:cs="Times New Roman"/>
          <w:bCs/>
          <w:i/>
          <w:iCs/>
          <w:sz w:val="28"/>
          <w:szCs w:val="28"/>
          <w:u w:val="single"/>
          <w:lang w:val="es-ES_tradnl"/>
        </w:rPr>
        <w:t>Hechos</w:t>
      </w:r>
      <w:r w:rsidR="004F2903" w:rsidRPr="004571E5">
        <w:rPr>
          <w:rFonts w:ascii="Times New Roman" w:hAnsi="Times New Roman" w:cs="Times New Roman"/>
          <w:bCs/>
          <w:i/>
          <w:iCs/>
          <w:sz w:val="28"/>
          <w:szCs w:val="28"/>
          <w:u w:val="single"/>
          <w:lang w:val="es-ES_tradnl"/>
        </w:rPr>
        <w:t xml:space="preserve"> relatados en</w:t>
      </w:r>
      <w:r w:rsidRPr="004571E5">
        <w:rPr>
          <w:rFonts w:ascii="Times New Roman" w:hAnsi="Times New Roman" w:cs="Times New Roman"/>
          <w:bCs/>
          <w:i/>
          <w:iCs/>
          <w:sz w:val="28"/>
          <w:szCs w:val="28"/>
          <w:u w:val="single"/>
          <w:lang w:val="es-ES_tradnl"/>
        </w:rPr>
        <w:t xml:space="preserve"> la presentación del medio de control de reparación directa</w:t>
      </w:r>
    </w:p>
    <w:p w14:paraId="588CD108" w14:textId="77777777" w:rsidR="009D1518" w:rsidRPr="004571E5" w:rsidRDefault="009D1518" w:rsidP="00481F2E">
      <w:pPr>
        <w:pStyle w:val="Prrafodelista"/>
        <w:shd w:val="clear" w:color="auto" w:fill="FFFFFF"/>
        <w:spacing w:after="0" w:line="240" w:lineRule="auto"/>
        <w:ind w:left="0" w:right="49"/>
        <w:jc w:val="both"/>
        <w:rPr>
          <w:rFonts w:ascii="Times New Roman" w:hAnsi="Times New Roman" w:cs="Times New Roman"/>
          <w:sz w:val="28"/>
          <w:szCs w:val="28"/>
          <w:lang w:val="es-ES_tradnl"/>
        </w:rPr>
      </w:pPr>
    </w:p>
    <w:p w14:paraId="2D3BF3C1" w14:textId="08835A50" w:rsidR="009D1518" w:rsidRPr="004571E5" w:rsidRDefault="00923FF5" w:rsidP="00481F2E">
      <w:pPr>
        <w:pStyle w:val="Prrafodelista"/>
        <w:numPr>
          <w:ilvl w:val="0"/>
          <w:numId w:val="1"/>
        </w:numPr>
        <w:shd w:val="clear" w:color="auto" w:fill="FFFFFF"/>
        <w:spacing w:after="0" w:line="240" w:lineRule="auto"/>
        <w:ind w:right="49"/>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En el mes de</w:t>
      </w:r>
      <w:r w:rsidR="009D1518" w:rsidRPr="004571E5">
        <w:rPr>
          <w:rFonts w:ascii="Times New Roman" w:hAnsi="Times New Roman" w:cs="Times New Roman"/>
          <w:sz w:val="28"/>
          <w:szCs w:val="28"/>
          <w:lang w:val="es-ES_tradnl"/>
        </w:rPr>
        <w:t xml:space="preserve"> marzo de 2006 los jóvenes Juan David </w:t>
      </w:r>
      <w:r w:rsidR="0037274D" w:rsidRPr="004571E5">
        <w:rPr>
          <w:rFonts w:ascii="Times New Roman" w:hAnsi="Times New Roman" w:cs="Times New Roman"/>
          <w:sz w:val="28"/>
          <w:szCs w:val="28"/>
          <w:lang w:val="es-ES_tradnl"/>
        </w:rPr>
        <w:t>González</w:t>
      </w:r>
      <w:r w:rsidR="009D1518" w:rsidRPr="004571E5">
        <w:rPr>
          <w:rFonts w:ascii="Times New Roman" w:hAnsi="Times New Roman" w:cs="Times New Roman"/>
          <w:sz w:val="28"/>
          <w:szCs w:val="28"/>
          <w:lang w:val="es-ES_tradnl"/>
        </w:rPr>
        <w:t xml:space="preserve"> Henao, Juan David Urán López, Juan Pablo Carmona Zuluaga y </w:t>
      </w:r>
      <w:proofErr w:type="spellStart"/>
      <w:r w:rsidR="009D1518" w:rsidRPr="004571E5">
        <w:rPr>
          <w:rFonts w:ascii="Times New Roman" w:hAnsi="Times New Roman" w:cs="Times New Roman"/>
          <w:sz w:val="28"/>
          <w:szCs w:val="28"/>
          <w:lang w:val="es-ES_tradnl"/>
        </w:rPr>
        <w:t>Wisner</w:t>
      </w:r>
      <w:proofErr w:type="spellEnd"/>
      <w:r w:rsidR="009D1518" w:rsidRPr="004571E5">
        <w:rPr>
          <w:rFonts w:ascii="Times New Roman" w:hAnsi="Times New Roman" w:cs="Times New Roman"/>
          <w:sz w:val="28"/>
          <w:szCs w:val="28"/>
          <w:lang w:val="es-ES_tradnl"/>
        </w:rPr>
        <w:t xml:space="preserve"> Adolfo Corrales fueron vistos por última vez a las 21:30 horas en la cuadra donde residían en el barrio Buenos Aires de la ciudad de Medellín.</w:t>
      </w:r>
    </w:p>
    <w:p w14:paraId="7002F067" w14:textId="77777777" w:rsidR="009D1518" w:rsidRPr="004571E5" w:rsidRDefault="009D1518" w:rsidP="00481F2E">
      <w:pPr>
        <w:pStyle w:val="Prrafodelista"/>
        <w:shd w:val="clear" w:color="auto" w:fill="FFFFFF"/>
        <w:spacing w:after="0" w:line="240" w:lineRule="auto"/>
        <w:ind w:left="0" w:right="49"/>
        <w:jc w:val="both"/>
        <w:rPr>
          <w:rFonts w:ascii="Times New Roman" w:hAnsi="Times New Roman" w:cs="Times New Roman"/>
          <w:sz w:val="28"/>
          <w:szCs w:val="28"/>
          <w:lang w:val="es-ES_tradnl"/>
        </w:rPr>
      </w:pPr>
    </w:p>
    <w:p w14:paraId="3BCD8F96" w14:textId="77777777" w:rsidR="009D1518" w:rsidRPr="004571E5" w:rsidRDefault="009D1518" w:rsidP="00481F2E">
      <w:pPr>
        <w:pStyle w:val="Prrafodelista"/>
        <w:numPr>
          <w:ilvl w:val="0"/>
          <w:numId w:val="1"/>
        </w:numPr>
        <w:shd w:val="clear" w:color="auto" w:fill="FFFFFF"/>
        <w:spacing w:after="0" w:line="240" w:lineRule="auto"/>
        <w:ind w:right="49"/>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El 16 de marzo de 2006 los cuatro hombres fueron dados de baja por el Ejército Nacional. Lo anterior, en el marco de la Misión Táctica Madrid – Operación Soberanía en la vereda Portezuela del municipio de Santa Rosa de Osos, Antioquia. De acuerdo con el Ejército, los cuatro participaban en una banda de extorsión. </w:t>
      </w:r>
    </w:p>
    <w:p w14:paraId="580A442F" w14:textId="77777777" w:rsidR="009D1518" w:rsidRPr="004571E5" w:rsidRDefault="009D1518" w:rsidP="00481F2E">
      <w:pPr>
        <w:pStyle w:val="Prrafodelista"/>
        <w:shd w:val="clear" w:color="auto" w:fill="FFFFFF"/>
        <w:spacing w:after="0" w:line="240" w:lineRule="auto"/>
        <w:ind w:left="0" w:right="49"/>
        <w:jc w:val="both"/>
        <w:rPr>
          <w:rFonts w:ascii="Times New Roman" w:hAnsi="Times New Roman" w:cs="Times New Roman"/>
          <w:sz w:val="28"/>
          <w:szCs w:val="28"/>
          <w:lang w:val="es-ES_tradnl"/>
        </w:rPr>
      </w:pPr>
    </w:p>
    <w:p w14:paraId="566DF034" w14:textId="7BA684CC" w:rsidR="009D1518" w:rsidRPr="004571E5" w:rsidRDefault="009D1518" w:rsidP="00F53681">
      <w:pPr>
        <w:pStyle w:val="Prrafodelista"/>
        <w:numPr>
          <w:ilvl w:val="0"/>
          <w:numId w:val="1"/>
        </w:numPr>
        <w:shd w:val="clear" w:color="auto" w:fill="FFFFFF"/>
        <w:spacing w:after="0" w:line="240" w:lineRule="auto"/>
        <w:ind w:right="49"/>
        <w:jc w:val="both"/>
        <w:rPr>
          <w:rFonts w:ascii="Times New Roman" w:hAnsi="Times New Roman" w:cs="Times New Roman"/>
          <w:sz w:val="28"/>
          <w:szCs w:val="28"/>
        </w:rPr>
      </w:pPr>
      <w:r w:rsidRPr="004571E5">
        <w:rPr>
          <w:rFonts w:ascii="Times New Roman" w:hAnsi="Times New Roman" w:cs="Times New Roman"/>
          <w:sz w:val="28"/>
          <w:szCs w:val="28"/>
          <w:lang w:val="es-ES_tradnl"/>
        </w:rPr>
        <w:t>La apoderada de los accionantes indicó</w:t>
      </w:r>
      <w:r w:rsidR="004F2903" w:rsidRPr="004571E5">
        <w:rPr>
          <w:rFonts w:ascii="Times New Roman" w:hAnsi="Times New Roman" w:cs="Times New Roman"/>
          <w:sz w:val="28"/>
          <w:szCs w:val="28"/>
          <w:lang w:val="es-ES_tradnl"/>
        </w:rPr>
        <w:t>, de una parte,</w:t>
      </w:r>
      <w:r w:rsidRPr="004571E5">
        <w:rPr>
          <w:rFonts w:ascii="Times New Roman" w:hAnsi="Times New Roman" w:cs="Times New Roman"/>
          <w:sz w:val="28"/>
          <w:szCs w:val="28"/>
          <w:lang w:val="es-ES_tradnl"/>
        </w:rPr>
        <w:t xml:space="preserve"> que los jóvenes “tenían ocupaciones en sus casas y/o cerca de ellas, nunca dejaban de dormir en las mismas”</w:t>
      </w:r>
      <w:r w:rsidRPr="004571E5">
        <w:rPr>
          <w:rStyle w:val="Refdenotaalpie"/>
          <w:rFonts w:ascii="Times New Roman" w:hAnsi="Times New Roman" w:cs="Times New Roman"/>
          <w:sz w:val="28"/>
          <w:szCs w:val="28"/>
          <w:lang w:val="es-ES_tradnl"/>
        </w:rPr>
        <w:footnoteReference w:id="3"/>
      </w:r>
      <w:r w:rsidRPr="004571E5">
        <w:rPr>
          <w:rFonts w:ascii="Times New Roman" w:hAnsi="Times New Roman" w:cs="Times New Roman"/>
          <w:sz w:val="28"/>
          <w:szCs w:val="28"/>
          <w:lang w:val="es-ES_tradnl"/>
        </w:rPr>
        <w:t xml:space="preserve"> y</w:t>
      </w:r>
      <w:r w:rsidR="004F2903" w:rsidRPr="004571E5">
        <w:rPr>
          <w:rFonts w:ascii="Times New Roman" w:hAnsi="Times New Roman" w:cs="Times New Roman"/>
          <w:sz w:val="28"/>
          <w:szCs w:val="28"/>
          <w:lang w:val="es-ES_tradnl"/>
        </w:rPr>
        <w:t>, de otra,</w:t>
      </w:r>
      <w:r w:rsidRPr="004571E5">
        <w:rPr>
          <w:rFonts w:ascii="Times New Roman" w:hAnsi="Times New Roman" w:cs="Times New Roman"/>
          <w:sz w:val="28"/>
          <w:szCs w:val="28"/>
          <w:lang w:val="es-ES_tradnl"/>
        </w:rPr>
        <w:t xml:space="preserve"> que de Medellín hasta Santa Rosa de Osos el traslado es de dos horas y media</w:t>
      </w:r>
      <w:r w:rsidR="00923FF5" w:rsidRPr="004571E5">
        <w:rPr>
          <w:rFonts w:ascii="Times New Roman" w:hAnsi="Times New Roman" w:cs="Times New Roman"/>
          <w:sz w:val="28"/>
          <w:szCs w:val="28"/>
          <w:lang w:val="es-ES_tradnl"/>
        </w:rPr>
        <w:t>,</w:t>
      </w:r>
      <w:r w:rsidRPr="004571E5">
        <w:rPr>
          <w:rFonts w:ascii="Times New Roman" w:hAnsi="Times New Roman" w:cs="Times New Roman"/>
          <w:sz w:val="28"/>
          <w:szCs w:val="28"/>
          <w:lang w:val="es-ES_tradnl"/>
        </w:rPr>
        <w:t xml:space="preserve"> por lo que surgen dudas sobre </w:t>
      </w:r>
      <w:r w:rsidR="00400146" w:rsidRPr="004571E5">
        <w:rPr>
          <w:rFonts w:ascii="Times New Roman" w:hAnsi="Times New Roman" w:cs="Times New Roman"/>
          <w:sz w:val="28"/>
          <w:szCs w:val="28"/>
          <w:lang w:val="es-ES_tradnl"/>
        </w:rPr>
        <w:t>su participación en hechos delictivos en un municipio tan lejano</w:t>
      </w:r>
      <w:r w:rsidRPr="004571E5">
        <w:rPr>
          <w:rFonts w:ascii="Times New Roman" w:hAnsi="Times New Roman" w:cs="Times New Roman"/>
          <w:sz w:val="28"/>
          <w:szCs w:val="28"/>
          <w:lang w:val="es-ES_tradnl"/>
        </w:rPr>
        <w:t>. Adicionalmente, la abogada afirmó que los jóvenes fueron encontrados con prendas que no se les conocían y que “</w:t>
      </w:r>
      <w:r w:rsidRPr="004571E5">
        <w:rPr>
          <w:rFonts w:ascii="Times New Roman" w:hAnsi="Times New Roman" w:cs="Times New Roman"/>
          <w:sz w:val="28"/>
          <w:szCs w:val="28"/>
        </w:rPr>
        <w:t>la Juez Penal Militar ordenó incinerar las mismas”</w:t>
      </w:r>
      <w:r w:rsidRPr="004571E5">
        <w:rPr>
          <w:rStyle w:val="Refdenotaalpie"/>
          <w:rFonts w:ascii="Times New Roman" w:hAnsi="Times New Roman" w:cs="Times New Roman"/>
          <w:sz w:val="28"/>
          <w:szCs w:val="28"/>
        </w:rPr>
        <w:footnoteReference w:id="4"/>
      </w:r>
      <w:r w:rsidRPr="004571E5">
        <w:rPr>
          <w:rFonts w:ascii="Times New Roman" w:hAnsi="Times New Roman" w:cs="Times New Roman"/>
          <w:sz w:val="28"/>
          <w:szCs w:val="28"/>
        </w:rPr>
        <w:t>.</w:t>
      </w:r>
      <w:r w:rsidR="00F53681" w:rsidRPr="004571E5">
        <w:rPr>
          <w:rFonts w:ascii="Times New Roman" w:hAnsi="Times New Roman" w:cs="Times New Roman"/>
          <w:sz w:val="28"/>
          <w:szCs w:val="28"/>
        </w:rPr>
        <w:t xml:space="preserve"> En el mismo sentido, señaló que “era imposible que se desplazaran esa noche hasta el lugar de ocurrencia de los hechos, debido a la distancia, la hora y las condiciones de salud de algunos de ellos que les impedía tomar autobuses”. Sin embargo, no se refirieron circunstancias de salud específicas.</w:t>
      </w:r>
    </w:p>
    <w:p w14:paraId="0A9E8F32" w14:textId="77777777" w:rsidR="00923FF5" w:rsidRPr="004571E5" w:rsidRDefault="00923FF5" w:rsidP="00923FF5">
      <w:pPr>
        <w:pStyle w:val="Prrafodelista"/>
        <w:shd w:val="clear" w:color="auto" w:fill="FFFFFF"/>
        <w:spacing w:after="0" w:line="240" w:lineRule="auto"/>
        <w:ind w:left="0" w:right="49"/>
        <w:jc w:val="both"/>
        <w:rPr>
          <w:rFonts w:ascii="Times New Roman" w:hAnsi="Times New Roman" w:cs="Times New Roman"/>
          <w:sz w:val="28"/>
          <w:szCs w:val="28"/>
          <w:lang w:val="es-ES_tradnl"/>
        </w:rPr>
      </w:pPr>
    </w:p>
    <w:p w14:paraId="52A4DFBE" w14:textId="77777777" w:rsidR="009D1518" w:rsidRPr="004571E5" w:rsidRDefault="009D1518" w:rsidP="00481F2E">
      <w:pPr>
        <w:spacing w:line="240" w:lineRule="auto"/>
        <w:rPr>
          <w:rFonts w:ascii="Times New Roman" w:hAnsi="Times New Roman" w:cs="Times New Roman"/>
          <w:i/>
          <w:iCs/>
          <w:sz w:val="28"/>
          <w:szCs w:val="28"/>
          <w:u w:val="single"/>
          <w:lang w:val="es-ES_tradnl"/>
        </w:rPr>
      </w:pPr>
      <w:r w:rsidRPr="004571E5">
        <w:rPr>
          <w:rFonts w:ascii="Times New Roman" w:hAnsi="Times New Roman" w:cs="Times New Roman"/>
          <w:i/>
          <w:iCs/>
          <w:sz w:val="28"/>
          <w:szCs w:val="28"/>
          <w:u w:val="single"/>
          <w:lang w:val="es-ES_tradnl"/>
        </w:rPr>
        <w:t>El proceso de reparación directa</w:t>
      </w:r>
    </w:p>
    <w:p w14:paraId="1A286899" w14:textId="40846B32" w:rsidR="009D1518" w:rsidRPr="004571E5" w:rsidRDefault="009D1518" w:rsidP="00481F2E">
      <w:pPr>
        <w:pStyle w:val="Prrafodelista"/>
        <w:numPr>
          <w:ilvl w:val="0"/>
          <w:numId w:val="1"/>
        </w:numPr>
        <w:shd w:val="clear" w:color="auto" w:fill="FFFFFF"/>
        <w:spacing w:after="0" w:line="240" w:lineRule="auto"/>
        <w:ind w:right="49"/>
        <w:jc w:val="both"/>
        <w:rPr>
          <w:rFonts w:ascii="Times New Roman" w:hAnsi="Times New Roman" w:cs="Times New Roman"/>
          <w:sz w:val="28"/>
          <w:szCs w:val="28"/>
          <w:lang w:val="es-ES_tradnl"/>
        </w:rPr>
      </w:pPr>
      <w:r w:rsidRPr="004571E5">
        <w:rPr>
          <w:rFonts w:ascii="Times New Roman" w:hAnsi="Times New Roman" w:cs="Times New Roman"/>
          <w:bCs/>
          <w:sz w:val="28"/>
          <w:szCs w:val="28"/>
          <w:lang w:eastAsia="es-CO"/>
        </w:rPr>
        <w:t xml:space="preserve">El 25 de marzo de 2008, los actores promovieron medio de control de reparación directa </w:t>
      </w:r>
      <w:r w:rsidRPr="004571E5">
        <w:rPr>
          <w:rFonts w:ascii="Times New Roman" w:hAnsi="Times New Roman" w:cs="Times New Roman"/>
          <w:bCs/>
          <w:sz w:val="28"/>
          <w:szCs w:val="28"/>
        </w:rPr>
        <w:t>en contra de la Nación-Ministerio de Defensa-Ejército Nacional. Alegaron que existían pruebas de que</w:t>
      </w:r>
      <w:r w:rsidRPr="004571E5">
        <w:rPr>
          <w:rFonts w:ascii="Times New Roman" w:hAnsi="Times New Roman" w:cs="Times New Roman"/>
          <w:bCs/>
          <w:sz w:val="28"/>
          <w:szCs w:val="28"/>
          <w:lang w:val="es-MX"/>
        </w:rPr>
        <w:t xml:space="preserve"> Juan David González Henao no manejaba armas, no podía ir a otros municipios por su salud, sus heridas tenían tatuaje -lo que solo se produce cuando el disparo se efectúa de cerca- y la prueba de residuos de disparo en su</w:t>
      </w:r>
      <w:r w:rsidR="00CC3807" w:rsidRPr="004571E5">
        <w:rPr>
          <w:rFonts w:ascii="Times New Roman" w:hAnsi="Times New Roman" w:cs="Times New Roman"/>
          <w:bCs/>
          <w:sz w:val="28"/>
          <w:szCs w:val="28"/>
          <w:lang w:val="es-MX"/>
        </w:rPr>
        <w:t>s</w:t>
      </w:r>
      <w:r w:rsidRPr="004571E5">
        <w:rPr>
          <w:rFonts w:ascii="Times New Roman" w:hAnsi="Times New Roman" w:cs="Times New Roman"/>
          <w:bCs/>
          <w:sz w:val="28"/>
          <w:szCs w:val="28"/>
          <w:lang w:val="es-MX"/>
        </w:rPr>
        <w:t xml:space="preserve"> manos fue negativa.</w:t>
      </w:r>
    </w:p>
    <w:p w14:paraId="1B4170A1" w14:textId="77777777" w:rsidR="009D1518" w:rsidRPr="004571E5" w:rsidRDefault="009D1518" w:rsidP="00481F2E">
      <w:pPr>
        <w:pStyle w:val="Prrafodelista"/>
        <w:shd w:val="clear" w:color="auto" w:fill="FFFFFF"/>
        <w:spacing w:after="0" w:line="240" w:lineRule="auto"/>
        <w:ind w:left="0" w:right="49"/>
        <w:jc w:val="both"/>
        <w:rPr>
          <w:rFonts w:ascii="Times New Roman" w:hAnsi="Times New Roman" w:cs="Times New Roman"/>
          <w:sz w:val="28"/>
          <w:szCs w:val="28"/>
          <w:lang w:val="es-ES_tradnl"/>
        </w:rPr>
      </w:pPr>
    </w:p>
    <w:p w14:paraId="1100A560" w14:textId="548E832C" w:rsidR="009D1518" w:rsidRPr="004571E5" w:rsidRDefault="009D1518" w:rsidP="00CC3807">
      <w:pPr>
        <w:pStyle w:val="Prrafodelista"/>
        <w:numPr>
          <w:ilvl w:val="0"/>
          <w:numId w:val="1"/>
        </w:numPr>
        <w:shd w:val="clear" w:color="auto" w:fill="FFFFFF"/>
        <w:spacing w:after="0" w:line="240" w:lineRule="auto"/>
        <w:ind w:right="49"/>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El conocimiento del proceso fue asignado al Tribunal Administrativo de Antioquia y le correspondió el número de </w:t>
      </w:r>
      <w:r w:rsidRPr="004571E5">
        <w:rPr>
          <w:rFonts w:ascii="Times New Roman" w:hAnsi="Times New Roman" w:cs="Times New Roman"/>
          <w:bCs/>
          <w:sz w:val="28"/>
          <w:szCs w:val="28"/>
          <w:lang w:val="es-ES_tradnl"/>
        </w:rPr>
        <w:t xml:space="preserve">radicado </w:t>
      </w:r>
      <w:r w:rsidRPr="004571E5">
        <w:rPr>
          <w:rFonts w:ascii="Times New Roman" w:hAnsi="Times New Roman" w:cs="Times New Roman"/>
          <w:bCs/>
          <w:sz w:val="28"/>
          <w:szCs w:val="28"/>
        </w:rPr>
        <w:t>05001-23-31-000-2008-00437-01.</w:t>
      </w:r>
      <w:r w:rsidR="00CC3807" w:rsidRPr="004571E5">
        <w:rPr>
          <w:rFonts w:ascii="Times New Roman" w:hAnsi="Times New Roman" w:cs="Times New Roman"/>
          <w:sz w:val="28"/>
          <w:szCs w:val="28"/>
        </w:rPr>
        <w:t xml:space="preserve"> </w:t>
      </w:r>
      <w:r w:rsidRPr="004571E5">
        <w:rPr>
          <w:rFonts w:ascii="Times New Roman" w:hAnsi="Times New Roman" w:cs="Times New Roman"/>
          <w:sz w:val="28"/>
          <w:szCs w:val="28"/>
          <w:lang w:eastAsia="es-CO"/>
        </w:rPr>
        <w:t xml:space="preserve">Mediante sentencia del 29 de abril de 2013, el Tribunal Administrativo de Antioquia </w:t>
      </w:r>
      <w:r w:rsidRPr="004571E5">
        <w:rPr>
          <w:rFonts w:ascii="Times New Roman" w:hAnsi="Times New Roman" w:cs="Times New Roman"/>
          <w:i/>
          <w:iCs/>
          <w:sz w:val="28"/>
          <w:szCs w:val="28"/>
          <w:lang w:eastAsia="es-CO"/>
        </w:rPr>
        <w:t xml:space="preserve">accedió a las pretensiones porque se acreditó una falla en el servicio, </w:t>
      </w:r>
      <w:r w:rsidRPr="004571E5">
        <w:rPr>
          <w:rFonts w:ascii="Times New Roman" w:hAnsi="Times New Roman" w:cs="Times New Roman"/>
          <w:sz w:val="28"/>
          <w:szCs w:val="28"/>
          <w:lang w:eastAsia="es-CO"/>
        </w:rPr>
        <w:t xml:space="preserve">pues la muerte de Juan David González Henao fue consecuencia de un exceso de la fuerza pública. Consideró que estaba probado que miembros del Ejército, en servicio y con armas de dotación oficial, causaron la muerte de Juan David González. Estimó que, a pesar de que existió el operativo militar y que estaba acreditado que una de las víctimas disparó contra miembros del Gaula del Ejército Nacional, </w:t>
      </w:r>
      <w:r w:rsidRPr="004571E5">
        <w:rPr>
          <w:rFonts w:ascii="Times New Roman" w:hAnsi="Times New Roman" w:cs="Times New Roman"/>
          <w:i/>
          <w:iCs/>
          <w:sz w:val="28"/>
          <w:szCs w:val="28"/>
          <w:lang w:eastAsia="es-CO"/>
        </w:rPr>
        <w:t>la respuesta a ese ataque fue desproporcionada</w:t>
      </w:r>
      <w:r w:rsidRPr="004571E5">
        <w:rPr>
          <w:rFonts w:ascii="Times New Roman" w:hAnsi="Times New Roman" w:cs="Times New Roman"/>
          <w:sz w:val="28"/>
          <w:szCs w:val="28"/>
          <w:lang w:eastAsia="es-CO"/>
        </w:rPr>
        <w:t>.</w:t>
      </w:r>
    </w:p>
    <w:p w14:paraId="60D51536" w14:textId="77777777" w:rsidR="009D1518" w:rsidRPr="004571E5" w:rsidRDefault="009D1518" w:rsidP="00481F2E">
      <w:pPr>
        <w:pStyle w:val="Prrafodelista"/>
        <w:shd w:val="clear" w:color="auto" w:fill="FFFFFF"/>
        <w:spacing w:after="0" w:line="240" w:lineRule="auto"/>
        <w:ind w:left="0" w:right="49"/>
        <w:jc w:val="both"/>
        <w:rPr>
          <w:rFonts w:ascii="Times New Roman" w:hAnsi="Times New Roman" w:cs="Times New Roman"/>
          <w:sz w:val="28"/>
          <w:szCs w:val="28"/>
          <w:lang w:val="es-ES_tradnl"/>
        </w:rPr>
      </w:pPr>
    </w:p>
    <w:p w14:paraId="699BA171" w14:textId="77777777" w:rsidR="009D1518" w:rsidRPr="004571E5" w:rsidRDefault="009D1518" w:rsidP="00481F2E">
      <w:pPr>
        <w:pStyle w:val="Prrafodelista"/>
        <w:numPr>
          <w:ilvl w:val="0"/>
          <w:numId w:val="1"/>
        </w:numPr>
        <w:spacing w:after="0" w:line="240" w:lineRule="auto"/>
        <w:contextualSpacing w:val="0"/>
        <w:jc w:val="both"/>
        <w:rPr>
          <w:rFonts w:ascii="Times New Roman" w:hAnsi="Times New Roman" w:cs="Times New Roman"/>
          <w:sz w:val="28"/>
          <w:szCs w:val="28"/>
          <w:lang w:eastAsia="es-CO"/>
        </w:rPr>
      </w:pPr>
      <w:r w:rsidRPr="004571E5">
        <w:rPr>
          <w:rFonts w:ascii="Times New Roman" w:hAnsi="Times New Roman" w:cs="Times New Roman"/>
          <w:sz w:val="28"/>
          <w:szCs w:val="28"/>
          <w:lang w:eastAsia="es-CO"/>
        </w:rPr>
        <w:t xml:space="preserve">El Ejército Nacional interpuso recurso de apelación contra dicha decisión. Afirmó que se demostró la existencia de una misión con planeación, metodología, lugar de patrullaje y objetivo concreto, para detener la extorsión y el secuestro en el municipio de Santa Rosa de Osos. Sostuvo que estaba </w:t>
      </w:r>
      <w:r w:rsidRPr="004571E5">
        <w:rPr>
          <w:rFonts w:ascii="Times New Roman" w:hAnsi="Times New Roman" w:cs="Times New Roman"/>
          <w:sz w:val="28"/>
          <w:szCs w:val="28"/>
          <w:lang w:eastAsia="es-CO"/>
        </w:rPr>
        <w:lastRenderedPageBreak/>
        <w:t>acreditada la culpa exclusiva de la víctima porque hubo un enfrentamiento armado ocasionado por un ataque previo.</w:t>
      </w:r>
    </w:p>
    <w:p w14:paraId="128D4A50" w14:textId="77777777" w:rsidR="009D1518" w:rsidRPr="004571E5" w:rsidRDefault="009D1518" w:rsidP="00481F2E">
      <w:pPr>
        <w:pStyle w:val="Prrafodelista"/>
        <w:spacing w:after="0" w:line="240" w:lineRule="auto"/>
        <w:ind w:left="0"/>
        <w:contextualSpacing w:val="0"/>
        <w:jc w:val="both"/>
        <w:rPr>
          <w:rFonts w:ascii="Times New Roman" w:hAnsi="Times New Roman" w:cs="Times New Roman"/>
          <w:sz w:val="28"/>
          <w:szCs w:val="28"/>
          <w:lang w:eastAsia="es-CO"/>
        </w:rPr>
      </w:pPr>
    </w:p>
    <w:p w14:paraId="5168A5DE" w14:textId="19956AE7" w:rsidR="009D1518" w:rsidRPr="004571E5" w:rsidRDefault="009D1518" w:rsidP="00481F2E">
      <w:pPr>
        <w:pStyle w:val="Prrafodelista"/>
        <w:numPr>
          <w:ilvl w:val="0"/>
          <w:numId w:val="1"/>
        </w:numPr>
        <w:shd w:val="clear" w:color="auto" w:fill="FFFFFF"/>
        <w:spacing w:after="0" w:line="240" w:lineRule="auto"/>
        <w:ind w:right="49"/>
        <w:jc w:val="both"/>
        <w:rPr>
          <w:rFonts w:ascii="Times New Roman" w:hAnsi="Times New Roman" w:cs="Times New Roman"/>
          <w:sz w:val="28"/>
          <w:szCs w:val="28"/>
          <w:lang w:val="es-ES_tradnl"/>
        </w:rPr>
      </w:pPr>
      <w:r w:rsidRPr="004571E5">
        <w:rPr>
          <w:rFonts w:ascii="Times New Roman" w:hAnsi="Times New Roman" w:cs="Times New Roman"/>
          <w:sz w:val="28"/>
          <w:szCs w:val="28"/>
          <w:lang w:eastAsia="es-CO"/>
        </w:rPr>
        <w:t>Mediante sentencia del 8 de octubre de 2021, notificada el 14 de octubre de 2022, la Sección Tercera, Subsección C del Consejo de Estado</w:t>
      </w:r>
      <w:r w:rsidR="004F2903" w:rsidRPr="004571E5">
        <w:rPr>
          <w:rFonts w:ascii="Times New Roman" w:hAnsi="Times New Roman" w:cs="Times New Roman"/>
          <w:sz w:val="28"/>
          <w:szCs w:val="28"/>
          <w:lang w:eastAsia="es-CO"/>
        </w:rPr>
        <w:t>,</w:t>
      </w:r>
      <w:r w:rsidRPr="004571E5">
        <w:rPr>
          <w:rFonts w:ascii="Times New Roman" w:hAnsi="Times New Roman" w:cs="Times New Roman"/>
          <w:sz w:val="28"/>
          <w:szCs w:val="28"/>
          <w:lang w:eastAsia="es-CO"/>
        </w:rPr>
        <w:t xml:space="preserve"> revocó la sentencia de primera instancia y, en su lugar, negó las pretensiones de la demanda. Consideró que </w:t>
      </w:r>
      <w:r w:rsidRPr="004571E5">
        <w:rPr>
          <w:rFonts w:ascii="Times New Roman" w:hAnsi="Times New Roman" w:cs="Times New Roman"/>
          <w:i/>
          <w:iCs/>
          <w:sz w:val="28"/>
          <w:szCs w:val="28"/>
          <w:lang w:eastAsia="es-CO"/>
        </w:rPr>
        <w:t>no se acreditó la falla del servicio porque el deceso del señor González Henao no ocurrió en estado de indefensión o por fuera de un enfrentamiento armado entre el Ejército Nacional y delincuencia común.</w:t>
      </w:r>
    </w:p>
    <w:p w14:paraId="36B02871" w14:textId="77777777" w:rsidR="009D1518" w:rsidRPr="004571E5" w:rsidRDefault="009D1518" w:rsidP="00481F2E">
      <w:pPr>
        <w:pStyle w:val="Prrafodelista"/>
        <w:spacing w:line="240" w:lineRule="auto"/>
        <w:rPr>
          <w:rFonts w:ascii="Times New Roman" w:hAnsi="Times New Roman" w:cs="Times New Roman"/>
          <w:sz w:val="28"/>
          <w:szCs w:val="28"/>
          <w:lang w:val="es-ES_tradnl"/>
        </w:rPr>
      </w:pPr>
    </w:p>
    <w:p w14:paraId="1F0C3505" w14:textId="6051961F" w:rsidR="009D1518" w:rsidRPr="004571E5" w:rsidRDefault="009D1518" w:rsidP="00481F2E">
      <w:pPr>
        <w:pStyle w:val="Prrafodelista"/>
        <w:numPr>
          <w:ilvl w:val="0"/>
          <w:numId w:val="1"/>
        </w:numPr>
        <w:shd w:val="clear" w:color="auto" w:fill="FFFFFF"/>
        <w:spacing w:after="0" w:line="240" w:lineRule="auto"/>
        <w:ind w:right="49"/>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Específicamente, la Sala sostuvo que de acuerdo con las pruebas del proceso (i) Juan David González murió durante un enfrentamiento con el Ejército; (</w:t>
      </w:r>
      <w:proofErr w:type="spellStart"/>
      <w:r w:rsidRPr="004571E5">
        <w:rPr>
          <w:rFonts w:ascii="Times New Roman" w:hAnsi="Times New Roman" w:cs="Times New Roman"/>
          <w:sz w:val="28"/>
          <w:szCs w:val="28"/>
          <w:lang w:val="es-ES_tradnl"/>
        </w:rPr>
        <w:t>ii</w:t>
      </w:r>
      <w:proofErr w:type="spellEnd"/>
      <w:r w:rsidRPr="004571E5">
        <w:rPr>
          <w:rFonts w:ascii="Times New Roman" w:hAnsi="Times New Roman" w:cs="Times New Roman"/>
          <w:sz w:val="28"/>
          <w:szCs w:val="28"/>
          <w:lang w:val="es-ES_tradnl"/>
        </w:rPr>
        <w:t>) vecinos del lugar reconocieron a los cuatro jóvenes como los “forasteros” que los extorsionaban; (</w:t>
      </w:r>
      <w:proofErr w:type="spellStart"/>
      <w:r w:rsidRPr="004571E5">
        <w:rPr>
          <w:rFonts w:ascii="Times New Roman" w:hAnsi="Times New Roman" w:cs="Times New Roman"/>
          <w:sz w:val="28"/>
          <w:szCs w:val="28"/>
          <w:lang w:val="es-ES_tradnl"/>
        </w:rPr>
        <w:t>iii</w:t>
      </w:r>
      <w:proofErr w:type="spellEnd"/>
      <w:r w:rsidRPr="004571E5">
        <w:rPr>
          <w:rFonts w:ascii="Times New Roman" w:hAnsi="Times New Roman" w:cs="Times New Roman"/>
          <w:sz w:val="28"/>
          <w:szCs w:val="28"/>
          <w:lang w:val="es-ES_tradnl"/>
        </w:rPr>
        <w:t xml:space="preserve">) si bien no existían residuos de disparo en las manos del señor </w:t>
      </w:r>
      <w:r w:rsidRPr="004571E5">
        <w:rPr>
          <w:rFonts w:ascii="Times New Roman" w:hAnsi="Times New Roman" w:cs="Times New Roman"/>
          <w:bCs/>
          <w:sz w:val="28"/>
          <w:szCs w:val="28"/>
        </w:rPr>
        <w:t>González</w:t>
      </w:r>
      <w:r w:rsidRPr="004571E5">
        <w:rPr>
          <w:rFonts w:ascii="Times New Roman" w:hAnsi="Times New Roman" w:cs="Times New Roman"/>
          <w:sz w:val="28"/>
          <w:szCs w:val="28"/>
          <w:lang w:val="es-ES_tradnl"/>
        </w:rPr>
        <w:t>, estos sí se presentaban en uno de sus compañeros; y (</w:t>
      </w:r>
      <w:proofErr w:type="spellStart"/>
      <w:r w:rsidRPr="004571E5">
        <w:rPr>
          <w:rFonts w:ascii="Times New Roman" w:hAnsi="Times New Roman" w:cs="Times New Roman"/>
          <w:sz w:val="28"/>
          <w:szCs w:val="28"/>
          <w:lang w:val="es-ES_tradnl"/>
        </w:rPr>
        <w:t>iv</w:t>
      </w:r>
      <w:proofErr w:type="spellEnd"/>
      <w:r w:rsidRPr="004571E5">
        <w:rPr>
          <w:rFonts w:ascii="Times New Roman" w:hAnsi="Times New Roman" w:cs="Times New Roman"/>
          <w:sz w:val="28"/>
          <w:szCs w:val="28"/>
          <w:lang w:val="es-ES_tradnl"/>
        </w:rPr>
        <w:t>) todas las armas encontradas en el lugar fueron disparadas.</w:t>
      </w:r>
      <w:r w:rsidR="00D42666" w:rsidRPr="004571E5">
        <w:rPr>
          <w:rFonts w:ascii="Times New Roman" w:hAnsi="Times New Roman" w:cs="Times New Roman"/>
          <w:sz w:val="28"/>
          <w:szCs w:val="28"/>
          <w:lang w:val="es-ES_tradnl"/>
        </w:rPr>
        <w:t xml:space="preserve"> En conclusión, sostuvo que es al demandante a quien le corresponde probar </w:t>
      </w:r>
      <w:r w:rsidR="0037274D" w:rsidRPr="004571E5">
        <w:rPr>
          <w:rFonts w:ascii="Times New Roman" w:hAnsi="Times New Roman" w:cs="Times New Roman"/>
          <w:sz w:val="28"/>
          <w:szCs w:val="28"/>
          <w:lang w:val="es-ES_tradnl"/>
        </w:rPr>
        <w:t xml:space="preserve">los </w:t>
      </w:r>
      <w:r w:rsidR="00D42666" w:rsidRPr="004571E5">
        <w:rPr>
          <w:rFonts w:ascii="Times New Roman" w:hAnsi="Times New Roman" w:cs="Times New Roman"/>
          <w:sz w:val="28"/>
          <w:szCs w:val="28"/>
          <w:lang w:val="es-ES_tradnl"/>
        </w:rPr>
        <w:t>hechos que sirvan de fundamento a las pretensiones y que “[d]e acuerdo con las pruebas de este proceso, no se acreditó que la muerte de Juan David González Henao fue una ‘ejecución extrajudicial’ o que existió un ‘montaje’ o una actuación desproporcionada de la fuerza pública”</w:t>
      </w:r>
      <w:r w:rsidR="00CC3807" w:rsidRPr="004571E5">
        <w:rPr>
          <w:rFonts w:ascii="Times New Roman" w:hAnsi="Times New Roman" w:cs="Times New Roman"/>
          <w:sz w:val="28"/>
          <w:szCs w:val="28"/>
          <w:lang w:val="es-ES_tradnl"/>
        </w:rPr>
        <w:t>.</w:t>
      </w:r>
    </w:p>
    <w:p w14:paraId="325ABC9C" w14:textId="77777777" w:rsidR="009D1518" w:rsidRPr="004571E5" w:rsidRDefault="009D1518" w:rsidP="00481F2E">
      <w:pPr>
        <w:pStyle w:val="Prrafodelista"/>
        <w:shd w:val="clear" w:color="auto" w:fill="FFFFFF"/>
        <w:spacing w:after="0" w:line="240" w:lineRule="auto"/>
        <w:ind w:left="0" w:right="49"/>
        <w:jc w:val="both"/>
        <w:rPr>
          <w:rFonts w:ascii="Times New Roman" w:hAnsi="Times New Roman" w:cs="Times New Roman"/>
          <w:sz w:val="28"/>
          <w:szCs w:val="28"/>
          <w:lang w:val="es-ES_tradnl"/>
        </w:rPr>
      </w:pPr>
    </w:p>
    <w:p w14:paraId="5E028490" w14:textId="77777777" w:rsidR="009D1518" w:rsidRPr="004571E5" w:rsidRDefault="009D1518" w:rsidP="00481F2E">
      <w:pPr>
        <w:spacing w:line="240" w:lineRule="auto"/>
        <w:rPr>
          <w:rFonts w:ascii="Times New Roman" w:hAnsi="Times New Roman" w:cs="Times New Roman"/>
          <w:i/>
          <w:iCs/>
          <w:sz w:val="28"/>
          <w:szCs w:val="28"/>
          <w:u w:val="single"/>
          <w:lang w:val="es-ES_tradnl"/>
        </w:rPr>
      </w:pPr>
      <w:r w:rsidRPr="004571E5">
        <w:rPr>
          <w:rFonts w:ascii="Times New Roman" w:hAnsi="Times New Roman" w:cs="Times New Roman"/>
          <w:i/>
          <w:iCs/>
          <w:sz w:val="28"/>
          <w:szCs w:val="28"/>
          <w:u w:val="single"/>
          <w:lang w:val="es-ES_tradnl"/>
        </w:rPr>
        <w:t>La acción de tutela</w:t>
      </w:r>
    </w:p>
    <w:p w14:paraId="21A464A0" w14:textId="5ADBEA13" w:rsidR="009D1518" w:rsidRPr="004571E5" w:rsidRDefault="009D1518" w:rsidP="00481F2E">
      <w:pPr>
        <w:pStyle w:val="Prrafodelista"/>
        <w:numPr>
          <w:ilvl w:val="0"/>
          <w:numId w:val="1"/>
        </w:numPr>
        <w:shd w:val="clear" w:color="auto" w:fill="FFFFFF"/>
        <w:spacing w:after="0" w:line="240" w:lineRule="auto"/>
        <w:ind w:right="49"/>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El 28 de marzo de 2023 los accionantes presentaron la acción de tutela mediante apoderada.</w:t>
      </w:r>
      <w:r w:rsidR="00C247D3" w:rsidRPr="004571E5">
        <w:rPr>
          <w:rFonts w:ascii="Times New Roman" w:hAnsi="Times New Roman" w:cs="Times New Roman"/>
          <w:sz w:val="28"/>
          <w:szCs w:val="28"/>
          <w:lang w:val="es-ES_tradnl"/>
        </w:rPr>
        <w:t xml:space="preserve"> Solicitaron que se revoque la sentencia del 8 de octubre de 2021 de la Subsección C, Sección Tercera del Consejo de Estado y se ordene a la autoridad proferir una nueva decisión. </w:t>
      </w:r>
      <w:r w:rsidRPr="004571E5">
        <w:rPr>
          <w:rFonts w:ascii="Times New Roman" w:hAnsi="Times New Roman" w:cs="Times New Roman"/>
          <w:sz w:val="28"/>
          <w:szCs w:val="28"/>
          <w:lang w:val="es-ES_tradnl"/>
        </w:rPr>
        <w:t xml:space="preserve">En general, formularon cuatro reproches contra la </w:t>
      </w:r>
      <w:r w:rsidR="000B0001" w:rsidRPr="004571E5">
        <w:rPr>
          <w:rFonts w:ascii="Times New Roman" w:hAnsi="Times New Roman" w:cs="Times New Roman"/>
          <w:sz w:val="28"/>
          <w:szCs w:val="28"/>
          <w:lang w:val="es-ES_tradnl"/>
        </w:rPr>
        <w:t>sentencia</w:t>
      </w:r>
      <w:r w:rsidRPr="004571E5">
        <w:rPr>
          <w:rFonts w:ascii="Times New Roman" w:hAnsi="Times New Roman" w:cs="Times New Roman"/>
          <w:sz w:val="28"/>
          <w:szCs w:val="28"/>
          <w:lang w:val="es-ES_tradnl"/>
        </w:rPr>
        <w:t>:</w:t>
      </w:r>
    </w:p>
    <w:p w14:paraId="3AB51F93" w14:textId="77777777" w:rsidR="009D1518" w:rsidRPr="004571E5" w:rsidRDefault="009D1518" w:rsidP="00481F2E">
      <w:pPr>
        <w:pStyle w:val="Prrafodelista"/>
        <w:shd w:val="clear" w:color="auto" w:fill="FFFFFF"/>
        <w:spacing w:after="0" w:line="240" w:lineRule="auto"/>
        <w:ind w:left="0" w:right="49"/>
        <w:jc w:val="both"/>
        <w:rPr>
          <w:rFonts w:ascii="Times New Roman" w:hAnsi="Times New Roman" w:cs="Times New Roman"/>
          <w:sz w:val="28"/>
          <w:szCs w:val="28"/>
          <w:lang w:val="es-ES_tradnl"/>
        </w:rPr>
      </w:pPr>
    </w:p>
    <w:tbl>
      <w:tblPr>
        <w:tblStyle w:val="Tablaconcuadrcula"/>
        <w:tblW w:w="0" w:type="auto"/>
        <w:tblLook w:val="04A0" w:firstRow="1" w:lastRow="0" w:firstColumn="1" w:lastColumn="0" w:noHBand="0" w:noVBand="1"/>
      </w:tblPr>
      <w:tblGrid>
        <w:gridCol w:w="1932"/>
        <w:gridCol w:w="6896"/>
      </w:tblGrid>
      <w:tr w:rsidR="009D1518" w:rsidRPr="004571E5" w14:paraId="1621E4B8" w14:textId="77777777" w:rsidTr="004D23F8">
        <w:tc>
          <w:tcPr>
            <w:tcW w:w="1413" w:type="dxa"/>
            <w:shd w:val="clear" w:color="auto" w:fill="AEAAAA" w:themeFill="background2" w:themeFillShade="BF"/>
          </w:tcPr>
          <w:p w14:paraId="51890EE3" w14:textId="77777777" w:rsidR="009D1518" w:rsidRPr="004571E5" w:rsidRDefault="009D1518" w:rsidP="00481F2E">
            <w:pPr>
              <w:pStyle w:val="Prrafodelista"/>
              <w:ind w:left="0" w:right="49"/>
              <w:jc w:val="center"/>
              <w:rPr>
                <w:rFonts w:ascii="Times New Roman" w:hAnsi="Times New Roman" w:cs="Times New Roman"/>
                <w:b/>
                <w:bCs/>
                <w:sz w:val="24"/>
                <w:szCs w:val="24"/>
                <w:lang w:val="es-ES_tradnl"/>
              </w:rPr>
            </w:pPr>
            <w:r w:rsidRPr="004571E5">
              <w:rPr>
                <w:rFonts w:ascii="Times New Roman" w:hAnsi="Times New Roman" w:cs="Times New Roman"/>
                <w:b/>
                <w:bCs/>
                <w:sz w:val="24"/>
                <w:szCs w:val="24"/>
                <w:lang w:val="es-ES_tradnl"/>
              </w:rPr>
              <w:t>Defecto</w:t>
            </w:r>
          </w:p>
        </w:tc>
        <w:tc>
          <w:tcPr>
            <w:tcW w:w="7415" w:type="dxa"/>
            <w:shd w:val="clear" w:color="auto" w:fill="AEAAAA" w:themeFill="background2" w:themeFillShade="BF"/>
          </w:tcPr>
          <w:p w14:paraId="120CF50E" w14:textId="77777777" w:rsidR="009D1518" w:rsidRPr="004571E5" w:rsidRDefault="009D1518" w:rsidP="00481F2E">
            <w:pPr>
              <w:pStyle w:val="Prrafodelista"/>
              <w:ind w:left="0" w:right="49"/>
              <w:jc w:val="center"/>
              <w:rPr>
                <w:rFonts w:ascii="Times New Roman" w:hAnsi="Times New Roman" w:cs="Times New Roman"/>
                <w:b/>
                <w:bCs/>
                <w:sz w:val="24"/>
                <w:szCs w:val="24"/>
                <w:lang w:val="es-ES_tradnl"/>
              </w:rPr>
            </w:pPr>
            <w:r w:rsidRPr="004571E5">
              <w:rPr>
                <w:rFonts w:ascii="Times New Roman" w:hAnsi="Times New Roman" w:cs="Times New Roman"/>
                <w:b/>
                <w:bCs/>
                <w:sz w:val="24"/>
                <w:szCs w:val="24"/>
                <w:lang w:val="es-ES_tradnl"/>
              </w:rPr>
              <w:t>Reproche formulado</w:t>
            </w:r>
          </w:p>
        </w:tc>
      </w:tr>
      <w:tr w:rsidR="009D1518" w:rsidRPr="004571E5" w14:paraId="58EEA547" w14:textId="77777777" w:rsidTr="004D23F8">
        <w:tc>
          <w:tcPr>
            <w:tcW w:w="1413" w:type="dxa"/>
            <w:vAlign w:val="center"/>
          </w:tcPr>
          <w:p w14:paraId="2D501706" w14:textId="77777777" w:rsidR="009D1518" w:rsidRPr="004571E5" w:rsidRDefault="009D1518" w:rsidP="00481F2E">
            <w:pPr>
              <w:pStyle w:val="Prrafodelista"/>
              <w:ind w:left="0" w:right="49"/>
              <w:jc w:val="center"/>
              <w:rPr>
                <w:rFonts w:ascii="Times New Roman" w:hAnsi="Times New Roman" w:cs="Times New Roman"/>
                <w:sz w:val="24"/>
                <w:szCs w:val="24"/>
                <w:lang w:val="es-ES_tradnl"/>
              </w:rPr>
            </w:pPr>
            <w:r w:rsidRPr="004571E5">
              <w:rPr>
                <w:rFonts w:ascii="Times New Roman" w:hAnsi="Times New Roman" w:cs="Times New Roman"/>
                <w:i/>
                <w:iCs/>
                <w:sz w:val="24"/>
                <w:szCs w:val="24"/>
                <w:lang w:val="es-ES_tradnl"/>
              </w:rPr>
              <w:t>Vulneración del derecho a la igualdad</w:t>
            </w:r>
          </w:p>
        </w:tc>
        <w:tc>
          <w:tcPr>
            <w:tcW w:w="7415" w:type="dxa"/>
          </w:tcPr>
          <w:p w14:paraId="74901326" w14:textId="5489EDF0" w:rsidR="009D1518" w:rsidRPr="004571E5" w:rsidRDefault="009D1518" w:rsidP="00481F2E">
            <w:pPr>
              <w:jc w:val="both"/>
              <w:rPr>
                <w:rFonts w:ascii="Times New Roman" w:hAnsi="Times New Roman" w:cs="Times New Roman"/>
                <w:sz w:val="24"/>
                <w:szCs w:val="24"/>
                <w:lang w:val="es-ES_tradnl"/>
              </w:rPr>
            </w:pPr>
            <w:r w:rsidRPr="004571E5">
              <w:rPr>
                <w:rFonts w:ascii="Times New Roman" w:hAnsi="Times New Roman" w:cs="Times New Roman"/>
                <w:sz w:val="24"/>
                <w:szCs w:val="24"/>
              </w:rPr>
              <w:t xml:space="preserve">Los actores indicaron que los familiares de Juan David Urán López, Juan Pablo Carmona Zuluaga y </w:t>
            </w:r>
            <w:proofErr w:type="spellStart"/>
            <w:r w:rsidRPr="004571E5">
              <w:rPr>
                <w:rFonts w:ascii="Times New Roman" w:hAnsi="Times New Roman" w:cs="Times New Roman"/>
                <w:sz w:val="24"/>
                <w:szCs w:val="24"/>
              </w:rPr>
              <w:t>Wisner</w:t>
            </w:r>
            <w:proofErr w:type="spellEnd"/>
            <w:r w:rsidRPr="004571E5">
              <w:rPr>
                <w:rFonts w:ascii="Times New Roman" w:hAnsi="Times New Roman" w:cs="Times New Roman"/>
                <w:sz w:val="24"/>
                <w:szCs w:val="24"/>
              </w:rPr>
              <w:t xml:space="preserve"> Adolfo Corrales Villada acudieron al medio de control de reparación directa. Al proceso le fue asignado el radicado 05001-33-31-029-2009-00170-00 y </w:t>
            </w:r>
            <w:r w:rsidR="00CC3807" w:rsidRPr="004571E5">
              <w:rPr>
                <w:rFonts w:ascii="Times New Roman" w:hAnsi="Times New Roman" w:cs="Times New Roman"/>
                <w:sz w:val="24"/>
                <w:szCs w:val="24"/>
              </w:rPr>
              <w:t xml:space="preserve">fue </w:t>
            </w:r>
            <w:r w:rsidRPr="004571E5">
              <w:rPr>
                <w:rFonts w:ascii="Times New Roman" w:hAnsi="Times New Roman" w:cs="Times New Roman"/>
                <w:sz w:val="24"/>
                <w:szCs w:val="24"/>
              </w:rPr>
              <w:t xml:space="preserve">repartido </w:t>
            </w:r>
            <w:r w:rsidRPr="004571E5">
              <w:rPr>
                <w:rFonts w:ascii="Times New Roman" w:hAnsi="Times New Roman" w:cs="Times New Roman"/>
                <w:bCs/>
                <w:sz w:val="24"/>
                <w:szCs w:val="24"/>
              </w:rPr>
              <w:t>al Juzgado 29 Administrativo del Circuito de Medellín</w:t>
            </w:r>
            <w:r w:rsidRPr="004571E5">
              <w:rPr>
                <w:rFonts w:ascii="Times New Roman" w:hAnsi="Times New Roman" w:cs="Times New Roman"/>
                <w:sz w:val="24"/>
                <w:szCs w:val="24"/>
              </w:rPr>
              <w:t xml:space="preserve">. Mediante sentencia del 27 de febrero de 2012 el juzgado accedió a las pretensiones. Ante </w:t>
            </w:r>
            <w:r w:rsidR="004F2903" w:rsidRPr="004571E5">
              <w:rPr>
                <w:rFonts w:ascii="Times New Roman" w:hAnsi="Times New Roman" w:cs="Times New Roman"/>
                <w:sz w:val="24"/>
                <w:szCs w:val="24"/>
              </w:rPr>
              <w:t xml:space="preserve">la </w:t>
            </w:r>
            <w:r w:rsidRPr="004571E5">
              <w:rPr>
                <w:rFonts w:ascii="Times New Roman" w:hAnsi="Times New Roman" w:cs="Times New Roman"/>
                <w:sz w:val="24"/>
                <w:szCs w:val="24"/>
              </w:rPr>
              <w:t>impugnación del Ministerio, en sentencia del 21 de mayo de 2014, el Tribunal Administrativo de Antioquia confirmó la decisión de primer grado.</w:t>
            </w:r>
          </w:p>
          <w:p w14:paraId="563B8E11" w14:textId="77777777" w:rsidR="009D1518" w:rsidRPr="004571E5" w:rsidRDefault="009D1518" w:rsidP="00481F2E">
            <w:pPr>
              <w:pStyle w:val="Prrafodelista"/>
              <w:ind w:left="0"/>
              <w:jc w:val="both"/>
              <w:rPr>
                <w:rFonts w:ascii="Times New Roman" w:hAnsi="Times New Roman" w:cs="Times New Roman"/>
                <w:i/>
                <w:iCs/>
                <w:sz w:val="24"/>
                <w:szCs w:val="24"/>
                <w:lang w:val="es-ES_tradnl"/>
              </w:rPr>
            </w:pPr>
          </w:p>
          <w:p w14:paraId="45C6065B" w14:textId="77777777" w:rsidR="009D1518" w:rsidRPr="004571E5" w:rsidRDefault="009D1518" w:rsidP="00481F2E">
            <w:pPr>
              <w:pStyle w:val="Prrafodelista"/>
              <w:ind w:left="0" w:right="49"/>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 xml:space="preserve">Por lo anterior, consideraron que se vulneró el derecho a la igualdad pues </w:t>
            </w:r>
            <w:r w:rsidRPr="004571E5">
              <w:rPr>
                <w:rFonts w:ascii="Times New Roman" w:hAnsi="Times New Roman" w:cs="Times New Roman"/>
                <w:sz w:val="24"/>
                <w:szCs w:val="24"/>
              </w:rPr>
              <w:t>con ocasión de los mismos hechos, las familias de cada una de las víctimas directas de la ejecución extrajudicial solicitaron el reconocimiento de los perjuicios derivados del daño antijurídico causado y se declaró la responsabilidad del Estado en tres de los cuatro procesos.</w:t>
            </w:r>
          </w:p>
        </w:tc>
      </w:tr>
      <w:tr w:rsidR="009D1518" w:rsidRPr="004571E5" w14:paraId="502F79F3" w14:textId="77777777" w:rsidTr="004D23F8">
        <w:tc>
          <w:tcPr>
            <w:tcW w:w="1413" w:type="dxa"/>
            <w:vAlign w:val="center"/>
          </w:tcPr>
          <w:p w14:paraId="564774ED" w14:textId="77777777" w:rsidR="009D1518" w:rsidRPr="004571E5" w:rsidRDefault="009D1518" w:rsidP="00481F2E">
            <w:pPr>
              <w:pStyle w:val="Prrafodelista"/>
              <w:ind w:left="0" w:right="49"/>
              <w:jc w:val="center"/>
              <w:rPr>
                <w:rFonts w:ascii="Times New Roman" w:hAnsi="Times New Roman" w:cs="Times New Roman"/>
                <w:sz w:val="24"/>
                <w:szCs w:val="24"/>
                <w:lang w:val="es-ES_tradnl"/>
              </w:rPr>
            </w:pPr>
            <w:r w:rsidRPr="004571E5">
              <w:rPr>
                <w:rFonts w:ascii="Times New Roman" w:hAnsi="Times New Roman" w:cs="Times New Roman"/>
                <w:i/>
                <w:iCs/>
                <w:sz w:val="24"/>
                <w:szCs w:val="24"/>
                <w:lang w:val="es-ES_tradnl"/>
              </w:rPr>
              <w:t>Defecto fáctico por indebida valoración probatoria</w:t>
            </w:r>
          </w:p>
        </w:tc>
        <w:tc>
          <w:tcPr>
            <w:tcW w:w="7415" w:type="dxa"/>
          </w:tcPr>
          <w:p w14:paraId="0E5D83AA" w14:textId="77777777" w:rsidR="009D1518" w:rsidRPr="004571E5" w:rsidRDefault="009D1518" w:rsidP="00481F2E">
            <w:pPr>
              <w:ind w:right="49"/>
              <w:jc w:val="both"/>
              <w:rPr>
                <w:rFonts w:ascii="Times New Roman" w:hAnsi="Times New Roman" w:cs="Times New Roman"/>
                <w:sz w:val="24"/>
                <w:szCs w:val="24"/>
              </w:rPr>
            </w:pPr>
            <w:r w:rsidRPr="004571E5">
              <w:rPr>
                <w:rFonts w:ascii="Times New Roman" w:hAnsi="Times New Roman" w:cs="Times New Roman"/>
                <w:sz w:val="24"/>
                <w:szCs w:val="24"/>
                <w:lang w:val="es-ES_tradnl"/>
              </w:rPr>
              <w:t xml:space="preserve">Sostuvieron que </w:t>
            </w:r>
            <w:r w:rsidRPr="004571E5">
              <w:rPr>
                <w:rFonts w:ascii="Times New Roman" w:hAnsi="Times New Roman" w:cs="Times New Roman"/>
                <w:sz w:val="24"/>
                <w:szCs w:val="24"/>
              </w:rPr>
              <w:t xml:space="preserve">se valoró el acervo probatorio de manera arbitraria e irrazonable, por omisión en la valoración de todas las pruebas del proceso y por la indebida asignación del peso probatorio a los medios de convicción que favorecían la tesis de defensa de la entidad demandada. </w:t>
            </w:r>
          </w:p>
          <w:p w14:paraId="3490C2E3" w14:textId="77777777" w:rsidR="009D1518" w:rsidRPr="004571E5" w:rsidRDefault="009D1518" w:rsidP="00481F2E">
            <w:pPr>
              <w:pStyle w:val="Prrafodelista"/>
              <w:ind w:left="0" w:right="49"/>
              <w:jc w:val="both"/>
              <w:rPr>
                <w:rFonts w:ascii="Times New Roman" w:hAnsi="Times New Roman" w:cs="Times New Roman"/>
                <w:i/>
                <w:iCs/>
                <w:sz w:val="24"/>
                <w:szCs w:val="24"/>
                <w:lang w:val="es-ES_tradnl"/>
              </w:rPr>
            </w:pPr>
          </w:p>
          <w:p w14:paraId="309145CC" w14:textId="05EB5AB7" w:rsidR="009D1518" w:rsidRPr="004571E5" w:rsidRDefault="009D1518" w:rsidP="00481F2E">
            <w:pPr>
              <w:ind w:right="49"/>
              <w:jc w:val="both"/>
              <w:rPr>
                <w:rFonts w:ascii="Times New Roman" w:hAnsi="Times New Roman" w:cs="Times New Roman"/>
                <w:sz w:val="24"/>
                <w:szCs w:val="24"/>
              </w:rPr>
            </w:pPr>
            <w:r w:rsidRPr="004571E5">
              <w:rPr>
                <w:rFonts w:ascii="Times New Roman" w:hAnsi="Times New Roman" w:cs="Times New Roman"/>
                <w:sz w:val="24"/>
                <w:szCs w:val="24"/>
              </w:rPr>
              <w:t xml:space="preserve">En concreto, manifestaron que no se valoró que (i) el tatuaje de pólvora en el cuerpo del señor González implicaba la existencia de una distancia de disparo inferior a </w:t>
            </w:r>
            <w:r w:rsidR="00CC3807" w:rsidRPr="004571E5">
              <w:rPr>
                <w:rFonts w:ascii="Times New Roman" w:hAnsi="Times New Roman" w:cs="Times New Roman"/>
                <w:sz w:val="24"/>
                <w:szCs w:val="24"/>
              </w:rPr>
              <w:t>dos</w:t>
            </w:r>
            <w:r w:rsidRPr="004571E5">
              <w:rPr>
                <w:rFonts w:ascii="Times New Roman" w:hAnsi="Times New Roman" w:cs="Times New Roman"/>
                <w:sz w:val="24"/>
                <w:szCs w:val="24"/>
              </w:rPr>
              <w:t xml:space="preserve"> metros y (</w:t>
            </w:r>
            <w:proofErr w:type="spellStart"/>
            <w:r w:rsidRPr="004571E5">
              <w:rPr>
                <w:rFonts w:ascii="Times New Roman" w:hAnsi="Times New Roman" w:cs="Times New Roman"/>
                <w:sz w:val="24"/>
                <w:szCs w:val="24"/>
              </w:rPr>
              <w:t>ii</w:t>
            </w:r>
            <w:proofErr w:type="spellEnd"/>
            <w:r w:rsidRPr="004571E5">
              <w:rPr>
                <w:rFonts w:ascii="Times New Roman" w:hAnsi="Times New Roman" w:cs="Times New Roman"/>
                <w:sz w:val="24"/>
                <w:szCs w:val="24"/>
              </w:rPr>
              <w:t xml:space="preserve">) el informe pericial </w:t>
            </w:r>
            <w:r w:rsidRPr="004571E5">
              <w:rPr>
                <w:rFonts w:ascii="Times New Roman" w:hAnsi="Times New Roman" w:cs="Times New Roman"/>
                <w:sz w:val="24"/>
                <w:szCs w:val="24"/>
              </w:rPr>
              <w:lastRenderedPageBreak/>
              <w:t>de la prueba de absorción atómica practicado al fallecido evidenció la ausencia de pólvora en sus manos y la conclusión de que no disparó ningún arma. Además, sostuvieron que (</w:t>
            </w:r>
            <w:proofErr w:type="spellStart"/>
            <w:r w:rsidRPr="004571E5">
              <w:rPr>
                <w:rFonts w:ascii="Times New Roman" w:hAnsi="Times New Roman" w:cs="Times New Roman"/>
                <w:sz w:val="24"/>
                <w:szCs w:val="24"/>
              </w:rPr>
              <w:t>iii</w:t>
            </w:r>
            <w:proofErr w:type="spellEnd"/>
            <w:r w:rsidRPr="004571E5">
              <w:rPr>
                <w:rFonts w:ascii="Times New Roman" w:hAnsi="Times New Roman" w:cs="Times New Roman"/>
                <w:sz w:val="24"/>
                <w:szCs w:val="24"/>
              </w:rPr>
              <w:t>) no se indagó ni se cuestionó por qué el juez penal militar ordenó la incineración de las prendas de vestir de las víctimas, aun cuando no se habían practicado en ellas los exámenes forenses; (</w:t>
            </w:r>
            <w:proofErr w:type="spellStart"/>
            <w:r w:rsidRPr="004571E5">
              <w:rPr>
                <w:rFonts w:ascii="Times New Roman" w:hAnsi="Times New Roman" w:cs="Times New Roman"/>
                <w:sz w:val="24"/>
                <w:szCs w:val="24"/>
              </w:rPr>
              <w:t>iv</w:t>
            </w:r>
            <w:proofErr w:type="spellEnd"/>
            <w:r w:rsidRPr="004571E5">
              <w:rPr>
                <w:rFonts w:ascii="Times New Roman" w:hAnsi="Times New Roman" w:cs="Times New Roman"/>
                <w:sz w:val="24"/>
                <w:szCs w:val="24"/>
              </w:rPr>
              <w:t xml:space="preserve">) no se consideró el hecho de que las víctimas directas de homicidio no tenían antecedentes penales y  que no habían sido vistos previamente en el lugar donde fueron dados de baja; y (v) se les dio </w:t>
            </w:r>
            <w:r w:rsidR="0037274D" w:rsidRPr="004571E5">
              <w:rPr>
                <w:rFonts w:ascii="Times New Roman" w:hAnsi="Times New Roman" w:cs="Times New Roman"/>
                <w:sz w:val="24"/>
                <w:szCs w:val="24"/>
              </w:rPr>
              <w:t xml:space="preserve">un valor probatorio desproporcionado </w:t>
            </w:r>
            <w:r w:rsidRPr="004571E5">
              <w:rPr>
                <w:rFonts w:ascii="Times New Roman" w:hAnsi="Times New Roman" w:cs="Times New Roman"/>
                <w:sz w:val="24"/>
                <w:szCs w:val="24"/>
              </w:rPr>
              <w:t>a las indagatorias rendidas por los militares.</w:t>
            </w:r>
          </w:p>
        </w:tc>
      </w:tr>
      <w:tr w:rsidR="009D1518" w:rsidRPr="004571E5" w14:paraId="5D14FC3C" w14:textId="77777777" w:rsidTr="004D23F8">
        <w:tc>
          <w:tcPr>
            <w:tcW w:w="1413" w:type="dxa"/>
            <w:vAlign w:val="center"/>
          </w:tcPr>
          <w:p w14:paraId="48664D1F" w14:textId="4B896B6E" w:rsidR="009D1518" w:rsidRPr="004571E5" w:rsidRDefault="00923FF5" w:rsidP="00481F2E">
            <w:pPr>
              <w:pStyle w:val="Prrafodelista"/>
              <w:ind w:left="0" w:right="49"/>
              <w:jc w:val="center"/>
              <w:rPr>
                <w:rFonts w:ascii="Times New Roman" w:hAnsi="Times New Roman" w:cs="Times New Roman"/>
                <w:sz w:val="24"/>
                <w:szCs w:val="24"/>
                <w:lang w:val="es-ES_tradnl"/>
              </w:rPr>
            </w:pPr>
            <w:r w:rsidRPr="004571E5">
              <w:rPr>
                <w:rFonts w:ascii="Times New Roman" w:hAnsi="Times New Roman" w:cs="Times New Roman"/>
                <w:i/>
                <w:iCs/>
                <w:sz w:val="24"/>
                <w:szCs w:val="24"/>
                <w:lang w:val="es-ES_tradnl"/>
              </w:rPr>
              <w:lastRenderedPageBreak/>
              <w:t>D</w:t>
            </w:r>
            <w:r w:rsidR="009D1518" w:rsidRPr="004571E5">
              <w:rPr>
                <w:rFonts w:ascii="Times New Roman" w:hAnsi="Times New Roman" w:cs="Times New Roman"/>
                <w:i/>
                <w:iCs/>
                <w:sz w:val="24"/>
                <w:szCs w:val="24"/>
                <w:lang w:val="es-ES_tradnl"/>
              </w:rPr>
              <w:t>esconocimiento del precedente del Consejo de Estado</w:t>
            </w:r>
          </w:p>
        </w:tc>
        <w:tc>
          <w:tcPr>
            <w:tcW w:w="7415" w:type="dxa"/>
          </w:tcPr>
          <w:p w14:paraId="17A9830B" w14:textId="77777777" w:rsidR="009D1518" w:rsidRPr="004571E5" w:rsidRDefault="009D1518" w:rsidP="00481F2E">
            <w:pPr>
              <w:pStyle w:val="Prrafodelista"/>
              <w:ind w:left="0" w:right="49"/>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 xml:space="preserve">Señalaron que de acuerdo con dos providencias del Consejo de Estado en los casos relacionados con delitos de lesa humanidad es necesario aplicar una flexibilización probatoria. En concreto, se invocaron las sentencias </w:t>
            </w:r>
            <w:r w:rsidRPr="004571E5">
              <w:rPr>
                <w:rFonts w:ascii="Times New Roman" w:hAnsi="Times New Roman" w:cs="Times New Roman"/>
                <w:sz w:val="24"/>
                <w:szCs w:val="24"/>
              </w:rPr>
              <w:t>del 26 de octubre de 2011 dentro del proceso 18850 y del 10 de noviembre de 2016 en el proceso 56282. Ambos casos estudiaron acciones de reparación directa contra el Estado por presuntas ejecuciones extrajudiciales.</w:t>
            </w:r>
          </w:p>
        </w:tc>
      </w:tr>
      <w:tr w:rsidR="009D1518" w:rsidRPr="004571E5" w14:paraId="68FCA5CC" w14:textId="77777777" w:rsidTr="004D23F8">
        <w:tc>
          <w:tcPr>
            <w:tcW w:w="1413" w:type="dxa"/>
            <w:vAlign w:val="center"/>
          </w:tcPr>
          <w:p w14:paraId="091D6F54" w14:textId="7D382202" w:rsidR="009D1518" w:rsidRPr="004571E5" w:rsidRDefault="009D1518" w:rsidP="00481F2E">
            <w:pPr>
              <w:pStyle w:val="Prrafodelista"/>
              <w:ind w:left="0" w:right="49"/>
              <w:jc w:val="center"/>
              <w:rPr>
                <w:rFonts w:ascii="Times New Roman" w:hAnsi="Times New Roman" w:cs="Times New Roman"/>
                <w:sz w:val="24"/>
                <w:szCs w:val="24"/>
                <w:lang w:val="es-ES_tradnl"/>
              </w:rPr>
            </w:pPr>
            <w:r w:rsidRPr="004571E5">
              <w:rPr>
                <w:rFonts w:ascii="Times New Roman" w:hAnsi="Times New Roman" w:cs="Times New Roman"/>
                <w:i/>
                <w:iCs/>
                <w:sz w:val="24"/>
                <w:szCs w:val="24"/>
                <w:lang w:val="es-ES_tradnl"/>
              </w:rPr>
              <w:t xml:space="preserve">Desconocimiento del precedente </w:t>
            </w:r>
            <w:r w:rsidR="00D53781" w:rsidRPr="004571E5">
              <w:rPr>
                <w:rFonts w:ascii="Times New Roman" w:hAnsi="Times New Roman" w:cs="Times New Roman"/>
                <w:i/>
                <w:iCs/>
                <w:sz w:val="24"/>
                <w:szCs w:val="24"/>
                <w:lang w:val="es-ES_tradnl"/>
              </w:rPr>
              <w:t>de la Corte Constitucional</w:t>
            </w:r>
          </w:p>
        </w:tc>
        <w:tc>
          <w:tcPr>
            <w:tcW w:w="7415" w:type="dxa"/>
          </w:tcPr>
          <w:p w14:paraId="4944A1B6" w14:textId="2433147A" w:rsidR="009D1518" w:rsidRPr="004571E5" w:rsidRDefault="009D1518" w:rsidP="00481F2E">
            <w:pPr>
              <w:pStyle w:val="Prrafodelista"/>
              <w:ind w:left="0" w:right="49"/>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Consideraron que en diferentes oportunidades la Corte Constitucional ha establecido la necesidad de aplicar la flexibilización probatoria en casos en los cuales se discute la posible</w:t>
            </w:r>
            <w:r w:rsidR="00923FF5" w:rsidRPr="004571E5">
              <w:rPr>
                <w:rFonts w:ascii="Times New Roman" w:hAnsi="Times New Roman" w:cs="Times New Roman"/>
                <w:sz w:val="24"/>
                <w:szCs w:val="24"/>
                <w:lang w:val="es-ES_tradnl"/>
              </w:rPr>
              <w:t xml:space="preserve"> comisión de una ejecución extrajudicial</w:t>
            </w:r>
            <w:r w:rsidRPr="004571E5">
              <w:rPr>
                <w:rFonts w:ascii="Times New Roman" w:hAnsi="Times New Roman" w:cs="Times New Roman"/>
                <w:sz w:val="24"/>
                <w:szCs w:val="24"/>
                <w:lang w:val="es-ES_tradnl"/>
              </w:rPr>
              <w:t>. Específicamente, mencionaron las sentencias T-237 de 2017, SU-035 de 2018 y SU-060 de 2021.</w:t>
            </w:r>
          </w:p>
        </w:tc>
      </w:tr>
      <w:bookmarkEnd w:id="0"/>
    </w:tbl>
    <w:p w14:paraId="6DFB4D0B" w14:textId="77777777" w:rsidR="009D1518" w:rsidRPr="004571E5" w:rsidRDefault="009D1518" w:rsidP="00481F2E">
      <w:pPr>
        <w:spacing w:after="0" w:line="240" w:lineRule="auto"/>
        <w:jc w:val="both"/>
        <w:rPr>
          <w:rFonts w:ascii="Times New Roman" w:hAnsi="Times New Roman" w:cs="Times New Roman"/>
          <w:b/>
          <w:sz w:val="28"/>
          <w:szCs w:val="28"/>
          <w:lang w:val="es-ES_tradnl"/>
        </w:rPr>
      </w:pPr>
    </w:p>
    <w:p w14:paraId="3BB53A3C" w14:textId="6ED93ACF" w:rsidR="00D06A9B" w:rsidRPr="004571E5" w:rsidRDefault="00D06A9B" w:rsidP="00481F2E">
      <w:pPr>
        <w:spacing w:after="0" w:line="240" w:lineRule="auto"/>
        <w:jc w:val="both"/>
        <w:rPr>
          <w:rFonts w:ascii="Times New Roman" w:hAnsi="Times New Roman" w:cs="Times New Roman"/>
          <w:b/>
          <w:sz w:val="28"/>
          <w:szCs w:val="28"/>
          <w:lang w:val="es-ES_tradnl"/>
        </w:rPr>
      </w:pPr>
      <w:r w:rsidRPr="004571E5">
        <w:rPr>
          <w:rFonts w:ascii="Times New Roman" w:hAnsi="Times New Roman" w:cs="Times New Roman"/>
          <w:b/>
          <w:sz w:val="28"/>
          <w:szCs w:val="28"/>
          <w:lang w:val="es-ES_tradnl"/>
        </w:rPr>
        <w:t xml:space="preserve">Trámite procesal </w:t>
      </w:r>
    </w:p>
    <w:p w14:paraId="1EB200C7" w14:textId="77777777" w:rsidR="0027138C" w:rsidRPr="004571E5" w:rsidRDefault="0027138C" w:rsidP="00481F2E">
      <w:pPr>
        <w:spacing w:after="0" w:line="240" w:lineRule="auto"/>
        <w:jc w:val="both"/>
        <w:rPr>
          <w:rFonts w:ascii="Times New Roman" w:hAnsi="Times New Roman" w:cs="Times New Roman"/>
          <w:b/>
          <w:sz w:val="28"/>
          <w:szCs w:val="28"/>
          <w:lang w:val="es-ES_tradnl"/>
        </w:rPr>
      </w:pPr>
    </w:p>
    <w:p w14:paraId="5F2BEF02" w14:textId="77777777" w:rsidR="009D1518" w:rsidRPr="004571E5" w:rsidRDefault="009D1518" w:rsidP="00481F2E">
      <w:pPr>
        <w:pStyle w:val="Prrafodelista"/>
        <w:numPr>
          <w:ilvl w:val="0"/>
          <w:numId w:val="1"/>
        </w:numPr>
        <w:tabs>
          <w:tab w:val="left" w:pos="284"/>
        </w:tabs>
        <w:spacing w:after="0" w:line="240" w:lineRule="auto"/>
        <w:jc w:val="both"/>
        <w:rPr>
          <w:rFonts w:ascii="Times New Roman" w:hAnsi="Times New Roman" w:cs="Times New Roman"/>
          <w:b/>
          <w:sz w:val="28"/>
          <w:szCs w:val="28"/>
          <w:lang w:val="es-ES_tradnl"/>
        </w:rPr>
      </w:pPr>
      <w:r w:rsidRPr="004571E5">
        <w:rPr>
          <w:rFonts w:ascii="Times New Roman" w:hAnsi="Times New Roman" w:cs="Times New Roman"/>
          <w:sz w:val="28"/>
          <w:szCs w:val="28"/>
          <w:lang w:val="es-ES_tradnl"/>
        </w:rPr>
        <w:t>Mediante auto del 29 de marzo de 2023 la Sección Cuarta del Consejo de Estado avocó conocimiento de la acción de tutela y corrió traslado a las accionadas.</w:t>
      </w:r>
    </w:p>
    <w:p w14:paraId="337CFB37" w14:textId="77777777" w:rsidR="009D1518" w:rsidRPr="004571E5" w:rsidRDefault="009D1518" w:rsidP="00481F2E">
      <w:pPr>
        <w:pStyle w:val="Prrafodelista"/>
        <w:tabs>
          <w:tab w:val="left" w:pos="284"/>
        </w:tabs>
        <w:spacing w:after="0" w:line="240" w:lineRule="auto"/>
        <w:ind w:left="0"/>
        <w:jc w:val="both"/>
        <w:rPr>
          <w:rFonts w:ascii="Times New Roman" w:hAnsi="Times New Roman" w:cs="Times New Roman"/>
          <w:b/>
          <w:sz w:val="28"/>
          <w:szCs w:val="28"/>
          <w:lang w:val="es-ES_tradnl"/>
        </w:rPr>
      </w:pPr>
    </w:p>
    <w:p w14:paraId="0C9A4224" w14:textId="77777777" w:rsidR="009D1518" w:rsidRPr="004571E5" w:rsidRDefault="009D1518" w:rsidP="00481F2E">
      <w:pPr>
        <w:pStyle w:val="Prrafodelista"/>
        <w:numPr>
          <w:ilvl w:val="0"/>
          <w:numId w:val="1"/>
        </w:numPr>
        <w:tabs>
          <w:tab w:val="left" w:pos="284"/>
        </w:tabs>
        <w:spacing w:after="0" w:line="240" w:lineRule="auto"/>
        <w:jc w:val="both"/>
        <w:rPr>
          <w:rFonts w:ascii="Times New Roman" w:hAnsi="Times New Roman" w:cs="Times New Roman"/>
          <w:bCs/>
          <w:sz w:val="28"/>
          <w:szCs w:val="28"/>
          <w:lang w:val="es-ES_tradnl"/>
        </w:rPr>
      </w:pPr>
      <w:r w:rsidRPr="004571E5">
        <w:rPr>
          <w:rFonts w:ascii="Times New Roman" w:hAnsi="Times New Roman" w:cs="Times New Roman"/>
          <w:bCs/>
          <w:sz w:val="28"/>
          <w:szCs w:val="28"/>
          <w:lang w:val="es-ES_tradnl"/>
        </w:rPr>
        <w:t xml:space="preserve">El Ministerio de Defensa – Ejército Nacional se opuso a la prosperidad de la acción de tutela. Sostuvo que la apoderada omitió su deber de señalar con claridad los defectos en los que incurrió la autoridad judicial. Consideró que la parte demandante busca revivir la discusión jurídica y el análisis probatorio que se presentó en la jurisdicción de lo contencioso administrativo. </w:t>
      </w:r>
    </w:p>
    <w:p w14:paraId="14E80538" w14:textId="77777777" w:rsidR="009D1518" w:rsidRPr="004571E5" w:rsidRDefault="009D1518" w:rsidP="00481F2E">
      <w:pPr>
        <w:pStyle w:val="Prrafodelista"/>
        <w:spacing w:line="240" w:lineRule="auto"/>
        <w:rPr>
          <w:rFonts w:ascii="Times New Roman" w:hAnsi="Times New Roman" w:cs="Times New Roman"/>
          <w:bCs/>
          <w:sz w:val="28"/>
          <w:szCs w:val="28"/>
          <w:lang w:val="es-ES_tradnl"/>
        </w:rPr>
      </w:pPr>
    </w:p>
    <w:p w14:paraId="6AC934BB" w14:textId="70B28B63" w:rsidR="009D1518" w:rsidRPr="004571E5" w:rsidRDefault="009D1518" w:rsidP="00481F2E">
      <w:pPr>
        <w:pStyle w:val="Prrafodelista"/>
        <w:numPr>
          <w:ilvl w:val="0"/>
          <w:numId w:val="1"/>
        </w:numPr>
        <w:tabs>
          <w:tab w:val="left" w:pos="284"/>
        </w:tabs>
        <w:spacing w:after="0" w:line="240" w:lineRule="auto"/>
        <w:jc w:val="both"/>
        <w:rPr>
          <w:rFonts w:ascii="Times New Roman" w:hAnsi="Times New Roman" w:cs="Times New Roman"/>
          <w:bCs/>
          <w:sz w:val="28"/>
          <w:szCs w:val="28"/>
          <w:lang w:val="es-ES_tradnl"/>
        </w:rPr>
      </w:pPr>
      <w:r w:rsidRPr="004571E5">
        <w:rPr>
          <w:rFonts w:ascii="Times New Roman" w:hAnsi="Times New Roman" w:cs="Times New Roman"/>
          <w:bCs/>
          <w:sz w:val="28"/>
          <w:szCs w:val="28"/>
          <w:lang w:val="es-ES_tradnl"/>
        </w:rPr>
        <w:t>El consejero ponente de la decisión atacada indicó que las consideraciones expuestas en dicha sentencia “</w:t>
      </w:r>
      <w:r w:rsidRPr="004571E5">
        <w:rPr>
          <w:rFonts w:ascii="Times New Roman" w:hAnsi="Times New Roman" w:cs="Times New Roman"/>
          <w:bCs/>
          <w:sz w:val="28"/>
          <w:szCs w:val="28"/>
        </w:rPr>
        <w:t>son suficientes para explicar la improcedencia del amparo solicitado”</w:t>
      </w:r>
      <w:r w:rsidRPr="004571E5">
        <w:rPr>
          <w:rStyle w:val="Refdenotaalpie"/>
          <w:rFonts w:ascii="Times New Roman" w:hAnsi="Times New Roman" w:cs="Times New Roman"/>
          <w:bCs/>
          <w:sz w:val="28"/>
          <w:szCs w:val="28"/>
        </w:rPr>
        <w:footnoteReference w:id="5"/>
      </w:r>
      <w:r w:rsidRPr="004571E5">
        <w:rPr>
          <w:rFonts w:ascii="Times New Roman" w:hAnsi="Times New Roman" w:cs="Times New Roman"/>
          <w:bCs/>
          <w:sz w:val="28"/>
          <w:szCs w:val="28"/>
          <w:lang w:val="es-ES_tradnl"/>
        </w:rPr>
        <w:t>.</w:t>
      </w:r>
    </w:p>
    <w:p w14:paraId="077CD506" w14:textId="77777777" w:rsidR="009D1518" w:rsidRPr="004571E5" w:rsidRDefault="009D1518" w:rsidP="00481F2E">
      <w:pPr>
        <w:spacing w:after="0" w:line="240" w:lineRule="auto"/>
        <w:jc w:val="both"/>
        <w:rPr>
          <w:rFonts w:ascii="Times New Roman" w:hAnsi="Times New Roman" w:cs="Times New Roman"/>
          <w:bCs/>
          <w:sz w:val="28"/>
          <w:szCs w:val="28"/>
          <w:lang w:val="es-ES_tradnl"/>
        </w:rPr>
      </w:pPr>
    </w:p>
    <w:p w14:paraId="49CCCB5F" w14:textId="02CD48D2" w:rsidR="00D06A9B" w:rsidRPr="004571E5" w:rsidRDefault="00D06A9B" w:rsidP="00481F2E">
      <w:pPr>
        <w:spacing w:after="0" w:line="240" w:lineRule="auto"/>
        <w:jc w:val="both"/>
        <w:rPr>
          <w:rFonts w:ascii="Times New Roman" w:hAnsi="Times New Roman" w:cs="Times New Roman"/>
          <w:b/>
          <w:sz w:val="28"/>
          <w:szCs w:val="28"/>
          <w:lang w:val="es-ES_tradnl"/>
        </w:rPr>
      </w:pPr>
      <w:r w:rsidRPr="004571E5">
        <w:rPr>
          <w:rFonts w:ascii="Times New Roman" w:hAnsi="Times New Roman" w:cs="Times New Roman"/>
          <w:b/>
          <w:sz w:val="28"/>
          <w:szCs w:val="28"/>
          <w:lang w:val="es-ES_tradnl"/>
        </w:rPr>
        <w:t>Sentencia</w:t>
      </w:r>
      <w:r w:rsidR="009D1518" w:rsidRPr="004571E5">
        <w:rPr>
          <w:rFonts w:ascii="Times New Roman" w:hAnsi="Times New Roman" w:cs="Times New Roman"/>
          <w:b/>
          <w:sz w:val="28"/>
          <w:szCs w:val="28"/>
          <w:lang w:val="es-ES_tradnl"/>
        </w:rPr>
        <w:t>s</w:t>
      </w:r>
      <w:r w:rsidRPr="004571E5">
        <w:rPr>
          <w:rFonts w:ascii="Times New Roman" w:hAnsi="Times New Roman" w:cs="Times New Roman"/>
          <w:b/>
          <w:sz w:val="28"/>
          <w:szCs w:val="28"/>
          <w:lang w:val="es-ES_tradnl"/>
        </w:rPr>
        <w:t xml:space="preserve"> objeto de revisión</w:t>
      </w:r>
    </w:p>
    <w:p w14:paraId="109B9D25" w14:textId="77777777" w:rsidR="008C0F09" w:rsidRPr="004571E5" w:rsidRDefault="008C0F09" w:rsidP="00481F2E">
      <w:pPr>
        <w:spacing w:after="0" w:line="240" w:lineRule="auto"/>
        <w:jc w:val="both"/>
        <w:rPr>
          <w:rFonts w:ascii="Times New Roman" w:hAnsi="Times New Roman" w:cs="Times New Roman"/>
          <w:b/>
          <w:sz w:val="28"/>
          <w:szCs w:val="28"/>
          <w:lang w:val="es-ES_tradnl"/>
        </w:rPr>
      </w:pPr>
    </w:p>
    <w:p w14:paraId="3A668847" w14:textId="468E8C79" w:rsidR="009D1518" w:rsidRPr="004571E5" w:rsidRDefault="009D1518" w:rsidP="00481F2E">
      <w:pPr>
        <w:pStyle w:val="Prrafodelista"/>
        <w:numPr>
          <w:ilvl w:val="0"/>
          <w:numId w:val="1"/>
        </w:numPr>
        <w:tabs>
          <w:tab w:val="left" w:pos="426"/>
        </w:tabs>
        <w:spacing w:after="0" w:line="240" w:lineRule="auto"/>
        <w:jc w:val="both"/>
        <w:rPr>
          <w:rFonts w:ascii="Times New Roman" w:hAnsi="Times New Roman" w:cs="Times New Roman"/>
          <w:sz w:val="28"/>
          <w:szCs w:val="28"/>
          <w:lang w:val="es-ES_tradnl"/>
        </w:rPr>
      </w:pPr>
      <w:r w:rsidRPr="004571E5">
        <w:rPr>
          <w:rFonts w:ascii="Times New Roman" w:hAnsi="Times New Roman" w:cs="Times New Roman"/>
          <w:i/>
          <w:iCs/>
          <w:sz w:val="28"/>
          <w:szCs w:val="28"/>
        </w:rPr>
        <w:t>Primera instancia</w:t>
      </w:r>
      <w:r w:rsidRPr="004571E5">
        <w:rPr>
          <w:rFonts w:ascii="Times New Roman" w:hAnsi="Times New Roman" w:cs="Times New Roman"/>
          <w:sz w:val="28"/>
          <w:szCs w:val="28"/>
        </w:rPr>
        <w:t xml:space="preserve">. En sentencia del 19 de julio de 2023, la Sección Cuarta del Consejo de Estado </w:t>
      </w:r>
      <w:r w:rsidRPr="004571E5">
        <w:rPr>
          <w:rFonts w:ascii="Times New Roman" w:hAnsi="Times New Roman" w:cs="Times New Roman"/>
          <w:b/>
          <w:bCs/>
          <w:sz w:val="28"/>
          <w:szCs w:val="28"/>
        </w:rPr>
        <w:t>concedió</w:t>
      </w:r>
      <w:r w:rsidRPr="004571E5">
        <w:rPr>
          <w:rFonts w:ascii="Times New Roman" w:hAnsi="Times New Roman" w:cs="Times New Roman"/>
          <w:sz w:val="28"/>
          <w:szCs w:val="28"/>
        </w:rPr>
        <w:t xml:space="preserve"> el amparo.</w:t>
      </w:r>
      <w:r w:rsidRPr="004571E5">
        <w:rPr>
          <w:rFonts w:ascii="Times New Roman" w:hAnsi="Times New Roman" w:cs="Times New Roman"/>
          <w:i/>
          <w:iCs/>
          <w:sz w:val="28"/>
          <w:szCs w:val="28"/>
        </w:rPr>
        <w:t xml:space="preserve"> </w:t>
      </w:r>
      <w:r w:rsidRPr="004571E5">
        <w:rPr>
          <w:rFonts w:ascii="Times New Roman" w:hAnsi="Times New Roman" w:cs="Times New Roman"/>
          <w:sz w:val="28"/>
          <w:szCs w:val="28"/>
        </w:rPr>
        <w:t xml:space="preserve">Sostuvo que la jurisprudencia del Consejo de Estado y de la Corte Constitucional ha indicado que se deben flexibilizar los requisitos probatorios en casos de graves violaciones a derechos humanos y, particularmente, de ejecuciones extrajudiciales. Hizo referencia a las sentencias del 27 de septiembre de 2013 </w:t>
      </w:r>
      <w:r w:rsidR="008D6EEE" w:rsidRPr="004571E5">
        <w:rPr>
          <w:rFonts w:ascii="Times New Roman" w:hAnsi="Times New Roman" w:cs="Times New Roman"/>
          <w:sz w:val="28"/>
          <w:szCs w:val="28"/>
        </w:rPr>
        <w:t>(</w:t>
      </w:r>
      <w:r w:rsidRPr="004571E5">
        <w:rPr>
          <w:rFonts w:ascii="Times New Roman" w:hAnsi="Times New Roman" w:cs="Times New Roman"/>
          <w:sz w:val="28"/>
          <w:szCs w:val="28"/>
        </w:rPr>
        <w:t>19939</w:t>
      </w:r>
      <w:r w:rsidR="008D6EEE" w:rsidRPr="004571E5">
        <w:rPr>
          <w:rFonts w:ascii="Times New Roman" w:hAnsi="Times New Roman" w:cs="Times New Roman"/>
          <w:sz w:val="28"/>
          <w:szCs w:val="28"/>
        </w:rPr>
        <w:t>)</w:t>
      </w:r>
      <w:r w:rsidRPr="004571E5">
        <w:rPr>
          <w:rFonts w:ascii="Times New Roman" w:hAnsi="Times New Roman" w:cs="Times New Roman"/>
          <w:sz w:val="28"/>
          <w:szCs w:val="28"/>
        </w:rPr>
        <w:t xml:space="preserve"> de la Subsección B de la Sección Tercera y del 23 de marzo de 2017 </w:t>
      </w:r>
      <w:r w:rsidR="008D6EEE" w:rsidRPr="004571E5">
        <w:rPr>
          <w:rFonts w:ascii="Times New Roman" w:hAnsi="Times New Roman" w:cs="Times New Roman"/>
          <w:sz w:val="28"/>
          <w:szCs w:val="28"/>
        </w:rPr>
        <w:t>(</w:t>
      </w:r>
      <w:r w:rsidRPr="004571E5">
        <w:rPr>
          <w:rFonts w:ascii="Times New Roman" w:hAnsi="Times New Roman" w:cs="Times New Roman"/>
          <w:sz w:val="28"/>
          <w:szCs w:val="28"/>
        </w:rPr>
        <w:t>50941</w:t>
      </w:r>
      <w:r w:rsidR="008D6EEE" w:rsidRPr="004571E5">
        <w:rPr>
          <w:rFonts w:ascii="Times New Roman" w:hAnsi="Times New Roman" w:cs="Times New Roman"/>
          <w:sz w:val="28"/>
          <w:szCs w:val="28"/>
        </w:rPr>
        <w:t>)</w:t>
      </w:r>
      <w:r w:rsidRPr="004571E5">
        <w:rPr>
          <w:rFonts w:ascii="Times New Roman" w:hAnsi="Times New Roman" w:cs="Times New Roman"/>
          <w:sz w:val="28"/>
          <w:szCs w:val="28"/>
        </w:rPr>
        <w:t xml:space="preserve"> de la Subsección A de la Sección Tercera. </w:t>
      </w:r>
      <w:r w:rsidR="008439D3" w:rsidRPr="004571E5">
        <w:rPr>
          <w:rFonts w:ascii="Times New Roman" w:hAnsi="Times New Roman" w:cs="Times New Roman"/>
          <w:sz w:val="28"/>
          <w:szCs w:val="28"/>
        </w:rPr>
        <w:t>En consecuencia, ordenó a la Subsección accionada proferir una nueva decisión teniendo en cuenta el precedente en la materia.</w:t>
      </w:r>
    </w:p>
    <w:p w14:paraId="0A86D8F9" w14:textId="77777777" w:rsidR="009D1518" w:rsidRPr="004571E5" w:rsidRDefault="009D1518" w:rsidP="00481F2E">
      <w:pPr>
        <w:pStyle w:val="Prrafodelista"/>
        <w:tabs>
          <w:tab w:val="left" w:pos="426"/>
        </w:tabs>
        <w:spacing w:after="0" w:line="240" w:lineRule="auto"/>
        <w:ind w:left="0"/>
        <w:jc w:val="both"/>
        <w:rPr>
          <w:rFonts w:ascii="Times New Roman" w:hAnsi="Times New Roman" w:cs="Times New Roman"/>
          <w:sz w:val="28"/>
          <w:szCs w:val="28"/>
          <w:lang w:val="es-ES_tradnl"/>
        </w:rPr>
      </w:pPr>
    </w:p>
    <w:p w14:paraId="723E7F60" w14:textId="675C1681" w:rsidR="009D1518" w:rsidRPr="004571E5" w:rsidRDefault="008439D3" w:rsidP="00481F2E">
      <w:pPr>
        <w:pStyle w:val="Prrafodelista"/>
        <w:numPr>
          <w:ilvl w:val="0"/>
          <w:numId w:val="1"/>
        </w:numPr>
        <w:tabs>
          <w:tab w:val="left" w:pos="426"/>
        </w:tabs>
        <w:spacing w:after="0"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rPr>
        <w:t>El</w:t>
      </w:r>
      <w:r w:rsidR="009D1518" w:rsidRPr="004571E5">
        <w:rPr>
          <w:rFonts w:ascii="Times New Roman" w:hAnsi="Times New Roman" w:cs="Times New Roman"/>
          <w:sz w:val="28"/>
          <w:szCs w:val="28"/>
        </w:rPr>
        <w:t xml:space="preserve"> juez consideró que la providencia cuestionada valoró el acervo probatorio con excesiva rigurosidad. Específicamente sostuvo que (i) los testimonios </w:t>
      </w:r>
      <w:r w:rsidR="009D1518" w:rsidRPr="004571E5">
        <w:rPr>
          <w:rFonts w:ascii="Times New Roman" w:hAnsi="Times New Roman" w:cs="Times New Roman"/>
          <w:sz w:val="28"/>
          <w:szCs w:val="28"/>
        </w:rPr>
        <w:lastRenderedPageBreak/>
        <w:t>practicados por el Tribunal Administrativo de Antioquia fueron todos coincidentes en que el fallecido vivía en Medellín y trabajaba en la prestación de servicios de electricidad; (</w:t>
      </w:r>
      <w:proofErr w:type="spellStart"/>
      <w:r w:rsidR="009D1518" w:rsidRPr="004571E5">
        <w:rPr>
          <w:rFonts w:ascii="Times New Roman" w:hAnsi="Times New Roman" w:cs="Times New Roman"/>
          <w:sz w:val="28"/>
          <w:szCs w:val="28"/>
        </w:rPr>
        <w:t>ii</w:t>
      </w:r>
      <w:proofErr w:type="spellEnd"/>
      <w:r w:rsidR="009D1518" w:rsidRPr="004571E5">
        <w:rPr>
          <w:rFonts w:ascii="Times New Roman" w:hAnsi="Times New Roman" w:cs="Times New Roman"/>
          <w:sz w:val="28"/>
          <w:szCs w:val="28"/>
        </w:rPr>
        <w:t xml:space="preserve">) tres de los </w:t>
      </w:r>
      <w:r w:rsidR="00374237" w:rsidRPr="004571E5">
        <w:rPr>
          <w:rFonts w:ascii="Times New Roman" w:hAnsi="Times New Roman" w:cs="Times New Roman"/>
          <w:sz w:val="28"/>
          <w:szCs w:val="28"/>
        </w:rPr>
        <w:t>fallecidos</w:t>
      </w:r>
      <w:r w:rsidR="009D1518" w:rsidRPr="004571E5">
        <w:rPr>
          <w:rFonts w:ascii="Times New Roman" w:hAnsi="Times New Roman" w:cs="Times New Roman"/>
          <w:sz w:val="28"/>
          <w:szCs w:val="28"/>
        </w:rPr>
        <w:t xml:space="preserve"> no dispararon armas, lo que hace que pierda fuerza la tesis del supuesto enfrentamiento; (</w:t>
      </w:r>
      <w:proofErr w:type="spellStart"/>
      <w:r w:rsidR="009D1518" w:rsidRPr="004571E5">
        <w:rPr>
          <w:rFonts w:ascii="Times New Roman" w:hAnsi="Times New Roman" w:cs="Times New Roman"/>
          <w:sz w:val="28"/>
          <w:szCs w:val="28"/>
        </w:rPr>
        <w:t>iii</w:t>
      </w:r>
      <w:proofErr w:type="spellEnd"/>
      <w:r w:rsidR="009D1518" w:rsidRPr="004571E5">
        <w:rPr>
          <w:rFonts w:ascii="Times New Roman" w:hAnsi="Times New Roman" w:cs="Times New Roman"/>
          <w:sz w:val="28"/>
          <w:szCs w:val="28"/>
        </w:rPr>
        <w:t>) según el informe pericial de balística forense, las cuatro armas encontradas fueron disparadas, pero solo una de las bajas resultó compatible con residuos de disparo en mano; (</w:t>
      </w:r>
      <w:proofErr w:type="spellStart"/>
      <w:r w:rsidR="009D1518" w:rsidRPr="004571E5">
        <w:rPr>
          <w:rFonts w:ascii="Times New Roman" w:hAnsi="Times New Roman" w:cs="Times New Roman"/>
          <w:sz w:val="28"/>
          <w:szCs w:val="28"/>
        </w:rPr>
        <w:t>iv</w:t>
      </w:r>
      <w:proofErr w:type="spellEnd"/>
      <w:r w:rsidR="009D1518" w:rsidRPr="004571E5">
        <w:rPr>
          <w:rFonts w:ascii="Times New Roman" w:hAnsi="Times New Roman" w:cs="Times New Roman"/>
          <w:sz w:val="28"/>
          <w:szCs w:val="28"/>
        </w:rPr>
        <w:t>) uno de los impactos de bala dejó tatuaje y bandeleta; (v) hubo un exceso de munición gastada pese a que solo una de las personas dadas de baja resultó compatible con residuos de disparo en la mano; (vi) se encontró una hoja de vida de color azul y se ha documentado que muchas víctimas de ejecuciones extrajudiciales fueron conducidas a zonas rurales con promesas de trabajo</w:t>
      </w:r>
      <w:r w:rsidR="00C247D3" w:rsidRPr="004571E5">
        <w:rPr>
          <w:rStyle w:val="Refdenotaalpie"/>
          <w:rFonts w:ascii="Times New Roman" w:hAnsi="Times New Roman" w:cs="Times New Roman"/>
          <w:sz w:val="28"/>
          <w:szCs w:val="28"/>
        </w:rPr>
        <w:footnoteReference w:id="6"/>
      </w:r>
      <w:r w:rsidR="009D1518" w:rsidRPr="004571E5">
        <w:rPr>
          <w:rFonts w:ascii="Times New Roman" w:hAnsi="Times New Roman" w:cs="Times New Roman"/>
          <w:sz w:val="28"/>
          <w:szCs w:val="28"/>
        </w:rPr>
        <w:t>; y (</w:t>
      </w:r>
      <w:proofErr w:type="spellStart"/>
      <w:r w:rsidR="009D1518" w:rsidRPr="004571E5">
        <w:rPr>
          <w:rFonts w:ascii="Times New Roman" w:hAnsi="Times New Roman" w:cs="Times New Roman"/>
          <w:sz w:val="28"/>
          <w:szCs w:val="28"/>
        </w:rPr>
        <w:t>vii</w:t>
      </w:r>
      <w:proofErr w:type="spellEnd"/>
      <w:r w:rsidR="009D1518" w:rsidRPr="004571E5">
        <w:rPr>
          <w:rFonts w:ascii="Times New Roman" w:hAnsi="Times New Roman" w:cs="Times New Roman"/>
          <w:sz w:val="28"/>
          <w:szCs w:val="28"/>
        </w:rPr>
        <w:t>) no se valoró debidamente el testimonio de los vecinos de la vereda, quienes señalaron que los delincuentes tenían pasamontañas, por lo que no es claro cómo reconocieron a los fallecidos.</w:t>
      </w:r>
    </w:p>
    <w:p w14:paraId="62A98B8C" w14:textId="77777777" w:rsidR="009D1518" w:rsidRPr="004571E5" w:rsidRDefault="009D1518" w:rsidP="00481F2E">
      <w:pPr>
        <w:pStyle w:val="Prrafodelista"/>
        <w:tabs>
          <w:tab w:val="left" w:pos="426"/>
        </w:tabs>
        <w:spacing w:after="0" w:line="240" w:lineRule="auto"/>
        <w:ind w:left="0"/>
        <w:jc w:val="both"/>
        <w:rPr>
          <w:rFonts w:ascii="Times New Roman" w:hAnsi="Times New Roman" w:cs="Times New Roman"/>
          <w:sz w:val="28"/>
          <w:szCs w:val="28"/>
          <w:lang w:val="es-ES_tradnl"/>
        </w:rPr>
      </w:pPr>
    </w:p>
    <w:p w14:paraId="56829295" w14:textId="38BD059B" w:rsidR="009D1518" w:rsidRPr="004571E5" w:rsidRDefault="009D1518" w:rsidP="00481F2E">
      <w:pPr>
        <w:pStyle w:val="Prrafodelista"/>
        <w:numPr>
          <w:ilvl w:val="0"/>
          <w:numId w:val="1"/>
        </w:numPr>
        <w:tabs>
          <w:tab w:val="left" w:pos="426"/>
        </w:tabs>
        <w:spacing w:after="0" w:line="240" w:lineRule="auto"/>
        <w:jc w:val="both"/>
        <w:rPr>
          <w:rFonts w:ascii="Times New Roman" w:hAnsi="Times New Roman" w:cs="Times New Roman"/>
          <w:sz w:val="28"/>
          <w:szCs w:val="28"/>
          <w:lang w:val="es-ES_tradnl"/>
        </w:rPr>
      </w:pPr>
      <w:r w:rsidRPr="004571E5">
        <w:rPr>
          <w:rFonts w:ascii="Times New Roman" w:hAnsi="Times New Roman" w:cs="Times New Roman"/>
          <w:i/>
          <w:iCs/>
          <w:sz w:val="28"/>
          <w:szCs w:val="28"/>
          <w:lang w:val="es-ES_tradnl"/>
        </w:rPr>
        <w:t>Impugnación</w:t>
      </w:r>
      <w:r w:rsidRPr="004571E5">
        <w:rPr>
          <w:rFonts w:ascii="Times New Roman" w:hAnsi="Times New Roman" w:cs="Times New Roman"/>
          <w:sz w:val="28"/>
          <w:szCs w:val="28"/>
          <w:lang w:val="es-ES_tradnl"/>
        </w:rPr>
        <w:t>. El consejero ponente de la decisión atacada impugnó la anterior decisión. Sostuvo que (i) la flexibilización probatoria no es obligatoria; (</w:t>
      </w:r>
      <w:proofErr w:type="spellStart"/>
      <w:r w:rsidRPr="004571E5">
        <w:rPr>
          <w:rFonts w:ascii="Times New Roman" w:hAnsi="Times New Roman" w:cs="Times New Roman"/>
          <w:sz w:val="28"/>
          <w:szCs w:val="28"/>
          <w:lang w:val="es-ES_tradnl"/>
        </w:rPr>
        <w:t>ii</w:t>
      </w:r>
      <w:proofErr w:type="spellEnd"/>
      <w:r w:rsidRPr="004571E5">
        <w:rPr>
          <w:rFonts w:ascii="Times New Roman" w:hAnsi="Times New Roman" w:cs="Times New Roman"/>
          <w:sz w:val="28"/>
          <w:szCs w:val="28"/>
          <w:lang w:val="es-ES_tradnl"/>
        </w:rPr>
        <w:t>) las sentencias de las subsecciones A y B de la Sección Tercera del Consejo de Estado invocadas por la autoridad judicial “</w:t>
      </w:r>
      <w:r w:rsidRPr="004571E5">
        <w:rPr>
          <w:rFonts w:ascii="Times New Roman" w:hAnsi="Times New Roman" w:cs="Times New Roman"/>
          <w:sz w:val="28"/>
          <w:szCs w:val="28"/>
        </w:rPr>
        <w:t>no son providencias de unificación, ni de ellas se puede afirmar su ‘obligatoriedad’ en relación con otras autoridades judiciales pares. Tampoco constituyen un ‘precedente’ –figura ajena al ordenamiento jurídico colombiano que es de carácter legislado–, pues dichas subsecciones son autoridades judiciales diferentes a la Subsección C”</w:t>
      </w:r>
      <w:r w:rsidRPr="004571E5">
        <w:rPr>
          <w:rStyle w:val="Refdenotaalpie"/>
          <w:rFonts w:ascii="Times New Roman" w:hAnsi="Times New Roman" w:cs="Times New Roman"/>
          <w:sz w:val="28"/>
          <w:szCs w:val="28"/>
        </w:rPr>
        <w:footnoteReference w:id="7"/>
      </w:r>
      <w:r w:rsidRPr="004571E5">
        <w:rPr>
          <w:rFonts w:ascii="Times New Roman" w:hAnsi="Times New Roman" w:cs="Times New Roman"/>
          <w:sz w:val="28"/>
          <w:szCs w:val="28"/>
        </w:rPr>
        <w:t>; (</w:t>
      </w:r>
      <w:proofErr w:type="spellStart"/>
      <w:r w:rsidRPr="004571E5">
        <w:rPr>
          <w:rFonts w:ascii="Times New Roman" w:hAnsi="Times New Roman" w:cs="Times New Roman"/>
          <w:sz w:val="28"/>
          <w:szCs w:val="28"/>
        </w:rPr>
        <w:t>iii</w:t>
      </w:r>
      <w:proofErr w:type="spellEnd"/>
      <w:r w:rsidRPr="004571E5">
        <w:rPr>
          <w:rFonts w:ascii="Times New Roman" w:hAnsi="Times New Roman" w:cs="Times New Roman"/>
          <w:sz w:val="28"/>
          <w:szCs w:val="28"/>
        </w:rPr>
        <w:t>) la sentencia reprochada se dictó siguiendo las reglas de la sana crítica y la lógica; y (</w:t>
      </w:r>
      <w:proofErr w:type="spellStart"/>
      <w:r w:rsidRPr="004571E5">
        <w:rPr>
          <w:rFonts w:ascii="Times New Roman" w:hAnsi="Times New Roman" w:cs="Times New Roman"/>
          <w:sz w:val="28"/>
          <w:szCs w:val="28"/>
        </w:rPr>
        <w:t>iv</w:t>
      </w:r>
      <w:proofErr w:type="spellEnd"/>
      <w:r w:rsidRPr="004571E5">
        <w:rPr>
          <w:rFonts w:ascii="Times New Roman" w:hAnsi="Times New Roman" w:cs="Times New Roman"/>
          <w:sz w:val="28"/>
          <w:szCs w:val="28"/>
        </w:rPr>
        <w:t xml:space="preserve">) la sentencia de tutela se basó en el informe </w:t>
      </w:r>
      <w:r w:rsidRPr="004571E5">
        <w:rPr>
          <w:rFonts w:ascii="Times New Roman" w:hAnsi="Times New Roman" w:cs="Times New Roman"/>
          <w:i/>
          <w:iCs/>
          <w:sz w:val="28"/>
          <w:szCs w:val="28"/>
        </w:rPr>
        <w:t>Hallazgos y Recomendaciones</w:t>
      </w:r>
      <w:r w:rsidRPr="004571E5">
        <w:rPr>
          <w:rFonts w:ascii="Times New Roman" w:hAnsi="Times New Roman" w:cs="Times New Roman"/>
          <w:sz w:val="28"/>
          <w:szCs w:val="28"/>
        </w:rPr>
        <w:t xml:space="preserve"> de la Comisión de la Verdad para justificar la dificultad probatoria a la que se enfrentan las víctimas en casos de ejecuciones extrajudiciales</w:t>
      </w:r>
      <w:r w:rsidR="00D13E08" w:rsidRPr="004571E5">
        <w:rPr>
          <w:rFonts w:ascii="Times New Roman" w:hAnsi="Times New Roman" w:cs="Times New Roman"/>
          <w:sz w:val="28"/>
          <w:szCs w:val="28"/>
        </w:rPr>
        <w:t xml:space="preserve">, a pesar de que </w:t>
      </w:r>
      <w:r w:rsidRPr="004571E5">
        <w:rPr>
          <w:rFonts w:ascii="Times New Roman" w:hAnsi="Times New Roman" w:cs="Times New Roman"/>
          <w:sz w:val="28"/>
          <w:szCs w:val="28"/>
        </w:rPr>
        <w:t xml:space="preserve"> estos informes “no estaban revestidos de carácter judicial, ni podían servir al propósito de atribuir responsabilidades en procesos judiciales o tener valor probatorio alguno”</w:t>
      </w:r>
      <w:r w:rsidRPr="004571E5">
        <w:rPr>
          <w:rStyle w:val="Refdenotaalpie"/>
          <w:rFonts w:ascii="Times New Roman" w:hAnsi="Times New Roman" w:cs="Times New Roman"/>
          <w:sz w:val="28"/>
          <w:szCs w:val="28"/>
        </w:rPr>
        <w:footnoteReference w:id="8"/>
      </w:r>
      <w:r w:rsidRPr="004571E5">
        <w:rPr>
          <w:rFonts w:ascii="Times New Roman" w:hAnsi="Times New Roman" w:cs="Times New Roman"/>
          <w:sz w:val="28"/>
          <w:szCs w:val="28"/>
        </w:rPr>
        <w:t>.</w:t>
      </w:r>
    </w:p>
    <w:p w14:paraId="722F1D28" w14:textId="77777777" w:rsidR="009D1518" w:rsidRPr="004571E5" w:rsidRDefault="009D1518" w:rsidP="00481F2E">
      <w:pPr>
        <w:pStyle w:val="Prrafodelista"/>
        <w:tabs>
          <w:tab w:val="left" w:pos="426"/>
        </w:tabs>
        <w:spacing w:after="0" w:line="240" w:lineRule="auto"/>
        <w:ind w:left="0"/>
        <w:jc w:val="both"/>
        <w:rPr>
          <w:rFonts w:ascii="Times New Roman" w:hAnsi="Times New Roman" w:cs="Times New Roman"/>
          <w:sz w:val="28"/>
          <w:szCs w:val="28"/>
          <w:lang w:val="es-ES_tradnl"/>
        </w:rPr>
      </w:pPr>
    </w:p>
    <w:p w14:paraId="403905F0" w14:textId="590168F0" w:rsidR="009D1518" w:rsidRPr="004571E5" w:rsidRDefault="009D1518" w:rsidP="00481F2E">
      <w:pPr>
        <w:pStyle w:val="Prrafodelista"/>
        <w:numPr>
          <w:ilvl w:val="0"/>
          <w:numId w:val="1"/>
        </w:numPr>
        <w:tabs>
          <w:tab w:val="left" w:pos="426"/>
        </w:tabs>
        <w:spacing w:after="0" w:line="240" w:lineRule="auto"/>
        <w:jc w:val="both"/>
        <w:rPr>
          <w:rFonts w:ascii="Times New Roman" w:hAnsi="Times New Roman" w:cs="Times New Roman"/>
          <w:sz w:val="28"/>
          <w:szCs w:val="28"/>
          <w:lang w:val="es-ES_tradnl"/>
        </w:rPr>
      </w:pPr>
      <w:r w:rsidRPr="004571E5">
        <w:rPr>
          <w:rFonts w:ascii="Times New Roman" w:hAnsi="Times New Roman" w:cs="Times New Roman"/>
          <w:i/>
          <w:iCs/>
          <w:sz w:val="28"/>
          <w:szCs w:val="28"/>
          <w:lang w:val="es-ES_tradnl"/>
        </w:rPr>
        <w:t>Segunda instancia</w:t>
      </w:r>
      <w:r w:rsidRPr="004571E5">
        <w:rPr>
          <w:rFonts w:ascii="Times New Roman" w:hAnsi="Times New Roman" w:cs="Times New Roman"/>
          <w:sz w:val="28"/>
          <w:szCs w:val="28"/>
          <w:lang w:val="es-ES_tradnl"/>
        </w:rPr>
        <w:t xml:space="preserve">. </w:t>
      </w:r>
      <w:r w:rsidRPr="004571E5">
        <w:rPr>
          <w:rFonts w:ascii="Times New Roman" w:hAnsi="Times New Roman" w:cs="Times New Roman"/>
          <w:sz w:val="28"/>
          <w:szCs w:val="28"/>
          <w:lang w:eastAsia="es-CO"/>
        </w:rPr>
        <w:t xml:space="preserve">Mediante sentencia del 12 de octubre de 2023, la Subsección A de la Sección Segunda del Consejo de Estado </w:t>
      </w:r>
      <w:r w:rsidRPr="004571E5">
        <w:rPr>
          <w:rFonts w:ascii="Times New Roman" w:hAnsi="Times New Roman" w:cs="Times New Roman"/>
          <w:b/>
          <w:bCs/>
          <w:sz w:val="28"/>
          <w:szCs w:val="28"/>
          <w:lang w:eastAsia="es-CO"/>
        </w:rPr>
        <w:t xml:space="preserve">revocó </w:t>
      </w:r>
      <w:r w:rsidRPr="004571E5">
        <w:rPr>
          <w:rFonts w:ascii="Times New Roman" w:hAnsi="Times New Roman" w:cs="Times New Roman"/>
          <w:sz w:val="28"/>
          <w:szCs w:val="28"/>
          <w:lang w:eastAsia="es-CO"/>
        </w:rPr>
        <w:t xml:space="preserve">la decisión de primera instancia y, en su lugar, </w:t>
      </w:r>
      <w:r w:rsidRPr="004571E5">
        <w:rPr>
          <w:rFonts w:ascii="Times New Roman" w:hAnsi="Times New Roman" w:cs="Times New Roman"/>
          <w:b/>
          <w:bCs/>
          <w:sz w:val="28"/>
          <w:szCs w:val="28"/>
          <w:lang w:eastAsia="es-CO"/>
        </w:rPr>
        <w:t>negó</w:t>
      </w:r>
      <w:r w:rsidRPr="004571E5">
        <w:rPr>
          <w:rFonts w:ascii="Times New Roman" w:hAnsi="Times New Roman" w:cs="Times New Roman"/>
          <w:sz w:val="28"/>
          <w:szCs w:val="28"/>
          <w:lang w:eastAsia="es-CO"/>
        </w:rPr>
        <w:t xml:space="preserve"> el amparo. Aseguró que la flexibilización de la valoración probatoria no es una regla general y se refiere a la posibilidad de (i) acudir a las pruebas recaudadas dentro del proceso penal; (</w:t>
      </w:r>
      <w:proofErr w:type="spellStart"/>
      <w:r w:rsidRPr="004571E5">
        <w:rPr>
          <w:rFonts w:ascii="Times New Roman" w:hAnsi="Times New Roman" w:cs="Times New Roman"/>
          <w:sz w:val="28"/>
          <w:szCs w:val="28"/>
          <w:lang w:eastAsia="es-CO"/>
        </w:rPr>
        <w:t>ii</w:t>
      </w:r>
      <w:proofErr w:type="spellEnd"/>
      <w:r w:rsidRPr="004571E5">
        <w:rPr>
          <w:rFonts w:ascii="Times New Roman" w:hAnsi="Times New Roman" w:cs="Times New Roman"/>
          <w:sz w:val="28"/>
          <w:szCs w:val="28"/>
          <w:lang w:eastAsia="es-CO"/>
        </w:rPr>
        <w:t>) privilegiar racionalmente las pruebas “que acrediten un grado superior de probabilidad lógica o de probabilidad prevaleciente”</w:t>
      </w:r>
      <w:r w:rsidRPr="004571E5">
        <w:rPr>
          <w:rStyle w:val="Refdenotaalpie"/>
          <w:rFonts w:ascii="Times New Roman" w:hAnsi="Times New Roman" w:cs="Times New Roman"/>
          <w:sz w:val="28"/>
          <w:szCs w:val="28"/>
          <w:lang w:eastAsia="es-CO"/>
        </w:rPr>
        <w:footnoteReference w:id="9"/>
      </w:r>
      <w:r w:rsidRPr="004571E5">
        <w:rPr>
          <w:rFonts w:ascii="Times New Roman" w:hAnsi="Times New Roman" w:cs="Times New Roman"/>
          <w:sz w:val="28"/>
          <w:szCs w:val="28"/>
          <w:lang w:eastAsia="es-CO"/>
        </w:rPr>
        <w:t xml:space="preserve"> en el caso de </w:t>
      </w:r>
      <w:r w:rsidR="004D1152" w:rsidRPr="004571E5">
        <w:rPr>
          <w:rFonts w:ascii="Times New Roman" w:hAnsi="Times New Roman" w:cs="Times New Roman"/>
          <w:sz w:val="28"/>
          <w:szCs w:val="28"/>
          <w:lang w:eastAsia="es-CO"/>
        </w:rPr>
        <w:t xml:space="preserve">que </w:t>
      </w:r>
      <w:r w:rsidRPr="004571E5">
        <w:rPr>
          <w:rFonts w:ascii="Times New Roman" w:hAnsi="Times New Roman" w:cs="Times New Roman"/>
          <w:sz w:val="28"/>
          <w:szCs w:val="28"/>
          <w:lang w:eastAsia="es-CO"/>
        </w:rPr>
        <w:t>exista una incompatibilidad probatoria que dé lugar a varios supuestos fácticos; y (</w:t>
      </w:r>
      <w:proofErr w:type="spellStart"/>
      <w:r w:rsidRPr="004571E5">
        <w:rPr>
          <w:rFonts w:ascii="Times New Roman" w:hAnsi="Times New Roman" w:cs="Times New Roman"/>
          <w:sz w:val="28"/>
          <w:szCs w:val="28"/>
          <w:lang w:eastAsia="es-CO"/>
        </w:rPr>
        <w:t>iii</w:t>
      </w:r>
      <w:proofErr w:type="spellEnd"/>
      <w:r w:rsidRPr="004571E5">
        <w:rPr>
          <w:rFonts w:ascii="Times New Roman" w:hAnsi="Times New Roman" w:cs="Times New Roman"/>
          <w:sz w:val="28"/>
          <w:szCs w:val="28"/>
          <w:lang w:eastAsia="es-CO"/>
        </w:rPr>
        <w:t>) reconocer una especial relevancia a las pruebas indiciarias. Sostuvo que ninguno de estos eventos se presentó en el caso concreto ya que (</w:t>
      </w:r>
      <w:r w:rsidR="0037274D" w:rsidRPr="004571E5">
        <w:rPr>
          <w:rFonts w:ascii="Times New Roman" w:hAnsi="Times New Roman" w:cs="Times New Roman"/>
          <w:sz w:val="28"/>
          <w:szCs w:val="28"/>
          <w:lang w:eastAsia="es-CO"/>
        </w:rPr>
        <w:t>a</w:t>
      </w:r>
      <w:r w:rsidRPr="004571E5">
        <w:rPr>
          <w:rFonts w:ascii="Times New Roman" w:hAnsi="Times New Roman" w:cs="Times New Roman"/>
          <w:sz w:val="28"/>
          <w:szCs w:val="28"/>
          <w:lang w:eastAsia="es-CO"/>
        </w:rPr>
        <w:t>) no se allegó el expediente penal al proceso administrativo; (</w:t>
      </w:r>
      <w:r w:rsidR="0037274D" w:rsidRPr="004571E5">
        <w:rPr>
          <w:rFonts w:ascii="Times New Roman" w:hAnsi="Times New Roman" w:cs="Times New Roman"/>
          <w:sz w:val="28"/>
          <w:szCs w:val="28"/>
          <w:lang w:eastAsia="es-CO"/>
        </w:rPr>
        <w:t>b</w:t>
      </w:r>
      <w:r w:rsidRPr="004571E5">
        <w:rPr>
          <w:rFonts w:ascii="Times New Roman" w:hAnsi="Times New Roman" w:cs="Times New Roman"/>
          <w:sz w:val="28"/>
          <w:szCs w:val="28"/>
          <w:lang w:eastAsia="es-CO"/>
        </w:rPr>
        <w:t>) no se encontraban acreditados supuestos fácticos incompatibles; y (</w:t>
      </w:r>
      <w:r w:rsidR="0037274D" w:rsidRPr="004571E5">
        <w:rPr>
          <w:rFonts w:ascii="Times New Roman" w:hAnsi="Times New Roman" w:cs="Times New Roman"/>
          <w:sz w:val="28"/>
          <w:szCs w:val="28"/>
          <w:lang w:eastAsia="es-CO"/>
        </w:rPr>
        <w:t>c</w:t>
      </w:r>
      <w:r w:rsidRPr="004571E5">
        <w:rPr>
          <w:rFonts w:ascii="Times New Roman" w:hAnsi="Times New Roman" w:cs="Times New Roman"/>
          <w:sz w:val="28"/>
          <w:szCs w:val="28"/>
          <w:lang w:eastAsia="es-CO"/>
        </w:rPr>
        <w:t xml:space="preserve">) “la autoridad judicial explicó de manera </w:t>
      </w:r>
      <w:r w:rsidRPr="004571E5">
        <w:rPr>
          <w:rFonts w:ascii="Times New Roman" w:hAnsi="Times New Roman" w:cs="Times New Roman"/>
          <w:sz w:val="28"/>
          <w:szCs w:val="28"/>
          <w:lang w:eastAsia="es-CO"/>
        </w:rPr>
        <w:lastRenderedPageBreak/>
        <w:t>suficiente el porqué del valor probatorio asignado a cada uno de los medios de convicción”</w:t>
      </w:r>
      <w:r w:rsidRPr="004571E5">
        <w:rPr>
          <w:rStyle w:val="Refdenotaalpie"/>
          <w:rFonts w:ascii="Times New Roman" w:hAnsi="Times New Roman" w:cs="Times New Roman"/>
          <w:sz w:val="28"/>
          <w:szCs w:val="28"/>
          <w:lang w:eastAsia="es-CO"/>
        </w:rPr>
        <w:footnoteReference w:id="10"/>
      </w:r>
      <w:r w:rsidRPr="004571E5">
        <w:rPr>
          <w:rFonts w:ascii="Times New Roman" w:hAnsi="Times New Roman" w:cs="Times New Roman"/>
          <w:sz w:val="28"/>
          <w:szCs w:val="28"/>
          <w:lang w:eastAsia="es-CO"/>
        </w:rPr>
        <w:t>.</w:t>
      </w:r>
    </w:p>
    <w:p w14:paraId="3F8B71C5" w14:textId="77777777" w:rsidR="009D1518" w:rsidRPr="004571E5" w:rsidRDefault="009D1518" w:rsidP="00481F2E">
      <w:pPr>
        <w:spacing w:after="0" w:line="240" w:lineRule="auto"/>
        <w:jc w:val="both"/>
        <w:rPr>
          <w:rFonts w:ascii="Times New Roman" w:hAnsi="Times New Roman" w:cs="Times New Roman"/>
          <w:sz w:val="28"/>
          <w:szCs w:val="28"/>
          <w:lang w:val="es-ES_tradnl"/>
        </w:rPr>
      </w:pPr>
    </w:p>
    <w:p w14:paraId="62F22284" w14:textId="66A58EEB" w:rsidR="003B3B90" w:rsidRPr="004571E5" w:rsidRDefault="003B3B90" w:rsidP="00481F2E">
      <w:pPr>
        <w:spacing w:after="0" w:line="240" w:lineRule="auto"/>
        <w:jc w:val="both"/>
        <w:rPr>
          <w:rFonts w:ascii="Times New Roman" w:hAnsi="Times New Roman" w:cs="Times New Roman"/>
          <w:b/>
          <w:bCs/>
          <w:sz w:val="28"/>
          <w:szCs w:val="28"/>
          <w:lang w:val="es-ES_tradnl"/>
        </w:rPr>
      </w:pPr>
      <w:r w:rsidRPr="004571E5">
        <w:rPr>
          <w:rFonts w:ascii="Times New Roman" w:hAnsi="Times New Roman" w:cs="Times New Roman"/>
          <w:b/>
          <w:bCs/>
          <w:sz w:val="28"/>
          <w:szCs w:val="28"/>
          <w:lang w:val="es-ES_tradnl"/>
        </w:rPr>
        <w:t>Trámite ante la Corte</w:t>
      </w:r>
    </w:p>
    <w:p w14:paraId="54BFFA2E" w14:textId="77777777" w:rsidR="009D1518" w:rsidRPr="004571E5" w:rsidRDefault="009D1518" w:rsidP="00481F2E">
      <w:pPr>
        <w:pStyle w:val="Prrafodelista"/>
        <w:tabs>
          <w:tab w:val="left" w:pos="426"/>
        </w:tabs>
        <w:spacing w:after="0" w:line="240" w:lineRule="auto"/>
        <w:ind w:left="0"/>
        <w:jc w:val="both"/>
        <w:rPr>
          <w:rFonts w:ascii="Times New Roman" w:hAnsi="Times New Roman" w:cs="Times New Roman"/>
          <w:bCs/>
          <w:sz w:val="28"/>
          <w:szCs w:val="28"/>
          <w:lang w:val="es-ES_tradnl"/>
        </w:rPr>
      </w:pPr>
    </w:p>
    <w:p w14:paraId="45B8BCE6" w14:textId="26DDE9E0" w:rsidR="009D1518" w:rsidRPr="004571E5" w:rsidRDefault="009D1518" w:rsidP="00481F2E">
      <w:pPr>
        <w:pStyle w:val="Prrafodelista"/>
        <w:numPr>
          <w:ilvl w:val="0"/>
          <w:numId w:val="1"/>
        </w:numPr>
        <w:tabs>
          <w:tab w:val="left" w:pos="567"/>
        </w:tabs>
        <w:spacing w:after="0" w:line="240" w:lineRule="auto"/>
        <w:jc w:val="both"/>
        <w:rPr>
          <w:rFonts w:ascii="Times New Roman" w:hAnsi="Times New Roman" w:cs="Times New Roman"/>
          <w:bCs/>
          <w:sz w:val="28"/>
          <w:szCs w:val="28"/>
          <w:lang w:val="es-ES_tradnl"/>
        </w:rPr>
      </w:pPr>
      <w:r w:rsidRPr="004571E5">
        <w:rPr>
          <w:rFonts w:ascii="Times New Roman" w:hAnsi="Times New Roman" w:cs="Times New Roman"/>
          <w:bCs/>
          <w:sz w:val="28"/>
          <w:szCs w:val="28"/>
          <w:lang w:val="es-ES_tradnl"/>
        </w:rPr>
        <w:t>Mediante auto del 8 de abril de 2024 el magistrado ponente encontró necesario decretar pruebas tendientes a conocer (i) la totalidad del expediente del proceso contencioso administrativo y (</w:t>
      </w:r>
      <w:proofErr w:type="spellStart"/>
      <w:r w:rsidRPr="004571E5">
        <w:rPr>
          <w:rFonts w:ascii="Times New Roman" w:hAnsi="Times New Roman" w:cs="Times New Roman"/>
          <w:bCs/>
          <w:sz w:val="28"/>
          <w:szCs w:val="28"/>
          <w:lang w:val="es-ES_tradnl"/>
        </w:rPr>
        <w:t>ii</w:t>
      </w:r>
      <w:proofErr w:type="spellEnd"/>
      <w:r w:rsidRPr="004571E5">
        <w:rPr>
          <w:rFonts w:ascii="Times New Roman" w:hAnsi="Times New Roman" w:cs="Times New Roman"/>
          <w:bCs/>
          <w:sz w:val="28"/>
          <w:szCs w:val="28"/>
          <w:lang w:val="es-ES_tradnl"/>
        </w:rPr>
        <w:t xml:space="preserve">) el expediente del proceso con radicado </w:t>
      </w:r>
      <w:r w:rsidRPr="004571E5">
        <w:rPr>
          <w:rFonts w:ascii="Times New Roman" w:hAnsi="Times New Roman" w:cs="Times New Roman"/>
          <w:bCs/>
          <w:sz w:val="28"/>
          <w:szCs w:val="28"/>
        </w:rPr>
        <w:t xml:space="preserve">05001-33-31-029-2009-00170-00, adelantado ante el Juzgado 29 Administrativo del Circuito de Medellín, a partir del cual </w:t>
      </w:r>
      <w:r w:rsidR="004D1152" w:rsidRPr="004571E5">
        <w:rPr>
          <w:rFonts w:ascii="Times New Roman" w:hAnsi="Times New Roman" w:cs="Times New Roman"/>
          <w:bCs/>
          <w:sz w:val="28"/>
          <w:szCs w:val="28"/>
        </w:rPr>
        <w:t xml:space="preserve">se </w:t>
      </w:r>
      <w:r w:rsidRPr="004571E5">
        <w:rPr>
          <w:rFonts w:ascii="Times New Roman" w:hAnsi="Times New Roman" w:cs="Times New Roman"/>
          <w:bCs/>
          <w:sz w:val="28"/>
          <w:szCs w:val="28"/>
          <w:lang w:val="es-ES_tradnl"/>
        </w:rPr>
        <w:t xml:space="preserve">alega una vulneración del derecho a la igualdad. </w:t>
      </w:r>
    </w:p>
    <w:p w14:paraId="66F05470" w14:textId="77777777" w:rsidR="009D1518" w:rsidRPr="004571E5" w:rsidRDefault="009D1518" w:rsidP="00481F2E">
      <w:pPr>
        <w:pStyle w:val="Prrafodelista"/>
        <w:tabs>
          <w:tab w:val="left" w:pos="567"/>
        </w:tabs>
        <w:spacing w:after="0" w:line="240" w:lineRule="auto"/>
        <w:ind w:left="0"/>
        <w:jc w:val="both"/>
        <w:rPr>
          <w:rFonts w:ascii="Times New Roman" w:hAnsi="Times New Roman" w:cs="Times New Roman"/>
          <w:bCs/>
          <w:sz w:val="28"/>
          <w:szCs w:val="28"/>
          <w:lang w:val="es-ES_tradnl"/>
        </w:rPr>
      </w:pPr>
    </w:p>
    <w:p w14:paraId="2D460D86" w14:textId="1FF0C5B7" w:rsidR="009D1518" w:rsidRPr="004571E5" w:rsidRDefault="009D1518" w:rsidP="00481F2E">
      <w:pPr>
        <w:pStyle w:val="Prrafodelista"/>
        <w:numPr>
          <w:ilvl w:val="0"/>
          <w:numId w:val="1"/>
        </w:numPr>
        <w:tabs>
          <w:tab w:val="left" w:pos="567"/>
        </w:tabs>
        <w:spacing w:after="0" w:line="240" w:lineRule="auto"/>
        <w:jc w:val="both"/>
        <w:rPr>
          <w:rFonts w:ascii="Times New Roman" w:hAnsi="Times New Roman" w:cs="Times New Roman"/>
          <w:bCs/>
          <w:sz w:val="28"/>
          <w:szCs w:val="28"/>
          <w:lang w:val="es-ES_tradnl"/>
        </w:rPr>
      </w:pPr>
      <w:r w:rsidRPr="004571E5">
        <w:rPr>
          <w:rFonts w:ascii="Times New Roman" w:hAnsi="Times New Roman" w:cs="Times New Roman"/>
          <w:bCs/>
          <w:sz w:val="28"/>
          <w:szCs w:val="28"/>
          <w:lang w:val="es-ES_tradnl"/>
        </w:rPr>
        <w:t xml:space="preserve">El 11 de abril de 2024 la Sala accionada informó que el 16 de noviembre de 2022 remitió el expediente al </w:t>
      </w:r>
      <w:r w:rsidRPr="004571E5">
        <w:rPr>
          <w:rFonts w:ascii="Times New Roman" w:hAnsi="Times New Roman" w:cs="Times New Roman"/>
          <w:bCs/>
          <w:sz w:val="28"/>
          <w:szCs w:val="28"/>
        </w:rPr>
        <w:t xml:space="preserve">Tribunal Administrativo de Antioquia, por lo que no puede allegarlo a esta </w:t>
      </w:r>
      <w:r w:rsidR="00F27E04" w:rsidRPr="004571E5">
        <w:rPr>
          <w:rFonts w:ascii="Times New Roman" w:hAnsi="Times New Roman" w:cs="Times New Roman"/>
          <w:bCs/>
          <w:sz w:val="28"/>
          <w:szCs w:val="28"/>
        </w:rPr>
        <w:t>C</w:t>
      </w:r>
      <w:r w:rsidRPr="004571E5">
        <w:rPr>
          <w:rFonts w:ascii="Times New Roman" w:hAnsi="Times New Roman" w:cs="Times New Roman"/>
          <w:bCs/>
          <w:sz w:val="28"/>
          <w:szCs w:val="28"/>
        </w:rPr>
        <w:t xml:space="preserve">orporación. El 12 de abril de 2024 el referido tribunal envió a la Corte la totalidad del expediente. </w:t>
      </w:r>
      <w:r w:rsidRPr="004571E5">
        <w:rPr>
          <w:rFonts w:ascii="Times New Roman" w:hAnsi="Times New Roman" w:cs="Times New Roman"/>
          <w:bCs/>
          <w:sz w:val="28"/>
          <w:szCs w:val="28"/>
          <w:lang w:val="es-ES_tradnl"/>
        </w:rPr>
        <w:t xml:space="preserve">El 15 de abril de 2024 el </w:t>
      </w:r>
      <w:r w:rsidRPr="004571E5">
        <w:rPr>
          <w:rFonts w:ascii="Times New Roman" w:hAnsi="Times New Roman" w:cs="Times New Roman"/>
          <w:bCs/>
          <w:sz w:val="28"/>
          <w:szCs w:val="28"/>
        </w:rPr>
        <w:t xml:space="preserve">Juzgado 29 Administrativo del Circuito de Medellín allegó el expediente del proceso </w:t>
      </w:r>
      <w:r w:rsidRPr="004571E5">
        <w:rPr>
          <w:rFonts w:ascii="Times New Roman" w:hAnsi="Times New Roman" w:cs="Times New Roman"/>
          <w:bCs/>
          <w:sz w:val="28"/>
          <w:szCs w:val="28"/>
          <w:lang w:val="es-ES_tradnl"/>
        </w:rPr>
        <w:t xml:space="preserve">con radicado </w:t>
      </w:r>
      <w:r w:rsidRPr="004571E5">
        <w:rPr>
          <w:rFonts w:ascii="Times New Roman" w:hAnsi="Times New Roman" w:cs="Times New Roman"/>
          <w:bCs/>
          <w:sz w:val="28"/>
          <w:szCs w:val="28"/>
        </w:rPr>
        <w:t>05001-33-31-029-2009-00170-00.</w:t>
      </w:r>
    </w:p>
    <w:p w14:paraId="148C1AE3" w14:textId="77777777" w:rsidR="0063131E" w:rsidRPr="004571E5" w:rsidRDefault="0063131E" w:rsidP="00481F2E">
      <w:pPr>
        <w:pStyle w:val="Prrafodelista"/>
        <w:tabs>
          <w:tab w:val="left" w:pos="567"/>
        </w:tabs>
        <w:spacing w:after="0" w:line="240" w:lineRule="auto"/>
        <w:ind w:left="0"/>
        <w:jc w:val="both"/>
        <w:rPr>
          <w:rFonts w:ascii="Times New Roman" w:hAnsi="Times New Roman" w:cs="Times New Roman"/>
          <w:bCs/>
          <w:sz w:val="28"/>
          <w:szCs w:val="28"/>
          <w:lang w:val="es-ES_tradnl"/>
        </w:rPr>
      </w:pPr>
    </w:p>
    <w:p w14:paraId="4FAFE9B2" w14:textId="03F49BA6" w:rsidR="009D1518" w:rsidRPr="004571E5" w:rsidRDefault="009D1518" w:rsidP="00481F2E">
      <w:pPr>
        <w:pStyle w:val="Prrafodelista"/>
        <w:numPr>
          <w:ilvl w:val="0"/>
          <w:numId w:val="1"/>
        </w:numPr>
        <w:tabs>
          <w:tab w:val="left" w:pos="567"/>
        </w:tabs>
        <w:spacing w:after="0" w:line="240" w:lineRule="auto"/>
        <w:jc w:val="both"/>
        <w:rPr>
          <w:rFonts w:ascii="Times New Roman" w:hAnsi="Times New Roman" w:cs="Times New Roman"/>
          <w:bCs/>
          <w:sz w:val="28"/>
          <w:szCs w:val="28"/>
          <w:lang w:val="es-ES_tradnl"/>
        </w:rPr>
      </w:pPr>
      <w:r w:rsidRPr="004571E5">
        <w:rPr>
          <w:rFonts w:ascii="Times New Roman" w:hAnsi="Times New Roman" w:cs="Times New Roman"/>
          <w:bCs/>
          <w:sz w:val="28"/>
          <w:szCs w:val="28"/>
          <w:lang w:val="es-ES_tradnl"/>
        </w:rPr>
        <w:t xml:space="preserve">En auto del </w:t>
      </w:r>
      <w:r w:rsidR="0063131E" w:rsidRPr="004571E5">
        <w:rPr>
          <w:rFonts w:ascii="Times New Roman" w:hAnsi="Times New Roman" w:cs="Times New Roman"/>
          <w:bCs/>
          <w:sz w:val="28"/>
          <w:szCs w:val="28"/>
          <w:lang w:val="es-ES_tradnl"/>
        </w:rPr>
        <w:t>23 de septiembre de 2024</w:t>
      </w:r>
      <w:r w:rsidRPr="004571E5">
        <w:rPr>
          <w:rFonts w:ascii="Times New Roman" w:hAnsi="Times New Roman" w:cs="Times New Roman"/>
          <w:bCs/>
          <w:sz w:val="28"/>
          <w:szCs w:val="28"/>
          <w:lang w:val="es-ES_tradnl"/>
        </w:rPr>
        <w:t xml:space="preserve"> la Sala Plena decidió avocar </w:t>
      </w:r>
      <w:r w:rsidR="00D13E08" w:rsidRPr="004571E5">
        <w:rPr>
          <w:rFonts w:ascii="Times New Roman" w:hAnsi="Times New Roman" w:cs="Times New Roman"/>
          <w:bCs/>
          <w:sz w:val="28"/>
          <w:szCs w:val="28"/>
          <w:lang w:val="es-ES_tradnl"/>
        </w:rPr>
        <w:t xml:space="preserve">el </w:t>
      </w:r>
      <w:r w:rsidRPr="004571E5">
        <w:rPr>
          <w:rFonts w:ascii="Times New Roman" w:hAnsi="Times New Roman" w:cs="Times New Roman"/>
          <w:bCs/>
          <w:sz w:val="28"/>
          <w:szCs w:val="28"/>
          <w:lang w:val="es-ES_tradnl"/>
        </w:rPr>
        <w:t>conocimiento del asunto</w:t>
      </w:r>
      <w:r w:rsidR="0063131E" w:rsidRPr="004571E5">
        <w:rPr>
          <w:rFonts w:ascii="Times New Roman" w:hAnsi="Times New Roman" w:cs="Times New Roman"/>
          <w:bCs/>
          <w:sz w:val="28"/>
          <w:szCs w:val="28"/>
          <w:lang w:val="es-ES_tradnl"/>
        </w:rPr>
        <w:t>.</w:t>
      </w:r>
    </w:p>
    <w:p w14:paraId="4AF6D490" w14:textId="77777777" w:rsidR="009D1518" w:rsidRPr="004571E5" w:rsidRDefault="009D1518" w:rsidP="00481F2E">
      <w:pPr>
        <w:pStyle w:val="Prrafodelista"/>
        <w:tabs>
          <w:tab w:val="left" w:pos="426"/>
        </w:tabs>
        <w:spacing w:after="0" w:line="240" w:lineRule="auto"/>
        <w:ind w:left="0"/>
        <w:jc w:val="both"/>
        <w:rPr>
          <w:rFonts w:ascii="Times New Roman" w:hAnsi="Times New Roman" w:cs="Times New Roman"/>
          <w:bCs/>
          <w:sz w:val="28"/>
          <w:szCs w:val="28"/>
        </w:rPr>
      </w:pPr>
    </w:p>
    <w:p w14:paraId="687066A9" w14:textId="4C640B17" w:rsidR="009D1518" w:rsidRPr="004571E5" w:rsidRDefault="009D1518" w:rsidP="00481F2E">
      <w:pPr>
        <w:pStyle w:val="Prrafodelista"/>
        <w:tabs>
          <w:tab w:val="left" w:pos="567"/>
        </w:tabs>
        <w:spacing w:after="0" w:line="240" w:lineRule="auto"/>
        <w:ind w:left="0"/>
        <w:jc w:val="both"/>
        <w:rPr>
          <w:rFonts w:ascii="Times New Roman" w:hAnsi="Times New Roman" w:cs="Times New Roman"/>
          <w:b/>
          <w:i/>
          <w:iCs/>
          <w:sz w:val="28"/>
          <w:szCs w:val="28"/>
          <w:lang w:val="es-ES_tradnl"/>
        </w:rPr>
      </w:pPr>
      <w:r w:rsidRPr="004571E5">
        <w:rPr>
          <w:rFonts w:ascii="Times New Roman" w:hAnsi="Times New Roman" w:cs="Times New Roman"/>
          <w:b/>
          <w:i/>
          <w:iCs/>
          <w:sz w:val="28"/>
          <w:szCs w:val="28"/>
          <w:lang w:val="es-ES_tradnl"/>
        </w:rPr>
        <w:t>Expediente T-10.191.129</w:t>
      </w:r>
      <w:r w:rsidR="000B0001" w:rsidRPr="004571E5">
        <w:rPr>
          <w:rFonts w:ascii="Times New Roman" w:hAnsi="Times New Roman" w:cs="Times New Roman"/>
          <w:b/>
          <w:i/>
          <w:iCs/>
          <w:sz w:val="28"/>
          <w:szCs w:val="28"/>
          <w:lang w:val="es-ES_tradnl"/>
        </w:rPr>
        <w:t xml:space="preserve"> (Caso 2)</w:t>
      </w:r>
    </w:p>
    <w:p w14:paraId="1910C7AE" w14:textId="77777777" w:rsidR="009D1518" w:rsidRPr="004571E5" w:rsidRDefault="009D1518" w:rsidP="00481F2E">
      <w:pPr>
        <w:pStyle w:val="Prrafodelista"/>
        <w:tabs>
          <w:tab w:val="left" w:pos="567"/>
        </w:tabs>
        <w:spacing w:after="0" w:line="240" w:lineRule="auto"/>
        <w:ind w:left="0"/>
        <w:jc w:val="both"/>
        <w:rPr>
          <w:rFonts w:ascii="Times New Roman" w:hAnsi="Times New Roman" w:cs="Times New Roman"/>
          <w:b/>
          <w:i/>
          <w:iCs/>
          <w:sz w:val="28"/>
          <w:szCs w:val="28"/>
          <w:lang w:val="es-ES_tradnl"/>
        </w:rPr>
      </w:pPr>
    </w:p>
    <w:p w14:paraId="3947017E" w14:textId="77777777" w:rsidR="009D1518" w:rsidRPr="004571E5" w:rsidRDefault="009D1518" w:rsidP="00481F2E">
      <w:pPr>
        <w:suppressAutoHyphens/>
        <w:overflowPunct w:val="0"/>
        <w:autoSpaceDE w:val="0"/>
        <w:autoSpaceDN w:val="0"/>
        <w:adjustRightInd w:val="0"/>
        <w:spacing w:after="0" w:line="240" w:lineRule="auto"/>
        <w:ind w:right="49"/>
        <w:jc w:val="both"/>
        <w:rPr>
          <w:rFonts w:ascii="Times New Roman" w:hAnsi="Times New Roman" w:cs="Times New Roman"/>
          <w:b/>
          <w:sz w:val="28"/>
          <w:szCs w:val="28"/>
          <w:lang w:val="es-ES_tradnl"/>
        </w:rPr>
      </w:pPr>
      <w:r w:rsidRPr="004571E5">
        <w:rPr>
          <w:rFonts w:ascii="Times New Roman" w:hAnsi="Times New Roman" w:cs="Times New Roman"/>
          <w:b/>
          <w:sz w:val="28"/>
          <w:szCs w:val="28"/>
          <w:lang w:val="es-ES_tradnl"/>
        </w:rPr>
        <w:t>Hechos</w:t>
      </w:r>
      <w:r w:rsidRPr="004571E5">
        <w:rPr>
          <w:rStyle w:val="Refdenotaalpie"/>
          <w:rFonts w:ascii="Times New Roman" w:hAnsi="Times New Roman" w:cs="Times New Roman"/>
          <w:b/>
          <w:sz w:val="28"/>
          <w:szCs w:val="28"/>
          <w:lang w:val="es-ES_tradnl"/>
        </w:rPr>
        <w:footnoteReference w:id="11"/>
      </w:r>
      <w:r w:rsidRPr="004571E5">
        <w:rPr>
          <w:rFonts w:ascii="Times New Roman" w:hAnsi="Times New Roman" w:cs="Times New Roman"/>
          <w:b/>
          <w:sz w:val="28"/>
          <w:szCs w:val="28"/>
          <w:lang w:val="es-ES_tradnl"/>
        </w:rPr>
        <w:t xml:space="preserve"> </w:t>
      </w:r>
    </w:p>
    <w:p w14:paraId="74110761" w14:textId="77777777" w:rsidR="009D1518" w:rsidRPr="004571E5" w:rsidRDefault="009D1518" w:rsidP="00481F2E">
      <w:pPr>
        <w:shd w:val="clear" w:color="auto" w:fill="FFFFFF"/>
        <w:spacing w:after="0" w:line="240" w:lineRule="auto"/>
        <w:ind w:right="49"/>
        <w:jc w:val="both"/>
        <w:rPr>
          <w:rFonts w:ascii="Times New Roman" w:hAnsi="Times New Roman" w:cs="Times New Roman"/>
          <w:b/>
          <w:bCs/>
          <w:sz w:val="28"/>
          <w:szCs w:val="28"/>
          <w:lang w:val="es-ES_tradnl"/>
        </w:rPr>
      </w:pPr>
    </w:p>
    <w:p w14:paraId="31D84AF8" w14:textId="67EA574B" w:rsidR="009D1518" w:rsidRPr="004571E5" w:rsidRDefault="009D1518" w:rsidP="00481F2E">
      <w:pPr>
        <w:numPr>
          <w:ilvl w:val="0"/>
          <w:numId w:val="1"/>
        </w:numPr>
        <w:suppressAutoHyphens/>
        <w:overflowPunct w:val="0"/>
        <w:autoSpaceDE w:val="0"/>
        <w:autoSpaceDN w:val="0"/>
        <w:adjustRightInd w:val="0"/>
        <w:spacing w:after="0" w:line="240" w:lineRule="auto"/>
        <w:ind w:right="49"/>
        <w:jc w:val="both"/>
        <w:rPr>
          <w:rFonts w:ascii="Times New Roman" w:hAnsi="Times New Roman" w:cs="Times New Roman"/>
          <w:bCs/>
          <w:sz w:val="28"/>
          <w:szCs w:val="28"/>
          <w:lang w:val="es-ES_tradnl"/>
        </w:rPr>
      </w:pPr>
      <w:r w:rsidRPr="004571E5">
        <w:rPr>
          <w:rFonts w:ascii="Times New Roman" w:hAnsi="Times New Roman" w:cs="Times New Roman"/>
          <w:bCs/>
          <w:sz w:val="28"/>
          <w:szCs w:val="28"/>
          <w:lang w:val="es-ES_tradnl"/>
        </w:rPr>
        <w:t xml:space="preserve">El 13 de octubre de 2023, </w:t>
      </w:r>
      <w:r w:rsidRPr="004571E5">
        <w:rPr>
          <w:rFonts w:ascii="Times New Roman" w:hAnsi="Times New Roman" w:cs="Times New Roman"/>
          <w:bCs/>
          <w:sz w:val="28"/>
          <w:szCs w:val="28"/>
        </w:rPr>
        <w:t xml:space="preserve">Luz Marina Ortega Luna, Martín Alejandro Sanguino Ortega, Daniela Alejandra Sanguino Ortega, Angélica María Vergel Ortega, Martín Sanguino Rincón y Cecilia Luna de Ortega presentaron </w:t>
      </w:r>
      <w:r w:rsidR="00F27E04" w:rsidRPr="004571E5">
        <w:rPr>
          <w:rFonts w:ascii="Times New Roman" w:hAnsi="Times New Roman" w:cs="Times New Roman"/>
          <w:bCs/>
          <w:sz w:val="28"/>
          <w:szCs w:val="28"/>
        </w:rPr>
        <w:t xml:space="preserve">mediante apoderado </w:t>
      </w:r>
      <w:r w:rsidRPr="004571E5">
        <w:rPr>
          <w:rFonts w:ascii="Times New Roman" w:hAnsi="Times New Roman" w:cs="Times New Roman"/>
          <w:bCs/>
          <w:sz w:val="28"/>
          <w:szCs w:val="28"/>
        </w:rPr>
        <w:t>acción de tutela en contra de la Subsección C de la Sección Tercera del Consejo de Estado. Consideraron vulnerados los derechos al debido proceso y al acceso a la administración de justicia. Lo anterior, por la decisión tomada en la sentencia del 5 de diciembre de 2022 en la que se negaron las pretensiones de una demanda presentada en ejercicio del medio de control de reparación directa.</w:t>
      </w:r>
    </w:p>
    <w:p w14:paraId="51C0EC3A" w14:textId="77777777" w:rsidR="009D1518" w:rsidRPr="004571E5" w:rsidRDefault="009D1518" w:rsidP="00481F2E">
      <w:pPr>
        <w:suppressAutoHyphens/>
        <w:overflowPunct w:val="0"/>
        <w:autoSpaceDE w:val="0"/>
        <w:autoSpaceDN w:val="0"/>
        <w:adjustRightInd w:val="0"/>
        <w:spacing w:after="0" w:line="240" w:lineRule="auto"/>
        <w:ind w:right="49"/>
        <w:jc w:val="both"/>
        <w:rPr>
          <w:rFonts w:ascii="Times New Roman" w:hAnsi="Times New Roman" w:cs="Times New Roman"/>
          <w:b/>
          <w:sz w:val="28"/>
          <w:szCs w:val="28"/>
          <w:lang w:val="es-ES_tradnl"/>
        </w:rPr>
      </w:pPr>
    </w:p>
    <w:p w14:paraId="713348A1" w14:textId="0780A1E7" w:rsidR="009D1518" w:rsidRPr="004571E5" w:rsidRDefault="009D1518" w:rsidP="00481F2E">
      <w:pPr>
        <w:suppressAutoHyphens/>
        <w:overflowPunct w:val="0"/>
        <w:autoSpaceDE w:val="0"/>
        <w:autoSpaceDN w:val="0"/>
        <w:adjustRightInd w:val="0"/>
        <w:spacing w:after="0" w:line="240" w:lineRule="auto"/>
        <w:ind w:right="49"/>
        <w:jc w:val="both"/>
        <w:rPr>
          <w:rFonts w:ascii="Times New Roman" w:hAnsi="Times New Roman" w:cs="Times New Roman"/>
          <w:bCs/>
          <w:i/>
          <w:iCs/>
          <w:sz w:val="28"/>
          <w:szCs w:val="28"/>
          <w:u w:val="single"/>
          <w:lang w:val="es-ES_tradnl"/>
        </w:rPr>
      </w:pPr>
      <w:r w:rsidRPr="004571E5">
        <w:rPr>
          <w:rFonts w:ascii="Times New Roman" w:hAnsi="Times New Roman" w:cs="Times New Roman"/>
          <w:bCs/>
          <w:i/>
          <w:iCs/>
          <w:sz w:val="28"/>
          <w:szCs w:val="28"/>
          <w:u w:val="single"/>
          <w:lang w:val="es-ES_tradnl"/>
        </w:rPr>
        <w:t>Hechos</w:t>
      </w:r>
      <w:r w:rsidR="00D13E08" w:rsidRPr="004571E5">
        <w:rPr>
          <w:rFonts w:ascii="Times New Roman" w:hAnsi="Times New Roman" w:cs="Times New Roman"/>
          <w:bCs/>
          <w:i/>
          <w:iCs/>
          <w:sz w:val="28"/>
          <w:szCs w:val="28"/>
          <w:u w:val="single"/>
          <w:lang w:val="es-ES_tradnl"/>
        </w:rPr>
        <w:t xml:space="preserve"> relatados en</w:t>
      </w:r>
      <w:r w:rsidRPr="004571E5">
        <w:rPr>
          <w:rFonts w:ascii="Times New Roman" w:hAnsi="Times New Roman" w:cs="Times New Roman"/>
          <w:bCs/>
          <w:i/>
          <w:iCs/>
          <w:sz w:val="28"/>
          <w:szCs w:val="28"/>
          <w:u w:val="single"/>
          <w:lang w:val="es-ES_tradnl"/>
        </w:rPr>
        <w:t xml:space="preserve"> la presentación del medio de control de reparación directa</w:t>
      </w:r>
    </w:p>
    <w:p w14:paraId="57764757" w14:textId="77777777" w:rsidR="009D1518" w:rsidRPr="004571E5" w:rsidRDefault="009D1518" w:rsidP="00481F2E">
      <w:pPr>
        <w:pStyle w:val="Prrafodelista"/>
        <w:shd w:val="clear" w:color="auto" w:fill="FFFFFF"/>
        <w:spacing w:after="0" w:line="240" w:lineRule="auto"/>
        <w:ind w:left="0" w:right="49"/>
        <w:jc w:val="both"/>
        <w:rPr>
          <w:rFonts w:ascii="Times New Roman" w:hAnsi="Times New Roman" w:cs="Times New Roman"/>
          <w:sz w:val="28"/>
          <w:szCs w:val="28"/>
          <w:lang w:val="es-ES_tradnl"/>
        </w:rPr>
      </w:pPr>
    </w:p>
    <w:p w14:paraId="6F9BC25F" w14:textId="0E575EBA" w:rsidR="009D1518" w:rsidRPr="004571E5" w:rsidRDefault="009D1518" w:rsidP="00481F2E">
      <w:pPr>
        <w:pStyle w:val="Prrafodelista"/>
        <w:numPr>
          <w:ilvl w:val="0"/>
          <w:numId w:val="1"/>
        </w:numPr>
        <w:shd w:val="clear" w:color="auto" w:fill="FFFFFF"/>
        <w:spacing w:after="0" w:line="240" w:lineRule="auto"/>
        <w:ind w:right="49"/>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El 4 de agosto de 2008 el señor Jhony Alexander Vergel Ortega fue abatido</w:t>
      </w:r>
      <w:r w:rsidR="00F53681" w:rsidRPr="004571E5">
        <w:rPr>
          <w:rFonts w:ascii="Times New Roman" w:hAnsi="Times New Roman" w:cs="Times New Roman"/>
          <w:sz w:val="28"/>
          <w:szCs w:val="28"/>
          <w:lang w:val="es-ES_tradnl"/>
        </w:rPr>
        <w:t>, junto con otra persona -el señor Carlos Enrique Rozo-,</w:t>
      </w:r>
      <w:r w:rsidRPr="004571E5">
        <w:rPr>
          <w:rFonts w:ascii="Times New Roman" w:hAnsi="Times New Roman" w:cs="Times New Roman"/>
          <w:sz w:val="28"/>
          <w:szCs w:val="28"/>
          <w:lang w:val="es-ES_tradnl"/>
        </w:rPr>
        <w:t xml:space="preserve"> por la Brigada 30 del Ejército Nacional en el municipio de Durania, Norte de Santander. De acuerdo con el Ejército ello habría sido el resultado de un enfrentamiento durante el cual el señor Vergel y otras personas accionaron armas contra los militares. </w:t>
      </w:r>
    </w:p>
    <w:p w14:paraId="457CBAAF" w14:textId="77777777" w:rsidR="009D1518" w:rsidRPr="004571E5" w:rsidRDefault="009D1518" w:rsidP="00481F2E">
      <w:pPr>
        <w:pStyle w:val="Prrafodelista"/>
        <w:shd w:val="clear" w:color="auto" w:fill="FFFFFF"/>
        <w:spacing w:after="0" w:line="240" w:lineRule="auto"/>
        <w:ind w:left="0" w:right="49"/>
        <w:jc w:val="both"/>
        <w:rPr>
          <w:rFonts w:ascii="Times New Roman" w:hAnsi="Times New Roman" w:cs="Times New Roman"/>
          <w:sz w:val="28"/>
          <w:szCs w:val="28"/>
          <w:lang w:val="es-ES_tradnl"/>
        </w:rPr>
      </w:pPr>
    </w:p>
    <w:p w14:paraId="5D12B54C" w14:textId="7DD7CD44" w:rsidR="009D1518" w:rsidRPr="004571E5" w:rsidRDefault="009D1518" w:rsidP="00481F2E">
      <w:pPr>
        <w:pStyle w:val="Prrafodelista"/>
        <w:numPr>
          <w:ilvl w:val="0"/>
          <w:numId w:val="1"/>
        </w:numPr>
        <w:shd w:val="clear" w:color="auto" w:fill="FFFFFF"/>
        <w:spacing w:after="0" w:line="240" w:lineRule="auto"/>
        <w:ind w:right="49"/>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Los accionantes indicaron que el señor Vergel fue presentado por el Ejército como un NN y señalado como miembro de organizaciones al margen de la ley muerto en combate. Lo anterior, a pesar de que no pertenecía a estos </w:t>
      </w:r>
      <w:r w:rsidRPr="004571E5">
        <w:rPr>
          <w:rFonts w:ascii="Times New Roman" w:hAnsi="Times New Roman" w:cs="Times New Roman"/>
          <w:sz w:val="28"/>
          <w:szCs w:val="28"/>
          <w:lang w:val="es-ES_tradnl"/>
        </w:rPr>
        <w:lastRenderedPageBreak/>
        <w:t>grupos</w:t>
      </w:r>
      <w:r w:rsidR="004D1152" w:rsidRPr="004571E5">
        <w:rPr>
          <w:rFonts w:ascii="Times New Roman" w:hAnsi="Times New Roman" w:cs="Times New Roman"/>
          <w:sz w:val="28"/>
          <w:szCs w:val="28"/>
          <w:lang w:val="es-ES_tradnl"/>
        </w:rPr>
        <w:t xml:space="preserve">, </w:t>
      </w:r>
      <w:r w:rsidRPr="004571E5">
        <w:rPr>
          <w:rFonts w:ascii="Times New Roman" w:hAnsi="Times New Roman" w:cs="Times New Roman"/>
          <w:sz w:val="28"/>
          <w:szCs w:val="28"/>
          <w:lang w:val="es-ES_tradnl"/>
        </w:rPr>
        <w:t>no tenía ningún antecedente penal</w:t>
      </w:r>
      <w:r w:rsidR="004D1152" w:rsidRPr="004571E5">
        <w:rPr>
          <w:rFonts w:ascii="Times New Roman" w:hAnsi="Times New Roman" w:cs="Times New Roman"/>
          <w:sz w:val="28"/>
          <w:szCs w:val="28"/>
          <w:lang w:val="es-ES_tradnl"/>
        </w:rPr>
        <w:t xml:space="preserve"> y vivía en la ciudad de Cúcuta donde era conocido por la comunidad.</w:t>
      </w:r>
    </w:p>
    <w:p w14:paraId="31C209C4" w14:textId="77777777" w:rsidR="009D1518" w:rsidRPr="004571E5" w:rsidRDefault="009D1518" w:rsidP="00481F2E">
      <w:pPr>
        <w:pStyle w:val="Prrafodelista"/>
        <w:shd w:val="clear" w:color="auto" w:fill="FFFFFF"/>
        <w:spacing w:after="0" w:line="240" w:lineRule="auto"/>
        <w:ind w:left="0" w:right="49"/>
        <w:jc w:val="both"/>
        <w:rPr>
          <w:rFonts w:ascii="Times New Roman" w:hAnsi="Times New Roman" w:cs="Times New Roman"/>
          <w:sz w:val="28"/>
          <w:szCs w:val="28"/>
          <w:lang w:val="es-ES_tradnl"/>
        </w:rPr>
      </w:pPr>
    </w:p>
    <w:p w14:paraId="7BFD5FEB" w14:textId="77777777" w:rsidR="009D1518" w:rsidRPr="004571E5" w:rsidRDefault="009D1518" w:rsidP="00481F2E">
      <w:pPr>
        <w:spacing w:line="240" w:lineRule="auto"/>
        <w:rPr>
          <w:rFonts w:ascii="Times New Roman" w:hAnsi="Times New Roman" w:cs="Times New Roman"/>
          <w:i/>
          <w:iCs/>
          <w:sz w:val="28"/>
          <w:szCs w:val="28"/>
          <w:u w:val="single"/>
          <w:lang w:val="es-ES_tradnl"/>
        </w:rPr>
      </w:pPr>
      <w:r w:rsidRPr="004571E5">
        <w:rPr>
          <w:rFonts w:ascii="Times New Roman" w:hAnsi="Times New Roman" w:cs="Times New Roman"/>
          <w:i/>
          <w:iCs/>
          <w:sz w:val="28"/>
          <w:szCs w:val="28"/>
          <w:u w:val="single"/>
          <w:lang w:val="es-ES_tradnl"/>
        </w:rPr>
        <w:t>El proceso de reparación directa</w:t>
      </w:r>
    </w:p>
    <w:p w14:paraId="4255B1A8" w14:textId="1E33F920" w:rsidR="009D1518" w:rsidRPr="004571E5" w:rsidRDefault="009D1518" w:rsidP="00481F2E">
      <w:pPr>
        <w:pStyle w:val="Prrafodelista"/>
        <w:numPr>
          <w:ilvl w:val="0"/>
          <w:numId w:val="1"/>
        </w:numPr>
        <w:shd w:val="clear" w:color="auto" w:fill="FFFFFF"/>
        <w:spacing w:after="0" w:line="240" w:lineRule="auto"/>
        <w:ind w:right="49"/>
        <w:jc w:val="both"/>
        <w:rPr>
          <w:rFonts w:ascii="Times New Roman" w:hAnsi="Times New Roman" w:cs="Times New Roman"/>
          <w:sz w:val="28"/>
          <w:szCs w:val="28"/>
          <w:lang w:val="es-ES_tradnl"/>
        </w:rPr>
      </w:pPr>
      <w:r w:rsidRPr="004571E5">
        <w:rPr>
          <w:rFonts w:ascii="Times New Roman" w:hAnsi="Times New Roman" w:cs="Times New Roman"/>
          <w:bCs/>
          <w:sz w:val="28"/>
          <w:szCs w:val="28"/>
          <w:lang w:eastAsia="es-CO"/>
        </w:rPr>
        <w:t xml:space="preserve">Los actores promovieron el medio de control de reparación directa </w:t>
      </w:r>
      <w:r w:rsidRPr="004571E5">
        <w:rPr>
          <w:rFonts w:ascii="Times New Roman" w:hAnsi="Times New Roman" w:cs="Times New Roman"/>
          <w:bCs/>
          <w:sz w:val="28"/>
          <w:szCs w:val="28"/>
        </w:rPr>
        <w:t xml:space="preserve">en contra de la Nación-Ministerio de Defensa-Ejército Nacional. Alegaron que </w:t>
      </w:r>
      <w:r w:rsidR="00415D7E" w:rsidRPr="004571E5">
        <w:rPr>
          <w:rFonts w:ascii="Times New Roman" w:hAnsi="Times New Roman" w:cs="Times New Roman"/>
          <w:bCs/>
          <w:sz w:val="28"/>
          <w:szCs w:val="28"/>
        </w:rPr>
        <w:t>el Estado era responsable por el fallecimiento del señor Vergel y solicitaron la indemnización de perjuicios.</w:t>
      </w:r>
    </w:p>
    <w:p w14:paraId="6C8D5A76" w14:textId="77777777" w:rsidR="009D1518" w:rsidRPr="004571E5" w:rsidRDefault="009D1518" w:rsidP="00481F2E">
      <w:pPr>
        <w:pStyle w:val="Prrafodelista"/>
        <w:shd w:val="clear" w:color="auto" w:fill="FFFFFF"/>
        <w:spacing w:after="0" w:line="240" w:lineRule="auto"/>
        <w:ind w:left="0" w:right="49"/>
        <w:jc w:val="both"/>
        <w:rPr>
          <w:rFonts w:ascii="Times New Roman" w:hAnsi="Times New Roman" w:cs="Times New Roman"/>
          <w:sz w:val="28"/>
          <w:szCs w:val="28"/>
          <w:lang w:val="es-ES_tradnl"/>
        </w:rPr>
      </w:pPr>
    </w:p>
    <w:p w14:paraId="05D4584F" w14:textId="77777777" w:rsidR="009D1518" w:rsidRPr="004571E5" w:rsidRDefault="009D1518" w:rsidP="00481F2E">
      <w:pPr>
        <w:pStyle w:val="Prrafodelista"/>
        <w:numPr>
          <w:ilvl w:val="0"/>
          <w:numId w:val="1"/>
        </w:numPr>
        <w:shd w:val="clear" w:color="auto" w:fill="FFFFFF"/>
        <w:spacing w:after="0" w:line="240" w:lineRule="auto"/>
        <w:ind w:right="49"/>
        <w:jc w:val="both"/>
        <w:rPr>
          <w:rFonts w:ascii="Times New Roman" w:hAnsi="Times New Roman" w:cs="Times New Roman"/>
          <w:sz w:val="28"/>
          <w:szCs w:val="28"/>
          <w:lang w:val="es-ES_tradnl"/>
        </w:rPr>
      </w:pPr>
      <w:r w:rsidRPr="004571E5">
        <w:rPr>
          <w:rFonts w:ascii="Times New Roman" w:hAnsi="Times New Roman" w:cs="Times New Roman"/>
          <w:sz w:val="28"/>
          <w:szCs w:val="28"/>
        </w:rPr>
        <w:t xml:space="preserve">En sentencia del 30 de mayo de 2014 el Tribunal Administrativo de Norte de Santander negó las pretensiones. Consideró que no existía prueba de que los uniformados del Ejército Nacional se hubieran excedido en el uso de la fuerza cuando accionaron sus armas de dotación oficial en contra del señor Vergel. En contraste, determinó que la muerte se ocasionó debido al actuar ilegítimo de aquel pues había disparado primero. Por ello declaró probada la excepción consistente en la “culpa exclusiva de la víctima”. </w:t>
      </w:r>
    </w:p>
    <w:p w14:paraId="3E4C707E" w14:textId="77777777" w:rsidR="009D1518" w:rsidRPr="004571E5" w:rsidRDefault="009D1518" w:rsidP="00481F2E">
      <w:pPr>
        <w:pStyle w:val="Prrafodelista"/>
        <w:shd w:val="clear" w:color="auto" w:fill="FFFFFF"/>
        <w:spacing w:after="0" w:line="240" w:lineRule="auto"/>
        <w:ind w:left="0" w:right="49"/>
        <w:jc w:val="both"/>
        <w:rPr>
          <w:rFonts w:ascii="Times New Roman" w:hAnsi="Times New Roman" w:cs="Times New Roman"/>
          <w:sz w:val="28"/>
          <w:szCs w:val="28"/>
          <w:lang w:val="es-ES_tradnl"/>
        </w:rPr>
      </w:pPr>
    </w:p>
    <w:p w14:paraId="1584688B" w14:textId="3FF13262" w:rsidR="009D1518" w:rsidRPr="004571E5" w:rsidRDefault="009D1518" w:rsidP="00481F2E">
      <w:pPr>
        <w:pStyle w:val="Prrafodelista"/>
        <w:numPr>
          <w:ilvl w:val="0"/>
          <w:numId w:val="1"/>
        </w:numPr>
        <w:shd w:val="clear" w:color="auto" w:fill="FFFFFF"/>
        <w:spacing w:after="0" w:line="240" w:lineRule="auto"/>
        <w:ind w:right="49"/>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
        </w:rPr>
        <w:t>Contra esa decisión los accionantes presentaron recurso de apelación. Consideraron que había cuatro elementos probatorios que no fueron valorados adecuadamente</w:t>
      </w:r>
      <w:r w:rsidR="0067685E" w:rsidRPr="004571E5">
        <w:rPr>
          <w:rFonts w:ascii="Times New Roman" w:hAnsi="Times New Roman" w:cs="Times New Roman"/>
          <w:sz w:val="28"/>
          <w:szCs w:val="28"/>
          <w:lang w:val="es-ES"/>
        </w:rPr>
        <w:t>:</w:t>
      </w:r>
    </w:p>
    <w:p w14:paraId="13AB5D03" w14:textId="77777777" w:rsidR="009D1518" w:rsidRPr="004571E5" w:rsidRDefault="009D1518" w:rsidP="00481F2E">
      <w:pPr>
        <w:pStyle w:val="Prrafodelista"/>
        <w:spacing w:line="240" w:lineRule="auto"/>
        <w:rPr>
          <w:rFonts w:ascii="Times New Roman" w:hAnsi="Times New Roman" w:cs="Times New Roman"/>
          <w:sz w:val="28"/>
          <w:szCs w:val="28"/>
          <w:lang w:val="es-ES"/>
        </w:rPr>
      </w:pPr>
    </w:p>
    <w:p w14:paraId="301BFEA1" w14:textId="77777777" w:rsidR="009D1518" w:rsidRPr="004571E5" w:rsidRDefault="009D1518" w:rsidP="00481F2E">
      <w:pPr>
        <w:pStyle w:val="Prrafodelista"/>
        <w:numPr>
          <w:ilvl w:val="1"/>
          <w:numId w:val="1"/>
        </w:numPr>
        <w:shd w:val="clear" w:color="auto" w:fill="FFFFFF"/>
        <w:spacing w:after="0" w:line="240" w:lineRule="auto"/>
        <w:ind w:right="49"/>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
        </w:rPr>
        <w:t>Los protocolos de necropsia que establecían que el señor Jhony Alexander Vergel Ortega recibió seis impactos de proyectil de arma de fuego, uno de ellos postero-anterior, en un supuesto enfrentamiento que duró 7 minutos y se habrían disparado 78 proyectiles de las armas oficiales que portaban los militares, lo que evidenciaba el desproporcionado uso de la fuerza por parte de los militares.</w:t>
      </w:r>
    </w:p>
    <w:p w14:paraId="3D04255B" w14:textId="77777777" w:rsidR="009D1518" w:rsidRPr="004571E5" w:rsidRDefault="009D1518" w:rsidP="00481F2E">
      <w:pPr>
        <w:pStyle w:val="Prrafodelista"/>
        <w:shd w:val="clear" w:color="auto" w:fill="FFFFFF"/>
        <w:spacing w:after="0" w:line="240" w:lineRule="auto"/>
        <w:ind w:left="1440" w:right="49"/>
        <w:jc w:val="both"/>
        <w:rPr>
          <w:rFonts w:ascii="Times New Roman" w:hAnsi="Times New Roman" w:cs="Times New Roman"/>
          <w:sz w:val="24"/>
          <w:szCs w:val="24"/>
          <w:lang w:val="es-ES_tradnl"/>
        </w:rPr>
      </w:pPr>
    </w:p>
    <w:p w14:paraId="6319D6BE" w14:textId="77777777" w:rsidR="009D1518" w:rsidRPr="004571E5" w:rsidRDefault="009D1518" w:rsidP="00481F2E">
      <w:pPr>
        <w:pStyle w:val="Prrafodelista"/>
        <w:numPr>
          <w:ilvl w:val="1"/>
          <w:numId w:val="1"/>
        </w:numPr>
        <w:shd w:val="clear" w:color="auto" w:fill="FFFFFF"/>
        <w:spacing w:after="0" w:line="240" w:lineRule="auto"/>
        <w:ind w:right="49"/>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E</w:t>
      </w:r>
      <w:r w:rsidRPr="004571E5">
        <w:rPr>
          <w:rFonts w:ascii="Times New Roman" w:hAnsi="Times New Roman" w:cs="Times New Roman"/>
          <w:sz w:val="24"/>
          <w:szCs w:val="24"/>
          <w:lang w:val="es-ES"/>
        </w:rPr>
        <w:t>l informe de materialización de trayectorias que concluyó que los disparos fueron hechos a una distancia menor de dos metros.</w:t>
      </w:r>
    </w:p>
    <w:p w14:paraId="71502A2F" w14:textId="77777777" w:rsidR="009D1518" w:rsidRPr="004571E5" w:rsidRDefault="009D1518" w:rsidP="00481F2E">
      <w:pPr>
        <w:pStyle w:val="Prrafodelista"/>
        <w:shd w:val="clear" w:color="auto" w:fill="FFFFFF"/>
        <w:spacing w:after="0" w:line="240" w:lineRule="auto"/>
        <w:ind w:left="1440" w:right="49"/>
        <w:jc w:val="both"/>
        <w:rPr>
          <w:rFonts w:ascii="Times New Roman" w:hAnsi="Times New Roman" w:cs="Times New Roman"/>
          <w:sz w:val="24"/>
          <w:szCs w:val="24"/>
          <w:lang w:val="es-ES_tradnl"/>
        </w:rPr>
      </w:pPr>
    </w:p>
    <w:p w14:paraId="2B6F543F" w14:textId="77777777" w:rsidR="009D1518" w:rsidRPr="004571E5" w:rsidRDefault="009D1518" w:rsidP="00481F2E">
      <w:pPr>
        <w:pStyle w:val="Prrafodelista"/>
        <w:numPr>
          <w:ilvl w:val="1"/>
          <w:numId w:val="1"/>
        </w:numPr>
        <w:shd w:val="clear" w:color="auto" w:fill="FFFFFF"/>
        <w:spacing w:after="0" w:line="240" w:lineRule="auto"/>
        <w:ind w:right="49"/>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E</w:t>
      </w:r>
      <w:r w:rsidRPr="004571E5">
        <w:rPr>
          <w:rFonts w:ascii="Times New Roman" w:hAnsi="Times New Roman" w:cs="Times New Roman"/>
          <w:sz w:val="24"/>
          <w:szCs w:val="24"/>
          <w:lang w:val="es-ES"/>
        </w:rPr>
        <w:t>l informe ejecutivo que acreditó que las armas encontradas junto a la víctima fueron disparadas, pero que no se había logrado acreditar cuándo y que no era posible presumir que fue el día de los hechos.</w:t>
      </w:r>
    </w:p>
    <w:p w14:paraId="68FFC26F" w14:textId="77777777" w:rsidR="009D1518" w:rsidRPr="004571E5" w:rsidRDefault="009D1518" w:rsidP="00481F2E">
      <w:pPr>
        <w:pStyle w:val="Prrafodelista"/>
        <w:shd w:val="clear" w:color="auto" w:fill="FFFFFF"/>
        <w:spacing w:after="0" w:line="240" w:lineRule="auto"/>
        <w:ind w:left="1440" w:right="49"/>
        <w:jc w:val="both"/>
        <w:rPr>
          <w:rFonts w:ascii="Times New Roman" w:hAnsi="Times New Roman" w:cs="Times New Roman"/>
          <w:sz w:val="24"/>
          <w:szCs w:val="24"/>
          <w:lang w:val="es-ES_tradnl"/>
        </w:rPr>
      </w:pPr>
    </w:p>
    <w:p w14:paraId="36D31C74" w14:textId="4B0871B8" w:rsidR="009D1518" w:rsidRPr="004571E5" w:rsidRDefault="009D1518" w:rsidP="00481F2E">
      <w:pPr>
        <w:pStyle w:val="Prrafodelista"/>
        <w:numPr>
          <w:ilvl w:val="1"/>
          <w:numId w:val="1"/>
        </w:numPr>
        <w:shd w:val="clear" w:color="auto" w:fill="FFFFFF"/>
        <w:spacing w:after="0" w:line="240" w:lineRule="auto"/>
        <w:ind w:right="49"/>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E</w:t>
      </w:r>
      <w:r w:rsidRPr="004571E5">
        <w:rPr>
          <w:rFonts w:ascii="Times New Roman" w:hAnsi="Times New Roman" w:cs="Times New Roman"/>
          <w:sz w:val="24"/>
          <w:szCs w:val="24"/>
          <w:lang w:val="es-ES"/>
        </w:rPr>
        <w:t>l informe topográfico que hacía referencia a dos armas encontradas junto a los cadáveres, pero además se estableció la inexistencia de vainillas provenientes de los fusiles oficiales en la ubicación en donde</w:t>
      </w:r>
      <w:r w:rsidR="000D0798" w:rsidRPr="004571E5">
        <w:rPr>
          <w:rFonts w:ascii="Times New Roman" w:hAnsi="Times New Roman" w:cs="Times New Roman"/>
          <w:sz w:val="24"/>
          <w:szCs w:val="24"/>
          <w:lang w:val="es-ES"/>
        </w:rPr>
        <w:t>,</w:t>
      </w:r>
      <w:r w:rsidRPr="004571E5">
        <w:rPr>
          <w:rFonts w:ascii="Times New Roman" w:hAnsi="Times New Roman" w:cs="Times New Roman"/>
          <w:sz w:val="24"/>
          <w:szCs w:val="24"/>
          <w:lang w:val="es-ES"/>
        </w:rPr>
        <w:t xml:space="preserve"> según el relato de los militares</w:t>
      </w:r>
      <w:r w:rsidR="000D0798" w:rsidRPr="004571E5">
        <w:rPr>
          <w:rFonts w:ascii="Times New Roman" w:hAnsi="Times New Roman" w:cs="Times New Roman"/>
          <w:sz w:val="24"/>
          <w:szCs w:val="24"/>
          <w:lang w:val="es-ES"/>
        </w:rPr>
        <w:t>,</w:t>
      </w:r>
      <w:r w:rsidRPr="004571E5">
        <w:rPr>
          <w:rFonts w:ascii="Times New Roman" w:hAnsi="Times New Roman" w:cs="Times New Roman"/>
          <w:sz w:val="24"/>
          <w:szCs w:val="24"/>
          <w:lang w:val="es-ES"/>
        </w:rPr>
        <w:t xml:space="preserve"> accionaron sus armas para defenderse de un supuesto ataque sorpresivo perpetrado por la víctima.</w:t>
      </w:r>
    </w:p>
    <w:p w14:paraId="5BF758D8" w14:textId="77777777" w:rsidR="009D1518" w:rsidRPr="004571E5" w:rsidRDefault="009D1518" w:rsidP="00481F2E">
      <w:pPr>
        <w:pStyle w:val="Prrafodelista"/>
        <w:shd w:val="clear" w:color="auto" w:fill="FFFFFF"/>
        <w:spacing w:after="0" w:line="240" w:lineRule="auto"/>
        <w:ind w:left="0" w:right="49"/>
        <w:jc w:val="both"/>
        <w:rPr>
          <w:rFonts w:ascii="Times New Roman" w:hAnsi="Times New Roman" w:cs="Times New Roman"/>
          <w:sz w:val="28"/>
          <w:szCs w:val="28"/>
          <w:lang w:val="es-ES_tradnl"/>
        </w:rPr>
      </w:pPr>
    </w:p>
    <w:p w14:paraId="3B1833FB" w14:textId="5AEA95F9" w:rsidR="009D1518" w:rsidRPr="004571E5" w:rsidRDefault="009D1518" w:rsidP="00481F2E">
      <w:pPr>
        <w:pStyle w:val="Prrafodelista"/>
        <w:numPr>
          <w:ilvl w:val="0"/>
          <w:numId w:val="1"/>
        </w:numPr>
        <w:shd w:val="clear" w:color="auto" w:fill="FFFFFF"/>
        <w:spacing w:after="0" w:line="240" w:lineRule="auto"/>
        <w:ind w:right="49"/>
        <w:jc w:val="both"/>
        <w:rPr>
          <w:rFonts w:ascii="Times New Roman" w:hAnsi="Times New Roman" w:cs="Times New Roman"/>
          <w:sz w:val="28"/>
          <w:szCs w:val="28"/>
          <w:lang w:val="es-ES_tradnl"/>
        </w:rPr>
      </w:pPr>
      <w:r w:rsidRPr="004571E5">
        <w:rPr>
          <w:rFonts w:ascii="Times New Roman" w:hAnsi="Times New Roman" w:cs="Times New Roman"/>
          <w:sz w:val="28"/>
          <w:szCs w:val="28"/>
        </w:rPr>
        <w:t>En segunda instancia, en sentencia de</w:t>
      </w:r>
      <w:r w:rsidR="004D1152" w:rsidRPr="004571E5">
        <w:rPr>
          <w:rFonts w:ascii="Times New Roman" w:hAnsi="Times New Roman" w:cs="Times New Roman"/>
          <w:sz w:val="28"/>
          <w:szCs w:val="28"/>
        </w:rPr>
        <w:t>l</w:t>
      </w:r>
      <w:r w:rsidRPr="004571E5">
        <w:rPr>
          <w:rFonts w:ascii="Times New Roman" w:hAnsi="Times New Roman" w:cs="Times New Roman"/>
          <w:sz w:val="28"/>
          <w:szCs w:val="28"/>
        </w:rPr>
        <w:t xml:space="preserve"> 5 de diciembre de 2022, la Subsección C de la Sección Tercera del Consejo de Estado modificó la decisión de primera instancia en el sentido de declarar la falta de legitimación en la causa por activa de uno de los demandantes</w:t>
      </w:r>
      <w:r w:rsidRPr="004571E5">
        <w:rPr>
          <w:rStyle w:val="Refdenotaalpie"/>
          <w:rFonts w:ascii="Times New Roman" w:hAnsi="Times New Roman" w:cs="Times New Roman"/>
          <w:sz w:val="28"/>
          <w:szCs w:val="28"/>
        </w:rPr>
        <w:footnoteReference w:id="12"/>
      </w:r>
      <w:r w:rsidRPr="004571E5">
        <w:rPr>
          <w:rFonts w:ascii="Times New Roman" w:hAnsi="Times New Roman" w:cs="Times New Roman"/>
          <w:sz w:val="28"/>
          <w:szCs w:val="28"/>
        </w:rPr>
        <w:t xml:space="preserve"> y, en lo demás, confirmó la decisión de primer grado. Consideró que la muerte del señor Vergel Ortega se produjo por el comportamiento de la propia víctima que accionó en repetidas ocasiones su arma de fuego en contra de los soldados del Ejército Nacional y, ante el inminente peligro que revestía, los uniformados dispararon sus armas de dotación oficial ocasionándole la muerte.</w:t>
      </w:r>
    </w:p>
    <w:p w14:paraId="2A8EF209" w14:textId="77777777" w:rsidR="009D1518" w:rsidRPr="004571E5" w:rsidRDefault="009D1518" w:rsidP="00481F2E">
      <w:pPr>
        <w:pStyle w:val="Prrafodelista"/>
        <w:shd w:val="clear" w:color="auto" w:fill="FFFFFF"/>
        <w:spacing w:after="0" w:line="240" w:lineRule="auto"/>
        <w:ind w:left="0" w:right="49"/>
        <w:jc w:val="both"/>
        <w:rPr>
          <w:rFonts w:ascii="Times New Roman" w:hAnsi="Times New Roman" w:cs="Times New Roman"/>
          <w:sz w:val="28"/>
          <w:szCs w:val="28"/>
          <w:lang w:val="es-ES_tradnl"/>
        </w:rPr>
      </w:pPr>
    </w:p>
    <w:p w14:paraId="48E8128B" w14:textId="77777777" w:rsidR="009D1518" w:rsidRPr="004571E5" w:rsidRDefault="009D1518" w:rsidP="00481F2E">
      <w:pPr>
        <w:spacing w:line="240" w:lineRule="auto"/>
        <w:rPr>
          <w:rFonts w:ascii="Times New Roman" w:hAnsi="Times New Roman" w:cs="Times New Roman"/>
          <w:i/>
          <w:iCs/>
          <w:sz w:val="28"/>
          <w:szCs w:val="28"/>
          <w:u w:val="single"/>
          <w:lang w:val="es-ES_tradnl"/>
        </w:rPr>
      </w:pPr>
      <w:r w:rsidRPr="004571E5">
        <w:rPr>
          <w:rFonts w:ascii="Times New Roman" w:hAnsi="Times New Roman" w:cs="Times New Roman"/>
          <w:i/>
          <w:iCs/>
          <w:sz w:val="28"/>
          <w:szCs w:val="28"/>
          <w:u w:val="single"/>
          <w:lang w:val="es-ES_tradnl"/>
        </w:rPr>
        <w:t>La acción de tutela</w:t>
      </w:r>
    </w:p>
    <w:p w14:paraId="0A1C3F15" w14:textId="2AA98100" w:rsidR="009D1518" w:rsidRPr="004571E5" w:rsidRDefault="009D1518" w:rsidP="000B0001">
      <w:pPr>
        <w:numPr>
          <w:ilvl w:val="0"/>
          <w:numId w:val="1"/>
        </w:numPr>
        <w:spacing w:after="0" w:line="240" w:lineRule="auto"/>
        <w:jc w:val="both"/>
        <w:rPr>
          <w:rFonts w:ascii="Times New Roman" w:hAnsi="Times New Roman" w:cs="Times New Roman"/>
          <w:b/>
          <w:sz w:val="28"/>
          <w:szCs w:val="28"/>
          <w:lang w:val="es-ES_tradnl"/>
        </w:rPr>
      </w:pPr>
      <w:r w:rsidRPr="004571E5">
        <w:rPr>
          <w:rFonts w:ascii="Times New Roman" w:hAnsi="Times New Roman" w:cs="Times New Roman"/>
          <w:sz w:val="28"/>
          <w:szCs w:val="28"/>
          <w:lang w:val="es-ES_tradnl"/>
        </w:rPr>
        <w:t xml:space="preserve">El </w:t>
      </w:r>
      <w:r w:rsidR="00EE7CBE" w:rsidRPr="004571E5">
        <w:rPr>
          <w:rFonts w:ascii="Times New Roman" w:hAnsi="Times New Roman" w:cs="Times New Roman"/>
          <w:sz w:val="28"/>
          <w:szCs w:val="28"/>
          <w:lang w:val="es-ES_tradnl"/>
        </w:rPr>
        <w:t>13 de octubre</w:t>
      </w:r>
      <w:r w:rsidRPr="004571E5">
        <w:rPr>
          <w:rFonts w:ascii="Times New Roman" w:hAnsi="Times New Roman" w:cs="Times New Roman"/>
          <w:sz w:val="28"/>
          <w:szCs w:val="28"/>
          <w:lang w:val="es-ES_tradnl"/>
        </w:rPr>
        <w:t xml:space="preserve"> de 2023 los accionantes presentaron la acción de tutela. </w:t>
      </w:r>
      <w:r w:rsidR="000B0001" w:rsidRPr="004571E5">
        <w:rPr>
          <w:rFonts w:ascii="Times New Roman" w:hAnsi="Times New Roman" w:cs="Times New Roman"/>
          <w:sz w:val="28"/>
          <w:szCs w:val="28"/>
          <w:lang w:val="es-ES_tradnl"/>
        </w:rPr>
        <w:t xml:space="preserve">Solicitaron que se revoque la sentencia del 5 de diciembre de 2022 de la Subsección C, Sección Tercera del Consejo de Estado y se ordene a la autoridad proferir una nueva decisión. </w:t>
      </w:r>
      <w:r w:rsidRPr="004571E5">
        <w:rPr>
          <w:rFonts w:ascii="Times New Roman" w:hAnsi="Times New Roman" w:cs="Times New Roman"/>
          <w:sz w:val="28"/>
          <w:szCs w:val="28"/>
          <w:lang w:val="es-ES_tradnl"/>
        </w:rPr>
        <w:t xml:space="preserve">En general, formularon dos reproches contra la </w:t>
      </w:r>
      <w:r w:rsidR="000B0001" w:rsidRPr="004571E5">
        <w:rPr>
          <w:rFonts w:ascii="Times New Roman" w:hAnsi="Times New Roman" w:cs="Times New Roman"/>
          <w:sz w:val="28"/>
          <w:szCs w:val="28"/>
          <w:lang w:val="es-ES_tradnl"/>
        </w:rPr>
        <w:t>sentencia</w:t>
      </w:r>
      <w:r w:rsidRPr="004571E5">
        <w:rPr>
          <w:rFonts w:ascii="Times New Roman" w:hAnsi="Times New Roman" w:cs="Times New Roman"/>
          <w:sz w:val="28"/>
          <w:szCs w:val="28"/>
          <w:lang w:val="es-ES_tradnl"/>
        </w:rPr>
        <w:t>:</w:t>
      </w:r>
    </w:p>
    <w:p w14:paraId="78ACC146" w14:textId="77777777" w:rsidR="009D1518" w:rsidRPr="004571E5" w:rsidRDefault="009D1518" w:rsidP="00481F2E">
      <w:pPr>
        <w:pStyle w:val="Prrafodelista"/>
        <w:shd w:val="clear" w:color="auto" w:fill="FFFFFF"/>
        <w:spacing w:after="0" w:line="240" w:lineRule="auto"/>
        <w:ind w:left="0" w:right="49"/>
        <w:jc w:val="both"/>
        <w:rPr>
          <w:rFonts w:ascii="Times New Roman" w:hAnsi="Times New Roman" w:cs="Times New Roman"/>
          <w:sz w:val="28"/>
          <w:szCs w:val="28"/>
          <w:lang w:val="es-ES_tradnl"/>
        </w:rPr>
      </w:pPr>
    </w:p>
    <w:tbl>
      <w:tblPr>
        <w:tblStyle w:val="Tablaconcuadrcula"/>
        <w:tblW w:w="0" w:type="auto"/>
        <w:tblLook w:val="04A0" w:firstRow="1" w:lastRow="0" w:firstColumn="1" w:lastColumn="0" w:noHBand="0" w:noVBand="1"/>
      </w:tblPr>
      <w:tblGrid>
        <w:gridCol w:w="1932"/>
        <w:gridCol w:w="6896"/>
      </w:tblGrid>
      <w:tr w:rsidR="009D1518" w:rsidRPr="004571E5" w14:paraId="56577DFD" w14:textId="77777777" w:rsidTr="004D23F8">
        <w:tc>
          <w:tcPr>
            <w:tcW w:w="1932" w:type="dxa"/>
            <w:shd w:val="clear" w:color="auto" w:fill="AEAAAA" w:themeFill="background2" w:themeFillShade="BF"/>
          </w:tcPr>
          <w:p w14:paraId="167F808F" w14:textId="77777777" w:rsidR="009D1518" w:rsidRPr="004571E5" w:rsidRDefault="009D1518" w:rsidP="00481F2E">
            <w:pPr>
              <w:pStyle w:val="Prrafodelista"/>
              <w:ind w:left="0" w:right="49"/>
              <w:jc w:val="center"/>
              <w:rPr>
                <w:rFonts w:ascii="Times New Roman" w:hAnsi="Times New Roman" w:cs="Times New Roman"/>
                <w:b/>
                <w:bCs/>
                <w:sz w:val="24"/>
                <w:szCs w:val="24"/>
                <w:lang w:val="es-ES_tradnl"/>
              </w:rPr>
            </w:pPr>
            <w:r w:rsidRPr="004571E5">
              <w:rPr>
                <w:rFonts w:ascii="Times New Roman" w:hAnsi="Times New Roman" w:cs="Times New Roman"/>
                <w:b/>
                <w:bCs/>
                <w:sz w:val="24"/>
                <w:szCs w:val="24"/>
                <w:lang w:val="es-ES_tradnl"/>
              </w:rPr>
              <w:t>Defecto</w:t>
            </w:r>
          </w:p>
        </w:tc>
        <w:tc>
          <w:tcPr>
            <w:tcW w:w="6896" w:type="dxa"/>
            <w:shd w:val="clear" w:color="auto" w:fill="AEAAAA" w:themeFill="background2" w:themeFillShade="BF"/>
          </w:tcPr>
          <w:p w14:paraId="3473B79B" w14:textId="77777777" w:rsidR="009D1518" w:rsidRPr="004571E5" w:rsidRDefault="009D1518" w:rsidP="00481F2E">
            <w:pPr>
              <w:pStyle w:val="Prrafodelista"/>
              <w:ind w:left="0" w:right="49"/>
              <w:jc w:val="center"/>
              <w:rPr>
                <w:rFonts w:ascii="Times New Roman" w:hAnsi="Times New Roman" w:cs="Times New Roman"/>
                <w:b/>
                <w:bCs/>
                <w:sz w:val="24"/>
                <w:szCs w:val="24"/>
                <w:lang w:val="es-ES_tradnl"/>
              </w:rPr>
            </w:pPr>
            <w:r w:rsidRPr="004571E5">
              <w:rPr>
                <w:rFonts w:ascii="Times New Roman" w:hAnsi="Times New Roman" w:cs="Times New Roman"/>
                <w:b/>
                <w:bCs/>
                <w:sz w:val="24"/>
                <w:szCs w:val="24"/>
                <w:lang w:val="es-ES_tradnl"/>
              </w:rPr>
              <w:t>Reproche formulado</w:t>
            </w:r>
          </w:p>
        </w:tc>
      </w:tr>
      <w:tr w:rsidR="009D1518" w:rsidRPr="004571E5" w14:paraId="33C6DC7D" w14:textId="77777777" w:rsidTr="004D23F8">
        <w:tc>
          <w:tcPr>
            <w:tcW w:w="1932" w:type="dxa"/>
            <w:vAlign w:val="center"/>
          </w:tcPr>
          <w:p w14:paraId="75893417" w14:textId="77777777" w:rsidR="009D1518" w:rsidRPr="004571E5" w:rsidRDefault="009D1518" w:rsidP="00481F2E">
            <w:pPr>
              <w:pStyle w:val="Prrafodelista"/>
              <w:ind w:left="0" w:right="49"/>
              <w:jc w:val="center"/>
              <w:rPr>
                <w:rFonts w:ascii="Times New Roman" w:hAnsi="Times New Roman" w:cs="Times New Roman"/>
                <w:sz w:val="24"/>
                <w:szCs w:val="24"/>
                <w:lang w:val="es-ES_tradnl"/>
              </w:rPr>
            </w:pPr>
            <w:r w:rsidRPr="004571E5">
              <w:rPr>
                <w:rFonts w:ascii="Times New Roman" w:hAnsi="Times New Roman" w:cs="Times New Roman"/>
                <w:i/>
                <w:iCs/>
                <w:sz w:val="24"/>
                <w:szCs w:val="24"/>
                <w:lang w:val="es-ES_tradnl"/>
              </w:rPr>
              <w:t>Defecto fáctico por indebida valoración probatoria</w:t>
            </w:r>
          </w:p>
        </w:tc>
        <w:tc>
          <w:tcPr>
            <w:tcW w:w="6896" w:type="dxa"/>
          </w:tcPr>
          <w:p w14:paraId="2BA046C0" w14:textId="77777777" w:rsidR="009D1518" w:rsidRPr="004571E5" w:rsidRDefault="009D1518" w:rsidP="00481F2E">
            <w:pPr>
              <w:tabs>
                <w:tab w:val="left" w:pos="314"/>
              </w:tabs>
              <w:jc w:val="both"/>
              <w:rPr>
                <w:rFonts w:ascii="Times New Roman" w:hAnsi="Times New Roman" w:cs="Times New Roman"/>
                <w:sz w:val="24"/>
                <w:szCs w:val="24"/>
              </w:rPr>
            </w:pPr>
            <w:r w:rsidRPr="004571E5">
              <w:rPr>
                <w:rFonts w:ascii="Times New Roman" w:hAnsi="Times New Roman" w:cs="Times New Roman"/>
                <w:sz w:val="24"/>
                <w:szCs w:val="24"/>
              </w:rPr>
              <w:t xml:space="preserve">Se valoraron de forma indebida diferentes medios de prueba que obraban en el expediente: </w:t>
            </w:r>
          </w:p>
          <w:p w14:paraId="3EC6F8E9" w14:textId="77777777" w:rsidR="009D1518" w:rsidRPr="004571E5" w:rsidRDefault="009D1518" w:rsidP="00481F2E">
            <w:pPr>
              <w:tabs>
                <w:tab w:val="left" w:pos="314"/>
              </w:tabs>
              <w:jc w:val="both"/>
              <w:rPr>
                <w:rFonts w:ascii="Times New Roman" w:hAnsi="Times New Roman" w:cs="Times New Roman"/>
                <w:sz w:val="24"/>
                <w:szCs w:val="24"/>
              </w:rPr>
            </w:pPr>
          </w:p>
          <w:p w14:paraId="7247CF38" w14:textId="77777777" w:rsidR="009D1518" w:rsidRPr="004571E5" w:rsidRDefault="009D1518" w:rsidP="00481F2E">
            <w:pPr>
              <w:pStyle w:val="Prrafodelista"/>
              <w:numPr>
                <w:ilvl w:val="0"/>
                <w:numId w:val="25"/>
              </w:numPr>
              <w:tabs>
                <w:tab w:val="left" w:pos="314"/>
              </w:tabs>
              <w:jc w:val="both"/>
              <w:rPr>
                <w:rFonts w:ascii="Times New Roman" w:hAnsi="Times New Roman" w:cs="Times New Roman"/>
                <w:sz w:val="24"/>
                <w:szCs w:val="24"/>
              </w:rPr>
            </w:pPr>
            <w:r w:rsidRPr="004571E5">
              <w:rPr>
                <w:rFonts w:ascii="Times New Roman" w:hAnsi="Times New Roman" w:cs="Times New Roman"/>
                <w:sz w:val="24"/>
                <w:szCs w:val="24"/>
              </w:rPr>
              <w:t>El protocolo de necropsia, el informe de residuos de disparo y el informe pericial de necropsia. Estos daban cuenta de que la víctima fue impactada desde diferentes ángulos y posiciones, por lo que puede concluirse que estaba rodeado por militares.</w:t>
            </w:r>
          </w:p>
          <w:p w14:paraId="47E5899C" w14:textId="77777777" w:rsidR="009D1518" w:rsidRPr="004571E5" w:rsidRDefault="009D1518" w:rsidP="00481F2E">
            <w:pPr>
              <w:pStyle w:val="Prrafodelista"/>
              <w:numPr>
                <w:ilvl w:val="0"/>
                <w:numId w:val="25"/>
              </w:numPr>
              <w:tabs>
                <w:tab w:val="left" w:pos="314"/>
              </w:tabs>
              <w:jc w:val="both"/>
              <w:rPr>
                <w:rFonts w:ascii="Times New Roman" w:hAnsi="Times New Roman" w:cs="Times New Roman"/>
                <w:sz w:val="24"/>
                <w:szCs w:val="24"/>
              </w:rPr>
            </w:pPr>
            <w:r w:rsidRPr="004571E5">
              <w:rPr>
                <w:rFonts w:ascii="Times New Roman" w:hAnsi="Times New Roman" w:cs="Times New Roman"/>
                <w:sz w:val="24"/>
                <w:szCs w:val="24"/>
              </w:rPr>
              <w:t>El informe técnico de materialización de trayectorias. Este mostraba que los disparos se realizaron con una distancia menor de dos metros.</w:t>
            </w:r>
          </w:p>
          <w:p w14:paraId="4BDCFFA9" w14:textId="77777777" w:rsidR="009D1518" w:rsidRPr="004571E5" w:rsidRDefault="009D1518" w:rsidP="00481F2E">
            <w:pPr>
              <w:pStyle w:val="Prrafodelista"/>
              <w:numPr>
                <w:ilvl w:val="0"/>
                <w:numId w:val="25"/>
              </w:numPr>
              <w:tabs>
                <w:tab w:val="left" w:pos="314"/>
              </w:tabs>
              <w:jc w:val="both"/>
              <w:rPr>
                <w:rFonts w:ascii="Times New Roman" w:hAnsi="Times New Roman" w:cs="Times New Roman"/>
                <w:sz w:val="24"/>
                <w:szCs w:val="24"/>
              </w:rPr>
            </w:pPr>
            <w:r w:rsidRPr="004571E5">
              <w:rPr>
                <w:rFonts w:ascii="Times New Roman" w:hAnsi="Times New Roman" w:cs="Times New Roman"/>
                <w:sz w:val="24"/>
                <w:szCs w:val="24"/>
              </w:rPr>
              <w:t xml:space="preserve">El informe de operaciones, ejecutivo y topográfico de la </w:t>
            </w:r>
            <w:proofErr w:type="gramStart"/>
            <w:r w:rsidRPr="004571E5">
              <w:rPr>
                <w:rFonts w:ascii="Times New Roman" w:hAnsi="Times New Roman" w:cs="Times New Roman"/>
                <w:sz w:val="24"/>
                <w:szCs w:val="24"/>
              </w:rPr>
              <w:t>Fiscalía General</w:t>
            </w:r>
            <w:proofErr w:type="gramEnd"/>
            <w:r w:rsidRPr="004571E5">
              <w:rPr>
                <w:rFonts w:ascii="Times New Roman" w:hAnsi="Times New Roman" w:cs="Times New Roman"/>
                <w:sz w:val="24"/>
                <w:szCs w:val="24"/>
              </w:rPr>
              <w:t xml:space="preserve"> de la Nación. </w:t>
            </w:r>
          </w:p>
          <w:p w14:paraId="7848D600" w14:textId="77777777" w:rsidR="009D1518" w:rsidRPr="004571E5" w:rsidRDefault="009D1518" w:rsidP="00481F2E">
            <w:pPr>
              <w:pStyle w:val="Prrafodelista"/>
              <w:numPr>
                <w:ilvl w:val="0"/>
                <w:numId w:val="25"/>
              </w:numPr>
              <w:tabs>
                <w:tab w:val="left" w:pos="314"/>
              </w:tabs>
              <w:jc w:val="both"/>
              <w:rPr>
                <w:rFonts w:ascii="Times New Roman" w:hAnsi="Times New Roman" w:cs="Times New Roman"/>
                <w:sz w:val="24"/>
                <w:szCs w:val="24"/>
              </w:rPr>
            </w:pPr>
            <w:r w:rsidRPr="004571E5">
              <w:rPr>
                <w:rFonts w:ascii="Times New Roman" w:hAnsi="Times New Roman" w:cs="Times New Roman"/>
                <w:sz w:val="24"/>
                <w:szCs w:val="24"/>
              </w:rPr>
              <w:t xml:space="preserve">El estudio técnico de las armas de fuego y residuos de disparo en las manos de la víctima. Sobre este, señalaron que el hecho de que el resultado hubiese sido positivo para partículas de residuos de disparo en la mano </w:t>
            </w:r>
            <w:proofErr w:type="gramStart"/>
            <w:r w:rsidRPr="004571E5">
              <w:rPr>
                <w:rFonts w:ascii="Times New Roman" w:hAnsi="Times New Roman" w:cs="Times New Roman"/>
                <w:sz w:val="24"/>
                <w:szCs w:val="24"/>
              </w:rPr>
              <w:t>derecha,</w:t>
            </w:r>
            <w:proofErr w:type="gramEnd"/>
            <w:r w:rsidRPr="004571E5">
              <w:rPr>
                <w:rFonts w:ascii="Times New Roman" w:hAnsi="Times New Roman" w:cs="Times New Roman"/>
                <w:sz w:val="24"/>
                <w:szCs w:val="24"/>
              </w:rPr>
              <w:t xml:space="preserve"> no es suficiente para acreditar que accionó el arma el día de los hechos y contra los militares y que esa prueba debe valorarse en conjunto con otros elementos aportados. </w:t>
            </w:r>
          </w:p>
          <w:p w14:paraId="1D46B583" w14:textId="77777777" w:rsidR="009D1518" w:rsidRPr="004571E5" w:rsidRDefault="009D1518" w:rsidP="00481F2E">
            <w:pPr>
              <w:pStyle w:val="Prrafodelista"/>
              <w:numPr>
                <w:ilvl w:val="0"/>
                <w:numId w:val="25"/>
              </w:numPr>
              <w:tabs>
                <w:tab w:val="left" w:pos="314"/>
              </w:tabs>
              <w:jc w:val="both"/>
              <w:rPr>
                <w:rFonts w:ascii="Times New Roman" w:hAnsi="Times New Roman" w:cs="Times New Roman"/>
                <w:sz w:val="24"/>
                <w:szCs w:val="24"/>
              </w:rPr>
            </w:pPr>
            <w:r w:rsidRPr="004571E5">
              <w:rPr>
                <w:rFonts w:ascii="Times New Roman" w:hAnsi="Times New Roman" w:cs="Times New Roman"/>
                <w:sz w:val="24"/>
                <w:szCs w:val="24"/>
              </w:rPr>
              <w:t>Las declaraciones rendidas por los militares que participaron en el ataque. Los militares manifestaron que fueron atacados por el señor Vergel y que en su defensa tuvieron que accionar las armas. Sin embargo, no se acreditó el intercambio de disparos y no se tuvo en cuenta que la cuadrilla estaba integrada por 1 oficial, 2 suboficiales y 16 soldados, los cuales utilizaron 78 municiones contra dos personas, lo que descarta una legítima defensa frente a dos supuestos atacantes.</w:t>
            </w:r>
          </w:p>
          <w:p w14:paraId="3CAE31A4" w14:textId="77777777" w:rsidR="009D1518" w:rsidRPr="004571E5" w:rsidRDefault="009D1518" w:rsidP="00481F2E">
            <w:pPr>
              <w:tabs>
                <w:tab w:val="left" w:pos="314"/>
              </w:tabs>
              <w:jc w:val="both"/>
              <w:rPr>
                <w:rFonts w:ascii="Times New Roman" w:hAnsi="Times New Roman" w:cs="Times New Roman"/>
                <w:sz w:val="24"/>
                <w:szCs w:val="24"/>
              </w:rPr>
            </w:pPr>
          </w:p>
          <w:p w14:paraId="01B32C43" w14:textId="5CB2E116" w:rsidR="009D1518" w:rsidRPr="004571E5" w:rsidRDefault="009D1518" w:rsidP="00481F2E">
            <w:pPr>
              <w:tabs>
                <w:tab w:val="left" w:pos="314"/>
              </w:tabs>
              <w:jc w:val="both"/>
              <w:rPr>
                <w:rFonts w:ascii="Times New Roman" w:hAnsi="Times New Roman" w:cs="Times New Roman"/>
                <w:sz w:val="24"/>
                <w:szCs w:val="24"/>
              </w:rPr>
            </w:pPr>
            <w:r w:rsidRPr="004571E5">
              <w:rPr>
                <w:rFonts w:ascii="Times New Roman" w:hAnsi="Times New Roman" w:cs="Times New Roman"/>
                <w:sz w:val="24"/>
                <w:szCs w:val="24"/>
              </w:rPr>
              <w:t>Además, el defecto se configuró porque</w:t>
            </w:r>
            <w:r w:rsidR="004D1152" w:rsidRPr="004571E5">
              <w:rPr>
                <w:rFonts w:ascii="Times New Roman" w:hAnsi="Times New Roman" w:cs="Times New Roman"/>
                <w:sz w:val="24"/>
                <w:szCs w:val="24"/>
              </w:rPr>
              <w:t xml:space="preserve"> se</w:t>
            </w:r>
            <w:r w:rsidRPr="004571E5">
              <w:rPr>
                <w:rFonts w:ascii="Times New Roman" w:hAnsi="Times New Roman" w:cs="Times New Roman"/>
                <w:sz w:val="24"/>
                <w:szCs w:val="24"/>
              </w:rPr>
              <w:t xml:space="preserve"> dejaron de valorar los siguientes indicios: </w:t>
            </w:r>
          </w:p>
          <w:p w14:paraId="51B5A4FC" w14:textId="77777777" w:rsidR="009D1518" w:rsidRPr="004571E5" w:rsidRDefault="009D1518" w:rsidP="00481F2E">
            <w:pPr>
              <w:tabs>
                <w:tab w:val="left" w:pos="314"/>
              </w:tabs>
              <w:jc w:val="both"/>
              <w:rPr>
                <w:rFonts w:ascii="Times New Roman" w:hAnsi="Times New Roman" w:cs="Times New Roman"/>
                <w:sz w:val="24"/>
                <w:szCs w:val="24"/>
              </w:rPr>
            </w:pPr>
          </w:p>
          <w:p w14:paraId="40873C8E" w14:textId="77777777" w:rsidR="009D1518" w:rsidRPr="004571E5" w:rsidRDefault="009D1518" w:rsidP="00481F2E">
            <w:pPr>
              <w:pStyle w:val="Prrafodelista"/>
              <w:numPr>
                <w:ilvl w:val="0"/>
                <w:numId w:val="26"/>
              </w:numPr>
              <w:tabs>
                <w:tab w:val="left" w:pos="314"/>
              </w:tabs>
              <w:jc w:val="both"/>
              <w:rPr>
                <w:rFonts w:ascii="Times New Roman" w:hAnsi="Times New Roman" w:cs="Times New Roman"/>
              </w:rPr>
            </w:pPr>
            <w:r w:rsidRPr="004571E5">
              <w:rPr>
                <w:rFonts w:ascii="Times New Roman" w:hAnsi="Times New Roman" w:cs="Times New Roman"/>
                <w:sz w:val="24"/>
                <w:szCs w:val="24"/>
              </w:rPr>
              <w:t xml:space="preserve">La víctima no era de esa zona y no tenía antecedentes penales. </w:t>
            </w:r>
          </w:p>
          <w:p w14:paraId="1F2AD85F" w14:textId="77777777" w:rsidR="009D1518" w:rsidRPr="004571E5" w:rsidRDefault="009D1518" w:rsidP="00481F2E">
            <w:pPr>
              <w:pStyle w:val="Prrafodelista"/>
              <w:numPr>
                <w:ilvl w:val="0"/>
                <w:numId w:val="26"/>
              </w:numPr>
              <w:tabs>
                <w:tab w:val="left" w:pos="314"/>
              </w:tabs>
              <w:jc w:val="both"/>
              <w:rPr>
                <w:rFonts w:ascii="Times New Roman" w:hAnsi="Times New Roman" w:cs="Times New Roman"/>
              </w:rPr>
            </w:pPr>
            <w:r w:rsidRPr="004571E5">
              <w:rPr>
                <w:rFonts w:ascii="Times New Roman" w:hAnsi="Times New Roman" w:cs="Times New Roman"/>
                <w:sz w:val="24"/>
                <w:szCs w:val="24"/>
              </w:rPr>
              <w:t xml:space="preserve">No existen informes de inteligencia en los que se hubiera identificado a la víctima como miembro de algún grupo al margen de la ley. </w:t>
            </w:r>
          </w:p>
          <w:p w14:paraId="49BB849C" w14:textId="77777777" w:rsidR="009D1518" w:rsidRPr="004571E5" w:rsidRDefault="009D1518" w:rsidP="00481F2E">
            <w:pPr>
              <w:pStyle w:val="Prrafodelista"/>
              <w:numPr>
                <w:ilvl w:val="0"/>
                <w:numId w:val="26"/>
              </w:numPr>
              <w:tabs>
                <w:tab w:val="left" w:pos="314"/>
              </w:tabs>
              <w:jc w:val="both"/>
              <w:rPr>
                <w:rFonts w:ascii="Times New Roman" w:hAnsi="Times New Roman" w:cs="Times New Roman"/>
              </w:rPr>
            </w:pPr>
            <w:r w:rsidRPr="004571E5">
              <w:rPr>
                <w:rFonts w:ascii="Times New Roman" w:hAnsi="Times New Roman" w:cs="Times New Roman"/>
                <w:sz w:val="24"/>
                <w:szCs w:val="24"/>
              </w:rPr>
              <w:t xml:space="preserve">Los militares dispararon 78 balas y no se encontraron las vainillas o cartuchos. </w:t>
            </w:r>
          </w:p>
          <w:p w14:paraId="39DB352E" w14:textId="77777777" w:rsidR="009D1518" w:rsidRPr="004571E5" w:rsidRDefault="009D1518" w:rsidP="00481F2E">
            <w:pPr>
              <w:pStyle w:val="Prrafodelista"/>
              <w:numPr>
                <w:ilvl w:val="0"/>
                <w:numId w:val="26"/>
              </w:numPr>
              <w:tabs>
                <w:tab w:val="left" w:pos="314"/>
              </w:tabs>
              <w:jc w:val="both"/>
              <w:rPr>
                <w:rFonts w:ascii="Times New Roman" w:hAnsi="Times New Roman" w:cs="Times New Roman"/>
              </w:rPr>
            </w:pPr>
            <w:r w:rsidRPr="004571E5">
              <w:rPr>
                <w:rFonts w:ascii="Times New Roman" w:hAnsi="Times New Roman" w:cs="Times New Roman"/>
                <w:sz w:val="24"/>
                <w:szCs w:val="24"/>
              </w:rPr>
              <w:t xml:space="preserve">En el operativo no resultó herido un solo militar. </w:t>
            </w:r>
          </w:p>
          <w:p w14:paraId="2993FDC1" w14:textId="77777777" w:rsidR="009D1518" w:rsidRPr="004571E5" w:rsidRDefault="009D1518" w:rsidP="00481F2E">
            <w:pPr>
              <w:pStyle w:val="Prrafodelista"/>
              <w:numPr>
                <w:ilvl w:val="0"/>
                <w:numId w:val="26"/>
              </w:numPr>
              <w:tabs>
                <w:tab w:val="left" w:pos="314"/>
              </w:tabs>
              <w:jc w:val="both"/>
              <w:rPr>
                <w:rFonts w:ascii="Times New Roman" w:hAnsi="Times New Roman" w:cs="Times New Roman"/>
              </w:rPr>
            </w:pPr>
            <w:r w:rsidRPr="004571E5">
              <w:rPr>
                <w:rFonts w:ascii="Times New Roman" w:hAnsi="Times New Roman" w:cs="Times New Roman"/>
                <w:sz w:val="24"/>
                <w:szCs w:val="24"/>
              </w:rPr>
              <w:t xml:space="preserve">Las armas encontradas junto a los cuerpos fueron disparadas en tres oportunidades. </w:t>
            </w:r>
          </w:p>
          <w:p w14:paraId="2D7A9900" w14:textId="77777777" w:rsidR="009D1518" w:rsidRPr="004571E5" w:rsidRDefault="009D1518" w:rsidP="00481F2E">
            <w:pPr>
              <w:pStyle w:val="Prrafodelista"/>
              <w:numPr>
                <w:ilvl w:val="0"/>
                <w:numId w:val="26"/>
              </w:numPr>
              <w:tabs>
                <w:tab w:val="left" w:pos="314"/>
              </w:tabs>
              <w:jc w:val="both"/>
              <w:rPr>
                <w:rFonts w:ascii="Times New Roman" w:hAnsi="Times New Roman" w:cs="Times New Roman"/>
              </w:rPr>
            </w:pPr>
            <w:r w:rsidRPr="004571E5">
              <w:rPr>
                <w:rFonts w:ascii="Times New Roman" w:hAnsi="Times New Roman" w:cs="Times New Roman"/>
                <w:sz w:val="24"/>
                <w:szCs w:val="24"/>
              </w:rPr>
              <w:t xml:space="preserve">Cuando el fallecido recibió los impactos de proyectil se encontraban rodeados por militares y los disparos fueron hechos a menos de dos metros de distancia. </w:t>
            </w:r>
          </w:p>
          <w:p w14:paraId="534C5E34" w14:textId="77777777" w:rsidR="009D1518" w:rsidRPr="004571E5" w:rsidRDefault="009D1518" w:rsidP="00481F2E">
            <w:pPr>
              <w:pStyle w:val="Prrafodelista"/>
              <w:numPr>
                <w:ilvl w:val="0"/>
                <w:numId w:val="26"/>
              </w:numPr>
              <w:tabs>
                <w:tab w:val="left" w:pos="314"/>
              </w:tabs>
              <w:jc w:val="both"/>
              <w:rPr>
                <w:rFonts w:ascii="Times New Roman" w:hAnsi="Times New Roman" w:cs="Times New Roman"/>
              </w:rPr>
            </w:pPr>
            <w:r w:rsidRPr="004571E5">
              <w:rPr>
                <w:rFonts w:ascii="Times New Roman" w:hAnsi="Times New Roman" w:cs="Times New Roman"/>
                <w:sz w:val="24"/>
                <w:szCs w:val="24"/>
              </w:rPr>
              <w:t>Las versiones de los militares que se encontraban en el momento de los hechos no coinciden con los informes técnicos.</w:t>
            </w:r>
            <w:r w:rsidRPr="004571E5">
              <w:rPr>
                <w:rFonts w:ascii="Times New Roman" w:hAnsi="Times New Roman" w:cs="Times New Roman"/>
              </w:rPr>
              <w:t xml:space="preserve"> </w:t>
            </w:r>
          </w:p>
        </w:tc>
      </w:tr>
      <w:tr w:rsidR="009D1518" w:rsidRPr="004571E5" w14:paraId="11388976" w14:textId="77777777" w:rsidTr="004D23F8">
        <w:tc>
          <w:tcPr>
            <w:tcW w:w="1932" w:type="dxa"/>
            <w:vAlign w:val="center"/>
          </w:tcPr>
          <w:p w14:paraId="6F057AF4" w14:textId="4CAF8D1C" w:rsidR="009D1518" w:rsidRPr="004571E5" w:rsidRDefault="00F27E04" w:rsidP="00481F2E">
            <w:pPr>
              <w:pStyle w:val="Prrafodelista"/>
              <w:ind w:left="0" w:right="49"/>
              <w:jc w:val="center"/>
              <w:rPr>
                <w:rFonts w:ascii="Times New Roman" w:hAnsi="Times New Roman" w:cs="Times New Roman"/>
                <w:sz w:val="24"/>
                <w:szCs w:val="24"/>
                <w:lang w:val="es-ES_tradnl"/>
              </w:rPr>
            </w:pPr>
            <w:r w:rsidRPr="004571E5">
              <w:rPr>
                <w:rFonts w:ascii="Times New Roman" w:hAnsi="Times New Roman" w:cs="Times New Roman"/>
                <w:i/>
                <w:iCs/>
                <w:sz w:val="24"/>
                <w:szCs w:val="24"/>
                <w:lang w:val="es-ES_tradnl"/>
              </w:rPr>
              <w:lastRenderedPageBreak/>
              <w:t>D</w:t>
            </w:r>
            <w:r w:rsidR="009D1518" w:rsidRPr="004571E5">
              <w:rPr>
                <w:rFonts w:ascii="Times New Roman" w:hAnsi="Times New Roman" w:cs="Times New Roman"/>
                <w:i/>
                <w:iCs/>
                <w:sz w:val="24"/>
                <w:szCs w:val="24"/>
                <w:lang w:val="es-ES_tradnl"/>
              </w:rPr>
              <w:t>esconocimiento del precedente del Consejo de Estado</w:t>
            </w:r>
          </w:p>
        </w:tc>
        <w:tc>
          <w:tcPr>
            <w:tcW w:w="6896" w:type="dxa"/>
          </w:tcPr>
          <w:p w14:paraId="404AD0C9" w14:textId="2D1C0CC3" w:rsidR="009D1518" w:rsidRPr="004571E5" w:rsidRDefault="0087086B" w:rsidP="00481F2E">
            <w:pPr>
              <w:pStyle w:val="Prrafodelista"/>
              <w:ind w:left="0" w:right="49"/>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Los demandantes afirmaron que la subsección i</w:t>
            </w:r>
            <w:r w:rsidR="009D1518" w:rsidRPr="004571E5">
              <w:rPr>
                <w:rFonts w:ascii="Times New Roman" w:hAnsi="Times New Roman" w:cs="Times New Roman"/>
                <w:sz w:val="24"/>
                <w:szCs w:val="24"/>
                <w:lang w:val="es-ES_tradnl"/>
              </w:rPr>
              <w:t xml:space="preserve">naplicó la doctrina probable sobre el deber de acudir a la prueba indiciaria en los casos de ejecuciones extrajudiciales. </w:t>
            </w:r>
            <w:r w:rsidRPr="004571E5">
              <w:rPr>
                <w:rFonts w:ascii="Times New Roman" w:hAnsi="Times New Roman" w:cs="Times New Roman"/>
                <w:sz w:val="24"/>
                <w:szCs w:val="24"/>
                <w:lang w:val="es-ES_tradnl"/>
              </w:rPr>
              <w:t>Hicieron</w:t>
            </w:r>
            <w:r w:rsidR="009D1518" w:rsidRPr="004571E5">
              <w:rPr>
                <w:rFonts w:ascii="Times New Roman" w:hAnsi="Times New Roman" w:cs="Times New Roman"/>
                <w:sz w:val="24"/>
                <w:szCs w:val="24"/>
                <w:lang w:val="es-ES_tradnl"/>
              </w:rPr>
              <w:t xml:space="preserve"> mención en pie de página de las sentencias de la Sección Tercera del Consejo de Estado del 5 de marzo de 2015 (expediente 2004-03617-01), del 7 de septiembre de 2015 (expediente 2010-00178-01) y del 28 de abril de 2021 (proceso 2011-00080-01), en los que se ha</w:t>
            </w:r>
            <w:r w:rsidR="00300017" w:rsidRPr="004571E5">
              <w:rPr>
                <w:rFonts w:ascii="Times New Roman" w:hAnsi="Times New Roman" w:cs="Times New Roman"/>
                <w:sz w:val="24"/>
                <w:szCs w:val="24"/>
                <w:lang w:val="es-ES_tradnl"/>
              </w:rPr>
              <w:t>n</w:t>
            </w:r>
            <w:r w:rsidR="009D1518" w:rsidRPr="004571E5">
              <w:rPr>
                <w:rFonts w:ascii="Times New Roman" w:hAnsi="Times New Roman" w:cs="Times New Roman"/>
                <w:sz w:val="24"/>
                <w:szCs w:val="24"/>
                <w:lang w:val="es-ES_tradnl"/>
              </w:rPr>
              <w:t xml:space="preserve"> asumido como escenarios propios de esta clase de ejecuciones como “una ficticia operación militar, ofertas de trabajo, la ejecución se produce en lugares alejados, alteración de la escena, los ejecutados no disparan armas de fuego, a las víctimas les son colocadas armas de fuego en sus manos, las trayectorias de los disparos muestran el asesinato por la espalda y desde un sitio distante donde se encontraba la tropa, acreditándose así el estado de indefensión”</w:t>
            </w:r>
            <w:r w:rsidR="009D1518" w:rsidRPr="004571E5">
              <w:rPr>
                <w:rStyle w:val="Refdenotaalpie"/>
                <w:rFonts w:ascii="Times New Roman" w:hAnsi="Times New Roman" w:cs="Times New Roman"/>
                <w:sz w:val="24"/>
                <w:szCs w:val="24"/>
                <w:lang w:val="es-ES_tradnl"/>
              </w:rPr>
              <w:footnoteReference w:id="13"/>
            </w:r>
            <w:r w:rsidR="009D1518" w:rsidRPr="004571E5">
              <w:rPr>
                <w:rFonts w:ascii="Times New Roman" w:hAnsi="Times New Roman" w:cs="Times New Roman"/>
                <w:sz w:val="24"/>
                <w:szCs w:val="24"/>
                <w:lang w:val="es-ES_tradnl"/>
              </w:rPr>
              <w:t>.</w:t>
            </w:r>
          </w:p>
        </w:tc>
      </w:tr>
    </w:tbl>
    <w:p w14:paraId="74BF1EA9" w14:textId="6057FDCA" w:rsidR="009D1518" w:rsidRPr="004571E5" w:rsidRDefault="009D1518" w:rsidP="000B0001">
      <w:pPr>
        <w:spacing w:after="0" w:line="240" w:lineRule="auto"/>
        <w:jc w:val="both"/>
        <w:rPr>
          <w:rFonts w:ascii="Times New Roman" w:hAnsi="Times New Roman" w:cs="Times New Roman"/>
          <w:b/>
          <w:sz w:val="28"/>
          <w:szCs w:val="28"/>
          <w:lang w:val="es-ES_tradnl"/>
        </w:rPr>
      </w:pPr>
    </w:p>
    <w:p w14:paraId="63082C55" w14:textId="77777777" w:rsidR="009D1518" w:rsidRPr="004571E5" w:rsidRDefault="009D1518" w:rsidP="00481F2E">
      <w:pPr>
        <w:spacing w:after="0" w:line="240" w:lineRule="auto"/>
        <w:jc w:val="both"/>
        <w:rPr>
          <w:rFonts w:ascii="Times New Roman" w:hAnsi="Times New Roman" w:cs="Times New Roman"/>
          <w:b/>
          <w:sz w:val="28"/>
          <w:szCs w:val="28"/>
          <w:lang w:val="es-ES_tradnl"/>
        </w:rPr>
      </w:pPr>
      <w:r w:rsidRPr="004571E5">
        <w:rPr>
          <w:rFonts w:ascii="Times New Roman" w:hAnsi="Times New Roman" w:cs="Times New Roman"/>
          <w:b/>
          <w:sz w:val="28"/>
          <w:szCs w:val="28"/>
          <w:lang w:val="es-ES_tradnl"/>
        </w:rPr>
        <w:t xml:space="preserve">Trámite procesal </w:t>
      </w:r>
    </w:p>
    <w:p w14:paraId="4B99AB4B" w14:textId="77777777" w:rsidR="009D1518" w:rsidRPr="004571E5" w:rsidRDefault="009D1518" w:rsidP="00481F2E">
      <w:pPr>
        <w:spacing w:after="0" w:line="240" w:lineRule="auto"/>
        <w:jc w:val="both"/>
        <w:rPr>
          <w:rFonts w:ascii="Times New Roman" w:hAnsi="Times New Roman" w:cs="Times New Roman"/>
          <w:b/>
          <w:sz w:val="28"/>
          <w:szCs w:val="28"/>
          <w:lang w:val="es-ES_tradnl"/>
        </w:rPr>
      </w:pPr>
    </w:p>
    <w:p w14:paraId="4AFAB43A" w14:textId="0B361317" w:rsidR="009D1518" w:rsidRPr="004571E5" w:rsidRDefault="009D1518" w:rsidP="00481F2E">
      <w:pPr>
        <w:pStyle w:val="Prrafodelista"/>
        <w:numPr>
          <w:ilvl w:val="0"/>
          <w:numId w:val="1"/>
        </w:numPr>
        <w:tabs>
          <w:tab w:val="left" w:pos="284"/>
        </w:tabs>
        <w:spacing w:after="0" w:line="240" w:lineRule="auto"/>
        <w:jc w:val="both"/>
        <w:rPr>
          <w:rFonts w:ascii="Times New Roman" w:hAnsi="Times New Roman" w:cs="Times New Roman"/>
          <w:b/>
          <w:sz w:val="28"/>
          <w:szCs w:val="28"/>
          <w:lang w:val="es-ES_tradnl"/>
        </w:rPr>
      </w:pPr>
      <w:r w:rsidRPr="004571E5">
        <w:rPr>
          <w:rFonts w:ascii="Times New Roman" w:hAnsi="Times New Roman" w:cs="Times New Roman"/>
          <w:sz w:val="28"/>
          <w:szCs w:val="28"/>
          <w:lang w:val="es-ES_tradnl"/>
        </w:rPr>
        <w:t xml:space="preserve">Mediante auto del 26 de octubre de 2023 la Sección Cuarta del Consejo de Estado avocó conocimiento de la acción, notificó a la autoridad judicial demandada y vinculó al Tribunal Administrativo de Norte de Santander, </w:t>
      </w:r>
      <w:r w:rsidR="00300017" w:rsidRPr="004571E5">
        <w:rPr>
          <w:rFonts w:ascii="Times New Roman" w:hAnsi="Times New Roman" w:cs="Times New Roman"/>
          <w:sz w:val="28"/>
          <w:szCs w:val="28"/>
          <w:lang w:val="es-ES_tradnl"/>
        </w:rPr>
        <w:t>a</w:t>
      </w:r>
      <w:r w:rsidRPr="004571E5">
        <w:rPr>
          <w:rFonts w:ascii="Times New Roman" w:hAnsi="Times New Roman" w:cs="Times New Roman"/>
          <w:sz w:val="28"/>
          <w:szCs w:val="28"/>
          <w:lang w:val="es-ES_tradnl"/>
        </w:rPr>
        <w:t xml:space="preserve">l Ministerio de Defensa Nacional y </w:t>
      </w:r>
      <w:r w:rsidR="00300017" w:rsidRPr="004571E5">
        <w:rPr>
          <w:rFonts w:ascii="Times New Roman" w:hAnsi="Times New Roman" w:cs="Times New Roman"/>
          <w:sz w:val="28"/>
          <w:szCs w:val="28"/>
          <w:lang w:val="es-ES_tradnl"/>
        </w:rPr>
        <w:t>a</w:t>
      </w:r>
      <w:r w:rsidRPr="004571E5">
        <w:rPr>
          <w:rFonts w:ascii="Times New Roman" w:hAnsi="Times New Roman" w:cs="Times New Roman"/>
          <w:sz w:val="28"/>
          <w:szCs w:val="28"/>
          <w:lang w:val="es-ES_tradnl"/>
        </w:rPr>
        <w:t xml:space="preserve">l Ejército Nacional. </w:t>
      </w:r>
    </w:p>
    <w:p w14:paraId="0EE1053E" w14:textId="77777777" w:rsidR="009D1518" w:rsidRPr="004571E5" w:rsidRDefault="009D1518" w:rsidP="00481F2E">
      <w:pPr>
        <w:pStyle w:val="Prrafodelista"/>
        <w:tabs>
          <w:tab w:val="left" w:pos="284"/>
        </w:tabs>
        <w:spacing w:after="0" w:line="240" w:lineRule="auto"/>
        <w:ind w:left="0"/>
        <w:jc w:val="both"/>
        <w:rPr>
          <w:rFonts w:ascii="Times New Roman" w:hAnsi="Times New Roman" w:cs="Times New Roman"/>
          <w:b/>
          <w:sz w:val="28"/>
          <w:szCs w:val="28"/>
          <w:lang w:val="es-ES_tradnl"/>
        </w:rPr>
      </w:pPr>
    </w:p>
    <w:p w14:paraId="614D4418" w14:textId="26775759" w:rsidR="009D1518" w:rsidRPr="004571E5" w:rsidRDefault="009D1518" w:rsidP="00481F2E">
      <w:pPr>
        <w:numPr>
          <w:ilvl w:val="0"/>
          <w:numId w:val="1"/>
        </w:numPr>
        <w:spacing w:after="0" w:line="240" w:lineRule="auto"/>
        <w:jc w:val="both"/>
        <w:rPr>
          <w:rFonts w:ascii="Times New Roman" w:hAnsi="Times New Roman" w:cs="Times New Roman"/>
          <w:b/>
          <w:sz w:val="28"/>
          <w:szCs w:val="28"/>
          <w:lang w:val="es-ES_tradnl"/>
        </w:rPr>
      </w:pPr>
      <w:r w:rsidRPr="004571E5">
        <w:rPr>
          <w:rFonts w:ascii="Times New Roman" w:hAnsi="Times New Roman" w:cs="Times New Roman"/>
          <w:bCs/>
          <w:sz w:val="28"/>
          <w:szCs w:val="28"/>
          <w:lang w:val="es-ES_tradnl"/>
        </w:rPr>
        <w:t xml:space="preserve">El </w:t>
      </w:r>
      <w:r w:rsidRPr="004571E5">
        <w:rPr>
          <w:rFonts w:ascii="Times New Roman" w:hAnsi="Times New Roman" w:cs="Times New Roman"/>
          <w:sz w:val="28"/>
          <w:szCs w:val="28"/>
        </w:rPr>
        <w:t xml:space="preserve">magistrado ponente de la decisión acusada solicitó que se declare improcedente la acción de tutela, al considerar que no se cumple el presupuesto de la relevancia constitucional pues los accionantes buscan reabrir el debate presentado en instancias. Afirmó que el análisis realizado valoró las pruebas decretadas y practicadas en el proceso de reparación directa. Destacó que existían pruebas que demostraban que la muerte del señor Vergel se ocasionó por el comportamiento voluntario y negligente de la propia víctima, el cual fue decisivo y determinante en la producción del hecho lesivo, puesto que, sin mediar razones, accionó en repetidas ocasiones su arma de fuego contra los soldados del Ejército Nacional. Por último, resaltó </w:t>
      </w:r>
      <w:proofErr w:type="gramStart"/>
      <w:r w:rsidRPr="004571E5">
        <w:rPr>
          <w:rFonts w:ascii="Times New Roman" w:hAnsi="Times New Roman" w:cs="Times New Roman"/>
          <w:sz w:val="28"/>
          <w:szCs w:val="28"/>
        </w:rPr>
        <w:t>que</w:t>
      </w:r>
      <w:proofErr w:type="gramEnd"/>
      <w:r w:rsidRPr="004571E5">
        <w:rPr>
          <w:rFonts w:ascii="Times New Roman" w:hAnsi="Times New Roman" w:cs="Times New Roman"/>
          <w:sz w:val="28"/>
          <w:szCs w:val="28"/>
        </w:rPr>
        <w:t xml:space="preserve"> frente a la prueba indiciaria en los casos de ejecuciones extrajudiciales, las providencias a las que se hizo referencia no reúnen las características para ser consideradas como un precedente judicial obligatorio porque en este caso no hay pruebas que demuestren la referida ejecución.</w:t>
      </w:r>
      <w:r w:rsidRPr="004571E5">
        <w:rPr>
          <w:rFonts w:ascii="Times New Roman" w:hAnsi="Times New Roman" w:cs="Times New Roman"/>
          <w:sz w:val="28"/>
          <w:szCs w:val="28"/>
          <w:lang w:val="es-ES_tradnl"/>
        </w:rPr>
        <w:t xml:space="preserve"> </w:t>
      </w:r>
    </w:p>
    <w:p w14:paraId="6C3A437A" w14:textId="77777777" w:rsidR="009D1518" w:rsidRPr="004571E5" w:rsidRDefault="009D1518" w:rsidP="00481F2E">
      <w:pPr>
        <w:spacing w:after="0" w:line="240" w:lineRule="auto"/>
        <w:jc w:val="both"/>
        <w:rPr>
          <w:rFonts w:ascii="Times New Roman" w:hAnsi="Times New Roman" w:cs="Times New Roman"/>
          <w:b/>
          <w:sz w:val="28"/>
          <w:szCs w:val="28"/>
          <w:lang w:val="es-ES_tradnl"/>
        </w:rPr>
      </w:pPr>
    </w:p>
    <w:p w14:paraId="123B9BB4" w14:textId="4B5EC793" w:rsidR="009D1518" w:rsidRPr="004571E5" w:rsidRDefault="009D1518" w:rsidP="00481F2E">
      <w:pPr>
        <w:spacing w:after="0" w:line="240" w:lineRule="auto"/>
        <w:jc w:val="both"/>
        <w:rPr>
          <w:rFonts w:ascii="Times New Roman" w:hAnsi="Times New Roman" w:cs="Times New Roman"/>
          <w:b/>
          <w:sz w:val="28"/>
          <w:szCs w:val="28"/>
          <w:lang w:val="es-ES_tradnl"/>
        </w:rPr>
      </w:pPr>
      <w:r w:rsidRPr="004571E5">
        <w:rPr>
          <w:rFonts w:ascii="Times New Roman" w:hAnsi="Times New Roman" w:cs="Times New Roman"/>
          <w:b/>
          <w:sz w:val="28"/>
          <w:szCs w:val="28"/>
          <w:lang w:val="es-ES_tradnl"/>
        </w:rPr>
        <w:t>Sentencias objeto de revisión</w:t>
      </w:r>
    </w:p>
    <w:p w14:paraId="13D10FF3" w14:textId="77777777" w:rsidR="009D1518" w:rsidRPr="004571E5" w:rsidRDefault="009D1518" w:rsidP="00481F2E">
      <w:pPr>
        <w:spacing w:after="0" w:line="240" w:lineRule="auto"/>
        <w:jc w:val="both"/>
        <w:rPr>
          <w:rFonts w:ascii="Times New Roman" w:hAnsi="Times New Roman" w:cs="Times New Roman"/>
          <w:b/>
          <w:sz w:val="28"/>
          <w:szCs w:val="28"/>
          <w:lang w:val="es-ES_tradnl"/>
        </w:rPr>
      </w:pPr>
    </w:p>
    <w:p w14:paraId="07B37A32" w14:textId="48136C66" w:rsidR="009D1518" w:rsidRPr="004571E5" w:rsidRDefault="009D1518" w:rsidP="00481F2E">
      <w:pPr>
        <w:pStyle w:val="Prrafodelista"/>
        <w:numPr>
          <w:ilvl w:val="0"/>
          <w:numId w:val="1"/>
        </w:numPr>
        <w:spacing w:after="0" w:line="240" w:lineRule="auto"/>
        <w:jc w:val="both"/>
        <w:rPr>
          <w:rFonts w:ascii="Times New Roman" w:hAnsi="Times New Roman" w:cs="Times New Roman"/>
          <w:sz w:val="28"/>
          <w:szCs w:val="28"/>
        </w:rPr>
      </w:pPr>
      <w:r w:rsidRPr="004571E5">
        <w:rPr>
          <w:rFonts w:ascii="Times New Roman" w:hAnsi="Times New Roman" w:cs="Times New Roman"/>
          <w:i/>
          <w:iCs/>
          <w:sz w:val="28"/>
          <w:szCs w:val="28"/>
        </w:rPr>
        <w:t>Primera instancia</w:t>
      </w:r>
      <w:r w:rsidRPr="004571E5">
        <w:rPr>
          <w:rFonts w:ascii="Times New Roman" w:hAnsi="Times New Roman" w:cs="Times New Roman"/>
          <w:sz w:val="28"/>
          <w:szCs w:val="28"/>
        </w:rPr>
        <w:t>. Mediante sentencia del 15 de febrero de 2024 la Sección Cuarta del Consejo de Estado concedió el amparo. Además, aludió al precedente judicial vigente y aplicable al caso concreto, desarrollado por</w:t>
      </w:r>
      <w:r w:rsidR="00374237" w:rsidRPr="004571E5">
        <w:rPr>
          <w:rFonts w:ascii="Times New Roman" w:hAnsi="Times New Roman" w:cs="Times New Roman"/>
          <w:sz w:val="28"/>
          <w:szCs w:val="28"/>
        </w:rPr>
        <w:t xml:space="preserve"> la Corte Constitucional y el Consejo de Estado. En particular,</w:t>
      </w:r>
      <w:r w:rsidRPr="004571E5">
        <w:rPr>
          <w:rFonts w:ascii="Times New Roman" w:hAnsi="Times New Roman" w:cs="Times New Roman"/>
          <w:sz w:val="28"/>
          <w:szCs w:val="28"/>
        </w:rPr>
        <w:t xml:space="preserve"> </w:t>
      </w:r>
      <w:r w:rsidR="00374237" w:rsidRPr="004571E5">
        <w:rPr>
          <w:rFonts w:ascii="Times New Roman" w:hAnsi="Times New Roman" w:cs="Times New Roman"/>
          <w:i/>
          <w:iCs/>
          <w:sz w:val="28"/>
          <w:szCs w:val="28"/>
        </w:rPr>
        <w:t>c</w:t>
      </w:r>
      <w:r w:rsidR="00FC08BC" w:rsidRPr="004571E5">
        <w:rPr>
          <w:rFonts w:ascii="Times New Roman" w:hAnsi="Times New Roman" w:cs="Times New Roman"/>
          <w:i/>
          <w:iCs/>
          <w:sz w:val="28"/>
          <w:szCs w:val="28"/>
        </w:rPr>
        <w:t>onsideró que la decisión acusada no aplicó el precedente vigente en materia de flexibilización de los estándares probatorios en casos de graves violaciones a los derechos humanos</w:t>
      </w:r>
      <w:r w:rsidR="00374237" w:rsidRPr="004571E5">
        <w:rPr>
          <w:rFonts w:ascii="Times New Roman" w:hAnsi="Times New Roman" w:cs="Times New Roman"/>
          <w:sz w:val="28"/>
          <w:szCs w:val="28"/>
        </w:rPr>
        <w:t>.</w:t>
      </w:r>
    </w:p>
    <w:p w14:paraId="0B637C86" w14:textId="77777777" w:rsidR="009D1518" w:rsidRPr="004571E5" w:rsidRDefault="009D1518" w:rsidP="00481F2E">
      <w:pPr>
        <w:pStyle w:val="Prrafodelista"/>
        <w:spacing w:line="240" w:lineRule="auto"/>
        <w:ind w:left="0"/>
        <w:jc w:val="both"/>
        <w:rPr>
          <w:rFonts w:ascii="Times New Roman" w:hAnsi="Times New Roman" w:cs="Times New Roman"/>
          <w:sz w:val="28"/>
          <w:szCs w:val="28"/>
        </w:rPr>
      </w:pPr>
      <w:r w:rsidRPr="004571E5">
        <w:rPr>
          <w:rFonts w:ascii="Times New Roman" w:hAnsi="Times New Roman" w:cs="Times New Roman"/>
          <w:sz w:val="28"/>
          <w:szCs w:val="28"/>
        </w:rPr>
        <w:t xml:space="preserve"> </w:t>
      </w:r>
    </w:p>
    <w:p w14:paraId="02ACE88A" w14:textId="79D3C857" w:rsidR="009D1518" w:rsidRPr="004571E5" w:rsidRDefault="009D1518" w:rsidP="00481F2E">
      <w:pPr>
        <w:pStyle w:val="Prrafodelista"/>
        <w:numPr>
          <w:ilvl w:val="0"/>
          <w:numId w:val="1"/>
        </w:numPr>
        <w:tabs>
          <w:tab w:val="left" w:pos="426"/>
        </w:tabs>
        <w:spacing w:after="0"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rPr>
        <w:t xml:space="preserve">Sostuvo que, en el </w:t>
      </w:r>
      <w:r w:rsidR="0087086B" w:rsidRPr="004571E5">
        <w:rPr>
          <w:rFonts w:ascii="Times New Roman" w:hAnsi="Times New Roman" w:cs="Times New Roman"/>
          <w:sz w:val="28"/>
          <w:szCs w:val="28"/>
        </w:rPr>
        <w:t>expediente bajo estudio</w:t>
      </w:r>
      <w:r w:rsidRPr="004571E5">
        <w:rPr>
          <w:rFonts w:ascii="Times New Roman" w:hAnsi="Times New Roman" w:cs="Times New Roman"/>
          <w:sz w:val="28"/>
          <w:szCs w:val="28"/>
        </w:rPr>
        <w:t>, se pone de presente un caso de homicidio de un civil que fue reportado como NN y muerto en combate como miembro de organizaciones al margen de la ley, que presenta disparos a corta distancia y desde distintos ángulos, aunado a que los militares reportaron el uso de 78 cartuchos y no se encontraron las vainillas correspondientes</w:t>
      </w:r>
      <w:r w:rsidR="00E540D7" w:rsidRPr="004571E5">
        <w:rPr>
          <w:rFonts w:ascii="Times New Roman" w:hAnsi="Times New Roman" w:cs="Times New Roman"/>
          <w:sz w:val="28"/>
          <w:szCs w:val="28"/>
        </w:rPr>
        <w:t>.</w:t>
      </w:r>
      <w:r w:rsidRPr="004571E5">
        <w:rPr>
          <w:rFonts w:ascii="Times New Roman" w:hAnsi="Times New Roman" w:cs="Times New Roman"/>
          <w:sz w:val="28"/>
          <w:szCs w:val="28"/>
        </w:rPr>
        <w:t xml:space="preserve"> Estos hechos hacen parte de esos escenarios que se han identificado como sugerentes de una </w:t>
      </w:r>
      <w:r w:rsidRPr="004571E5">
        <w:rPr>
          <w:rFonts w:ascii="Times New Roman" w:hAnsi="Times New Roman" w:cs="Times New Roman"/>
          <w:sz w:val="28"/>
          <w:szCs w:val="28"/>
        </w:rPr>
        <w:lastRenderedPageBreak/>
        <w:t xml:space="preserve">ejecución extrajudicial. Por lo anterior, dejó sin efecto el fallo acusado y </w:t>
      </w:r>
      <w:r w:rsidR="008439D3" w:rsidRPr="004571E5">
        <w:rPr>
          <w:rFonts w:ascii="Times New Roman" w:hAnsi="Times New Roman" w:cs="Times New Roman"/>
          <w:sz w:val="28"/>
          <w:szCs w:val="28"/>
        </w:rPr>
        <w:t xml:space="preserve">ordenó a la Subsección accionada proferir una nueva decisión teniendo en cuenta el precedente en la </w:t>
      </w:r>
      <w:proofErr w:type="gramStart"/>
      <w:r w:rsidR="008439D3" w:rsidRPr="004571E5">
        <w:rPr>
          <w:rFonts w:ascii="Times New Roman" w:hAnsi="Times New Roman" w:cs="Times New Roman"/>
          <w:sz w:val="28"/>
          <w:szCs w:val="28"/>
        </w:rPr>
        <w:t>materia.</w:t>
      </w:r>
      <w:r w:rsidRPr="004571E5">
        <w:rPr>
          <w:rFonts w:ascii="Times New Roman" w:hAnsi="Times New Roman" w:cs="Times New Roman"/>
          <w:sz w:val="28"/>
          <w:szCs w:val="28"/>
        </w:rPr>
        <w:t>.</w:t>
      </w:r>
      <w:proofErr w:type="gramEnd"/>
      <w:r w:rsidRPr="004571E5">
        <w:rPr>
          <w:rFonts w:ascii="Times New Roman" w:hAnsi="Times New Roman" w:cs="Times New Roman"/>
          <w:sz w:val="28"/>
          <w:szCs w:val="28"/>
        </w:rPr>
        <w:t xml:space="preserve"> </w:t>
      </w:r>
    </w:p>
    <w:p w14:paraId="3E61B107" w14:textId="77777777" w:rsidR="009D1518" w:rsidRPr="004571E5" w:rsidRDefault="009D1518" w:rsidP="00481F2E">
      <w:pPr>
        <w:pStyle w:val="Prrafodelista"/>
        <w:tabs>
          <w:tab w:val="left" w:pos="426"/>
        </w:tabs>
        <w:spacing w:after="0" w:line="240" w:lineRule="auto"/>
        <w:ind w:left="0"/>
        <w:jc w:val="both"/>
        <w:rPr>
          <w:rFonts w:ascii="Times New Roman" w:hAnsi="Times New Roman" w:cs="Times New Roman"/>
          <w:sz w:val="28"/>
          <w:szCs w:val="28"/>
          <w:lang w:val="es-ES_tradnl"/>
        </w:rPr>
      </w:pPr>
    </w:p>
    <w:p w14:paraId="44D12A8B" w14:textId="77777777" w:rsidR="009D1518" w:rsidRPr="004571E5" w:rsidRDefault="009D1518" w:rsidP="00481F2E">
      <w:pPr>
        <w:pStyle w:val="Prrafodelista"/>
        <w:numPr>
          <w:ilvl w:val="0"/>
          <w:numId w:val="1"/>
        </w:numPr>
        <w:tabs>
          <w:tab w:val="left" w:pos="426"/>
        </w:tabs>
        <w:spacing w:after="0" w:line="240" w:lineRule="auto"/>
        <w:jc w:val="both"/>
        <w:rPr>
          <w:rFonts w:ascii="Times New Roman" w:hAnsi="Times New Roman" w:cs="Times New Roman"/>
          <w:sz w:val="28"/>
          <w:szCs w:val="28"/>
          <w:lang w:val="es-ES_tradnl"/>
        </w:rPr>
      </w:pPr>
      <w:r w:rsidRPr="004571E5">
        <w:rPr>
          <w:rFonts w:ascii="Times New Roman" w:hAnsi="Times New Roman" w:cs="Times New Roman"/>
          <w:i/>
          <w:iCs/>
          <w:sz w:val="28"/>
          <w:szCs w:val="28"/>
          <w:lang w:val="es-ES_tradnl"/>
        </w:rPr>
        <w:t>Impugnación</w:t>
      </w:r>
      <w:r w:rsidRPr="004571E5">
        <w:rPr>
          <w:rFonts w:ascii="Times New Roman" w:hAnsi="Times New Roman" w:cs="Times New Roman"/>
          <w:sz w:val="28"/>
          <w:szCs w:val="28"/>
          <w:lang w:val="es-ES_tradnl"/>
        </w:rPr>
        <w:t>. El consejero ponente de la decisión atacada reiteró los argumentos de su respuesta e impugnó la sentencia de primera instancia por tres razones. Primero, sostuvo que la decisión adoptada se ciñó a las circunstancias fácticas y jurídicas probadas dentro del proceso</w:t>
      </w:r>
      <w:r w:rsidRPr="004571E5">
        <w:rPr>
          <w:rStyle w:val="Refdenotaalpie"/>
          <w:rFonts w:ascii="Times New Roman" w:hAnsi="Times New Roman" w:cs="Times New Roman"/>
          <w:sz w:val="28"/>
          <w:szCs w:val="28"/>
          <w:lang w:val="es-ES_tradnl"/>
        </w:rPr>
        <w:footnoteReference w:id="14"/>
      </w:r>
      <w:r w:rsidRPr="004571E5">
        <w:rPr>
          <w:rFonts w:ascii="Times New Roman" w:hAnsi="Times New Roman" w:cs="Times New Roman"/>
          <w:sz w:val="28"/>
          <w:szCs w:val="28"/>
          <w:lang w:val="es-ES_tradnl"/>
        </w:rPr>
        <w:t>. Segundo, afirmó que el caso no se trataba de una ejecución extrajudicial porque el fallecido no fue presentado como un NN, sino que fue debidamente identificado; no era posible determinar la distancia exacta de los disparos y si bien no se encontraron los cartuchos de los 78 disparos, esta era una respuesta proporcional al haber sido atacados por el fallecido y sus acompañantes. Tercero, consideró que las sentencias invocadas en la acción de tutela no son un precedente porque “</w:t>
      </w:r>
      <w:r w:rsidRPr="004571E5">
        <w:rPr>
          <w:rFonts w:ascii="Times New Roman" w:hAnsi="Times New Roman" w:cs="Times New Roman"/>
          <w:sz w:val="28"/>
          <w:szCs w:val="28"/>
        </w:rPr>
        <w:t xml:space="preserve">i) la ratio </w:t>
      </w:r>
      <w:proofErr w:type="spellStart"/>
      <w:r w:rsidRPr="004571E5">
        <w:rPr>
          <w:rFonts w:ascii="Times New Roman" w:hAnsi="Times New Roman" w:cs="Times New Roman"/>
          <w:sz w:val="28"/>
          <w:szCs w:val="28"/>
        </w:rPr>
        <w:t>decidendi</w:t>
      </w:r>
      <w:proofErr w:type="spellEnd"/>
      <w:r w:rsidRPr="004571E5">
        <w:rPr>
          <w:rFonts w:ascii="Times New Roman" w:hAnsi="Times New Roman" w:cs="Times New Roman"/>
          <w:sz w:val="28"/>
          <w:szCs w:val="28"/>
        </w:rPr>
        <w:t xml:space="preserve"> de los fallos que se evalúa y/o califican como precedentes no presentan una regla judicial relacionada con el presente caso; y </w:t>
      </w:r>
      <w:proofErr w:type="spellStart"/>
      <w:r w:rsidRPr="004571E5">
        <w:rPr>
          <w:rFonts w:ascii="Times New Roman" w:hAnsi="Times New Roman" w:cs="Times New Roman"/>
          <w:sz w:val="28"/>
          <w:szCs w:val="28"/>
        </w:rPr>
        <w:t>ii</w:t>
      </w:r>
      <w:proofErr w:type="spellEnd"/>
      <w:r w:rsidRPr="004571E5">
        <w:rPr>
          <w:rFonts w:ascii="Times New Roman" w:hAnsi="Times New Roman" w:cs="Times New Roman"/>
          <w:sz w:val="28"/>
          <w:szCs w:val="28"/>
        </w:rPr>
        <w:t>) si bien los hechos del caso juzgado en el proveído acusado son semejantes con el precedente que se alega como desconocido, lo cierto es que no plantean un punto de derecho similar al caso objeto de reproche”</w:t>
      </w:r>
      <w:r w:rsidRPr="004571E5">
        <w:rPr>
          <w:rStyle w:val="Refdenotaalpie"/>
          <w:rFonts w:ascii="Times New Roman" w:hAnsi="Times New Roman" w:cs="Times New Roman"/>
          <w:sz w:val="28"/>
          <w:szCs w:val="28"/>
        </w:rPr>
        <w:footnoteReference w:id="15"/>
      </w:r>
      <w:r w:rsidRPr="004571E5">
        <w:rPr>
          <w:rFonts w:ascii="Times New Roman" w:hAnsi="Times New Roman" w:cs="Times New Roman"/>
          <w:sz w:val="28"/>
          <w:szCs w:val="28"/>
        </w:rPr>
        <w:t>.</w:t>
      </w:r>
    </w:p>
    <w:p w14:paraId="2759EE8A" w14:textId="77777777" w:rsidR="009D1518" w:rsidRPr="004571E5" w:rsidRDefault="009D1518" w:rsidP="00481F2E">
      <w:pPr>
        <w:pStyle w:val="Prrafodelista"/>
        <w:tabs>
          <w:tab w:val="left" w:pos="426"/>
        </w:tabs>
        <w:spacing w:after="0" w:line="240" w:lineRule="auto"/>
        <w:ind w:left="0"/>
        <w:jc w:val="both"/>
        <w:rPr>
          <w:rFonts w:ascii="Times New Roman" w:hAnsi="Times New Roman" w:cs="Times New Roman"/>
          <w:sz w:val="28"/>
          <w:szCs w:val="28"/>
          <w:lang w:val="es-ES_tradnl"/>
        </w:rPr>
      </w:pPr>
    </w:p>
    <w:p w14:paraId="565DA2A9" w14:textId="1545CAA9" w:rsidR="009D1518" w:rsidRPr="004571E5" w:rsidRDefault="009D1518" w:rsidP="00481F2E">
      <w:pPr>
        <w:numPr>
          <w:ilvl w:val="0"/>
          <w:numId w:val="1"/>
        </w:numPr>
        <w:spacing w:after="0" w:line="240" w:lineRule="auto"/>
        <w:jc w:val="both"/>
        <w:rPr>
          <w:rFonts w:ascii="Times New Roman" w:hAnsi="Times New Roman" w:cs="Times New Roman"/>
          <w:b/>
          <w:bCs/>
          <w:sz w:val="28"/>
          <w:szCs w:val="28"/>
          <w:lang w:val="es-ES_tradnl"/>
        </w:rPr>
      </w:pPr>
      <w:r w:rsidRPr="004571E5">
        <w:rPr>
          <w:rFonts w:ascii="Times New Roman" w:hAnsi="Times New Roman" w:cs="Times New Roman"/>
          <w:i/>
          <w:iCs/>
          <w:sz w:val="28"/>
          <w:szCs w:val="28"/>
          <w:lang w:val="es-ES_tradnl"/>
        </w:rPr>
        <w:t>Segunda instancia</w:t>
      </w:r>
      <w:r w:rsidRPr="004571E5">
        <w:rPr>
          <w:rFonts w:ascii="Times New Roman" w:hAnsi="Times New Roman" w:cs="Times New Roman"/>
          <w:sz w:val="28"/>
          <w:szCs w:val="28"/>
          <w:lang w:val="es-ES_tradnl"/>
        </w:rPr>
        <w:t xml:space="preserve">. </w:t>
      </w:r>
      <w:r w:rsidRPr="004571E5">
        <w:rPr>
          <w:rFonts w:ascii="Times New Roman" w:hAnsi="Times New Roman" w:cs="Times New Roman"/>
          <w:sz w:val="28"/>
          <w:szCs w:val="28"/>
          <w:lang w:val="es-ES_tradnl" w:eastAsia="es-CO"/>
        </w:rPr>
        <w:t>Mediante sentencia del 4 de abril de 2024, la Sección Quinta del Consejo de Estad</w:t>
      </w:r>
      <w:r w:rsidRPr="004571E5">
        <w:rPr>
          <w:rFonts w:ascii="Times New Roman" w:hAnsi="Times New Roman" w:cs="Times New Roman"/>
          <w:i/>
          <w:iCs/>
          <w:sz w:val="28"/>
          <w:szCs w:val="28"/>
          <w:lang w:val="es-ES_tradnl" w:eastAsia="es-CO"/>
        </w:rPr>
        <w:t xml:space="preserve">o revocó la decisión de primer grado y, en su lugar, negó el amparo. </w:t>
      </w:r>
      <w:r w:rsidRPr="004571E5">
        <w:rPr>
          <w:rFonts w:ascii="Times New Roman" w:hAnsi="Times New Roman" w:cs="Times New Roman"/>
          <w:sz w:val="28"/>
          <w:szCs w:val="28"/>
          <w:lang w:val="es-ES_tradnl" w:eastAsia="es-CO"/>
        </w:rPr>
        <w:t xml:space="preserve">Consideró </w:t>
      </w:r>
      <w:r w:rsidR="00FC08BC" w:rsidRPr="004571E5">
        <w:rPr>
          <w:rFonts w:ascii="Times New Roman" w:hAnsi="Times New Roman" w:cs="Times New Roman"/>
          <w:sz w:val="28"/>
          <w:szCs w:val="28"/>
          <w:lang w:val="es-ES_tradnl" w:eastAsia="es-CO"/>
        </w:rPr>
        <w:t>que,</w:t>
      </w:r>
      <w:r w:rsidRPr="004571E5">
        <w:rPr>
          <w:rFonts w:ascii="Times New Roman" w:hAnsi="Times New Roman" w:cs="Times New Roman"/>
          <w:sz w:val="28"/>
          <w:szCs w:val="28"/>
          <w:lang w:val="es-ES_tradnl" w:eastAsia="es-CO"/>
        </w:rPr>
        <w:t xml:space="preserve"> si bien en este tipo de casos debe valorarse la prueba indiciaria, en el </w:t>
      </w:r>
      <w:r w:rsidR="00E540D7" w:rsidRPr="004571E5">
        <w:rPr>
          <w:rFonts w:ascii="Times New Roman" w:hAnsi="Times New Roman" w:cs="Times New Roman"/>
          <w:sz w:val="28"/>
          <w:szCs w:val="28"/>
          <w:lang w:val="es-ES_tradnl" w:eastAsia="es-CO"/>
        </w:rPr>
        <w:t xml:space="preserve">expediente </w:t>
      </w:r>
      <w:r w:rsidRPr="004571E5">
        <w:rPr>
          <w:rFonts w:ascii="Times New Roman" w:hAnsi="Times New Roman" w:cs="Times New Roman"/>
          <w:sz w:val="28"/>
          <w:szCs w:val="28"/>
          <w:lang w:val="es-ES_tradnl" w:eastAsia="es-CO"/>
        </w:rPr>
        <w:t>analizado no se demostraron los hechos indicadores que llevaran a inferir, de manera lógica, que la muerte de la víctima directa ocurrió en una ejecución extrajudicial. Por el contrario, advirtió, ella fue resultado del “comportamiento voluntario y negligente de la propia víctima”. Tampoco se puede afirmar que la víctima llegó al lugar de los hechos por la fuerza o por engaños, o que hubiera tenido lugar la manipulación de la escena (como un montaje), de las prendas de vestir, del cadáver o de las armas.</w:t>
      </w:r>
    </w:p>
    <w:p w14:paraId="61360EE0" w14:textId="77777777" w:rsidR="009D1518" w:rsidRPr="004571E5" w:rsidRDefault="009D1518" w:rsidP="00481F2E">
      <w:pPr>
        <w:spacing w:after="0" w:line="240" w:lineRule="auto"/>
        <w:jc w:val="both"/>
        <w:rPr>
          <w:rFonts w:ascii="Times New Roman" w:hAnsi="Times New Roman" w:cs="Times New Roman"/>
          <w:sz w:val="28"/>
          <w:szCs w:val="28"/>
          <w:lang w:val="es-ES_tradnl"/>
        </w:rPr>
      </w:pPr>
    </w:p>
    <w:p w14:paraId="71E58D46" w14:textId="77777777" w:rsidR="009D1518" w:rsidRPr="004571E5" w:rsidRDefault="009D1518" w:rsidP="00481F2E">
      <w:pPr>
        <w:spacing w:after="0" w:line="240" w:lineRule="auto"/>
        <w:jc w:val="both"/>
        <w:rPr>
          <w:rFonts w:ascii="Times New Roman" w:hAnsi="Times New Roman" w:cs="Times New Roman"/>
          <w:b/>
          <w:bCs/>
          <w:sz w:val="28"/>
          <w:szCs w:val="28"/>
          <w:lang w:val="es-ES_tradnl"/>
        </w:rPr>
      </w:pPr>
      <w:r w:rsidRPr="004571E5">
        <w:rPr>
          <w:rFonts w:ascii="Times New Roman" w:hAnsi="Times New Roman" w:cs="Times New Roman"/>
          <w:b/>
          <w:bCs/>
          <w:sz w:val="28"/>
          <w:szCs w:val="28"/>
          <w:lang w:val="es-ES_tradnl"/>
        </w:rPr>
        <w:t>Trámite ante la Corte</w:t>
      </w:r>
    </w:p>
    <w:p w14:paraId="0E69B7D6" w14:textId="77777777" w:rsidR="009D1518" w:rsidRPr="004571E5" w:rsidRDefault="009D1518" w:rsidP="00481F2E">
      <w:pPr>
        <w:pStyle w:val="Prrafodelista"/>
        <w:tabs>
          <w:tab w:val="left" w:pos="426"/>
        </w:tabs>
        <w:spacing w:after="0" w:line="240" w:lineRule="auto"/>
        <w:ind w:left="0"/>
        <w:jc w:val="both"/>
        <w:rPr>
          <w:rFonts w:ascii="Times New Roman" w:hAnsi="Times New Roman" w:cs="Times New Roman"/>
          <w:bCs/>
          <w:sz w:val="28"/>
          <w:szCs w:val="28"/>
          <w:lang w:val="es-ES_tradnl"/>
        </w:rPr>
      </w:pPr>
    </w:p>
    <w:p w14:paraId="08BE3488" w14:textId="5902B29B" w:rsidR="009D1518" w:rsidRPr="004571E5" w:rsidRDefault="009D1518" w:rsidP="00481F2E">
      <w:pPr>
        <w:pStyle w:val="Prrafodelista"/>
        <w:numPr>
          <w:ilvl w:val="0"/>
          <w:numId w:val="1"/>
        </w:numPr>
        <w:tabs>
          <w:tab w:val="left" w:pos="426"/>
        </w:tabs>
        <w:spacing w:after="0" w:line="240" w:lineRule="auto"/>
        <w:jc w:val="both"/>
        <w:rPr>
          <w:rFonts w:ascii="Times New Roman" w:hAnsi="Times New Roman" w:cs="Times New Roman"/>
          <w:bCs/>
          <w:sz w:val="28"/>
          <w:szCs w:val="28"/>
          <w:lang w:val="es-ES_tradnl"/>
        </w:rPr>
      </w:pPr>
      <w:r w:rsidRPr="004571E5">
        <w:rPr>
          <w:rFonts w:ascii="Times New Roman" w:hAnsi="Times New Roman" w:cs="Times New Roman"/>
          <w:sz w:val="28"/>
          <w:szCs w:val="28"/>
          <w:lang w:val="es-ES_tradnl"/>
        </w:rPr>
        <w:t xml:space="preserve">Mediante auto del 24 de mayo de 2024 la Sala de Selección número Cinco de la Corte seleccionó el asunto y dispuso su acumulación al expediente T-9.860.565. </w:t>
      </w:r>
    </w:p>
    <w:p w14:paraId="5FD968DA" w14:textId="77777777" w:rsidR="009D1518" w:rsidRPr="004571E5" w:rsidRDefault="009D1518" w:rsidP="00481F2E">
      <w:pPr>
        <w:pStyle w:val="Prrafodelista"/>
        <w:tabs>
          <w:tab w:val="left" w:pos="426"/>
        </w:tabs>
        <w:spacing w:after="0" w:line="240" w:lineRule="auto"/>
        <w:ind w:left="0"/>
        <w:jc w:val="both"/>
        <w:rPr>
          <w:rFonts w:ascii="Times New Roman" w:hAnsi="Times New Roman" w:cs="Times New Roman"/>
          <w:bCs/>
          <w:sz w:val="28"/>
          <w:szCs w:val="28"/>
          <w:lang w:val="es-ES_tradnl"/>
        </w:rPr>
      </w:pPr>
    </w:p>
    <w:p w14:paraId="01EC9B20" w14:textId="62357B27" w:rsidR="009D1518" w:rsidRPr="004571E5" w:rsidRDefault="0063131E" w:rsidP="00481F2E">
      <w:pPr>
        <w:pStyle w:val="Prrafodelista"/>
        <w:numPr>
          <w:ilvl w:val="0"/>
          <w:numId w:val="1"/>
        </w:numPr>
        <w:tabs>
          <w:tab w:val="left" w:pos="567"/>
        </w:tabs>
        <w:spacing w:after="0" w:line="240" w:lineRule="auto"/>
        <w:jc w:val="both"/>
        <w:rPr>
          <w:rFonts w:ascii="Times New Roman" w:hAnsi="Times New Roman" w:cs="Times New Roman"/>
          <w:bCs/>
          <w:sz w:val="28"/>
          <w:szCs w:val="28"/>
          <w:lang w:val="es-ES_tradnl"/>
        </w:rPr>
      </w:pPr>
      <w:r w:rsidRPr="004571E5">
        <w:rPr>
          <w:rFonts w:ascii="Times New Roman" w:hAnsi="Times New Roman" w:cs="Times New Roman"/>
          <w:bCs/>
          <w:sz w:val="28"/>
          <w:szCs w:val="28"/>
          <w:lang w:val="es-ES_tradnl"/>
        </w:rPr>
        <w:lastRenderedPageBreak/>
        <w:t>En auto del 23 de septiembre de 2024 la Sala Plena decidió avocar conocimiento del asunto</w:t>
      </w:r>
      <w:r w:rsidR="009D1518" w:rsidRPr="004571E5">
        <w:rPr>
          <w:rFonts w:ascii="Times New Roman" w:hAnsi="Times New Roman" w:cs="Times New Roman"/>
          <w:bCs/>
          <w:sz w:val="28"/>
          <w:szCs w:val="28"/>
          <w:lang w:val="es-ES_tradnl"/>
        </w:rPr>
        <w:t>.</w:t>
      </w:r>
    </w:p>
    <w:p w14:paraId="393E7250" w14:textId="77777777" w:rsidR="009D1518" w:rsidRPr="004571E5" w:rsidRDefault="009D1518" w:rsidP="00481F2E">
      <w:pPr>
        <w:pStyle w:val="Prrafodelista"/>
        <w:tabs>
          <w:tab w:val="left" w:pos="567"/>
        </w:tabs>
        <w:spacing w:after="0" w:line="240" w:lineRule="auto"/>
        <w:ind w:left="0"/>
        <w:jc w:val="both"/>
        <w:rPr>
          <w:rFonts w:ascii="Times New Roman" w:hAnsi="Times New Roman" w:cs="Times New Roman"/>
          <w:bCs/>
          <w:sz w:val="28"/>
          <w:szCs w:val="28"/>
          <w:lang w:val="es-ES_tradnl"/>
        </w:rPr>
      </w:pPr>
    </w:p>
    <w:p w14:paraId="21733BAD" w14:textId="665BE42A" w:rsidR="00613BC0" w:rsidRPr="004571E5" w:rsidRDefault="000F6D0F" w:rsidP="00481F2E">
      <w:pPr>
        <w:spacing w:after="0" w:line="240" w:lineRule="auto"/>
        <w:jc w:val="both"/>
        <w:rPr>
          <w:rFonts w:ascii="Times New Roman" w:hAnsi="Times New Roman" w:cs="Times New Roman"/>
          <w:b/>
          <w:sz w:val="28"/>
          <w:szCs w:val="28"/>
          <w:lang w:val="es-ES_tradnl"/>
        </w:rPr>
      </w:pPr>
      <w:r w:rsidRPr="004571E5">
        <w:rPr>
          <w:rFonts w:ascii="Times New Roman" w:hAnsi="Times New Roman" w:cs="Times New Roman"/>
          <w:b/>
          <w:sz w:val="28"/>
          <w:szCs w:val="28"/>
          <w:lang w:val="es-ES_tradnl"/>
        </w:rPr>
        <w:t xml:space="preserve">II. CONSIDERACIONES </w:t>
      </w:r>
    </w:p>
    <w:p w14:paraId="222734A8" w14:textId="77777777" w:rsidR="002452E2" w:rsidRPr="004571E5" w:rsidRDefault="002452E2" w:rsidP="00481F2E">
      <w:pPr>
        <w:tabs>
          <w:tab w:val="left" w:pos="426"/>
        </w:tabs>
        <w:spacing w:after="0" w:line="240" w:lineRule="auto"/>
        <w:jc w:val="both"/>
        <w:rPr>
          <w:rFonts w:ascii="Times New Roman" w:hAnsi="Times New Roman" w:cs="Times New Roman"/>
          <w:b/>
          <w:bCs/>
          <w:sz w:val="28"/>
          <w:szCs w:val="28"/>
          <w:lang w:val="es-ES_tradnl"/>
        </w:rPr>
      </w:pPr>
    </w:p>
    <w:p w14:paraId="75E2CE2D" w14:textId="4F2E5E13" w:rsidR="00D15E03" w:rsidRPr="004571E5" w:rsidRDefault="00D15E03" w:rsidP="001B30B3">
      <w:pPr>
        <w:pStyle w:val="Prrafodelista"/>
        <w:numPr>
          <w:ilvl w:val="0"/>
          <w:numId w:val="34"/>
        </w:numPr>
        <w:tabs>
          <w:tab w:val="left" w:pos="426"/>
        </w:tabs>
        <w:spacing w:after="0" w:line="240" w:lineRule="auto"/>
        <w:ind w:left="0" w:firstLine="0"/>
        <w:jc w:val="both"/>
        <w:rPr>
          <w:rFonts w:ascii="Times New Roman" w:hAnsi="Times New Roman" w:cs="Times New Roman"/>
          <w:b/>
          <w:bCs/>
          <w:sz w:val="28"/>
          <w:szCs w:val="28"/>
          <w:lang w:val="es-ES_tradnl"/>
        </w:rPr>
      </w:pPr>
      <w:r w:rsidRPr="004571E5">
        <w:rPr>
          <w:rFonts w:ascii="Times New Roman" w:hAnsi="Times New Roman" w:cs="Times New Roman"/>
          <w:b/>
          <w:bCs/>
          <w:sz w:val="28"/>
          <w:szCs w:val="28"/>
          <w:lang w:val="es-ES_tradnl"/>
        </w:rPr>
        <w:t>Competencia</w:t>
      </w:r>
    </w:p>
    <w:p w14:paraId="2EDE8A2B" w14:textId="77777777" w:rsidR="00D15E03" w:rsidRPr="004571E5" w:rsidRDefault="00D15E03" w:rsidP="00481F2E">
      <w:pPr>
        <w:tabs>
          <w:tab w:val="left" w:pos="426"/>
        </w:tabs>
        <w:spacing w:after="0" w:line="240" w:lineRule="auto"/>
        <w:jc w:val="both"/>
        <w:rPr>
          <w:rFonts w:ascii="Times New Roman" w:hAnsi="Times New Roman" w:cs="Times New Roman"/>
          <w:b/>
          <w:bCs/>
          <w:sz w:val="28"/>
          <w:szCs w:val="28"/>
          <w:lang w:val="es-ES_tradnl"/>
        </w:rPr>
      </w:pPr>
    </w:p>
    <w:p w14:paraId="598C56D2" w14:textId="7B9802E6" w:rsidR="00D15E03" w:rsidRPr="004571E5" w:rsidRDefault="00D15E03" w:rsidP="00481F2E">
      <w:pPr>
        <w:pStyle w:val="Prrafodelista"/>
        <w:numPr>
          <w:ilvl w:val="0"/>
          <w:numId w:val="1"/>
        </w:numPr>
        <w:tabs>
          <w:tab w:val="left" w:pos="426"/>
        </w:tabs>
        <w:spacing w:after="0" w:line="240" w:lineRule="auto"/>
        <w:jc w:val="both"/>
        <w:rPr>
          <w:rFonts w:ascii="Times New Roman" w:hAnsi="Times New Roman" w:cs="Times New Roman"/>
          <w:sz w:val="28"/>
          <w:szCs w:val="28"/>
          <w:lang w:val="es-ES_tradnl"/>
        </w:rPr>
      </w:pPr>
      <w:r w:rsidRPr="004571E5">
        <w:rPr>
          <w:rFonts w:ascii="Times New Roman" w:hAnsi="Times New Roman" w:cs="Times New Roman"/>
          <w:bCs/>
          <w:sz w:val="28"/>
          <w:szCs w:val="28"/>
          <w:lang w:val="es-ES_tradnl"/>
        </w:rPr>
        <w:t xml:space="preserve">Esta </w:t>
      </w:r>
      <w:r w:rsidRPr="004571E5">
        <w:rPr>
          <w:rFonts w:ascii="Times New Roman" w:hAnsi="Times New Roman" w:cs="Times New Roman"/>
          <w:bCs/>
          <w:sz w:val="28"/>
          <w:szCs w:val="28"/>
          <w:lang w:val="es-ES"/>
        </w:rPr>
        <w:t>Sala es competente para</w:t>
      </w:r>
      <w:r w:rsidR="008A7A47" w:rsidRPr="004571E5">
        <w:rPr>
          <w:rFonts w:ascii="Times New Roman" w:hAnsi="Times New Roman" w:cs="Times New Roman"/>
          <w:bCs/>
          <w:sz w:val="28"/>
          <w:szCs w:val="28"/>
          <w:lang w:val="es-ES"/>
        </w:rPr>
        <w:t xml:space="preserve"> revisar</w:t>
      </w:r>
      <w:r w:rsidRPr="004571E5">
        <w:rPr>
          <w:rFonts w:ascii="Times New Roman" w:hAnsi="Times New Roman" w:cs="Times New Roman"/>
          <w:bCs/>
          <w:sz w:val="28"/>
          <w:szCs w:val="28"/>
          <w:lang w:val="es-ES"/>
        </w:rPr>
        <w:t xml:space="preserve"> </w:t>
      </w:r>
      <w:r w:rsidR="00EF23D5" w:rsidRPr="004571E5">
        <w:rPr>
          <w:rFonts w:ascii="Times New Roman" w:hAnsi="Times New Roman" w:cs="Times New Roman"/>
          <w:bCs/>
          <w:sz w:val="28"/>
          <w:szCs w:val="28"/>
          <w:lang w:val="es-ES"/>
        </w:rPr>
        <w:t>los</w:t>
      </w:r>
      <w:r w:rsidRPr="004571E5">
        <w:rPr>
          <w:rFonts w:ascii="Times New Roman" w:hAnsi="Times New Roman" w:cs="Times New Roman"/>
          <w:bCs/>
          <w:sz w:val="28"/>
          <w:szCs w:val="28"/>
          <w:lang w:val="es-ES"/>
        </w:rPr>
        <w:t xml:space="preserve"> fallo</w:t>
      </w:r>
      <w:r w:rsidR="00EF23D5" w:rsidRPr="004571E5">
        <w:rPr>
          <w:rFonts w:ascii="Times New Roman" w:hAnsi="Times New Roman" w:cs="Times New Roman"/>
          <w:bCs/>
          <w:sz w:val="28"/>
          <w:szCs w:val="28"/>
          <w:lang w:val="es-ES"/>
        </w:rPr>
        <w:t>s</w:t>
      </w:r>
      <w:r w:rsidRPr="004571E5">
        <w:rPr>
          <w:rFonts w:ascii="Times New Roman" w:hAnsi="Times New Roman" w:cs="Times New Roman"/>
          <w:bCs/>
          <w:sz w:val="28"/>
          <w:szCs w:val="28"/>
          <w:lang w:val="es-ES"/>
        </w:rPr>
        <w:t xml:space="preserve"> </w:t>
      </w:r>
      <w:r w:rsidR="00EE5FDF" w:rsidRPr="004571E5">
        <w:rPr>
          <w:rFonts w:ascii="Times New Roman" w:hAnsi="Times New Roman" w:cs="Times New Roman"/>
          <w:bCs/>
          <w:sz w:val="28"/>
          <w:szCs w:val="28"/>
          <w:lang w:val="es-ES"/>
        </w:rPr>
        <w:t>de tutela objeto de revisión</w:t>
      </w:r>
      <w:r w:rsidRPr="004571E5">
        <w:rPr>
          <w:rFonts w:ascii="Times New Roman" w:hAnsi="Times New Roman" w:cs="Times New Roman"/>
          <w:bCs/>
          <w:sz w:val="28"/>
          <w:szCs w:val="28"/>
          <w:lang w:val="es-ES"/>
        </w:rPr>
        <w:t>, de conformidad con lo establecido en los artículos 86 y 241-9 de la Constitución Política y 31 a 36 del Decreto Ley 2591 de 1991.</w:t>
      </w:r>
    </w:p>
    <w:p w14:paraId="262CCF52" w14:textId="77777777" w:rsidR="00D15E03" w:rsidRPr="004571E5" w:rsidRDefault="00D15E03" w:rsidP="00481F2E">
      <w:pPr>
        <w:tabs>
          <w:tab w:val="left" w:pos="426"/>
        </w:tabs>
        <w:spacing w:after="0" w:line="240" w:lineRule="auto"/>
        <w:jc w:val="both"/>
        <w:rPr>
          <w:rFonts w:ascii="Times New Roman" w:hAnsi="Times New Roman" w:cs="Times New Roman"/>
          <w:b/>
          <w:bCs/>
          <w:sz w:val="28"/>
          <w:szCs w:val="28"/>
          <w:lang w:val="es-ES_tradnl"/>
        </w:rPr>
      </w:pPr>
    </w:p>
    <w:p w14:paraId="5B703EED" w14:textId="6401A54F" w:rsidR="00D15E03" w:rsidRPr="004571E5" w:rsidRDefault="00BE73CC" w:rsidP="001B30B3">
      <w:pPr>
        <w:pStyle w:val="Prrafodelista"/>
        <w:numPr>
          <w:ilvl w:val="0"/>
          <w:numId w:val="34"/>
        </w:numPr>
        <w:tabs>
          <w:tab w:val="left" w:pos="426"/>
        </w:tabs>
        <w:spacing w:after="0" w:line="240" w:lineRule="auto"/>
        <w:ind w:left="0" w:firstLine="0"/>
        <w:jc w:val="both"/>
        <w:rPr>
          <w:rFonts w:ascii="Times New Roman" w:hAnsi="Times New Roman" w:cs="Times New Roman"/>
          <w:b/>
          <w:bCs/>
          <w:sz w:val="28"/>
          <w:szCs w:val="28"/>
          <w:lang w:val="es-ES_tradnl"/>
        </w:rPr>
      </w:pPr>
      <w:r w:rsidRPr="004571E5">
        <w:rPr>
          <w:rFonts w:ascii="Times New Roman" w:hAnsi="Times New Roman" w:cs="Times New Roman"/>
          <w:b/>
          <w:bCs/>
          <w:sz w:val="28"/>
          <w:szCs w:val="28"/>
          <w:lang w:val="es-ES_tradnl"/>
        </w:rPr>
        <w:t>Delimitación del problema jurídico y metodología de la decisión</w:t>
      </w:r>
    </w:p>
    <w:p w14:paraId="386AE8A9" w14:textId="77777777" w:rsidR="00BE73CC" w:rsidRPr="004571E5" w:rsidRDefault="00BE73CC" w:rsidP="00481F2E">
      <w:pPr>
        <w:tabs>
          <w:tab w:val="left" w:pos="426"/>
        </w:tabs>
        <w:spacing w:after="0" w:line="240" w:lineRule="auto"/>
        <w:jc w:val="both"/>
        <w:rPr>
          <w:rFonts w:ascii="Times New Roman" w:hAnsi="Times New Roman" w:cs="Times New Roman"/>
          <w:b/>
          <w:bCs/>
          <w:sz w:val="28"/>
          <w:szCs w:val="28"/>
          <w:lang w:val="es-ES_tradnl"/>
        </w:rPr>
      </w:pPr>
    </w:p>
    <w:p w14:paraId="69790AD6" w14:textId="5380089C" w:rsidR="00411890" w:rsidRPr="004571E5" w:rsidRDefault="001956E8" w:rsidP="00481F2E">
      <w:pPr>
        <w:pStyle w:val="Prrafodelista"/>
        <w:numPr>
          <w:ilvl w:val="0"/>
          <w:numId w:val="1"/>
        </w:numPr>
        <w:tabs>
          <w:tab w:val="left" w:pos="426"/>
        </w:tabs>
        <w:spacing w:after="0" w:line="240" w:lineRule="auto"/>
        <w:jc w:val="both"/>
        <w:rPr>
          <w:rFonts w:ascii="Times New Roman" w:hAnsi="Times New Roman" w:cs="Times New Roman"/>
          <w:sz w:val="28"/>
          <w:szCs w:val="28"/>
          <w:lang w:val="es-ES"/>
        </w:rPr>
      </w:pPr>
      <w:r w:rsidRPr="004571E5">
        <w:rPr>
          <w:rFonts w:ascii="Times New Roman" w:hAnsi="Times New Roman" w:cs="Times New Roman"/>
          <w:sz w:val="28"/>
          <w:szCs w:val="28"/>
        </w:rPr>
        <w:t>Corresponde a la Sala Plena estudiar dos acciones de tutela presentadas por</w:t>
      </w:r>
      <w:r w:rsidR="00491734" w:rsidRPr="004571E5">
        <w:rPr>
          <w:rFonts w:ascii="Times New Roman" w:hAnsi="Times New Roman" w:cs="Times New Roman"/>
          <w:sz w:val="28"/>
          <w:szCs w:val="28"/>
        </w:rPr>
        <w:t xml:space="preserve"> los </w:t>
      </w:r>
      <w:r w:rsidRPr="004571E5">
        <w:rPr>
          <w:rFonts w:ascii="Times New Roman" w:hAnsi="Times New Roman" w:cs="Times New Roman"/>
          <w:sz w:val="28"/>
          <w:szCs w:val="28"/>
        </w:rPr>
        <w:t>familiares de</w:t>
      </w:r>
      <w:r w:rsidR="00491734" w:rsidRPr="004571E5">
        <w:rPr>
          <w:rFonts w:ascii="Times New Roman" w:hAnsi="Times New Roman" w:cs="Times New Roman"/>
          <w:sz w:val="28"/>
          <w:szCs w:val="28"/>
        </w:rPr>
        <w:t xml:space="preserve"> personas que, según han indicado, murieron a causa de </w:t>
      </w:r>
      <w:r w:rsidRPr="004571E5">
        <w:rPr>
          <w:rFonts w:ascii="Times New Roman" w:hAnsi="Times New Roman" w:cs="Times New Roman"/>
          <w:sz w:val="28"/>
          <w:szCs w:val="28"/>
        </w:rPr>
        <w:t>ejecuciones extrajudiciales</w:t>
      </w:r>
      <w:r w:rsidR="00411890" w:rsidRPr="004571E5">
        <w:rPr>
          <w:rFonts w:ascii="Times New Roman" w:hAnsi="Times New Roman" w:cs="Times New Roman"/>
          <w:sz w:val="28"/>
          <w:szCs w:val="28"/>
          <w:lang w:val="es-ES"/>
        </w:rPr>
        <w:t>.</w:t>
      </w:r>
      <w:r w:rsidRPr="004571E5">
        <w:rPr>
          <w:rFonts w:ascii="Times New Roman" w:hAnsi="Times New Roman" w:cs="Times New Roman"/>
          <w:sz w:val="28"/>
          <w:szCs w:val="28"/>
          <w:lang w:val="es-ES"/>
        </w:rPr>
        <w:t xml:space="preserve"> En ambos casos, se alega que la Subsección C de la Sección Tercera del Consejo de Estado incurrió en </w:t>
      </w:r>
      <w:r w:rsidR="00DF76EC" w:rsidRPr="004571E5">
        <w:rPr>
          <w:rFonts w:ascii="Times New Roman" w:hAnsi="Times New Roman" w:cs="Times New Roman"/>
          <w:sz w:val="28"/>
          <w:szCs w:val="28"/>
          <w:lang w:val="es-ES"/>
        </w:rPr>
        <w:t xml:space="preserve">un </w:t>
      </w:r>
      <w:r w:rsidRPr="004571E5">
        <w:rPr>
          <w:rFonts w:ascii="Times New Roman" w:hAnsi="Times New Roman" w:cs="Times New Roman"/>
          <w:sz w:val="28"/>
          <w:szCs w:val="28"/>
          <w:lang w:val="es-ES"/>
        </w:rPr>
        <w:t>defecto fáctico y desconoci</w:t>
      </w:r>
      <w:r w:rsidR="00DF76EC" w:rsidRPr="004571E5">
        <w:rPr>
          <w:rFonts w:ascii="Times New Roman" w:hAnsi="Times New Roman" w:cs="Times New Roman"/>
          <w:sz w:val="28"/>
          <w:szCs w:val="28"/>
          <w:lang w:val="es-ES"/>
        </w:rPr>
        <w:t>ó</w:t>
      </w:r>
      <w:r w:rsidRPr="004571E5">
        <w:rPr>
          <w:rFonts w:ascii="Times New Roman" w:hAnsi="Times New Roman" w:cs="Times New Roman"/>
          <w:sz w:val="28"/>
          <w:szCs w:val="28"/>
          <w:lang w:val="es-ES"/>
        </w:rPr>
        <w:t xml:space="preserve"> el precedente</w:t>
      </w:r>
      <w:r w:rsidR="00DF76EC" w:rsidRPr="004571E5">
        <w:rPr>
          <w:rFonts w:ascii="Times New Roman" w:hAnsi="Times New Roman" w:cs="Times New Roman"/>
          <w:sz w:val="28"/>
          <w:szCs w:val="28"/>
          <w:lang w:val="es-ES"/>
        </w:rPr>
        <w:t>,</w:t>
      </w:r>
      <w:r w:rsidRPr="004571E5">
        <w:rPr>
          <w:rFonts w:ascii="Times New Roman" w:hAnsi="Times New Roman" w:cs="Times New Roman"/>
          <w:sz w:val="28"/>
          <w:szCs w:val="28"/>
          <w:lang w:val="es-ES"/>
        </w:rPr>
        <w:t xml:space="preserve"> </w:t>
      </w:r>
      <w:r w:rsidR="00DF76EC" w:rsidRPr="004571E5">
        <w:rPr>
          <w:rFonts w:ascii="Times New Roman" w:hAnsi="Times New Roman" w:cs="Times New Roman"/>
          <w:i/>
          <w:iCs/>
          <w:sz w:val="28"/>
          <w:szCs w:val="28"/>
          <w:lang w:val="es-ES"/>
        </w:rPr>
        <w:t>debido a la in</w:t>
      </w:r>
      <w:r w:rsidRPr="004571E5">
        <w:rPr>
          <w:rFonts w:ascii="Times New Roman" w:hAnsi="Times New Roman" w:cs="Times New Roman"/>
          <w:i/>
          <w:iCs/>
          <w:sz w:val="28"/>
          <w:szCs w:val="28"/>
          <w:lang w:val="es-ES"/>
        </w:rPr>
        <w:t>aplica</w:t>
      </w:r>
      <w:r w:rsidR="00DF76EC" w:rsidRPr="004571E5">
        <w:rPr>
          <w:rFonts w:ascii="Times New Roman" w:hAnsi="Times New Roman" w:cs="Times New Roman"/>
          <w:i/>
          <w:iCs/>
          <w:sz w:val="28"/>
          <w:szCs w:val="28"/>
          <w:lang w:val="es-ES"/>
        </w:rPr>
        <w:t>ción</w:t>
      </w:r>
      <w:r w:rsidRPr="004571E5">
        <w:rPr>
          <w:rFonts w:ascii="Times New Roman" w:hAnsi="Times New Roman" w:cs="Times New Roman"/>
          <w:i/>
          <w:iCs/>
          <w:sz w:val="28"/>
          <w:szCs w:val="28"/>
          <w:lang w:val="es-ES"/>
        </w:rPr>
        <w:t xml:space="preserve"> </w:t>
      </w:r>
      <w:r w:rsidR="00DF76EC" w:rsidRPr="004571E5">
        <w:rPr>
          <w:rFonts w:ascii="Times New Roman" w:hAnsi="Times New Roman" w:cs="Times New Roman"/>
          <w:i/>
          <w:iCs/>
          <w:sz w:val="28"/>
          <w:szCs w:val="28"/>
          <w:lang w:val="es-ES"/>
        </w:rPr>
        <w:t xml:space="preserve">de </w:t>
      </w:r>
      <w:r w:rsidRPr="004571E5">
        <w:rPr>
          <w:rFonts w:ascii="Times New Roman" w:hAnsi="Times New Roman" w:cs="Times New Roman"/>
          <w:i/>
          <w:iCs/>
          <w:sz w:val="28"/>
          <w:szCs w:val="28"/>
          <w:lang w:val="es-ES"/>
        </w:rPr>
        <w:t xml:space="preserve">las reglas sobre </w:t>
      </w:r>
      <w:r w:rsidR="00AD6930" w:rsidRPr="004571E5">
        <w:rPr>
          <w:rFonts w:ascii="Times New Roman" w:hAnsi="Times New Roman" w:cs="Times New Roman"/>
          <w:i/>
          <w:iCs/>
          <w:sz w:val="28"/>
          <w:szCs w:val="28"/>
          <w:lang w:val="es-ES"/>
        </w:rPr>
        <w:t>valoración</w:t>
      </w:r>
      <w:r w:rsidRPr="004571E5">
        <w:rPr>
          <w:rFonts w:ascii="Times New Roman" w:hAnsi="Times New Roman" w:cs="Times New Roman"/>
          <w:i/>
          <w:iCs/>
          <w:sz w:val="28"/>
          <w:szCs w:val="28"/>
          <w:lang w:val="es-ES"/>
        </w:rPr>
        <w:t xml:space="preserve"> probatoria que la jurisprudencia </w:t>
      </w:r>
      <w:r w:rsidR="00DF76EC" w:rsidRPr="004571E5">
        <w:rPr>
          <w:rFonts w:ascii="Times New Roman" w:hAnsi="Times New Roman" w:cs="Times New Roman"/>
          <w:i/>
          <w:iCs/>
          <w:sz w:val="28"/>
          <w:szCs w:val="28"/>
          <w:lang w:val="es-ES"/>
        </w:rPr>
        <w:t xml:space="preserve">ha considerado relevantes cuando, en el contexto del proceso de reparación directa, se </w:t>
      </w:r>
      <w:r w:rsidRPr="004571E5">
        <w:rPr>
          <w:rFonts w:ascii="Times New Roman" w:hAnsi="Times New Roman" w:cs="Times New Roman"/>
          <w:i/>
          <w:iCs/>
          <w:sz w:val="28"/>
          <w:szCs w:val="28"/>
          <w:lang w:val="es-ES"/>
        </w:rPr>
        <w:t>alega una ejecución extrajudicial</w:t>
      </w:r>
      <w:r w:rsidRPr="004571E5">
        <w:rPr>
          <w:rFonts w:ascii="Times New Roman" w:hAnsi="Times New Roman" w:cs="Times New Roman"/>
          <w:sz w:val="28"/>
          <w:szCs w:val="28"/>
          <w:lang w:val="es-ES"/>
        </w:rPr>
        <w:t>. En el primer caso, además, se</w:t>
      </w:r>
      <w:r w:rsidR="00DF76EC" w:rsidRPr="004571E5">
        <w:rPr>
          <w:rFonts w:ascii="Times New Roman" w:hAnsi="Times New Roman" w:cs="Times New Roman"/>
          <w:sz w:val="28"/>
          <w:szCs w:val="28"/>
          <w:lang w:val="es-ES"/>
        </w:rPr>
        <w:t xml:space="preserve"> invoca</w:t>
      </w:r>
      <w:r w:rsidRPr="004571E5">
        <w:rPr>
          <w:rFonts w:ascii="Times New Roman" w:hAnsi="Times New Roman" w:cs="Times New Roman"/>
          <w:sz w:val="28"/>
          <w:szCs w:val="28"/>
          <w:lang w:val="es-ES"/>
        </w:rPr>
        <w:t xml:space="preserve"> un</w:t>
      </w:r>
      <w:r w:rsidR="00DF76EC" w:rsidRPr="004571E5">
        <w:rPr>
          <w:rFonts w:ascii="Times New Roman" w:hAnsi="Times New Roman" w:cs="Times New Roman"/>
          <w:sz w:val="28"/>
          <w:szCs w:val="28"/>
          <w:lang w:val="es-ES"/>
        </w:rPr>
        <w:t xml:space="preserve">a infracción </w:t>
      </w:r>
      <w:r w:rsidRPr="004571E5">
        <w:rPr>
          <w:rFonts w:ascii="Times New Roman" w:hAnsi="Times New Roman" w:cs="Times New Roman"/>
          <w:sz w:val="28"/>
          <w:szCs w:val="28"/>
          <w:lang w:val="es-ES"/>
        </w:rPr>
        <w:t xml:space="preserve">del derecho a la igualdad </w:t>
      </w:r>
      <w:r w:rsidR="00DF76EC" w:rsidRPr="004571E5">
        <w:rPr>
          <w:rFonts w:ascii="Times New Roman" w:hAnsi="Times New Roman" w:cs="Times New Roman"/>
          <w:sz w:val="28"/>
          <w:szCs w:val="28"/>
          <w:lang w:val="es-ES"/>
        </w:rPr>
        <w:t xml:space="preserve">dado que, </w:t>
      </w:r>
      <w:r w:rsidRPr="004571E5">
        <w:rPr>
          <w:rFonts w:ascii="Times New Roman" w:hAnsi="Times New Roman" w:cs="Times New Roman"/>
          <w:sz w:val="28"/>
          <w:szCs w:val="28"/>
          <w:lang w:val="es-ES"/>
        </w:rPr>
        <w:t>con base en los mismos hechos</w:t>
      </w:r>
      <w:r w:rsidR="00DF76EC" w:rsidRPr="004571E5">
        <w:rPr>
          <w:rFonts w:ascii="Times New Roman" w:hAnsi="Times New Roman" w:cs="Times New Roman"/>
          <w:sz w:val="28"/>
          <w:szCs w:val="28"/>
          <w:lang w:val="es-ES"/>
        </w:rPr>
        <w:t>, otra autoridad judicial</w:t>
      </w:r>
      <w:r w:rsidRPr="004571E5">
        <w:rPr>
          <w:rFonts w:ascii="Times New Roman" w:hAnsi="Times New Roman" w:cs="Times New Roman"/>
          <w:sz w:val="28"/>
          <w:szCs w:val="28"/>
          <w:lang w:val="es-ES"/>
        </w:rPr>
        <w:t xml:space="preserve"> sí reconoció la responsabilidad del Estado. </w:t>
      </w:r>
    </w:p>
    <w:p w14:paraId="6EB1EEE5" w14:textId="77777777" w:rsidR="001956E8" w:rsidRPr="004571E5" w:rsidRDefault="001956E8" w:rsidP="00481F2E">
      <w:pPr>
        <w:pStyle w:val="Prrafodelista"/>
        <w:tabs>
          <w:tab w:val="left" w:pos="426"/>
        </w:tabs>
        <w:spacing w:after="0" w:line="240" w:lineRule="auto"/>
        <w:ind w:left="0"/>
        <w:jc w:val="both"/>
        <w:rPr>
          <w:rFonts w:ascii="Times New Roman" w:hAnsi="Times New Roman" w:cs="Times New Roman"/>
          <w:sz w:val="28"/>
          <w:szCs w:val="28"/>
          <w:lang w:val="es-ES"/>
        </w:rPr>
      </w:pPr>
    </w:p>
    <w:p w14:paraId="3D5C9A72" w14:textId="77777777" w:rsidR="00AD6930" w:rsidRPr="004571E5" w:rsidRDefault="001956E8" w:rsidP="00AD6930">
      <w:pPr>
        <w:pStyle w:val="Prrafodelista"/>
        <w:numPr>
          <w:ilvl w:val="0"/>
          <w:numId w:val="1"/>
        </w:numPr>
        <w:tabs>
          <w:tab w:val="left" w:pos="426"/>
        </w:tabs>
        <w:spacing w:after="0" w:line="240" w:lineRule="auto"/>
        <w:jc w:val="both"/>
        <w:rPr>
          <w:rFonts w:ascii="Times New Roman" w:hAnsi="Times New Roman" w:cs="Times New Roman"/>
          <w:sz w:val="28"/>
          <w:szCs w:val="28"/>
          <w:lang w:val="es-ES"/>
        </w:rPr>
      </w:pPr>
      <w:r w:rsidRPr="004571E5">
        <w:rPr>
          <w:rFonts w:ascii="Times New Roman" w:hAnsi="Times New Roman" w:cs="Times New Roman"/>
          <w:sz w:val="28"/>
          <w:szCs w:val="28"/>
          <w:lang w:val="es-ES"/>
        </w:rPr>
        <w:t xml:space="preserve">De acuerdo con lo anterior, corresponde a la Sala resolver </w:t>
      </w:r>
      <w:r w:rsidR="00AD6930" w:rsidRPr="004571E5">
        <w:rPr>
          <w:rFonts w:ascii="Times New Roman" w:hAnsi="Times New Roman" w:cs="Times New Roman"/>
          <w:sz w:val="28"/>
          <w:szCs w:val="28"/>
          <w:lang w:val="es-ES"/>
        </w:rPr>
        <w:t xml:space="preserve">los siguientes problemas jurídicos: </w:t>
      </w:r>
    </w:p>
    <w:p w14:paraId="3AF2982B" w14:textId="77777777" w:rsidR="00AD6930" w:rsidRPr="004571E5" w:rsidRDefault="00AD6930" w:rsidP="00AD6930">
      <w:pPr>
        <w:pStyle w:val="Prrafodelista"/>
        <w:tabs>
          <w:tab w:val="left" w:pos="426"/>
        </w:tabs>
        <w:spacing w:after="0" w:line="240" w:lineRule="auto"/>
        <w:ind w:left="0"/>
        <w:jc w:val="both"/>
        <w:rPr>
          <w:rFonts w:ascii="Times New Roman" w:hAnsi="Times New Roman" w:cs="Times New Roman"/>
          <w:sz w:val="28"/>
          <w:szCs w:val="28"/>
          <w:lang w:val="es-ES"/>
        </w:rPr>
      </w:pPr>
    </w:p>
    <w:p w14:paraId="6663F30B" w14:textId="245DE34A" w:rsidR="00C9125D" w:rsidRPr="004571E5" w:rsidRDefault="00AD6930" w:rsidP="00EE5FDF">
      <w:pPr>
        <w:pStyle w:val="Prrafodelista"/>
        <w:numPr>
          <w:ilvl w:val="0"/>
          <w:numId w:val="37"/>
        </w:numPr>
        <w:spacing w:after="0" w:line="240" w:lineRule="auto"/>
        <w:jc w:val="both"/>
        <w:rPr>
          <w:rFonts w:ascii="Times New Roman" w:hAnsi="Times New Roman" w:cs="Times New Roman"/>
          <w:sz w:val="28"/>
          <w:szCs w:val="28"/>
          <w:lang w:val="es-ES"/>
        </w:rPr>
      </w:pPr>
      <w:r w:rsidRPr="004571E5">
        <w:rPr>
          <w:rFonts w:ascii="Times New Roman" w:hAnsi="Times New Roman" w:cs="Times New Roman"/>
          <w:sz w:val="28"/>
          <w:szCs w:val="28"/>
          <w:lang w:val="es-ES"/>
        </w:rPr>
        <w:t>En el expediente T-9.860.565 ¿la Subsección C de la Sección Tercera de la Sala Contencioso Administrativa del Consejo de Estado vulneró los derechos de los demandantes en los procesos de reparación directa debido a (i) la no aplicación del precedente relativo al estándar probatorio aplicable en casos de ejecuciones extrajudiciales y, en consecuencia (</w:t>
      </w:r>
      <w:proofErr w:type="spellStart"/>
      <w:r w:rsidRPr="004571E5">
        <w:rPr>
          <w:rFonts w:ascii="Times New Roman" w:hAnsi="Times New Roman" w:cs="Times New Roman"/>
          <w:sz w:val="28"/>
          <w:szCs w:val="28"/>
          <w:lang w:val="es-ES"/>
        </w:rPr>
        <w:t>ii</w:t>
      </w:r>
      <w:proofErr w:type="spellEnd"/>
      <w:r w:rsidRPr="004571E5">
        <w:rPr>
          <w:rFonts w:ascii="Times New Roman" w:hAnsi="Times New Roman" w:cs="Times New Roman"/>
          <w:sz w:val="28"/>
          <w:szCs w:val="28"/>
          <w:lang w:val="es-ES"/>
        </w:rPr>
        <w:t>) una indebida valoración probatoria?</w:t>
      </w:r>
    </w:p>
    <w:p w14:paraId="6AB55D43" w14:textId="77777777" w:rsidR="00AD6930" w:rsidRPr="004571E5" w:rsidRDefault="00AD6930" w:rsidP="00EE5FDF">
      <w:pPr>
        <w:pStyle w:val="Prrafodelista"/>
        <w:spacing w:after="0" w:line="240" w:lineRule="auto"/>
        <w:ind w:left="1440"/>
        <w:jc w:val="both"/>
        <w:rPr>
          <w:rFonts w:ascii="Times New Roman" w:hAnsi="Times New Roman" w:cs="Times New Roman"/>
          <w:sz w:val="28"/>
          <w:szCs w:val="28"/>
          <w:lang w:val="es-ES"/>
        </w:rPr>
      </w:pPr>
    </w:p>
    <w:p w14:paraId="5969750E" w14:textId="2F4B50B5" w:rsidR="00AD6930" w:rsidRPr="004571E5" w:rsidRDefault="00AD6930" w:rsidP="00EE5FDF">
      <w:pPr>
        <w:pStyle w:val="Prrafodelista"/>
        <w:numPr>
          <w:ilvl w:val="0"/>
          <w:numId w:val="37"/>
        </w:numPr>
        <w:spacing w:after="0" w:line="240" w:lineRule="auto"/>
        <w:jc w:val="both"/>
        <w:rPr>
          <w:rFonts w:ascii="Times New Roman" w:hAnsi="Times New Roman" w:cs="Times New Roman"/>
          <w:sz w:val="28"/>
          <w:szCs w:val="28"/>
          <w:lang w:val="es-ES"/>
        </w:rPr>
      </w:pPr>
      <w:r w:rsidRPr="004571E5">
        <w:rPr>
          <w:rFonts w:ascii="Times New Roman" w:hAnsi="Times New Roman" w:cs="Times New Roman"/>
          <w:sz w:val="28"/>
          <w:szCs w:val="28"/>
          <w:lang w:val="es-ES"/>
        </w:rPr>
        <w:t>En el expediente T-10.191.129 ¿la Subsección C de la Sección Tercera de la Sala Contencioso Administrativa del Consejo de Estado vulneró los derechos de los demandantes en los procesos de reparación directa debido a (i) la no aplicación del precedente relativo al estándar probatorio aplicable en casos de ejecuciones extrajudiciales y, en consecuencia (</w:t>
      </w:r>
      <w:proofErr w:type="spellStart"/>
      <w:r w:rsidRPr="004571E5">
        <w:rPr>
          <w:rFonts w:ascii="Times New Roman" w:hAnsi="Times New Roman" w:cs="Times New Roman"/>
          <w:sz w:val="28"/>
          <w:szCs w:val="28"/>
          <w:lang w:val="es-ES"/>
        </w:rPr>
        <w:t>ii</w:t>
      </w:r>
      <w:proofErr w:type="spellEnd"/>
      <w:r w:rsidRPr="004571E5">
        <w:rPr>
          <w:rFonts w:ascii="Times New Roman" w:hAnsi="Times New Roman" w:cs="Times New Roman"/>
          <w:sz w:val="28"/>
          <w:szCs w:val="28"/>
          <w:lang w:val="es-ES"/>
        </w:rPr>
        <w:t>) una indebida valoración probatoria?</w:t>
      </w:r>
    </w:p>
    <w:p w14:paraId="7309C8CE" w14:textId="77777777" w:rsidR="00AD6930" w:rsidRPr="004571E5" w:rsidRDefault="00AD6930" w:rsidP="00AD6930">
      <w:pPr>
        <w:pStyle w:val="Prrafodelista"/>
        <w:ind w:left="1440"/>
        <w:jc w:val="both"/>
        <w:rPr>
          <w:rFonts w:ascii="Times New Roman" w:hAnsi="Times New Roman" w:cs="Times New Roman"/>
          <w:sz w:val="28"/>
          <w:szCs w:val="28"/>
          <w:lang w:val="es-ES"/>
        </w:rPr>
      </w:pPr>
    </w:p>
    <w:p w14:paraId="41F81C56" w14:textId="65B91DB4" w:rsidR="00C9125D" w:rsidRPr="004571E5" w:rsidRDefault="00C9125D" w:rsidP="009A40D7">
      <w:pPr>
        <w:pStyle w:val="Prrafodelista"/>
        <w:numPr>
          <w:ilvl w:val="0"/>
          <w:numId w:val="1"/>
        </w:numPr>
        <w:tabs>
          <w:tab w:val="left" w:pos="426"/>
        </w:tabs>
        <w:spacing w:after="0" w:line="240" w:lineRule="auto"/>
        <w:jc w:val="both"/>
        <w:rPr>
          <w:rFonts w:ascii="Times New Roman" w:hAnsi="Times New Roman" w:cs="Times New Roman"/>
          <w:sz w:val="28"/>
          <w:szCs w:val="28"/>
          <w:lang w:val="es-ES"/>
        </w:rPr>
      </w:pPr>
      <w:r w:rsidRPr="004571E5">
        <w:rPr>
          <w:rFonts w:ascii="Times New Roman" w:hAnsi="Times New Roman" w:cs="Times New Roman"/>
          <w:sz w:val="28"/>
          <w:szCs w:val="28"/>
          <w:lang w:val="es-ES"/>
        </w:rPr>
        <w:t>De manera preliminar es importante indicar que en el Caso 2 los accionantes no alegaron</w:t>
      </w:r>
      <w:r w:rsidR="00491734" w:rsidRPr="004571E5">
        <w:rPr>
          <w:rFonts w:ascii="Times New Roman" w:hAnsi="Times New Roman" w:cs="Times New Roman"/>
          <w:sz w:val="28"/>
          <w:szCs w:val="28"/>
          <w:lang w:val="es-ES"/>
        </w:rPr>
        <w:t>,</w:t>
      </w:r>
      <w:r w:rsidRPr="004571E5">
        <w:rPr>
          <w:rFonts w:ascii="Times New Roman" w:hAnsi="Times New Roman" w:cs="Times New Roman"/>
          <w:sz w:val="28"/>
          <w:szCs w:val="28"/>
          <w:lang w:val="es-ES"/>
        </w:rPr>
        <w:t xml:space="preserve"> </w:t>
      </w:r>
      <w:r w:rsidR="00491734" w:rsidRPr="004571E5">
        <w:rPr>
          <w:rFonts w:ascii="Times New Roman" w:hAnsi="Times New Roman" w:cs="Times New Roman"/>
          <w:sz w:val="28"/>
          <w:szCs w:val="28"/>
          <w:lang w:val="es-ES"/>
        </w:rPr>
        <w:t>en el escrito de tutela, el</w:t>
      </w:r>
      <w:r w:rsidRPr="004571E5">
        <w:rPr>
          <w:rFonts w:ascii="Times New Roman" w:hAnsi="Times New Roman" w:cs="Times New Roman"/>
          <w:sz w:val="28"/>
          <w:szCs w:val="28"/>
          <w:lang w:val="es-ES"/>
        </w:rPr>
        <w:t xml:space="preserve"> desconocimiento del precedente</w:t>
      </w:r>
      <w:r w:rsidR="00491734" w:rsidRPr="004571E5">
        <w:rPr>
          <w:rFonts w:ascii="Times New Roman" w:hAnsi="Times New Roman" w:cs="Times New Roman"/>
          <w:sz w:val="28"/>
          <w:szCs w:val="28"/>
          <w:lang w:val="es-ES"/>
        </w:rPr>
        <w:t xml:space="preserve"> fijado por la Corte Constitucional</w:t>
      </w:r>
      <w:r w:rsidRPr="004571E5">
        <w:rPr>
          <w:rFonts w:ascii="Times New Roman" w:hAnsi="Times New Roman" w:cs="Times New Roman"/>
          <w:sz w:val="28"/>
          <w:szCs w:val="28"/>
          <w:lang w:val="es-ES"/>
        </w:rPr>
        <w:t>. Únicamente reprocharon un desconocimiento del precedente horizontal. Sin embargo,</w:t>
      </w:r>
      <w:r w:rsidR="009A40D7" w:rsidRPr="004571E5">
        <w:rPr>
          <w:rFonts w:ascii="Times New Roman" w:hAnsi="Times New Roman" w:cs="Times New Roman"/>
          <w:sz w:val="28"/>
          <w:szCs w:val="28"/>
          <w:lang w:val="es-ES"/>
        </w:rPr>
        <w:t xml:space="preserve"> la Sala encuentra que es posible pronunciarse sobre el desconocimiento del precedente de la Corte Constitucional por tres razones. Primero,</w:t>
      </w:r>
      <w:r w:rsidRPr="004571E5">
        <w:rPr>
          <w:rFonts w:ascii="Times New Roman" w:hAnsi="Times New Roman" w:cs="Times New Roman"/>
          <w:sz w:val="28"/>
          <w:szCs w:val="28"/>
          <w:lang w:val="es-ES"/>
        </w:rPr>
        <w:t xml:space="preserve"> las facultades </w:t>
      </w:r>
      <w:r w:rsidRPr="004571E5">
        <w:rPr>
          <w:rFonts w:ascii="Times New Roman" w:hAnsi="Times New Roman" w:cs="Times New Roman"/>
          <w:i/>
          <w:iCs/>
          <w:sz w:val="28"/>
          <w:szCs w:val="28"/>
          <w:lang w:val="es-ES"/>
        </w:rPr>
        <w:t xml:space="preserve">ultra y extra </w:t>
      </w:r>
      <w:proofErr w:type="spellStart"/>
      <w:r w:rsidRPr="004571E5">
        <w:rPr>
          <w:rFonts w:ascii="Times New Roman" w:hAnsi="Times New Roman" w:cs="Times New Roman"/>
          <w:i/>
          <w:iCs/>
          <w:sz w:val="28"/>
          <w:szCs w:val="28"/>
          <w:lang w:val="es-ES"/>
        </w:rPr>
        <w:t>petita</w:t>
      </w:r>
      <w:proofErr w:type="spellEnd"/>
      <w:r w:rsidRPr="004571E5">
        <w:rPr>
          <w:rFonts w:ascii="Times New Roman" w:hAnsi="Times New Roman" w:cs="Times New Roman"/>
          <w:i/>
          <w:iCs/>
          <w:sz w:val="28"/>
          <w:szCs w:val="28"/>
          <w:lang w:val="es-ES"/>
        </w:rPr>
        <w:t xml:space="preserve"> </w:t>
      </w:r>
      <w:r w:rsidRPr="004571E5">
        <w:rPr>
          <w:rFonts w:ascii="Times New Roman" w:hAnsi="Times New Roman" w:cs="Times New Roman"/>
          <w:sz w:val="28"/>
          <w:szCs w:val="28"/>
          <w:lang w:val="es-ES"/>
        </w:rPr>
        <w:lastRenderedPageBreak/>
        <w:t>reconocidas para el juez de tutela</w:t>
      </w:r>
      <w:r w:rsidRPr="004571E5">
        <w:rPr>
          <w:rStyle w:val="Refdenotaalpie"/>
          <w:rFonts w:ascii="Times New Roman" w:hAnsi="Times New Roman" w:cs="Times New Roman"/>
          <w:sz w:val="28"/>
          <w:szCs w:val="28"/>
          <w:lang w:val="es-ES"/>
        </w:rPr>
        <w:footnoteReference w:id="16"/>
      </w:r>
      <w:r w:rsidR="009A40D7" w:rsidRPr="004571E5">
        <w:rPr>
          <w:rFonts w:ascii="Times New Roman" w:hAnsi="Times New Roman" w:cs="Times New Roman"/>
          <w:sz w:val="28"/>
          <w:szCs w:val="28"/>
          <w:lang w:val="es-ES"/>
        </w:rPr>
        <w:t xml:space="preserve"> permiten ampliar el objeto de estudio de la acción. Segundo, en la Sentencia T-851 de 2010 la Corte indicó que en virtud del principio </w:t>
      </w:r>
      <w:proofErr w:type="spellStart"/>
      <w:r w:rsidR="009A40D7" w:rsidRPr="004571E5">
        <w:rPr>
          <w:rFonts w:ascii="Times New Roman" w:hAnsi="Times New Roman" w:cs="Times New Roman"/>
          <w:i/>
          <w:iCs/>
          <w:sz w:val="28"/>
          <w:szCs w:val="28"/>
          <w:lang w:val="es-ES"/>
        </w:rPr>
        <w:t>iura</w:t>
      </w:r>
      <w:proofErr w:type="spellEnd"/>
      <w:r w:rsidR="009A40D7" w:rsidRPr="004571E5">
        <w:rPr>
          <w:rFonts w:ascii="Times New Roman" w:hAnsi="Times New Roman" w:cs="Times New Roman"/>
          <w:i/>
          <w:iCs/>
          <w:sz w:val="28"/>
          <w:szCs w:val="28"/>
          <w:lang w:val="es-ES"/>
        </w:rPr>
        <w:t xml:space="preserve"> </w:t>
      </w:r>
      <w:proofErr w:type="spellStart"/>
      <w:r w:rsidR="009A40D7" w:rsidRPr="004571E5">
        <w:rPr>
          <w:rFonts w:ascii="Times New Roman" w:hAnsi="Times New Roman" w:cs="Times New Roman"/>
          <w:i/>
          <w:iCs/>
          <w:sz w:val="28"/>
          <w:szCs w:val="28"/>
          <w:lang w:val="es-ES"/>
        </w:rPr>
        <w:t>novit</w:t>
      </w:r>
      <w:proofErr w:type="spellEnd"/>
      <w:r w:rsidR="009A40D7" w:rsidRPr="004571E5">
        <w:rPr>
          <w:rFonts w:ascii="Times New Roman" w:hAnsi="Times New Roman" w:cs="Times New Roman"/>
          <w:i/>
          <w:iCs/>
          <w:sz w:val="28"/>
          <w:szCs w:val="28"/>
          <w:lang w:val="es-ES"/>
        </w:rPr>
        <w:t xml:space="preserve"> curia</w:t>
      </w:r>
      <w:r w:rsidR="009A40D7" w:rsidRPr="004571E5">
        <w:rPr>
          <w:rFonts w:ascii="Times New Roman" w:hAnsi="Times New Roman" w:cs="Times New Roman"/>
          <w:sz w:val="28"/>
          <w:szCs w:val="28"/>
          <w:lang w:val="es-ES"/>
        </w:rPr>
        <w:t xml:space="preserve"> “corresponde al juez la aplicación del derecho con prescindencia del invocado por las partes, constituyendo tal prerrogativa, un deber para el juzgador, a quien incumbe la determinación correcta del derecho, debiendo discernir los conflictos litigiosos y dirimirlos según el derecho vigente, calificando autónomamente, la realidad del hecho y subsumiéndolo en las normas jurídicas que lo rigen”. En este sentido, y </w:t>
      </w:r>
      <w:r w:rsidRPr="004571E5">
        <w:rPr>
          <w:rFonts w:ascii="Times New Roman" w:hAnsi="Times New Roman" w:cs="Times New Roman"/>
          <w:sz w:val="28"/>
          <w:szCs w:val="28"/>
          <w:lang w:val="es-ES"/>
        </w:rPr>
        <w:t xml:space="preserve">atendiendo al reiterado y pacífico </w:t>
      </w:r>
      <w:r w:rsidR="00D53781" w:rsidRPr="004571E5">
        <w:rPr>
          <w:rFonts w:ascii="Times New Roman" w:hAnsi="Times New Roman" w:cs="Times New Roman"/>
          <w:sz w:val="28"/>
          <w:szCs w:val="28"/>
          <w:lang w:val="es-ES"/>
        </w:rPr>
        <w:t xml:space="preserve">precedente de la Corte Constitucional </w:t>
      </w:r>
      <w:r w:rsidRPr="004571E5">
        <w:rPr>
          <w:rFonts w:ascii="Times New Roman" w:hAnsi="Times New Roman" w:cs="Times New Roman"/>
          <w:sz w:val="28"/>
          <w:szCs w:val="28"/>
          <w:lang w:val="es-ES"/>
        </w:rPr>
        <w:t xml:space="preserve">en la materia, </w:t>
      </w:r>
      <w:r w:rsidR="009A40D7" w:rsidRPr="004571E5">
        <w:rPr>
          <w:rFonts w:ascii="Times New Roman" w:hAnsi="Times New Roman" w:cs="Times New Roman"/>
          <w:sz w:val="28"/>
          <w:szCs w:val="28"/>
          <w:lang w:val="es-ES"/>
        </w:rPr>
        <w:t xml:space="preserve">el juez de tutela debe analizar la aplicación de este defecto. Tercero, en anteriores oportunidades, esta Corporación ha incluido en la valoración defectos no formulados por las partes en la acción de tutela. Por ejemplo, en la Sentencia SU-273 de 2022 la Corte sostuvo que “[l]a accionante no nomina con especificidad los defectos en lo que considera está incursa la sentencia anterior. Sin embargo, en aplicación del principio pro </w:t>
      </w:r>
      <w:proofErr w:type="spellStart"/>
      <w:r w:rsidR="009A40D7" w:rsidRPr="004571E5">
        <w:rPr>
          <w:rFonts w:ascii="Times New Roman" w:hAnsi="Times New Roman" w:cs="Times New Roman"/>
          <w:sz w:val="28"/>
          <w:szCs w:val="28"/>
          <w:lang w:val="es-ES"/>
        </w:rPr>
        <w:t>actione</w:t>
      </w:r>
      <w:proofErr w:type="spellEnd"/>
      <w:r w:rsidR="009A40D7" w:rsidRPr="004571E5">
        <w:rPr>
          <w:rFonts w:ascii="Times New Roman" w:hAnsi="Times New Roman" w:cs="Times New Roman"/>
          <w:sz w:val="28"/>
          <w:szCs w:val="28"/>
          <w:lang w:val="es-ES"/>
        </w:rPr>
        <w:t xml:space="preserve">, de la facultad del juez de tutela de proferir fallos extra y ultra </w:t>
      </w:r>
      <w:proofErr w:type="spellStart"/>
      <w:r w:rsidR="009A40D7" w:rsidRPr="004571E5">
        <w:rPr>
          <w:rFonts w:ascii="Times New Roman" w:hAnsi="Times New Roman" w:cs="Times New Roman"/>
          <w:sz w:val="28"/>
          <w:szCs w:val="28"/>
          <w:lang w:val="es-ES"/>
        </w:rPr>
        <w:t>petita</w:t>
      </w:r>
      <w:proofErr w:type="spellEnd"/>
      <w:r w:rsidR="009A40D7" w:rsidRPr="004571E5">
        <w:rPr>
          <w:rFonts w:ascii="Times New Roman" w:hAnsi="Times New Roman" w:cs="Times New Roman"/>
          <w:sz w:val="28"/>
          <w:szCs w:val="28"/>
          <w:lang w:val="es-ES"/>
        </w:rPr>
        <w:t xml:space="preserve"> y del principio </w:t>
      </w:r>
      <w:proofErr w:type="spellStart"/>
      <w:r w:rsidR="009A40D7" w:rsidRPr="004571E5">
        <w:rPr>
          <w:rFonts w:ascii="Times New Roman" w:hAnsi="Times New Roman" w:cs="Times New Roman"/>
          <w:sz w:val="28"/>
          <w:szCs w:val="28"/>
          <w:lang w:val="es-ES"/>
        </w:rPr>
        <w:t>iura</w:t>
      </w:r>
      <w:proofErr w:type="spellEnd"/>
      <w:r w:rsidR="009A40D7" w:rsidRPr="004571E5">
        <w:rPr>
          <w:rFonts w:ascii="Times New Roman" w:hAnsi="Times New Roman" w:cs="Times New Roman"/>
          <w:sz w:val="28"/>
          <w:szCs w:val="28"/>
          <w:lang w:val="es-ES"/>
        </w:rPr>
        <w:t xml:space="preserve"> </w:t>
      </w:r>
      <w:proofErr w:type="spellStart"/>
      <w:r w:rsidR="009A40D7" w:rsidRPr="004571E5">
        <w:rPr>
          <w:rFonts w:ascii="Times New Roman" w:hAnsi="Times New Roman" w:cs="Times New Roman"/>
          <w:sz w:val="28"/>
          <w:szCs w:val="28"/>
          <w:lang w:val="es-ES"/>
        </w:rPr>
        <w:t>novit</w:t>
      </w:r>
      <w:proofErr w:type="spellEnd"/>
      <w:r w:rsidR="009A40D7" w:rsidRPr="004571E5">
        <w:rPr>
          <w:rFonts w:ascii="Times New Roman" w:hAnsi="Times New Roman" w:cs="Times New Roman"/>
          <w:sz w:val="28"/>
          <w:szCs w:val="28"/>
          <w:lang w:val="es-ES"/>
        </w:rPr>
        <w:t xml:space="preserve"> curia, la Sala encausa su argumentación en las siguientes causales específicas de procedencia de la tutela contra providencias judiciales. La Sala parte de la premisa que, de acuerdo con la jurisprudencia de esta Corporación, la solicitud de amparo se caracteriza por su sencillez, informalidad y oficiosidad”.</w:t>
      </w:r>
    </w:p>
    <w:p w14:paraId="09B577BB" w14:textId="77777777" w:rsidR="00CC3351" w:rsidRPr="004571E5" w:rsidRDefault="00CC3351" w:rsidP="00EE5FDF">
      <w:pPr>
        <w:pStyle w:val="Prrafodelista"/>
        <w:tabs>
          <w:tab w:val="left" w:pos="426"/>
        </w:tabs>
        <w:spacing w:after="0" w:line="240" w:lineRule="auto"/>
        <w:ind w:left="0"/>
        <w:jc w:val="both"/>
        <w:rPr>
          <w:rFonts w:ascii="Times New Roman" w:hAnsi="Times New Roman" w:cs="Times New Roman"/>
          <w:sz w:val="28"/>
          <w:szCs w:val="28"/>
          <w:lang w:val="es-ES"/>
        </w:rPr>
      </w:pPr>
    </w:p>
    <w:p w14:paraId="3D393187" w14:textId="64055B7B" w:rsidR="00CC3351" w:rsidRPr="004571E5" w:rsidRDefault="00CC3351" w:rsidP="009A40D7">
      <w:pPr>
        <w:pStyle w:val="Prrafodelista"/>
        <w:numPr>
          <w:ilvl w:val="0"/>
          <w:numId w:val="1"/>
        </w:numPr>
        <w:tabs>
          <w:tab w:val="left" w:pos="426"/>
        </w:tabs>
        <w:spacing w:after="0" w:line="240" w:lineRule="auto"/>
        <w:jc w:val="both"/>
        <w:rPr>
          <w:rFonts w:ascii="Times New Roman" w:hAnsi="Times New Roman" w:cs="Times New Roman"/>
          <w:sz w:val="28"/>
          <w:szCs w:val="28"/>
          <w:lang w:val="es-ES"/>
        </w:rPr>
      </w:pPr>
      <w:r w:rsidRPr="004571E5">
        <w:rPr>
          <w:rFonts w:ascii="Times New Roman" w:hAnsi="Times New Roman" w:cs="Times New Roman"/>
          <w:sz w:val="28"/>
          <w:szCs w:val="28"/>
          <w:lang w:val="es-ES"/>
        </w:rPr>
        <w:t>En adición a ello, es razonable considerar que cuando la acusación en contra de una providencia judicial plantea el desconocimiento del precedente establecido por una autoridad judicial y esa eventual infracción se relaciona directamente con el contenido de un</w:t>
      </w:r>
      <w:r w:rsidR="00CB261A" w:rsidRPr="004571E5">
        <w:rPr>
          <w:rFonts w:ascii="Times New Roman" w:hAnsi="Times New Roman" w:cs="Times New Roman"/>
          <w:sz w:val="28"/>
          <w:szCs w:val="28"/>
          <w:lang w:val="es-ES"/>
        </w:rPr>
        <w:t xml:space="preserve"> precedente</w:t>
      </w:r>
      <w:r w:rsidRPr="004571E5">
        <w:rPr>
          <w:rFonts w:ascii="Times New Roman" w:hAnsi="Times New Roman" w:cs="Times New Roman"/>
          <w:sz w:val="28"/>
          <w:szCs w:val="28"/>
          <w:lang w:val="es-ES"/>
        </w:rPr>
        <w:t xml:space="preserve"> </w:t>
      </w:r>
      <w:r w:rsidR="00CB261A" w:rsidRPr="004571E5">
        <w:rPr>
          <w:rFonts w:ascii="Times New Roman" w:hAnsi="Times New Roman" w:cs="Times New Roman"/>
          <w:sz w:val="28"/>
          <w:szCs w:val="28"/>
          <w:lang w:val="es-ES"/>
        </w:rPr>
        <w:t xml:space="preserve">-coincidente o divergente- </w:t>
      </w:r>
      <w:r w:rsidRPr="004571E5">
        <w:rPr>
          <w:rFonts w:ascii="Times New Roman" w:hAnsi="Times New Roman" w:cs="Times New Roman"/>
          <w:sz w:val="28"/>
          <w:szCs w:val="28"/>
          <w:lang w:val="es-ES"/>
        </w:rPr>
        <w:t>fijada por la Corte Constitucional</w:t>
      </w:r>
      <w:r w:rsidR="00CB261A" w:rsidRPr="004571E5">
        <w:rPr>
          <w:rFonts w:ascii="Times New Roman" w:hAnsi="Times New Roman" w:cs="Times New Roman"/>
          <w:sz w:val="28"/>
          <w:szCs w:val="28"/>
          <w:lang w:val="es-ES"/>
        </w:rPr>
        <w:t>,</w:t>
      </w:r>
      <w:r w:rsidRPr="004571E5">
        <w:rPr>
          <w:rFonts w:ascii="Times New Roman" w:hAnsi="Times New Roman" w:cs="Times New Roman"/>
          <w:sz w:val="28"/>
          <w:szCs w:val="28"/>
          <w:lang w:val="es-ES"/>
        </w:rPr>
        <w:t xml:space="preserve"> la comprensión unitaria del sistema jurídico </w:t>
      </w:r>
      <w:r w:rsidR="00CB261A" w:rsidRPr="004571E5">
        <w:rPr>
          <w:rFonts w:ascii="Times New Roman" w:hAnsi="Times New Roman" w:cs="Times New Roman"/>
          <w:sz w:val="28"/>
          <w:szCs w:val="28"/>
          <w:lang w:val="es-ES"/>
        </w:rPr>
        <w:t xml:space="preserve">impone </w:t>
      </w:r>
      <w:r w:rsidRPr="004571E5">
        <w:rPr>
          <w:rFonts w:ascii="Times New Roman" w:hAnsi="Times New Roman" w:cs="Times New Roman"/>
          <w:sz w:val="28"/>
          <w:szCs w:val="28"/>
          <w:lang w:val="es-ES"/>
        </w:rPr>
        <w:t>una valoración integral de la regla de decisión judicial vigente para la solución del caso</w:t>
      </w:r>
      <w:r w:rsidR="00CB261A" w:rsidRPr="004571E5">
        <w:rPr>
          <w:rFonts w:ascii="Times New Roman" w:hAnsi="Times New Roman" w:cs="Times New Roman"/>
          <w:sz w:val="28"/>
          <w:szCs w:val="28"/>
          <w:lang w:val="es-ES"/>
        </w:rPr>
        <w:t>. Ello es especialmente importante, en atención a la especial posición de este tribunal en la fijación del significado de las disposiciones de la Carta Política</w:t>
      </w:r>
      <w:r w:rsidRPr="004571E5">
        <w:rPr>
          <w:rFonts w:ascii="Times New Roman" w:hAnsi="Times New Roman" w:cs="Times New Roman"/>
          <w:sz w:val="28"/>
          <w:szCs w:val="28"/>
          <w:lang w:val="es-ES"/>
        </w:rPr>
        <w:t xml:space="preserve">. </w:t>
      </w:r>
    </w:p>
    <w:p w14:paraId="1A07B71B" w14:textId="77777777" w:rsidR="00436793" w:rsidRPr="004571E5" w:rsidRDefault="00436793" w:rsidP="00481F2E">
      <w:pPr>
        <w:pStyle w:val="Prrafodelista"/>
        <w:tabs>
          <w:tab w:val="left" w:pos="426"/>
        </w:tabs>
        <w:spacing w:after="0" w:line="240" w:lineRule="auto"/>
        <w:ind w:left="0"/>
        <w:jc w:val="both"/>
        <w:rPr>
          <w:rFonts w:ascii="Times New Roman" w:hAnsi="Times New Roman" w:cs="Times New Roman"/>
          <w:sz w:val="28"/>
          <w:szCs w:val="28"/>
          <w:lang w:val="es-ES"/>
        </w:rPr>
      </w:pPr>
    </w:p>
    <w:p w14:paraId="18A6D70B" w14:textId="1D0FF3E6" w:rsidR="001956E8" w:rsidRPr="004571E5" w:rsidRDefault="001956E8" w:rsidP="00481F2E">
      <w:pPr>
        <w:pStyle w:val="Prrafodelista"/>
        <w:numPr>
          <w:ilvl w:val="0"/>
          <w:numId w:val="1"/>
        </w:numPr>
        <w:tabs>
          <w:tab w:val="left" w:pos="426"/>
        </w:tabs>
        <w:spacing w:after="0" w:line="240" w:lineRule="auto"/>
        <w:jc w:val="both"/>
        <w:rPr>
          <w:rFonts w:ascii="Times New Roman" w:hAnsi="Times New Roman" w:cs="Times New Roman"/>
          <w:sz w:val="28"/>
          <w:szCs w:val="28"/>
          <w:lang w:val="es-ES"/>
        </w:rPr>
      </w:pPr>
      <w:r w:rsidRPr="004571E5">
        <w:rPr>
          <w:rFonts w:ascii="Times New Roman" w:hAnsi="Times New Roman" w:cs="Times New Roman"/>
          <w:sz w:val="28"/>
          <w:szCs w:val="28"/>
          <w:lang w:val="es-ES"/>
        </w:rPr>
        <w:t>Para resolver los</w:t>
      </w:r>
      <w:r w:rsidR="00CB261A" w:rsidRPr="004571E5">
        <w:rPr>
          <w:rFonts w:ascii="Times New Roman" w:hAnsi="Times New Roman" w:cs="Times New Roman"/>
          <w:sz w:val="28"/>
          <w:szCs w:val="28"/>
          <w:lang w:val="es-ES"/>
        </w:rPr>
        <w:t xml:space="preserve"> problemas</w:t>
      </w:r>
      <w:r w:rsidRPr="004571E5">
        <w:rPr>
          <w:rFonts w:ascii="Times New Roman" w:hAnsi="Times New Roman" w:cs="Times New Roman"/>
          <w:sz w:val="28"/>
          <w:szCs w:val="28"/>
          <w:lang w:val="es-ES"/>
        </w:rPr>
        <w:t xml:space="preserve"> planteados la</w:t>
      </w:r>
      <w:r w:rsidR="00DF76EC" w:rsidRPr="004571E5">
        <w:rPr>
          <w:rFonts w:ascii="Times New Roman" w:hAnsi="Times New Roman" w:cs="Times New Roman"/>
          <w:sz w:val="28"/>
          <w:szCs w:val="28"/>
          <w:lang w:val="es-ES"/>
        </w:rPr>
        <w:t xml:space="preserve"> sentencia</w:t>
      </w:r>
      <w:r w:rsidRPr="004571E5">
        <w:rPr>
          <w:rFonts w:ascii="Times New Roman" w:hAnsi="Times New Roman" w:cs="Times New Roman"/>
          <w:sz w:val="28"/>
          <w:szCs w:val="28"/>
          <w:lang w:val="es-ES"/>
        </w:rPr>
        <w:t xml:space="preserve"> (</w:t>
      </w:r>
      <w:r w:rsidR="0037274D" w:rsidRPr="004571E5">
        <w:rPr>
          <w:rFonts w:ascii="Times New Roman" w:hAnsi="Times New Roman" w:cs="Times New Roman"/>
          <w:sz w:val="28"/>
          <w:szCs w:val="28"/>
          <w:lang w:val="es-ES"/>
        </w:rPr>
        <w:t>i</w:t>
      </w:r>
      <w:r w:rsidRPr="004571E5">
        <w:rPr>
          <w:rFonts w:ascii="Times New Roman" w:hAnsi="Times New Roman" w:cs="Times New Roman"/>
          <w:sz w:val="28"/>
          <w:szCs w:val="28"/>
          <w:lang w:val="es-ES"/>
        </w:rPr>
        <w:t>)</w:t>
      </w:r>
      <w:r w:rsidR="00D92948" w:rsidRPr="004571E5">
        <w:rPr>
          <w:rFonts w:ascii="Times New Roman" w:hAnsi="Times New Roman" w:cs="Times New Roman"/>
          <w:sz w:val="28"/>
          <w:szCs w:val="28"/>
          <w:lang w:val="es-ES"/>
        </w:rPr>
        <w:t xml:space="preserve"> referirá brevemente</w:t>
      </w:r>
      <w:r w:rsidR="00DF76EC" w:rsidRPr="004571E5">
        <w:rPr>
          <w:rFonts w:ascii="Times New Roman" w:hAnsi="Times New Roman" w:cs="Times New Roman"/>
          <w:sz w:val="28"/>
          <w:szCs w:val="28"/>
          <w:lang w:val="es-ES"/>
        </w:rPr>
        <w:t xml:space="preserve"> su doctrina sobre </w:t>
      </w:r>
      <w:r w:rsidRPr="004571E5">
        <w:rPr>
          <w:rFonts w:ascii="Times New Roman" w:hAnsi="Times New Roman" w:cs="Times New Roman"/>
          <w:sz w:val="28"/>
          <w:szCs w:val="28"/>
          <w:lang w:val="es-ES"/>
        </w:rPr>
        <w:t>la acción de tutela contra providencias judiciales</w:t>
      </w:r>
      <w:r w:rsidR="00DF76EC" w:rsidRPr="004571E5">
        <w:rPr>
          <w:rFonts w:ascii="Times New Roman" w:hAnsi="Times New Roman" w:cs="Times New Roman"/>
          <w:sz w:val="28"/>
          <w:szCs w:val="28"/>
          <w:lang w:val="es-ES"/>
        </w:rPr>
        <w:t xml:space="preserve">, refiriendo de manera particular, el alcance del </w:t>
      </w:r>
      <w:r w:rsidR="006C319B" w:rsidRPr="004571E5">
        <w:rPr>
          <w:rFonts w:ascii="Times New Roman" w:hAnsi="Times New Roman" w:cs="Times New Roman"/>
          <w:sz w:val="28"/>
          <w:szCs w:val="28"/>
          <w:lang w:val="es-ES"/>
        </w:rPr>
        <w:t xml:space="preserve">defecto fáctico y </w:t>
      </w:r>
      <w:r w:rsidR="00DF76EC" w:rsidRPr="004571E5">
        <w:rPr>
          <w:rFonts w:ascii="Times New Roman" w:hAnsi="Times New Roman" w:cs="Times New Roman"/>
          <w:sz w:val="28"/>
          <w:szCs w:val="28"/>
          <w:lang w:val="es-ES"/>
        </w:rPr>
        <w:t>el</w:t>
      </w:r>
      <w:r w:rsidR="006C319B" w:rsidRPr="004571E5">
        <w:rPr>
          <w:rFonts w:ascii="Times New Roman" w:hAnsi="Times New Roman" w:cs="Times New Roman"/>
          <w:sz w:val="28"/>
          <w:szCs w:val="28"/>
          <w:lang w:val="es-ES"/>
        </w:rPr>
        <w:t xml:space="preserve"> desconocimiento del precedente</w:t>
      </w:r>
      <w:r w:rsidR="00A10928" w:rsidRPr="004571E5">
        <w:rPr>
          <w:rFonts w:ascii="Times New Roman" w:hAnsi="Times New Roman" w:cs="Times New Roman"/>
          <w:sz w:val="28"/>
          <w:szCs w:val="28"/>
          <w:lang w:val="es-ES"/>
        </w:rPr>
        <w:t>.</w:t>
      </w:r>
      <w:r w:rsidR="0051057F" w:rsidRPr="004571E5">
        <w:rPr>
          <w:rFonts w:ascii="Times New Roman" w:hAnsi="Times New Roman" w:cs="Times New Roman"/>
          <w:sz w:val="28"/>
          <w:szCs w:val="28"/>
          <w:lang w:val="es-ES"/>
        </w:rPr>
        <w:t xml:space="preserve"> Luego de ello</w:t>
      </w:r>
      <w:r w:rsidR="000E0557" w:rsidRPr="004571E5">
        <w:rPr>
          <w:rFonts w:ascii="Times New Roman" w:hAnsi="Times New Roman" w:cs="Times New Roman"/>
          <w:sz w:val="28"/>
          <w:szCs w:val="28"/>
          <w:lang w:val="es-ES"/>
        </w:rPr>
        <w:t>,</w:t>
      </w:r>
      <w:r w:rsidR="0051057F" w:rsidRPr="004571E5">
        <w:rPr>
          <w:rFonts w:ascii="Times New Roman" w:hAnsi="Times New Roman" w:cs="Times New Roman"/>
          <w:sz w:val="28"/>
          <w:szCs w:val="28"/>
          <w:lang w:val="es-ES"/>
        </w:rPr>
        <w:t xml:space="preserve"> la Sala</w:t>
      </w:r>
      <w:r w:rsidRPr="004571E5">
        <w:rPr>
          <w:rFonts w:ascii="Times New Roman" w:hAnsi="Times New Roman" w:cs="Times New Roman"/>
          <w:sz w:val="28"/>
          <w:szCs w:val="28"/>
          <w:lang w:val="es-ES"/>
        </w:rPr>
        <w:t xml:space="preserve"> (</w:t>
      </w:r>
      <w:proofErr w:type="spellStart"/>
      <w:r w:rsidR="0037274D" w:rsidRPr="004571E5">
        <w:rPr>
          <w:rFonts w:ascii="Times New Roman" w:hAnsi="Times New Roman" w:cs="Times New Roman"/>
          <w:sz w:val="28"/>
          <w:szCs w:val="28"/>
          <w:lang w:val="es-ES"/>
        </w:rPr>
        <w:t>ii</w:t>
      </w:r>
      <w:proofErr w:type="spellEnd"/>
      <w:r w:rsidRPr="004571E5">
        <w:rPr>
          <w:rFonts w:ascii="Times New Roman" w:hAnsi="Times New Roman" w:cs="Times New Roman"/>
          <w:sz w:val="28"/>
          <w:szCs w:val="28"/>
          <w:lang w:val="es-ES"/>
        </w:rPr>
        <w:t>)</w:t>
      </w:r>
      <w:r w:rsidR="0051057F" w:rsidRPr="004571E5">
        <w:rPr>
          <w:rFonts w:ascii="Times New Roman" w:hAnsi="Times New Roman" w:cs="Times New Roman"/>
          <w:sz w:val="28"/>
          <w:szCs w:val="28"/>
          <w:lang w:val="es-ES"/>
        </w:rPr>
        <w:t xml:space="preserve"> examinará los </w:t>
      </w:r>
      <w:r w:rsidRPr="004571E5">
        <w:rPr>
          <w:rFonts w:ascii="Times New Roman" w:hAnsi="Times New Roman" w:cs="Times New Roman"/>
          <w:sz w:val="28"/>
          <w:szCs w:val="28"/>
          <w:lang w:val="es-ES"/>
        </w:rPr>
        <w:t>caso</w:t>
      </w:r>
      <w:r w:rsidR="0051057F" w:rsidRPr="004571E5">
        <w:rPr>
          <w:rFonts w:ascii="Times New Roman" w:hAnsi="Times New Roman" w:cs="Times New Roman"/>
          <w:sz w:val="28"/>
          <w:szCs w:val="28"/>
          <w:lang w:val="es-ES"/>
        </w:rPr>
        <w:t>s</w:t>
      </w:r>
      <w:r w:rsidRPr="004571E5">
        <w:rPr>
          <w:rFonts w:ascii="Times New Roman" w:hAnsi="Times New Roman" w:cs="Times New Roman"/>
          <w:sz w:val="28"/>
          <w:szCs w:val="28"/>
          <w:lang w:val="es-ES"/>
        </w:rPr>
        <w:t xml:space="preserve"> concreto</w:t>
      </w:r>
      <w:r w:rsidR="0051057F" w:rsidRPr="004571E5">
        <w:rPr>
          <w:rFonts w:ascii="Times New Roman" w:hAnsi="Times New Roman" w:cs="Times New Roman"/>
          <w:sz w:val="28"/>
          <w:szCs w:val="28"/>
          <w:lang w:val="es-ES"/>
        </w:rPr>
        <w:t>s</w:t>
      </w:r>
      <w:r w:rsidR="00A10928" w:rsidRPr="004571E5">
        <w:rPr>
          <w:rFonts w:ascii="Times New Roman" w:hAnsi="Times New Roman" w:cs="Times New Roman"/>
          <w:sz w:val="28"/>
          <w:szCs w:val="28"/>
          <w:lang w:val="es-ES"/>
        </w:rPr>
        <w:t xml:space="preserve"> y, para el efecto, identificará el alcance del precedente en materia de </w:t>
      </w:r>
      <w:r w:rsidR="007A0EDC" w:rsidRPr="004571E5">
        <w:rPr>
          <w:rFonts w:ascii="Times New Roman" w:hAnsi="Times New Roman" w:cs="Times New Roman"/>
          <w:sz w:val="28"/>
          <w:szCs w:val="28"/>
          <w:lang w:val="es-ES"/>
        </w:rPr>
        <w:t>valoración</w:t>
      </w:r>
      <w:r w:rsidR="00A10928" w:rsidRPr="004571E5">
        <w:rPr>
          <w:rFonts w:ascii="Times New Roman" w:hAnsi="Times New Roman" w:cs="Times New Roman"/>
          <w:sz w:val="28"/>
          <w:szCs w:val="28"/>
          <w:lang w:val="es-ES"/>
        </w:rPr>
        <w:t xml:space="preserve"> probatoria en casos de ejecuciones extrajudiciales y determinará si dicho precedente fue respetado.</w:t>
      </w:r>
    </w:p>
    <w:p w14:paraId="493431C7" w14:textId="77777777" w:rsidR="00E64819" w:rsidRPr="004571E5" w:rsidRDefault="00E64819" w:rsidP="00481F2E">
      <w:pPr>
        <w:pStyle w:val="Prrafodelista"/>
        <w:tabs>
          <w:tab w:val="left" w:pos="426"/>
        </w:tabs>
        <w:spacing w:after="0" w:line="240" w:lineRule="auto"/>
        <w:ind w:left="0"/>
        <w:jc w:val="both"/>
        <w:rPr>
          <w:rFonts w:ascii="Times New Roman" w:hAnsi="Times New Roman" w:cs="Times New Roman"/>
          <w:sz w:val="28"/>
          <w:szCs w:val="28"/>
          <w:lang w:val="es-ES"/>
        </w:rPr>
      </w:pPr>
    </w:p>
    <w:p w14:paraId="0F152A7E" w14:textId="720D0668" w:rsidR="001956E8" w:rsidRPr="004571E5" w:rsidRDefault="001956E8" w:rsidP="009408B1">
      <w:pPr>
        <w:pStyle w:val="Prrafodelista"/>
        <w:numPr>
          <w:ilvl w:val="0"/>
          <w:numId w:val="34"/>
        </w:numPr>
        <w:kinsoku w:val="0"/>
        <w:overflowPunct w:val="0"/>
        <w:autoSpaceDE w:val="0"/>
        <w:autoSpaceDN w:val="0"/>
        <w:adjustRightInd w:val="0"/>
        <w:spacing w:line="240" w:lineRule="auto"/>
        <w:ind w:left="0" w:right="49" w:firstLine="0"/>
        <w:jc w:val="both"/>
        <w:rPr>
          <w:rFonts w:ascii="Times New Roman" w:hAnsi="Times New Roman" w:cs="Times New Roman"/>
          <w:b/>
          <w:bCs/>
          <w:sz w:val="28"/>
          <w:szCs w:val="28"/>
        </w:rPr>
      </w:pPr>
      <w:r w:rsidRPr="004571E5">
        <w:rPr>
          <w:rFonts w:ascii="Times New Roman" w:hAnsi="Times New Roman" w:cs="Times New Roman"/>
          <w:b/>
          <w:bCs/>
          <w:sz w:val="28"/>
          <w:szCs w:val="28"/>
        </w:rPr>
        <w:t>La acción de tutela contra providencias judiciales</w:t>
      </w:r>
      <w:r w:rsidRPr="004571E5">
        <w:rPr>
          <w:vertAlign w:val="superscript"/>
        </w:rPr>
        <w:footnoteReference w:id="17"/>
      </w:r>
    </w:p>
    <w:p w14:paraId="78BBA7F5" w14:textId="77777777" w:rsidR="009408B1" w:rsidRPr="004571E5" w:rsidRDefault="009408B1" w:rsidP="001B30B3">
      <w:pPr>
        <w:pStyle w:val="Prrafodelista"/>
        <w:kinsoku w:val="0"/>
        <w:overflowPunct w:val="0"/>
        <w:autoSpaceDE w:val="0"/>
        <w:autoSpaceDN w:val="0"/>
        <w:adjustRightInd w:val="0"/>
        <w:spacing w:line="240" w:lineRule="auto"/>
        <w:ind w:left="0" w:right="49"/>
        <w:jc w:val="both"/>
        <w:rPr>
          <w:rFonts w:ascii="Times New Roman" w:hAnsi="Times New Roman" w:cs="Times New Roman"/>
          <w:b/>
          <w:bCs/>
          <w:sz w:val="28"/>
          <w:szCs w:val="28"/>
        </w:rPr>
      </w:pPr>
    </w:p>
    <w:p w14:paraId="70BFBABA" w14:textId="2D029BD9" w:rsidR="001956E8" w:rsidRPr="004571E5" w:rsidRDefault="001956E8" w:rsidP="00481F2E">
      <w:pPr>
        <w:pStyle w:val="Prrafodelista"/>
        <w:numPr>
          <w:ilvl w:val="0"/>
          <w:numId w:val="1"/>
        </w:numPr>
        <w:kinsoku w:val="0"/>
        <w:overflowPunct w:val="0"/>
        <w:autoSpaceDE w:val="0"/>
        <w:autoSpaceDN w:val="0"/>
        <w:adjustRightInd w:val="0"/>
        <w:spacing w:after="0" w:line="240" w:lineRule="auto"/>
        <w:ind w:right="49"/>
        <w:jc w:val="both"/>
        <w:rPr>
          <w:rFonts w:ascii="Times New Roman" w:hAnsi="Times New Roman" w:cs="Times New Roman"/>
          <w:sz w:val="28"/>
          <w:szCs w:val="28"/>
        </w:rPr>
      </w:pPr>
      <w:r w:rsidRPr="004571E5">
        <w:rPr>
          <w:rFonts w:ascii="Times New Roman" w:hAnsi="Times New Roman" w:cs="Times New Roman"/>
          <w:sz w:val="28"/>
          <w:szCs w:val="28"/>
        </w:rPr>
        <w:t>En la Sentencia C-590 de 2005, la Corte estableció los requisitos generales y las causales específicas de procedencia de la acción de tutela contra providencias judiciales.</w:t>
      </w:r>
      <w:r w:rsidR="004F2113" w:rsidRPr="004571E5">
        <w:rPr>
          <w:rFonts w:ascii="Times New Roman" w:hAnsi="Times New Roman" w:cs="Times New Roman"/>
          <w:sz w:val="28"/>
          <w:szCs w:val="28"/>
        </w:rPr>
        <w:t xml:space="preserve"> </w:t>
      </w:r>
      <w:r w:rsidRPr="004571E5">
        <w:rPr>
          <w:rFonts w:ascii="Times New Roman" w:hAnsi="Times New Roman" w:cs="Times New Roman"/>
          <w:sz w:val="28"/>
          <w:szCs w:val="28"/>
        </w:rPr>
        <w:t>Los requisitos generales de procedencia exigen verificar (i) la legitimación en la causa por activa y por pasiva; (</w:t>
      </w:r>
      <w:proofErr w:type="spellStart"/>
      <w:r w:rsidRPr="004571E5">
        <w:rPr>
          <w:rFonts w:ascii="Times New Roman" w:hAnsi="Times New Roman" w:cs="Times New Roman"/>
          <w:sz w:val="28"/>
          <w:szCs w:val="28"/>
        </w:rPr>
        <w:t>ii</w:t>
      </w:r>
      <w:proofErr w:type="spellEnd"/>
      <w:r w:rsidRPr="004571E5">
        <w:rPr>
          <w:rFonts w:ascii="Times New Roman" w:hAnsi="Times New Roman" w:cs="Times New Roman"/>
          <w:sz w:val="28"/>
          <w:szCs w:val="28"/>
        </w:rPr>
        <w:t>) que la cuestión sea de relevancia constitucional; (</w:t>
      </w:r>
      <w:proofErr w:type="spellStart"/>
      <w:r w:rsidRPr="004571E5">
        <w:rPr>
          <w:rFonts w:ascii="Times New Roman" w:hAnsi="Times New Roman" w:cs="Times New Roman"/>
          <w:sz w:val="28"/>
          <w:szCs w:val="28"/>
        </w:rPr>
        <w:t>iii</w:t>
      </w:r>
      <w:proofErr w:type="spellEnd"/>
      <w:r w:rsidRPr="004571E5">
        <w:rPr>
          <w:rFonts w:ascii="Times New Roman" w:hAnsi="Times New Roman" w:cs="Times New Roman"/>
          <w:sz w:val="28"/>
          <w:szCs w:val="28"/>
        </w:rPr>
        <w:t>) que se hayan agotado todos los medios de defensa judicial al alcance del peticionario; (</w:t>
      </w:r>
      <w:proofErr w:type="spellStart"/>
      <w:r w:rsidRPr="004571E5">
        <w:rPr>
          <w:rFonts w:ascii="Times New Roman" w:hAnsi="Times New Roman" w:cs="Times New Roman"/>
          <w:sz w:val="28"/>
          <w:szCs w:val="28"/>
        </w:rPr>
        <w:t>iv</w:t>
      </w:r>
      <w:proofErr w:type="spellEnd"/>
      <w:r w:rsidRPr="004571E5">
        <w:rPr>
          <w:rFonts w:ascii="Times New Roman" w:hAnsi="Times New Roman" w:cs="Times New Roman"/>
          <w:sz w:val="28"/>
          <w:szCs w:val="28"/>
        </w:rPr>
        <w:t>) que se cumpla el principio de inmediatez; (v) que si se trata de una irregularidad procesal la misma sea decisiva en el proceso; (vi) que se identifiquen de manera razonable los hechos que generaron la vulneración de los derechos fundamentales; y (</w:t>
      </w:r>
      <w:proofErr w:type="spellStart"/>
      <w:r w:rsidRPr="004571E5">
        <w:rPr>
          <w:rFonts w:ascii="Times New Roman" w:hAnsi="Times New Roman" w:cs="Times New Roman"/>
          <w:sz w:val="28"/>
          <w:szCs w:val="28"/>
        </w:rPr>
        <w:t>vii</w:t>
      </w:r>
      <w:proofErr w:type="spellEnd"/>
      <w:r w:rsidRPr="004571E5">
        <w:rPr>
          <w:rFonts w:ascii="Times New Roman" w:hAnsi="Times New Roman" w:cs="Times New Roman"/>
          <w:sz w:val="28"/>
          <w:szCs w:val="28"/>
        </w:rPr>
        <w:t>) que no se cuestione una sentencia de tutela, de control abstracto de constitucionalidad</w:t>
      </w:r>
      <w:r w:rsidR="00F73A3A" w:rsidRPr="004571E5">
        <w:rPr>
          <w:rFonts w:ascii="Times New Roman" w:hAnsi="Times New Roman" w:cs="Times New Roman"/>
          <w:sz w:val="28"/>
          <w:szCs w:val="28"/>
        </w:rPr>
        <w:t>;</w:t>
      </w:r>
      <w:r w:rsidRPr="004571E5">
        <w:rPr>
          <w:rFonts w:ascii="Times New Roman" w:hAnsi="Times New Roman" w:cs="Times New Roman"/>
          <w:sz w:val="28"/>
          <w:szCs w:val="28"/>
        </w:rPr>
        <w:t xml:space="preserve"> una sentencia del Consejo de Estado </w:t>
      </w:r>
      <w:r w:rsidR="0051057F" w:rsidRPr="004571E5">
        <w:rPr>
          <w:rFonts w:ascii="Times New Roman" w:hAnsi="Times New Roman" w:cs="Times New Roman"/>
          <w:sz w:val="28"/>
          <w:szCs w:val="28"/>
        </w:rPr>
        <w:t xml:space="preserve">adoptada en el curso de un proceso </w:t>
      </w:r>
      <w:r w:rsidRPr="004571E5">
        <w:rPr>
          <w:rFonts w:ascii="Times New Roman" w:hAnsi="Times New Roman" w:cs="Times New Roman"/>
          <w:sz w:val="28"/>
          <w:szCs w:val="28"/>
        </w:rPr>
        <w:t>de nulidad por inconstitucionalidad</w:t>
      </w:r>
      <w:r w:rsidRPr="004571E5">
        <w:rPr>
          <w:rFonts w:ascii="Times New Roman" w:hAnsi="Times New Roman" w:cs="Times New Roman"/>
          <w:vertAlign w:val="superscript"/>
        </w:rPr>
        <w:footnoteReference w:id="18"/>
      </w:r>
      <w:r w:rsidR="00F73A3A" w:rsidRPr="004571E5">
        <w:rPr>
          <w:rFonts w:ascii="Times New Roman" w:hAnsi="Times New Roman" w:cs="Times New Roman"/>
          <w:sz w:val="28"/>
          <w:szCs w:val="28"/>
        </w:rPr>
        <w:t xml:space="preserve"> o sentencias interpretativas proferidas por la Sección de Apelación del Tribunal Especial para la Paz</w:t>
      </w:r>
      <w:r w:rsidR="00F73A3A" w:rsidRPr="004571E5">
        <w:rPr>
          <w:rStyle w:val="Refdenotaalpie"/>
          <w:rFonts w:ascii="Times New Roman" w:hAnsi="Times New Roman" w:cs="Times New Roman"/>
          <w:sz w:val="28"/>
          <w:szCs w:val="28"/>
        </w:rPr>
        <w:footnoteReference w:id="19"/>
      </w:r>
      <w:r w:rsidRPr="004571E5">
        <w:rPr>
          <w:rFonts w:ascii="Times New Roman" w:hAnsi="Times New Roman" w:cs="Times New Roman"/>
          <w:sz w:val="28"/>
          <w:szCs w:val="28"/>
        </w:rPr>
        <w:t>.</w:t>
      </w:r>
    </w:p>
    <w:p w14:paraId="55CF5C88" w14:textId="77777777" w:rsidR="0063131E" w:rsidRPr="004571E5" w:rsidRDefault="0063131E" w:rsidP="00481F2E">
      <w:pPr>
        <w:kinsoku w:val="0"/>
        <w:overflowPunct w:val="0"/>
        <w:autoSpaceDE w:val="0"/>
        <w:autoSpaceDN w:val="0"/>
        <w:adjustRightInd w:val="0"/>
        <w:spacing w:after="0" w:line="240" w:lineRule="auto"/>
        <w:ind w:right="49"/>
        <w:jc w:val="both"/>
        <w:rPr>
          <w:rFonts w:ascii="Times New Roman" w:hAnsi="Times New Roman" w:cs="Times New Roman"/>
          <w:sz w:val="28"/>
          <w:szCs w:val="28"/>
        </w:rPr>
      </w:pPr>
    </w:p>
    <w:p w14:paraId="01A9B117" w14:textId="4FCBD269" w:rsidR="001956E8" w:rsidRPr="004571E5" w:rsidRDefault="009408B1" w:rsidP="00481F2E">
      <w:pPr>
        <w:numPr>
          <w:ilvl w:val="0"/>
          <w:numId w:val="1"/>
        </w:numPr>
        <w:kinsoku w:val="0"/>
        <w:overflowPunct w:val="0"/>
        <w:autoSpaceDE w:val="0"/>
        <w:autoSpaceDN w:val="0"/>
        <w:adjustRightInd w:val="0"/>
        <w:spacing w:after="0" w:line="240" w:lineRule="auto"/>
        <w:ind w:right="49"/>
        <w:jc w:val="both"/>
        <w:rPr>
          <w:rFonts w:ascii="Times New Roman" w:hAnsi="Times New Roman" w:cs="Times New Roman"/>
          <w:sz w:val="28"/>
          <w:szCs w:val="28"/>
        </w:rPr>
      </w:pPr>
      <w:r w:rsidRPr="004571E5">
        <w:rPr>
          <w:rFonts w:ascii="Times New Roman" w:hAnsi="Times New Roman" w:cs="Times New Roman"/>
          <w:sz w:val="28"/>
          <w:szCs w:val="28"/>
        </w:rPr>
        <w:t xml:space="preserve">Entre las causales específicas de procedencia la Corte ha identificado el defecto fáctico y la violación del precedente, invocados en las acciones de tutela que originaron los fallos que ahora revisa la Corte. A continuación, con apoyo en su jurisprudencia consolidada, la Corte se referirá a cada uno de estos supuestos de procedencia, identificando sus principales formas de configuración.  </w:t>
      </w:r>
    </w:p>
    <w:p w14:paraId="00EA220D" w14:textId="77777777" w:rsidR="000B0001" w:rsidRPr="004571E5" w:rsidRDefault="000B0001" w:rsidP="009638CA">
      <w:pPr>
        <w:kinsoku w:val="0"/>
        <w:overflowPunct w:val="0"/>
        <w:autoSpaceDE w:val="0"/>
        <w:autoSpaceDN w:val="0"/>
        <w:adjustRightInd w:val="0"/>
        <w:spacing w:after="0" w:line="240" w:lineRule="auto"/>
        <w:ind w:right="51"/>
        <w:jc w:val="both"/>
        <w:rPr>
          <w:rFonts w:ascii="Times New Roman" w:hAnsi="Times New Roman" w:cs="Times New Roman"/>
          <w:sz w:val="28"/>
          <w:szCs w:val="28"/>
        </w:rPr>
      </w:pPr>
    </w:p>
    <w:p w14:paraId="385C2276" w14:textId="0C70EC85" w:rsidR="009408B1" w:rsidRPr="004571E5" w:rsidRDefault="009408B1" w:rsidP="00A10928">
      <w:pPr>
        <w:pStyle w:val="Prrafodelista"/>
        <w:numPr>
          <w:ilvl w:val="1"/>
          <w:numId w:val="34"/>
        </w:numPr>
        <w:kinsoku w:val="0"/>
        <w:overflowPunct w:val="0"/>
        <w:autoSpaceDE w:val="0"/>
        <w:autoSpaceDN w:val="0"/>
        <w:adjustRightInd w:val="0"/>
        <w:spacing w:after="0" w:line="240" w:lineRule="auto"/>
        <w:ind w:left="0" w:right="51" w:firstLine="0"/>
        <w:jc w:val="both"/>
        <w:rPr>
          <w:rFonts w:ascii="Times New Roman" w:hAnsi="Times New Roman" w:cs="Times New Roman"/>
          <w:b/>
          <w:sz w:val="28"/>
          <w:szCs w:val="28"/>
        </w:rPr>
      </w:pPr>
      <w:r w:rsidRPr="004571E5">
        <w:rPr>
          <w:rFonts w:ascii="Times New Roman" w:hAnsi="Times New Roman" w:cs="Times New Roman"/>
          <w:b/>
          <w:sz w:val="28"/>
          <w:szCs w:val="28"/>
        </w:rPr>
        <w:t>El defecto fáctico</w:t>
      </w:r>
      <w:r w:rsidR="005438D0" w:rsidRPr="004571E5">
        <w:rPr>
          <w:rFonts w:ascii="Times New Roman" w:hAnsi="Times New Roman" w:cs="Times New Roman"/>
          <w:vertAlign w:val="superscript"/>
        </w:rPr>
        <w:footnoteReference w:id="20"/>
      </w:r>
    </w:p>
    <w:p w14:paraId="632E5878" w14:textId="77777777" w:rsidR="00A10928" w:rsidRPr="004571E5" w:rsidRDefault="00A10928" w:rsidP="009638CA">
      <w:pPr>
        <w:pStyle w:val="Prrafodelista"/>
        <w:kinsoku w:val="0"/>
        <w:overflowPunct w:val="0"/>
        <w:autoSpaceDE w:val="0"/>
        <w:autoSpaceDN w:val="0"/>
        <w:adjustRightInd w:val="0"/>
        <w:spacing w:after="0" w:line="240" w:lineRule="auto"/>
        <w:ind w:left="0" w:right="51"/>
        <w:jc w:val="both"/>
        <w:rPr>
          <w:rFonts w:ascii="Times New Roman" w:hAnsi="Times New Roman" w:cs="Times New Roman"/>
          <w:b/>
          <w:sz w:val="28"/>
          <w:szCs w:val="28"/>
        </w:rPr>
      </w:pPr>
    </w:p>
    <w:p w14:paraId="5F71AD0F" w14:textId="02F1AFAE" w:rsidR="009408B1" w:rsidRPr="004571E5" w:rsidRDefault="009408B1" w:rsidP="009638CA">
      <w:pPr>
        <w:numPr>
          <w:ilvl w:val="0"/>
          <w:numId w:val="1"/>
        </w:numPr>
        <w:kinsoku w:val="0"/>
        <w:overflowPunct w:val="0"/>
        <w:autoSpaceDE w:val="0"/>
        <w:autoSpaceDN w:val="0"/>
        <w:adjustRightInd w:val="0"/>
        <w:spacing w:after="0" w:line="240" w:lineRule="auto"/>
        <w:ind w:right="51"/>
        <w:jc w:val="both"/>
        <w:rPr>
          <w:rFonts w:ascii="Times New Roman" w:hAnsi="Times New Roman" w:cs="Times New Roman"/>
          <w:sz w:val="28"/>
          <w:szCs w:val="28"/>
        </w:rPr>
      </w:pPr>
      <w:r w:rsidRPr="004571E5">
        <w:rPr>
          <w:rFonts w:ascii="Times New Roman" w:hAnsi="Times New Roman" w:cs="Times New Roman"/>
          <w:sz w:val="28"/>
          <w:szCs w:val="28"/>
        </w:rPr>
        <w:t xml:space="preserve">La Corte ha reconocido que las autoridades judiciales disponen de un amplio margen de acción para valorar las pruebas recaudadas en el curso de los procesos. </w:t>
      </w:r>
      <w:r w:rsidR="005438D0" w:rsidRPr="004571E5">
        <w:rPr>
          <w:rFonts w:ascii="Times New Roman" w:hAnsi="Times New Roman" w:cs="Times New Roman"/>
          <w:sz w:val="28"/>
          <w:szCs w:val="28"/>
        </w:rPr>
        <w:t xml:space="preserve">A pesar de que a dicho margen se anuda una competencia extendida con ese propósito, </w:t>
      </w:r>
      <w:r w:rsidRPr="004571E5">
        <w:rPr>
          <w:rFonts w:ascii="Times New Roman" w:hAnsi="Times New Roman" w:cs="Times New Roman"/>
          <w:sz w:val="28"/>
          <w:szCs w:val="28"/>
        </w:rPr>
        <w:t>esta no es absoluta y debe estar “inspirada en la sana crítica; atender a los criterios de objetividad, racionalidad, legalidad y</w:t>
      </w:r>
      <w:r w:rsidRPr="004571E5">
        <w:rPr>
          <w:rFonts w:ascii="Times New Roman" w:hAnsi="Times New Roman" w:cs="Times New Roman"/>
          <w:sz w:val="28"/>
          <w:szCs w:val="28"/>
          <w:lang w:val="es-ES"/>
        </w:rPr>
        <w:t xml:space="preserve"> </w:t>
      </w:r>
      <w:r w:rsidRPr="004571E5">
        <w:rPr>
          <w:rFonts w:ascii="Times New Roman" w:hAnsi="Times New Roman" w:cs="Times New Roman"/>
          <w:sz w:val="28"/>
          <w:szCs w:val="28"/>
        </w:rPr>
        <w:t>motivación; y respetar la Constitución y la ley”</w:t>
      </w:r>
      <w:r w:rsidRPr="004571E5">
        <w:rPr>
          <w:rStyle w:val="Refdenotaalpie"/>
          <w:rFonts w:ascii="Times New Roman" w:hAnsi="Times New Roman" w:cs="Times New Roman"/>
          <w:sz w:val="28"/>
          <w:szCs w:val="28"/>
        </w:rPr>
        <w:footnoteReference w:id="21"/>
      </w:r>
      <w:r w:rsidRPr="004571E5">
        <w:rPr>
          <w:rFonts w:ascii="Times New Roman" w:hAnsi="Times New Roman" w:cs="Times New Roman"/>
          <w:sz w:val="28"/>
          <w:szCs w:val="28"/>
        </w:rPr>
        <w:t>.</w:t>
      </w:r>
    </w:p>
    <w:p w14:paraId="0CED6202" w14:textId="77777777" w:rsidR="005438D0" w:rsidRPr="004571E5" w:rsidRDefault="005438D0" w:rsidP="000E0557">
      <w:pPr>
        <w:kinsoku w:val="0"/>
        <w:overflowPunct w:val="0"/>
        <w:autoSpaceDE w:val="0"/>
        <w:autoSpaceDN w:val="0"/>
        <w:adjustRightInd w:val="0"/>
        <w:spacing w:after="0" w:line="240" w:lineRule="auto"/>
        <w:ind w:right="49"/>
        <w:jc w:val="both"/>
        <w:rPr>
          <w:rFonts w:ascii="Times New Roman" w:hAnsi="Times New Roman" w:cs="Times New Roman"/>
          <w:sz w:val="28"/>
          <w:szCs w:val="28"/>
        </w:rPr>
      </w:pPr>
    </w:p>
    <w:p w14:paraId="044A62BB" w14:textId="37A1AF54" w:rsidR="009408B1" w:rsidRPr="004571E5" w:rsidRDefault="005438D0" w:rsidP="009408B1">
      <w:pPr>
        <w:numPr>
          <w:ilvl w:val="0"/>
          <w:numId w:val="1"/>
        </w:numPr>
        <w:kinsoku w:val="0"/>
        <w:overflowPunct w:val="0"/>
        <w:autoSpaceDE w:val="0"/>
        <w:autoSpaceDN w:val="0"/>
        <w:adjustRightInd w:val="0"/>
        <w:spacing w:after="0" w:line="240" w:lineRule="auto"/>
        <w:ind w:right="49"/>
        <w:jc w:val="both"/>
        <w:rPr>
          <w:rFonts w:ascii="Times New Roman" w:hAnsi="Times New Roman" w:cs="Times New Roman"/>
          <w:sz w:val="28"/>
          <w:szCs w:val="28"/>
        </w:rPr>
      </w:pPr>
      <w:r w:rsidRPr="004571E5">
        <w:rPr>
          <w:rFonts w:ascii="Times New Roman" w:hAnsi="Times New Roman" w:cs="Times New Roman"/>
          <w:sz w:val="28"/>
          <w:szCs w:val="28"/>
        </w:rPr>
        <w:t xml:space="preserve">Bajo esa perspectiva la Corte ha señalado que el defecto fáctico se </w:t>
      </w:r>
      <w:r w:rsidR="009408B1" w:rsidRPr="004571E5">
        <w:rPr>
          <w:rFonts w:ascii="Times New Roman" w:hAnsi="Times New Roman" w:cs="Times New Roman"/>
          <w:sz w:val="28"/>
          <w:szCs w:val="28"/>
        </w:rPr>
        <w:t xml:space="preserve">configura </w:t>
      </w:r>
      <w:r w:rsidRPr="004571E5">
        <w:rPr>
          <w:rFonts w:ascii="Times New Roman" w:hAnsi="Times New Roman" w:cs="Times New Roman"/>
          <w:sz w:val="28"/>
          <w:szCs w:val="28"/>
        </w:rPr>
        <w:t xml:space="preserve">cuando, </w:t>
      </w:r>
      <w:r w:rsidR="009408B1" w:rsidRPr="004571E5">
        <w:rPr>
          <w:rFonts w:ascii="Times New Roman" w:hAnsi="Times New Roman" w:cs="Times New Roman"/>
          <w:sz w:val="28"/>
          <w:szCs w:val="28"/>
        </w:rPr>
        <w:t>a partir de una indebida valoración probatoria</w:t>
      </w:r>
      <w:r w:rsidRPr="004571E5">
        <w:rPr>
          <w:rFonts w:ascii="Times New Roman" w:hAnsi="Times New Roman" w:cs="Times New Roman"/>
          <w:sz w:val="28"/>
          <w:szCs w:val="28"/>
        </w:rPr>
        <w:t>,</w:t>
      </w:r>
      <w:r w:rsidR="009408B1" w:rsidRPr="004571E5">
        <w:rPr>
          <w:rFonts w:ascii="Times New Roman" w:hAnsi="Times New Roman" w:cs="Times New Roman"/>
          <w:sz w:val="28"/>
          <w:szCs w:val="28"/>
        </w:rPr>
        <w:t xml:space="preserve"> se genera una interpretación errónea de los hechos </w:t>
      </w:r>
      <w:r w:rsidRPr="004571E5">
        <w:rPr>
          <w:rFonts w:ascii="Times New Roman" w:hAnsi="Times New Roman" w:cs="Times New Roman"/>
          <w:sz w:val="28"/>
          <w:szCs w:val="28"/>
        </w:rPr>
        <w:t xml:space="preserve">en los que se fundan las pretensiones o excepciones planteadas en el curso de </w:t>
      </w:r>
      <w:r w:rsidR="009408B1" w:rsidRPr="004571E5">
        <w:rPr>
          <w:rFonts w:ascii="Times New Roman" w:hAnsi="Times New Roman" w:cs="Times New Roman"/>
          <w:sz w:val="28"/>
          <w:szCs w:val="28"/>
        </w:rPr>
        <w:t>un proceso</w:t>
      </w:r>
      <w:r w:rsidR="009408B1" w:rsidRPr="004571E5">
        <w:rPr>
          <w:rStyle w:val="Refdenotaalpie"/>
          <w:rFonts w:ascii="Times New Roman" w:hAnsi="Times New Roman" w:cs="Times New Roman"/>
          <w:sz w:val="28"/>
          <w:szCs w:val="28"/>
        </w:rPr>
        <w:footnoteReference w:id="22"/>
      </w:r>
      <w:r w:rsidR="009408B1" w:rsidRPr="004571E5">
        <w:rPr>
          <w:rFonts w:ascii="Times New Roman" w:hAnsi="Times New Roman" w:cs="Times New Roman"/>
          <w:sz w:val="28"/>
          <w:szCs w:val="28"/>
        </w:rPr>
        <w:t xml:space="preserve"> y cuando el juez “carece del apoyo probatorio que permita la aplicación del supuesto legal en el que se sustenta la decisión”</w:t>
      </w:r>
      <w:r w:rsidR="009408B1" w:rsidRPr="004571E5">
        <w:rPr>
          <w:rFonts w:ascii="Times New Roman" w:hAnsi="Times New Roman" w:cs="Times New Roman"/>
          <w:sz w:val="28"/>
          <w:szCs w:val="28"/>
          <w:vertAlign w:val="superscript"/>
        </w:rPr>
        <w:footnoteReference w:id="23"/>
      </w:r>
      <w:r w:rsidR="009408B1" w:rsidRPr="004571E5">
        <w:rPr>
          <w:rFonts w:ascii="Times New Roman" w:hAnsi="Times New Roman" w:cs="Times New Roman"/>
          <w:sz w:val="28"/>
          <w:szCs w:val="28"/>
        </w:rPr>
        <w:t xml:space="preserve">. Para evidenciar este error es necesario que sea ostensible, flagrante, manifiesto y determinante en la decisión adoptada. </w:t>
      </w:r>
    </w:p>
    <w:p w14:paraId="50CFF99D" w14:textId="77777777" w:rsidR="005438D0" w:rsidRPr="004571E5" w:rsidRDefault="005438D0" w:rsidP="000E0557">
      <w:pPr>
        <w:kinsoku w:val="0"/>
        <w:overflowPunct w:val="0"/>
        <w:autoSpaceDE w:val="0"/>
        <w:autoSpaceDN w:val="0"/>
        <w:adjustRightInd w:val="0"/>
        <w:spacing w:after="0" w:line="240" w:lineRule="auto"/>
        <w:ind w:right="49"/>
        <w:jc w:val="both"/>
        <w:rPr>
          <w:rFonts w:ascii="Times New Roman" w:hAnsi="Times New Roman" w:cs="Times New Roman"/>
          <w:sz w:val="28"/>
          <w:szCs w:val="28"/>
        </w:rPr>
      </w:pPr>
    </w:p>
    <w:p w14:paraId="6524C08F" w14:textId="2EDC26E7" w:rsidR="000B0001" w:rsidRPr="004571E5" w:rsidRDefault="009408B1" w:rsidP="000B0001">
      <w:pPr>
        <w:numPr>
          <w:ilvl w:val="0"/>
          <w:numId w:val="1"/>
        </w:numPr>
        <w:kinsoku w:val="0"/>
        <w:overflowPunct w:val="0"/>
        <w:autoSpaceDE w:val="0"/>
        <w:autoSpaceDN w:val="0"/>
        <w:adjustRightInd w:val="0"/>
        <w:spacing w:after="0" w:line="240" w:lineRule="auto"/>
        <w:ind w:right="49"/>
        <w:jc w:val="both"/>
        <w:rPr>
          <w:rFonts w:ascii="Times New Roman" w:hAnsi="Times New Roman" w:cs="Times New Roman"/>
          <w:sz w:val="28"/>
          <w:szCs w:val="28"/>
        </w:rPr>
      </w:pPr>
      <w:r w:rsidRPr="004571E5">
        <w:rPr>
          <w:rFonts w:ascii="Times New Roman" w:hAnsi="Times New Roman" w:cs="Times New Roman"/>
          <w:sz w:val="28"/>
          <w:szCs w:val="28"/>
        </w:rPr>
        <w:lastRenderedPageBreak/>
        <w:t>Este defecto tiene dos dimensiones: (i) una positiva que se configura cuando el funcionario judicial aprecia y da valor a elementos materiales probatorios </w:t>
      </w:r>
      <w:r w:rsidRPr="004571E5">
        <w:rPr>
          <w:rFonts w:ascii="Times New Roman" w:hAnsi="Times New Roman" w:cs="Times New Roman"/>
          <w:sz w:val="28"/>
          <w:szCs w:val="28"/>
          <w:lang w:val="es-ES"/>
        </w:rPr>
        <w:t>indebidamente recaudados o, efectúa una valoración por “completo equivocada”</w:t>
      </w:r>
      <w:r w:rsidRPr="004571E5">
        <w:rPr>
          <w:rFonts w:ascii="Times New Roman" w:hAnsi="Times New Roman" w:cs="Times New Roman"/>
          <w:i/>
          <w:iCs/>
          <w:sz w:val="28"/>
          <w:szCs w:val="28"/>
          <w:lang w:val="es-ES"/>
        </w:rPr>
        <w:t xml:space="preserve"> </w:t>
      </w:r>
      <w:r w:rsidRPr="004571E5">
        <w:rPr>
          <w:rFonts w:ascii="Times New Roman" w:hAnsi="Times New Roman" w:cs="Times New Roman"/>
          <w:sz w:val="28"/>
          <w:szCs w:val="28"/>
          <w:lang w:val="es-ES"/>
        </w:rPr>
        <w:t>y</w:t>
      </w:r>
      <w:r w:rsidRPr="004571E5">
        <w:rPr>
          <w:rFonts w:ascii="Times New Roman" w:hAnsi="Times New Roman" w:cs="Times New Roman"/>
          <w:i/>
          <w:iCs/>
          <w:sz w:val="28"/>
          <w:szCs w:val="28"/>
          <w:lang w:val="es-ES"/>
        </w:rPr>
        <w:t> </w:t>
      </w:r>
      <w:r w:rsidRPr="004571E5">
        <w:rPr>
          <w:rFonts w:ascii="Times New Roman" w:hAnsi="Times New Roman" w:cs="Times New Roman"/>
          <w:sz w:val="28"/>
          <w:szCs w:val="28"/>
          <w:lang w:val="es-ES"/>
        </w:rPr>
        <w:t>(</w:t>
      </w:r>
      <w:proofErr w:type="spellStart"/>
      <w:r w:rsidRPr="004571E5">
        <w:rPr>
          <w:rFonts w:ascii="Times New Roman" w:hAnsi="Times New Roman" w:cs="Times New Roman"/>
          <w:sz w:val="28"/>
          <w:szCs w:val="28"/>
          <w:lang w:val="es-ES"/>
        </w:rPr>
        <w:t>ii</w:t>
      </w:r>
      <w:proofErr w:type="spellEnd"/>
      <w:r w:rsidRPr="004571E5">
        <w:rPr>
          <w:rFonts w:ascii="Times New Roman" w:hAnsi="Times New Roman" w:cs="Times New Roman"/>
          <w:sz w:val="28"/>
          <w:szCs w:val="28"/>
          <w:lang w:val="es-ES"/>
        </w:rPr>
        <w:t>) una</w:t>
      </w:r>
      <w:r w:rsidRPr="004571E5">
        <w:rPr>
          <w:rFonts w:ascii="Times New Roman" w:hAnsi="Times New Roman" w:cs="Times New Roman"/>
          <w:sz w:val="28"/>
          <w:szCs w:val="28"/>
        </w:rPr>
        <w:t xml:space="preserve"> negativa que se presenta cuando el juez niega el decreto o la práctica de pruebas, las valora de manera </w:t>
      </w:r>
      <w:r w:rsidRPr="004571E5">
        <w:rPr>
          <w:rFonts w:ascii="Times New Roman" w:hAnsi="Times New Roman" w:cs="Times New Roman"/>
          <w:sz w:val="28"/>
          <w:szCs w:val="28"/>
          <w:lang w:val="es-ES"/>
        </w:rPr>
        <w:t>arbitraria, irracional o caprichosa u omite la valoración de elementos materiales.</w:t>
      </w:r>
    </w:p>
    <w:p w14:paraId="33FFB4E4" w14:textId="77777777" w:rsidR="000B0001" w:rsidRPr="004571E5" w:rsidRDefault="000B0001" w:rsidP="000B0001">
      <w:pPr>
        <w:kinsoku w:val="0"/>
        <w:overflowPunct w:val="0"/>
        <w:autoSpaceDE w:val="0"/>
        <w:autoSpaceDN w:val="0"/>
        <w:adjustRightInd w:val="0"/>
        <w:spacing w:after="0" w:line="240" w:lineRule="auto"/>
        <w:ind w:right="49"/>
        <w:jc w:val="both"/>
        <w:rPr>
          <w:rFonts w:ascii="Times New Roman" w:hAnsi="Times New Roman" w:cs="Times New Roman"/>
          <w:sz w:val="28"/>
          <w:szCs w:val="28"/>
        </w:rPr>
      </w:pPr>
    </w:p>
    <w:p w14:paraId="504A6273" w14:textId="651465B8" w:rsidR="0025717E" w:rsidRPr="004571E5" w:rsidRDefault="000B0001" w:rsidP="009638CA">
      <w:pPr>
        <w:pStyle w:val="Prrafodelista"/>
        <w:numPr>
          <w:ilvl w:val="0"/>
          <w:numId w:val="1"/>
        </w:numPr>
        <w:spacing w:after="0" w:line="240" w:lineRule="auto"/>
        <w:jc w:val="both"/>
        <w:rPr>
          <w:rFonts w:ascii="Times New Roman" w:hAnsi="Times New Roman" w:cs="Times New Roman"/>
          <w:sz w:val="28"/>
          <w:szCs w:val="28"/>
          <w:lang w:val="es-MX"/>
        </w:rPr>
      </w:pPr>
      <w:r w:rsidRPr="004571E5">
        <w:rPr>
          <w:rFonts w:ascii="Times New Roman" w:hAnsi="Times New Roman" w:cs="Times New Roman"/>
          <w:sz w:val="28"/>
          <w:szCs w:val="28"/>
          <w:lang w:val="es-MX"/>
        </w:rPr>
        <w:t>La Corte Constitucional ha indicado que el defecto fáctico se configura en los siguientes eventos: “(i) cuando el funcionario judicial, en contra de la evidencia probatoria, decide separarse por completo de los hechos debidamente probados y resolver a su arbitrio el asunto jurídico debatido; (</w:t>
      </w:r>
      <w:proofErr w:type="spellStart"/>
      <w:r w:rsidRPr="004571E5">
        <w:rPr>
          <w:rFonts w:ascii="Times New Roman" w:hAnsi="Times New Roman" w:cs="Times New Roman"/>
          <w:sz w:val="28"/>
          <w:szCs w:val="28"/>
          <w:lang w:val="es-MX"/>
        </w:rPr>
        <w:t>ii</w:t>
      </w:r>
      <w:proofErr w:type="spellEnd"/>
      <w:r w:rsidRPr="004571E5">
        <w:rPr>
          <w:rFonts w:ascii="Times New Roman" w:hAnsi="Times New Roman" w:cs="Times New Roman"/>
          <w:sz w:val="28"/>
          <w:szCs w:val="28"/>
          <w:lang w:val="es-MX"/>
        </w:rPr>
        <w:t>) cuando a pesar de existir pruebas ilícitas no se abstiene de excluirlas y con base en ellas fundamenta la decisión respectiva; (</w:t>
      </w:r>
      <w:proofErr w:type="spellStart"/>
      <w:r w:rsidRPr="004571E5">
        <w:rPr>
          <w:rFonts w:ascii="Times New Roman" w:hAnsi="Times New Roman" w:cs="Times New Roman"/>
          <w:sz w:val="28"/>
          <w:szCs w:val="28"/>
          <w:lang w:val="es-MX"/>
        </w:rPr>
        <w:t>iii</w:t>
      </w:r>
      <w:proofErr w:type="spellEnd"/>
      <w:r w:rsidRPr="004571E5">
        <w:rPr>
          <w:rFonts w:ascii="Times New Roman" w:hAnsi="Times New Roman" w:cs="Times New Roman"/>
          <w:sz w:val="28"/>
          <w:szCs w:val="28"/>
          <w:lang w:val="es-MX"/>
        </w:rPr>
        <w:t>) en la hipótesis de incongruencia entre lo probado y lo resuelto, esto es, cuando se adoptan decisiones en contravía de la evidencia probatoria y sin un apoyo fáctico claro; (</w:t>
      </w:r>
      <w:proofErr w:type="spellStart"/>
      <w:r w:rsidRPr="004571E5">
        <w:rPr>
          <w:rFonts w:ascii="Times New Roman" w:hAnsi="Times New Roman" w:cs="Times New Roman"/>
          <w:sz w:val="28"/>
          <w:szCs w:val="28"/>
          <w:lang w:val="es-MX"/>
        </w:rPr>
        <w:t>iv</w:t>
      </w:r>
      <w:proofErr w:type="spellEnd"/>
      <w:r w:rsidRPr="004571E5">
        <w:rPr>
          <w:rFonts w:ascii="Times New Roman" w:hAnsi="Times New Roman" w:cs="Times New Roman"/>
          <w:sz w:val="28"/>
          <w:szCs w:val="28"/>
          <w:lang w:val="es-MX"/>
        </w:rPr>
        <w:t>) cuando el funcionario judicial valora pruebas manifiestamente inconducentes respecto de los hechos y pretensiones debatidos en un proceso ordinario, no por tratarse en sentido estricto de pruebas viciadas de nulidad sino porque se trata de elementos probatorios que no guardaban relación con el asunto debatido en el proceso; y (v) cuando el juez de conocimiento da por probados hechos que no cuentan con soporte probatorio dentro del proceso”</w:t>
      </w:r>
      <w:r w:rsidRPr="004571E5">
        <w:rPr>
          <w:rStyle w:val="Refdenotaalpie"/>
          <w:rFonts w:ascii="Times New Roman" w:hAnsi="Times New Roman" w:cs="Times New Roman"/>
          <w:sz w:val="28"/>
          <w:szCs w:val="28"/>
          <w:lang w:val="es-MX"/>
        </w:rPr>
        <w:footnoteReference w:id="24"/>
      </w:r>
      <w:r w:rsidRPr="004571E5">
        <w:rPr>
          <w:rFonts w:ascii="Times New Roman" w:hAnsi="Times New Roman" w:cs="Times New Roman"/>
          <w:sz w:val="28"/>
          <w:szCs w:val="28"/>
          <w:lang w:val="es-MX"/>
        </w:rPr>
        <w:t>.</w:t>
      </w:r>
    </w:p>
    <w:p w14:paraId="3DFEF5C7" w14:textId="77777777" w:rsidR="000B0001" w:rsidRPr="004571E5" w:rsidRDefault="000B0001" w:rsidP="009638CA">
      <w:pPr>
        <w:pStyle w:val="Prrafodelista"/>
        <w:spacing w:after="0" w:line="240" w:lineRule="auto"/>
        <w:ind w:left="0"/>
        <w:jc w:val="both"/>
        <w:rPr>
          <w:rFonts w:ascii="Times New Roman" w:hAnsi="Times New Roman" w:cs="Times New Roman"/>
          <w:sz w:val="24"/>
          <w:szCs w:val="24"/>
          <w:lang w:val="es-MX"/>
        </w:rPr>
      </w:pPr>
    </w:p>
    <w:p w14:paraId="58471E75" w14:textId="13E66B89" w:rsidR="009408B1" w:rsidRPr="004571E5" w:rsidRDefault="005438D0" w:rsidP="009638CA">
      <w:pPr>
        <w:pStyle w:val="Prrafodelista"/>
        <w:numPr>
          <w:ilvl w:val="1"/>
          <w:numId w:val="34"/>
        </w:numPr>
        <w:kinsoku w:val="0"/>
        <w:overflowPunct w:val="0"/>
        <w:autoSpaceDE w:val="0"/>
        <w:autoSpaceDN w:val="0"/>
        <w:adjustRightInd w:val="0"/>
        <w:spacing w:after="0" w:line="240" w:lineRule="auto"/>
        <w:ind w:left="0" w:right="49" w:firstLine="0"/>
        <w:jc w:val="both"/>
        <w:rPr>
          <w:rFonts w:ascii="Times New Roman" w:hAnsi="Times New Roman" w:cs="Times New Roman"/>
          <w:b/>
          <w:sz w:val="28"/>
          <w:szCs w:val="28"/>
        </w:rPr>
      </w:pPr>
      <w:r w:rsidRPr="004571E5">
        <w:rPr>
          <w:rFonts w:ascii="Times New Roman" w:hAnsi="Times New Roman" w:cs="Times New Roman"/>
          <w:b/>
          <w:bCs/>
          <w:sz w:val="28"/>
          <w:szCs w:val="28"/>
        </w:rPr>
        <w:t>Desconocimiento del precedente</w:t>
      </w:r>
      <w:r w:rsidRPr="004571E5">
        <w:rPr>
          <w:rStyle w:val="Refdenotaalpie"/>
          <w:rFonts w:ascii="Times New Roman" w:hAnsi="Times New Roman" w:cs="Times New Roman"/>
          <w:b/>
          <w:bCs/>
          <w:sz w:val="28"/>
          <w:szCs w:val="28"/>
        </w:rPr>
        <w:footnoteReference w:id="25"/>
      </w:r>
    </w:p>
    <w:p w14:paraId="055929DB" w14:textId="77777777" w:rsidR="00A10928" w:rsidRPr="004571E5" w:rsidRDefault="00A10928" w:rsidP="00412FA6">
      <w:pPr>
        <w:kinsoku w:val="0"/>
        <w:overflowPunct w:val="0"/>
        <w:autoSpaceDE w:val="0"/>
        <w:autoSpaceDN w:val="0"/>
        <w:adjustRightInd w:val="0"/>
        <w:spacing w:after="0" w:line="240" w:lineRule="auto"/>
        <w:ind w:right="49"/>
        <w:jc w:val="both"/>
        <w:rPr>
          <w:rFonts w:ascii="Times New Roman" w:hAnsi="Times New Roman" w:cs="Times New Roman"/>
          <w:sz w:val="28"/>
          <w:szCs w:val="28"/>
        </w:rPr>
      </w:pPr>
    </w:p>
    <w:p w14:paraId="050CBB3D" w14:textId="0AF32AF9" w:rsidR="005438D0" w:rsidRPr="004571E5" w:rsidRDefault="005438D0" w:rsidP="00A10928">
      <w:pPr>
        <w:numPr>
          <w:ilvl w:val="0"/>
          <w:numId w:val="1"/>
        </w:numPr>
        <w:kinsoku w:val="0"/>
        <w:overflowPunct w:val="0"/>
        <w:autoSpaceDE w:val="0"/>
        <w:autoSpaceDN w:val="0"/>
        <w:adjustRightInd w:val="0"/>
        <w:spacing w:after="0" w:line="240" w:lineRule="auto"/>
        <w:ind w:right="49"/>
        <w:jc w:val="both"/>
        <w:rPr>
          <w:rFonts w:ascii="Times New Roman" w:hAnsi="Times New Roman" w:cs="Times New Roman"/>
          <w:sz w:val="28"/>
          <w:szCs w:val="28"/>
        </w:rPr>
      </w:pPr>
      <w:r w:rsidRPr="004571E5">
        <w:rPr>
          <w:rFonts w:ascii="Times New Roman" w:hAnsi="Times New Roman" w:cs="Times New Roman"/>
          <w:sz w:val="28"/>
          <w:szCs w:val="28"/>
        </w:rPr>
        <w:t>La Corte ha señalado que el precedente  es</w:t>
      </w:r>
      <w:r w:rsidR="00A10928" w:rsidRPr="004571E5">
        <w:rPr>
          <w:rFonts w:ascii="Times New Roman" w:hAnsi="Times New Roman" w:cs="Times New Roman"/>
          <w:sz w:val="28"/>
          <w:szCs w:val="28"/>
        </w:rPr>
        <w:t xml:space="preserve"> vinculante</w:t>
      </w:r>
      <w:r w:rsidRPr="004571E5">
        <w:rPr>
          <w:rFonts w:ascii="Times New Roman" w:hAnsi="Times New Roman" w:cs="Times New Roman"/>
          <w:sz w:val="28"/>
          <w:szCs w:val="28"/>
        </w:rPr>
        <w:t xml:space="preserve"> por cuatro razones</w:t>
      </w:r>
      <w:r w:rsidRPr="004571E5">
        <w:rPr>
          <w:rStyle w:val="Refdenotaalpie"/>
          <w:rFonts w:ascii="Times New Roman" w:hAnsi="Times New Roman" w:cs="Times New Roman"/>
          <w:sz w:val="28"/>
          <w:szCs w:val="28"/>
        </w:rPr>
        <w:footnoteReference w:id="26"/>
      </w:r>
      <w:r w:rsidRPr="004571E5">
        <w:rPr>
          <w:rFonts w:ascii="Times New Roman" w:hAnsi="Times New Roman" w:cs="Times New Roman"/>
          <w:sz w:val="28"/>
          <w:szCs w:val="28"/>
        </w:rPr>
        <w:t xml:space="preserve">: (i) </w:t>
      </w:r>
      <w:r w:rsidR="00D34752" w:rsidRPr="004571E5">
        <w:rPr>
          <w:rFonts w:ascii="Times New Roman" w:hAnsi="Times New Roman" w:cs="Times New Roman"/>
          <w:sz w:val="28"/>
          <w:szCs w:val="28"/>
        </w:rPr>
        <w:t xml:space="preserve">materializa </w:t>
      </w:r>
      <w:r w:rsidRPr="004571E5">
        <w:rPr>
          <w:rFonts w:ascii="Times New Roman" w:hAnsi="Times New Roman" w:cs="Times New Roman"/>
          <w:sz w:val="28"/>
          <w:szCs w:val="28"/>
        </w:rPr>
        <w:t>el mandato de trato igual; (</w:t>
      </w:r>
      <w:proofErr w:type="spellStart"/>
      <w:r w:rsidRPr="004571E5">
        <w:rPr>
          <w:rFonts w:ascii="Times New Roman" w:hAnsi="Times New Roman" w:cs="Times New Roman"/>
          <w:sz w:val="28"/>
          <w:szCs w:val="28"/>
        </w:rPr>
        <w:t>ii</w:t>
      </w:r>
      <w:proofErr w:type="spellEnd"/>
      <w:r w:rsidRPr="004571E5">
        <w:rPr>
          <w:rFonts w:ascii="Times New Roman" w:hAnsi="Times New Roman" w:cs="Times New Roman"/>
          <w:sz w:val="28"/>
          <w:szCs w:val="28"/>
        </w:rPr>
        <w:t>) asegura la  coherencia y seguridad jurídica, pues “las normas, si se quiere que gobiernen la conducta de los seres humanos, deben tener un significado estable”; (</w:t>
      </w:r>
      <w:proofErr w:type="spellStart"/>
      <w:r w:rsidRPr="004571E5">
        <w:rPr>
          <w:rFonts w:ascii="Times New Roman" w:hAnsi="Times New Roman" w:cs="Times New Roman"/>
          <w:sz w:val="28"/>
          <w:szCs w:val="28"/>
        </w:rPr>
        <w:t>iii</w:t>
      </w:r>
      <w:proofErr w:type="spellEnd"/>
      <w:r w:rsidRPr="004571E5">
        <w:rPr>
          <w:rFonts w:ascii="Times New Roman" w:hAnsi="Times New Roman" w:cs="Times New Roman"/>
          <w:sz w:val="28"/>
          <w:szCs w:val="28"/>
        </w:rPr>
        <w:t>) es necesario para “proteger la libertad ciudadana y permitir el desarrollo económico, ya que una caprichosa variación de los criterios de interpretación pone en riesgo la libertad individual, así como la estabilidad de los contratos y de las transacciones económicas”; y (</w:t>
      </w:r>
      <w:proofErr w:type="spellStart"/>
      <w:r w:rsidRPr="004571E5">
        <w:rPr>
          <w:rFonts w:ascii="Times New Roman" w:hAnsi="Times New Roman" w:cs="Times New Roman"/>
          <w:sz w:val="28"/>
          <w:szCs w:val="28"/>
        </w:rPr>
        <w:t>iv</w:t>
      </w:r>
      <w:proofErr w:type="spellEnd"/>
      <w:r w:rsidRPr="004571E5">
        <w:rPr>
          <w:rFonts w:ascii="Times New Roman" w:hAnsi="Times New Roman" w:cs="Times New Roman"/>
          <w:sz w:val="28"/>
          <w:szCs w:val="28"/>
        </w:rPr>
        <w:t>)</w:t>
      </w:r>
      <w:r w:rsidR="00D34752" w:rsidRPr="004571E5">
        <w:rPr>
          <w:rFonts w:ascii="Times New Roman" w:hAnsi="Times New Roman" w:cs="Times New Roman"/>
          <w:sz w:val="28"/>
          <w:szCs w:val="28"/>
        </w:rPr>
        <w:t xml:space="preserve"> proyecta </w:t>
      </w:r>
      <w:r w:rsidRPr="004571E5">
        <w:rPr>
          <w:rFonts w:ascii="Times New Roman" w:hAnsi="Times New Roman" w:cs="Times New Roman"/>
          <w:sz w:val="28"/>
          <w:szCs w:val="28"/>
        </w:rPr>
        <w:t>en la actividad judicial el cumplimiento de condiciones mínimas de racionalidad y universalidad.</w:t>
      </w:r>
    </w:p>
    <w:p w14:paraId="3E0F39F6" w14:textId="77777777" w:rsidR="005438D0" w:rsidRPr="004571E5" w:rsidRDefault="005438D0" w:rsidP="000E0557">
      <w:pPr>
        <w:kinsoku w:val="0"/>
        <w:overflowPunct w:val="0"/>
        <w:autoSpaceDE w:val="0"/>
        <w:autoSpaceDN w:val="0"/>
        <w:adjustRightInd w:val="0"/>
        <w:spacing w:after="0" w:line="240" w:lineRule="auto"/>
        <w:ind w:right="49"/>
        <w:jc w:val="both"/>
        <w:rPr>
          <w:rFonts w:ascii="Times New Roman" w:hAnsi="Times New Roman" w:cs="Times New Roman"/>
          <w:sz w:val="28"/>
          <w:szCs w:val="28"/>
        </w:rPr>
      </w:pPr>
    </w:p>
    <w:p w14:paraId="145F321F" w14:textId="75F53B32" w:rsidR="005438D0" w:rsidRPr="004571E5" w:rsidRDefault="005438D0" w:rsidP="005438D0">
      <w:pPr>
        <w:numPr>
          <w:ilvl w:val="0"/>
          <w:numId w:val="1"/>
        </w:numPr>
        <w:kinsoku w:val="0"/>
        <w:overflowPunct w:val="0"/>
        <w:autoSpaceDE w:val="0"/>
        <w:autoSpaceDN w:val="0"/>
        <w:adjustRightInd w:val="0"/>
        <w:spacing w:after="0" w:line="240" w:lineRule="auto"/>
        <w:ind w:right="49"/>
        <w:jc w:val="both"/>
        <w:rPr>
          <w:rFonts w:ascii="Times New Roman" w:hAnsi="Times New Roman" w:cs="Times New Roman"/>
          <w:sz w:val="28"/>
          <w:szCs w:val="28"/>
        </w:rPr>
      </w:pPr>
      <w:r w:rsidRPr="004571E5">
        <w:rPr>
          <w:rFonts w:ascii="Times New Roman" w:hAnsi="Times New Roman" w:cs="Times New Roman"/>
          <w:sz w:val="28"/>
          <w:szCs w:val="28"/>
        </w:rPr>
        <w:t>La jurisprudencia ha distinguido entre tres tipos de precedentes</w:t>
      </w:r>
      <w:r w:rsidRPr="004571E5">
        <w:rPr>
          <w:rStyle w:val="Refdenotaalpie"/>
          <w:rFonts w:ascii="Times New Roman" w:hAnsi="Times New Roman" w:cs="Times New Roman"/>
          <w:sz w:val="28"/>
          <w:szCs w:val="28"/>
        </w:rPr>
        <w:footnoteReference w:id="27"/>
      </w:r>
      <w:r w:rsidRPr="004571E5">
        <w:rPr>
          <w:rFonts w:ascii="Times New Roman" w:hAnsi="Times New Roman" w:cs="Times New Roman"/>
          <w:sz w:val="28"/>
          <w:szCs w:val="28"/>
        </w:rPr>
        <w:t>. Primero, el horizontal que “se predica de las providencias originadas en el mismo juez o en autoridades judiciales de la misma jerarquía”</w:t>
      </w:r>
      <w:r w:rsidR="00302762" w:rsidRPr="004571E5">
        <w:rPr>
          <w:rStyle w:val="Refdenotaalpie"/>
          <w:rFonts w:ascii="Times New Roman" w:hAnsi="Times New Roman" w:cs="Times New Roman"/>
          <w:sz w:val="28"/>
          <w:szCs w:val="28"/>
        </w:rPr>
        <w:footnoteReference w:id="28"/>
      </w:r>
      <w:r w:rsidRPr="004571E5">
        <w:rPr>
          <w:rFonts w:ascii="Times New Roman" w:hAnsi="Times New Roman" w:cs="Times New Roman"/>
          <w:sz w:val="28"/>
          <w:szCs w:val="28"/>
        </w:rPr>
        <w:t>. Segundo, el vertical que “implica el respeto por las decisiones emitidas por el superior jerárquico o por el órgano de cierre”</w:t>
      </w:r>
      <w:r w:rsidR="00EE7CBE" w:rsidRPr="004571E5">
        <w:rPr>
          <w:rStyle w:val="Refdenotaalpie"/>
          <w:rFonts w:ascii="Times New Roman" w:hAnsi="Times New Roman" w:cs="Times New Roman"/>
          <w:sz w:val="28"/>
          <w:szCs w:val="28"/>
        </w:rPr>
        <w:footnoteReference w:id="29"/>
      </w:r>
      <w:r w:rsidRPr="004571E5">
        <w:rPr>
          <w:rFonts w:ascii="Times New Roman" w:hAnsi="Times New Roman" w:cs="Times New Roman"/>
          <w:sz w:val="28"/>
          <w:szCs w:val="28"/>
        </w:rPr>
        <w:t>. Tercero, el precedente fijad</w:t>
      </w:r>
      <w:r w:rsidR="00BD3379" w:rsidRPr="004571E5">
        <w:rPr>
          <w:rFonts w:ascii="Times New Roman" w:hAnsi="Times New Roman" w:cs="Times New Roman"/>
          <w:sz w:val="28"/>
          <w:szCs w:val="28"/>
        </w:rPr>
        <w:t>o en las sentencias de la Corte Constitucional</w:t>
      </w:r>
      <w:r w:rsidRPr="004571E5">
        <w:rPr>
          <w:rFonts w:ascii="Times New Roman" w:hAnsi="Times New Roman" w:cs="Times New Roman"/>
          <w:sz w:val="28"/>
          <w:szCs w:val="28"/>
        </w:rPr>
        <w:t>, del cual se predica una especial resistencia a su modificación y a que otras autoridades se separen del mismo. Ello en virtud de la función de la Corte Constitucional de interpretar la Constitución y las otras fuentes del ordenamiento en su relación con ella</w:t>
      </w:r>
      <w:r w:rsidRPr="004571E5">
        <w:rPr>
          <w:rStyle w:val="Refdenotaalpie"/>
          <w:rFonts w:ascii="Times New Roman" w:hAnsi="Times New Roman" w:cs="Times New Roman"/>
          <w:sz w:val="28"/>
          <w:szCs w:val="28"/>
        </w:rPr>
        <w:footnoteReference w:id="30"/>
      </w:r>
      <w:r w:rsidRPr="004571E5">
        <w:rPr>
          <w:rFonts w:ascii="Times New Roman" w:hAnsi="Times New Roman" w:cs="Times New Roman"/>
          <w:sz w:val="28"/>
          <w:szCs w:val="28"/>
        </w:rPr>
        <w:t xml:space="preserve">. Además, se ha establecido en diversas </w:t>
      </w:r>
      <w:r w:rsidRPr="004571E5">
        <w:rPr>
          <w:rFonts w:ascii="Times New Roman" w:hAnsi="Times New Roman" w:cs="Times New Roman"/>
          <w:sz w:val="28"/>
          <w:szCs w:val="28"/>
        </w:rPr>
        <w:lastRenderedPageBreak/>
        <w:t>ocasiones que este precedente tiene prevalencia sobre aquel de la Corte Suprema de Justicia y el Consejo de Estado</w:t>
      </w:r>
      <w:r w:rsidRPr="004571E5">
        <w:rPr>
          <w:rStyle w:val="Refdenotaalpie"/>
          <w:rFonts w:ascii="Times New Roman" w:hAnsi="Times New Roman" w:cs="Times New Roman"/>
          <w:sz w:val="28"/>
          <w:szCs w:val="28"/>
        </w:rPr>
        <w:footnoteReference w:id="31"/>
      </w:r>
      <w:r w:rsidRPr="004571E5">
        <w:rPr>
          <w:rFonts w:ascii="Times New Roman" w:hAnsi="Times New Roman" w:cs="Times New Roman"/>
          <w:sz w:val="28"/>
          <w:szCs w:val="28"/>
        </w:rPr>
        <w:t xml:space="preserve">. </w:t>
      </w:r>
    </w:p>
    <w:p w14:paraId="5FDE17C5" w14:textId="77777777" w:rsidR="005438D0" w:rsidRPr="004571E5" w:rsidRDefault="005438D0" w:rsidP="000E0557">
      <w:pPr>
        <w:kinsoku w:val="0"/>
        <w:overflowPunct w:val="0"/>
        <w:autoSpaceDE w:val="0"/>
        <w:autoSpaceDN w:val="0"/>
        <w:adjustRightInd w:val="0"/>
        <w:spacing w:after="0" w:line="240" w:lineRule="auto"/>
        <w:ind w:right="49"/>
        <w:jc w:val="both"/>
        <w:rPr>
          <w:rFonts w:ascii="Times New Roman" w:hAnsi="Times New Roman" w:cs="Times New Roman"/>
          <w:sz w:val="28"/>
          <w:szCs w:val="28"/>
        </w:rPr>
      </w:pPr>
    </w:p>
    <w:p w14:paraId="08D2A659" w14:textId="332F0DD8" w:rsidR="005438D0" w:rsidRPr="004571E5" w:rsidRDefault="005438D0" w:rsidP="005438D0">
      <w:pPr>
        <w:numPr>
          <w:ilvl w:val="0"/>
          <w:numId w:val="1"/>
        </w:numPr>
        <w:kinsoku w:val="0"/>
        <w:overflowPunct w:val="0"/>
        <w:autoSpaceDE w:val="0"/>
        <w:autoSpaceDN w:val="0"/>
        <w:adjustRightInd w:val="0"/>
        <w:spacing w:after="0" w:line="240" w:lineRule="auto"/>
        <w:ind w:right="49"/>
        <w:jc w:val="both"/>
        <w:rPr>
          <w:rFonts w:ascii="Times New Roman" w:hAnsi="Times New Roman" w:cs="Times New Roman"/>
          <w:sz w:val="28"/>
          <w:szCs w:val="28"/>
        </w:rPr>
      </w:pPr>
      <w:r w:rsidRPr="004571E5">
        <w:rPr>
          <w:rFonts w:ascii="Times New Roman" w:hAnsi="Times New Roman" w:cs="Times New Roman"/>
          <w:sz w:val="28"/>
          <w:szCs w:val="28"/>
        </w:rPr>
        <w:t>Por lo anterior, es necesario distinguir entre las diferentes cargas exigibles para apartarse de cada tipo de precedente. En general, siempre se exige</w:t>
      </w:r>
      <w:r w:rsidR="00D34752" w:rsidRPr="004571E5">
        <w:rPr>
          <w:rFonts w:ascii="Times New Roman" w:hAnsi="Times New Roman" w:cs="Times New Roman"/>
          <w:sz w:val="28"/>
          <w:szCs w:val="28"/>
        </w:rPr>
        <w:t xml:space="preserve"> satisfacer la</w:t>
      </w:r>
      <w:r w:rsidRPr="004571E5">
        <w:rPr>
          <w:rFonts w:ascii="Times New Roman" w:hAnsi="Times New Roman" w:cs="Times New Roman"/>
          <w:sz w:val="28"/>
          <w:szCs w:val="28"/>
        </w:rPr>
        <w:t xml:space="preserve"> carga de transparencia consistente en reconocer la existencia del precedente y</w:t>
      </w:r>
      <w:r w:rsidR="00D34752" w:rsidRPr="004571E5">
        <w:rPr>
          <w:rFonts w:ascii="Times New Roman" w:hAnsi="Times New Roman" w:cs="Times New Roman"/>
          <w:sz w:val="28"/>
          <w:szCs w:val="28"/>
        </w:rPr>
        <w:t xml:space="preserve"> la</w:t>
      </w:r>
      <w:r w:rsidRPr="004571E5">
        <w:rPr>
          <w:rFonts w:ascii="Times New Roman" w:hAnsi="Times New Roman" w:cs="Times New Roman"/>
          <w:sz w:val="28"/>
          <w:szCs w:val="28"/>
        </w:rPr>
        <w:t xml:space="preserve"> carga de argumentación </w:t>
      </w:r>
      <w:r w:rsidR="00A9173D" w:rsidRPr="004571E5">
        <w:rPr>
          <w:rFonts w:ascii="Times New Roman" w:hAnsi="Times New Roman" w:cs="Times New Roman"/>
          <w:sz w:val="28"/>
          <w:szCs w:val="28"/>
        </w:rPr>
        <w:t xml:space="preserve">que impone la presentación de </w:t>
      </w:r>
      <w:r w:rsidRPr="004571E5">
        <w:rPr>
          <w:rFonts w:ascii="Times New Roman" w:hAnsi="Times New Roman" w:cs="Times New Roman"/>
          <w:sz w:val="28"/>
          <w:szCs w:val="28"/>
        </w:rPr>
        <w:t>las razones por las cuáles se presenta el apartamiento. Sin embargo, las intensidades de estas cargas se diferencian para cada caso.</w:t>
      </w:r>
    </w:p>
    <w:p w14:paraId="321AF4CD" w14:textId="77777777" w:rsidR="005438D0" w:rsidRPr="004571E5" w:rsidRDefault="005438D0" w:rsidP="001B30B3">
      <w:pPr>
        <w:kinsoku w:val="0"/>
        <w:overflowPunct w:val="0"/>
        <w:autoSpaceDE w:val="0"/>
        <w:autoSpaceDN w:val="0"/>
        <w:adjustRightInd w:val="0"/>
        <w:spacing w:after="0" w:line="240" w:lineRule="auto"/>
        <w:ind w:right="49"/>
        <w:jc w:val="both"/>
        <w:rPr>
          <w:rFonts w:ascii="Times New Roman" w:hAnsi="Times New Roman" w:cs="Times New Roman"/>
          <w:sz w:val="28"/>
          <w:szCs w:val="28"/>
        </w:rPr>
      </w:pPr>
    </w:p>
    <w:p w14:paraId="10C82087" w14:textId="02444109" w:rsidR="005438D0" w:rsidRPr="004571E5" w:rsidRDefault="005438D0" w:rsidP="005438D0">
      <w:pPr>
        <w:numPr>
          <w:ilvl w:val="0"/>
          <w:numId w:val="1"/>
        </w:numPr>
        <w:kinsoku w:val="0"/>
        <w:overflowPunct w:val="0"/>
        <w:autoSpaceDE w:val="0"/>
        <w:autoSpaceDN w:val="0"/>
        <w:adjustRightInd w:val="0"/>
        <w:spacing w:after="0" w:line="240" w:lineRule="auto"/>
        <w:ind w:right="49"/>
        <w:jc w:val="both"/>
        <w:rPr>
          <w:rFonts w:ascii="Times New Roman" w:hAnsi="Times New Roman" w:cs="Times New Roman"/>
          <w:sz w:val="28"/>
          <w:szCs w:val="28"/>
        </w:rPr>
      </w:pPr>
      <w:r w:rsidRPr="004571E5">
        <w:rPr>
          <w:rFonts w:ascii="Times New Roman" w:hAnsi="Times New Roman" w:cs="Times New Roman"/>
          <w:sz w:val="28"/>
          <w:szCs w:val="28"/>
        </w:rPr>
        <w:t xml:space="preserve">Para apartarse del precedente horizontal, el juez (i) </w:t>
      </w:r>
      <w:r w:rsidRPr="004571E5">
        <w:rPr>
          <w:rFonts w:ascii="Times New Roman" w:hAnsi="Times New Roman" w:cs="Times New Roman"/>
          <w:sz w:val="28"/>
          <w:szCs w:val="28"/>
          <w:lang w:val="es-ES_tradnl"/>
        </w:rPr>
        <w:t>“</w:t>
      </w:r>
      <w:r w:rsidRPr="004571E5">
        <w:rPr>
          <w:rFonts w:ascii="Times New Roman" w:hAnsi="Times New Roman" w:cs="Times New Roman"/>
          <w:sz w:val="28"/>
          <w:szCs w:val="28"/>
          <w:shd w:val="clear" w:color="auto" w:fill="FFFFFF"/>
        </w:rPr>
        <w:t>debe hacer referencia expresa al precedente con el que ha resuelto casos análogos (requisito de transparencia)”</w:t>
      </w:r>
      <w:r w:rsidRPr="004571E5">
        <w:rPr>
          <w:rStyle w:val="Refdenotaalpie"/>
          <w:rFonts w:ascii="Times New Roman" w:hAnsi="Times New Roman" w:cs="Times New Roman"/>
          <w:sz w:val="28"/>
          <w:szCs w:val="28"/>
          <w:shd w:val="clear" w:color="auto" w:fill="FFFFFF"/>
        </w:rPr>
        <w:footnoteReference w:id="32"/>
      </w:r>
      <w:r w:rsidRPr="004571E5">
        <w:rPr>
          <w:rFonts w:ascii="Times New Roman" w:hAnsi="Times New Roman" w:cs="Times New Roman"/>
          <w:sz w:val="28"/>
          <w:szCs w:val="28"/>
          <w:shd w:val="clear" w:color="auto" w:fill="FFFFFF"/>
        </w:rPr>
        <w:t>. Luego de ello, (</w:t>
      </w:r>
      <w:proofErr w:type="spellStart"/>
      <w:r w:rsidRPr="004571E5">
        <w:rPr>
          <w:rFonts w:ascii="Times New Roman" w:hAnsi="Times New Roman" w:cs="Times New Roman"/>
          <w:sz w:val="28"/>
          <w:szCs w:val="28"/>
          <w:shd w:val="clear" w:color="auto" w:fill="FFFFFF"/>
        </w:rPr>
        <w:t>ii</w:t>
      </w:r>
      <w:proofErr w:type="spellEnd"/>
      <w:r w:rsidRPr="004571E5">
        <w:rPr>
          <w:rFonts w:ascii="Times New Roman" w:hAnsi="Times New Roman" w:cs="Times New Roman"/>
          <w:sz w:val="28"/>
          <w:szCs w:val="28"/>
          <w:shd w:val="clear" w:color="auto" w:fill="FFFFFF"/>
        </w:rPr>
        <w:t>) le corresponde “exponer las razones suficientes que, a la luz de los cambios introducidos en el ordenamiento jurídico, o por la transformación del contexto social dominante, justifiquen o evidencien la necesidad de producir un cambio jurisprudencial (requisito de suficiencia)”</w:t>
      </w:r>
      <w:r w:rsidRPr="004571E5">
        <w:rPr>
          <w:rStyle w:val="Refdenotaalpie"/>
          <w:rFonts w:ascii="Times New Roman" w:hAnsi="Times New Roman" w:cs="Times New Roman"/>
          <w:sz w:val="28"/>
          <w:szCs w:val="28"/>
          <w:shd w:val="clear" w:color="auto" w:fill="FFFFFF"/>
        </w:rPr>
        <w:footnoteReference w:id="33"/>
      </w:r>
      <w:r w:rsidRPr="004571E5">
        <w:rPr>
          <w:rFonts w:ascii="Times New Roman" w:hAnsi="Times New Roman" w:cs="Times New Roman"/>
          <w:sz w:val="28"/>
          <w:szCs w:val="28"/>
          <w:shd w:val="clear" w:color="auto" w:fill="FFFFFF"/>
        </w:rPr>
        <w:t>.</w:t>
      </w:r>
    </w:p>
    <w:p w14:paraId="0F7FB9DC" w14:textId="77777777" w:rsidR="005438D0" w:rsidRPr="004571E5" w:rsidRDefault="005438D0" w:rsidP="001B30B3">
      <w:pPr>
        <w:kinsoku w:val="0"/>
        <w:overflowPunct w:val="0"/>
        <w:autoSpaceDE w:val="0"/>
        <w:autoSpaceDN w:val="0"/>
        <w:adjustRightInd w:val="0"/>
        <w:spacing w:after="0" w:line="240" w:lineRule="auto"/>
        <w:ind w:right="49"/>
        <w:jc w:val="both"/>
        <w:rPr>
          <w:rFonts w:ascii="Times New Roman" w:hAnsi="Times New Roman" w:cs="Times New Roman"/>
          <w:sz w:val="28"/>
          <w:szCs w:val="28"/>
        </w:rPr>
      </w:pPr>
    </w:p>
    <w:p w14:paraId="59603E23" w14:textId="20131050" w:rsidR="005438D0" w:rsidRPr="004571E5" w:rsidRDefault="005438D0" w:rsidP="005438D0">
      <w:pPr>
        <w:numPr>
          <w:ilvl w:val="0"/>
          <w:numId w:val="1"/>
        </w:numPr>
        <w:kinsoku w:val="0"/>
        <w:overflowPunct w:val="0"/>
        <w:autoSpaceDE w:val="0"/>
        <w:autoSpaceDN w:val="0"/>
        <w:adjustRightInd w:val="0"/>
        <w:spacing w:after="0" w:line="240" w:lineRule="auto"/>
        <w:ind w:right="49"/>
        <w:jc w:val="both"/>
        <w:rPr>
          <w:rFonts w:ascii="Times New Roman" w:hAnsi="Times New Roman" w:cs="Times New Roman"/>
          <w:sz w:val="28"/>
          <w:szCs w:val="28"/>
        </w:rPr>
      </w:pPr>
      <w:r w:rsidRPr="004571E5">
        <w:rPr>
          <w:rFonts w:ascii="Times New Roman" w:hAnsi="Times New Roman" w:cs="Times New Roman"/>
          <w:sz w:val="28"/>
          <w:szCs w:val="28"/>
          <w:shd w:val="clear" w:color="auto" w:fill="FFFFFF"/>
        </w:rPr>
        <w:t>Respecto del precedente vertical,</w:t>
      </w:r>
      <w:r w:rsidR="00A9173D" w:rsidRPr="004571E5">
        <w:rPr>
          <w:rFonts w:ascii="Times New Roman" w:hAnsi="Times New Roman" w:cs="Times New Roman"/>
          <w:sz w:val="28"/>
          <w:szCs w:val="28"/>
          <w:shd w:val="clear" w:color="auto" w:fill="FFFFFF"/>
        </w:rPr>
        <w:t xml:space="preserve"> es exigible</w:t>
      </w:r>
      <w:r w:rsidRPr="004571E5">
        <w:rPr>
          <w:rFonts w:ascii="Times New Roman" w:hAnsi="Times New Roman" w:cs="Times New Roman"/>
          <w:sz w:val="28"/>
          <w:szCs w:val="28"/>
          <w:shd w:val="clear" w:color="auto" w:fill="FFFFFF"/>
        </w:rPr>
        <w:t xml:space="preserve"> la misma carga de transparencia, pero la carga argumentativa se acentúa pues además corresponde a l</w:t>
      </w:r>
      <w:r w:rsidR="00A9173D" w:rsidRPr="004571E5">
        <w:rPr>
          <w:rFonts w:ascii="Times New Roman" w:hAnsi="Times New Roman" w:cs="Times New Roman"/>
          <w:sz w:val="28"/>
          <w:szCs w:val="28"/>
          <w:shd w:val="clear" w:color="auto" w:fill="FFFFFF"/>
        </w:rPr>
        <w:t>as autoridades judiciales</w:t>
      </w:r>
      <w:r w:rsidRPr="004571E5">
        <w:rPr>
          <w:rFonts w:ascii="Times New Roman" w:hAnsi="Times New Roman" w:cs="Times New Roman"/>
          <w:sz w:val="28"/>
          <w:szCs w:val="28"/>
          <w:shd w:val="clear" w:color="auto" w:fill="FFFFFF"/>
        </w:rPr>
        <w:t xml:space="preserve"> “demostrar que la interpretación alternativa que se ofrece desarrolla y amplía de mejor manera el contenido de los derechos, principios y valores constitucionales objeto de protección”</w:t>
      </w:r>
      <w:r w:rsidRPr="004571E5">
        <w:rPr>
          <w:rStyle w:val="Refdenotaalpie"/>
          <w:rFonts w:ascii="Times New Roman" w:hAnsi="Times New Roman" w:cs="Times New Roman"/>
          <w:sz w:val="28"/>
          <w:szCs w:val="28"/>
          <w:shd w:val="clear" w:color="auto" w:fill="FFFFFF"/>
        </w:rPr>
        <w:footnoteReference w:id="34"/>
      </w:r>
      <w:r w:rsidRPr="004571E5">
        <w:rPr>
          <w:rFonts w:ascii="Times New Roman" w:hAnsi="Times New Roman" w:cs="Times New Roman"/>
          <w:sz w:val="28"/>
          <w:szCs w:val="28"/>
          <w:shd w:val="clear" w:color="auto" w:fill="FFFFFF"/>
        </w:rPr>
        <w:t>.</w:t>
      </w:r>
    </w:p>
    <w:p w14:paraId="361566E6" w14:textId="77777777" w:rsidR="005438D0" w:rsidRPr="004571E5" w:rsidRDefault="005438D0" w:rsidP="001B30B3">
      <w:pPr>
        <w:kinsoku w:val="0"/>
        <w:overflowPunct w:val="0"/>
        <w:autoSpaceDE w:val="0"/>
        <w:autoSpaceDN w:val="0"/>
        <w:adjustRightInd w:val="0"/>
        <w:spacing w:after="0" w:line="240" w:lineRule="auto"/>
        <w:ind w:right="49"/>
        <w:jc w:val="both"/>
        <w:rPr>
          <w:rFonts w:ascii="Times New Roman" w:hAnsi="Times New Roman" w:cs="Times New Roman"/>
          <w:sz w:val="28"/>
          <w:szCs w:val="28"/>
        </w:rPr>
      </w:pPr>
    </w:p>
    <w:p w14:paraId="5268C2AD" w14:textId="71CE7581" w:rsidR="005438D0" w:rsidRPr="004571E5" w:rsidRDefault="005438D0" w:rsidP="005438D0">
      <w:pPr>
        <w:numPr>
          <w:ilvl w:val="0"/>
          <w:numId w:val="1"/>
        </w:numPr>
        <w:kinsoku w:val="0"/>
        <w:overflowPunct w:val="0"/>
        <w:autoSpaceDE w:val="0"/>
        <w:autoSpaceDN w:val="0"/>
        <w:adjustRightInd w:val="0"/>
        <w:spacing w:after="0" w:line="240" w:lineRule="auto"/>
        <w:ind w:right="49"/>
        <w:jc w:val="both"/>
        <w:rPr>
          <w:rFonts w:ascii="Times New Roman" w:hAnsi="Times New Roman" w:cs="Times New Roman"/>
          <w:sz w:val="28"/>
          <w:szCs w:val="28"/>
        </w:rPr>
      </w:pPr>
      <w:r w:rsidRPr="004571E5">
        <w:rPr>
          <w:rFonts w:ascii="Times New Roman" w:hAnsi="Times New Roman" w:cs="Times New Roman"/>
          <w:sz w:val="28"/>
          <w:szCs w:val="28"/>
          <w:shd w:val="clear" w:color="auto" w:fill="FFFFFF"/>
        </w:rPr>
        <w:t xml:space="preserve">Por último, para apartarse del </w:t>
      </w:r>
      <w:r w:rsidR="00D53781" w:rsidRPr="004571E5">
        <w:rPr>
          <w:rFonts w:ascii="Times New Roman" w:hAnsi="Times New Roman" w:cs="Times New Roman"/>
          <w:sz w:val="28"/>
          <w:szCs w:val="28"/>
          <w:shd w:val="clear" w:color="auto" w:fill="FFFFFF"/>
        </w:rPr>
        <w:t xml:space="preserve">precedente de la Corte Constitucional </w:t>
      </w:r>
      <w:r w:rsidRPr="004571E5">
        <w:rPr>
          <w:rFonts w:ascii="Times New Roman" w:hAnsi="Times New Roman" w:cs="Times New Roman"/>
          <w:sz w:val="28"/>
          <w:szCs w:val="28"/>
          <w:shd w:val="clear" w:color="auto" w:fill="FFFFFF"/>
        </w:rPr>
        <w:t>debe cumplirse (i)</w:t>
      </w:r>
      <w:r w:rsidRPr="004571E5">
        <w:rPr>
          <w:rFonts w:ascii="Times New Roman" w:hAnsi="Times New Roman" w:cs="Times New Roman"/>
          <w:sz w:val="28"/>
          <w:szCs w:val="28"/>
          <w:lang w:val="es-ES_tradnl"/>
        </w:rPr>
        <w:t xml:space="preserve"> la carga de transparencia, que exige exponer de manera clara, precisa y detallada (a) en qué consiste el precedente del que se va a separar, (b) las providencias que lo han desarrollado y (c) el modo en que ha tenido lugar su aplicación. Y (</w:t>
      </w:r>
      <w:proofErr w:type="spellStart"/>
      <w:r w:rsidRPr="004571E5">
        <w:rPr>
          <w:rFonts w:ascii="Times New Roman" w:hAnsi="Times New Roman" w:cs="Times New Roman"/>
          <w:sz w:val="28"/>
          <w:szCs w:val="28"/>
          <w:lang w:val="es-ES_tradnl"/>
        </w:rPr>
        <w:t>ii</w:t>
      </w:r>
      <w:proofErr w:type="spellEnd"/>
      <w:r w:rsidRPr="004571E5">
        <w:rPr>
          <w:rFonts w:ascii="Times New Roman" w:hAnsi="Times New Roman" w:cs="Times New Roman"/>
          <w:sz w:val="28"/>
          <w:szCs w:val="28"/>
          <w:lang w:val="es-ES_tradnl"/>
        </w:rPr>
        <w:t>) la carga de argumentación, que impone (a)</w:t>
      </w:r>
      <w:r w:rsidR="002330C5" w:rsidRPr="004571E5">
        <w:rPr>
          <w:rFonts w:ascii="Times New Roman" w:hAnsi="Times New Roman" w:cs="Times New Roman"/>
          <w:sz w:val="28"/>
          <w:szCs w:val="28"/>
          <w:lang w:val="es-ES_tradnl"/>
        </w:rPr>
        <w:t xml:space="preserve"> </w:t>
      </w:r>
      <w:r w:rsidRPr="004571E5">
        <w:rPr>
          <w:rFonts w:ascii="Times New Roman" w:hAnsi="Times New Roman" w:cs="Times New Roman"/>
          <w:sz w:val="28"/>
          <w:szCs w:val="28"/>
          <w:lang w:val="es-ES_tradnl"/>
        </w:rPr>
        <w:t>present</w:t>
      </w:r>
      <w:r w:rsidR="00B3327F" w:rsidRPr="004571E5">
        <w:rPr>
          <w:rFonts w:ascii="Times New Roman" w:hAnsi="Times New Roman" w:cs="Times New Roman"/>
          <w:sz w:val="28"/>
          <w:szCs w:val="28"/>
          <w:lang w:val="es-ES_tradnl"/>
        </w:rPr>
        <w:t>ar</w:t>
      </w:r>
      <w:r w:rsidR="002330C5" w:rsidRPr="004571E5">
        <w:rPr>
          <w:rFonts w:ascii="Times New Roman" w:hAnsi="Times New Roman" w:cs="Times New Roman"/>
          <w:sz w:val="28"/>
          <w:szCs w:val="28"/>
          <w:lang w:val="es-ES_tradnl"/>
        </w:rPr>
        <w:t xml:space="preserve"> </w:t>
      </w:r>
      <w:r w:rsidRPr="004571E5">
        <w:rPr>
          <w:rFonts w:ascii="Times New Roman" w:hAnsi="Times New Roman" w:cs="Times New Roman"/>
          <w:sz w:val="28"/>
          <w:szCs w:val="28"/>
          <w:lang w:val="es-ES_tradnl"/>
        </w:rPr>
        <w:t>razones especialmente poderosas con capacidad de justificar la separación</w:t>
      </w:r>
      <w:r w:rsidR="00B3327F" w:rsidRPr="004571E5">
        <w:rPr>
          <w:rFonts w:ascii="Times New Roman" w:hAnsi="Times New Roman" w:cs="Times New Roman"/>
          <w:sz w:val="28"/>
          <w:szCs w:val="28"/>
          <w:lang w:val="es-ES_tradnl"/>
        </w:rPr>
        <w:t xml:space="preserve"> y que</w:t>
      </w:r>
      <w:r w:rsidRPr="004571E5">
        <w:rPr>
          <w:rFonts w:ascii="Times New Roman" w:hAnsi="Times New Roman" w:cs="Times New Roman"/>
          <w:sz w:val="28"/>
          <w:szCs w:val="28"/>
          <w:lang w:val="es-ES_tradnl"/>
        </w:rPr>
        <w:t xml:space="preserve"> exced</w:t>
      </w:r>
      <w:r w:rsidR="002330C5" w:rsidRPr="004571E5">
        <w:rPr>
          <w:rFonts w:ascii="Times New Roman" w:hAnsi="Times New Roman" w:cs="Times New Roman"/>
          <w:sz w:val="28"/>
          <w:szCs w:val="28"/>
          <w:lang w:val="es-ES_tradnl"/>
        </w:rPr>
        <w:t>an</w:t>
      </w:r>
      <w:r w:rsidRPr="004571E5">
        <w:rPr>
          <w:rFonts w:ascii="Times New Roman" w:hAnsi="Times New Roman" w:cs="Times New Roman"/>
          <w:sz w:val="28"/>
          <w:szCs w:val="28"/>
          <w:lang w:val="es-ES_tradnl"/>
        </w:rPr>
        <w:t xml:space="preserve"> los simples desacuerdos y (</w:t>
      </w:r>
      <w:r w:rsidR="00B3327F" w:rsidRPr="004571E5">
        <w:rPr>
          <w:rFonts w:ascii="Times New Roman" w:hAnsi="Times New Roman" w:cs="Times New Roman"/>
          <w:sz w:val="28"/>
          <w:szCs w:val="28"/>
          <w:lang w:val="es-ES_tradnl"/>
        </w:rPr>
        <w:t>b</w:t>
      </w:r>
      <w:r w:rsidRPr="004571E5">
        <w:rPr>
          <w:rFonts w:ascii="Times New Roman" w:hAnsi="Times New Roman" w:cs="Times New Roman"/>
          <w:sz w:val="28"/>
          <w:szCs w:val="28"/>
          <w:lang w:val="es-ES_tradnl"/>
        </w:rPr>
        <w:t>) explica</w:t>
      </w:r>
      <w:r w:rsidR="00B3327F" w:rsidRPr="004571E5">
        <w:rPr>
          <w:rFonts w:ascii="Times New Roman" w:hAnsi="Times New Roman" w:cs="Times New Roman"/>
          <w:sz w:val="28"/>
          <w:szCs w:val="28"/>
          <w:lang w:val="es-ES_tradnl"/>
        </w:rPr>
        <w:t>r</w:t>
      </w:r>
      <w:r w:rsidR="002330C5" w:rsidRPr="004571E5">
        <w:rPr>
          <w:rFonts w:ascii="Times New Roman" w:hAnsi="Times New Roman" w:cs="Times New Roman"/>
          <w:sz w:val="28"/>
          <w:szCs w:val="28"/>
          <w:lang w:val="es-ES_tradnl"/>
        </w:rPr>
        <w:t xml:space="preserve"> </w:t>
      </w:r>
      <w:r w:rsidRPr="004571E5">
        <w:rPr>
          <w:rFonts w:ascii="Times New Roman" w:hAnsi="Times New Roman" w:cs="Times New Roman"/>
          <w:sz w:val="28"/>
          <w:szCs w:val="28"/>
          <w:lang w:val="es-ES_tradnl"/>
        </w:rPr>
        <w:t>por qué tales razones justifican afectar los principios de seguridad jurídica, igualdad, buena fe y coherencia.</w:t>
      </w:r>
    </w:p>
    <w:p w14:paraId="661EFC62" w14:textId="77777777" w:rsidR="00311079" w:rsidRPr="004571E5" w:rsidRDefault="00311079" w:rsidP="00311079">
      <w:pPr>
        <w:tabs>
          <w:tab w:val="left" w:pos="426"/>
        </w:tabs>
        <w:spacing w:after="0" w:line="240" w:lineRule="auto"/>
        <w:jc w:val="both"/>
        <w:rPr>
          <w:rFonts w:ascii="Times New Roman" w:hAnsi="Times New Roman" w:cs="Times New Roman"/>
          <w:b/>
          <w:bCs/>
          <w:sz w:val="28"/>
          <w:szCs w:val="28"/>
          <w:lang w:val="es-ES_tradnl"/>
        </w:rPr>
      </w:pPr>
    </w:p>
    <w:p w14:paraId="4DC52746" w14:textId="6AB9F880" w:rsidR="00311079" w:rsidRPr="004571E5" w:rsidRDefault="00A9173D" w:rsidP="00311079">
      <w:pPr>
        <w:pStyle w:val="Prrafodelista"/>
        <w:numPr>
          <w:ilvl w:val="0"/>
          <w:numId w:val="34"/>
        </w:numPr>
        <w:tabs>
          <w:tab w:val="left" w:pos="284"/>
          <w:tab w:val="left" w:pos="426"/>
        </w:tabs>
        <w:spacing w:after="0" w:line="240" w:lineRule="auto"/>
        <w:ind w:left="0" w:firstLine="0"/>
        <w:jc w:val="both"/>
        <w:rPr>
          <w:rFonts w:ascii="Times New Roman" w:hAnsi="Times New Roman" w:cs="Times New Roman"/>
          <w:b/>
          <w:bCs/>
          <w:sz w:val="28"/>
          <w:szCs w:val="28"/>
          <w:lang w:val="es-ES_tradnl"/>
        </w:rPr>
      </w:pPr>
      <w:r w:rsidRPr="004571E5">
        <w:rPr>
          <w:rFonts w:ascii="Times New Roman" w:hAnsi="Times New Roman" w:cs="Times New Roman"/>
          <w:b/>
          <w:bCs/>
          <w:sz w:val="28"/>
          <w:szCs w:val="28"/>
          <w:lang w:val="es-ES_tradnl"/>
        </w:rPr>
        <w:t>Solución de los c</w:t>
      </w:r>
      <w:r w:rsidR="00311079" w:rsidRPr="004571E5">
        <w:rPr>
          <w:rFonts w:ascii="Times New Roman" w:hAnsi="Times New Roman" w:cs="Times New Roman"/>
          <w:b/>
          <w:bCs/>
          <w:sz w:val="28"/>
          <w:szCs w:val="28"/>
          <w:lang w:val="es-ES_tradnl"/>
        </w:rPr>
        <w:t>aso</w:t>
      </w:r>
      <w:r w:rsidRPr="004571E5">
        <w:rPr>
          <w:rFonts w:ascii="Times New Roman" w:hAnsi="Times New Roman" w:cs="Times New Roman"/>
          <w:b/>
          <w:bCs/>
          <w:sz w:val="28"/>
          <w:szCs w:val="28"/>
          <w:lang w:val="es-ES_tradnl"/>
        </w:rPr>
        <w:t>s</w:t>
      </w:r>
      <w:r w:rsidR="00311079" w:rsidRPr="004571E5">
        <w:rPr>
          <w:rFonts w:ascii="Times New Roman" w:hAnsi="Times New Roman" w:cs="Times New Roman"/>
          <w:b/>
          <w:bCs/>
          <w:sz w:val="28"/>
          <w:szCs w:val="28"/>
          <w:lang w:val="es-ES_tradnl"/>
        </w:rPr>
        <w:t xml:space="preserve"> </w:t>
      </w:r>
      <w:r w:rsidRPr="004571E5">
        <w:rPr>
          <w:rFonts w:ascii="Times New Roman" w:hAnsi="Times New Roman" w:cs="Times New Roman"/>
          <w:b/>
          <w:bCs/>
          <w:sz w:val="28"/>
          <w:szCs w:val="28"/>
          <w:lang w:val="es-ES_tradnl"/>
        </w:rPr>
        <w:t>planteados a la Corte</w:t>
      </w:r>
    </w:p>
    <w:p w14:paraId="3A64DD0E" w14:textId="77777777" w:rsidR="00A92E9A" w:rsidRPr="004571E5" w:rsidRDefault="00A92E9A" w:rsidP="000E0557">
      <w:pPr>
        <w:pStyle w:val="Prrafodelista"/>
        <w:tabs>
          <w:tab w:val="left" w:pos="284"/>
          <w:tab w:val="left" w:pos="426"/>
        </w:tabs>
        <w:spacing w:after="0" w:line="240" w:lineRule="auto"/>
        <w:ind w:left="0"/>
        <w:jc w:val="both"/>
        <w:rPr>
          <w:rFonts w:ascii="Times New Roman" w:hAnsi="Times New Roman" w:cs="Times New Roman"/>
          <w:b/>
          <w:bCs/>
          <w:sz w:val="28"/>
          <w:szCs w:val="28"/>
          <w:lang w:val="es-ES_tradnl"/>
        </w:rPr>
      </w:pPr>
    </w:p>
    <w:p w14:paraId="7BF7CAAF" w14:textId="440623D1" w:rsidR="00311079" w:rsidRPr="004571E5" w:rsidRDefault="00311079" w:rsidP="000E0557">
      <w:pPr>
        <w:numPr>
          <w:ilvl w:val="0"/>
          <w:numId w:val="1"/>
        </w:numPr>
        <w:tabs>
          <w:tab w:val="left" w:pos="426"/>
        </w:tabs>
        <w:spacing w:after="0"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Con el propósito de resolver </w:t>
      </w:r>
      <w:r w:rsidR="002E76C8" w:rsidRPr="004571E5">
        <w:rPr>
          <w:rFonts w:ascii="Times New Roman" w:hAnsi="Times New Roman" w:cs="Times New Roman"/>
          <w:sz w:val="28"/>
          <w:szCs w:val="28"/>
          <w:lang w:val="es-ES_tradnl"/>
        </w:rPr>
        <w:t>los</w:t>
      </w:r>
      <w:r w:rsidRPr="004571E5">
        <w:rPr>
          <w:rFonts w:ascii="Times New Roman" w:hAnsi="Times New Roman" w:cs="Times New Roman"/>
          <w:sz w:val="28"/>
          <w:szCs w:val="28"/>
          <w:lang w:val="es-ES_tradnl"/>
        </w:rPr>
        <w:t xml:space="preserve"> caso</w:t>
      </w:r>
      <w:r w:rsidR="002E76C8" w:rsidRPr="004571E5">
        <w:rPr>
          <w:rFonts w:ascii="Times New Roman" w:hAnsi="Times New Roman" w:cs="Times New Roman"/>
          <w:sz w:val="28"/>
          <w:szCs w:val="28"/>
          <w:lang w:val="es-ES_tradnl"/>
        </w:rPr>
        <w:t>s planteados</w:t>
      </w:r>
      <w:r w:rsidR="009638CA" w:rsidRPr="004571E5">
        <w:rPr>
          <w:rFonts w:ascii="Times New Roman" w:hAnsi="Times New Roman" w:cs="Times New Roman"/>
          <w:sz w:val="28"/>
          <w:szCs w:val="28"/>
          <w:lang w:val="es-ES_tradnl"/>
        </w:rPr>
        <w:t>,</w:t>
      </w:r>
      <w:r w:rsidRPr="004571E5">
        <w:rPr>
          <w:rFonts w:ascii="Times New Roman" w:hAnsi="Times New Roman" w:cs="Times New Roman"/>
          <w:sz w:val="28"/>
          <w:szCs w:val="28"/>
          <w:lang w:val="es-ES_tradnl"/>
        </w:rPr>
        <w:t xml:space="preserve"> la Corte seguirá el siguiente orden. Inicialmente establecerá si las acciones de tutela presentadas cumplen los </w:t>
      </w:r>
      <w:r w:rsidR="00B56076" w:rsidRPr="004571E5">
        <w:rPr>
          <w:rFonts w:ascii="Times New Roman" w:hAnsi="Times New Roman" w:cs="Times New Roman"/>
          <w:sz w:val="28"/>
          <w:szCs w:val="28"/>
          <w:lang w:val="es-ES_tradnl"/>
        </w:rPr>
        <w:t>requisitos generales de procedencia</w:t>
      </w:r>
      <w:r w:rsidR="00F8262E" w:rsidRPr="004571E5">
        <w:rPr>
          <w:rFonts w:ascii="Times New Roman" w:hAnsi="Times New Roman" w:cs="Times New Roman"/>
          <w:sz w:val="28"/>
          <w:szCs w:val="28"/>
          <w:lang w:val="es-ES_tradnl"/>
        </w:rPr>
        <w:t xml:space="preserve"> (4.1)</w:t>
      </w:r>
      <w:r w:rsidR="00B56076" w:rsidRPr="004571E5">
        <w:rPr>
          <w:rFonts w:ascii="Times New Roman" w:hAnsi="Times New Roman" w:cs="Times New Roman"/>
          <w:sz w:val="28"/>
          <w:szCs w:val="28"/>
          <w:lang w:val="es-ES_tradnl"/>
        </w:rPr>
        <w:t xml:space="preserve">. En caso de ser ello así, la Corte </w:t>
      </w:r>
      <w:r w:rsidR="00375836" w:rsidRPr="004571E5">
        <w:rPr>
          <w:rFonts w:ascii="Times New Roman" w:hAnsi="Times New Roman" w:cs="Times New Roman"/>
          <w:sz w:val="28"/>
          <w:szCs w:val="28"/>
          <w:lang w:val="es-ES_tradnl"/>
        </w:rPr>
        <w:t xml:space="preserve">identificará el precedente aplicable </w:t>
      </w:r>
      <w:r w:rsidR="002E76C8" w:rsidRPr="004571E5">
        <w:rPr>
          <w:rFonts w:ascii="Times New Roman" w:hAnsi="Times New Roman" w:cs="Times New Roman"/>
          <w:sz w:val="28"/>
          <w:szCs w:val="28"/>
          <w:lang w:val="es-ES_tradnl"/>
        </w:rPr>
        <w:t xml:space="preserve">a la cuestión debatida y, en </w:t>
      </w:r>
      <w:r w:rsidR="009638CA" w:rsidRPr="004571E5">
        <w:rPr>
          <w:rFonts w:ascii="Times New Roman" w:hAnsi="Times New Roman" w:cs="Times New Roman"/>
          <w:sz w:val="28"/>
          <w:szCs w:val="28"/>
          <w:lang w:val="es-ES_tradnl"/>
        </w:rPr>
        <w:t>particular, precisará</w:t>
      </w:r>
      <w:r w:rsidR="00375836" w:rsidRPr="004571E5">
        <w:rPr>
          <w:rFonts w:ascii="Times New Roman" w:hAnsi="Times New Roman" w:cs="Times New Roman"/>
          <w:sz w:val="28"/>
          <w:szCs w:val="28"/>
          <w:lang w:val="es-ES_tradnl"/>
        </w:rPr>
        <w:t xml:space="preserve"> las reglas vigentes </w:t>
      </w:r>
      <w:r w:rsidR="00B56076" w:rsidRPr="004571E5">
        <w:rPr>
          <w:rFonts w:ascii="Times New Roman" w:hAnsi="Times New Roman" w:cs="Times New Roman"/>
          <w:sz w:val="28"/>
          <w:szCs w:val="28"/>
          <w:lang w:val="es-ES_tradnl"/>
        </w:rPr>
        <w:t xml:space="preserve">en materia de </w:t>
      </w:r>
      <w:r w:rsidR="007A0EDC" w:rsidRPr="004571E5">
        <w:rPr>
          <w:rFonts w:ascii="Times New Roman" w:hAnsi="Times New Roman" w:cs="Times New Roman"/>
          <w:sz w:val="28"/>
          <w:szCs w:val="28"/>
          <w:lang w:val="es-ES_tradnl"/>
        </w:rPr>
        <w:t>valoración</w:t>
      </w:r>
      <w:r w:rsidR="00B56076" w:rsidRPr="004571E5">
        <w:rPr>
          <w:rFonts w:ascii="Times New Roman" w:hAnsi="Times New Roman" w:cs="Times New Roman"/>
          <w:sz w:val="28"/>
          <w:szCs w:val="28"/>
          <w:lang w:val="es-ES_tradnl"/>
        </w:rPr>
        <w:t xml:space="preserve"> probatoria </w:t>
      </w:r>
      <w:r w:rsidR="00302762" w:rsidRPr="004571E5">
        <w:rPr>
          <w:rFonts w:ascii="Times New Roman" w:hAnsi="Times New Roman" w:cs="Times New Roman"/>
          <w:sz w:val="28"/>
          <w:szCs w:val="28"/>
          <w:lang w:val="es-ES_tradnl"/>
        </w:rPr>
        <w:t>para</w:t>
      </w:r>
      <w:r w:rsidR="00B56076" w:rsidRPr="004571E5">
        <w:rPr>
          <w:rFonts w:ascii="Times New Roman" w:hAnsi="Times New Roman" w:cs="Times New Roman"/>
          <w:sz w:val="28"/>
          <w:szCs w:val="28"/>
          <w:lang w:val="es-ES_tradnl"/>
        </w:rPr>
        <w:t xml:space="preserve"> casos de ejecuciones extrajudiciales</w:t>
      </w:r>
      <w:r w:rsidR="00B3327F" w:rsidRPr="004571E5">
        <w:rPr>
          <w:rFonts w:ascii="Times New Roman" w:hAnsi="Times New Roman" w:cs="Times New Roman"/>
          <w:sz w:val="28"/>
          <w:szCs w:val="28"/>
          <w:lang w:val="es-ES_tradnl"/>
        </w:rPr>
        <w:t xml:space="preserve"> a efectos de establecer, a </w:t>
      </w:r>
      <w:proofErr w:type="gramStart"/>
      <w:r w:rsidR="00B3327F" w:rsidRPr="004571E5">
        <w:rPr>
          <w:rFonts w:ascii="Times New Roman" w:hAnsi="Times New Roman" w:cs="Times New Roman"/>
          <w:sz w:val="28"/>
          <w:szCs w:val="28"/>
          <w:lang w:val="es-ES_tradnl"/>
        </w:rPr>
        <w:t xml:space="preserve">continuación, </w:t>
      </w:r>
      <w:r w:rsidR="00F8262E" w:rsidRPr="004571E5">
        <w:rPr>
          <w:rFonts w:ascii="Times New Roman" w:hAnsi="Times New Roman" w:cs="Times New Roman"/>
          <w:sz w:val="28"/>
          <w:szCs w:val="28"/>
          <w:lang w:val="es-ES_tradnl"/>
        </w:rPr>
        <w:t xml:space="preserve"> (</w:t>
      </w:r>
      <w:proofErr w:type="gramEnd"/>
      <w:r w:rsidR="00F8262E" w:rsidRPr="004571E5">
        <w:rPr>
          <w:rFonts w:ascii="Times New Roman" w:hAnsi="Times New Roman" w:cs="Times New Roman"/>
          <w:sz w:val="28"/>
          <w:szCs w:val="28"/>
          <w:lang w:val="es-ES_tradnl"/>
        </w:rPr>
        <w:t xml:space="preserve">4.2) </w:t>
      </w:r>
      <w:r w:rsidR="00B56076" w:rsidRPr="004571E5">
        <w:rPr>
          <w:rFonts w:ascii="Times New Roman" w:hAnsi="Times New Roman" w:cs="Times New Roman"/>
          <w:sz w:val="28"/>
          <w:szCs w:val="28"/>
          <w:lang w:val="es-ES_tradnl"/>
        </w:rPr>
        <w:t>si las providencias judiciales cuestionadas incurrieron en los defectos alegados por los accionantes</w:t>
      </w:r>
      <w:r w:rsidR="00F8262E" w:rsidRPr="004571E5">
        <w:rPr>
          <w:rFonts w:ascii="Times New Roman" w:hAnsi="Times New Roman" w:cs="Times New Roman"/>
          <w:sz w:val="28"/>
          <w:szCs w:val="28"/>
          <w:lang w:val="es-ES_tradnl"/>
        </w:rPr>
        <w:t xml:space="preserve"> (4.3 y 4.4)</w:t>
      </w:r>
      <w:r w:rsidR="00B56076" w:rsidRPr="004571E5">
        <w:rPr>
          <w:rFonts w:ascii="Times New Roman" w:hAnsi="Times New Roman" w:cs="Times New Roman"/>
          <w:sz w:val="28"/>
          <w:szCs w:val="28"/>
          <w:lang w:val="es-ES_tradnl"/>
        </w:rPr>
        <w:t xml:space="preserve">.  </w:t>
      </w:r>
    </w:p>
    <w:p w14:paraId="634C0EA9" w14:textId="77777777" w:rsidR="00311079" w:rsidRPr="004571E5" w:rsidRDefault="00311079" w:rsidP="00481F2E">
      <w:pPr>
        <w:tabs>
          <w:tab w:val="left" w:pos="426"/>
        </w:tabs>
        <w:spacing w:after="0" w:line="240" w:lineRule="auto"/>
        <w:jc w:val="both"/>
        <w:rPr>
          <w:rFonts w:ascii="Times New Roman" w:hAnsi="Times New Roman" w:cs="Times New Roman"/>
          <w:sz w:val="28"/>
          <w:szCs w:val="28"/>
          <w:lang w:val="es-ES_tradnl"/>
        </w:rPr>
      </w:pPr>
    </w:p>
    <w:p w14:paraId="5F1C2D32" w14:textId="027D6840" w:rsidR="00B56076" w:rsidRPr="004571E5" w:rsidRDefault="00B56076" w:rsidP="00311079">
      <w:pPr>
        <w:pStyle w:val="Prrafodelista"/>
        <w:numPr>
          <w:ilvl w:val="1"/>
          <w:numId w:val="34"/>
        </w:numPr>
        <w:tabs>
          <w:tab w:val="left" w:pos="426"/>
        </w:tabs>
        <w:spacing w:after="0" w:line="240" w:lineRule="auto"/>
        <w:ind w:left="0" w:firstLine="0"/>
        <w:jc w:val="both"/>
        <w:rPr>
          <w:rFonts w:ascii="Times New Roman" w:hAnsi="Times New Roman" w:cs="Times New Roman"/>
          <w:b/>
          <w:bCs/>
          <w:sz w:val="28"/>
          <w:szCs w:val="28"/>
          <w:lang w:val="es-ES_tradnl"/>
        </w:rPr>
      </w:pPr>
      <w:r w:rsidRPr="004571E5">
        <w:rPr>
          <w:rFonts w:ascii="Times New Roman" w:hAnsi="Times New Roman" w:cs="Times New Roman"/>
          <w:b/>
          <w:bCs/>
          <w:sz w:val="28"/>
          <w:szCs w:val="28"/>
          <w:lang w:val="es-ES_tradnl"/>
        </w:rPr>
        <w:t xml:space="preserve"> Las acciones de tutela presentadas cumplen los requisitos generales de procedencia </w:t>
      </w:r>
      <w:r w:rsidR="00311079" w:rsidRPr="004571E5">
        <w:rPr>
          <w:rFonts w:ascii="Times New Roman" w:hAnsi="Times New Roman" w:cs="Times New Roman"/>
          <w:b/>
          <w:bCs/>
          <w:sz w:val="28"/>
          <w:szCs w:val="28"/>
          <w:lang w:val="es-ES_tradnl"/>
        </w:rPr>
        <w:t xml:space="preserve"> </w:t>
      </w:r>
    </w:p>
    <w:p w14:paraId="057FD207" w14:textId="580A611D" w:rsidR="00B56076" w:rsidRPr="004571E5" w:rsidRDefault="00B56076" w:rsidP="00B56076">
      <w:pPr>
        <w:pStyle w:val="Prrafodelista"/>
        <w:tabs>
          <w:tab w:val="left" w:pos="426"/>
        </w:tabs>
        <w:spacing w:after="0" w:line="240" w:lineRule="auto"/>
        <w:ind w:left="0"/>
        <w:jc w:val="both"/>
        <w:rPr>
          <w:rFonts w:ascii="Times New Roman" w:hAnsi="Times New Roman" w:cs="Times New Roman"/>
          <w:b/>
          <w:bCs/>
          <w:sz w:val="28"/>
          <w:szCs w:val="28"/>
          <w:lang w:val="es-ES_tradnl"/>
        </w:rPr>
      </w:pPr>
    </w:p>
    <w:p w14:paraId="6FDB9DBA" w14:textId="77777777" w:rsidR="00BD3379" w:rsidRPr="004571E5" w:rsidRDefault="00B56076" w:rsidP="000E0557">
      <w:pPr>
        <w:numPr>
          <w:ilvl w:val="0"/>
          <w:numId w:val="1"/>
        </w:numPr>
        <w:tabs>
          <w:tab w:val="left" w:pos="426"/>
        </w:tabs>
        <w:spacing w:after="0" w:line="240" w:lineRule="auto"/>
        <w:jc w:val="both"/>
        <w:rPr>
          <w:rFonts w:ascii="Times New Roman" w:hAnsi="Times New Roman" w:cs="Times New Roman"/>
          <w:bCs/>
          <w:i/>
          <w:iCs/>
          <w:sz w:val="28"/>
          <w:szCs w:val="28"/>
          <w:lang w:val="es-ES_tradnl"/>
        </w:rPr>
      </w:pPr>
      <w:r w:rsidRPr="004571E5">
        <w:rPr>
          <w:rFonts w:ascii="Times New Roman" w:hAnsi="Times New Roman" w:cs="Times New Roman"/>
          <w:bCs/>
          <w:iCs/>
          <w:sz w:val="28"/>
          <w:szCs w:val="28"/>
          <w:lang w:val="es-ES_tradnl"/>
        </w:rPr>
        <w:t>La Corte encuentra que las acciones de tutela presentadas satisfacen las exigencias generales de procedencia. A continuación</w:t>
      </w:r>
      <w:r w:rsidR="00A92E9A" w:rsidRPr="004571E5">
        <w:rPr>
          <w:rFonts w:ascii="Times New Roman" w:hAnsi="Times New Roman" w:cs="Times New Roman"/>
          <w:bCs/>
          <w:iCs/>
          <w:sz w:val="28"/>
          <w:szCs w:val="28"/>
          <w:lang w:val="es-ES_tradnl"/>
        </w:rPr>
        <w:t>,</w:t>
      </w:r>
      <w:r w:rsidRPr="004571E5">
        <w:rPr>
          <w:rFonts w:ascii="Times New Roman" w:hAnsi="Times New Roman" w:cs="Times New Roman"/>
          <w:bCs/>
          <w:iCs/>
          <w:sz w:val="28"/>
          <w:szCs w:val="28"/>
          <w:lang w:val="es-ES_tradnl"/>
        </w:rPr>
        <w:t xml:space="preserve"> se presentan las razones</w:t>
      </w:r>
      <w:r w:rsidR="00A92E9A" w:rsidRPr="004571E5">
        <w:rPr>
          <w:rFonts w:ascii="Times New Roman" w:hAnsi="Times New Roman" w:cs="Times New Roman"/>
          <w:bCs/>
          <w:iCs/>
          <w:sz w:val="28"/>
          <w:szCs w:val="28"/>
          <w:lang w:val="es-ES_tradnl"/>
        </w:rPr>
        <w:t xml:space="preserve"> que fundamentan esta conclusión</w:t>
      </w:r>
      <w:r w:rsidRPr="004571E5">
        <w:rPr>
          <w:rFonts w:ascii="Times New Roman" w:hAnsi="Times New Roman" w:cs="Times New Roman"/>
          <w:bCs/>
          <w:iCs/>
          <w:sz w:val="28"/>
          <w:szCs w:val="28"/>
          <w:lang w:val="es-ES_tradnl"/>
        </w:rPr>
        <w:t>.</w:t>
      </w:r>
    </w:p>
    <w:p w14:paraId="0E505E14" w14:textId="64CEE2B1" w:rsidR="00B56076" w:rsidRPr="004571E5" w:rsidRDefault="00B56076" w:rsidP="00BD3379">
      <w:pPr>
        <w:tabs>
          <w:tab w:val="left" w:pos="426"/>
        </w:tabs>
        <w:spacing w:after="0" w:line="240" w:lineRule="auto"/>
        <w:jc w:val="both"/>
        <w:rPr>
          <w:rFonts w:ascii="Times New Roman" w:hAnsi="Times New Roman" w:cs="Times New Roman"/>
          <w:bCs/>
          <w:i/>
          <w:iCs/>
          <w:sz w:val="28"/>
          <w:szCs w:val="28"/>
          <w:lang w:val="es-ES_tradnl"/>
        </w:rPr>
      </w:pPr>
      <w:r w:rsidRPr="004571E5">
        <w:rPr>
          <w:rFonts w:ascii="Times New Roman" w:hAnsi="Times New Roman" w:cs="Times New Roman"/>
          <w:bCs/>
          <w:iCs/>
          <w:sz w:val="28"/>
          <w:szCs w:val="28"/>
          <w:lang w:val="es-ES_tradnl"/>
        </w:rPr>
        <w:t xml:space="preserve"> </w:t>
      </w:r>
    </w:p>
    <w:p w14:paraId="681E33D0" w14:textId="26F7B766" w:rsidR="00BD3379" w:rsidRPr="004571E5" w:rsidRDefault="00BD3379" w:rsidP="00BD3379">
      <w:pPr>
        <w:numPr>
          <w:ilvl w:val="0"/>
          <w:numId w:val="1"/>
        </w:numPr>
        <w:tabs>
          <w:tab w:val="left" w:pos="426"/>
        </w:tabs>
        <w:spacing w:after="0" w:line="240" w:lineRule="auto"/>
        <w:jc w:val="both"/>
        <w:rPr>
          <w:rFonts w:ascii="Times New Roman" w:hAnsi="Times New Roman" w:cs="Times New Roman"/>
          <w:bCs/>
          <w:i/>
          <w:iCs/>
          <w:sz w:val="28"/>
          <w:szCs w:val="28"/>
          <w:lang w:val="es-ES_tradnl"/>
        </w:rPr>
      </w:pPr>
      <w:r w:rsidRPr="004571E5">
        <w:rPr>
          <w:rFonts w:ascii="Times New Roman" w:hAnsi="Times New Roman" w:cs="Times New Roman"/>
          <w:bCs/>
          <w:i/>
          <w:iCs/>
          <w:sz w:val="28"/>
          <w:szCs w:val="28"/>
          <w:lang w:val="es-ES_tradnl"/>
        </w:rPr>
        <w:t>Legitimación en la causa</w:t>
      </w:r>
      <w:r w:rsidRPr="004571E5">
        <w:rPr>
          <w:rFonts w:ascii="Times New Roman" w:hAnsi="Times New Roman" w:cs="Times New Roman"/>
          <w:bCs/>
          <w:sz w:val="28"/>
          <w:szCs w:val="28"/>
          <w:lang w:val="es-ES_tradnl"/>
        </w:rPr>
        <w:t>.</w:t>
      </w:r>
      <w:r w:rsidR="002E76C8" w:rsidRPr="004571E5">
        <w:rPr>
          <w:rFonts w:ascii="Times New Roman" w:hAnsi="Times New Roman" w:cs="Times New Roman"/>
          <w:bCs/>
          <w:sz w:val="28"/>
          <w:szCs w:val="28"/>
          <w:lang w:val="es-ES_tradnl"/>
        </w:rPr>
        <w:t xml:space="preserve"> En los dos expedientes</w:t>
      </w:r>
      <w:r w:rsidRPr="004571E5">
        <w:rPr>
          <w:rFonts w:ascii="Times New Roman" w:hAnsi="Times New Roman" w:cs="Times New Roman"/>
          <w:bCs/>
          <w:sz w:val="28"/>
          <w:szCs w:val="28"/>
          <w:lang w:val="es-ES_tradnl"/>
        </w:rPr>
        <w:t xml:space="preserve"> la acción de tutela fue promovida</w:t>
      </w:r>
      <w:r w:rsidR="002E76C8" w:rsidRPr="004571E5">
        <w:rPr>
          <w:rFonts w:ascii="Times New Roman" w:hAnsi="Times New Roman" w:cs="Times New Roman"/>
          <w:bCs/>
          <w:sz w:val="28"/>
          <w:szCs w:val="28"/>
          <w:lang w:val="es-ES_tradnl"/>
        </w:rPr>
        <w:t>, mediante apoderado especial,</w:t>
      </w:r>
      <w:r w:rsidRPr="004571E5">
        <w:rPr>
          <w:rFonts w:ascii="Times New Roman" w:hAnsi="Times New Roman" w:cs="Times New Roman"/>
          <w:bCs/>
          <w:sz w:val="28"/>
          <w:szCs w:val="28"/>
          <w:lang w:val="es-ES_tradnl"/>
        </w:rPr>
        <w:t xml:space="preserve"> por </w:t>
      </w:r>
      <w:r w:rsidR="002E76C8" w:rsidRPr="004571E5">
        <w:rPr>
          <w:rFonts w:ascii="Times New Roman" w:hAnsi="Times New Roman" w:cs="Times New Roman"/>
          <w:bCs/>
          <w:sz w:val="28"/>
          <w:szCs w:val="28"/>
          <w:lang w:val="es-ES_tradnl"/>
        </w:rPr>
        <w:t xml:space="preserve">quienes integraron la </w:t>
      </w:r>
      <w:r w:rsidRPr="004571E5">
        <w:rPr>
          <w:rFonts w:ascii="Times New Roman" w:hAnsi="Times New Roman" w:cs="Times New Roman"/>
          <w:bCs/>
          <w:sz w:val="28"/>
          <w:szCs w:val="28"/>
          <w:lang w:val="es-ES_tradnl"/>
        </w:rPr>
        <w:t>parte</w:t>
      </w:r>
      <w:r w:rsidR="002E76C8" w:rsidRPr="004571E5">
        <w:rPr>
          <w:rFonts w:ascii="Times New Roman" w:hAnsi="Times New Roman" w:cs="Times New Roman"/>
          <w:bCs/>
          <w:sz w:val="28"/>
          <w:szCs w:val="28"/>
          <w:lang w:val="es-ES_tradnl"/>
        </w:rPr>
        <w:t xml:space="preserve"> demandante</w:t>
      </w:r>
      <w:r w:rsidRPr="004571E5">
        <w:rPr>
          <w:rFonts w:ascii="Times New Roman" w:hAnsi="Times New Roman" w:cs="Times New Roman"/>
          <w:bCs/>
          <w:sz w:val="28"/>
          <w:szCs w:val="28"/>
          <w:lang w:val="es-ES_tradnl"/>
        </w:rPr>
        <w:t xml:space="preserve"> en </w:t>
      </w:r>
      <w:r w:rsidR="002E76C8" w:rsidRPr="004571E5">
        <w:rPr>
          <w:rFonts w:ascii="Times New Roman" w:hAnsi="Times New Roman" w:cs="Times New Roman"/>
          <w:bCs/>
          <w:sz w:val="28"/>
          <w:szCs w:val="28"/>
          <w:lang w:val="es-ES_tradnl"/>
        </w:rPr>
        <w:t xml:space="preserve">los </w:t>
      </w:r>
      <w:r w:rsidRPr="004571E5">
        <w:rPr>
          <w:rFonts w:ascii="Times New Roman" w:hAnsi="Times New Roman" w:cs="Times New Roman"/>
          <w:bCs/>
          <w:sz w:val="28"/>
          <w:szCs w:val="28"/>
          <w:lang w:val="es-ES_tradnl"/>
        </w:rPr>
        <w:t>proceso</w:t>
      </w:r>
      <w:r w:rsidR="009638CA" w:rsidRPr="004571E5">
        <w:rPr>
          <w:rFonts w:ascii="Times New Roman" w:hAnsi="Times New Roman" w:cs="Times New Roman"/>
          <w:bCs/>
          <w:sz w:val="28"/>
          <w:szCs w:val="28"/>
          <w:lang w:val="es-ES_tradnl"/>
        </w:rPr>
        <w:t>s</w:t>
      </w:r>
      <w:r w:rsidRPr="004571E5">
        <w:rPr>
          <w:rFonts w:ascii="Times New Roman" w:hAnsi="Times New Roman" w:cs="Times New Roman"/>
          <w:bCs/>
          <w:sz w:val="28"/>
          <w:szCs w:val="28"/>
          <w:lang w:val="es-ES_tradnl"/>
        </w:rPr>
        <w:t xml:space="preserve"> </w:t>
      </w:r>
      <w:r w:rsidR="002E76C8" w:rsidRPr="004571E5">
        <w:rPr>
          <w:rFonts w:ascii="Times New Roman" w:hAnsi="Times New Roman" w:cs="Times New Roman"/>
          <w:bCs/>
          <w:sz w:val="28"/>
          <w:szCs w:val="28"/>
          <w:lang w:val="es-ES_tradnl"/>
        </w:rPr>
        <w:t xml:space="preserve">adelantados ante la jurisdicción de lo </w:t>
      </w:r>
      <w:r w:rsidRPr="004571E5">
        <w:rPr>
          <w:rFonts w:ascii="Times New Roman" w:hAnsi="Times New Roman" w:cs="Times New Roman"/>
          <w:bCs/>
          <w:sz w:val="28"/>
          <w:szCs w:val="28"/>
          <w:lang w:val="es-ES_tradnl"/>
        </w:rPr>
        <w:t>contencioso administrativo</w:t>
      </w:r>
      <w:r w:rsidR="00B23845" w:rsidRPr="004571E5">
        <w:rPr>
          <w:rStyle w:val="Refdenotaalpie"/>
          <w:rFonts w:ascii="Times New Roman" w:hAnsi="Times New Roman" w:cs="Times New Roman"/>
          <w:bCs/>
          <w:sz w:val="28"/>
          <w:szCs w:val="28"/>
          <w:lang w:val="es-ES_tradnl"/>
        </w:rPr>
        <w:footnoteReference w:id="35"/>
      </w:r>
      <w:r w:rsidRPr="004571E5">
        <w:rPr>
          <w:rFonts w:ascii="Times New Roman" w:hAnsi="Times New Roman" w:cs="Times New Roman"/>
          <w:bCs/>
          <w:sz w:val="28"/>
          <w:szCs w:val="28"/>
          <w:lang w:val="es-ES_tradnl"/>
        </w:rPr>
        <w:t>. Además, ambas acciones de tutela se dirigieron contra las autoridades que profirieron las decisiones atacadas -la Subsección C de la Sección Tercera de la Sala Contencioso Administrativa del Consejo de Estado en ambos casos y el Tribunal Administrativo de Norte de Santander para el Caso 2-.</w:t>
      </w:r>
    </w:p>
    <w:p w14:paraId="539D99A6" w14:textId="77777777" w:rsidR="00BD3379" w:rsidRPr="004571E5" w:rsidRDefault="00BD3379" w:rsidP="00BD3379">
      <w:pPr>
        <w:tabs>
          <w:tab w:val="left" w:pos="426"/>
        </w:tabs>
        <w:spacing w:after="0" w:line="240" w:lineRule="auto"/>
        <w:jc w:val="both"/>
        <w:rPr>
          <w:rFonts w:ascii="Times New Roman" w:hAnsi="Times New Roman" w:cs="Times New Roman"/>
          <w:bCs/>
          <w:i/>
          <w:iCs/>
          <w:sz w:val="28"/>
          <w:szCs w:val="28"/>
          <w:lang w:val="es-ES_tradnl"/>
        </w:rPr>
      </w:pPr>
    </w:p>
    <w:p w14:paraId="32BF5D38" w14:textId="5F7AE2AE" w:rsidR="00BD3379" w:rsidRPr="004571E5" w:rsidRDefault="00BD3379" w:rsidP="00BD3379">
      <w:pPr>
        <w:numPr>
          <w:ilvl w:val="0"/>
          <w:numId w:val="1"/>
        </w:numPr>
        <w:tabs>
          <w:tab w:val="left" w:pos="426"/>
        </w:tabs>
        <w:spacing w:after="0" w:line="240" w:lineRule="auto"/>
        <w:jc w:val="both"/>
        <w:rPr>
          <w:rFonts w:ascii="Times New Roman" w:hAnsi="Times New Roman" w:cs="Times New Roman"/>
          <w:bCs/>
          <w:i/>
          <w:iCs/>
          <w:sz w:val="28"/>
          <w:szCs w:val="28"/>
          <w:lang w:val="es-ES_tradnl"/>
        </w:rPr>
      </w:pPr>
      <w:r w:rsidRPr="004571E5">
        <w:rPr>
          <w:rFonts w:ascii="Times New Roman" w:hAnsi="Times New Roman" w:cs="Times New Roman"/>
          <w:bCs/>
          <w:i/>
          <w:iCs/>
          <w:sz w:val="28"/>
          <w:szCs w:val="28"/>
          <w:lang w:val="es-ES_tradnl"/>
        </w:rPr>
        <w:t>Relevancia constitucional</w:t>
      </w:r>
      <w:r w:rsidRPr="004571E5">
        <w:rPr>
          <w:rFonts w:ascii="Times New Roman" w:hAnsi="Times New Roman" w:cs="Times New Roman"/>
          <w:bCs/>
          <w:sz w:val="28"/>
          <w:szCs w:val="28"/>
          <w:lang w:val="es-ES_tradnl"/>
        </w:rPr>
        <w:t>. En la sentencia SU-134 de 2022</w:t>
      </w:r>
      <w:r w:rsidR="00DF2091" w:rsidRPr="004571E5">
        <w:rPr>
          <w:rStyle w:val="Refdenotaalpie"/>
          <w:rFonts w:ascii="Times New Roman" w:hAnsi="Times New Roman" w:cs="Times New Roman"/>
          <w:bCs/>
          <w:sz w:val="28"/>
          <w:szCs w:val="28"/>
          <w:lang w:val="es-ES_tradnl"/>
        </w:rPr>
        <w:footnoteReference w:id="36"/>
      </w:r>
      <w:r w:rsidRPr="004571E5">
        <w:rPr>
          <w:rFonts w:ascii="Times New Roman" w:hAnsi="Times New Roman" w:cs="Times New Roman"/>
          <w:bCs/>
          <w:sz w:val="28"/>
          <w:szCs w:val="28"/>
          <w:lang w:val="es-ES_tradnl"/>
        </w:rPr>
        <w:t xml:space="preserve"> se establecieron tres elementos para acreditar el cumplimiento de este requisito: (i) la controversia debe versar sobre un asunto constitucional y no meramente legal o económico; (</w:t>
      </w:r>
      <w:proofErr w:type="spellStart"/>
      <w:r w:rsidRPr="004571E5">
        <w:rPr>
          <w:rFonts w:ascii="Times New Roman" w:hAnsi="Times New Roman" w:cs="Times New Roman"/>
          <w:bCs/>
          <w:sz w:val="28"/>
          <w:szCs w:val="28"/>
          <w:lang w:val="es-ES_tradnl"/>
        </w:rPr>
        <w:t>ii</w:t>
      </w:r>
      <w:proofErr w:type="spellEnd"/>
      <w:r w:rsidRPr="004571E5">
        <w:rPr>
          <w:rFonts w:ascii="Times New Roman" w:hAnsi="Times New Roman" w:cs="Times New Roman"/>
          <w:bCs/>
          <w:sz w:val="28"/>
          <w:szCs w:val="28"/>
          <w:lang w:val="es-ES_tradnl"/>
        </w:rPr>
        <w:t>) el caso debe involucrar algún debate jurídico que gire en torno al contenido, alcance y goce de algún derecho fundamental; y (</w:t>
      </w:r>
      <w:proofErr w:type="spellStart"/>
      <w:r w:rsidRPr="004571E5">
        <w:rPr>
          <w:rFonts w:ascii="Times New Roman" w:hAnsi="Times New Roman" w:cs="Times New Roman"/>
          <w:bCs/>
          <w:sz w:val="28"/>
          <w:szCs w:val="28"/>
          <w:lang w:val="es-ES_tradnl"/>
        </w:rPr>
        <w:t>iii</w:t>
      </w:r>
      <w:proofErr w:type="spellEnd"/>
      <w:r w:rsidRPr="004571E5">
        <w:rPr>
          <w:rFonts w:ascii="Times New Roman" w:hAnsi="Times New Roman" w:cs="Times New Roman"/>
          <w:bCs/>
          <w:sz w:val="28"/>
          <w:szCs w:val="28"/>
          <w:lang w:val="es-ES_tradnl"/>
        </w:rPr>
        <w:t>) la acción de tutela no es una instancia o recurso adicional para reabrir debates meramente legales.</w:t>
      </w:r>
    </w:p>
    <w:p w14:paraId="1E98EB33" w14:textId="77777777" w:rsidR="00BD3379" w:rsidRPr="004571E5" w:rsidRDefault="00BD3379" w:rsidP="00BD3379">
      <w:pPr>
        <w:tabs>
          <w:tab w:val="left" w:pos="426"/>
        </w:tabs>
        <w:spacing w:after="0" w:line="240" w:lineRule="auto"/>
        <w:jc w:val="both"/>
        <w:rPr>
          <w:rFonts w:ascii="Times New Roman" w:hAnsi="Times New Roman" w:cs="Times New Roman"/>
          <w:bCs/>
          <w:i/>
          <w:iCs/>
          <w:sz w:val="28"/>
          <w:szCs w:val="28"/>
          <w:lang w:val="es-ES_tradnl"/>
        </w:rPr>
      </w:pPr>
    </w:p>
    <w:p w14:paraId="6F4BE9DB" w14:textId="7A1C6E14" w:rsidR="00BD3379" w:rsidRPr="004571E5" w:rsidRDefault="001D6A8A" w:rsidP="00400146">
      <w:pPr>
        <w:numPr>
          <w:ilvl w:val="0"/>
          <w:numId w:val="1"/>
        </w:numPr>
        <w:tabs>
          <w:tab w:val="left" w:pos="426"/>
        </w:tabs>
        <w:spacing w:after="0" w:line="240" w:lineRule="auto"/>
        <w:jc w:val="both"/>
        <w:rPr>
          <w:rFonts w:ascii="Times New Roman" w:hAnsi="Times New Roman" w:cs="Times New Roman"/>
          <w:bCs/>
          <w:i/>
          <w:iCs/>
          <w:sz w:val="28"/>
          <w:szCs w:val="28"/>
          <w:lang w:val="es-ES_tradnl"/>
        </w:rPr>
      </w:pPr>
      <w:r w:rsidRPr="004571E5">
        <w:rPr>
          <w:rFonts w:ascii="Times New Roman" w:hAnsi="Times New Roman" w:cs="Times New Roman"/>
          <w:bCs/>
          <w:sz w:val="28"/>
          <w:szCs w:val="28"/>
          <w:lang w:val="es-ES_tradnl"/>
        </w:rPr>
        <w:t>En el</w:t>
      </w:r>
      <w:r w:rsidR="00BD3379" w:rsidRPr="004571E5">
        <w:rPr>
          <w:rFonts w:ascii="Times New Roman" w:hAnsi="Times New Roman" w:cs="Times New Roman"/>
          <w:bCs/>
          <w:sz w:val="28"/>
          <w:szCs w:val="28"/>
          <w:lang w:val="es-ES_tradnl"/>
        </w:rPr>
        <w:t xml:space="preserve"> Caso 1 este requisito se cumple </w:t>
      </w:r>
      <w:r w:rsidR="00375836" w:rsidRPr="004571E5">
        <w:rPr>
          <w:rFonts w:ascii="Times New Roman" w:hAnsi="Times New Roman" w:cs="Times New Roman"/>
          <w:bCs/>
          <w:sz w:val="28"/>
          <w:szCs w:val="28"/>
          <w:lang w:val="es-ES_tradnl"/>
        </w:rPr>
        <w:t xml:space="preserve">por tres razones. Primero, se discute el desconocimiento del precedente fijado por la Corte Constitucional respecto </w:t>
      </w:r>
      <w:r w:rsidR="007A0EDC" w:rsidRPr="004571E5">
        <w:rPr>
          <w:rFonts w:ascii="Times New Roman" w:hAnsi="Times New Roman" w:cs="Times New Roman"/>
          <w:bCs/>
          <w:sz w:val="28"/>
          <w:szCs w:val="28"/>
          <w:lang w:val="es-ES_tradnl"/>
        </w:rPr>
        <w:t>del estándar especialmente fijado para la valoración</w:t>
      </w:r>
      <w:r w:rsidR="00BD3379" w:rsidRPr="004571E5">
        <w:rPr>
          <w:rFonts w:ascii="Times New Roman" w:hAnsi="Times New Roman" w:cs="Times New Roman"/>
          <w:bCs/>
          <w:sz w:val="28"/>
          <w:szCs w:val="28"/>
          <w:lang w:val="es-ES_tradnl"/>
        </w:rPr>
        <w:t xml:space="preserve"> probatoria cuando la demanda se sustenta en la alegación de ejecuciones extrajudiciales</w:t>
      </w:r>
      <w:r w:rsidR="00375836" w:rsidRPr="004571E5">
        <w:rPr>
          <w:rFonts w:ascii="Times New Roman" w:hAnsi="Times New Roman" w:cs="Times New Roman"/>
          <w:bCs/>
          <w:sz w:val="28"/>
          <w:szCs w:val="28"/>
          <w:lang w:val="es-ES_tradnl"/>
        </w:rPr>
        <w:t xml:space="preserve">. Específicamente, los accionantes invocaron el desconocimiento de las sentencias T-237 de 2017, SU-035 de 2018 y SU-060 de 2021. </w:t>
      </w:r>
      <w:r w:rsidR="00302762" w:rsidRPr="004571E5">
        <w:rPr>
          <w:rFonts w:ascii="Times New Roman" w:hAnsi="Times New Roman" w:cs="Times New Roman"/>
          <w:bCs/>
          <w:sz w:val="28"/>
          <w:szCs w:val="28"/>
          <w:lang w:val="es-ES_tradnl"/>
        </w:rPr>
        <w:t xml:space="preserve">Igualmente, se plantea el desconocimiento del precedente horizontal establecido en las sentencias </w:t>
      </w:r>
      <w:r w:rsidR="00302762" w:rsidRPr="004571E5">
        <w:rPr>
          <w:rFonts w:ascii="Times New Roman" w:hAnsi="Times New Roman" w:cs="Times New Roman"/>
          <w:sz w:val="28"/>
          <w:szCs w:val="28"/>
        </w:rPr>
        <w:t>del 26 de octubre de 2011 (18850) de la Subsección B y del 10 de noviembre de 2016 (56282) de la Subsección C</w:t>
      </w:r>
      <w:r w:rsidR="00302762" w:rsidRPr="004571E5">
        <w:rPr>
          <w:rFonts w:ascii="Times New Roman" w:hAnsi="Times New Roman" w:cs="Times New Roman"/>
          <w:bCs/>
          <w:sz w:val="28"/>
          <w:szCs w:val="28"/>
          <w:lang w:val="es-ES_tradnl"/>
        </w:rPr>
        <w:t xml:space="preserve">. </w:t>
      </w:r>
      <w:r w:rsidR="00375836" w:rsidRPr="004571E5">
        <w:rPr>
          <w:rFonts w:ascii="Times New Roman" w:hAnsi="Times New Roman" w:cs="Times New Roman"/>
          <w:bCs/>
          <w:sz w:val="28"/>
          <w:szCs w:val="28"/>
          <w:lang w:val="es-ES_tradnl"/>
        </w:rPr>
        <w:t xml:space="preserve">Segundo, no se </w:t>
      </w:r>
      <w:r w:rsidR="00BD3379" w:rsidRPr="004571E5">
        <w:rPr>
          <w:rFonts w:ascii="Times New Roman" w:hAnsi="Times New Roman" w:cs="Times New Roman"/>
          <w:bCs/>
          <w:sz w:val="28"/>
          <w:szCs w:val="28"/>
          <w:lang w:val="es-ES_tradnl"/>
        </w:rPr>
        <w:t>busca reabrir el debate dado en instancias</w:t>
      </w:r>
      <w:r w:rsidR="00375836" w:rsidRPr="004571E5">
        <w:rPr>
          <w:rFonts w:ascii="Times New Roman" w:hAnsi="Times New Roman" w:cs="Times New Roman"/>
          <w:bCs/>
          <w:sz w:val="28"/>
          <w:szCs w:val="28"/>
          <w:lang w:val="es-ES_tradnl"/>
        </w:rPr>
        <w:t>,</w:t>
      </w:r>
      <w:r w:rsidR="00BD3379" w:rsidRPr="004571E5">
        <w:rPr>
          <w:rFonts w:ascii="Times New Roman" w:hAnsi="Times New Roman" w:cs="Times New Roman"/>
          <w:bCs/>
          <w:sz w:val="28"/>
          <w:szCs w:val="28"/>
          <w:lang w:val="es-ES_tradnl"/>
        </w:rPr>
        <w:t xml:space="preserve"> sino que se reprocha la valoración probatoria efectuada por el juez contencioso administrativo y el impacto que en ella tuvo la no consideración de las reglas en</w:t>
      </w:r>
      <w:r w:rsidR="007A0EDC" w:rsidRPr="004571E5">
        <w:rPr>
          <w:rFonts w:ascii="Times New Roman" w:hAnsi="Times New Roman" w:cs="Times New Roman"/>
          <w:bCs/>
          <w:sz w:val="28"/>
          <w:szCs w:val="28"/>
          <w:lang w:val="es-ES_tradnl"/>
        </w:rPr>
        <w:t xml:space="preserve"> la</w:t>
      </w:r>
      <w:r w:rsidR="00BD3379" w:rsidRPr="004571E5">
        <w:rPr>
          <w:rFonts w:ascii="Times New Roman" w:hAnsi="Times New Roman" w:cs="Times New Roman"/>
          <w:bCs/>
          <w:sz w:val="28"/>
          <w:szCs w:val="28"/>
          <w:lang w:val="es-ES_tradnl"/>
        </w:rPr>
        <w:t xml:space="preserve"> materia fijad</w:t>
      </w:r>
      <w:r w:rsidR="002E76C8" w:rsidRPr="004571E5">
        <w:rPr>
          <w:rFonts w:ascii="Times New Roman" w:hAnsi="Times New Roman" w:cs="Times New Roman"/>
          <w:bCs/>
          <w:sz w:val="28"/>
          <w:szCs w:val="28"/>
          <w:lang w:val="es-ES_tradnl"/>
        </w:rPr>
        <w:t>as</w:t>
      </w:r>
      <w:r w:rsidR="00BD3379" w:rsidRPr="004571E5">
        <w:rPr>
          <w:rFonts w:ascii="Times New Roman" w:hAnsi="Times New Roman" w:cs="Times New Roman"/>
          <w:bCs/>
          <w:sz w:val="28"/>
          <w:szCs w:val="28"/>
          <w:lang w:val="es-ES_tradnl"/>
        </w:rPr>
        <w:t xml:space="preserve"> por la jurisprudencia. </w:t>
      </w:r>
      <w:r w:rsidR="00375836" w:rsidRPr="004571E5">
        <w:rPr>
          <w:rFonts w:ascii="Times New Roman" w:hAnsi="Times New Roman" w:cs="Times New Roman"/>
          <w:bCs/>
          <w:sz w:val="28"/>
          <w:szCs w:val="28"/>
          <w:lang w:val="es-ES_tradnl"/>
        </w:rPr>
        <w:t>Más allá de pretender una nueva valoración del expediente, lo que los accionantes buscan es que</w:t>
      </w:r>
      <w:r w:rsidR="002E76C8" w:rsidRPr="004571E5">
        <w:rPr>
          <w:rFonts w:ascii="Times New Roman" w:hAnsi="Times New Roman" w:cs="Times New Roman"/>
          <w:bCs/>
          <w:sz w:val="28"/>
          <w:szCs w:val="28"/>
          <w:lang w:val="es-ES_tradnl"/>
        </w:rPr>
        <w:t xml:space="preserve"> los diferentes medios de prueba</w:t>
      </w:r>
      <w:r w:rsidR="00302762" w:rsidRPr="004571E5">
        <w:rPr>
          <w:rFonts w:ascii="Times New Roman" w:hAnsi="Times New Roman" w:cs="Times New Roman"/>
          <w:bCs/>
          <w:sz w:val="28"/>
          <w:szCs w:val="28"/>
          <w:lang w:val="es-ES_tradnl"/>
        </w:rPr>
        <w:t xml:space="preserve"> </w:t>
      </w:r>
      <w:r w:rsidR="00375836" w:rsidRPr="004571E5">
        <w:rPr>
          <w:rFonts w:ascii="Times New Roman" w:hAnsi="Times New Roman" w:cs="Times New Roman"/>
          <w:bCs/>
          <w:sz w:val="28"/>
          <w:szCs w:val="28"/>
          <w:lang w:val="es-ES_tradnl"/>
        </w:rPr>
        <w:t>sea</w:t>
      </w:r>
      <w:r w:rsidR="002E76C8" w:rsidRPr="004571E5">
        <w:rPr>
          <w:rFonts w:ascii="Times New Roman" w:hAnsi="Times New Roman" w:cs="Times New Roman"/>
          <w:bCs/>
          <w:sz w:val="28"/>
          <w:szCs w:val="28"/>
          <w:lang w:val="es-ES_tradnl"/>
        </w:rPr>
        <w:t>n considerados</w:t>
      </w:r>
      <w:r w:rsidR="00375836" w:rsidRPr="004571E5">
        <w:rPr>
          <w:rFonts w:ascii="Times New Roman" w:hAnsi="Times New Roman" w:cs="Times New Roman"/>
          <w:bCs/>
          <w:sz w:val="28"/>
          <w:szCs w:val="28"/>
          <w:lang w:val="es-ES_tradnl"/>
        </w:rPr>
        <w:t xml:space="preserve"> </w:t>
      </w:r>
      <w:r w:rsidR="002E76C8" w:rsidRPr="004571E5">
        <w:rPr>
          <w:rFonts w:ascii="Times New Roman" w:hAnsi="Times New Roman" w:cs="Times New Roman"/>
          <w:bCs/>
          <w:sz w:val="28"/>
          <w:szCs w:val="28"/>
          <w:lang w:val="es-ES_tradnl"/>
        </w:rPr>
        <w:t xml:space="preserve">a partir de las </w:t>
      </w:r>
      <w:r w:rsidR="002E76C8" w:rsidRPr="004571E5">
        <w:rPr>
          <w:rFonts w:ascii="Times New Roman" w:hAnsi="Times New Roman" w:cs="Times New Roman"/>
          <w:bCs/>
          <w:sz w:val="28"/>
          <w:szCs w:val="28"/>
          <w:lang w:val="es-ES_tradnl"/>
        </w:rPr>
        <w:lastRenderedPageBreak/>
        <w:t>reglas establecidas en la jurisprudencia</w:t>
      </w:r>
      <w:r w:rsidR="00375836" w:rsidRPr="004571E5">
        <w:rPr>
          <w:rFonts w:ascii="Times New Roman" w:hAnsi="Times New Roman" w:cs="Times New Roman"/>
          <w:bCs/>
          <w:sz w:val="28"/>
          <w:szCs w:val="28"/>
          <w:lang w:val="es-ES_tradnl"/>
        </w:rPr>
        <w:t>. Tercero, se discute un asunto de índole constitucional</w:t>
      </w:r>
      <w:r w:rsidR="002E76C8" w:rsidRPr="004571E5">
        <w:rPr>
          <w:rFonts w:ascii="Times New Roman" w:hAnsi="Times New Roman" w:cs="Times New Roman"/>
          <w:bCs/>
          <w:sz w:val="28"/>
          <w:szCs w:val="28"/>
          <w:lang w:val="es-ES_tradnl"/>
        </w:rPr>
        <w:t xml:space="preserve"> relativo a</w:t>
      </w:r>
      <w:r w:rsidR="00375836" w:rsidRPr="004571E5">
        <w:rPr>
          <w:rFonts w:ascii="Times New Roman" w:hAnsi="Times New Roman" w:cs="Times New Roman"/>
          <w:bCs/>
          <w:sz w:val="28"/>
          <w:szCs w:val="28"/>
          <w:lang w:val="es-ES_tradnl"/>
        </w:rPr>
        <w:t xml:space="preserve"> la </w:t>
      </w:r>
      <w:r w:rsidR="00BD3379" w:rsidRPr="004571E5">
        <w:rPr>
          <w:rFonts w:ascii="Times New Roman" w:hAnsi="Times New Roman" w:cs="Times New Roman"/>
          <w:bCs/>
          <w:sz w:val="28"/>
          <w:szCs w:val="28"/>
          <w:lang w:val="es-ES_tradnl"/>
        </w:rPr>
        <w:t>vulneración del derecho a la igualdad respecto de la existencia de un mismo conjunto de hechos con dos decisiones judiciales disímiles</w:t>
      </w:r>
      <w:r w:rsidR="007439CD" w:rsidRPr="004571E5">
        <w:rPr>
          <w:rFonts w:ascii="Times New Roman" w:hAnsi="Times New Roman" w:cs="Times New Roman"/>
          <w:bCs/>
          <w:sz w:val="28"/>
          <w:szCs w:val="28"/>
          <w:lang w:val="es-ES_tradnl"/>
        </w:rPr>
        <w:t xml:space="preserve"> y, al mismo tiempo, a tal controversia subyace un debate sobre el alcance del derecho a la reparación de las víctimas. </w:t>
      </w:r>
    </w:p>
    <w:p w14:paraId="1781FFEB" w14:textId="77777777" w:rsidR="00BD3379" w:rsidRPr="004571E5" w:rsidRDefault="00BD3379" w:rsidP="00BD3379">
      <w:pPr>
        <w:tabs>
          <w:tab w:val="left" w:pos="426"/>
        </w:tabs>
        <w:spacing w:after="0" w:line="240" w:lineRule="auto"/>
        <w:jc w:val="both"/>
        <w:rPr>
          <w:rFonts w:ascii="Times New Roman" w:hAnsi="Times New Roman" w:cs="Times New Roman"/>
          <w:bCs/>
          <w:i/>
          <w:iCs/>
          <w:sz w:val="28"/>
          <w:szCs w:val="28"/>
          <w:lang w:val="es-ES_tradnl"/>
        </w:rPr>
      </w:pPr>
    </w:p>
    <w:p w14:paraId="324BDC6D" w14:textId="11117240" w:rsidR="00F40240" w:rsidRPr="004571E5" w:rsidRDefault="002E76C8" w:rsidP="00375836">
      <w:pPr>
        <w:numPr>
          <w:ilvl w:val="0"/>
          <w:numId w:val="1"/>
        </w:numPr>
        <w:tabs>
          <w:tab w:val="left" w:pos="426"/>
        </w:tabs>
        <w:spacing w:after="0" w:line="240" w:lineRule="auto"/>
        <w:jc w:val="both"/>
        <w:rPr>
          <w:rFonts w:ascii="Times New Roman" w:hAnsi="Times New Roman" w:cs="Times New Roman"/>
          <w:bCs/>
          <w:i/>
          <w:iCs/>
          <w:sz w:val="28"/>
          <w:szCs w:val="28"/>
          <w:lang w:val="es-ES_tradnl"/>
        </w:rPr>
      </w:pPr>
      <w:r w:rsidRPr="004571E5">
        <w:rPr>
          <w:rFonts w:ascii="Times New Roman" w:hAnsi="Times New Roman" w:cs="Times New Roman"/>
          <w:bCs/>
          <w:sz w:val="28"/>
          <w:szCs w:val="28"/>
          <w:lang w:val="es-ES_tradnl"/>
        </w:rPr>
        <w:t xml:space="preserve">En </w:t>
      </w:r>
      <w:r w:rsidR="00BD3379" w:rsidRPr="004571E5">
        <w:rPr>
          <w:rFonts w:ascii="Times New Roman" w:hAnsi="Times New Roman" w:cs="Times New Roman"/>
          <w:bCs/>
          <w:sz w:val="28"/>
          <w:szCs w:val="28"/>
          <w:lang w:val="es-ES_tradnl"/>
        </w:rPr>
        <w:t xml:space="preserve">el Caso 2 </w:t>
      </w:r>
      <w:r w:rsidRPr="004571E5">
        <w:rPr>
          <w:rFonts w:ascii="Times New Roman" w:hAnsi="Times New Roman" w:cs="Times New Roman"/>
          <w:bCs/>
          <w:sz w:val="28"/>
          <w:szCs w:val="28"/>
          <w:lang w:val="es-ES_tradnl"/>
        </w:rPr>
        <w:t xml:space="preserve">la relevancia constitucional </w:t>
      </w:r>
      <w:r w:rsidR="00BD3379" w:rsidRPr="004571E5">
        <w:rPr>
          <w:rFonts w:ascii="Times New Roman" w:hAnsi="Times New Roman" w:cs="Times New Roman"/>
          <w:bCs/>
          <w:sz w:val="28"/>
          <w:szCs w:val="28"/>
          <w:lang w:val="es-ES_tradnl"/>
        </w:rPr>
        <w:t>se cumple</w:t>
      </w:r>
      <w:r w:rsidR="00375836" w:rsidRPr="004571E5">
        <w:rPr>
          <w:rFonts w:ascii="Times New Roman" w:hAnsi="Times New Roman" w:cs="Times New Roman"/>
          <w:bCs/>
          <w:sz w:val="28"/>
          <w:szCs w:val="28"/>
          <w:lang w:val="es-ES_tradnl"/>
        </w:rPr>
        <w:t xml:space="preserve"> </w:t>
      </w:r>
      <w:r w:rsidRPr="004571E5">
        <w:rPr>
          <w:rFonts w:ascii="Times New Roman" w:hAnsi="Times New Roman" w:cs="Times New Roman"/>
          <w:bCs/>
          <w:sz w:val="28"/>
          <w:szCs w:val="28"/>
          <w:lang w:val="es-ES_tradnl"/>
        </w:rPr>
        <w:t xml:space="preserve">también </w:t>
      </w:r>
      <w:r w:rsidR="00375836" w:rsidRPr="004571E5">
        <w:rPr>
          <w:rFonts w:ascii="Times New Roman" w:hAnsi="Times New Roman" w:cs="Times New Roman"/>
          <w:bCs/>
          <w:sz w:val="28"/>
          <w:szCs w:val="28"/>
          <w:lang w:val="es-ES_tradnl"/>
        </w:rPr>
        <w:t xml:space="preserve">por </w:t>
      </w:r>
      <w:r w:rsidR="007439CD" w:rsidRPr="004571E5">
        <w:rPr>
          <w:rFonts w:ascii="Times New Roman" w:hAnsi="Times New Roman" w:cs="Times New Roman"/>
          <w:bCs/>
          <w:sz w:val="28"/>
          <w:szCs w:val="28"/>
          <w:lang w:val="es-ES_tradnl"/>
        </w:rPr>
        <w:t>tres</w:t>
      </w:r>
      <w:r w:rsidR="00375836" w:rsidRPr="004571E5">
        <w:rPr>
          <w:rFonts w:ascii="Times New Roman" w:hAnsi="Times New Roman" w:cs="Times New Roman"/>
          <w:bCs/>
          <w:sz w:val="28"/>
          <w:szCs w:val="28"/>
          <w:lang w:val="es-ES_tradnl"/>
        </w:rPr>
        <w:t xml:space="preserve"> razones. Primero,</w:t>
      </w:r>
      <w:r w:rsidR="00F40240" w:rsidRPr="004571E5">
        <w:rPr>
          <w:rFonts w:ascii="Times New Roman" w:hAnsi="Times New Roman" w:cs="Times New Roman"/>
          <w:bCs/>
          <w:sz w:val="28"/>
          <w:szCs w:val="28"/>
          <w:lang w:val="es-ES_tradnl"/>
        </w:rPr>
        <w:t xml:space="preserve"> </w:t>
      </w:r>
      <w:r w:rsidR="00375836" w:rsidRPr="004571E5">
        <w:rPr>
          <w:rFonts w:ascii="Times New Roman" w:hAnsi="Times New Roman" w:cs="Times New Roman"/>
          <w:bCs/>
          <w:sz w:val="28"/>
          <w:szCs w:val="28"/>
          <w:lang w:val="es-ES_tradnl"/>
        </w:rPr>
        <w:t xml:space="preserve">se plantea una discusión de derecho constitucional representada en el desconocimiento del precedente horizontal de las sentencias </w:t>
      </w:r>
      <w:r w:rsidR="00302762" w:rsidRPr="004571E5">
        <w:rPr>
          <w:rFonts w:ascii="Times New Roman" w:hAnsi="Times New Roman" w:cs="Times New Roman"/>
          <w:sz w:val="28"/>
          <w:szCs w:val="28"/>
          <w:lang w:val="es-ES_tradnl"/>
        </w:rPr>
        <w:t>del 5 de marzo de 2015 (37310), del 7 de septiembre de 2015 (</w:t>
      </w:r>
      <w:r w:rsidR="00302762" w:rsidRPr="004571E5">
        <w:rPr>
          <w:rFonts w:ascii="Times New Roman" w:hAnsi="Times New Roman" w:cs="Times New Roman"/>
          <w:sz w:val="28"/>
          <w:szCs w:val="28"/>
        </w:rPr>
        <w:t>47671</w:t>
      </w:r>
      <w:r w:rsidR="00302762" w:rsidRPr="004571E5">
        <w:rPr>
          <w:rFonts w:ascii="Times New Roman" w:hAnsi="Times New Roman" w:cs="Times New Roman"/>
          <w:sz w:val="28"/>
          <w:szCs w:val="28"/>
          <w:lang w:val="es-ES_tradnl"/>
        </w:rPr>
        <w:t>) y del 28 de abril de 2021 (</w:t>
      </w:r>
      <w:r w:rsidR="00302762" w:rsidRPr="004571E5">
        <w:rPr>
          <w:rFonts w:ascii="Times New Roman" w:hAnsi="Times New Roman" w:cs="Times New Roman"/>
          <w:sz w:val="28"/>
          <w:szCs w:val="28"/>
        </w:rPr>
        <w:t>55287</w:t>
      </w:r>
      <w:r w:rsidR="00302762" w:rsidRPr="004571E5">
        <w:rPr>
          <w:rFonts w:ascii="Times New Roman" w:hAnsi="Times New Roman" w:cs="Times New Roman"/>
          <w:sz w:val="28"/>
          <w:szCs w:val="28"/>
          <w:lang w:val="es-ES_tradnl"/>
        </w:rPr>
        <w:t>)</w:t>
      </w:r>
      <w:r w:rsidR="00375836" w:rsidRPr="004571E5">
        <w:rPr>
          <w:rFonts w:ascii="Times New Roman" w:hAnsi="Times New Roman" w:cs="Times New Roman"/>
          <w:bCs/>
          <w:sz w:val="28"/>
          <w:szCs w:val="28"/>
          <w:lang w:val="es-ES_tradnl"/>
        </w:rPr>
        <w:t xml:space="preserve"> del Consejo de Estado. Como se indicó en las consideraciones, el respeto del precedente </w:t>
      </w:r>
      <w:r w:rsidRPr="004571E5">
        <w:rPr>
          <w:rFonts w:ascii="Times New Roman" w:hAnsi="Times New Roman" w:cs="Times New Roman"/>
          <w:bCs/>
          <w:sz w:val="28"/>
          <w:szCs w:val="28"/>
          <w:lang w:val="es-ES_tradnl"/>
        </w:rPr>
        <w:t xml:space="preserve">se articula </w:t>
      </w:r>
      <w:r w:rsidR="00375836" w:rsidRPr="004571E5">
        <w:rPr>
          <w:rFonts w:ascii="Times New Roman" w:hAnsi="Times New Roman" w:cs="Times New Roman"/>
          <w:bCs/>
          <w:sz w:val="28"/>
          <w:szCs w:val="28"/>
          <w:lang w:val="es-ES_tradnl"/>
        </w:rPr>
        <w:t>co</w:t>
      </w:r>
      <w:r w:rsidRPr="004571E5">
        <w:rPr>
          <w:rFonts w:ascii="Times New Roman" w:hAnsi="Times New Roman" w:cs="Times New Roman"/>
          <w:bCs/>
          <w:sz w:val="28"/>
          <w:szCs w:val="28"/>
          <w:lang w:val="es-ES_tradnl"/>
        </w:rPr>
        <w:t>n la protección d</w:t>
      </w:r>
      <w:r w:rsidR="00375836" w:rsidRPr="004571E5">
        <w:rPr>
          <w:rFonts w:ascii="Times New Roman" w:hAnsi="Times New Roman" w:cs="Times New Roman"/>
          <w:bCs/>
          <w:sz w:val="28"/>
          <w:szCs w:val="28"/>
          <w:lang w:val="es-ES_tradnl"/>
        </w:rPr>
        <w:t xml:space="preserve">el derecho a la igualdad y </w:t>
      </w:r>
      <w:r w:rsidRPr="004571E5">
        <w:rPr>
          <w:rFonts w:ascii="Times New Roman" w:hAnsi="Times New Roman" w:cs="Times New Roman"/>
          <w:bCs/>
          <w:sz w:val="28"/>
          <w:szCs w:val="28"/>
          <w:lang w:val="es-ES_tradnl"/>
        </w:rPr>
        <w:t xml:space="preserve">a </w:t>
      </w:r>
      <w:r w:rsidR="00375836" w:rsidRPr="004571E5">
        <w:rPr>
          <w:rFonts w:ascii="Times New Roman" w:hAnsi="Times New Roman" w:cs="Times New Roman"/>
          <w:bCs/>
          <w:sz w:val="28"/>
          <w:szCs w:val="28"/>
          <w:lang w:val="es-ES_tradnl"/>
        </w:rPr>
        <w:t xml:space="preserve">los principios constitucionales de seguridad jurídica y buena fe. Por ello, incluso si no se alega el desconocimiento de un </w:t>
      </w:r>
      <w:r w:rsidR="00D53781" w:rsidRPr="004571E5">
        <w:rPr>
          <w:rFonts w:ascii="Times New Roman" w:hAnsi="Times New Roman" w:cs="Times New Roman"/>
          <w:bCs/>
          <w:sz w:val="28"/>
          <w:szCs w:val="28"/>
          <w:lang w:val="es-ES_tradnl"/>
        </w:rPr>
        <w:t>precedente de la Corte Constitucional</w:t>
      </w:r>
      <w:r w:rsidR="00375836" w:rsidRPr="004571E5">
        <w:rPr>
          <w:rFonts w:ascii="Times New Roman" w:hAnsi="Times New Roman" w:cs="Times New Roman"/>
          <w:bCs/>
          <w:sz w:val="28"/>
          <w:szCs w:val="28"/>
          <w:lang w:val="es-ES_tradnl"/>
        </w:rPr>
        <w:t xml:space="preserve">, un reproche de esta naturaleza </w:t>
      </w:r>
      <w:r w:rsidR="0017181B" w:rsidRPr="004571E5">
        <w:rPr>
          <w:rFonts w:ascii="Times New Roman" w:hAnsi="Times New Roman" w:cs="Times New Roman"/>
          <w:bCs/>
          <w:sz w:val="28"/>
          <w:szCs w:val="28"/>
          <w:lang w:val="es-ES_tradnl"/>
        </w:rPr>
        <w:t xml:space="preserve">puede tener </w:t>
      </w:r>
      <w:r w:rsidR="00375836" w:rsidRPr="004571E5">
        <w:rPr>
          <w:rFonts w:ascii="Times New Roman" w:hAnsi="Times New Roman" w:cs="Times New Roman"/>
          <w:bCs/>
          <w:sz w:val="28"/>
          <w:szCs w:val="28"/>
          <w:lang w:val="es-ES_tradnl"/>
        </w:rPr>
        <w:t>relevancia</w:t>
      </w:r>
      <w:r w:rsidR="0017181B" w:rsidRPr="004571E5">
        <w:rPr>
          <w:rFonts w:ascii="Times New Roman" w:hAnsi="Times New Roman" w:cs="Times New Roman"/>
          <w:bCs/>
          <w:sz w:val="28"/>
          <w:szCs w:val="28"/>
          <w:lang w:val="es-ES_tradnl"/>
        </w:rPr>
        <w:t xml:space="preserve"> desde la perspectiva de la acción de tutela</w:t>
      </w:r>
      <w:r w:rsidR="00375836" w:rsidRPr="004571E5">
        <w:rPr>
          <w:rFonts w:ascii="Times New Roman" w:hAnsi="Times New Roman" w:cs="Times New Roman"/>
          <w:bCs/>
          <w:sz w:val="28"/>
          <w:szCs w:val="28"/>
          <w:lang w:val="es-ES_tradnl"/>
        </w:rPr>
        <w:t xml:space="preserve">. Segundo, de manera similar al caso anterior, </w:t>
      </w:r>
      <w:r w:rsidR="00F40240" w:rsidRPr="004571E5">
        <w:rPr>
          <w:rFonts w:ascii="Times New Roman" w:hAnsi="Times New Roman" w:cs="Times New Roman"/>
          <w:bCs/>
          <w:sz w:val="28"/>
          <w:szCs w:val="28"/>
          <w:lang w:val="es-ES_tradnl"/>
        </w:rPr>
        <w:t xml:space="preserve">no se busca reabrir el debate dado en </w:t>
      </w:r>
      <w:r w:rsidR="00302762" w:rsidRPr="004571E5">
        <w:rPr>
          <w:rFonts w:ascii="Times New Roman" w:hAnsi="Times New Roman" w:cs="Times New Roman"/>
          <w:bCs/>
          <w:sz w:val="28"/>
          <w:szCs w:val="28"/>
          <w:lang w:val="es-ES_tradnl"/>
        </w:rPr>
        <w:t>instancias,</w:t>
      </w:r>
      <w:r w:rsidR="00F40240" w:rsidRPr="004571E5">
        <w:rPr>
          <w:rFonts w:ascii="Times New Roman" w:hAnsi="Times New Roman" w:cs="Times New Roman"/>
          <w:bCs/>
          <w:sz w:val="28"/>
          <w:szCs w:val="28"/>
          <w:lang w:val="es-ES_tradnl"/>
        </w:rPr>
        <w:t xml:space="preserve"> sino que se reprocha la valoración probatoria efectuada por los jueces </w:t>
      </w:r>
      <w:proofErr w:type="gramStart"/>
      <w:r w:rsidR="00F40240" w:rsidRPr="004571E5">
        <w:rPr>
          <w:rFonts w:ascii="Times New Roman" w:hAnsi="Times New Roman" w:cs="Times New Roman"/>
          <w:bCs/>
          <w:sz w:val="28"/>
          <w:szCs w:val="28"/>
          <w:lang w:val="es-ES_tradnl"/>
        </w:rPr>
        <w:t>contencioso administrativos</w:t>
      </w:r>
      <w:proofErr w:type="gramEnd"/>
      <w:r w:rsidR="00F40240" w:rsidRPr="004571E5">
        <w:rPr>
          <w:rFonts w:ascii="Times New Roman" w:hAnsi="Times New Roman" w:cs="Times New Roman"/>
          <w:bCs/>
          <w:sz w:val="28"/>
          <w:szCs w:val="28"/>
          <w:lang w:val="es-ES_tradnl"/>
        </w:rPr>
        <w:t xml:space="preserve"> y el impacto que en ellas tuvo el no haber aplicado el estándar </w:t>
      </w:r>
      <w:r w:rsidR="007A0EDC" w:rsidRPr="004571E5">
        <w:rPr>
          <w:rFonts w:ascii="Times New Roman" w:hAnsi="Times New Roman" w:cs="Times New Roman"/>
          <w:bCs/>
          <w:sz w:val="28"/>
          <w:szCs w:val="28"/>
          <w:lang w:val="es-ES_tradnl"/>
        </w:rPr>
        <w:t>probatorio reconocido en la jurisprudencia</w:t>
      </w:r>
      <w:r w:rsidR="00BD3379" w:rsidRPr="004571E5">
        <w:rPr>
          <w:rFonts w:ascii="Times New Roman" w:hAnsi="Times New Roman" w:cs="Times New Roman"/>
          <w:bCs/>
          <w:sz w:val="28"/>
          <w:szCs w:val="28"/>
          <w:lang w:val="es-ES_tradnl"/>
        </w:rPr>
        <w:t>.</w:t>
      </w:r>
      <w:r w:rsidR="007439CD" w:rsidRPr="004571E5">
        <w:rPr>
          <w:rFonts w:ascii="Times New Roman" w:hAnsi="Times New Roman" w:cs="Times New Roman"/>
          <w:bCs/>
          <w:sz w:val="28"/>
          <w:szCs w:val="28"/>
          <w:lang w:val="es-ES_tradnl"/>
        </w:rPr>
        <w:t xml:space="preserve"> Tal y como ocurre frente al caso anterior, a la controversia planteada subyace un debate sobre el alcance del derecho a la reparación de las víctimas.</w:t>
      </w:r>
    </w:p>
    <w:p w14:paraId="6F3D525F" w14:textId="77777777" w:rsidR="00F40240" w:rsidRPr="004571E5" w:rsidRDefault="00F40240" w:rsidP="00F40240">
      <w:pPr>
        <w:tabs>
          <w:tab w:val="left" w:pos="426"/>
        </w:tabs>
        <w:spacing w:after="0" w:line="240" w:lineRule="auto"/>
        <w:jc w:val="both"/>
        <w:rPr>
          <w:rFonts w:ascii="Times New Roman" w:hAnsi="Times New Roman" w:cs="Times New Roman"/>
          <w:bCs/>
          <w:i/>
          <w:iCs/>
          <w:sz w:val="28"/>
          <w:szCs w:val="28"/>
          <w:lang w:val="es-ES_tradnl"/>
        </w:rPr>
      </w:pPr>
    </w:p>
    <w:p w14:paraId="7A012E01" w14:textId="04426852" w:rsidR="00F40240" w:rsidRPr="004571E5" w:rsidRDefault="00BD3379" w:rsidP="00F40240">
      <w:pPr>
        <w:numPr>
          <w:ilvl w:val="0"/>
          <w:numId w:val="1"/>
        </w:numPr>
        <w:tabs>
          <w:tab w:val="left" w:pos="426"/>
        </w:tabs>
        <w:spacing w:after="0" w:line="240" w:lineRule="auto"/>
        <w:jc w:val="both"/>
        <w:rPr>
          <w:rFonts w:ascii="Times New Roman" w:hAnsi="Times New Roman" w:cs="Times New Roman"/>
          <w:bCs/>
          <w:i/>
          <w:iCs/>
          <w:sz w:val="28"/>
          <w:szCs w:val="28"/>
          <w:lang w:val="es-ES_tradnl"/>
        </w:rPr>
      </w:pPr>
      <w:r w:rsidRPr="004571E5">
        <w:rPr>
          <w:rFonts w:ascii="Times New Roman" w:hAnsi="Times New Roman" w:cs="Times New Roman"/>
          <w:bCs/>
          <w:sz w:val="28"/>
          <w:szCs w:val="28"/>
          <w:lang w:val="es-ES_tradnl"/>
        </w:rPr>
        <w:t xml:space="preserve"> </w:t>
      </w:r>
      <w:r w:rsidR="00F40240" w:rsidRPr="004571E5">
        <w:rPr>
          <w:rFonts w:ascii="Times New Roman" w:hAnsi="Times New Roman" w:cs="Times New Roman"/>
          <w:bCs/>
          <w:i/>
          <w:iCs/>
          <w:sz w:val="28"/>
          <w:szCs w:val="28"/>
          <w:lang w:val="es-ES_tradnl"/>
        </w:rPr>
        <w:t>Que se hayan agotado todos los medios de defensa judicial al alcance del peticionario</w:t>
      </w:r>
      <w:r w:rsidR="00F40240" w:rsidRPr="004571E5">
        <w:rPr>
          <w:rFonts w:ascii="Times New Roman" w:hAnsi="Times New Roman" w:cs="Times New Roman"/>
          <w:bCs/>
          <w:sz w:val="28"/>
          <w:szCs w:val="28"/>
          <w:lang w:val="es-ES_tradnl"/>
        </w:rPr>
        <w:t>. Dentro de ambos casos se cumple el requisito por dos razones. Primero, la acción de tutela se dirigió contra una sentencia de segunda instancia mediante la cual concluyó el proceso judicial. Segundo, no se encuentra acreditada ninguna de las causales previstas en el artículo 188 del CCA para acudir al recurso extraordinario de revisión</w:t>
      </w:r>
      <w:r w:rsidR="00B23845" w:rsidRPr="004571E5">
        <w:rPr>
          <w:rStyle w:val="Refdenotaalpie"/>
          <w:rFonts w:ascii="Times New Roman" w:hAnsi="Times New Roman" w:cs="Times New Roman"/>
          <w:bCs/>
          <w:sz w:val="28"/>
          <w:szCs w:val="28"/>
          <w:lang w:val="es-ES_tradnl"/>
        </w:rPr>
        <w:footnoteReference w:id="37"/>
      </w:r>
      <w:r w:rsidR="00F40240" w:rsidRPr="004571E5">
        <w:rPr>
          <w:rFonts w:ascii="Times New Roman" w:hAnsi="Times New Roman" w:cs="Times New Roman"/>
          <w:bCs/>
          <w:sz w:val="28"/>
          <w:szCs w:val="28"/>
          <w:lang w:val="es-ES_tradnl"/>
        </w:rPr>
        <w:t xml:space="preserve">. Especialmente, ninguna de estas causales se refiere a la discusión aquí planteada en relación con la indebida valoración probatoria y el desconocimiento del precedente. </w:t>
      </w:r>
    </w:p>
    <w:p w14:paraId="6CFFBDF0" w14:textId="77777777" w:rsidR="00F40240" w:rsidRPr="004571E5" w:rsidRDefault="00F40240" w:rsidP="00F40240">
      <w:pPr>
        <w:tabs>
          <w:tab w:val="left" w:pos="426"/>
        </w:tabs>
        <w:spacing w:after="0" w:line="240" w:lineRule="auto"/>
        <w:jc w:val="both"/>
        <w:rPr>
          <w:rFonts w:ascii="Times New Roman" w:hAnsi="Times New Roman" w:cs="Times New Roman"/>
          <w:bCs/>
          <w:i/>
          <w:iCs/>
          <w:sz w:val="28"/>
          <w:szCs w:val="28"/>
          <w:lang w:val="es-ES_tradnl"/>
        </w:rPr>
      </w:pPr>
    </w:p>
    <w:p w14:paraId="5A14519F" w14:textId="154A3345" w:rsidR="00F40240" w:rsidRPr="004571E5" w:rsidRDefault="00F40240" w:rsidP="00F40240">
      <w:pPr>
        <w:numPr>
          <w:ilvl w:val="0"/>
          <w:numId w:val="1"/>
        </w:numPr>
        <w:tabs>
          <w:tab w:val="left" w:pos="426"/>
        </w:tabs>
        <w:spacing w:after="0" w:line="240" w:lineRule="auto"/>
        <w:jc w:val="both"/>
        <w:rPr>
          <w:rFonts w:ascii="Times New Roman" w:hAnsi="Times New Roman" w:cs="Times New Roman"/>
          <w:bCs/>
          <w:i/>
          <w:iCs/>
          <w:sz w:val="28"/>
          <w:szCs w:val="28"/>
          <w:lang w:val="es-ES_tradnl"/>
        </w:rPr>
      </w:pPr>
      <w:r w:rsidRPr="004571E5">
        <w:rPr>
          <w:rFonts w:ascii="Times New Roman" w:hAnsi="Times New Roman" w:cs="Times New Roman"/>
          <w:bCs/>
          <w:sz w:val="28"/>
          <w:szCs w:val="28"/>
          <w:lang w:val="es-ES_tradnl"/>
        </w:rPr>
        <w:t>La Corte se ha pronunciado en este sentido en pronunciamientos que han resuelto casos similares. Específicamente, en la Sentencia SU-287 de 2024 se afirmó que “</w:t>
      </w:r>
      <w:r w:rsidRPr="004571E5">
        <w:rPr>
          <w:rFonts w:ascii="Times New Roman" w:hAnsi="Times New Roman" w:cs="Times New Roman"/>
          <w:bCs/>
          <w:sz w:val="28"/>
          <w:szCs w:val="28"/>
        </w:rPr>
        <w:t>[l]a decisión atacada fue adoptada en segunda instancia por el Consejo de Estado y no existe ningún otro mecanismo para cuestionar la providencia</w:t>
      </w:r>
      <w:r w:rsidR="0017181B" w:rsidRPr="004571E5">
        <w:rPr>
          <w:rFonts w:ascii="Times New Roman" w:hAnsi="Times New Roman" w:cs="Times New Roman"/>
          <w:bCs/>
          <w:sz w:val="28"/>
          <w:szCs w:val="28"/>
        </w:rPr>
        <w:t>”</w:t>
      </w:r>
      <w:r w:rsidRPr="004571E5">
        <w:rPr>
          <w:rFonts w:ascii="Times New Roman" w:hAnsi="Times New Roman" w:cs="Times New Roman"/>
          <w:bCs/>
          <w:sz w:val="28"/>
          <w:szCs w:val="28"/>
        </w:rPr>
        <w:t>.</w:t>
      </w:r>
      <w:r w:rsidR="0017181B" w:rsidRPr="004571E5">
        <w:rPr>
          <w:rFonts w:ascii="Times New Roman" w:hAnsi="Times New Roman" w:cs="Times New Roman"/>
          <w:bCs/>
          <w:sz w:val="28"/>
          <w:szCs w:val="28"/>
        </w:rPr>
        <w:t xml:space="preserve"> Señaló también la Corte</w:t>
      </w:r>
      <w:r w:rsidRPr="004571E5">
        <w:rPr>
          <w:rFonts w:ascii="Times New Roman" w:hAnsi="Times New Roman" w:cs="Times New Roman"/>
          <w:bCs/>
          <w:sz w:val="28"/>
          <w:szCs w:val="28"/>
        </w:rPr>
        <w:t xml:space="preserve"> </w:t>
      </w:r>
      <w:r w:rsidR="0017181B" w:rsidRPr="004571E5">
        <w:rPr>
          <w:rFonts w:ascii="Times New Roman" w:hAnsi="Times New Roman" w:cs="Times New Roman"/>
          <w:bCs/>
          <w:sz w:val="28"/>
          <w:szCs w:val="28"/>
        </w:rPr>
        <w:t>que “</w:t>
      </w:r>
      <w:r w:rsidRPr="004571E5">
        <w:rPr>
          <w:rFonts w:ascii="Times New Roman" w:hAnsi="Times New Roman" w:cs="Times New Roman"/>
          <w:bCs/>
          <w:sz w:val="28"/>
          <w:szCs w:val="28"/>
        </w:rPr>
        <w:t>no se evidencia la idoneidad del recurso extraordinario de revisión, debido a que no se cumple con ninguno de los supuestos enmarcados en las causales previstas en el artículo 250 del Código de Procedimiento Administrativo y de lo Contencioso Administrativo, las cuales son taxativas y de naturaleza restrictiva</w:t>
      </w:r>
      <w:r w:rsidR="0017181B" w:rsidRPr="004571E5">
        <w:rPr>
          <w:rFonts w:ascii="Times New Roman" w:hAnsi="Times New Roman" w:cs="Times New Roman"/>
          <w:bCs/>
          <w:sz w:val="28"/>
          <w:szCs w:val="28"/>
        </w:rPr>
        <w:t>”</w:t>
      </w:r>
      <w:r w:rsidRPr="004571E5">
        <w:rPr>
          <w:rFonts w:ascii="Times New Roman" w:hAnsi="Times New Roman" w:cs="Times New Roman"/>
          <w:bCs/>
          <w:sz w:val="28"/>
          <w:szCs w:val="28"/>
        </w:rPr>
        <w:t>.</w:t>
      </w:r>
      <w:r w:rsidR="0017181B" w:rsidRPr="004571E5">
        <w:rPr>
          <w:rFonts w:ascii="Times New Roman" w:hAnsi="Times New Roman" w:cs="Times New Roman"/>
          <w:bCs/>
          <w:sz w:val="28"/>
          <w:szCs w:val="28"/>
        </w:rPr>
        <w:t xml:space="preserve"> En esa dirección, concluyó,</w:t>
      </w:r>
      <w:r w:rsidRPr="004571E5">
        <w:rPr>
          <w:rFonts w:ascii="Times New Roman" w:hAnsi="Times New Roman" w:cs="Times New Roman"/>
          <w:bCs/>
          <w:sz w:val="28"/>
          <w:szCs w:val="28"/>
        </w:rPr>
        <w:t xml:space="preserve"> </w:t>
      </w:r>
      <w:r w:rsidR="0017181B" w:rsidRPr="004571E5">
        <w:rPr>
          <w:rFonts w:ascii="Times New Roman" w:hAnsi="Times New Roman" w:cs="Times New Roman"/>
          <w:bCs/>
          <w:sz w:val="28"/>
          <w:szCs w:val="28"/>
        </w:rPr>
        <w:t>“</w:t>
      </w:r>
      <w:r w:rsidRPr="004571E5">
        <w:rPr>
          <w:rFonts w:ascii="Times New Roman" w:hAnsi="Times New Roman" w:cs="Times New Roman"/>
          <w:bCs/>
          <w:sz w:val="28"/>
          <w:szCs w:val="28"/>
        </w:rPr>
        <w:t>los cargos propuestos en esa ocasión, tales como la valoración indebida de las pruebas o el desconocimiento del precedente, no pueden ser analizados a través de dicho recurso”.</w:t>
      </w:r>
      <w:r w:rsidRPr="004571E5">
        <w:rPr>
          <w:rFonts w:ascii="Times New Roman" w:hAnsi="Times New Roman" w:cs="Times New Roman"/>
          <w:bCs/>
          <w:sz w:val="28"/>
          <w:szCs w:val="28"/>
          <w:lang w:val="es-ES_tradnl"/>
        </w:rPr>
        <w:t xml:space="preserve"> </w:t>
      </w:r>
    </w:p>
    <w:p w14:paraId="2E06F50E" w14:textId="77777777" w:rsidR="00F40240" w:rsidRPr="004571E5" w:rsidRDefault="00F40240" w:rsidP="00F40240">
      <w:pPr>
        <w:tabs>
          <w:tab w:val="left" w:pos="426"/>
        </w:tabs>
        <w:spacing w:after="0" w:line="240" w:lineRule="auto"/>
        <w:jc w:val="both"/>
        <w:rPr>
          <w:rFonts w:ascii="Times New Roman" w:hAnsi="Times New Roman" w:cs="Times New Roman"/>
          <w:bCs/>
          <w:i/>
          <w:iCs/>
          <w:sz w:val="28"/>
          <w:szCs w:val="28"/>
          <w:lang w:val="es-ES_tradnl"/>
        </w:rPr>
      </w:pPr>
    </w:p>
    <w:p w14:paraId="6EDE7B83" w14:textId="7521AFC5" w:rsidR="00F40240" w:rsidRPr="004571E5" w:rsidRDefault="00F40240" w:rsidP="00F40240">
      <w:pPr>
        <w:numPr>
          <w:ilvl w:val="0"/>
          <w:numId w:val="1"/>
        </w:numPr>
        <w:tabs>
          <w:tab w:val="left" w:pos="426"/>
        </w:tabs>
        <w:spacing w:after="0" w:line="240" w:lineRule="auto"/>
        <w:jc w:val="both"/>
        <w:rPr>
          <w:rFonts w:ascii="Times New Roman" w:hAnsi="Times New Roman" w:cs="Times New Roman"/>
          <w:bCs/>
          <w:i/>
          <w:iCs/>
          <w:sz w:val="28"/>
          <w:szCs w:val="28"/>
          <w:lang w:val="es-ES_tradnl"/>
        </w:rPr>
      </w:pPr>
      <w:r w:rsidRPr="004571E5">
        <w:rPr>
          <w:rFonts w:ascii="Times New Roman" w:hAnsi="Times New Roman" w:cs="Times New Roman"/>
          <w:bCs/>
          <w:i/>
          <w:iCs/>
          <w:sz w:val="28"/>
          <w:szCs w:val="28"/>
          <w:lang w:val="es-ES_tradnl"/>
        </w:rPr>
        <w:t>Inmediatez</w:t>
      </w:r>
      <w:r w:rsidRPr="004571E5">
        <w:rPr>
          <w:rFonts w:ascii="Times New Roman" w:hAnsi="Times New Roman" w:cs="Times New Roman"/>
          <w:bCs/>
          <w:sz w:val="28"/>
          <w:szCs w:val="28"/>
          <w:lang w:val="es-ES_tradnl"/>
        </w:rPr>
        <w:t xml:space="preserve">. En el Caso 1 la acción </w:t>
      </w:r>
      <w:r w:rsidRPr="004571E5">
        <w:rPr>
          <w:rFonts w:ascii="Times New Roman" w:hAnsi="Times New Roman" w:cs="Times New Roman"/>
          <w:sz w:val="28"/>
          <w:szCs w:val="28"/>
          <w:lang w:val="es-ES_tradnl"/>
        </w:rPr>
        <w:t xml:space="preserve">se presentó el 28 de marzo de 2023 y la última decisión dentro del proceso adelantado ante la jurisdicción de lo contencioso administrativo fue notificada el 14 de octubre de 2022, por lo que </w:t>
      </w:r>
      <w:r w:rsidRPr="004571E5">
        <w:rPr>
          <w:rFonts w:ascii="Times New Roman" w:hAnsi="Times New Roman" w:cs="Times New Roman"/>
          <w:sz w:val="28"/>
          <w:szCs w:val="28"/>
          <w:lang w:val="es-ES_tradnl"/>
        </w:rPr>
        <w:lastRenderedPageBreak/>
        <w:t>transcurrieron cinco meses y medio. En el Caso 2 la acción de tutela se presentó el 13 de octubre de 2023 y la última decisión dentro del proceso fue notificada el 25 de mayo de 2023</w:t>
      </w:r>
      <w:r w:rsidRPr="004571E5">
        <w:rPr>
          <w:rStyle w:val="Refdenotaalpie"/>
          <w:rFonts w:ascii="Times New Roman" w:hAnsi="Times New Roman" w:cs="Times New Roman"/>
          <w:sz w:val="28"/>
          <w:szCs w:val="28"/>
          <w:lang w:val="es-ES_tradnl"/>
        </w:rPr>
        <w:footnoteReference w:id="38"/>
      </w:r>
      <w:r w:rsidRPr="004571E5">
        <w:rPr>
          <w:rFonts w:ascii="Times New Roman" w:hAnsi="Times New Roman" w:cs="Times New Roman"/>
          <w:sz w:val="28"/>
          <w:szCs w:val="28"/>
          <w:lang w:val="es-ES_tradnl"/>
        </w:rPr>
        <w:t>. De este modo, transcurrieron alrededor de cinco meses entre ambas actuaciones</w:t>
      </w:r>
      <w:r w:rsidR="008439D3" w:rsidRPr="004571E5">
        <w:rPr>
          <w:rFonts w:ascii="Times New Roman" w:hAnsi="Times New Roman" w:cs="Times New Roman"/>
          <w:sz w:val="28"/>
          <w:szCs w:val="28"/>
          <w:lang w:val="es-ES_tradnl"/>
        </w:rPr>
        <w:t xml:space="preserve"> y este término se considera razonable para la interposición de la acción de tutela contra providencia judicial.</w:t>
      </w:r>
    </w:p>
    <w:p w14:paraId="22DBB546" w14:textId="77777777" w:rsidR="00F40240" w:rsidRPr="004571E5" w:rsidRDefault="00F40240" w:rsidP="00F40240">
      <w:pPr>
        <w:tabs>
          <w:tab w:val="left" w:pos="426"/>
        </w:tabs>
        <w:spacing w:after="0" w:line="240" w:lineRule="auto"/>
        <w:jc w:val="both"/>
        <w:rPr>
          <w:rFonts w:ascii="Times New Roman" w:hAnsi="Times New Roman" w:cs="Times New Roman"/>
          <w:bCs/>
          <w:i/>
          <w:iCs/>
          <w:sz w:val="28"/>
          <w:szCs w:val="28"/>
          <w:lang w:val="es-ES_tradnl"/>
        </w:rPr>
      </w:pPr>
    </w:p>
    <w:p w14:paraId="27503FC7" w14:textId="7A93966A" w:rsidR="00F40240" w:rsidRPr="004571E5" w:rsidRDefault="00F40240" w:rsidP="00F40240">
      <w:pPr>
        <w:numPr>
          <w:ilvl w:val="0"/>
          <w:numId w:val="1"/>
        </w:numPr>
        <w:tabs>
          <w:tab w:val="left" w:pos="426"/>
        </w:tabs>
        <w:spacing w:after="0" w:line="240" w:lineRule="auto"/>
        <w:jc w:val="both"/>
        <w:rPr>
          <w:rFonts w:ascii="Times New Roman" w:hAnsi="Times New Roman" w:cs="Times New Roman"/>
          <w:bCs/>
          <w:i/>
          <w:iCs/>
          <w:sz w:val="28"/>
          <w:szCs w:val="28"/>
          <w:lang w:val="es-ES_tradnl"/>
        </w:rPr>
      </w:pPr>
      <w:r w:rsidRPr="004571E5">
        <w:rPr>
          <w:rFonts w:ascii="Times New Roman" w:hAnsi="Times New Roman" w:cs="Times New Roman"/>
          <w:i/>
          <w:iCs/>
          <w:sz w:val="28"/>
          <w:szCs w:val="28"/>
        </w:rPr>
        <w:t xml:space="preserve">Que si se trata de una irregularidad procesal la misma sea decisiva en el proceso. </w:t>
      </w:r>
      <w:r w:rsidRPr="004571E5">
        <w:rPr>
          <w:rFonts w:ascii="Times New Roman" w:hAnsi="Times New Roman" w:cs="Times New Roman"/>
          <w:sz w:val="28"/>
          <w:szCs w:val="28"/>
        </w:rPr>
        <w:t xml:space="preserve">En ninguno de los casos </w:t>
      </w:r>
      <w:r w:rsidRPr="004571E5">
        <w:rPr>
          <w:rFonts w:ascii="Times New Roman" w:hAnsi="Times New Roman" w:cs="Times New Roman"/>
          <w:sz w:val="28"/>
          <w:szCs w:val="28"/>
          <w:lang w:val="es-ES_tradnl"/>
        </w:rPr>
        <w:t>se alegó una irregularidad procesal. Los cuestionamientos formulados se relacionan con la posible configuración de un defecto fáctico, el desconocimiento del precedente y la vulneración del derecho a la igualdad.</w:t>
      </w:r>
    </w:p>
    <w:p w14:paraId="5C9FEE8D" w14:textId="77777777" w:rsidR="00F40240" w:rsidRPr="004571E5" w:rsidRDefault="00F40240" w:rsidP="00F40240">
      <w:pPr>
        <w:tabs>
          <w:tab w:val="left" w:pos="426"/>
        </w:tabs>
        <w:spacing w:after="0" w:line="240" w:lineRule="auto"/>
        <w:jc w:val="both"/>
        <w:rPr>
          <w:rFonts w:ascii="Times New Roman" w:hAnsi="Times New Roman" w:cs="Times New Roman"/>
          <w:bCs/>
          <w:i/>
          <w:iCs/>
          <w:sz w:val="28"/>
          <w:szCs w:val="28"/>
          <w:lang w:val="es-ES_tradnl"/>
        </w:rPr>
      </w:pPr>
    </w:p>
    <w:p w14:paraId="26D2CCD1" w14:textId="2043D66C" w:rsidR="00F40240" w:rsidRPr="004571E5" w:rsidRDefault="00F40240" w:rsidP="00F40240">
      <w:pPr>
        <w:numPr>
          <w:ilvl w:val="0"/>
          <w:numId w:val="1"/>
        </w:numPr>
        <w:tabs>
          <w:tab w:val="left" w:pos="426"/>
        </w:tabs>
        <w:spacing w:after="0" w:line="240" w:lineRule="auto"/>
        <w:jc w:val="both"/>
        <w:rPr>
          <w:rFonts w:ascii="Times New Roman" w:hAnsi="Times New Roman" w:cs="Times New Roman"/>
          <w:bCs/>
          <w:i/>
          <w:iCs/>
          <w:sz w:val="28"/>
          <w:szCs w:val="28"/>
          <w:lang w:val="es-ES_tradnl"/>
        </w:rPr>
      </w:pPr>
      <w:r w:rsidRPr="004571E5">
        <w:rPr>
          <w:rFonts w:ascii="Times New Roman" w:hAnsi="Times New Roman" w:cs="Times New Roman"/>
          <w:i/>
          <w:iCs/>
          <w:sz w:val="28"/>
          <w:szCs w:val="28"/>
        </w:rPr>
        <w:t xml:space="preserve">Que se identifiquen de manera razonable los hechos que generaron la vulneración de los derechos fundamentales. </w:t>
      </w:r>
      <w:r w:rsidRPr="004571E5">
        <w:rPr>
          <w:rFonts w:ascii="Times New Roman" w:hAnsi="Times New Roman" w:cs="Times New Roman"/>
          <w:sz w:val="28"/>
          <w:szCs w:val="28"/>
        </w:rPr>
        <w:t xml:space="preserve">En ambos casos es posible </w:t>
      </w:r>
      <w:r w:rsidRPr="004571E5">
        <w:rPr>
          <w:rFonts w:ascii="Times New Roman" w:hAnsi="Times New Roman" w:cs="Times New Roman"/>
          <w:sz w:val="28"/>
          <w:szCs w:val="28"/>
          <w:lang w:val="es-ES_tradnl"/>
        </w:rPr>
        <w:t xml:space="preserve">distinguir los hechos que, según los accionantes, generaron la vulneración. Para el Caso 1, se formularon </w:t>
      </w:r>
      <w:r w:rsidR="00423E6E" w:rsidRPr="004571E5">
        <w:rPr>
          <w:rFonts w:ascii="Times New Roman" w:hAnsi="Times New Roman" w:cs="Times New Roman"/>
          <w:sz w:val="28"/>
          <w:szCs w:val="28"/>
          <w:lang w:val="es-ES_tradnl"/>
        </w:rPr>
        <w:t>tres</w:t>
      </w:r>
      <w:r w:rsidRPr="004571E5">
        <w:rPr>
          <w:rFonts w:ascii="Times New Roman" w:hAnsi="Times New Roman" w:cs="Times New Roman"/>
          <w:sz w:val="28"/>
          <w:szCs w:val="28"/>
          <w:lang w:val="es-ES_tradnl"/>
        </w:rPr>
        <w:t xml:space="preserve"> reproches: (i) se desconoció el derecho a la igualdad respecto de </w:t>
      </w:r>
      <w:r w:rsidR="0037274D" w:rsidRPr="004571E5">
        <w:rPr>
          <w:rFonts w:ascii="Times New Roman" w:hAnsi="Times New Roman" w:cs="Times New Roman"/>
          <w:sz w:val="28"/>
          <w:szCs w:val="28"/>
          <w:lang w:val="es-ES_tradnl"/>
        </w:rPr>
        <w:t>los familiares de las</w:t>
      </w:r>
      <w:r w:rsidRPr="004571E5">
        <w:rPr>
          <w:rFonts w:ascii="Times New Roman" w:hAnsi="Times New Roman" w:cs="Times New Roman"/>
          <w:sz w:val="28"/>
          <w:szCs w:val="28"/>
          <w:lang w:val="es-ES_tradnl"/>
        </w:rPr>
        <w:t xml:space="preserve"> demás víctimas de los mismos hechos; (</w:t>
      </w:r>
      <w:proofErr w:type="spellStart"/>
      <w:r w:rsidRPr="004571E5">
        <w:rPr>
          <w:rFonts w:ascii="Times New Roman" w:hAnsi="Times New Roman" w:cs="Times New Roman"/>
          <w:sz w:val="28"/>
          <w:szCs w:val="28"/>
          <w:lang w:val="es-ES_tradnl"/>
        </w:rPr>
        <w:t>ii</w:t>
      </w:r>
      <w:proofErr w:type="spellEnd"/>
      <w:r w:rsidRPr="004571E5">
        <w:rPr>
          <w:rFonts w:ascii="Times New Roman" w:hAnsi="Times New Roman" w:cs="Times New Roman"/>
          <w:sz w:val="28"/>
          <w:szCs w:val="28"/>
          <w:lang w:val="es-ES_tradnl"/>
        </w:rPr>
        <w:t>) se configuró un defecto fáctico por indebida valoración probatoria; (</w:t>
      </w:r>
      <w:proofErr w:type="spellStart"/>
      <w:r w:rsidRPr="004571E5">
        <w:rPr>
          <w:rFonts w:ascii="Times New Roman" w:hAnsi="Times New Roman" w:cs="Times New Roman"/>
          <w:sz w:val="28"/>
          <w:szCs w:val="28"/>
          <w:lang w:val="es-ES_tradnl"/>
        </w:rPr>
        <w:t>iii</w:t>
      </w:r>
      <w:proofErr w:type="spellEnd"/>
      <w:r w:rsidRPr="004571E5">
        <w:rPr>
          <w:rFonts w:ascii="Times New Roman" w:hAnsi="Times New Roman" w:cs="Times New Roman"/>
          <w:sz w:val="28"/>
          <w:szCs w:val="28"/>
          <w:lang w:val="es-ES_tradnl"/>
        </w:rPr>
        <w:t>) se presentó un desconocimiento del precedente del Consejo de Estado y del</w:t>
      </w:r>
      <w:r w:rsidR="0017181B" w:rsidRPr="004571E5">
        <w:rPr>
          <w:rFonts w:ascii="Times New Roman" w:hAnsi="Times New Roman" w:cs="Times New Roman"/>
          <w:sz w:val="28"/>
          <w:szCs w:val="28"/>
          <w:lang w:val="es-ES_tradnl"/>
        </w:rPr>
        <w:t xml:space="preserve"> establecido por la Corte</w:t>
      </w:r>
      <w:r w:rsidRPr="004571E5">
        <w:rPr>
          <w:rFonts w:ascii="Times New Roman" w:hAnsi="Times New Roman" w:cs="Times New Roman"/>
          <w:sz w:val="28"/>
          <w:szCs w:val="28"/>
          <w:lang w:val="es-ES_tradnl"/>
        </w:rPr>
        <w:t xml:space="preserve"> </w:t>
      </w:r>
      <w:r w:rsidR="00423E6E" w:rsidRPr="004571E5">
        <w:rPr>
          <w:rFonts w:ascii="Times New Roman" w:hAnsi="Times New Roman" w:cs="Times New Roman"/>
          <w:sz w:val="28"/>
          <w:szCs w:val="28"/>
          <w:lang w:val="es-ES_tradnl"/>
        </w:rPr>
        <w:t>C</w:t>
      </w:r>
      <w:r w:rsidRPr="004571E5">
        <w:rPr>
          <w:rFonts w:ascii="Times New Roman" w:hAnsi="Times New Roman" w:cs="Times New Roman"/>
          <w:sz w:val="28"/>
          <w:szCs w:val="28"/>
          <w:lang w:val="es-ES_tradnl"/>
        </w:rPr>
        <w:t>onstitucional. Para el Caso 2, se formularon dos reproches: (i) se configuró un defecto fáctico por indebida valoración probatoria y (</w:t>
      </w:r>
      <w:proofErr w:type="spellStart"/>
      <w:r w:rsidRPr="004571E5">
        <w:rPr>
          <w:rFonts w:ascii="Times New Roman" w:hAnsi="Times New Roman" w:cs="Times New Roman"/>
          <w:sz w:val="28"/>
          <w:szCs w:val="28"/>
          <w:lang w:val="es-ES_tradnl"/>
        </w:rPr>
        <w:t>ii</w:t>
      </w:r>
      <w:proofErr w:type="spellEnd"/>
      <w:r w:rsidRPr="004571E5">
        <w:rPr>
          <w:rFonts w:ascii="Times New Roman" w:hAnsi="Times New Roman" w:cs="Times New Roman"/>
          <w:sz w:val="28"/>
          <w:szCs w:val="28"/>
          <w:lang w:val="es-ES_tradnl"/>
        </w:rPr>
        <w:t>) se presentó un desconocimiento del precedente del Consejo de Estado.</w:t>
      </w:r>
    </w:p>
    <w:p w14:paraId="715A59E9" w14:textId="77777777" w:rsidR="00F40240" w:rsidRPr="004571E5" w:rsidRDefault="00F40240" w:rsidP="00F40240">
      <w:pPr>
        <w:tabs>
          <w:tab w:val="left" w:pos="426"/>
        </w:tabs>
        <w:spacing w:after="0" w:line="240" w:lineRule="auto"/>
        <w:jc w:val="both"/>
        <w:rPr>
          <w:rFonts w:ascii="Times New Roman" w:hAnsi="Times New Roman" w:cs="Times New Roman"/>
          <w:bCs/>
          <w:i/>
          <w:iCs/>
          <w:sz w:val="28"/>
          <w:szCs w:val="28"/>
          <w:lang w:val="es-ES_tradnl"/>
        </w:rPr>
      </w:pPr>
    </w:p>
    <w:p w14:paraId="1D537C43" w14:textId="52D442F7" w:rsidR="00F40240" w:rsidRPr="004571E5" w:rsidRDefault="00F40240" w:rsidP="000E0557">
      <w:pPr>
        <w:numPr>
          <w:ilvl w:val="0"/>
          <w:numId w:val="1"/>
        </w:numPr>
        <w:tabs>
          <w:tab w:val="left" w:pos="426"/>
        </w:tabs>
        <w:spacing w:after="0" w:line="240" w:lineRule="auto"/>
        <w:jc w:val="both"/>
        <w:rPr>
          <w:rFonts w:ascii="Times New Roman" w:hAnsi="Times New Roman" w:cs="Times New Roman"/>
          <w:bCs/>
          <w:i/>
          <w:iCs/>
          <w:sz w:val="28"/>
          <w:szCs w:val="28"/>
          <w:lang w:val="es-ES_tradnl"/>
        </w:rPr>
      </w:pPr>
      <w:r w:rsidRPr="004571E5">
        <w:rPr>
          <w:rFonts w:ascii="Times New Roman" w:hAnsi="Times New Roman" w:cs="Times New Roman"/>
          <w:i/>
          <w:iCs/>
          <w:sz w:val="28"/>
          <w:szCs w:val="28"/>
        </w:rPr>
        <w:t>Que no se cuestione una sentencia de tutela, de control abstracto de constitucionalidad</w:t>
      </w:r>
      <w:r w:rsidR="00F73A3A" w:rsidRPr="004571E5">
        <w:rPr>
          <w:rFonts w:ascii="Times New Roman" w:hAnsi="Times New Roman" w:cs="Times New Roman"/>
          <w:i/>
          <w:iCs/>
          <w:sz w:val="28"/>
          <w:szCs w:val="28"/>
        </w:rPr>
        <w:t>,</w:t>
      </w:r>
      <w:r w:rsidRPr="004571E5">
        <w:rPr>
          <w:rFonts w:ascii="Times New Roman" w:hAnsi="Times New Roman" w:cs="Times New Roman"/>
          <w:i/>
          <w:iCs/>
          <w:sz w:val="28"/>
          <w:szCs w:val="28"/>
        </w:rPr>
        <w:t xml:space="preserve"> una sentencia del Consejo de Estado de nulidad por inconstitucionalidad</w:t>
      </w:r>
      <w:r w:rsidR="00F73A3A" w:rsidRPr="004571E5">
        <w:rPr>
          <w:rFonts w:ascii="Times New Roman" w:hAnsi="Times New Roman" w:cs="Times New Roman"/>
          <w:i/>
          <w:iCs/>
          <w:sz w:val="28"/>
          <w:szCs w:val="28"/>
        </w:rPr>
        <w:t xml:space="preserve"> o una sentencia interpretativa proferida por la Sección de Apelación del Tribunal Especial para la Paz</w:t>
      </w:r>
      <w:r w:rsidRPr="004571E5">
        <w:rPr>
          <w:rFonts w:ascii="Times New Roman" w:hAnsi="Times New Roman" w:cs="Times New Roman"/>
          <w:sz w:val="28"/>
          <w:szCs w:val="28"/>
        </w:rPr>
        <w:t>. En ambos casos se discuten las sentencias proferidas en el marco del medio de control de reparación directa. Por lo tanto, no se trata de una sentencia de tutela, control abstracto o nulidad por inconstitucionalidad.</w:t>
      </w:r>
    </w:p>
    <w:p w14:paraId="4FC55A96" w14:textId="77777777" w:rsidR="00F40240" w:rsidRPr="004571E5" w:rsidRDefault="00F40240" w:rsidP="00F40240">
      <w:pPr>
        <w:pStyle w:val="Prrafodelista"/>
        <w:tabs>
          <w:tab w:val="left" w:pos="426"/>
        </w:tabs>
        <w:spacing w:after="0" w:line="240" w:lineRule="auto"/>
        <w:ind w:left="0"/>
        <w:jc w:val="both"/>
        <w:rPr>
          <w:rStyle w:val="Refdecomentario"/>
          <w:rFonts w:ascii="Times New Roman" w:hAnsi="Times New Roman" w:cs="Times New Roman"/>
          <w:sz w:val="28"/>
          <w:szCs w:val="28"/>
          <w:lang w:val="es-ES_tradnl"/>
        </w:rPr>
      </w:pPr>
    </w:p>
    <w:p w14:paraId="547242AA" w14:textId="68DBE3A5" w:rsidR="00B56076" w:rsidRPr="004571E5" w:rsidRDefault="00B56076" w:rsidP="000E0557">
      <w:pPr>
        <w:pStyle w:val="Prrafodelista"/>
        <w:numPr>
          <w:ilvl w:val="0"/>
          <w:numId w:val="1"/>
        </w:numPr>
        <w:tabs>
          <w:tab w:val="left" w:pos="426"/>
        </w:tabs>
        <w:spacing w:after="0"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Con base en estas consideraciones, la Corte encuentra que l</w:t>
      </w:r>
      <w:r w:rsidR="00375836" w:rsidRPr="004571E5">
        <w:rPr>
          <w:rFonts w:ascii="Times New Roman" w:hAnsi="Times New Roman" w:cs="Times New Roman"/>
          <w:sz w:val="28"/>
          <w:szCs w:val="28"/>
          <w:lang w:val="es-ES_tradnl"/>
        </w:rPr>
        <w:t>as acciones de tutela</w:t>
      </w:r>
      <w:r w:rsidRPr="004571E5">
        <w:rPr>
          <w:rFonts w:ascii="Times New Roman" w:hAnsi="Times New Roman" w:cs="Times New Roman"/>
          <w:b/>
          <w:bCs/>
          <w:sz w:val="28"/>
          <w:szCs w:val="28"/>
          <w:lang w:val="es-ES_tradnl"/>
        </w:rPr>
        <w:t xml:space="preserve"> </w:t>
      </w:r>
      <w:r w:rsidRPr="004571E5">
        <w:rPr>
          <w:rFonts w:ascii="Times New Roman" w:hAnsi="Times New Roman" w:cs="Times New Roman"/>
          <w:sz w:val="28"/>
          <w:szCs w:val="28"/>
          <w:lang w:val="es-ES_tradnl"/>
        </w:rPr>
        <w:t>cumple</w:t>
      </w:r>
      <w:r w:rsidR="00375836" w:rsidRPr="004571E5">
        <w:rPr>
          <w:rFonts w:ascii="Times New Roman" w:hAnsi="Times New Roman" w:cs="Times New Roman"/>
          <w:sz w:val="28"/>
          <w:szCs w:val="28"/>
          <w:lang w:val="es-ES_tradnl"/>
        </w:rPr>
        <w:t>n</w:t>
      </w:r>
      <w:r w:rsidRPr="004571E5">
        <w:rPr>
          <w:rFonts w:ascii="Times New Roman" w:hAnsi="Times New Roman" w:cs="Times New Roman"/>
          <w:sz w:val="28"/>
          <w:szCs w:val="28"/>
          <w:lang w:val="es-ES_tradnl"/>
        </w:rPr>
        <w:t xml:space="preserve"> con los requisitos generales de procedencia contra providencias judiciales.</w:t>
      </w:r>
    </w:p>
    <w:p w14:paraId="0ABC5C8E" w14:textId="77777777" w:rsidR="00302762" w:rsidRPr="004571E5" w:rsidRDefault="00302762" w:rsidP="00302762">
      <w:pPr>
        <w:pStyle w:val="Prrafodelista"/>
        <w:tabs>
          <w:tab w:val="left" w:pos="426"/>
        </w:tabs>
        <w:spacing w:after="0" w:line="240" w:lineRule="auto"/>
        <w:ind w:left="0"/>
        <w:jc w:val="both"/>
        <w:rPr>
          <w:rFonts w:ascii="Times New Roman" w:hAnsi="Times New Roman" w:cs="Times New Roman"/>
          <w:sz w:val="28"/>
          <w:szCs w:val="28"/>
          <w:lang w:val="es-ES_tradnl"/>
        </w:rPr>
      </w:pPr>
    </w:p>
    <w:p w14:paraId="6B72264D" w14:textId="7DDB96FD" w:rsidR="00A01528" w:rsidRPr="004571E5" w:rsidRDefault="00B56076" w:rsidP="00375836">
      <w:pPr>
        <w:pStyle w:val="Prrafodelista"/>
        <w:numPr>
          <w:ilvl w:val="1"/>
          <w:numId w:val="34"/>
        </w:numPr>
        <w:tabs>
          <w:tab w:val="left" w:pos="426"/>
        </w:tabs>
        <w:spacing w:after="0" w:line="240" w:lineRule="auto"/>
        <w:ind w:left="0" w:firstLine="0"/>
        <w:jc w:val="both"/>
        <w:rPr>
          <w:rFonts w:ascii="Times New Roman" w:hAnsi="Times New Roman" w:cs="Times New Roman"/>
          <w:b/>
          <w:bCs/>
          <w:sz w:val="28"/>
          <w:szCs w:val="28"/>
          <w:lang w:val="es-ES_tradnl"/>
        </w:rPr>
      </w:pPr>
      <w:r w:rsidRPr="004571E5">
        <w:rPr>
          <w:rFonts w:ascii="Times New Roman" w:hAnsi="Times New Roman" w:cs="Times New Roman"/>
          <w:b/>
          <w:bCs/>
          <w:sz w:val="28"/>
          <w:szCs w:val="28"/>
          <w:lang w:val="es-ES_tradnl"/>
        </w:rPr>
        <w:t xml:space="preserve"> </w:t>
      </w:r>
      <w:r w:rsidR="00375836" w:rsidRPr="004571E5">
        <w:rPr>
          <w:rFonts w:ascii="Times New Roman" w:hAnsi="Times New Roman" w:cs="Times New Roman"/>
          <w:b/>
          <w:bCs/>
          <w:sz w:val="28"/>
          <w:szCs w:val="28"/>
          <w:lang w:val="es-ES_tradnl"/>
        </w:rPr>
        <w:t>Cuestión preliminar: el precedente aplicable en el caso concreto</w:t>
      </w:r>
      <w:r w:rsidR="008F3C93" w:rsidRPr="004571E5">
        <w:rPr>
          <w:rFonts w:ascii="Times New Roman" w:hAnsi="Times New Roman" w:cs="Times New Roman"/>
          <w:b/>
          <w:bCs/>
          <w:sz w:val="28"/>
          <w:szCs w:val="28"/>
          <w:lang w:val="es-ES_tradnl"/>
        </w:rPr>
        <w:t xml:space="preserve"> y</w:t>
      </w:r>
      <w:r w:rsidR="00375836" w:rsidRPr="004571E5">
        <w:rPr>
          <w:rFonts w:ascii="Times New Roman" w:hAnsi="Times New Roman" w:cs="Times New Roman"/>
          <w:b/>
          <w:bCs/>
          <w:sz w:val="28"/>
          <w:szCs w:val="28"/>
          <w:lang w:val="es-ES_tradnl"/>
        </w:rPr>
        <w:t xml:space="preserve"> </w:t>
      </w:r>
      <w:r w:rsidR="008F3C93" w:rsidRPr="004571E5">
        <w:rPr>
          <w:rFonts w:ascii="Times New Roman" w:hAnsi="Times New Roman" w:cs="Times New Roman"/>
          <w:b/>
          <w:bCs/>
          <w:sz w:val="28"/>
          <w:szCs w:val="28"/>
          <w:lang w:val="es-ES_tradnl"/>
        </w:rPr>
        <w:t>l</w:t>
      </w:r>
      <w:r w:rsidRPr="004571E5">
        <w:rPr>
          <w:rFonts w:ascii="Times New Roman" w:hAnsi="Times New Roman" w:cs="Times New Roman"/>
          <w:b/>
          <w:bCs/>
          <w:sz w:val="28"/>
          <w:szCs w:val="28"/>
          <w:lang w:val="es-ES_tradnl"/>
        </w:rPr>
        <w:t xml:space="preserve">a </w:t>
      </w:r>
      <w:r w:rsidR="007A0EDC" w:rsidRPr="004571E5">
        <w:rPr>
          <w:rFonts w:ascii="Times New Roman" w:hAnsi="Times New Roman" w:cs="Times New Roman"/>
          <w:b/>
          <w:bCs/>
          <w:sz w:val="28"/>
          <w:szCs w:val="28"/>
          <w:lang w:val="es-ES_tradnl"/>
        </w:rPr>
        <w:t>valoración</w:t>
      </w:r>
      <w:r w:rsidR="00A01528" w:rsidRPr="004571E5">
        <w:rPr>
          <w:rFonts w:ascii="Times New Roman" w:hAnsi="Times New Roman" w:cs="Times New Roman"/>
          <w:b/>
          <w:bCs/>
          <w:sz w:val="28"/>
          <w:szCs w:val="28"/>
          <w:lang w:val="es-ES_tradnl"/>
        </w:rPr>
        <w:t xml:space="preserve"> probatoria en casos de ejecuciones extrajudiciales.</w:t>
      </w:r>
    </w:p>
    <w:p w14:paraId="107012D4" w14:textId="77777777" w:rsidR="00A01528" w:rsidRPr="004571E5" w:rsidRDefault="00A01528" w:rsidP="00481F2E">
      <w:pPr>
        <w:tabs>
          <w:tab w:val="left" w:pos="426"/>
        </w:tabs>
        <w:spacing w:after="0" w:line="240" w:lineRule="auto"/>
        <w:jc w:val="both"/>
        <w:rPr>
          <w:rFonts w:ascii="Times New Roman" w:hAnsi="Times New Roman" w:cs="Times New Roman"/>
          <w:sz w:val="28"/>
          <w:szCs w:val="28"/>
        </w:rPr>
      </w:pPr>
    </w:p>
    <w:p w14:paraId="165263CA" w14:textId="287BA0CE" w:rsidR="00F8262E" w:rsidRPr="004571E5" w:rsidRDefault="00F8262E" w:rsidP="00993AFC">
      <w:pPr>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 xml:space="preserve">En el curso del proceso los accionantes han indicado, entre otras cosas, que las decisiones del Consejo de Estado desconocieron el precedente relativo a la </w:t>
      </w:r>
      <w:r w:rsidR="007A0EDC" w:rsidRPr="004571E5">
        <w:rPr>
          <w:rFonts w:ascii="Times New Roman" w:hAnsi="Times New Roman" w:cs="Times New Roman"/>
          <w:sz w:val="28"/>
          <w:szCs w:val="28"/>
        </w:rPr>
        <w:t>valoración de las pruebas</w:t>
      </w:r>
      <w:r w:rsidRPr="004571E5">
        <w:rPr>
          <w:rFonts w:ascii="Times New Roman" w:hAnsi="Times New Roman" w:cs="Times New Roman"/>
          <w:sz w:val="28"/>
          <w:szCs w:val="28"/>
        </w:rPr>
        <w:t xml:space="preserve"> en aquellos eventos en los que se alega la configuración de una ejecución extrajudicial. </w:t>
      </w:r>
      <w:r w:rsidR="00921FB3" w:rsidRPr="004571E5">
        <w:rPr>
          <w:rFonts w:ascii="Times New Roman" w:hAnsi="Times New Roman" w:cs="Times New Roman"/>
          <w:sz w:val="28"/>
          <w:szCs w:val="28"/>
        </w:rPr>
        <w:t>Ello exige que la Corte identifique si</w:t>
      </w:r>
      <w:r w:rsidR="0017181B" w:rsidRPr="004571E5">
        <w:rPr>
          <w:rFonts w:ascii="Times New Roman" w:hAnsi="Times New Roman" w:cs="Times New Roman"/>
          <w:sz w:val="28"/>
          <w:szCs w:val="28"/>
        </w:rPr>
        <w:t>,</w:t>
      </w:r>
      <w:r w:rsidR="00921FB3" w:rsidRPr="004571E5">
        <w:rPr>
          <w:rFonts w:ascii="Times New Roman" w:hAnsi="Times New Roman" w:cs="Times New Roman"/>
          <w:sz w:val="28"/>
          <w:szCs w:val="28"/>
        </w:rPr>
        <w:t xml:space="preserve"> en efecto</w:t>
      </w:r>
      <w:r w:rsidR="0017181B" w:rsidRPr="004571E5">
        <w:rPr>
          <w:rFonts w:ascii="Times New Roman" w:hAnsi="Times New Roman" w:cs="Times New Roman"/>
          <w:sz w:val="28"/>
          <w:szCs w:val="28"/>
        </w:rPr>
        <w:t>,</w:t>
      </w:r>
      <w:r w:rsidR="00921FB3" w:rsidRPr="004571E5">
        <w:rPr>
          <w:rFonts w:ascii="Times New Roman" w:hAnsi="Times New Roman" w:cs="Times New Roman"/>
          <w:sz w:val="28"/>
          <w:szCs w:val="28"/>
        </w:rPr>
        <w:t xml:space="preserve"> existe un precedente aplicable al caso concreto. </w:t>
      </w:r>
    </w:p>
    <w:p w14:paraId="118FF586" w14:textId="77777777" w:rsidR="00921FB3" w:rsidRPr="004571E5" w:rsidRDefault="00921FB3" w:rsidP="00921FB3">
      <w:pPr>
        <w:tabs>
          <w:tab w:val="left" w:pos="426"/>
        </w:tabs>
        <w:spacing w:after="0" w:line="240" w:lineRule="auto"/>
        <w:jc w:val="both"/>
        <w:rPr>
          <w:rFonts w:ascii="Times New Roman" w:hAnsi="Times New Roman" w:cs="Times New Roman"/>
          <w:sz w:val="28"/>
          <w:szCs w:val="28"/>
        </w:rPr>
      </w:pPr>
    </w:p>
    <w:p w14:paraId="2838D08C" w14:textId="4824F2F2" w:rsidR="003A7C28" w:rsidRPr="004571E5" w:rsidRDefault="00921FB3" w:rsidP="0018221A">
      <w:pPr>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Sobre este punto, en la Sentencia SU-087 de 2022 la Corte indicó que “[l]a existencia de un precedente impone determinar la pertinencia de la decisión previa para resolver el nuevo caso. Dicha pertinencia, en lo que se refiere a sentencias de tutela, se encuentra determinada (i) por el carácter análogo de las situaciones fácticas, (</w:t>
      </w:r>
      <w:proofErr w:type="spellStart"/>
      <w:r w:rsidRPr="004571E5">
        <w:rPr>
          <w:rFonts w:ascii="Times New Roman" w:hAnsi="Times New Roman" w:cs="Times New Roman"/>
          <w:sz w:val="28"/>
          <w:szCs w:val="28"/>
        </w:rPr>
        <w:t>ii</w:t>
      </w:r>
      <w:proofErr w:type="spellEnd"/>
      <w:r w:rsidRPr="004571E5">
        <w:rPr>
          <w:rFonts w:ascii="Times New Roman" w:hAnsi="Times New Roman" w:cs="Times New Roman"/>
          <w:sz w:val="28"/>
          <w:szCs w:val="28"/>
        </w:rPr>
        <w:t>) por la similitud de los problemas jurídicos que deben ser abordados y (</w:t>
      </w:r>
      <w:proofErr w:type="spellStart"/>
      <w:r w:rsidRPr="004571E5">
        <w:rPr>
          <w:rFonts w:ascii="Times New Roman" w:hAnsi="Times New Roman" w:cs="Times New Roman"/>
          <w:sz w:val="28"/>
          <w:szCs w:val="28"/>
        </w:rPr>
        <w:t>iii</w:t>
      </w:r>
      <w:proofErr w:type="spellEnd"/>
      <w:r w:rsidRPr="004571E5">
        <w:rPr>
          <w:rFonts w:ascii="Times New Roman" w:hAnsi="Times New Roman" w:cs="Times New Roman"/>
          <w:sz w:val="28"/>
          <w:szCs w:val="28"/>
        </w:rPr>
        <w:t xml:space="preserve">) por la existencia de una regla de solución integrada a la </w:t>
      </w:r>
      <w:r w:rsidRPr="004571E5">
        <w:rPr>
          <w:rFonts w:ascii="Times New Roman" w:hAnsi="Times New Roman" w:cs="Times New Roman"/>
          <w:sz w:val="28"/>
          <w:szCs w:val="28"/>
        </w:rPr>
        <w:lastRenderedPageBreak/>
        <w:t xml:space="preserve">razón de la decisión y que sea relevante para el nuevo caso. Este triple examen constituye una condición necesaria para afirmar la existencia de un precedente pertinente y, por ello, vinculante”. A continuación, la Sala Plena lleva a cabo este triple examen. </w:t>
      </w:r>
    </w:p>
    <w:p w14:paraId="40854294" w14:textId="77777777" w:rsidR="0018221A" w:rsidRPr="004571E5" w:rsidRDefault="0018221A" w:rsidP="0018221A">
      <w:pPr>
        <w:tabs>
          <w:tab w:val="left" w:pos="426"/>
        </w:tabs>
        <w:spacing w:after="0" w:line="240" w:lineRule="auto"/>
        <w:jc w:val="both"/>
        <w:rPr>
          <w:rFonts w:ascii="Times New Roman" w:hAnsi="Times New Roman" w:cs="Times New Roman"/>
          <w:sz w:val="28"/>
          <w:szCs w:val="28"/>
        </w:rPr>
      </w:pPr>
    </w:p>
    <w:p w14:paraId="17B6B540" w14:textId="77777777" w:rsidR="008F3C93" w:rsidRPr="004571E5" w:rsidRDefault="003A7C28" w:rsidP="00EC0080">
      <w:pPr>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 xml:space="preserve">De manera preliminar, es preciso señalar que el precedente </w:t>
      </w:r>
      <w:r w:rsidR="006608BC" w:rsidRPr="004571E5">
        <w:rPr>
          <w:rFonts w:ascii="Times New Roman" w:hAnsi="Times New Roman" w:cs="Times New Roman"/>
          <w:sz w:val="28"/>
          <w:szCs w:val="28"/>
        </w:rPr>
        <w:t xml:space="preserve">relevante para el análisis </w:t>
      </w:r>
      <w:r w:rsidRPr="004571E5">
        <w:rPr>
          <w:rFonts w:ascii="Times New Roman" w:hAnsi="Times New Roman" w:cs="Times New Roman"/>
          <w:sz w:val="28"/>
          <w:szCs w:val="28"/>
        </w:rPr>
        <w:t>se compone</w:t>
      </w:r>
      <w:r w:rsidR="006608BC" w:rsidRPr="004571E5">
        <w:rPr>
          <w:rFonts w:ascii="Times New Roman" w:hAnsi="Times New Roman" w:cs="Times New Roman"/>
          <w:sz w:val="28"/>
          <w:szCs w:val="28"/>
        </w:rPr>
        <w:t>,</w:t>
      </w:r>
      <w:r w:rsidRPr="004571E5">
        <w:rPr>
          <w:rFonts w:ascii="Times New Roman" w:hAnsi="Times New Roman" w:cs="Times New Roman"/>
          <w:sz w:val="28"/>
          <w:szCs w:val="28"/>
        </w:rPr>
        <w:t xml:space="preserve"> </w:t>
      </w:r>
      <w:r w:rsidR="006B61C4" w:rsidRPr="004571E5">
        <w:rPr>
          <w:rFonts w:ascii="Times New Roman" w:hAnsi="Times New Roman" w:cs="Times New Roman"/>
          <w:sz w:val="28"/>
          <w:szCs w:val="28"/>
        </w:rPr>
        <w:t>en principio</w:t>
      </w:r>
      <w:r w:rsidR="006608BC" w:rsidRPr="004571E5">
        <w:rPr>
          <w:rFonts w:ascii="Times New Roman" w:hAnsi="Times New Roman" w:cs="Times New Roman"/>
          <w:sz w:val="28"/>
          <w:szCs w:val="28"/>
        </w:rPr>
        <w:t>,</w:t>
      </w:r>
      <w:r w:rsidR="006B61C4" w:rsidRPr="004571E5">
        <w:rPr>
          <w:rFonts w:ascii="Times New Roman" w:hAnsi="Times New Roman" w:cs="Times New Roman"/>
          <w:sz w:val="28"/>
          <w:szCs w:val="28"/>
        </w:rPr>
        <w:t xml:space="preserve"> </w:t>
      </w:r>
      <w:r w:rsidR="006608BC" w:rsidRPr="004571E5">
        <w:rPr>
          <w:rFonts w:ascii="Times New Roman" w:hAnsi="Times New Roman" w:cs="Times New Roman"/>
          <w:sz w:val="28"/>
          <w:szCs w:val="28"/>
        </w:rPr>
        <w:t>por</w:t>
      </w:r>
      <w:r w:rsidRPr="004571E5">
        <w:rPr>
          <w:rFonts w:ascii="Times New Roman" w:hAnsi="Times New Roman" w:cs="Times New Roman"/>
          <w:sz w:val="28"/>
          <w:szCs w:val="28"/>
        </w:rPr>
        <w:t xml:space="preserve"> las sentencias </w:t>
      </w:r>
      <w:r w:rsidR="006B61C4" w:rsidRPr="004571E5">
        <w:rPr>
          <w:rFonts w:ascii="Times New Roman" w:hAnsi="Times New Roman" w:cs="Times New Roman"/>
          <w:sz w:val="28"/>
          <w:szCs w:val="28"/>
        </w:rPr>
        <w:t>invocadas por las partes. Para el Caso 1 se trata de las providencias SU-060 de 2021, SU-035 de 2018 y T-237 de 2017 de la Corte Constitucional</w:t>
      </w:r>
      <w:r w:rsidR="006608BC" w:rsidRPr="004571E5">
        <w:rPr>
          <w:rFonts w:ascii="Times New Roman" w:hAnsi="Times New Roman" w:cs="Times New Roman"/>
          <w:sz w:val="28"/>
          <w:szCs w:val="28"/>
        </w:rPr>
        <w:t>, de una parte,</w:t>
      </w:r>
      <w:r w:rsidR="006B61C4" w:rsidRPr="004571E5">
        <w:rPr>
          <w:rFonts w:ascii="Times New Roman" w:hAnsi="Times New Roman" w:cs="Times New Roman"/>
          <w:sz w:val="28"/>
          <w:szCs w:val="28"/>
        </w:rPr>
        <w:t xml:space="preserve"> y de las sentencias del 26 de octubre de 2011 (18850) de la Subsección B y del 10 de noviembre de 2016 (56282) de la Subsección C</w:t>
      </w:r>
      <w:r w:rsidR="006608BC" w:rsidRPr="004571E5">
        <w:rPr>
          <w:rFonts w:ascii="Times New Roman" w:hAnsi="Times New Roman" w:cs="Times New Roman"/>
          <w:sz w:val="28"/>
          <w:szCs w:val="28"/>
        </w:rPr>
        <w:t xml:space="preserve"> del Consejo de Estado, de otra parte</w:t>
      </w:r>
      <w:r w:rsidR="006B61C4" w:rsidRPr="004571E5">
        <w:rPr>
          <w:rFonts w:ascii="Times New Roman" w:hAnsi="Times New Roman" w:cs="Times New Roman"/>
          <w:sz w:val="28"/>
          <w:szCs w:val="28"/>
        </w:rPr>
        <w:t xml:space="preserve">. Para el Caso 2, se trata de las sentencias </w:t>
      </w:r>
      <w:r w:rsidR="006B61C4" w:rsidRPr="004571E5">
        <w:rPr>
          <w:rFonts w:ascii="Times New Roman" w:hAnsi="Times New Roman" w:cs="Times New Roman"/>
          <w:sz w:val="28"/>
          <w:szCs w:val="28"/>
          <w:lang w:val="es-ES_tradnl"/>
        </w:rPr>
        <w:t>del 5 de marzo de 2015 (37310), del 7 de septiembre de 2015 (</w:t>
      </w:r>
      <w:r w:rsidR="004144C9" w:rsidRPr="004571E5">
        <w:rPr>
          <w:rFonts w:ascii="Times New Roman" w:hAnsi="Times New Roman" w:cs="Times New Roman"/>
          <w:sz w:val="28"/>
          <w:szCs w:val="28"/>
        </w:rPr>
        <w:t>47671</w:t>
      </w:r>
      <w:r w:rsidR="006B61C4" w:rsidRPr="004571E5">
        <w:rPr>
          <w:rFonts w:ascii="Times New Roman" w:hAnsi="Times New Roman" w:cs="Times New Roman"/>
          <w:sz w:val="28"/>
          <w:szCs w:val="28"/>
          <w:lang w:val="es-ES_tradnl"/>
        </w:rPr>
        <w:t>) y del 28 de abril de 2021 (</w:t>
      </w:r>
      <w:r w:rsidR="004144C9" w:rsidRPr="004571E5">
        <w:rPr>
          <w:rFonts w:ascii="Times New Roman" w:hAnsi="Times New Roman" w:cs="Times New Roman"/>
          <w:sz w:val="28"/>
          <w:szCs w:val="28"/>
        </w:rPr>
        <w:t>55287</w:t>
      </w:r>
      <w:r w:rsidR="006B61C4" w:rsidRPr="004571E5">
        <w:rPr>
          <w:rFonts w:ascii="Times New Roman" w:hAnsi="Times New Roman" w:cs="Times New Roman"/>
          <w:sz w:val="28"/>
          <w:szCs w:val="28"/>
          <w:lang w:val="es-ES_tradnl"/>
        </w:rPr>
        <w:t>).</w:t>
      </w:r>
      <w:r w:rsidR="00EC0080" w:rsidRPr="004571E5">
        <w:rPr>
          <w:rFonts w:ascii="Times New Roman" w:hAnsi="Times New Roman" w:cs="Times New Roman"/>
          <w:sz w:val="28"/>
          <w:szCs w:val="28"/>
        </w:rPr>
        <w:t xml:space="preserve"> </w:t>
      </w:r>
    </w:p>
    <w:p w14:paraId="575409ED" w14:textId="77777777" w:rsidR="008F3C93" w:rsidRPr="004571E5" w:rsidRDefault="008F3C93" w:rsidP="00EE5FDF">
      <w:pPr>
        <w:pStyle w:val="Prrafodelista"/>
        <w:rPr>
          <w:rFonts w:ascii="Times New Roman" w:hAnsi="Times New Roman" w:cs="Times New Roman"/>
          <w:sz w:val="28"/>
          <w:szCs w:val="28"/>
        </w:rPr>
      </w:pPr>
    </w:p>
    <w:p w14:paraId="0BADBE3E" w14:textId="42915B07" w:rsidR="00F025B8" w:rsidRPr="004571E5" w:rsidRDefault="00EC0080" w:rsidP="00EC0080">
      <w:pPr>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 xml:space="preserve">Estas </w:t>
      </w:r>
      <w:r w:rsidR="008F3C93" w:rsidRPr="004571E5">
        <w:rPr>
          <w:rFonts w:ascii="Times New Roman" w:hAnsi="Times New Roman" w:cs="Times New Roman"/>
          <w:sz w:val="28"/>
          <w:szCs w:val="28"/>
        </w:rPr>
        <w:t xml:space="preserve">tres últimas providencias </w:t>
      </w:r>
      <w:r w:rsidRPr="004571E5">
        <w:rPr>
          <w:rFonts w:ascii="Times New Roman" w:hAnsi="Times New Roman" w:cs="Times New Roman"/>
          <w:sz w:val="28"/>
          <w:szCs w:val="28"/>
        </w:rPr>
        <w:t xml:space="preserve">constituyen </w:t>
      </w:r>
      <w:r w:rsidR="008F3C93" w:rsidRPr="004571E5">
        <w:rPr>
          <w:rFonts w:ascii="Times New Roman" w:hAnsi="Times New Roman" w:cs="Times New Roman"/>
          <w:sz w:val="28"/>
          <w:szCs w:val="28"/>
        </w:rPr>
        <w:t xml:space="preserve">un </w:t>
      </w:r>
      <w:r w:rsidRPr="004571E5">
        <w:rPr>
          <w:rFonts w:ascii="Times New Roman" w:hAnsi="Times New Roman" w:cs="Times New Roman"/>
          <w:sz w:val="28"/>
          <w:szCs w:val="28"/>
        </w:rPr>
        <w:t>precedente horizontal</w:t>
      </w:r>
      <w:r w:rsidR="008F3C93" w:rsidRPr="004571E5">
        <w:rPr>
          <w:rFonts w:ascii="Times New Roman" w:hAnsi="Times New Roman" w:cs="Times New Roman"/>
          <w:sz w:val="28"/>
          <w:szCs w:val="28"/>
        </w:rPr>
        <w:t xml:space="preserve"> relevante para las autoridades judiciales accionadas</w:t>
      </w:r>
      <w:r w:rsidRPr="004571E5">
        <w:rPr>
          <w:rFonts w:ascii="Times New Roman" w:hAnsi="Times New Roman" w:cs="Times New Roman"/>
          <w:sz w:val="28"/>
          <w:szCs w:val="28"/>
        </w:rPr>
        <w:t xml:space="preserve">. Primero, </w:t>
      </w:r>
      <w:r w:rsidR="00A90F8A" w:rsidRPr="004571E5">
        <w:rPr>
          <w:rFonts w:ascii="Times New Roman" w:hAnsi="Times New Roman" w:cs="Times New Roman"/>
          <w:sz w:val="28"/>
          <w:szCs w:val="28"/>
        </w:rPr>
        <w:t xml:space="preserve">incluso si no se trata de sentencias de unificación, fueron proferidas por autoridades de igual jerarquía -todas las subsecciones de la Sección Tercera del Consejo de Estado-. Segundo, en anteriores oportunidades la Corte ha reconocido la existencia de un precedente existente en esta materia en la jurisprudencia del Consejo de Estado a pesar de que no se ha proferido una sentencia de unificación sobre este punto en específico, tal es el caso de las sentencias SU-287 de 2024 y SU-016 de 2024. </w:t>
      </w:r>
      <w:r w:rsidR="00B23845" w:rsidRPr="004571E5">
        <w:rPr>
          <w:rFonts w:ascii="Times New Roman" w:hAnsi="Times New Roman" w:cs="Times New Roman"/>
          <w:sz w:val="28"/>
          <w:szCs w:val="28"/>
        </w:rPr>
        <w:t>Tercero, las sentencias del Alto Tribunal de lo contencioso administrativo que han fijado esta jurisprudencia son pacíficas y reiteradas y han sido proferidas por todas las subsecciones de la Sección Tercera del Consejo de Estado.</w:t>
      </w:r>
      <w:r w:rsidR="008F3C93" w:rsidRPr="004571E5">
        <w:rPr>
          <w:rFonts w:ascii="Times New Roman" w:hAnsi="Times New Roman" w:cs="Times New Roman"/>
          <w:sz w:val="28"/>
          <w:szCs w:val="28"/>
        </w:rPr>
        <w:t xml:space="preserve"> </w:t>
      </w:r>
    </w:p>
    <w:p w14:paraId="23681503" w14:textId="77777777" w:rsidR="00F025B8" w:rsidRPr="004571E5" w:rsidRDefault="00F025B8" w:rsidP="00EE5FDF">
      <w:pPr>
        <w:pStyle w:val="Prrafodelista"/>
        <w:rPr>
          <w:rFonts w:ascii="Times New Roman" w:hAnsi="Times New Roman" w:cs="Times New Roman"/>
          <w:sz w:val="28"/>
          <w:szCs w:val="28"/>
        </w:rPr>
      </w:pPr>
    </w:p>
    <w:p w14:paraId="6FC55385" w14:textId="056F261F" w:rsidR="00EC0080" w:rsidRPr="004571E5" w:rsidRDefault="008F3C93" w:rsidP="00EC0080">
      <w:pPr>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 xml:space="preserve">La Corte debe destacar que el origen de la providencia judicial no constituye una razón </w:t>
      </w:r>
      <w:r w:rsidR="00F025B8" w:rsidRPr="004571E5">
        <w:rPr>
          <w:rFonts w:ascii="Times New Roman" w:hAnsi="Times New Roman" w:cs="Times New Roman"/>
          <w:sz w:val="28"/>
          <w:szCs w:val="28"/>
        </w:rPr>
        <w:t xml:space="preserve">suficiente </w:t>
      </w:r>
      <w:r w:rsidRPr="004571E5">
        <w:rPr>
          <w:rFonts w:ascii="Times New Roman" w:hAnsi="Times New Roman" w:cs="Times New Roman"/>
          <w:sz w:val="28"/>
          <w:szCs w:val="28"/>
        </w:rPr>
        <w:t>para descartar que una providencia judicial constituya un precedente.</w:t>
      </w:r>
      <w:r w:rsidR="00F025B8" w:rsidRPr="004571E5">
        <w:rPr>
          <w:rFonts w:ascii="Times New Roman" w:hAnsi="Times New Roman" w:cs="Times New Roman"/>
          <w:sz w:val="28"/>
          <w:szCs w:val="28"/>
        </w:rPr>
        <w:t xml:space="preserve"> Sin embargo, dicho origen sí es relevante para definir su fuerza vinculante respecto de una determinada autoridad judicial -por ejemplo el precedente establecido por un juez civil municipal no vincula a ninguna sección del Consejo de Estado- o para establecer las exigencias para separarse del mismo dado que, como ha quedado dicho, es diferente el tipo de argumentación que debe presentarse para separarse de un precedente horizontal que para hacerlo respecto de uno fijado por la Corte Constitucional. </w:t>
      </w:r>
      <w:r w:rsidRPr="004571E5">
        <w:rPr>
          <w:rFonts w:ascii="Times New Roman" w:hAnsi="Times New Roman" w:cs="Times New Roman"/>
          <w:sz w:val="28"/>
          <w:szCs w:val="28"/>
        </w:rPr>
        <w:t xml:space="preserve">   </w:t>
      </w:r>
    </w:p>
    <w:p w14:paraId="555CF22D" w14:textId="77777777" w:rsidR="006B61C4" w:rsidRPr="004571E5" w:rsidRDefault="006B61C4" w:rsidP="006B61C4">
      <w:pPr>
        <w:tabs>
          <w:tab w:val="left" w:pos="426"/>
        </w:tabs>
        <w:spacing w:after="0" w:line="240" w:lineRule="auto"/>
        <w:jc w:val="both"/>
        <w:rPr>
          <w:rFonts w:ascii="Times New Roman" w:hAnsi="Times New Roman" w:cs="Times New Roman"/>
          <w:sz w:val="28"/>
          <w:szCs w:val="28"/>
        </w:rPr>
      </w:pPr>
    </w:p>
    <w:p w14:paraId="72FDA751" w14:textId="591C2D1E" w:rsidR="003A7C28" w:rsidRPr="004571E5" w:rsidRDefault="006B61C4" w:rsidP="00400146">
      <w:pPr>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 xml:space="preserve">A pesar de ello, la Corte encuentra que tanto la jurisprudencia constitucional como del Consejo de Estado se han pronunciado en ocasiones no señaladas por las partes respecto de este asunto. Al respecto, la Corte ha proferido las sentencias </w:t>
      </w:r>
      <w:r w:rsidR="003A7C28" w:rsidRPr="004571E5">
        <w:rPr>
          <w:rFonts w:ascii="Times New Roman" w:hAnsi="Times New Roman" w:cs="Times New Roman"/>
          <w:sz w:val="28"/>
          <w:szCs w:val="28"/>
        </w:rPr>
        <w:t>SU-287 de 2024, SU-016 de 2024, T-214 de 2020</w:t>
      </w:r>
      <w:r w:rsidR="00DC2507" w:rsidRPr="004571E5">
        <w:rPr>
          <w:rFonts w:ascii="Times New Roman" w:hAnsi="Times New Roman" w:cs="Times New Roman"/>
          <w:sz w:val="28"/>
          <w:szCs w:val="28"/>
        </w:rPr>
        <w:t xml:space="preserve"> y</w:t>
      </w:r>
      <w:r w:rsidR="003A7C28" w:rsidRPr="004571E5">
        <w:rPr>
          <w:rFonts w:ascii="Times New Roman" w:hAnsi="Times New Roman" w:cs="Times New Roman"/>
          <w:sz w:val="28"/>
          <w:szCs w:val="28"/>
        </w:rPr>
        <w:t xml:space="preserve"> SU-062 de 2018</w:t>
      </w:r>
      <w:r w:rsidRPr="004571E5">
        <w:rPr>
          <w:rFonts w:ascii="Times New Roman" w:hAnsi="Times New Roman" w:cs="Times New Roman"/>
          <w:sz w:val="28"/>
          <w:szCs w:val="28"/>
        </w:rPr>
        <w:t>. Por su parte, el Consejo de Estado ha</w:t>
      </w:r>
      <w:r w:rsidR="006608BC" w:rsidRPr="004571E5">
        <w:rPr>
          <w:rFonts w:ascii="Times New Roman" w:hAnsi="Times New Roman" w:cs="Times New Roman"/>
          <w:sz w:val="28"/>
          <w:szCs w:val="28"/>
        </w:rPr>
        <w:t xml:space="preserve"> adoptado, entre otras, las siguientes decisiones</w:t>
      </w:r>
      <w:r w:rsidRPr="004571E5">
        <w:rPr>
          <w:rFonts w:ascii="Times New Roman" w:hAnsi="Times New Roman" w:cs="Times New Roman"/>
          <w:sz w:val="28"/>
          <w:szCs w:val="28"/>
        </w:rPr>
        <w:t>:</w:t>
      </w:r>
      <w:r w:rsidR="003A7C28" w:rsidRPr="004571E5">
        <w:rPr>
          <w:rFonts w:ascii="Times New Roman" w:hAnsi="Times New Roman" w:cs="Times New Roman"/>
          <w:sz w:val="28"/>
          <w:szCs w:val="28"/>
        </w:rPr>
        <w:t xml:space="preserve"> </w:t>
      </w:r>
      <w:r w:rsidR="003A7C28" w:rsidRPr="004571E5">
        <w:rPr>
          <w:rFonts w:ascii="Times New Roman" w:hAnsi="Times New Roman" w:cs="Times New Roman"/>
          <w:sz w:val="28"/>
          <w:szCs w:val="28"/>
          <w:lang w:val="es-ES_tradnl"/>
        </w:rPr>
        <w:t xml:space="preserve">(i) </w:t>
      </w:r>
      <w:r w:rsidR="003A7C28" w:rsidRPr="004571E5">
        <w:rPr>
          <w:rFonts w:ascii="Times New Roman" w:hAnsi="Times New Roman" w:cs="Times New Roman"/>
          <w:sz w:val="28"/>
          <w:szCs w:val="28"/>
        </w:rPr>
        <w:t>sentencia del 27 de septiembre de 2013 (19939) de la Subsección B; (</w:t>
      </w:r>
      <w:proofErr w:type="spellStart"/>
      <w:r w:rsidR="003A7C28" w:rsidRPr="004571E5">
        <w:rPr>
          <w:rFonts w:ascii="Times New Roman" w:hAnsi="Times New Roman" w:cs="Times New Roman"/>
          <w:sz w:val="28"/>
          <w:szCs w:val="28"/>
        </w:rPr>
        <w:t>ii</w:t>
      </w:r>
      <w:proofErr w:type="spellEnd"/>
      <w:r w:rsidR="003A7C28" w:rsidRPr="004571E5">
        <w:rPr>
          <w:rFonts w:ascii="Times New Roman" w:hAnsi="Times New Roman" w:cs="Times New Roman"/>
          <w:sz w:val="28"/>
          <w:szCs w:val="28"/>
        </w:rPr>
        <w:t>) sentencia del 14 de septiembre de 2016 (34349) de la Subsección A; (</w:t>
      </w:r>
      <w:proofErr w:type="spellStart"/>
      <w:r w:rsidR="003A7C28" w:rsidRPr="004571E5">
        <w:rPr>
          <w:rFonts w:ascii="Times New Roman" w:hAnsi="Times New Roman" w:cs="Times New Roman"/>
          <w:sz w:val="28"/>
          <w:szCs w:val="28"/>
        </w:rPr>
        <w:t>i</w:t>
      </w:r>
      <w:r w:rsidRPr="004571E5">
        <w:rPr>
          <w:rFonts w:ascii="Times New Roman" w:hAnsi="Times New Roman" w:cs="Times New Roman"/>
          <w:sz w:val="28"/>
          <w:szCs w:val="28"/>
        </w:rPr>
        <w:t>ii</w:t>
      </w:r>
      <w:proofErr w:type="spellEnd"/>
      <w:r w:rsidRPr="004571E5">
        <w:rPr>
          <w:rFonts w:ascii="Times New Roman" w:hAnsi="Times New Roman" w:cs="Times New Roman"/>
          <w:sz w:val="28"/>
          <w:szCs w:val="28"/>
        </w:rPr>
        <w:t>)</w:t>
      </w:r>
      <w:r w:rsidR="003A7C28" w:rsidRPr="004571E5">
        <w:rPr>
          <w:rFonts w:ascii="Times New Roman" w:hAnsi="Times New Roman" w:cs="Times New Roman"/>
          <w:sz w:val="28"/>
          <w:szCs w:val="28"/>
        </w:rPr>
        <w:t xml:space="preserve"> sentencia del 23 de marzo de 2017 (50941) de la Subsección A; y (</w:t>
      </w:r>
      <w:proofErr w:type="spellStart"/>
      <w:r w:rsidR="003A7C28" w:rsidRPr="004571E5">
        <w:rPr>
          <w:rFonts w:ascii="Times New Roman" w:hAnsi="Times New Roman" w:cs="Times New Roman"/>
          <w:sz w:val="28"/>
          <w:szCs w:val="28"/>
        </w:rPr>
        <w:t>i</w:t>
      </w:r>
      <w:r w:rsidRPr="004571E5">
        <w:rPr>
          <w:rFonts w:ascii="Times New Roman" w:hAnsi="Times New Roman" w:cs="Times New Roman"/>
          <w:sz w:val="28"/>
          <w:szCs w:val="28"/>
        </w:rPr>
        <w:t>v</w:t>
      </w:r>
      <w:proofErr w:type="spellEnd"/>
      <w:r w:rsidR="003A7C28" w:rsidRPr="004571E5">
        <w:rPr>
          <w:rFonts w:ascii="Times New Roman" w:hAnsi="Times New Roman" w:cs="Times New Roman"/>
          <w:sz w:val="28"/>
          <w:szCs w:val="28"/>
        </w:rPr>
        <w:t>) sentencia del 5 de marzo de 2021 (47555) de la Subsección A</w:t>
      </w:r>
      <w:r w:rsidRPr="004571E5">
        <w:rPr>
          <w:rFonts w:ascii="Times New Roman" w:hAnsi="Times New Roman" w:cs="Times New Roman"/>
          <w:sz w:val="28"/>
          <w:szCs w:val="28"/>
        </w:rPr>
        <w:t>.</w:t>
      </w:r>
      <w:r w:rsidR="00F025B8" w:rsidRPr="004571E5">
        <w:rPr>
          <w:rFonts w:ascii="Times New Roman" w:hAnsi="Times New Roman" w:cs="Times New Roman"/>
          <w:sz w:val="28"/>
          <w:szCs w:val="28"/>
        </w:rPr>
        <w:t xml:space="preserve"> Tales pronunciamientos, según se explicó en el fundamento jurídico </w:t>
      </w:r>
      <w:r w:rsidR="00FA178B" w:rsidRPr="004571E5">
        <w:rPr>
          <w:rFonts w:ascii="Times New Roman" w:hAnsi="Times New Roman" w:cs="Times New Roman"/>
          <w:sz w:val="28"/>
          <w:szCs w:val="28"/>
        </w:rPr>
        <w:t>69</w:t>
      </w:r>
      <w:r w:rsidR="00F025B8" w:rsidRPr="004571E5">
        <w:rPr>
          <w:rFonts w:ascii="Times New Roman" w:hAnsi="Times New Roman" w:cs="Times New Roman"/>
          <w:sz w:val="28"/>
          <w:szCs w:val="28"/>
        </w:rPr>
        <w:t xml:space="preserve"> deben considerarse a efectos de caracterizar la regla de decisión relevante aplicable en este caso.</w:t>
      </w:r>
    </w:p>
    <w:p w14:paraId="75C03F24" w14:textId="77777777" w:rsidR="00921FB3" w:rsidRPr="004571E5" w:rsidRDefault="00921FB3" w:rsidP="00921FB3">
      <w:pPr>
        <w:tabs>
          <w:tab w:val="left" w:pos="426"/>
        </w:tabs>
        <w:spacing w:after="0" w:line="240" w:lineRule="auto"/>
        <w:jc w:val="both"/>
        <w:rPr>
          <w:rFonts w:ascii="Times New Roman" w:hAnsi="Times New Roman" w:cs="Times New Roman"/>
          <w:sz w:val="28"/>
          <w:szCs w:val="28"/>
        </w:rPr>
      </w:pPr>
    </w:p>
    <w:p w14:paraId="78632434" w14:textId="4A9E9EEB" w:rsidR="00921FB3" w:rsidRPr="004571E5" w:rsidRDefault="00921FB3" w:rsidP="00921FB3">
      <w:pPr>
        <w:pStyle w:val="Prrafodelista"/>
        <w:numPr>
          <w:ilvl w:val="0"/>
          <w:numId w:val="35"/>
        </w:numPr>
        <w:tabs>
          <w:tab w:val="left" w:pos="426"/>
        </w:tabs>
        <w:spacing w:after="0" w:line="240" w:lineRule="auto"/>
        <w:jc w:val="both"/>
        <w:rPr>
          <w:rFonts w:ascii="Times New Roman" w:hAnsi="Times New Roman" w:cs="Times New Roman"/>
          <w:b/>
          <w:sz w:val="28"/>
          <w:szCs w:val="28"/>
        </w:rPr>
      </w:pPr>
      <w:r w:rsidRPr="004571E5">
        <w:rPr>
          <w:rFonts w:ascii="Times New Roman" w:hAnsi="Times New Roman" w:cs="Times New Roman"/>
          <w:b/>
          <w:iCs/>
          <w:sz w:val="28"/>
          <w:szCs w:val="28"/>
        </w:rPr>
        <w:t xml:space="preserve">El carácter análogo de las situaciones fácticas </w:t>
      </w:r>
    </w:p>
    <w:p w14:paraId="319A4048" w14:textId="77777777" w:rsidR="00921FB3" w:rsidRPr="004571E5" w:rsidRDefault="00921FB3" w:rsidP="00921FB3">
      <w:pPr>
        <w:tabs>
          <w:tab w:val="left" w:pos="426"/>
        </w:tabs>
        <w:spacing w:after="0" w:line="240" w:lineRule="auto"/>
        <w:jc w:val="both"/>
        <w:rPr>
          <w:rFonts w:ascii="Times New Roman" w:hAnsi="Times New Roman" w:cs="Times New Roman"/>
          <w:sz w:val="28"/>
          <w:szCs w:val="28"/>
        </w:rPr>
      </w:pPr>
    </w:p>
    <w:p w14:paraId="64C6F6E1" w14:textId="0A736480" w:rsidR="004144C9" w:rsidRPr="004571E5" w:rsidRDefault="004144C9" w:rsidP="00B40000">
      <w:pPr>
        <w:pStyle w:val="Prrafodelista"/>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lastRenderedPageBreak/>
        <w:t xml:space="preserve">Respecto del </w:t>
      </w:r>
      <w:r w:rsidR="00D53781" w:rsidRPr="004571E5">
        <w:rPr>
          <w:rFonts w:ascii="Times New Roman" w:hAnsi="Times New Roman" w:cs="Times New Roman"/>
          <w:sz w:val="28"/>
          <w:szCs w:val="28"/>
        </w:rPr>
        <w:t>precedente de la Corte Constitucional</w:t>
      </w:r>
      <w:r w:rsidRPr="004571E5">
        <w:rPr>
          <w:rFonts w:ascii="Times New Roman" w:hAnsi="Times New Roman" w:cs="Times New Roman"/>
          <w:sz w:val="28"/>
          <w:szCs w:val="28"/>
        </w:rPr>
        <w:t xml:space="preserve">, los hechos jurídicamente relevantes </w:t>
      </w:r>
      <w:r w:rsidR="00302762" w:rsidRPr="004571E5">
        <w:rPr>
          <w:rFonts w:ascii="Times New Roman" w:hAnsi="Times New Roman" w:cs="Times New Roman"/>
          <w:sz w:val="28"/>
          <w:szCs w:val="28"/>
        </w:rPr>
        <w:t xml:space="preserve">que pueden identificarse en los dos casos aquí estudiados </w:t>
      </w:r>
      <w:r w:rsidRPr="004571E5">
        <w:rPr>
          <w:rFonts w:ascii="Times New Roman" w:hAnsi="Times New Roman" w:cs="Times New Roman"/>
          <w:sz w:val="28"/>
          <w:szCs w:val="28"/>
        </w:rPr>
        <w:t xml:space="preserve">son los siguientes: </w:t>
      </w:r>
      <w:r w:rsidR="003A7C28" w:rsidRPr="004571E5">
        <w:rPr>
          <w:rFonts w:ascii="Times New Roman" w:hAnsi="Times New Roman" w:cs="Times New Roman"/>
          <w:sz w:val="28"/>
          <w:szCs w:val="28"/>
        </w:rPr>
        <w:t xml:space="preserve">(i) </w:t>
      </w:r>
      <w:r w:rsidRPr="004571E5">
        <w:rPr>
          <w:rFonts w:ascii="Times New Roman" w:hAnsi="Times New Roman" w:cs="Times New Roman"/>
          <w:sz w:val="28"/>
          <w:szCs w:val="28"/>
        </w:rPr>
        <w:t xml:space="preserve">se trata de </w:t>
      </w:r>
      <w:r w:rsidR="003A7C28" w:rsidRPr="004571E5">
        <w:rPr>
          <w:rFonts w:ascii="Times New Roman" w:hAnsi="Times New Roman" w:cs="Times New Roman"/>
          <w:sz w:val="28"/>
          <w:szCs w:val="28"/>
        </w:rPr>
        <w:t xml:space="preserve">acciones de tutela contra providencias judiciales emitidas </w:t>
      </w:r>
      <w:r w:rsidRPr="004571E5">
        <w:rPr>
          <w:rFonts w:ascii="Times New Roman" w:hAnsi="Times New Roman" w:cs="Times New Roman"/>
          <w:sz w:val="28"/>
          <w:szCs w:val="28"/>
        </w:rPr>
        <w:t>en el marco de procesos de reparación directa; (</w:t>
      </w:r>
      <w:proofErr w:type="spellStart"/>
      <w:r w:rsidRPr="004571E5">
        <w:rPr>
          <w:rFonts w:ascii="Times New Roman" w:hAnsi="Times New Roman" w:cs="Times New Roman"/>
          <w:sz w:val="28"/>
          <w:szCs w:val="28"/>
        </w:rPr>
        <w:t>ii</w:t>
      </w:r>
      <w:proofErr w:type="spellEnd"/>
      <w:r w:rsidRPr="004571E5">
        <w:rPr>
          <w:rFonts w:ascii="Times New Roman" w:hAnsi="Times New Roman" w:cs="Times New Roman"/>
          <w:sz w:val="28"/>
          <w:szCs w:val="28"/>
        </w:rPr>
        <w:t>) en estos procesos se pretendía la declaratoria de la responsabilidad del Estado por la ocurrencia de una ejecución extrajudicial; y (</w:t>
      </w:r>
      <w:proofErr w:type="spellStart"/>
      <w:r w:rsidRPr="004571E5">
        <w:rPr>
          <w:rFonts w:ascii="Times New Roman" w:hAnsi="Times New Roman" w:cs="Times New Roman"/>
          <w:sz w:val="28"/>
          <w:szCs w:val="28"/>
        </w:rPr>
        <w:t>iii</w:t>
      </w:r>
      <w:proofErr w:type="spellEnd"/>
      <w:r w:rsidRPr="004571E5">
        <w:rPr>
          <w:rFonts w:ascii="Times New Roman" w:hAnsi="Times New Roman" w:cs="Times New Roman"/>
          <w:sz w:val="28"/>
          <w:szCs w:val="28"/>
        </w:rPr>
        <w:t xml:space="preserve">) se reprocha que las autoridades judiciales inaplicaron el precedente relevante en la materia y, en consecuencia, incurrieron en un defecto fáctico. </w:t>
      </w:r>
    </w:p>
    <w:p w14:paraId="5D3BA9CE" w14:textId="77777777" w:rsidR="000E2A24" w:rsidRPr="004571E5" w:rsidRDefault="000E2A24" w:rsidP="000E2A24">
      <w:pPr>
        <w:pStyle w:val="Prrafodelista"/>
        <w:tabs>
          <w:tab w:val="left" w:pos="426"/>
        </w:tabs>
        <w:spacing w:after="0" w:line="240" w:lineRule="auto"/>
        <w:ind w:left="0"/>
        <w:jc w:val="both"/>
        <w:rPr>
          <w:rFonts w:ascii="Times New Roman" w:hAnsi="Times New Roman" w:cs="Times New Roman"/>
          <w:sz w:val="28"/>
          <w:szCs w:val="28"/>
        </w:rPr>
      </w:pPr>
    </w:p>
    <w:tbl>
      <w:tblPr>
        <w:tblStyle w:val="Tablaconcuadrcula"/>
        <w:tblW w:w="0" w:type="auto"/>
        <w:tblLook w:val="04A0" w:firstRow="1" w:lastRow="0" w:firstColumn="1" w:lastColumn="0" w:noHBand="0" w:noVBand="1"/>
      </w:tblPr>
      <w:tblGrid>
        <w:gridCol w:w="1203"/>
        <w:gridCol w:w="7625"/>
      </w:tblGrid>
      <w:tr w:rsidR="000E2A24" w:rsidRPr="004571E5" w14:paraId="5AEDBCF1" w14:textId="77777777" w:rsidTr="004E39B3">
        <w:tc>
          <w:tcPr>
            <w:tcW w:w="1192" w:type="dxa"/>
            <w:shd w:val="clear" w:color="auto" w:fill="A6A6A6" w:themeFill="background1" w:themeFillShade="A6"/>
          </w:tcPr>
          <w:p w14:paraId="3D53C46C" w14:textId="23859A92" w:rsidR="000E2A24" w:rsidRPr="004571E5" w:rsidRDefault="004E39B3" w:rsidP="000E2A24">
            <w:pPr>
              <w:pStyle w:val="Prrafodelista"/>
              <w:tabs>
                <w:tab w:val="left" w:pos="426"/>
              </w:tabs>
              <w:ind w:left="0"/>
              <w:jc w:val="center"/>
              <w:rPr>
                <w:rFonts w:ascii="Times New Roman" w:hAnsi="Times New Roman" w:cs="Times New Roman"/>
                <w:b/>
                <w:bCs/>
                <w:sz w:val="24"/>
                <w:szCs w:val="24"/>
              </w:rPr>
            </w:pPr>
            <w:r w:rsidRPr="004571E5">
              <w:rPr>
                <w:rFonts w:ascii="Times New Roman" w:hAnsi="Times New Roman" w:cs="Times New Roman"/>
                <w:b/>
                <w:bCs/>
                <w:sz w:val="24"/>
                <w:szCs w:val="24"/>
              </w:rPr>
              <w:t>Sentencia</w:t>
            </w:r>
          </w:p>
        </w:tc>
        <w:tc>
          <w:tcPr>
            <w:tcW w:w="7636" w:type="dxa"/>
            <w:shd w:val="clear" w:color="auto" w:fill="A6A6A6" w:themeFill="background1" w:themeFillShade="A6"/>
          </w:tcPr>
          <w:p w14:paraId="4C7FB91F" w14:textId="62891D3D" w:rsidR="000E2A24" w:rsidRPr="004571E5" w:rsidRDefault="000E2A24" w:rsidP="000E2A24">
            <w:pPr>
              <w:pStyle w:val="Prrafodelista"/>
              <w:tabs>
                <w:tab w:val="left" w:pos="426"/>
              </w:tabs>
              <w:ind w:left="0"/>
              <w:jc w:val="center"/>
              <w:rPr>
                <w:rFonts w:ascii="Times New Roman" w:hAnsi="Times New Roman" w:cs="Times New Roman"/>
                <w:b/>
                <w:bCs/>
                <w:sz w:val="24"/>
                <w:szCs w:val="24"/>
              </w:rPr>
            </w:pPr>
            <w:r w:rsidRPr="004571E5">
              <w:rPr>
                <w:rFonts w:ascii="Times New Roman" w:hAnsi="Times New Roman" w:cs="Times New Roman"/>
                <w:b/>
                <w:bCs/>
                <w:sz w:val="24"/>
                <w:szCs w:val="24"/>
              </w:rPr>
              <w:t>Verificación del carácter análogo de l</w:t>
            </w:r>
            <w:r w:rsidR="005C02B3" w:rsidRPr="004571E5">
              <w:rPr>
                <w:rFonts w:ascii="Times New Roman" w:hAnsi="Times New Roman" w:cs="Times New Roman"/>
                <w:b/>
                <w:bCs/>
                <w:sz w:val="24"/>
                <w:szCs w:val="24"/>
              </w:rPr>
              <w:t>as situaciones fácticas</w:t>
            </w:r>
          </w:p>
        </w:tc>
      </w:tr>
      <w:tr w:rsidR="000E2A24" w:rsidRPr="004571E5" w14:paraId="7F22B05B" w14:textId="77777777" w:rsidTr="004E39B3">
        <w:tc>
          <w:tcPr>
            <w:tcW w:w="1192" w:type="dxa"/>
            <w:shd w:val="clear" w:color="auto" w:fill="BFBFBF" w:themeFill="background1" w:themeFillShade="BF"/>
            <w:vAlign w:val="center"/>
          </w:tcPr>
          <w:p w14:paraId="26041979" w14:textId="2DFCFE90" w:rsidR="000E2A24" w:rsidRPr="004571E5" w:rsidRDefault="000E2A24" w:rsidP="000E2A24">
            <w:pPr>
              <w:pStyle w:val="Prrafodelista"/>
              <w:tabs>
                <w:tab w:val="left" w:pos="426"/>
              </w:tabs>
              <w:ind w:left="0"/>
              <w:jc w:val="center"/>
              <w:rPr>
                <w:rFonts w:ascii="Times New Roman" w:hAnsi="Times New Roman" w:cs="Times New Roman"/>
                <w:sz w:val="24"/>
                <w:szCs w:val="24"/>
              </w:rPr>
            </w:pPr>
            <w:r w:rsidRPr="004571E5">
              <w:rPr>
                <w:rFonts w:ascii="Times New Roman" w:hAnsi="Times New Roman" w:cs="Times New Roman"/>
                <w:sz w:val="24"/>
                <w:szCs w:val="24"/>
              </w:rPr>
              <w:t>SU-060 de 2021</w:t>
            </w:r>
          </w:p>
        </w:tc>
        <w:tc>
          <w:tcPr>
            <w:tcW w:w="7636" w:type="dxa"/>
            <w:vAlign w:val="center"/>
          </w:tcPr>
          <w:p w14:paraId="55A359BF" w14:textId="77777777" w:rsidR="002150A4" w:rsidRPr="004571E5" w:rsidRDefault="000E2A24" w:rsidP="000E2A24">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rPr>
              <w:t xml:space="preserve">Primero, la acción se presentó contra la Subsección A de la Sección Tercera del Consejo de Estado como juez de segunda instancia dentro de un proceso de reparación directa. </w:t>
            </w:r>
          </w:p>
          <w:p w14:paraId="4612B74A" w14:textId="77777777" w:rsidR="00DF7B89" w:rsidRPr="004571E5" w:rsidRDefault="00DF7B89" w:rsidP="000E2A24">
            <w:pPr>
              <w:pStyle w:val="Prrafodelista"/>
              <w:tabs>
                <w:tab w:val="left" w:pos="426"/>
              </w:tabs>
              <w:ind w:left="0"/>
              <w:jc w:val="both"/>
              <w:rPr>
                <w:rFonts w:ascii="Times New Roman" w:hAnsi="Times New Roman" w:cs="Times New Roman"/>
                <w:sz w:val="24"/>
                <w:szCs w:val="24"/>
              </w:rPr>
            </w:pPr>
          </w:p>
          <w:p w14:paraId="60963BC6" w14:textId="5BA78E80" w:rsidR="002150A4" w:rsidRPr="004571E5" w:rsidRDefault="000E2A24" w:rsidP="000E2A24">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rPr>
              <w:t xml:space="preserve">Segundo, las accionantes presentaron la demanda de reparación directa pues afirmaron que sus familiares fallecidos “fueron presentados como bajas en combate durante enfrentamientos presuntamente sostenidos con el Ejército Nacional en la ciudad de Pereira el 8 de septiembre de 2007. Las ciudadanas indicaron que los señores Osorio y Arcila eran dos civiles que no tenían ninguna relación con los grupos al margen de la ley”. </w:t>
            </w:r>
          </w:p>
          <w:p w14:paraId="0CE24F80" w14:textId="77777777" w:rsidR="005C02B3" w:rsidRPr="004571E5" w:rsidRDefault="005C02B3" w:rsidP="000E2A24">
            <w:pPr>
              <w:pStyle w:val="Prrafodelista"/>
              <w:tabs>
                <w:tab w:val="left" w:pos="426"/>
              </w:tabs>
              <w:ind w:left="0"/>
              <w:jc w:val="both"/>
              <w:rPr>
                <w:rFonts w:ascii="Times New Roman" w:hAnsi="Times New Roman" w:cs="Times New Roman"/>
                <w:sz w:val="24"/>
                <w:szCs w:val="24"/>
              </w:rPr>
            </w:pPr>
          </w:p>
          <w:p w14:paraId="0B417DCD" w14:textId="77777777" w:rsidR="000E2A24" w:rsidRPr="004571E5" w:rsidRDefault="000E2A24" w:rsidP="000E2A24">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rPr>
              <w:t>Tercero, las actoras consideraron que, al proferirse la sentencia de segunda instancia, el Consejo de Estado incurrió en un defecto fáctico y en un defecto por desconocimiento del precedente de las sentencias del 26 de octubre de 2013, 5 de abril de 2013 y de la sentencia de unificación de 28 de agosto de 2014 expedidas por la Sección Tercera del Consejo de Estado y de la Sentencia SU-035 de 2018 de la Corte Constitucional.</w:t>
            </w:r>
          </w:p>
          <w:p w14:paraId="5F2B58D6" w14:textId="77777777" w:rsidR="0046654F" w:rsidRPr="004571E5" w:rsidRDefault="0046654F" w:rsidP="000E2A24">
            <w:pPr>
              <w:pStyle w:val="Prrafodelista"/>
              <w:tabs>
                <w:tab w:val="left" w:pos="426"/>
              </w:tabs>
              <w:ind w:left="0"/>
              <w:jc w:val="both"/>
              <w:rPr>
                <w:rFonts w:ascii="Times New Roman" w:hAnsi="Times New Roman" w:cs="Times New Roman"/>
                <w:sz w:val="24"/>
                <w:szCs w:val="24"/>
              </w:rPr>
            </w:pPr>
          </w:p>
          <w:p w14:paraId="1082A5E3" w14:textId="42A0C0CB" w:rsidR="0046654F" w:rsidRPr="004571E5" w:rsidRDefault="0046654F" w:rsidP="000E2A24">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rPr>
              <w:t>El caso versaba sobre la ocurrencia de una ejecución extrajudicial y las demandantes afirma</w:t>
            </w:r>
            <w:r w:rsidR="00F025B8" w:rsidRPr="004571E5">
              <w:rPr>
                <w:rFonts w:ascii="Times New Roman" w:hAnsi="Times New Roman" w:cs="Times New Roman"/>
                <w:sz w:val="24"/>
                <w:szCs w:val="24"/>
              </w:rPr>
              <w:t>ban</w:t>
            </w:r>
            <w:r w:rsidRPr="004571E5">
              <w:rPr>
                <w:rFonts w:ascii="Times New Roman" w:hAnsi="Times New Roman" w:cs="Times New Roman"/>
                <w:sz w:val="24"/>
                <w:szCs w:val="24"/>
              </w:rPr>
              <w:t xml:space="preserve"> que los fallecidos “fueron presentados como bajas en combate durante enfrentamientos presuntamente sostenidos con el Ejército Nacional en la ciudad de Pereira el 8 de septiembre de 2007</w:t>
            </w:r>
            <w:r w:rsidR="00F025B8" w:rsidRPr="004571E5">
              <w:rPr>
                <w:rFonts w:ascii="Times New Roman" w:hAnsi="Times New Roman" w:cs="Times New Roman"/>
                <w:sz w:val="24"/>
                <w:szCs w:val="24"/>
              </w:rPr>
              <w:t>”</w:t>
            </w:r>
            <w:r w:rsidRPr="004571E5">
              <w:rPr>
                <w:rFonts w:ascii="Times New Roman" w:hAnsi="Times New Roman" w:cs="Times New Roman"/>
                <w:sz w:val="24"/>
                <w:szCs w:val="24"/>
              </w:rPr>
              <w:t xml:space="preserve">. </w:t>
            </w:r>
            <w:r w:rsidR="00F025B8" w:rsidRPr="004571E5">
              <w:rPr>
                <w:rFonts w:ascii="Times New Roman" w:hAnsi="Times New Roman" w:cs="Times New Roman"/>
                <w:sz w:val="24"/>
                <w:szCs w:val="24"/>
              </w:rPr>
              <w:t xml:space="preserve">Además, señalaron </w:t>
            </w:r>
            <w:r w:rsidRPr="004571E5">
              <w:rPr>
                <w:rFonts w:ascii="Times New Roman" w:hAnsi="Times New Roman" w:cs="Times New Roman"/>
                <w:sz w:val="24"/>
                <w:szCs w:val="24"/>
              </w:rPr>
              <w:t xml:space="preserve">que </w:t>
            </w:r>
            <w:r w:rsidR="00F025B8" w:rsidRPr="004571E5">
              <w:rPr>
                <w:rFonts w:ascii="Times New Roman" w:hAnsi="Times New Roman" w:cs="Times New Roman"/>
                <w:sz w:val="24"/>
                <w:szCs w:val="24"/>
              </w:rPr>
              <w:t>“</w:t>
            </w:r>
            <w:r w:rsidRPr="004571E5">
              <w:rPr>
                <w:rFonts w:ascii="Times New Roman" w:hAnsi="Times New Roman" w:cs="Times New Roman"/>
                <w:sz w:val="24"/>
                <w:szCs w:val="24"/>
              </w:rPr>
              <w:t xml:space="preserve">los señores Osorio y Arcila eran dos civiles que no tenían ninguna relación con los grupos al margen de la ley”. </w:t>
            </w:r>
            <w:r w:rsidR="00F025B8" w:rsidRPr="004571E5">
              <w:rPr>
                <w:rFonts w:ascii="Times New Roman" w:hAnsi="Times New Roman" w:cs="Times New Roman"/>
                <w:sz w:val="24"/>
                <w:szCs w:val="24"/>
              </w:rPr>
              <w:t>También s</w:t>
            </w:r>
            <w:r w:rsidRPr="004571E5">
              <w:rPr>
                <w:rFonts w:ascii="Times New Roman" w:hAnsi="Times New Roman" w:cs="Times New Roman"/>
                <w:sz w:val="24"/>
                <w:szCs w:val="24"/>
              </w:rPr>
              <w:t>ostuvieron que “en su poder se hallaron dos armas de fuego de fabricación artesanal, de funcionamiento semiautomático y en mal estado por presencia de óxido</w:t>
            </w:r>
            <w:r w:rsidR="00F025B8" w:rsidRPr="004571E5">
              <w:rPr>
                <w:rFonts w:ascii="Times New Roman" w:hAnsi="Times New Roman" w:cs="Times New Roman"/>
                <w:sz w:val="24"/>
                <w:szCs w:val="24"/>
              </w:rPr>
              <w:t xml:space="preserve">” </w:t>
            </w:r>
            <w:proofErr w:type="gramStart"/>
            <w:r w:rsidR="00F025B8" w:rsidRPr="004571E5">
              <w:rPr>
                <w:rFonts w:ascii="Times New Roman" w:hAnsi="Times New Roman" w:cs="Times New Roman"/>
                <w:sz w:val="24"/>
                <w:szCs w:val="24"/>
              </w:rPr>
              <w:t xml:space="preserve">y </w:t>
            </w:r>
            <w:r w:rsidRPr="004571E5">
              <w:rPr>
                <w:rFonts w:ascii="Times New Roman" w:hAnsi="Times New Roman" w:cs="Times New Roman"/>
                <w:sz w:val="24"/>
                <w:szCs w:val="24"/>
              </w:rPr>
              <w:t xml:space="preserve"> </w:t>
            </w:r>
            <w:r w:rsidR="00F025B8" w:rsidRPr="004571E5">
              <w:rPr>
                <w:rFonts w:ascii="Times New Roman" w:hAnsi="Times New Roman" w:cs="Times New Roman"/>
                <w:sz w:val="24"/>
                <w:szCs w:val="24"/>
              </w:rPr>
              <w:t>“</w:t>
            </w:r>
            <w:proofErr w:type="gramEnd"/>
            <w:r w:rsidR="00F025B8" w:rsidRPr="004571E5">
              <w:rPr>
                <w:rFonts w:ascii="Times New Roman" w:hAnsi="Times New Roman" w:cs="Times New Roman"/>
                <w:sz w:val="24"/>
                <w:szCs w:val="24"/>
              </w:rPr>
              <w:t>[a]</w:t>
            </w:r>
            <w:proofErr w:type="spellStart"/>
            <w:r w:rsidRPr="004571E5">
              <w:rPr>
                <w:rFonts w:ascii="Times New Roman" w:hAnsi="Times New Roman" w:cs="Times New Roman"/>
                <w:sz w:val="24"/>
                <w:szCs w:val="24"/>
              </w:rPr>
              <w:t>seguraron</w:t>
            </w:r>
            <w:proofErr w:type="spellEnd"/>
            <w:r w:rsidRPr="004571E5">
              <w:rPr>
                <w:rFonts w:ascii="Times New Roman" w:hAnsi="Times New Roman" w:cs="Times New Roman"/>
                <w:sz w:val="24"/>
                <w:szCs w:val="24"/>
              </w:rPr>
              <w:t xml:space="preserve"> que no se encontraron las huellas dactilares de los fallecidos en dichos elementos y tampoco se determinó la antelación con la que las armas habían sido accionadas”.</w:t>
            </w:r>
          </w:p>
        </w:tc>
      </w:tr>
      <w:tr w:rsidR="000E2A24" w:rsidRPr="004571E5" w14:paraId="7A6FF1F2" w14:textId="77777777" w:rsidTr="004E39B3">
        <w:tc>
          <w:tcPr>
            <w:tcW w:w="1192" w:type="dxa"/>
            <w:shd w:val="clear" w:color="auto" w:fill="BFBFBF" w:themeFill="background1" w:themeFillShade="BF"/>
            <w:vAlign w:val="center"/>
          </w:tcPr>
          <w:p w14:paraId="70D48A6B" w14:textId="7D06F07E" w:rsidR="000E2A24" w:rsidRPr="004571E5" w:rsidRDefault="000E2A24" w:rsidP="000E2A24">
            <w:pPr>
              <w:pStyle w:val="Prrafodelista"/>
              <w:tabs>
                <w:tab w:val="left" w:pos="426"/>
              </w:tabs>
              <w:ind w:left="0"/>
              <w:jc w:val="center"/>
              <w:rPr>
                <w:rFonts w:ascii="Times New Roman" w:hAnsi="Times New Roman" w:cs="Times New Roman"/>
                <w:sz w:val="24"/>
                <w:szCs w:val="24"/>
              </w:rPr>
            </w:pPr>
            <w:r w:rsidRPr="004571E5">
              <w:rPr>
                <w:rFonts w:ascii="Times New Roman" w:hAnsi="Times New Roman" w:cs="Times New Roman"/>
                <w:sz w:val="24"/>
                <w:szCs w:val="24"/>
              </w:rPr>
              <w:t>SU-035 de 2018</w:t>
            </w:r>
          </w:p>
        </w:tc>
        <w:tc>
          <w:tcPr>
            <w:tcW w:w="7636" w:type="dxa"/>
            <w:vAlign w:val="center"/>
          </w:tcPr>
          <w:p w14:paraId="0D767FE6" w14:textId="40E41DC3" w:rsidR="002150A4" w:rsidRPr="004571E5" w:rsidRDefault="000E2A24" w:rsidP="000E2A24">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rPr>
              <w:t xml:space="preserve">Primero, </w:t>
            </w:r>
            <w:r w:rsidR="005C02B3" w:rsidRPr="004571E5">
              <w:rPr>
                <w:rFonts w:ascii="Times New Roman" w:hAnsi="Times New Roman" w:cs="Times New Roman"/>
                <w:sz w:val="24"/>
                <w:szCs w:val="24"/>
              </w:rPr>
              <w:t>la solicitud de</w:t>
            </w:r>
            <w:r w:rsidRPr="004571E5">
              <w:rPr>
                <w:rFonts w:ascii="Times New Roman" w:hAnsi="Times New Roman" w:cs="Times New Roman"/>
                <w:sz w:val="24"/>
                <w:szCs w:val="24"/>
              </w:rPr>
              <w:t xml:space="preserve"> amparo se presentó contra la Subsección C de la Sección Tercera del Consejo de Estado como juez de segunda instancia dentro de un proceso de reparación directa.</w:t>
            </w:r>
            <w:r w:rsidR="00364550" w:rsidRPr="004571E5">
              <w:rPr>
                <w:rFonts w:ascii="Times New Roman" w:hAnsi="Times New Roman" w:cs="Times New Roman"/>
                <w:sz w:val="24"/>
                <w:szCs w:val="24"/>
              </w:rPr>
              <w:t xml:space="preserve"> </w:t>
            </w:r>
          </w:p>
          <w:p w14:paraId="60D9D7C6" w14:textId="77777777" w:rsidR="00DF7B89" w:rsidRPr="004571E5" w:rsidRDefault="00DF7B89" w:rsidP="000E2A24">
            <w:pPr>
              <w:pStyle w:val="Prrafodelista"/>
              <w:tabs>
                <w:tab w:val="left" w:pos="426"/>
              </w:tabs>
              <w:ind w:left="0"/>
              <w:jc w:val="both"/>
              <w:rPr>
                <w:rFonts w:ascii="Times New Roman" w:hAnsi="Times New Roman" w:cs="Times New Roman"/>
                <w:sz w:val="24"/>
                <w:szCs w:val="24"/>
              </w:rPr>
            </w:pPr>
          </w:p>
          <w:p w14:paraId="499063E4" w14:textId="570E7636" w:rsidR="002150A4" w:rsidRPr="004571E5" w:rsidRDefault="00364550" w:rsidP="000E2A24">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rPr>
              <w:t xml:space="preserve">Segundo, la demandante en ese proceso presentó el medio de control pues consideró que los militares que dieron muerte a su padre “presentaron al señor Olivo Peña como integrante de un grupo armado ilegal, muerto en un enfrentamiento y a quien se le había incautado una subametralladora, cuando en realidad se trató de una ejecución extrajudicial”. </w:t>
            </w:r>
          </w:p>
          <w:p w14:paraId="10D4BA9B" w14:textId="77777777" w:rsidR="00DF7B89" w:rsidRPr="004571E5" w:rsidRDefault="00DF7B89" w:rsidP="000E2A24">
            <w:pPr>
              <w:pStyle w:val="Prrafodelista"/>
              <w:tabs>
                <w:tab w:val="left" w:pos="426"/>
              </w:tabs>
              <w:ind w:left="0"/>
              <w:jc w:val="both"/>
              <w:rPr>
                <w:rFonts w:ascii="Times New Roman" w:hAnsi="Times New Roman" w:cs="Times New Roman"/>
                <w:sz w:val="24"/>
                <w:szCs w:val="24"/>
              </w:rPr>
            </w:pPr>
          </w:p>
          <w:p w14:paraId="094D14F6" w14:textId="77777777" w:rsidR="000E2A24" w:rsidRPr="004571E5" w:rsidRDefault="00364550" w:rsidP="000E2A24">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rPr>
              <w:t xml:space="preserve">Tercero, la accionante consideró que la sentencia de segunda instancia incurrió en los defectos fáctico y procedimental, y en </w:t>
            </w:r>
            <w:r w:rsidR="00302762" w:rsidRPr="004571E5">
              <w:rPr>
                <w:rFonts w:ascii="Times New Roman" w:hAnsi="Times New Roman" w:cs="Times New Roman"/>
                <w:sz w:val="24"/>
                <w:szCs w:val="24"/>
              </w:rPr>
              <w:t xml:space="preserve">un </w:t>
            </w:r>
            <w:r w:rsidRPr="004571E5">
              <w:rPr>
                <w:rFonts w:ascii="Times New Roman" w:hAnsi="Times New Roman" w:cs="Times New Roman"/>
                <w:sz w:val="24"/>
                <w:szCs w:val="24"/>
              </w:rPr>
              <w:t>desconocimiento del precedente judicial</w:t>
            </w:r>
            <w:r w:rsidR="00302762" w:rsidRPr="004571E5">
              <w:rPr>
                <w:rFonts w:ascii="Times New Roman" w:hAnsi="Times New Roman" w:cs="Times New Roman"/>
                <w:sz w:val="24"/>
                <w:szCs w:val="24"/>
              </w:rPr>
              <w:t>, aunque no precisó con detalle cuáles sentencias se desconocieron.</w:t>
            </w:r>
          </w:p>
          <w:p w14:paraId="78197CAC" w14:textId="77777777" w:rsidR="00FB697E" w:rsidRPr="004571E5" w:rsidRDefault="00FB697E" w:rsidP="000E2A24">
            <w:pPr>
              <w:pStyle w:val="Prrafodelista"/>
              <w:tabs>
                <w:tab w:val="left" w:pos="426"/>
              </w:tabs>
              <w:ind w:left="0"/>
              <w:jc w:val="both"/>
              <w:rPr>
                <w:rFonts w:ascii="Times New Roman" w:hAnsi="Times New Roman" w:cs="Times New Roman"/>
                <w:sz w:val="24"/>
                <w:szCs w:val="24"/>
              </w:rPr>
            </w:pPr>
          </w:p>
          <w:p w14:paraId="0AB5C5BF" w14:textId="24000376" w:rsidR="00FB697E" w:rsidRPr="004571E5" w:rsidRDefault="004F2BAB" w:rsidP="000E2A24">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rPr>
              <w:t xml:space="preserve">En este caso también se discutía la ocurrencia de una ejecución extrajudicial y se alegaba la presencia de pruebas que desmentían las versiones oficiales. En particular, las demandantes afirmaron que “los militares presentaron al señor Olivo Peña como integrante de un grupo armado ilegal, muerto en un enfrentamiento y a quien se le había incautado una subametralladora, cuando </w:t>
            </w:r>
            <w:r w:rsidRPr="004571E5">
              <w:rPr>
                <w:rFonts w:ascii="Times New Roman" w:hAnsi="Times New Roman" w:cs="Times New Roman"/>
                <w:sz w:val="24"/>
                <w:szCs w:val="24"/>
              </w:rPr>
              <w:lastRenderedPageBreak/>
              <w:t>en realidad se trató de una ejecución extrajudicial” y que “no está probada la muerte a manos de los militares en el marco de un enfrentamiento, dado que no hay evidencia de haber existido un combate ni tampoco, que el señor Olivo Peña hubiere accionado un arma de fuego”.</w:t>
            </w:r>
          </w:p>
        </w:tc>
      </w:tr>
      <w:tr w:rsidR="000E2A24" w:rsidRPr="004571E5" w14:paraId="112FF76C" w14:textId="77777777" w:rsidTr="004E39B3">
        <w:tc>
          <w:tcPr>
            <w:tcW w:w="1192" w:type="dxa"/>
            <w:shd w:val="clear" w:color="auto" w:fill="BFBFBF" w:themeFill="background1" w:themeFillShade="BF"/>
            <w:vAlign w:val="center"/>
          </w:tcPr>
          <w:p w14:paraId="33A1CEA5" w14:textId="6CC27E4D" w:rsidR="000E2A24" w:rsidRPr="004571E5" w:rsidRDefault="000E2A24" w:rsidP="000E2A24">
            <w:pPr>
              <w:pStyle w:val="Prrafodelista"/>
              <w:tabs>
                <w:tab w:val="left" w:pos="426"/>
              </w:tabs>
              <w:ind w:left="0"/>
              <w:jc w:val="center"/>
              <w:rPr>
                <w:rFonts w:ascii="Times New Roman" w:hAnsi="Times New Roman" w:cs="Times New Roman"/>
                <w:sz w:val="24"/>
                <w:szCs w:val="24"/>
              </w:rPr>
            </w:pPr>
            <w:r w:rsidRPr="004571E5">
              <w:rPr>
                <w:rFonts w:ascii="Times New Roman" w:hAnsi="Times New Roman" w:cs="Times New Roman"/>
                <w:sz w:val="24"/>
                <w:szCs w:val="24"/>
              </w:rPr>
              <w:lastRenderedPageBreak/>
              <w:t>T-237 de 2017</w:t>
            </w:r>
          </w:p>
        </w:tc>
        <w:tc>
          <w:tcPr>
            <w:tcW w:w="7636" w:type="dxa"/>
            <w:vAlign w:val="center"/>
          </w:tcPr>
          <w:p w14:paraId="2CAF7329" w14:textId="48F2AD38" w:rsidR="002150A4" w:rsidRPr="004571E5" w:rsidRDefault="000E2A24" w:rsidP="000E2A24">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rPr>
              <w:t xml:space="preserve">Primero, la </w:t>
            </w:r>
            <w:r w:rsidR="005C02B3" w:rsidRPr="004571E5">
              <w:rPr>
                <w:rFonts w:ascii="Times New Roman" w:hAnsi="Times New Roman" w:cs="Times New Roman"/>
                <w:sz w:val="24"/>
                <w:szCs w:val="24"/>
              </w:rPr>
              <w:t xml:space="preserve">acción de </w:t>
            </w:r>
            <w:r w:rsidRPr="004571E5">
              <w:rPr>
                <w:rFonts w:ascii="Times New Roman" w:hAnsi="Times New Roman" w:cs="Times New Roman"/>
                <w:sz w:val="24"/>
                <w:szCs w:val="24"/>
              </w:rPr>
              <w:t>tutela se presentó contra el Tribunal Administrativo Itinerante con sede en Bogotá de Descongestión y el Juzgado Tercero Administrativo de Descongestión del Circuito de Villavicencio en el marco de un proceso de reparación directa.</w:t>
            </w:r>
            <w:r w:rsidR="00364550" w:rsidRPr="004571E5">
              <w:rPr>
                <w:rFonts w:ascii="Times New Roman" w:hAnsi="Times New Roman" w:cs="Times New Roman"/>
                <w:sz w:val="24"/>
                <w:szCs w:val="24"/>
              </w:rPr>
              <w:t xml:space="preserve"> </w:t>
            </w:r>
          </w:p>
          <w:p w14:paraId="557C222D" w14:textId="77777777" w:rsidR="00DF7B89" w:rsidRPr="004571E5" w:rsidRDefault="00DF7B89" w:rsidP="000E2A24">
            <w:pPr>
              <w:pStyle w:val="Prrafodelista"/>
              <w:tabs>
                <w:tab w:val="left" w:pos="426"/>
              </w:tabs>
              <w:ind w:left="0"/>
              <w:jc w:val="both"/>
              <w:rPr>
                <w:rFonts w:ascii="Times New Roman" w:hAnsi="Times New Roman" w:cs="Times New Roman"/>
                <w:sz w:val="24"/>
                <w:szCs w:val="24"/>
              </w:rPr>
            </w:pPr>
          </w:p>
          <w:p w14:paraId="29104126" w14:textId="4C077764" w:rsidR="002150A4" w:rsidRPr="004571E5" w:rsidRDefault="00364550" w:rsidP="000E2A24">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rPr>
              <w:t xml:space="preserve">Segundo, los accionantes del caso presentaron “acción de reparación directa contra el Ministerio de Defensa Nacional – Ejército Nacional, por la presunta ejecución extrajudicial del señor Fabio Medina Guerra a manos de miembros del Ejército Nacional el 7 de diciembre de 2005, en la vereda La Ceiba, municipio de Calamar -Guaviare-”. </w:t>
            </w:r>
          </w:p>
          <w:p w14:paraId="7B6FABD0" w14:textId="77777777" w:rsidR="00DF7B89" w:rsidRPr="004571E5" w:rsidRDefault="00DF7B89" w:rsidP="000E2A24">
            <w:pPr>
              <w:pStyle w:val="Prrafodelista"/>
              <w:tabs>
                <w:tab w:val="left" w:pos="426"/>
              </w:tabs>
              <w:ind w:left="0"/>
              <w:jc w:val="both"/>
              <w:rPr>
                <w:rFonts w:ascii="Times New Roman" w:hAnsi="Times New Roman" w:cs="Times New Roman"/>
                <w:sz w:val="24"/>
                <w:szCs w:val="24"/>
              </w:rPr>
            </w:pPr>
          </w:p>
          <w:p w14:paraId="055E92DA" w14:textId="77777777" w:rsidR="000E2A24" w:rsidRPr="004571E5" w:rsidRDefault="00364550" w:rsidP="000E2A24">
            <w:pPr>
              <w:pStyle w:val="Prrafodelista"/>
              <w:tabs>
                <w:tab w:val="left" w:pos="426"/>
              </w:tabs>
              <w:ind w:left="0"/>
              <w:jc w:val="both"/>
              <w:rPr>
                <w:rFonts w:ascii="Times New Roman" w:hAnsi="Times New Roman" w:cs="Times New Roman"/>
                <w:sz w:val="24"/>
                <w:szCs w:val="24"/>
                <w:lang w:val="es-ES"/>
              </w:rPr>
            </w:pPr>
            <w:r w:rsidRPr="004571E5">
              <w:rPr>
                <w:rFonts w:ascii="Times New Roman" w:hAnsi="Times New Roman" w:cs="Times New Roman"/>
                <w:sz w:val="24"/>
                <w:szCs w:val="24"/>
              </w:rPr>
              <w:t>Tercero, los demandantes en ese caso consideraron que las sentencias incurrieron en “</w:t>
            </w:r>
            <w:r w:rsidRPr="004571E5">
              <w:rPr>
                <w:rFonts w:ascii="Times New Roman" w:hAnsi="Times New Roman" w:cs="Times New Roman"/>
                <w:i/>
                <w:iCs/>
                <w:sz w:val="24"/>
                <w:szCs w:val="24"/>
                <w:lang w:val="es-ES"/>
              </w:rPr>
              <w:t>(i) </w:t>
            </w:r>
            <w:r w:rsidRPr="004571E5">
              <w:rPr>
                <w:rFonts w:ascii="Times New Roman" w:hAnsi="Times New Roman" w:cs="Times New Roman"/>
                <w:sz w:val="24"/>
                <w:szCs w:val="24"/>
              </w:rPr>
              <w:t>defecto fáctico tanto en su dimensión positiva como negativa ello al no valorarse adecuadamente las pruebas obrantes en el expediente y al abstenerse de decretar las necesarias para llegar a la resolución del litigio planteado</w:t>
            </w:r>
            <w:r w:rsidRPr="004571E5">
              <w:rPr>
                <w:rFonts w:ascii="Times New Roman" w:hAnsi="Times New Roman" w:cs="Times New Roman"/>
                <w:sz w:val="24"/>
                <w:szCs w:val="24"/>
                <w:lang w:val="es-ES"/>
              </w:rPr>
              <w:t>; </w:t>
            </w:r>
            <w:r w:rsidRPr="004571E5">
              <w:rPr>
                <w:rFonts w:ascii="Times New Roman" w:hAnsi="Times New Roman" w:cs="Times New Roman"/>
                <w:i/>
                <w:iCs/>
                <w:sz w:val="24"/>
                <w:szCs w:val="24"/>
              </w:rPr>
              <w:t>(</w:t>
            </w:r>
            <w:proofErr w:type="spellStart"/>
            <w:r w:rsidRPr="004571E5">
              <w:rPr>
                <w:rFonts w:ascii="Times New Roman" w:hAnsi="Times New Roman" w:cs="Times New Roman"/>
                <w:i/>
                <w:iCs/>
                <w:sz w:val="24"/>
                <w:szCs w:val="24"/>
              </w:rPr>
              <w:t>ii</w:t>
            </w:r>
            <w:proofErr w:type="spellEnd"/>
            <w:r w:rsidRPr="004571E5">
              <w:rPr>
                <w:rFonts w:ascii="Times New Roman" w:hAnsi="Times New Roman" w:cs="Times New Roman"/>
                <w:i/>
                <w:iCs/>
                <w:sz w:val="24"/>
                <w:szCs w:val="24"/>
              </w:rPr>
              <w:t>) </w:t>
            </w:r>
            <w:r w:rsidRPr="004571E5">
              <w:rPr>
                <w:rFonts w:ascii="Times New Roman" w:hAnsi="Times New Roman" w:cs="Times New Roman"/>
                <w:sz w:val="24"/>
                <w:szCs w:val="24"/>
              </w:rPr>
              <w:t>ausencia de motivación de la decisión, al solo haber precisado en dos párrafos las razones por las cuales no se probaba el daño antijurídico; y </w:t>
            </w:r>
            <w:r w:rsidRPr="004571E5">
              <w:rPr>
                <w:rFonts w:ascii="Times New Roman" w:hAnsi="Times New Roman" w:cs="Times New Roman"/>
                <w:i/>
                <w:iCs/>
                <w:sz w:val="24"/>
                <w:szCs w:val="24"/>
              </w:rPr>
              <w:t>(</w:t>
            </w:r>
            <w:proofErr w:type="spellStart"/>
            <w:r w:rsidRPr="004571E5">
              <w:rPr>
                <w:rFonts w:ascii="Times New Roman" w:hAnsi="Times New Roman" w:cs="Times New Roman"/>
                <w:i/>
                <w:iCs/>
                <w:sz w:val="24"/>
                <w:szCs w:val="24"/>
              </w:rPr>
              <w:t>iii</w:t>
            </w:r>
            <w:proofErr w:type="spellEnd"/>
            <w:r w:rsidRPr="004571E5">
              <w:rPr>
                <w:rFonts w:ascii="Times New Roman" w:hAnsi="Times New Roman" w:cs="Times New Roman"/>
                <w:i/>
                <w:iCs/>
                <w:sz w:val="24"/>
                <w:szCs w:val="24"/>
              </w:rPr>
              <w:t>)</w:t>
            </w:r>
            <w:r w:rsidRPr="004571E5">
              <w:rPr>
                <w:rFonts w:ascii="Times New Roman" w:hAnsi="Times New Roman" w:cs="Times New Roman"/>
                <w:sz w:val="24"/>
                <w:szCs w:val="24"/>
              </w:rPr>
              <w:t> defecto procedimental por exceso ritual manifiesto al desconocer la realidad procesal demostrada en el proceso penal adelantado como consecuencia de la muerte del señor </w:t>
            </w:r>
            <w:r w:rsidRPr="004571E5">
              <w:rPr>
                <w:rFonts w:ascii="Times New Roman" w:hAnsi="Times New Roman" w:cs="Times New Roman"/>
                <w:sz w:val="24"/>
                <w:szCs w:val="24"/>
                <w:lang w:val="es-ES"/>
              </w:rPr>
              <w:t>Fabio Medina Guerra. Resaltan además que las pruebas trasladadas del proceso penal son totalmente admisibles dentro de la reparación directa, cuando se trata de graves violaciones de derechos humanos, como lo ha establecido la reiterada jurisprudencia del Consejo de Estado”.</w:t>
            </w:r>
          </w:p>
          <w:p w14:paraId="23174A21" w14:textId="77777777" w:rsidR="00FB697E" w:rsidRPr="004571E5" w:rsidRDefault="00FB697E" w:rsidP="000E2A24">
            <w:pPr>
              <w:pStyle w:val="Prrafodelista"/>
              <w:tabs>
                <w:tab w:val="left" w:pos="426"/>
              </w:tabs>
              <w:ind w:left="0"/>
              <w:jc w:val="both"/>
              <w:rPr>
                <w:rFonts w:ascii="Times New Roman" w:hAnsi="Times New Roman" w:cs="Times New Roman"/>
                <w:sz w:val="24"/>
                <w:szCs w:val="24"/>
                <w:lang w:val="es-ES"/>
              </w:rPr>
            </w:pPr>
            <w:r w:rsidRPr="004571E5">
              <w:rPr>
                <w:rFonts w:ascii="Times New Roman" w:hAnsi="Times New Roman" w:cs="Times New Roman"/>
                <w:sz w:val="24"/>
                <w:szCs w:val="24"/>
                <w:lang w:val="es-ES"/>
              </w:rPr>
              <w:t xml:space="preserve"> </w:t>
            </w:r>
          </w:p>
          <w:p w14:paraId="77263E46" w14:textId="282A5719" w:rsidR="004F2BAB" w:rsidRPr="004571E5" w:rsidRDefault="004F2BAB" w:rsidP="000E2A24">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lang w:val="es-ES"/>
              </w:rPr>
              <w:t>Igualmente, los hechos discutidos tenían cierto grado de similitud con el caso aquí estudiado. En particular, los demandantes dentro de dicho proceso afirmaron que los elementos probatorios disponibles permitían concluir que el fallecido “fue ejecutado extrajudicialmente por miembros del Ejército Nacional, para posteriormente presentarlo como dado de baja en un enfrentamiento por ser integrante de las FARC</w:t>
            </w:r>
            <w:r w:rsidR="00361E07" w:rsidRPr="004571E5">
              <w:rPr>
                <w:rFonts w:ascii="Times New Roman" w:hAnsi="Times New Roman" w:cs="Times New Roman"/>
                <w:sz w:val="24"/>
                <w:szCs w:val="24"/>
                <w:lang w:val="es-ES"/>
              </w:rPr>
              <w:t>”</w:t>
            </w:r>
            <w:r w:rsidRPr="004571E5">
              <w:rPr>
                <w:rFonts w:ascii="Times New Roman" w:hAnsi="Times New Roman" w:cs="Times New Roman"/>
                <w:sz w:val="24"/>
                <w:szCs w:val="24"/>
                <w:lang w:val="es-ES"/>
              </w:rPr>
              <w:t xml:space="preserve">. </w:t>
            </w:r>
            <w:r w:rsidR="00361E07" w:rsidRPr="004571E5">
              <w:rPr>
                <w:rFonts w:ascii="Times New Roman" w:hAnsi="Times New Roman" w:cs="Times New Roman"/>
                <w:sz w:val="24"/>
                <w:szCs w:val="24"/>
                <w:lang w:val="es-ES"/>
              </w:rPr>
              <w:t>Igualmente, p</w:t>
            </w:r>
            <w:r w:rsidRPr="004571E5">
              <w:rPr>
                <w:rFonts w:ascii="Times New Roman" w:hAnsi="Times New Roman" w:cs="Times New Roman"/>
                <w:sz w:val="24"/>
                <w:szCs w:val="24"/>
                <w:lang w:val="es-ES"/>
              </w:rPr>
              <w:t>recisa</w:t>
            </w:r>
            <w:r w:rsidR="00361E07" w:rsidRPr="004571E5">
              <w:rPr>
                <w:rFonts w:ascii="Times New Roman" w:hAnsi="Times New Roman" w:cs="Times New Roman"/>
                <w:sz w:val="24"/>
                <w:szCs w:val="24"/>
                <w:lang w:val="es-ES"/>
              </w:rPr>
              <w:t>ron</w:t>
            </w:r>
            <w:r w:rsidRPr="004571E5">
              <w:rPr>
                <w:rFonts w:ascii="Times New Roman" w:hAnsi="Times New Roman" w:cs="Times New Roman"/>
                <w:sz w:val="24"/>
                <w:szCs w:val="24"/>
                <w:lang w:val="es-ES"/>
              </w:rPr>
              <w:t xml:space="preserve"> </w:t>
            </w:r>
            <w:r w:rsidR="00361E07" w:rsidRPr="004571E5">
              <w:rPr>
                <w:rFonts w:ascii="Times New Roman" w:hAnsi="Times New Roman" w:cs="Times New Roman"/>
                <w:sz w:val="24"/>
                <w:szCs w:val="24"/>
                <w:lang w:val="es-ES"/>
              </w:rPr>
              <w:t>“</w:t>
            </w:r>
            <w:r w:rsidRPr="004571E5">
              <w:rPr>
                <w:rFonts w:ascii="Times New Roman" w:hAnsi="Times New Roman" w:cs="Times New Roman"/>
                <w:sz w:val="24"/>
                <w:szCs w:val="24"/>
                <w:lang w:val="es-ES"/>
              </w:rPr>
              <w:t>que las pruebas trasladadas demostraban que el fallecido era un líder social, sin ninguna vinculación o relación con el conflicto armado”.</w:t>
            </w:r>
          </w:p>
        </w:tc>
      </w:tr>
    </w:tbl>
    <w:p w14:paraId="50456CE1" w14:textId="77777777" w:rsidR="000E2A24" w:rsidRPr="004571E5" w:rsidRDefault="000E2A24" w:rsidP="000E2A24">
      <w:pPr>
        <w:pStyle w:val="Prrafodelista"/>
        <w:tabs>
          <w:tab w:val="left" w:pos="426"/>
        </w:tabs>
        <w:spacing w:after="0" w:line="240" w:lineRule="auto"/>
        <w:ind w:left="0"/>
        <w:jc w:val="both"/>
        <w:rPr>
          <w:rFonts w:ascii="Times New Roman" w:hAnsi="Times New Roman" w:cs="Times New Roman"/>
          <w:sz w:val="28"/>
          <w:szCs w:val="28"/>
        </w:rPr>
      </w:pPr>
    </w:p>
    <w:p w14:paraId="54FD1253" w14:textId="45ABD4E8" w:rsidR="004E39B3" w:rsidRPr="004571E5" w:rsidRDefault="000E2A24" w:rsidP="000E2A24">
      <w:pPr>
        <w:pStyle w:val="Prrafodelista"/>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 xml:space="preserve">De acuerdo con lo anterior, </w:t>
      </w:r>
      <w:r w:rsidR="004E39B3" w:rsidRPr="004571E5">
        <w:rPr>
          <w:rFonts w:ascii="Times New Roman" w:hAnsi="Times New Roman" w:cs="Times New Roman"/>
          <w:sz w:val="28"/>
          <w:szCs w:val="28"/>
        </w:rPr>
        <w:t>en los casos aquí estudiados se están discutiendo hechos análogos a los analizados por esta Corte en las sentencias invocadas por las partes</w:t>
      </w:r>
      <w:r w:rsidR="001D6A8A" w:rsidRPr="004571E5">
        <w:rPr>
          <w:rFonts w:ascii="Times New Roman" w:hAnsi="Times New Roman" w:cs="Times New Roman"/>
          <w:sz w:val="28"/>
          <w:szCs w:val="28"/>
        </w:rPr>
        <w:t xml:space="preserve">. Adicionalmente, en general en todos los casos conocidos por la Corte </w:t>
      </w:r>
      <w:r w:rsidR="00361E07" w:rsidRPr="004571E5">
        <w:rPr>
          <w:rFonts w:ascii="Times New Roman" w:hAnsi="Times New Roman" w:cs="Times New Roman"/>
          <w:sz w:val="28"/>
          <w:szCs w:val="28"/>
        </w:rPr>
        <w:t xml:space="preserve">las personas demandantes </w:t>
      </w:r>
      <w:r w:rsidR="001D6A8A" w:rsidRPr="004571E5">
        <w:rPr>
          <w:rFonts w:ascii="Times New Roman" w:hAnsi="Times New Roman" w:cs="Times New Roman"/>
          <w:sz w:val="28"/>
          <w:szCs w:val="28"/>
        </w:rPr>
        <w:t>ha</w:t>
      </w:r>
      <w:r w:rsidR="00361E07" w:rsidRPr="004571E5">
        <w:rPr>
          <w:rFonts w:ascii="Times New Roman" w:hAnsi="Times New Roman" w:cs="Times New Roman"/>
          <w:sz w:val="28"/>
          <w:szCs w:val="28"/>
        </w:rPr>
        <w:t>n</w:t>
      </w:r>
      <w:r w:rsidR="001D6A8A" w:rsidRPr="004571E5">
        <w:rPr>
          <w:rFonts w:ascii="Times New Roman" w:hAnsi="Times New Roman" w:cs="Times New Roman"/>
          <w:sz w:val="28"/>
          <w:szCs w:val="28"/>
        </w:rPr>
        <w:t xml:space="preserve"> afirmado la existencia de una ejecución extrajudicial en la cual miembros de la Fuerza Pública dieron de bajas a ciudadanos y los presentaron como combatientes. Ello implica que la similitud no se presenta únicamente en términos procesales y del contenido de las acciones de tutela, sino que también existe la similitud fáctica.</w:t>
      </w:r>
      <w:r w:rsidR="004E39B3" w:rsidRPr="004571E5">
        <w:rPr>
          <w:rFonts w:ascii="Times New Roman" w:hAnsi="Times New Roman" w:cs="Times New Roman"/>
          <w:sz w:val="28"/>
          <w:szCs w:val="28"/>
        </w:rPr>
        <w:t xml:space="preserve"> Por ello, se cumple el primer paso del triple examen para valorar la existencia de un </w:t>
      </w:r>
      <w:r w:rsidR="00D53781" w:rsidRPr="004571E5">
        <w:rPr>
          <w:rFonts w:ascii="Times New Roman" w:hAnsi="Times New Roman" w:cs="Times New Roman"/>
          <w:sz w:val="28"/>
          <w:szCs w:val="28"/>
        </w:rPr>
        <w:t xml:space="preserve">precedente de la Corte Constitucional </w:t>
      </w:r>
      <w:r w:rsidR="004E39B3" w:rsidRPr="004571E5">
        <w:rPr>
          <w:rFonts w:ascii="Times New Roman" w:hAnsi="Times New Roman" w:cs="Times New Roman"/>
          <w:sz w:val="28"/>
          <w:szCs w:val="28"/>
        </w:rPr>
        <w:t>en este caso.</w:t>
      </w:r>
    </w:p>
    <w:p w14:paraId="7E104FE0" w14:textId="2A5F1E47" w:rsidR="00364550" w:rsidRPr="004571E5" w:rsidRDefault="00364550" w:rsidP="004E39B3">
      <w:pPr>
        <w:pStyle w:val="Prrafodelista"/>
        <w:tabs>
          <w:tab w:val="left" w:pos="426"/>
        </w:tabs>
        <w:spacing w:after="0" w:line="240" w:lineRule="auto"/>
        <w:ind w:left="0"/>
        <w:jc w:val="both"/>
        <w:rPr>
          <w:rFonts w:ascii="Times New Roman" w:hAnsi="Times New Roman" w:cs="Times New Roman"/>
          <w:sz w:val="28"/>
          <w:szCs w:val="28"/>
        </w:rPr>
      </w:pPr>
    </w:p>
    <w:p w14:paraId="57326163" w14:textId="0065905A" w:rsidR="00B40000" w:rsidRPr="004571E5" w:rsidRDefault="00364550" w:rsidP="00400146">
      <w:pPr>
        <w:pStyle w:val="Prrafodelista"/>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Ahora, para la valoración del precedente horizontal</w:t>
      </w:r>
      <w:r w:rsidR="004E39B3" w:rsidRPr="004571E5">
        <w:rPr>
          <w:rFonts w:ascii="Times New Roman" w:hAnsi="Times New Roman" w:cs="Times New Roman"/>
          <w:sz w:val="28"/>
          <w:szCs w:val="28"/>
        </w:rPr>
        <w:t xml:space="preserve"> </w:t>
      </w:r>
      <w:r w:rsidRPr="004571E5">
        <w:rPr>
          <w:rFonts w:ascii="Times New Roman" w:hAnsi="Times New Roman" w:cs="Times New Roman"/>
          <w:sz w:val="28"/>
          <w:szCs w:val="28"/>
        </w:rPr>
        <w:t>los hechos jurídicamente relevantes</w:t>
      </w:r>
      <w:r w:rsidR="004E39B3" w:rsidRPr="004571E5">
        <w:rPr>
          <w:rFonts w:ascii="Times New Roman" w:hAnsi="Times New Roman" w:cs="Times New Roman"/>
          <w:sz w:val="28"/>
          <w:szCs w:val="28"/>
        </w:rPr>
        <w:t xml:space="preserve"> para ambos casos</w:t>
      </w:r>
      <w:r w:rsidRPr="004571E5">
        <w:rPr>
          <w:rFonts w:ascii="Times New Roman" w:hAnsi="Times New Roman" w:cs="Times New Roman"/>
          <w:sz w:val="28"/>
          <w:szCs w:val="28"/>
        </w:rPr>
        <w:t xml:space="preserve"> son los siguientes: (i) se trata de procesos de reparación directa y (</w:t>
      </w:r>
      <w:proofErr w:type="spellStart"/>
      <w:r w:rsidRPr="004571E5">
        <w:rPr>
          <w:rFonts w:ascii="Times New Roman" w:hAnsi="Times New Roman" w:cs="Times New Roman"/>
          <w:sz w:val="28"/>
          <w:szCs w:val="28"/>
        </w:rPr>
        <w:t>ii</w:t>
      </w:r>
      <w:proofErr w:type="spellEnd"/>
      <w:r w:rsidRPr="004571E5">
        <w:rPr>
          <w:rFonts w:ascii="Times New Roman" w:hAnsi="Times New Roman" w:cs="Times New Roman"/>
          <w:sz w:val="28"/>
          <w:szCs w:val="28"/>
        </w:rPr>
        <w:t xml:space="preserve">) en </w:t>
      </w:r>
      <w:r w:rsidR="00361E07" w:rsidRPr="004571E5">
        <w:rPr>
          <w:rFonts w:ascii="Times New Roman" w:hAnsi="Times New Roman" w:cs="Times New Roman"/>
          <w:sz w:val="28"/>
          <w:szCs w:val="28"/>
        </w:rPr>
        <w:t xml:space="preserve">ellos </w:t>
      </w:r>
      <w:r w:rsidRPr="004571E5">
        <w:rPr>
          <w:rFonts w:ascii="Times New Roman" w:hAnsi="Times New Roman" w:cs="Times New Roman"/>
          <w:sz w:val="28"/>
          <w:szCs w:val="28"/>
        </w:rPr>
        <w:t xml:space="preserve">se </w:t>
      </w:r>
      <w:r w:rsidR="00E96464" w:rsidRPr="004571E5">
        <w:rPr>
          <w:rFonts w:ascii="Times New Roman" w:hAnsi="Times New Roman" w:cs="Times New Roman"/>
          <w:sz w:val="28"/>
          <w:szCs w:val="28"/>
        </w:rPr>
        <w:t xml:space="preserve">discute </w:t>
      </w:r>
      <w:r w:rsidRPr="004571E5">
        <w:rPr>
          <w:rFonts w:ascii="Times New Roman" w:hAnsi="Times New Roman" w:cs="Times New Roman"/>
          <w:sz w:val="28"/>
          <w:szCs w:val="28"/>
        </w:rPr>
        <w:t xml:space="preserve">la responsabilidad del Estado por la ocurrencia de una ejecución extrajudicial. </w:t>
      </w:r>
      <w:r w:rsidR="00F57CF8" w:rsidRPr="004571E5">
        <w:rPr>
          <w:rFonts w:ascii="Times New Roman" w:hAnsi="Times New Roman" w:cs="Times New Roman"/>
          <w:sz w:val="28"/>
          <w:szCs w:val="28"/>
        </w:rPr>
        <w:t>Las cinco sentencias invocadas por las partes como precedente horizontal fueron proferidas en el marco de procesos de reparación directa y en todas se</w:t>
      </w:r>
      <w:r w:rsidR="00361E07" w:rsidRPr="004571E5">
        <w:rPr>
          <w:rFonts w:ascii="Times New Roman" w:hAnsi="Times New Roman" w:cs="Times New Roman"/>
          <w:sz w:val="28"/>
          <w:szCs w:val="28"/>
        </w:rPr>
        <w:t xml:space="preserve"> valoraron</w:t>
      </w:r>
      <w:r w:rsidR="00F57CF8" w:rsidRPr="004571E5">
        <w:rPr>
          <w:rFonts w:ascii="Times New Roman" w:hAnsi="Times New Roman" w:cs="Times New Roman"/>
          <w:sz w:val="28"/>
          <w:szCs w:val="28"/>
        </w:rPr>
        <w:t xml:space="preserve"> casos relacionados con ejecuciones extrajudiciales.</w:t>
      </w:r>
    </w:p>
    <w:p w14:paraId="23656EE5" w14:textId="77777777" w:rsidR="00921FB3" w:rsidRPr="004571E5" w:rsidRDefault="00921FB3" w:rsidP="00921FB3">
      <w:pPr>
        <w:pStyle w:val="Prrafodelista"/>
        <w:tabs>
          <w:tab w:val="left" w:pos="426"/>
        </w:tabs>
        <w:spacing w:after="0" w:line="240" w:lineRule="auto"/>
        <w:ind w:left="0"/>
        <w:jc w:val="both"/>
        <w:rPr>
          <w:rFonts w:ascii="Times New Roman" w:hAnsi="Times New Roman" w:cs="Times New Roman"/>
          <w:sz w:val="28"/>
          <w:szCs w:val="28"/>
        </w:rPr>
      </w:pPr>
    </w:p>
    <w:tbl>
      <w:tblPr>
        <w:tblStyle w:val="Tablaconcuadrcula"/>
        <w:tblW w:w="0" w:type="auto"/>
        <w:tblLook w:val="04A0" w:firstRow="1" w:lastRow="0" w:firstColumn="1" w:lastColumn="0" w:noHBand="0" w:noVBand="1"/>
      </w:tblPr>
      <w:tblGrid>
        <w:gridCol w:w="1363"/>
        <w:gridCol w:w="7465"/>
      </w:tblGrid>
      <w:tr w:rsidR="00364550" w:rsidRPr="004571E5" w14:paraId="6A3F1EB6" w14:textId="77777777" w:rsidTr="00400146">
        <w:tc>
          <w:tcPr>
            <w:tcW w:w="1363" w:type="dxa"/>
            <w:shd w:val="clear" w:color="auto" w:fill="A6A6A6" w:themeFill="background1" w:themeFillShade="A6"/>
          </w:tcPr>
          <w:p w14:paraId="7B7D3F5F" w14:textId="265931CC" w:rsidR="00364550" w:rsidRPr="004571E5" w:rsidRDefault="004E39B3" w:rsidP="00400146">
            <w:pPr>
              <w:pStyle w:val="Prrafodelista"/>
              <w:tabs>
                <w:tab w:val="left" w:pos="426"/>
              </w:tabs>
              <w:ind w:left="0"/>
              <w:jc w:val="center"/>
              <w:rPr>
                <w:rFonts w:ascii="Times New Roman" w:hAnsi="Times New Roman" w:cs="Times New Roman"/>
                <w:b/>
                <w:bCs/>
                <w:sz w:val="24"/>
                <w:szCs w:val="24"/>
              </w:rPr>
            </w:pPr>
            <w:r w:rsidRPr="004571E5">
              <w:rPr>
                <w:rFonts w:ascii="Times New Roman" w:hAnsi="Times New Roman" w:cs="Times New Roman"/>
                <w:b/>
                <w:bCs/>
                <w:sz w:val="24"/>
                <w:szCs w:val="24"/>
              </w:rPr>
              <w:lastRenderedPageBreak/>
              <w:t>Sentencia</w:t>
            </w:r>
          </w:p>
        </w:tc>
        <w:tc>
          <w:tcPr>
            <w:tcW w:w="7465" w:type="dxa"/>
            <w:shd w:val="clear" w:color="auto" w:fill="A6A6A6" w:themeFill="background1" w:themeFillShade="A6"/>
          </w:tcPr>
          <w:p w14:paraId="0EF50EA2" w14:textId="77777777" w:rsidR="00364550" w:rsidRPr="004571E5" w:rsidRDefault="00364550" w:rsidP="00400146">
            <w:pPr>
              <w:pStyle w:val="Prrafodelista"/>
              <w:tabs>
                <w:tab w:val="left" w:pos="426"/>
              </w:tabs>
              <w:ind w:left="0"/>
              <w:jc w:val="center"/>
              <w:rPr>
                <w:rFonts w:ascii="Times New Roman" w:hAnsi="Times New Roman" w:cs="Times New Roman"/>
                <w:b/>
                <w:bCs/>
                <w:sz w:val="24"/>
                <w:szCs w:val="24"/>
              </w:rPr>
            </w:pPr>
            <w:r w:rsidRPr="004571E5">
              <w:rPr>
                <w:rFonts w:ascii="Times New Roman" w:hAnsi="Times New Roman" w:cs="Times New Roman"/>
                <w:b/>
                <w:bCs/>
                <w:sz w:val="24"/>
                <w:szCs w:val="24"/>
              </w:rPr>
              <w:t>Verificación del carácter análogo de los supuestos</w:t>
            </w:r>
          </w:p>
        </w:tc>
      </w:tr>
      <w:tr w:rsidR="00364550" w:rsidRPr="004571E5" w14:paraId="0CA2542D" w14:textId="77777777" w:rsidTr="00400146">
        <w:tc>
          <w:tcPr>
            <w:tcW w:w="1363" w:type="dxa"/>
            <w:shd w:val="clear" w:color="auto" w:fill="BFBFBF" w:themeFill="background1" w:themeFillShade="BF"/>
            <w:vAlign w:val="center"/>
          </w:tcPr>
          <w:p w14:paraId="128A1F5C" w14:textId="105F1D22" w:rsidR="00364550" w:rsidRPr="004571E5" w:rsidRDefault="004E39B3" w:rsidP="00400146">
            <w:pPr>
              <w:pStyle w:val="Prrafodelista"/>
              <w:tabs>
                <w:tab w:val="left" w:pos="426"/>
              </w:tabs>
              <w:ind w:left="0"/>
              <w:jc w:val="center"/>
              <w:rPr>
                <w:rFonts w:ascii="Times New Roman" w:hAnsi="Times New Roman" w:cs="Times New Roman"/>
                <w:sz w:val="24"/>
                <w:szCs w:val="24"/>
              </w:rPr>
            </w:pPr>
            <w:r w:rsidRPr="004571E5">
              <w:rPr>
                <w:rFonts w:ascii="Times New Roman" w:hAnsi="Times New Roman" w:cs="Times New Roman"/>
                <w:sz w:val="24"/>
                <w:szCs w:val="24"/>
              </w:rPr>
              <w:t>18850</w:t>
            </w:r>
          </w:p>
        </w:tc>
        <w:tc>
          <w:tcPr>
            <w:tcW w:w="7465" w:type="dxa"/>
            <w:vAlign w:val="center"/>
          </w:tcPr>
          <w:p w14:paraId="57E1CDD5" w14:textId="6B6804D1" w:rsidR="00364550" w:rsidRPr="004571E5" w:rsidRDefault="00F57CF8" w:rsidP="00E96464">
            <w:pPr>
              <w:tabs>
                <w:tab w:val="left" w:pos="426"/>
              </w:tabs>
              <w:jc w:val="both"/>
              <w:rPr>
                <w:rFonts w:ascii="Times New Roman" w:hAnsi="Times New Roman" w:cs="Times New Roman"/>
                <w:sz w:val="24"/>
                <w:szCs w:val="24"/>
              </w:rPr>
            </w:pPr>
            <w:r w:rsidRPr="004571E5">
              <w:rPr>
                <w:rFonts w:ascii="Times New Roman" w:hAnsi="Times New Roman" w:cs="Times New Roman"/>
                <w:sz w:val="24"/>
                <w:szCs w:val="24"/>
              </w:rPr>
              <w:t>El</w:t>
            </w:r>
            <w:r w:rsidR="00E96464" w:rsidRPr="004571E5">
              <w:rPr>
                <w:rFonts w:ascii="Times New Roman" w:hAnsi="Times New Roman" w:cs="Times New Roman"/>
                <w:sz w:val="24"/>
                <w:szCs w:val="24"/>
              </w:rPr>
              <w:t xml:space="preserve"> Consejo de Estado encontró que “conforme al modus operandi se trató de un caso de ejecución extrajudicial y por esa razón los responsables y participes de ilícito buscaron por todos los medios encubrir los hechos, al tiempo que las estrategias defensivas utilizadas en el proceso penal pretendieron desviar cualquier imputación de su responsabilidad”.</w:t>
            </w:r>
          </w:p>
        </w:tc>
      </w:tr>
      <w:tr w:rsidR="00E96464" w:rsidRPr="004571E5" w14:paraId="0473FE1C" w14:textId="77777777" w:rsidTr="00400146">
        <w:tc>
          <w:tcPr>
            <w:tcW w:w="1363" w:type="dxa"/>
            <w:shd w:val="clear" w:color="auto" w:fill="BFBFBF" w:themeFill="background1" w:themeFillShade="BF"/>
            <w:vAlign w:val="center"/>
          </w:tcPr>
          <w:p w14:paraId="4A83F61F" w14:textId="1085AE22" w:rsidR="00E96464" w:rsidRPr="004571E5" w:rsidRDefault="00E96464" w:rsidP="00E96464">
            <w:pPr>
              <w:pStyle w:val="Prrafodelista"/>
              <w:tabs>
                <w:tab w:val="left" w:pos="426"/>
              </w:tabs>
              <w:ind w:left="0"/>
              <w:jc w:val="center"/>
              <w:rPr>
                <w:rFonts w:ascii="Times New Roman" w:hAnsi="Times New Roman" w:cs="Times New Roman"/>
                <w:sz w:val="24"/>
                <w:szCs w:val="24"/>
              </w:rPr>
            </w:pPr>
            <w:r w:rsidRPr="004571E5">
              <w:rPr>
                <w:rFonts w:ascii="Times New Roman" w:hAnsi="Times New Roman" w:cs="Times New Roman"/>
                <w:sz w:val="24"/>
                <w:szCs w:val="24"/>
                <w:lang w:val="es-ES_tradnl"/>
              </w:rPr>
              <w:t>37310</w:t>
            </w:r>
          </w:p>
        </w:tc>
        <w:tc>
          <w:tcPr>
            <w:tcW w:w="7465" w:type="dxa"/>
          </w:tcPr>
          <w:p w14:paraId="4385F0CF" w14:textId="68F8361E" w:rsidR="00E96464" w:rsidRPr="004571E5" w:rsidRDefault="00F57CF8" w:rsidP="00E96464">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rPr>
              <w:t>El</w:t>
            </w:r>
            <w:r w:rsidR="00E96464" w:rsidRPr="004571E5">
              <w:rPr>
                <w:rFonts w:ascii="Times New Roman" w:hAnsi="Times New Roman" w:cs="Times New Roman"/>
                <w:sz w:val="24"/>
                <w:szCs w:val="24"/>
              </w:rPr>
              <w:t xml:space="preserve"> Consejo de Estado encontró que “está demostrada la responsabilidad por el daño antijurídico causado por la entidad demandada, esto es, la ejecución extrajudicial del señor Luis Enrique Zapata Castrillón, y que el recurrente no logró acreditar la causal de exoneración de responsabilidad del hecho exclusivo y determinante de la víctima”.</w:t>
            </w:r>
          </w:p>
        </w:tc>
      </w:tr>
      <w:tr w:rsidR="00E96464" w:rsidRPr="004571E5" w14:paraId="0C10890C" w14:textId="77777777" w:rsidTr="00400146">
        <w:tc>
          <w:tcPr>
            <w:tcW w:w="1363" w:type="dxa"/>
            <w:shd w:val="clear" w:color="auto" w:fill="BFBFBF" w:themeFill="background1" w:themeFillShade="BF"/>
            <w:vAlign w:val="center"/>
          </w:tcPr>
          <w:p w14:paraId="70E82188" w14:textId="1D27CBD1" w:rsidR="00E96464" w:rsidRPr="004571E5" w:rsidRDefault="00E96464" w:rsidP="00E96464">
            <w:pPr>
              <w:pStyle w:val="Prrafodelista"/>
              <w:tabs>
                <w:tab w:val="left" w:pos="426"/>
              </w:tabs>
              <w:ind w:left="0"/>
              <w:jc w:val="center"/>
              <w:rPr>
                <w:rFonts w:ascii="Times New Roman" w:hAnsi="Times New Roman" w:cs="Times New Roman"/>
                <w:sz w:val="24"/>
                <w:szCs w:val="24"/>
              </w:rPr>
            </w:pPr>
            <w:r w:rsidRPr="004571E5">
              <w:rPr>
                <w:rFonts w:ascii="Times New Roman" w:hAnsi="Times New Roman" w:cs="Times New Roman"/>
                <w:sz w:val="24"/>
                <w:szCs w:val="24"/>
              </w:rPr>
              <w:t>47671</w:t>
            </w:r>
          </w:p>
        </w:tc>
        <w:tc>
          <w:tcPr>
            <w:tcW w:w="7465" w:type="dxa"/>
          </w:tcPr>
          <w:p w14:paraId="145B4270" w14:textId="04C9713F" w:rsidR="00E96464" w:rsidRPr="004571E5" w:rsidRDefault="00F57CF8" w:rsidP="00E96464">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rPr>
              <w:t>Los</w:t>
            </w:r>
            <w:r w:rsidR="00E96464" w:rsidRPr="004571E5">
              <w:rPr>
                <w:rFonts w:ascii="Times New Roman" w:hAnsi="Times New Roman" w:cs="Times New Roman"/>
                <w:sz w:val="24"/>
                <w:szCs w:val="24"/>
              </w:rPr>
              <w:t xml:space="preserve"> demandantes pretendían que se declara</w:t>
            </w:r>
            <w:r w:rsidR="00423E6E" w:rsidRPr="004571E5">
              <w:rPr>
                <w:rFonts w:ascii="Times New Roman" w:hAnsi="Times New Roman" w:cs="Times New Roman"/>
                <w:sz w:val="24"/>
                <w:szCs w:val="24"/>
              </w:rPr>
              <w:t>ra</w:t>
            </w:r>
            <w:r w:rsidR="00E96464" w:rsidRPr="004571E5">
              <w:rPr>
                <w:rFonts w:ascii="Times New Roman" w:hAnsi="Times New Roman" w:cs="Times New Roman"/>
                <w:sz w:val="24"/>
                <w:szCs w:val="24"/>
              </w:rPr>
              <w:t xml:space="preserve"> responsable al Estado por “la desaparición forzada y ejecución extrajudicial perpetrada por miembros de</w:t>
            </w:r>
            <w:r w:rsidR="00D12D07" w:rsidRPr="004571E5">
              <w:rPr>
                <w:rFonts w:ascii="Times New Roman" w:hAnsi="Times New Roman" w:cs="Times New Roman"/>
                <w:sz w:val="24"/>
                <w:szCs w:val="24"/>
              </w:rPr>
              <w:t>l Ejército” y el Consejo de Estado consideró que “en este tipo de eventos es claro evidenciar que por acción e inactividad se dejan de materializar deberes positivos que convencional, constitucional y legalmente están en cabeza del Estado para la eficaz garantía de los derechos y libertades, la preservación del principio democrático y plena legitimidad de las actividades desplegadas por los miembros de los cuerpos y fuerzas de seguridad del Estado en el marco del conflicto armado interno, que impidan la proliferación, la sistematicidad y la aquiescencia con prácticas reprochables, despreciables y absolutamente contrarias con el Estado Social y Democrático de Derecho, como son las ‘falsas e ilegales acciones so pretexto del cumplimiento’ de los mandatos constitucionales”.</w:t>
            </w:r>
          </w:p>
        </w:tc>
      </w:tr>
      <w:tr w:rsidR="00E96464" w:rsidRPr="004571E5" w14:paraId="319696A5" w14:textId="77777777" w:rsidTr="00400146">
        <w:tc>
          <w:tcPr>
            <w:tcW w:w="1363" w:type="dxa"/>
            <w:shd w:val="clear" w:color="auto" w:fill="BFBFBF" w:themeFill="background1" w:themeFillShade="BF"/>
            <w:vAlign w:val="center"/>
          </w:tcPr>
          <w:p w14:paraId="2A64B299" w14:textId="1657EFA6" w:rsidR="00E96464" w:rsidRPr="004571E5" w:rsidRDefault="00E96464" w:rsidP="00E96464">
            <w:pPr>
              <w:pStyle w:val="Prrafodelista"/>
              <w:tabs>
                <w:tab w:val="left" w:pos="426"/>
              </w:tabs>
              <w:ind w:left="0"/>
              <w:jc w:val="center"/>
              <w:rPr>
                <w:rFonts w:ascii="Times New Roman" w:hAnsi="Times New Roman" w:cs="Times New Roman"/>
                <w:sz w:val="24"/>
                <w:szCs w:val="24"/>
              </w:rPr>
            </w:pPr>
            <w:r w:rsidRPr="004571E5">
              <w:rPr>
                <w:rFonts w:ascii="Times New Roman" w:hAnsi="Times New Roman" w:cs="Times New Roman"/>
                <w:sz w:val="24"/>
                <w:szCs w:val="24"/>
              </w:rPr>
              <w:t>56282</w:t>
            </w:r>
          </w:p>
        </w:tc>
        <w:tc>
          <w:tcPr>
            <w:tcW w:w="7465" w:type="dxa"/>
          </w:tcPr>
          <w:p w14:paraId="742459D1" w14:textId="57024348" w:rsidR="00E96464" w:rsidRPr="004571E5" w:rsidRDefault="00F57CF8" w:rsidP="00E96464">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rPr>
              <w:t>Las</w:t>
            </w:r>
            <w:r w:rsidR="00D12D07" w:rsidRPr="004571E5">
              <w:rPr>
                <w:rFonts w:ascii="Times New Roman" w:hAnsi="Times New Roman" w:cs="Times New Roman"/>
                <w:sz w:val="24"/>
                <w:szCs w:val="24"/>
              </w:rPr>
              <w:t xml:space="preserve"> partes del proceso sostuvieron que </w:t>
            </w:r>
            <w:r w:rsidRPr="004571E5">
              <w:rPr>
                <w:rFonts w:ascii="Times New Roman" w:hAnsi="Times New Roman" w:cs="Times New Roman"/>
                <w:sz w:val="24"/>
                <w:szCs w:val="24"/>
              </w:rPr>
              <w:t>el Ejército dio de baja a sus familiares y “[a]l darles muerte, a ambos, les pusieron armas de cort</w:t>
            </w:r>
            <w:r w:rsidR="00423E6E" w:rsidRPr="004571E5">
              <w:rPr>
                <w:rFonts w:ascii="Times New Roman" w:hAnsi="Times New Roman" w:cs="Times New Roman"/>
                <w:sz w:val="24"/>
                <w:szCs w:val="24"/>
              </w:rPr>
              <w:t>o</w:t>
            </w:r>
            <w:r w:rsidRPr="004571E5">
              <w:rPr>
                <w:rFonts w:ascii="Times New Roman" w:hAnsi="Times New Roman" w:cs="Times New Roman"/>
                <w:sz w:val="24"/>
                <w:szCs w:val="24"/>
              </w:rPr>
              <w:t xml:space="preserve"> y mediano </w:t>
            </w:r>
            <w:proofErr w:type="gramStart"/>
            <w:r w:rsidRPr="004571E5">
              <w:rPr>
                <w:rFonts w:ascii="Times New Roman" w:hAnsi="Times New Roman" w:cs="Times New Roman"/>
                <w:sz w:val="24"/>
                <w:szCs w:val="24"/>
              </w:rPr>
              <w:t>alcance</w:t>
            </w:r>
            <w:proofErr w:type="gramEnd"/>
            <w:r w:rsidRPr="004571E5">
              <w:rPr>
                <w:rFonts w:ascii="Times New Roman" w:hAnsi="Times New Roman" w:cs="Times New Roman"/>
                <w:sz w:val="24"/>
                <w:szCs w:val="24"/>
              </w:rPr>
              <w:t xml:space="preserve"> así como granadas”</w:t>
            </w:r>
            <w:r w:rsidR="00D12D07" w:rsidRPr="004571E5">
              <w:rPr>
                <w:rFonts w:ascii="Times New Roman" w:hAnsi="Times New Roman" w:cs="Times New Roman"/>
                <w:sz w:val="24"/>
                <w:szCs w:val="24"/>
              </w:rPr>
              <w:t>. Además, al fijar el problema jurídico el Consejo de Estado indicó que era necesario analizar “el régimen de responsabilidad aplicable cuando se produce la muerte y lesiones de miembros de la población civil durante una operación militar, bien sea como consecuencia de la acción, omisión o inactividad en los deberes de protección, seguridad y ejercicio de la soberanía, o bien de la ruptura del equilibrio de las cargas públicas de los miembros de la población civil afectados, y derivados de la misma operación militar; la consideración de la responsabilidad por la realización de  ‘falsas acciones de cumplimiento de los mandatos constitucionales por miembros de las fuerzas militares’ que se concretan a un ejecución extrajudicial”.</w:t>
            </w:r>
          </w:p>
        </w:tc>
      </w:tr>
      <w:tr w:rsidR="00E96464" w:rsidRPr="004571E5" w14:paraId="714AB377" w14:textId="77777777" w:rsidTr="00400146">
        <w:tc>
          <w:tcPr>
            <w:tcW w:w="1363" w:type="dxa"/>
            <w:shd w:val="clear" w:color="auto" w:fill="BFBFBF" w:themeFill="background1" w:themeFillShade="BF"/>
            <w:vAlign w:val="center"/>
          </w:tcPr>
          <w:p w14:paraId="7DDD5F40" w14:textId="1248FFF6" w:rsidR="00E96464" w:rsidRPr="004571E5" w:rsidRDefault="00E96464" w:rsidP="00E96464">
            <w:pPr>
              <w:pStyle w:val="Prrafodelista"/>
              <w:tabs>
                <w:tab w:val="left" w:pos="426"/>
              </w:tabs>
              <w:ind w:left="0"/>
              <w:jc w:val="center"/>
              <w:rPr>
                <w:rFonts w:ascii="Times New Roman" w:hAnsi="Times New Roman" w:cs="Times New Roman"/>
                <w:sz w:val="24"/>
                <w:szCs w:val="24"/>
              </w:rPr>
            </w:pPr>
            <w:r w:rsidRPr="004571E5">
              <w:rPr>
                <w:rFonts w:ascii="Times New Roman" w:hAnsi="Times New Roman" w:cs="Times New Roman"/>
                <w:sz w:val="24"/>
                <w:szCs w:val="24"/>
              </w:rPr>
              <w:t>55287</w:t>
            </w:r>
          </w:p>
        </w:tc>
        <w:tc>
          <w:tcPr>
            <w:tcW w:w="7465" w:type="dxa"/>
          </w:tcPr>
          <w:p w14:paraId="309C252B" w14:textId="334C18BE" w:rsidR="00E96464" w:rsidRPr="004571E5" w:rsidRDefault="00F57CF8" w:rsidP="00E96464">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rPr>
              <w:t>Como lo indica la síntesis del caso en la sentencia, allí se discutió la responsabilidad del Estado en un caso en el que un joven “fue asesinado (…) por miembros del Ejército Nacional quienes lo inhumaron como ‘NN’ y reportaron como una baja en combate. Posteriormente su familia fue contactada por un miembro de la Fiscalía, ya que habían identificado a su hijo en un proceso penal por ejecución extrajudicial, allí se pudo establecer que no era miembro de un grupo organizado al margen de la ley y que su muerte fue producto de un presunto operativo militar con múltiples cuestionamientos”.</w:t>
            </w:r>
          </w:p>
        </w:tc>
      </w:tr>
    </w:tbl>
    <w:p w14:paraId="7FF88117" w14:textId="4CDF5812" w:rsidR="00364550" w:rsidRPr="004571E5" w:rsidRDefault="00364550" w:rsidP="00364550">
      <w:pPr>
        <w:tabs>
          <w:tab w:val="left" w:pos="426"/>
        </w:tabs>
        <w:spacing w:after="0" w:line="240" w:lineRule="auto"/>
        <w:jc w:val="both"/>
        <w:rPr>
          <w:rFonts w:ascii="Times New Roman" w:hAnsi="Times New Roman" w:cs="Times New Roman"/>
          <w:sz w:val="28"/>
          <w:szCs w:val="28"/>
        </w:rPr>
      </w:pPr>
    </w:p>
    <w:p w14:paraId="5C01D6AE" w14:textId="7F9587CB" w:rsidR="005C02B3" w:rsidRPr="004571E5" w:rsidRDefault="005C02B3" w:rsidP="00364550">
      <w:pPr>
        <w:pStyle w:val="Prrafodelista"/>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E</w:t>
      </w:r>
      <w:r w:rsidR="00F57CF8" w:rsidRPr="004571E5">
        <w:rPr>
          <w:rFonts w:ascii="Times New Roman" w:hAnsi="Times New Roman" w:cs="Times New Roman"/>
          <w:sz w:val="28"/>
          <w:szCs w:val="28"/>
        </w:rPr>
        <w:t>n las sentencias invocadas por las partes en ambos casos se</w:t>
      </w:r>
      <w:r w:rsidRPr="004571E5">
        <w:rPr>
          <w:rFonts w:ascii="Times New Roman" w:hAnsi="Times New Roman" w:cs="Times New Roman"/>
          <w:sz w:val="28"/>
          <w:szCs w:val="28"/>
        </w:rPr>
        <w:t xml:space="preserve"> deciden demandas </w:t>
      </w:r>
      <w:r w:rsidR="00F57CF8" w:rsidRPr="004571E5">
        <w:rPr>
          <w:rFonts w:ascii="Times New Roman" w:hAnsi="Times New Roman" w:cs="Times New Roman"/>
          <w:sz w:val="28"/>
          <w:szCs w:val="28"/>
        </w:rPr>
        <w:t>de reparación directa en las que la discusión gir</w:t>
      </w:r>
      <w:r w:rsidRPr="004571E5">
        <w:rPr>
          <w:rFonts w:ascii="Times New Roman" w:hAnsi="Times New Roman" w:cs="Times New Roman"/>
          <w:sz w:val="28"/>
          <w:szCs w:val="28"/>
        </w:rPr>
        <w:t>ó</w:t>
      </w:r>
      <w:r w:rsidR="00F57CF8" w:rsidRPr="004571E5">
        <w:rPr>
          <w:rFonts w:ascii="Times New Roman" w:hAnsi="Times New Roman" w:cs="Times New Roman"/>
          <w:sz w:val="28"/>
          <w:szCs w:val="28"/>
        </w:rPr>
        <w:t xml:space="preserve"> en torno a la responsabilidad del Estado </w:t>
      </w:r>
      <w:r w:rsidRPr="004571E5">
        <w:rPr>
          <w:rFonts w:ascii="Times New Roman" w:hAnsi="Times New Roman" w:cs="Times New Roman"/>
          <w:sz w:val="28"/>
          <w:szCs w:val="28"/>
        </w:rPr>
        <w:t xml:space="preserve">por la ocurrencia de </w:t>
      </w:r>
      <w:r w:rsidR="00F57CF8" w:rsidRPr="004571E5">
        <w:rPr>
          <w:rFonts w:ascii="Times New Roman" w:hAnsi="Times New Roman" w:cs="Times New Roman"/>
          <w:sz w:val="28"/>
          <w:szCs w:val="28"/>
        </w:rPr>
        <w:t xml:space="preserve">ejecuciones extrajudiciales. </w:t>
      </w:r>
    </w:p>
    <w:p w14:paraId="002BCE4B" w14:textId="77777777" w:rsidR="005C02B3" w:rsidRPr="004571E5" w:rsidRDefault="005C02B3" w:rsidP="009638CA">
      <w:pPr>
        <w:pStyle w:val="Prrafodelista"/>
        <w:tabs>
          <w:tab w:val="left" w:pos="426"/>
        </w:tabs>
        <w:spacing w:after="0" w:line="240" w:lineRule="auto"/>
        <w:ind w:left="0"/>
        <w:jc w:val="both"/>
        <w:rPr>
          <w:rFonts w:ascii="Times New Roman" w:hAnsi="Times New Roman" w:cs="Times New Roman"/>
          <w:sz w:val="28"/>
          <w:szCs w:val="28"/>
        </w:rPr>
      </w:pPr>
    </w:p>
    <w:p w14:paraId="30932BD4" w14:textId="1B325E95" w:rsidR="005C02B3" w:rsidRPr="004571E5" w:rsidRDefault="005C02B3" w:rsidP="009638CA">
      <w:pPr>
        <w:pStyle w:val="Prrafodelista"/>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Una objeción podría surgir en contra de esta conclusión. En</w:t>
      </w:r>
      <w:r w:rsidRPr="004571E5">
        <w:rPr>
          <w:rFonts w:ascii="Times New Roman" w:hAnsi="Times New Roman" w:cs="Times New Roman"/>
          <w:sz w:val="28"/>
          <w:szCs w:val="28"/>
          <w:lang w:val="es-ES_tradnl"/>
        </w:rPr>
        <w:t xml:space="preserve"> el </w:t>
      </w:r>
      <w:r w:rsidR="00DC2507" w:rsidRPr="004571E5">
        <w:rPr>
          <w:rFonts w:ascii="Times New Roman" w:hAnsi="Times New Roman" w:cs="Times New Roman"/>
          <w:sz w:val="28"/>
          <w:szCs w:val="28"/>
          <w:lang w:val="es-ES_tradnl"/>
        </w:rPr>
        <w:t>C</w:t>
      </w:r>
      <w:r w:rsidRPr="004571E5">
        <w:rPr>
          <w:rFonts w:ascii="Times New Roman" w:hAnsi="Times New Roman" w:cs="Times New Roman"/>
          <w:sz w:val="28"/>
          <w:szCs w:val="28"/>
          <w:lang w:val="es-ES_tradnl"/>
        </w:rPr>
        <w:t xml:space="preserve">aso 2, </w:t>
      </w:r>
      <w:r w:rsidR="00E64A37" w:rsidRPr="004571E5">
        <w:rPr>
          <w:rFonts w:ascii="Times New Roman" w:hAnsi="Times New Roman" w:cs="Times New Roman"/>
          <w:sz w:val="28"/>
          <w:szCs w:val="28"/>
          <w:lang w:val="es-ES_tradnl"/>
        </w:rPr>
        <w:t>la subsección accionada abordó</w:t>
      </w:r>
      <w:r w:rsidRPr="004571E5">
        <w:rPr>
          <w:rFonts w:ascii="Times New Roman" w:hAnsi="Times New Roman" w:cs="Times New Roman"/>
          <w:sz w:val="28"/>
          <w:szCs w:val="28"/>
          <w:lang w:val="es-ES_tradnl"/>
        </w:rPr>
        <w:t xml:space="preserve"> el asunto como un evento de ejercicio</w:t>
      </w:r>
      <w:r w:rsidR="00B81BCE" w:rsidRPr="004571E5">
        <w:rPr>
          <w:rFonts w:ascii="Times New Roman" w:hAnsi="Times New Roman" w:cs="Times New Roman"/>
          <w:sz w:val="28"/>
          <w:szCs w:val="28"/>
          <w:lang w:val="es-ES_tradnl"/>
        </w:rPr>
        <w:t xml:space="preserve"> excesivo</w:t>
      </w:r>
      <w:r w:rsidRPr="004571E5">
        <w:rPr>
          <w:rFonts w:ascii="Times New Roman" w:hAnsi="Times New Roman" w:cs="Times New Roman"/>
          <w:sz w:val="28"/>
          <w:szCs w:val="28"/>
          <w:lang w:val="es-ES_tradnl"/>
        </w:rPr>
        <w:t xml:space="preserve"> de la fuerza y, en esa medida no aplic</w:t>
      </w:r>
      <w:r w:rsidR="00E64A37" w:rsidRPr="004571E5">
        <w:rPr>
          <w:rFonts w:ascii="Times New Roman" w:hAnsi="Times New Roman" w:cs="Times New Roman"/>
          <w:sz w:val="28"/>
          <w:szCs w:val="28"/>
          <w:lang w:val="es-ES_tradnl"/>
        </w:rPr>
        <w:t>ó</w:t>
      </w:r>
      <w:r w:rsidRPr="004571E5">
        <w:rPr>
          <w:rFonts w:ascii="Times New Roman" w:hAnsi="Times New Roman" w:cs="Times New Roman"/>
          <w:sz w:val="28"/>
          <w:szCs w:val="28"/>
          <w:lang w:val="es-ES_tradnl"/>
        </w:rPr>
        <w:t xml:space="preserve"> las reglas relativas a la </w:t>
      </w:r>
      <w:r w:rsidR="00E64A37" w:rsidRPr="004571E5">
        <w:rPr>
          <w:rFonts w:ascii="Times New Roman" w:hAnsi="Times New Roman" w:cs="Times New Roman"/>
          <w:sz w:val="28"/>
          <w:szCs w:val="28"/>
          <w:lang w:val="es-ES_tradnl"/>
        </w:rPr>
        <w:t>valoración</w:t>
      </w:r>
      <w:r w:rsidRPr="004571E5">
        <w:rPr>
          <w:rFonts w:ascii="Times New Roman" w:hAnsi="Times New Roman" w:cs="Times New Roman"/>
          <w:sz w:val="28"/>
          <w:szCs w:val="28"/>
          <w:lang w:val="es-ES_tradnl"/>
        </w:rPr>
        <w:t xml:space="preserve"> probatoria a las que la Corte alude más adelante. Ello entonces podría descartar el carácter análogo de la situación fáctica. </w:t>
      </w:r>
    </w:p>
    <w:p w14:paraId="19053CCF" w14:textId="77777777" w:rsidR="005C02B3" w:rsidRPr="004571E5" w:rsidRDefault="005C02B3" w:rsidP="005C02B3">
      <w:pPr>
        <w:pStyle w:val="Prrafodelista"/>
        <w:spacing w:line="240" w:lineRule="auto"/>
        <w:rPr>
          <w:rFonts w:ascii="Times New Roman" w:hAnsi="Times New Roman" w:cs="Times New Roman"/>
          <w:sz w:val="28"/>
          <w:szCs w:val="28"/>
          <w:lang w:val="es-ES_tradnl"/>
        </w:rPr>
      </w:pPr>
    </w:p>
    <w:p w14:paraId="10605BFD" w14:textId="57261987" w:rsidR="005C02B3" w:rsidRPr="004571E5" w:rsidRDefault="005C02B3" w:rsidP="005C02B3">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lastRenderedPageBreak/>
        <w:t>No obstante, luego de un examen detallado del expediente, la Corte considera que</w:t>
      </w:r>
      <w:r w:rsidR="00B81BCE" w:rsidRPr="004571E5">
        <w:rPr>
          <w:rFonts w:ascii="Times New Roman" w:hAnsi="Times New Roman" w:cs="Times New Roman"/>
          <w:sz w:val="28"/>
          <w:szCs w:val="28"/>
          <w:lang w:val="es-ES_tradnl"/>
        </w:rPr>
        <w:t>, al menos en principio,</w:t>
      </w:r>
      <w:r w:rsidRPr="004571E5">
        <w:rPr>
          <w:rFonts w:ascii="Times New Roman" w:hAnsi="Times New Roman" w:cs="Times New Roman"/>
          <w:sz w:val="28"/>
          <w:szCs w:val="28"/>
          <w:lang w:val="es-ES_tradnl"/>
        </w:rPr>
        <w:t xml:space="preserve"> el asunto debió ser tratado como un caso de ejecución extrajudicial y por ello </w:t>
      </w:r>
      <w:r w:rsidRPr="004571E5">
        <w:rPr>
          <w:rFonts w:ascii="Times New Roman" w:hAnsi="Times New Roman" w:cs="Times New Roman"/>
          <w:i/>
          <w:iCs/>
          <w:sz w:val="28"/>
          <w:szCs w:val="28"/>
          <w:lang w:val="es-ES_tradnl"/>
        </w:rPr>
        <w:t xml:space="preserve">debía aplicarse el estándar </w:t>
      </w:r>
      <w:r w:rsidRPr="004571E5">
        <w:rPr>
          <w:rFonts w:ascii="Times New Roman" w:hAnsi="Times New Roman" w:cs="Times New Roman"/>
          <w:sz w:val="28"/>
          <w:szCs w:val="28"/>
          <w:lang w:val="es-ES_tradnl"/>
        </w:rPr>
        <w:t xml:space="preserve">reconocido en la jurisprudencia. </w:t>
      </w:r>
      <w:r w:rsidR="00E64A37" w:rsidRPr="004571E5">
        <w:rPr>
          <w:rFonts w:ascii="Times New Roman" w:hAnsi="Times New Roman" w:cs="Times New Roman"/>
          <w:sz w:val="28"/>
          <w:szCs w:val="28"/>
          <w:lang w:val="es-ES_tradnl"/>
        </w:rPr>
        <w:t>Cinco</w:t>
      </w:r>
      <w:r w:rsidRPr="004571E5">
        <w:rPr>
          <w:rFonts w:ascii="Times New Roman" w:hAnsi="Times New Roman" w:cs="Times New Roman"/>
          <w:sz w:val="28"/>
          <w:szCs w:val="28"/>
          <w:lang w:val="es-ES_tradnl"/>
        </w:rPr>
        <w:t xml:space="preserve"> razones justifican esta conclusión. </w:t>
      </w:r>
    </w:p>
    <w:p w14:paraId="5BB5C4BC" w14:textId="77777777" w:rsidR="005C02B3" w:rsidRPr="004571E5" w:rsidRDefault="005C02B3" w:rsidP="00412FA6">
      <w:pPr>
        <w:pStyle w:val="Prrafodelista"/>
        <w:rPr>
          <w:rFonts w:ascii="Times New Roman" w:hAnsi="Times New Roman" w:cs="Times New Roman"/>
          <w:sz w:val="28"/>
          <w:szCs w:val="28"/>
          <w:lang w:val="es-ES_tradnl"/>
        </w:rPr>
      </w:pPr>
    </w:p>
    <w:p w14:paraId="78FA8E0A" w14:textId="5EE4F38D" w:rsidR="005C02B3" w:rsidRPr="004571E5" w:rsidRDefault="005C02B3" w:rsidP="005C02B3">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Primero, si bien es cierto que en la demanda de reparación directa no se hizo referencia al concepto de ejecución extrajudicial, tampoco se indicó de manera clara que se tratara del uso excesivo de la fuerza. Segundo, en el hecho 12 de la demanda se hizo referencia a posibles hechos que indicarían que lo ocurrido podría corresponder a una ejecución extrajudicial al afirmar: </w:t>
      </w:r>
    </w:p>
    <w:p w14:paraId="3F28025B" w14:textId="77777777" w:rsidR="005C02B3" w:rsidRPr="004571E5" w:rsidRDefault="005C02B3" w:rsidP="005C02B3">
      <w:pPr>
        <w:pStyle w:val="Prrafodelista"/>
        <w:spacing w:line="240" w:lineRule="auto"/>
        <w:rPr>
          <w:rFonts w:ascii="Times New Roman" w:hAnsi="Times New Roman" w:cs="Times New Roman"/>
          <w:sz w:val="28"/>
          <w:szCs w:val="28"/>
          <w:lang w:val="es-ES_tradnl"/>
        </w:rPr>
      </w:pPr>
    </w:p>
    <w:p w14:paraId="7CEF261C" w14:textId="64A12F01" w:rsidR="005C02B3" w:rsidRPr="004571E5" w:rsidRDefault="005C02B3" w:rsidP="005C02B3">
      <w:pPr>
        <w:pStyle w:val="Prrafodelista"/>
        <w:spacing w:line="240" w:lineRule="auto"/>
        <w:ind w:left="567"/>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 xml:space="preserve">“No es digno de crédito, el encuentro con un grupo de seis (06) civiles, logrando huir cuatro (04) de ellos y dando de baja únicamente dos (02) por lo siguiente: (…) c.) De peor condición resulta que una de las víctimas llevara en la pretina una de sus armas, luego no pudo ser utilizada. d). No resultó lesionado ninguno de los militares. e). Si el encuentro fue tan intempestivo, tendríamos que aceptar </w:t>
      </w:r>
      <w:r w:rsidR="00423E6E" w:rsidRPr="004571E5">
        <w:rPr>
          <w:rFonts w:ascii="Times New Roman" w:hAnsi="Times New Roman" w:cs="Times New Roman"/>
          <w:sz w:val="24"/>
          <w:szCs w:val="24"/>
          <w:lang w:val="es-ES_tradnl"/>
        </w:rPr>
        <w:t xml:space="preserve">[que] </w:t>
      </w:r>
      <w:r w:rsidRPr="004571E5">
        <w:rPr>
          <w:rFonts w:ascii="Times New Roman" w:hAnsi="Times New Roman" w:cs="Times New Roman"/>
          <w:sz w:val="24"/>
          <w:szCs w:val="24"/>
          <w:lang w:val="es-ES_tradnl"/>
        </w:rPr>
        <w:t>los particulares llevaban las armas en la mano y dispuestas para el encuentro con los militares. (…) g). Si el encuentro fue casual, frente a frente, ¿cómo pudieron ser impactadas las víctimas por la espalda y desde diferentes ángulos?”</w:t>
      </w:r>
      <w:r w:rsidRPr="004571E5">
        <w:rPr>
          <w:rStyle w:val="Refdenotaalpie"/>
          <w:rFonts w:ascii="Times New Roman" w:hAnsi="Times New Roman" w:cs="Times New Roman"/>
          <w:sz w:val="24"/>
          <w:szCs w:val="24"/>
          <w:lang w:val="es-ES_tradnl"/>
        </w:rPr>
        <w:footnoteReference w:id="39"/>
      </w:r>
      <w:r w:rsidRPr="004571E5">
        <w:rPr>
          <w:rFonts w:ascii="Times New Roman" w:hAnsi="Times New Roman" w:cs="Times New Roman"/>
          <w:sz w:val="24"/>
          <w:szCs w:val="24"/>
          <w:lang w:val="es-ES_tradnl"/>
        </w:rPr>
        <w:t>.</w:t>
      </w:r>
    </w:p>
    <w:p w14:paraId="7D960431" w14:textId="77777777" w:rsidR="005C02B3" w:rsidRPr="004571E5" w:rsidRDefault="005C02B3" w:rsidP="005C02B3">
      <w:pPr>
        <w:pStyle w:val="Prrafodelista"/>
        <w:spacing w:line="240" w:lineRule="auto"/>
        <w:rPr>
          <w:rFonts w:ascii="Times New Roman" w:hAnsi="Times New Roman" w:cs="Times New Roman"/>
          <w:sz w:val="28"/>
          <w:szCs w:val="28"/>
          <w:lang w:val="es-ES_tradnl"/>
        </w:rPr>
      </w:pPr>
    </w:p>
    <w:p w14:paraId="7F2BCE19" w14:textId="53B1F69C" w:rsidR="005C02B3" w:rsidRPr="004571E5" w:rsidRDefault="005C02B3" w:rsidP="005C02B3">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Tercero, en los alegatos de conclusión presentados ante el juez de primera instancia, la argumentación tiene por objeto mostrar la ocurrencia de una ejecución extrajudicial. En concreto, el apoderado de los accionantes afirmó: </w:t>
      </w:r>
    </w:p>
    <w:p w14:paraId="4E8E907D" w14:textId="77777777" w:rsidR="005C02B3" w:rsidRPr="004571E5" w:rsidRDefault="005C02B3" w:rsidP="005C02B3">
      <w:pPr>
        <w:pStyle w:val="Prrafodelista"/>
        <w:spacing w:line="240" w:lineRule="auto"/>
        <w:rPr>
          <w:rFonts w:ascii="Times New Roman" w:hAnsi="Times New Roman" w:cs="Times New Roman"/>
          <w:sz w:val="28"/>
          <w:szCs w:val="28"/>
          <w:lang w:val="es-ES_tradnl"/>
        </w:rPr>
      </w:pPr>
    </w:p>
    <w:p w14:paraId="4E49EB8B" w14:textId="77777777" w:rsidR="005C02B3" w:rsidRPr="004571E5" w:rsidRDefault="005C02B3" w:rsidP="005C02B3">
      <w:pPr>
        <w:pStyle w:val="Prrafodelista"/>
        <w:spacing w:line="240" w:lineRule="auto"/>
        <w:ind w:left="567"/>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w:t>
      </w:r>
      <w:r w:rsidRPr="004571E5">
        <w:rPr>
          <w:rFonts w:ascii="Times New Roman" w:hAnsi="Times New Roman" w:cs="Times New Roman"/>
          <w:sz w:val="24"/>
          <w:szCs w:val="24"/>
          <w:lang w:val="es-ES_tradnl"/>
        </w:rPr>
        <w:t>Cuatro temas se levantan ya en contra de la versión de los militares: el primero, la desaparición del lugar habitual de las víctimas, acompañados de un ciudadano con corte militar y bajo propuesta delictiva; segundo, los hallazgos en los protocolos de necropsia; tercero, la materialización de trayectorias; y cuarto, la inexistencia de pruebas en relación con el motivo del procedimiento</w:t>
      </w:r>
      <w:r w:rsidRPr="004571E5">
        <w:rPr>
          <w:rFonts w:ascii="Times New Roman" w:hAnsi="Times New Roman" w:cs="Times New Roman"/>
          <w:sz w:val="28"/>
          <w:szCs w:val="28"/>
          <w:lang w:val="es-ES_tradnl"/>
        </w:rPr>
        <w:t>”</w:t>
      </w:r>
      <w:r w:rsidRPr="004571E5">
        <w:rPr>
          <w:rStyle w:val="Refdenotaalpie"/>
          <w:rFonts w:ascii="Times New Roman" w:hAnsi="Times New Roman" w:cs="Times New Roman"/>
          <w:sz w:val="28"/>
          <w:szCs w:val="28"/>
          <w:lang w:val="es-ES_tradnl"/>
        </w:rPr>
        <w:footnoteReference w:id="40"/>
      </w:r>
      <w:r w:rsidRPr="004571E5">
        <w:rPr>
          <w:rFonts w:ascii="Times New Roman" w:hAnsi="Times New Roman" w:cs="Times New Roman"/>
          <w:sz w:val="28"/>
          <w:szCs w:val="28"/>
          <w:lang w:val="es-ES_tradnl"/>
        </w:rPr>
        <w:t>.</w:t>
      </w:r>
    </w:p>
    <w:p w14:paraId="04DE0F10" w14:textId="77777777" w:rsidR="005C02B3" w:rsidRPr="004571E5" w:rsidRDefault="005C02B3" w:rsidP="005C02B3">
      <w:pPr>
        <w:pStyle w:val="Prrafodelista"/>
        <w:spacing w:line="240" w:lineRule="auto"/>
        <w:ind w:left="0"/>
        <w:jc w:val="both"/>
        <w:rPr>
          <w:rFonts w:ascii="Times New Roman" w:hAnsi="Times New Roman" w:cs="Times New Roman"/>
          <w:sz w:val="28"/>
          <w:szCs w:val="28"/>
          <w:lang w:val="es-ES_tradnl"/>
        </w:rPr>
      </w:pPr>
    </w:p>
    <w:p w14:paraId="55F48AF0" w14:textId="350CC065" w:rsidR="005C02B3" w:rsidRPr="004571E5" w:rsidRDefault="005C02B3" w:rsidP="005C02B3">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Cuarto, </w:t>
      </w:r>
      <w:r w:rsidR="00E64A37" w:rsidRPr="004571E5">
        <w:rPr>
          <w:rFonts w:ascii="Times New Roman" w:hAnsi="Times New Roman" w:cs="Times New Roman"/>
          <w:sz w:val="28"/>
          <w:szCs w:val="28"/>
          <w:lang w:val="es-ES_tradnl"/>
        </w:rPr>
        <w:t xml:space="preserve">el Tribunal Administrativo de Norte de Santander, como juez de primera instancia, (i) </w:t>
      </w:r>
      <w:r w:rsidR="00B265E5" w:rsidRPr="004571E5">
        <w:rPr>
          <w:rFonts w:ascii="Times New Roman" w:hAnsi="Times New Roman" w:cs="Times New Roman"/>
          <w:sz w:val="28"/>
          <w:szCs w:val="28"/>
          <w:lang w:val="es-ES_tradnl"/>
        </w:rPr>
        <w:t>sostuvo que le correspondía, como problema jurídico, estudiar si la muerte del señor Vergel había ocurrido</w:t>
      </w:r>
      <w:r w:rsidR="00E64A37" w:rsidRPr="004571E5">
        <w:rPr>
          <w:rFonts w:ascii="Times New Roman" w:hAnsi="Times New Roman" w:cs="Times New Roman"/>
          <w:sz w:val="28"/>
          <w:szCs w:val="28"/>
        </w:rPr>
        <w:t xml:space="preserve"> “a manos de miembros del Ejército Nacional al enfrentarse con arma de fuego a estos, considerando el accionante que se presentó un uso excesivo de las armas y que en realidad lo que se presentó fue una </w:t>
      </w:r>
      <w:r w:rsidR="00361E07" w:rsidRPr="004571E5">
        <w:rPr>
          <w:rFonts w:ascii="Times New Roman" w:hAnsi="Times New Roman" w:cs="Times New Roman"/>
          <w:sz w:val="28"/>
          <w:szCs w:val="28"/>
        </w:rPr>
        <w:t>ejecución</w:t>
      </w:r>
      <w:r w:rsidR="00E64A37" w:rsidRPr="004571E5">
        <w:rPr>
          <w:rFonts w:ascii="Times New Roman" w:hAnsi="Times New Roman" w:cs="Times New Roman"/>
          <w:sz w:val="28"/>
          <w:szCs w:val="28"/>
        </w:rPr>
        <w:t xml:space="preserve"> extrajudicial”  y (</w:t>
      </w:r>
      <w:proofErr w:type="spellStart"/>
      <w:r w:rsidR="00E64A37" w:rsidRPr="004571E5">
        <w:rPr>
          <w:rFonts w:ascii="Times New Roman" w:hAnsi="Times New Roman" w:cs="Times New Roman"/>
          <w:sz w:val="28"/>
          <w:szCs w:val="28"/>
        </w:rPr>
        <w:t>ii</w:t>
      </w:r>
      <w:proofErr w:type="spellEnd"/>
      <w:r w:rsidR="00E64A37" w:rsidRPr="004571E5">
        <w:rPr>
          <w:rFonts w:ascii="Times New Roman" w:hAnsi="Times New Roman" w:cs="Times New Roman"/>
          <w:sz w:val="28"/>
          <w:szCs w:val="28"/>
        </w:rPr>
        <w:t>) concluyó que “no existen pruebas idóneas para concluir que se trató de una ejecución extrajudicial”</w:t>
      </w:r>
      <w:r w:rsidR="00E64A37" w:rsidRPr="004571E5">
        <w:rPr>
          <w:rFonts w:ascii="Times New Roman" w:hAnsi="Times New Roman" w:cs="Times New Roman"/>
          <w:sz w:val="28"/>
          <w:szCs w:val="28"/>
          <w:lang w:val="es-ES_tradnl"/>
        </w:rPr>
        <w:t xml:space="preserve">. Quinto, </w:t>
      </w:r>
      <w:r w:rsidRPr="004571E5">
        <w:rPr>
          <w:rFonts w:ascii="Times New Roman" w:hAnsi="Times New Roman" w:cs="Times New Roman"/>
          <w:sz w:val="28"/>
          <w:szCs w:val="28"/>
          <w:lang w:val="es-ES_tradnl"/>
        </w:rPr>
        <w:t>en el recurso de apelación presentado contra la decisión de primera instancia, de manera explícita se señalaron 12 elementos bajo el título “e). indicios de una ejecución extrajudicial”</w:t>
      </w:r>
      <w:r w:rsidRPr="004571E5">
        <w:rPr>
          <w:rStyle w:val="Refdenotaalpie"/>
          <w:rFonts w:ascii="Times New Roman" w:hAnsi="Times New Roman" w:cs="Times New Roman"/>
          <w:sz w:val="28"/>
          <w:szCs w:val="28"/>
          <w:lang w:val="es-ES_tradnl"/>
        </w:rPr>
        <w:footnoteReference w:id="41"/>
      </w:r>
      <w:r w:rsidRPr="004571E5">
        <w:rPr>
          <w:rFonts w:ascii="Times New Roman" w:hAnsi="Times New Roman" w:cs="Times New Roman"/>
          <w:sz w:val="28"/>
          <w:szCs w:val="28"/>
          <w:lang w:val="es-ES_tradnl"/>
        </w:rPr>
        <w:t xml:space="preserve">. </w:t>
      </w:r>
      <w:r w:rsidR="000E1D24" w:rsidRPr="004571E5">
        <w:rPr>
          <w:rFonts w:ascii="Times New Roman" w:hAnsi="Times New Roman" w:cs="Times New Roman"/>
          <w:sz w:val="28"/>
          <w:szCs w:val="28"/>
          <w:lang w:val="es-ES_tradnl"/>
        </w:rPr>
        <w:t xml:space="preserve">En particular, vale la pena resaltar </w:t>
      </w:r>
      <w:r w:rsidR="002600E5" w:rsidRPr="004571E5">
        <w:rPr>
          <w:rFonts w:ascii="Times New Roman" w:hAnsi="Times New Roman" w:cs="Times New Roman"/>
          <w:sz w:val="28"/>
          <w:szCs w:val="28"/>
          <w:lang w:val="es-ES_tradnl"/>
        </w:rPr>
        <w:t xml:space="preserve">que en el Informe de investigador de laboratorio del Cuerpo Técnico de Investigación en Balística Forense de la </w:t>
      </w:r>
      <w:proofErr w:type="gramStart"/>
      <w:r w:rsidR="002600E5" w:rsidRPr="004571E5">
        <w:rPr>
          <w:rFonts w:ascii="Times New Roman" w:hAnsi="Times New Roman" w:cs="Times New Roman"/>
          <w:sz w:val="28"/>
          <w:szCs w:val="28"/>
          <w:lang w:val="es-ES_tradnl"/>
        </w:rPr>
        <w:t>Fiscalía General</w:t>
      </w:r>
      <w:proofErr w:type="gramEnd"/>
      <w:r w:rsidR="002600E5" w:rsidRPr="004571E5">
        <w:rPr>
          <w:rFonts w:ascii="Times New Roman" w:hAnsi="Times New Roman" w:cs="Times New Roman"/>
          <w:sz w:val="28"/>
          <w:szCs w:val="28"/>
          <w:lang w:val="es-ES_tradnl"/>
        </w:rPr>
        <w:t xml:space="preserve"> de la Nación se indicó en el acápite “XIV. Interpretación de resultados” que de acuerdo con los resultados del examen “correspondiente al occiso Jhony Vergel Ortega, teniendo en cuenta la materialización gráfica de trayectorias, (ver diagramas), </w:t>
      </w:r>
      <w:r w:rsidR="002600E5" w:rsidRPr="004571E5">
        <w:rPr>
          <w:rFonts w:ascii="Times New Roman" w:hAnsi="Times New Roman" w:cs="Times New Roman"/>
          <w:sz w:val="28"/>
          <w:szCs w:val="28"/>
          <w:lang w:val="es-ES_tradnl"/>
        </w:rPr>
        <w:lastRenderedPageBreak/>
        <w:t xml:space="preserve">se determinó que los disparos fueron hechos a una distancia menor a 2 </w:t>
      </w:r>
      <w:proofErr w:type="spellStart"/>
      <w:r w:rsidR="002600E5" w:rsidRPr="004571E5">
        <w:rPr>
          <w:rFonts w:ascii="Times New Roman" w:hAnsi="Times New Roman" w:cs="Times New Roman"/>
          <w:sz w:val="28"/>
          <w:szCs w:val="28"/>
          <w:lang w:val="es-ES_tradnl"/>
        </w:rPr>
        <w:t>mts</w:t>
      </w:r>
      <w:proofErr w:type="spellEnd"/>
      <w:r w:rsidR="002600E5" w:rsidRPr="004571E5">
        <w:rPr>
          <w:rFonts w:ascii="Times New Roman" w:hAnsi="Times New Roman" w:cs="Times New Roman"/>
          <w:sz w:val="28"/>
          <w:szCs w:val="28"/>
          <w:lang w:val="es-ES_tradnl"/>
        </w:rPr>
        <w:t xml:space="preserve"> (hay evidencia de restos de pólvora)”</w:t>
      </w:r>
      <w:r w:rsidR="002600E5" w:rsidRPr="004571E5">
        <w:rPr>
          <w:rStyle w:val="Refdenotaalpie"/>
          <w:rFonts w:ascii="Times New Roman" w:hAnsi="Times New Roman" w:cs="Times New Roman"/>
          <w:sz w:val="28"/>
          <w:szCs w:val="28"/>
          <w:lang w:val="es-ES_tradnl"/>
        </w:rPr>
        <w:footnoteReference w:id="42"/>
      </w:r>
      <w:r w:rsidR="002600E5" w:rsidRPr="004571E5">
        <w:rPr>
          <w:rFonts w:ascii="Times New Roman" w:hAnsi="Times New Roman" w:cs="Times New Roman"/>
          <w:sz w:val="28"/>
          <w:szCs w:val="28"/>
          <w:lang w:val="es-ES_tradnl"/>
        </w:rPr>
        <w:t>.</w:t>
      </w:r>
    </w:p>
    <w:p w14:paraId="218306E2" w14:textId="77777777" w:rsidR="005C02B3" w:rsidRPr="004571E5" w:rsidRDefault="005C02B3" w:rsidP="005C02B3">
      <w:pPr>
        <w:pStyle w:val="Prrafodelista"/>
        <w:spacing w:line="240" w:lineRule="auto"/>
        <w:ind w:left="0"/>
        <w:jc w:val="both"/>
        <w:rPr>
          <w:rFonts w:ascii="Times New Roman" w:hAnsi="Times New Roman" w:cs="Times New Roman"/>
          <w:sz w:val="28"/>
          <w:szCs w:val="28"/>
          <w:lang w:val="es-ES_tradnl"/>
        </w:rPr>
      </w:pPr>
    </w:p>
    <w:p w14:paraId="42504D20" w14:textId="1789C726" w:rsidR="00364550" w:rsidRPr="004571E5" w:rsidRDefault="005C02B3" w:rsidP="008D1A43">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Las referidas razones evidencian entonces que el análisis ha debido tener lugar bajo las reglas aplicables a los eventos de una posible ejecución extrajudicial y no el de uso excesivo de la fuerza. </w:t>
      </w:r>
      <w:r w:rsidR="00F57CF8" w:rsidRPr="004571E5">
        <w:rPr>
          <w:rFonts w:ascii="Times New Roman" w:hAnsi="Times New Roman" w:cs="Times New Roman"/>
          <w:sz w:val="28"/>
          <w:szCs w:val="28"/>
        </w:rPr>
        <w:t>Por esta razón, los hechos son análogos y se supera la primera etapa del triple examen</w:t>
      </w:r>
      <w:r w:rsidR="0006740E" w:rsidRPr="004571E5">
        <w:rPr>
          <w:rFonts w:ascii="Times New Roman" w:hAnsi="Times New Roman" w:cs="Times New Roman"/>
          <w:sz w:val="28"/>
          <w:szCs w:val="28"/>
        </w:rPr>
        <w:t xml:space="preserve"> frente al reproche de desconocimiento del precedente horizontal</w:t>
      </w:r>
      <w:r w:rsidR="00F57CF8" w:rsidRPr="004571E5">
        <w:rPr>
          <w:rFonts w:ascii="Times New Roman" w:hAnsi="Times New Roman" w:cs="Times New Roman"/>
          <w:sz w:val="28"/>
          <w:szCs w:val="28"/>
        </w:rPr>
        <w:t>.</w:t>
      </w:r>
    </w:p>
    <w:p w14:paraId="59DC34CF" w14:textId="77777777" w:rsidR="008D1A43" w:rsidRPr="004571E5" w:rsidRDefault="008D1A43" w:rsidP="008D1A43">
      <w:pPr>
        <w:pStyle w:val="Prrafodelista"/>
        <w:spacing w:line="240" w:lineRule="auto"/>
        <w:ind w:left="0"/>
        <w:jc w:val="both"/>
        <w:rPr>
          <w:rFonts w:ascii="Times New Roman" w:hAnsi="Times New Roman" w:cs="Times New Roman"/>
          <w:sz w:val="28"/>
          <w:szCs w:val="28"/>
          <w:lang w:val="es-ES_tradnl"/>
        </w:rPr>
      </w:pPr>
    </w:p>
    <w:p w14:paraId="385DF93F" w14:textId="7AD33C36" w:rsidR="00921FB3" w:rsidRPr="004571E5" w:rsidRDefault="00921FB3" w:rsidP="00921FB3">
      <w:pPr>
        <w:pStyle w:val="Prrafodelista"/>
        <w:numPr>
          <w:ilvl w:val="0"/>
          <w:numId w:val="35"/>
        </w:numPr>
        <w:tabs>
          <w:tab w:val="left" w:pos="426"/>
        </w:tabs>
        <w:spacing w:after="0" w:line="240" w:lineRule="auto"/>
        <w:jc w:val="both"/>
        <w:rPr>
          <w:rFonts w:ascii="Times New Roman" w:hAnsi="Times New Roman" w:cs="Times New Roman"/>
          <w:b/>
          <w:iCs/>
          <w:sz w:val="28"/>
          <w:szCs w:val="28"/>
        </w:rPr>
      </w:pPr>
      <w:r w:rsidRPr="004571E5">
        <w:rPr>
          <w:rFonts w:ascii="Times New Roman" w:hAnsi="Times New Roman" w:cs="Times New Roman"/>
          <w:b/>
          <w:iCs/>
          <w:sz w:val="28"/>
          <w:szCs w:val="28"/>
        </w:rPr>
        <w:t>La similitud de los problemas jurídicos que deben ser abordados</w:t>
      </w:r>
    </w:p>
    <w:p w14:paraId="3AE9FB16" w14:textId="77777777" w:rsidR="00921FB3" w:rsidRPr="004571E5" w:rsidRDefault="00921FB3" w:rsidP="00921FB3">
      <w:pPr>
        <w:tabs>
          <w:tab w:val="left" w:pos="426"/>
        </w:tabs>
        <w:spacing w:after="0" w:line="240" w:lineRule="auto"/>
        <w:jc w:val="both"/>
        <w:rPr>
          <w:rFonts w:ascii="Times New Roman" w:hAnsi="Times New Roman" w:cs="Times New Roman"/>
          <w:i/>
          <w:iCs/>
          <w:sz w:val="28"/>
          <w:szCs w:val="28"/>
        </w:rPr>
      </w:pPr>
    </w:p>
    <w:p w14:paraId="4539814A" w14:textId="60BE8D23" w:rsidR="00677A38" w:rsidRPr="004571E5" w:rsidRDefault="00F57CF8" w:rsidP="00921FB3">
      <w:pPr>
        <w:pStyle w:val="Prrafodelista"/>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 xml:space="preserve">Como se indicó antes, el triple examen </w:t>
      </w:r>
      <w:r w:rsidR="00994A42" w:rsidRPr="004571E5">
        <w:rPr>
          <w:rFonts w:ascii="Times New Roman" w:hAnsi="Times New Roman" w:cs="Times New Roman"/>
          <w:sz w:val="28"/>
          <w:szCs w:val="28"/>
        </w:rPr>
        <w:t xml:space="preserve">para la identificación del precedente </w:t>
      </w:r>
      <w:r w:rsidRPr="004571E5">
        <w:rPr>
          <w:rFonts w:ascii="Times New Roman" w:hAnsi="Times New Roman" w:cs="Times New Roman"/>
          <w:sz w:val="28"/>
          <w:szCs w:val="28"/>
        </w:rPr>
        <w:t>exige verificar que los</w:t>
      </w:r>
      <w:r w:rsidR="00994A42" w:rsidRPr="004571E5">
        <w:rPr>
          <w:rFonts w:ascii="Times New Roman" w:hAnsi="Times New Roman" w:cs="Times New Roman"/>
          <w:sz w:val="28"/>
          <w:szCs w:val="28"/>
        </w:rPr>
        <w:t xml:space="preserve"> problemas jurídicos</w:t>
      </w:r>
      <w:r w:rsidRPr="004571E5">
        <w:rPr>
          <w:rFonts w:ascii="Times New Roman" w:hAnsi="Times New Roman" w:cs="Times New Roman"/>
          <w:sz w:val="28"/>
          <w:szCs w:val="28"/>
        </w:rPr>
        <w:t xml:space="preserve"> resueltos </w:t>
      </w:r>
      <w:r w:rsidR="00994A42" w:rsidRPr="004571E5">
        <w:rPr>
          <w:rFonts w:ascii="Times New Roman" w:hAnsi="Times New Roman" w:cs="Times New Roman"/>
          <w:sz w:val="28"/>
          <w:szCs w:val="28"/>
        </w:rPr>
        <w:t xml:space="preserve">sean </w:t>
      </w:r>
      <w:r w:rsidRPr="004571E5">
        <w:rPr>
          <w:rFonts w:ascii="Times New Roman" w:hAnsi="Times New Roman" w:cs="Times New Roman"/>
          <w:sz w:val="28"/>
          <w:szCs w:val="28"/>
        </w:rPr>
        <w:t>similar</w:t>
      </w:r>
      <w:r w:rsidR="00994A42" w:rsidRPr="004571E5">
        <w:rPr>
          <w:rFonts w:ascii="Times New Roman" w:hAnsi="Times New Roman" w:cs="Times New Roman"/>
          <w:sz w:val="28"/>
          <w:szCs w:val="28"/>
        </w:rPr>
        <w:t>es</w:t>
      </w:r>
      <w:r w:rsidRPr="004571E5">
        <w:rPr>
          <w:rFonts w:ascii="Times New Roman" w:hAnsi="Times New Roman" w:cs="Times New Roman"/>
          <w:sz w:val="28"/>
          <w:szCs w:val="28"/>
        </w:rPr>
        <w:t xml:space="preserve">. </w:t>
      </w:r>
      <w:r w:rsidR="00677A38" w:rsidRPr="004571E5">
        <w:rPr>
          <w:rFonts w:ascii="Times New Roman" w:hAnsi="Times New Roman" w:cs="Times New Roman"/>
          <w:sz w:val="28"/>
          <w:szCs w:val="28"/>
        </w:rPr>
        <w:t xml:space="preserve">En esta oportunidad le corresponde a la Corte establecer, principalmente, si </w:t>
      </w:r>
      <w:r w:rsidR="00677A38" w:rsidRPr="004571E5">
        <w:rPr>
          <w:rFonts w:ascii="Times New Roman" w:hAnsi="Times New Roman" w:cs="Times New Roman"/>
          <w:sz w:val="28"/>
          <w:szCs w:val="28"/>
          <w:lang w:val="es-ES"/>
        </w:rPr>
        <w:t xml:space="preserve">la Subsección C de la Sección Tercera del Consejo de Estado vulneró los derechos de los demandantes dentro de los referidos procesos de reparación directa al (i) no aplicar el precedente en </w:t>
      </w:r>
      <w:r w:rsidR="007A0EDC" w:rsidRPr="004571E5">
        <w:rPr>
          <w:rFonts w:ascii="Times New Roman" w:hAnsi="Times New Roman" w:cs="Times New Roman"/>
          <w:sz w:val="28"/>
          <w:szCs w:val="28"/>
          <w:lang w:val="es-ES"/>
        </w:rPr>
        <w:t xml:space="preserve">la </w:t>
      </w:r>
      <w:r w:rsidR="00677A38" w:rsidRPr="004571E5">
        <w:rPr>
          <w:rFonts w:ascii="Times New Roman" w:hAnsi="Times New Roman" w:cs="Times New Roman"/>
          <w:sz w:val="28"/>
          <w:szCs w:val="28"/>
          <w:lang w:val="es-ES"/>
        </w:rPr>
        <w:t>materia y (</w:t>
      </w:r>
      <w:proofErr w:type="spellStart"/>
      <w:r w:rsidR="00677A38" w:rsidRPr="004571E5">
        <w:rPr>
          <w:rFonts w:ascii="Times New Roman" w:hAnsi="Times New Roman" w:cs="Times New Roman"/>
          <w:sz w:val="28"/>
          <w:szCs w:val="28"/>
          <w:lang w:val="es-ES"/>
        </w:rPr>
        <w:t>ii</w:t>
      </w:r>
      <w:proofErr w:type="spellEnd"/>
      <w:r w:rsidR="00677A38" w:rsidRPr="004571E5">
        <w:rPr>
          <w:rFonts w:ascii="Times New Roman" w:hAnsi="Times New Roman" w:cs="Times New Roman"/>
          <w:sz w:val="28"/>
          <w:szCs w:val="28"/>
          <w:lang w:val="es-ES"/>
        </w:rPr>
        <w:t xml:space="preserve">) en consecuencia, incurrir en un defecto fáctico por indebida valoración probatoria. </w:t>
      </w:r>
    </w:p>
    <w:p w14:paraId="0D066D95" w14:textId="77777777" w:rsidR="00677A38" w:rsidRPr="004571E5" w:rsidRDefault="00677A38" w:rsidP="009638CA">
      <w:pPr>
        <w:pStyle w:val="Prrafodelista"/>
        <w:tabs>
          <w:tab w:val="left" w:pos="426"/>
        </w:tabs>
        <w:spacing w:after="0" w:line="240" w:lineRule="auto"/>
        <w:ind w:left="0"/>
        <w:jc w:val="both"/>
        <w:rPr>
          <w:rFonts w:ascii="Times New Roman" w:hAnsi="Times New Roman" w:cs="Times New Roman"/>
          <w:sz w:val="28"/>
          <w:szCs w:val="28"/>
        </w:rPr>
      </w:pPr>
    </w:p>
    <w:p w14:paraId="1F88E609" w14:textId="0E40E250" w:rsidR="00921FB3" w:rsidRPr="004571E5" w:rsidRDefault="00677A38" w:rsidP="00921FB3">
      <w:pPr>
        <w:pStyle w:val="Prrafodelista"/>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lang w:val="es-ES"/>
        </w:rPr>
        <w:t xml:space="preserve">El contraste de dicho problema con los resueltos en las sentencias que han sido invocadas como precedente, evidencian su sustancial equivalencia. </w:t>
      </w:r>
      <w:r w:rsidR="00F57CF8" w:rsidRPr="004571E5">
        <w:rPr>
          <w:rFonts w:ascii="Times New Roman" w:hAnsi="Times New Roman" w:cs="Times New Roman"/>
          <w:sz w:val="28"/>
          <w:szCs w:val="28"/>
        </w:rPr>
        <w:t xml:space="preserve">Ello exige, nuevamente, distinguir entre los problemas jurídicos analizados en las sentencias proferidas por esta Corte y los fijados en las sentencias que constituyen el precedente horizontal. </w:t>
      </w:r>
      <w:r w:rsidRPr="004571E5">
        <w:rPr>
          <w:rFonts w:ascii="Times New Roman" w:hAnsi="Times New Roman" w:cs="Times New Roman"/>
          <w:sz w:val="28"/>
          <w:szCs w:val="28"/>
        </w:rPr>
        <w:t>En los siguientes cuadros se identifica el problema de cada una de las sentencias relevantes:</w:t>
      </w:r>
      <w:r w:rsidR="00F57CF8" w:rsidRPr="004571E5">
        <w:rPr>
          <w:rFonts w:ascii="Times New Roman" w:hAnsi="Times New Roman" w:cs="Times New Roman"/>
          <w:sz w:val="28"/>
          <w:szCs w:val="28"/>
        </w:rPr>
        <w:t xml:space="preserve"> </w:t>
      </w:r>
    </w:p>
    <w:p w14:paraId="4FD9C040" w14:textId="77777777" w:rsidR="00F57CF8" w:rsidRPr="004571E5" w:rsidRDefault="00F57CF8" w:rsidP="00F57CF8">
      <w:pPr>
        <w:pStyle w:val="Prrafodelista"/>
        <w:tabs>
          <w:tab w:val="left" w:pos="426"/>
        </w:tabs>
        <w:spacing w:after="0" w:line="240" w:lineRule="auto"/>
        <w:ind w:left="0"/>
        <w:jc w:val="both"/>
        <w:rPr>
          <w:rFonts w:ascii="Times New Roman" w:hAnsi="Times New Roman" w:cs="Times New Roman"/>
          <w:sz w:val="28"/>
          <w:szCs w:val="28"/>
        </w:rPr>
      </w:pPr>
    </w:p>
    <w:tbl>
      <w:tblPr>
        <w:tblStyle w:val="Tablaconcuadrcula"/>
        <w:tblW w:w="0" w:type="auto"/>
        <w:tblLook w:val="04A0" w:firstRow="1" w:lastRow="0" w:firstColumn="1" w:lastColumn="0" w:noHBand="0" w:noVBand="1"/>
      </w:tblPr>
      <w:tblGrid>
        <w:gridCol w:w="1203"/>
        <w:gridCol w:w="7625"/>
      </w:tblGrid>
      <w:tr w:rsidR="00F57CF8" w:rsidRPr="004571E5" w14:paraId="745EF485" w14:textId="77777777" w:rsidTr="009638CA">
        <w:tc>
          <w:tcPr>
            <w:tcW w:w="1203" w:type="dxa"/>
            <w:shd w:val="clear" w:color="auto" w:fill="A6A6A6" w:themeFill="background1" w:themeFillShade="A6"/>
          </w:tcPr>
          <w:p w14:paraId="15FF5FC6" w14:textId="77777777" w:rsidR="00F57CF8" w:rsidRPr="004571E5" w:rsidRDefault="00F57CF8" w:rsidP="00400146">
            <w:pPr>
              <w:pStyle w:val="Prrafodelista"/>
              <w:tabs>
                <w:tab w:val="left" w:pos="426"/>
              </w:tabs>
              <w:ind w:left="0"/>
              <w:jc w:val="center"/>
              <w:rPr>
                <w:rFonts w:ascii="Times New Roman" w:hAnsi="Times New Roman" w:cs="Times New Roman"/>
                <w:b/>
                <w:bCs/>
                <w:sz w:val="24"/>
                <w:szCs w:val="24"/>
              </w:rPr>
            </w:pPr>
            <w:r w:rsidRPr="004571E5">
              <w:rPr>
                <w:rFonts w:ascii="Times New Roman" w:hAnsi="Times New Roman" w:cs="Times New Roman"/>
                <w:b/>
                <w:bCs/>
                <w:sz w:val="24"/>
                <w:szCs w:val="24"/>
              </w:rPr>
              <w:t>Sentencia</w:t>
            </w:r>
          </w:p>
        </w:tc>
        <w:tc>
          <w:tcPr>
            <w:tcW w:w="7625" w:type="dxa"/>
            <w:shd w:val="clear" w:color="auto" w:fill="A6A6A6" w:themeFill="background1" w:themeFillShade="A6"/>
          </w:tcPr>
          <w:p w14:paraId="0109E9E7" w14:textId="1099B3C6" w:rsidR="00F57CF8" w:rsidRPr="004571E5" w:rsidRDefault="00F57CF8" w:rsidP="00400146">
            <w:pPr>
              <w:pStyle w:val="Prrafodelista"/>
              <w:tabs>
                <w:tab w:val="left" w:pos="426"/>
              </w:tabs>
              <w:ind w:left="0"/>
              <w:jc w:val="center"/>
              <w:rPr>
                <w:rFonts w:ascii="Times New Roman" w:hAnsi="Times New Roman" w:cs="Times New Roman"/>
                <w:b/>
                <w:bCs/>
                <w:sz w:val="24"/>
                <w:szCs w:val="24"/>
              </w:rPr>
            </w:pPr>
            <w:r w:rsidRPr="004571E5">
              <w:rPr>
                <w:rFonts w:ascii="Times New Roman" w:hAnsi="Times New Roman" w:cs="Times New Roman"/>
                <w:b/>
                <w:bCs/>
                <w:sz w:val="24"/>
                <w:szCs w:val="24"/>
              </w:rPr>
              <w:t>Problema jurídico fijado en la</w:t>
            </w:r>
            <w:r w:rsidR="00677A38" w:rsidRPr="004571E5">
              <w:rPr>
                <w:rFonts w:ascii="Times New Roman" w:hAnsi="Times New Roman" w:cs="Times New Roman"/>
                <w:b/>
                <w:bCs/>
                <w:sz w:val="24"/>
                <w:szCs w:val="24"/>
              </w:rPr>
              <w:t>s</w:t>
            </w:r>
            <w:r w:rsidRPr="004571E5">
              <w:rPr>
                <w:rFonts w:ascii="Times New Roman" w:hAnsi="Times New Roman" w:cs="Times New Roman"/>
                <w:b/>
                <w:bCs/>
                <w:sz w:val="24"/>
                <w:szCs w:val="24"/>
              </w:rPr>
              <w:t xml:space="preserve"> sentencia</w:t>
            </w:r>
            <w:r w:rsidR="00677A38" w:rsidRPr="004571E5">
              <w:rPr>
                <w:rFonts w:ascii="Times New Roman" w:hAnsi="Times New Roman" w:cs="Times New Roman"/>
                <w:b/>
                <w:bCs/>
                <w:sz w:val="24"/>
                <w:szCs w:val="24"/>
              </w:rPr>
              <w:t>s de la Corte Constitucional</w:t>
            </w:r>
          </w:p>
        </w:tc>
      </w:tr>
      <w:tr w:rsidR="00F57CF8" w:rsidRPr="004571E5" w14:paraId="4F5CAD2B" w14:textId="77777777" w:rsidTr="009638CA">
        <w:tc>
          <w:tcPr>
            <w:tcW w:w="1203" w:type="dxa"/>
            <w:shd w:val="clear" w:color="auto" w:fill="BFBFBF" w:themeFill="background1" w:themeFillShade="BF"/>
            <w:vAlign w:val="center"/>
          </w:tcPr>
          <w:p w14:paraId="79D77598" w14:textId="77777777" w:rsidR="00F57CF8" w:rsidRPr="004571E5" w:rsidRDefault="00F57CF8" w:rsidP="00400146">
            <w:pPr>
              <w:pStyle w:val="Prrafodelista"/>
              <w:tabs>
                <w:tab w:val="left" w:pos="426"/>
              </w:tabs>
              <w:ind w:left="0"/>
              <w:jc w:val="center"/>
              <w:rPr>
                <w:rFonts w:ascii="Times New Roman" w:hAnsi="Times New Roman" w:cs="Times New Roman"/>
                <w:sz w:val="24"/>
                <w:szCs w:val="24"/>
              </w:rPr>
            </w:pPr>
            <w:r w:rsidRPr="004571E5">
              <w:rPr>
                <w:rFonts w:ascii="Times New Roman" w:hAnsi="Times New Roman" w:cs="Times New Roman"/>
                <w:sz w:val="24"/>
                <w:szCs w:val="24"/>
              </w:rPr>
              <w:t>SU-060 de 2021</w:t>
            </w:r>
          </w:p>
        </w:tc>
        <w:tc>
          <w:tcPr>
            <w:tcW w:w="7625" w:type="dxa"/>
            <w:vAlign w:val="center"/>
          </w:tcPr>
          <w:p w14:paraId="06870E1F" w14:textId="77777777" w:rsidR="00F57CF8" w:rsidRPr="004571E5" w:rsidRDefault="00DE4ABF" w:rsidP="00400146">
            <w:pPr>
              <w:pStyle w:val="Prrafodelista"/>
              <w:tabs>
                <w:tab w:val="left" w:pos="426"/>
              </w:tabs>
              <w:ind w:left="0"/>
              <w:jc w:val="both"/>
              <w:rPr>
                <w:rFonts w:ascii="Times New Roman" w:hAnsi="Times New Roman" w:cs="Times New Roman"/>
                <w:sz w:val="24"/>
                <w:szCs w:val="24"/>
                <w:lang w:val="es-ES"/>
              </w:rPr>
            </w:pPr>
            <w:r w:rsidRPr="004571E5">
              <w:rPr>
                <w:rFonts w:ascii="Times New Roman" w:hAnsi="Times New Roman" w:cs="Times New Roman"/>
                <w:sz w:val="24"/>
                <w:szCs w:val="24"/>
              </w:rPr>
              <w:t>“</w:t>
            </w:r>
            <w:r w:rsidRPr="004571E5">
              <w:rPr>
                <w:rFonts w:ascii="Times New Roman" w:hAnsi="Times New Roman" w:cs="Times New Roman"/>
                <w:sz w:val="24"/>
                <w:szCs w:val="24"/>
                <w:lang w:val="es-ES"/>
              </w:rPr>
              <w:t>De acuerdo con los hechos relacionados, le corresponde a la Sala Plena, (</w:t>
            </w:r>
            <w:r w:rsidRPr="004571E5">
              <w:rPr>
                <w:rFonts w:ascii="Times New Roman" w:hAnsi="Times New Roman" w:cs="Times New Roman"/>
                <w:i/>
                <w:iCs/>
                <w:sz w:val="24"/>
                <w:szCs w:val="24"/>
                <w:lang w:val="es-ES"/>
              </w:rPr>
              <w:t>i</w:t>
            </w:r>
            <w:r w:rsidRPr="004571E5">
              <w:rPr>
                <w:rFonts w:ascii="Times New Roman" w:hAnsi="Times New Roman" w:cs="Times New Roman"/>
                <w:sz w:val="24"/>
                <w:szCs w:val="24"/>
                <w:lang w:val="es-ES"/>
              </w:rPr>
              <w:t>) </w:t>
            </w:r>
            <w:r w:rsidRPr="004571E5">
              <w:rPr>
                <w:rFonts w:ascii="Times New Roman" w:hAnsi="Times New Roman" w:cs="Times New Roman"/>
                <w:sz w:val="24"/>
                <w:szCs w:val="24"/>
                <w:lang w:val="es-ES_tradnl"/>
              </w:rPr>
              <w:t>establecer si es </w:t>
            </w:r>
            <w:r w:rsidRPr="004571E5">
              <w:rPr>
                <w:rFonts w:ascii="Times New Roman" w:hAnsi="Times New Roman" w:cs="Times New Roman"/>
                <w:sz w:val="24"/>
                <w:szCs w:val="24"/>
                <w:lang w:val="es-ES"/>
              </w:rPr>
              <w:t>procedente</w:t>
            </w:r>
            <w:r w:rsidRPr="004571E5">
              <w:rPr>
                <w:rFonts w:ascii="Times New Roman" w:hAnsi="Times New Roman" w:cs="Times New Roman"/>
                <w:sz w:val="24"/>
                <w:szCs w:val="24"/>
                <w:lang w:val="es-ES_tradnl"/>
              </w:rPr>
              <w:t> la acción de tutela contra la providencia de </w:t>
            </w:r>
            <w:r w:rsidRPr="004571E5">
              <w:rPr>
                <w:rFonts w:ascii="Times New Roman" w:hAnsi="Times New Roman" w:cs="Times New Roman"/>
                <w:sz w:val="24"/>
                <w:szCs w:val="24"/>
                <w:lang w:val="es-ES"/>
              </w:rPr>
              <w:t>19 de julio de 2018 proferida por la Subsección A de la Sección Tercera del Consejo de Estado</w:t>
            </w:r>
            <w:r w:rsidRPr="004571E5">
              <w:rPr>
                <w:rFonts w:ascii="Times New Roman" w:hAnsi="Times New Roman" w:cs="Times New Roman"/>
                <w:sz w:val="24"/>
                <w:szCs w:val="24"/>
                <w:lang w:val="es-ES_tradnl"/>
              </w:rPr>
              <w:t>; y (</w:t>
            </w:r>
            <w:proofErr w:type="spellStart"/>
            <w:r w:rsidRPr="004571E5">
              <w:rPr>
                <w:rFonts w:ascii="Times New Roman" w:hAnsi="Times New Roman" w:cs="Times New Roman"/>
                <w:i/>
                <w:iCs/>
                <w:sz w:val="24"/>
                <w:szCs w:val="24"/>
                <w:lang w:val="es-ES_tradnl"/>
              </w:rPr>
              <w:t>ii</w:t>
            </w:r>
            <w:proofErr w:type="spellEnd"/>
            <w:r w:rsidRPr="004571E5">
              <w:rPr>
                <w:rFonts w:ascii="Times New Roman" w:hAnsi="Times New Roman" w:cs="Times New Roman"/>
                <w:sz w:val="24"/>
                <w:szCs w:val="24"/>
                <w:lang w:val="es-ES_tradnl"/>
              </w:rPr>
              <w:t>) determinar si </w:t>
            </w:r>
            <w:r w:rsidRPr="004571E5">
              <w:rPr>
                <w:rFonts w:ascii="Times New Roman" w:hAnsi="Times New Roman" w:cs="Times New Roman"/>
                <w:sz w:val="24"/>
                <w:szCs w:val="24"/>
                <w:lang w:val="es-ES"/>
              </w:rPr>
              <w:t>dicha autoridad judicial al emitir la decisión censurada incurrió en los defectos fáctico, sustantivo y por desconocimiento del precedente constitucional, vulnerando los derechos fundamentales al debido proceso, de acceso a la administración de justicia e igualdad de las accionantes”.</w:t>
            </w:r>
          </w:p>
          <w:p w14:paraId="486DB6C9" w14:textId="77777777" w:rsidR="004F2BAB" w:rsidRPr="004571E5" w:rsidRDefault="004F2BAB" w:rsidP="00400146">
            <w:pPr>
              <w:pStyle w:val="Prrafodelista"/>
              <w:tabs>
                <w:tab w:val="left" w:pos="426"/>
              </w:tabs>
              <w:ind w:left="0"/>
              <w:jc w:val="both"/>
              <w:rPr>
                <w:rFonts w:ascii="Times New Roman" w:hAnsi="Times New Roman" w:cs="Times New Roman"/>
                <w:sz w:val="24"/>
                <w:szCs w:val="24"/>
                <w:lang w:val="es-ES"/>
              </w:rPr>
            </w:pPr>
          </w:p>
          <w:p w14:paraId="6D0E0EDA" w14:textId="08710422" w:rsidR="004F2BAB" w:rsidRPr="004571E5" w:rsidRDefault="004F2BAB" w:rsidP="00400146">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lang w:val="es-ES"/>
              </w:rPr>
              <w:t>Al resolver el caso concreto, la Sala Plena encontró que el Consejo de Estado debió valorar de manera diferente algunos elementos probatorios obrantes en el expediente. Específicamente afirmó</w:t>
            </w:r>
            <w:r w:rsidR="00EB3085" w:rsidRPr="004571E5">
              <w:rPr>
                <w:rFonts w:ascii="Times New Roman" w:hAnsi="Times New Roman" w:cs="Times New Roman"/>
                <w:sz w:val="24"/>
                <w:szCs w:val="24"/>
                <w:lang w:val="es-ES"/>
              </w:rPr>
              <w:t>:</w:t>
            </w:r>
            <w:r w:rsidRPr="004571E5">
              <w:rPr>
                <w:rFonts w:ascii="Times New Roman" w:hAnsi="Times New Roman" w:cs="Times New Roman"/>
                <w:sz w:val="24"/>
                <w:szCs w:val="24"/>
                <w:lang w:val="es-ES"/>
              </w:rPr>
              <w:t xml:space="preserve"> “</w:t>
            </w:r>
            <w:r w:rsidR="00EB3085" w:rsidRPr="004571E5">
              <w:rPr>
                <w:rFonts w:ascii="Times New Roman" w:hAnsi="Times New Roman" w:cs="Times New Roman"/>
                <w:sz w:val="24"/>
                <w:szCs w:val="24"/>
                <w:lang w:val="es-ES"/>
              </w:rPr>
              <w:t xml:space="preserve">(…) </w:t>
            </w:r>
            <w:r w:rsidR="0046654F" w:rsidRPr="004571E5">
              <w:rPr>
                <w:rFonts w:ascii="Times New Roman" w:hAnsi="Times New Roman" w:cs="Times New Roman"/>
                <w:sz w:val="24"/>
                <w:szCs w:val="24"/>
                <w:lang w:val="es-ES"/>
              </w:rPr>
              <w:t xml:space="preserve">se evidencia que los argumentos de la sentencia expedida el 19 de julio de 2018 se apoyan en la lectura aislada de algunos medios probatorios, que por sí solos no tienen la entidad suficiente para demostrar la existencia de una legítima defensa y la causal eximente de responsabilidad “hecho exclusivo de la víctima”. De hecho, el fallador da especial connotación a que el Juez 56 de Instrucción Penal Militar no haya impuesto medida de aseguramiento a los militares involucrados en la operación, lo cual pierde valor al considerar que en la actualidad la investigación de los hechos se adelanta ante la jurisdicción ordinaria por la </w:t>
            </w:r>
            <w:proofErr w:type="gramStart"/>
            <w:r w:rsidR="0046654F" w:rsidRPr="004571E5">
              <w:rPr>
                <w:rFonts w:ascii="Times New Roman" w:hAnsi="Times New Roman" w:cs="Times New Roman"/>
                <w:sz w:val="24"/>
                <w:szCs w:val="24"/>
                <w:lang w:val="es-ES"/>
              </w:rPr>
              <w:t>Fiscalía General</w:t>
            </w:r>
            <w:proofErr w:type="gramEnd"/>
            <w:r w:rsidR="0046654F" w:rsidRPr="004571E5">
              <w:rPr>
                <w:rFonts w:ascii="Times New Roman" w:hAnsi="Times New Roman" w:cs="Times New Roman"/>
                <w:sz w:val="24"/>
                <w:szCs w:val="24"/>
                <w:lang w:val="es-ES"/>
              </w:rPr>
              <w:t xml:space="preserve"> de la Nación”.</w:t>
            </w:r>
          </w:p>
        </w:tc>
      </w:tr>
      <w:tr w:rsidR="00F57CF8" w:rsidRPr="004571E5" w14:paraId="785C2F36" w14:textId="77777777" w:rsidTr="009638CA">
        <w:tc>
          <w:tcPr>
            <w:tcW w:w="1203" w:type="dxa"/>
            <w:shd w:val="clear" w:color="auto" w:fill="BFBFBF" w:themeFill="background1" w:themeFillShade="BF"/>
            <w:vAlign w:val="center"/>
          </w:tcPr>
          <w:p w14:paraId="316C1AB8" w14:textId="77777777" w:rsidR="00F57CF8" w:rsidRPr="004571E5" w:rsidRDefault="00F57CF8" w:rsidP="00400146">
            <w:pPr>
              <w:pStyle w:val="Prrafodelista"/>
              <w:tabs>
                <w:tab w:val="left" w:pos="426"/>
              </w:tabs>
              <w:ind w:left="0"/>
              <w:jc w:val="center"/>
              <w:rPr>
                <w:rFonts w:ascii="Times New Roman" w:hAnsi="Times New Roman" w:cs="Times New Roman"/>
                <w:sz w:val="24"/>
                <w:szCs w:val="24"/>
              </w:rPr>
            </w:pPr>
            <w:r w:rsidRPr="004571E5">
              <w:rPr>
                <w:rFonts w:ascii="Times New Roman" w:hAnsi="Times New Roman" w:cs="Times New Roman"/>
                <w:sz w:val="24"/>
                <w:szCs w:val="24"/>
              </w:rPr>
              <w:t>SU-035 de 2018</w:t>
            </w:r>
          </w:p>
        </w:tc>
        <w:tc>
          <w:tcPr>
            <w:tcW w:w="7625" w:type="dxa"/>
            <w:vAlign w:val="center"/>
          </w:tcPr>
          <w:p w14:paraId="19252111" w14:textId="77777777" w:rsidR="00F57CF8" w:rsidRPr="004571E5" w:rsidRDefault="00DE4ABF" w:rsidP="00400146">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rPr>
              <w:t>“De acuerdo con los hechos relacionados y las aclaraciones previas efectuadas, le corresponde a la Sala Plena, (</w:t>
            </w:r>
            <w:r w:rsidRPr="004571E5">
              <w:rPr>
                <w:rFonts w:ascii="Times New Roman" w:hAnsi="Times New Roman" w:cs="Times New Roman"/>
                <w:i/>
                <w:iCs/>
                <w:sz w:val="24"/>
                <w:szCs w:val="24"/>
              </w:rPr>
              <w:t>i</w:t>
            </w:r>
            <w:r w:rsidRPr="004571E5">
              <w:rPr>
                <w:rFonts w:ascii="Times New Roman" w:hAnsi="Times New Roman" w:cs="Times New Roman"/>
                <w:sz w:val="24"/>
                <w:szCs w:val="24"/>
              </w:rPr>
              <w:t>) </w:t>
            </w:r>
            <w:r w:rsidRPr="004571E5">
              <w:rPr>
                <w:rFonts w:ascii="Times New Roman" w:hAnsi="Times New Roman" w:cs="Times New Roman"/>
                <w:sz w:val="24"/>
                <w:szCs w:val="24"/>
                <w:lang w:val="es-ES_tradnl"/>
              </w:rPr>
              <w:t>establecer si es procedente la acción de tutela contra la providencia de 1.º de febrero de 2016 proferida por la Subsección C de la Sección Tercera del Consejo de Estado; y (</w:t>
            </w:r>
            <w:proofErr w:type="spellStart"/>
            <w:r w:rsidRPr="004571E5">
              <w:rPr>
                <w:rFonts w:ascii="Times New Roman" w:hAnsi="Times New Roman" w:cs="Times New Roman"/>
                <w:i/>
                <w:iCs/>
                <w:sz w:val="24"/>
                <w:szCs w:val="24"/>
                <w:lang w:val="es-ES_tradnl"/>
              </w:rPr>
              <w:t>ii</w:t>
            </w:r>
            <w:proofErr w:type="spellEnd"/>
            <w:r w:rsidRPr="004571E5">
              <w:rPr>
                <w:rFonts w:ascii="Times New Roman" w:hAnsi="Times New Roman" w:cs="Times New Roman"/>
                <w:sz w:val="24"/>
                <w:szCs w:val="24"/>
                <w:lang w:val="es-ES_tradnl"/>
              </w:rPr>
              <w:t>) determinar si </w:t>
            </w:r>
            <w:r w:rsidRPr="004571E5">
              <w:rPr>
                <w:rFonts w:ascii="Times New Roman" w:hAnsi="Times New Roman" w:cs="Times New Roman"/>
                <w:sz w:val="24"/>
                <w:szCs w:val="24"/>
              </w:rPr>
              <w:t xml:space="preserve">dicha autoridad judicial al emitir la decisión censurada incurrió en los defectos sustantivo y por desconocimiento del precedente, vulnerando los </w:t>
            </w:r>
            <w:r w:rsidRPr="004571E5">
              <w:rPr>
                <w:rFonts w:ascii="Times New Roman" w:hAnsi="Times New Roman" w:cs="Times New Roman"/>
                <w:sz w:val="24"/>
                <w:szCs w:val="24"/>
              </w:rPr>
              <w:lastRenderedPageBreak/>
              <w:t xml:space="preserve">derechos fundamentales al debido proceso, de acceso a la administración de justicia e igualdad de la señora </w:t>
            </w:r>
            <w:proofErr w:type="spellStart"/>
            <w:r w:rsidRPr="004571E5">
              <w:rPr>
                <w:rFonts w:ascii="Times New Roman" w:hAnsi="Times New Roman" w:cs="Times New Roman"/>
                <w:sz w:val="24"/>
                <w:szCs w:val="24"/>
              </w:rPr>
              <w:t>Amélida</w:t>
            </w:r>
            <w:proofErr w:type="spellEnd"/>
            <w:r w:rsidRPr="004571E5">
              <w:rPr>
                <w:rFonts w:ascii="Times New Roman" w:hAnsi="Times New Roman" w:cs="Times New Roman"/>
                <w:sz w:val="24"/>
                <w:szCs w:val="24"/>
              </w:rPr>
              <w:t xml:space="preserve"> Peña Rangel”.</w:t>
            </w:r>
          </w:p>
          <w:p w14:paraId="7ADB1556" w14:textId="77777777" w:rsidR="004F2BAB" w:rsidRPr="004571E5" w:rsidRDefault="004F2BAB" w:rsidP="00400146">
            <w:pPr>
              <w:pStyle w:val="Prrafodelista"/>
              <w:tabs>
                <w:tab w:val="left" w:pos="426"/>
              </w:tabs>
              <w:ind w:left="0"/>
              <w:jc w:val="both"/>
              <w:rPr>
                <w:rFonts w:ascii="Times New Roman" w:hAnsi="Times New Roman" w:cs="Times New Roman"/>
                <w:sz w:val="24"/>
                <w:szCs w:val="24"/>
              </w:rPr>
            </w:pPr>
          </w:p>
          <w:p w14:paraId="3247678C" w14:textId="3EA53C8B" w:rsidR="004F2BAB" w:rsidRPr="004571E5" w:rsidRDefault="004F2BAB" w:rsidP="00400146">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rPr>
              <w:t>La Corte constató una posible incongruencia entre las pruebas obrantes en el proceso y lo considerado por el juez de lo contencioso administrativo. En particular, sostuvo</w:t>
            </w:r>
            <w:r w:rsidR="00EB3085" w:rsidRPr="004571E5">
              <w:rPr>
                <w:rFonts w:ascii="Times New Roman" w:hAnsi="Times New Roman" w:cs="Times New Roman"/>
                <w:sz w:val="24"/>
                <w:szCs w:val="24"/>
              </w:rPr>
              <w:t>:</w:t>
            </w:r>
            <w:r w:rsidRPr="004571E5">
              <w:rPr>
                <w:rFonts w:ascii="Times New Roman" w:hAnsi="Times New Roman" w:cs="Times New Roman"/>
                <w:sz w:val="24"/>
                <w:szCs w:val="24"/>
              </w:rPr>
              <w:t xml:space="preserve"> “los hechos indicadores reseñados en los literales desde la a) a la i) no constituyen prueba directa del presunto falso positivo. Sin embargo, no puede perderse de vista que la jurisprudencia admite las pruebas indirectas como válidas, entre ellas los indicios. Correspondiéndole al juez, a partir de hechos conocidos, realizar una inferencia lógica, para determinar la existencia de un supuesto fáctico”.</w:t>
            </w:r>
          </w:p>
        </w:tc>
      </w:tr>
      <w:tr w:rsidR="00F57CF8" w:rsidRPr="004571E5" w14:paraId="16EB82B6" w14:textId="77777777" w:rsidTr="009638CA">
        <w:tc>
          <w:tcPr>
            <w:tcW w:w="1203" w:type="dxa"/>
            <w:shd w:val="clear" w:color="auto" w:fill="BFBFBF" w:themeFill="background1" w:themeFillShade="BF"/>
            <w:vAlign w:val="center"/>
          </w:tcPr>
          <w:p w14:paraId="038C2428" w14:textId="77777777" w:rsidR="00F57CF8" w:rsidRPr="004571E5" w:rsidRDefault="00F57CF8" w:rsidP="00400146">
            <w:pPr>
              <w:pStyle w:val="Prrafodelista"/>
              <w:tabs>
                <w:tab w:val="left" w:pos="426"/>
              </w:tabs>
              <w:ind w:left="0"/>
              <w:jc w:val="center"/>
              <w:rPr>
                <w:rFonts w:ascii="Times New Roman" w:hAnsi="Times New Roman" w:cs="Times New Roman"/>
                <w:sz w:val="24"/>
                <w:szCs w:val="24"/>
              </w:rPr>
            </w:pPr>
            <w:r w:rsidRPr="004571E5">
              <w:rPr>
                <w:rFonts w:ascii="Times New Roman" w:hAnsi="Times New Roman" w:cs="Times New Roman"/>
                <w:sz w:val="24"/>
                <w:szCs w:val="24"/>
              </w:rPr>
              <w:lastRenderedPageBreak/>
              <w:t>T-237 de 2017</w:t>
            </w:r>
          </w:p>
        </w:tc>
        <w:tc>
          <w:tcPr>
            <w:tcW w:w="7625" w:type="dxa"/>
            <w:vAlign w:val="center"/>
          </w:tcPr>
          <w:p w14:paraId="24ED1B81" w14:textId="77777777" w:rsidR="00F57CF8" w:rsidRPr="004571E5" w:rsidRDefault="00DE4ABF" w:rsidP="00400146">
            <w:pPr>
              <w:pStyle w:val="Prrafodelista"/>
              <w:tabs>
                <w:tab w:val="left" w:pos="426"/>
              </w:tabs>
              <w:ind w:left="0"/>
              <w:jc w:val="both"/>
              <w:rPr>
                <w:rFonts w:ascii="Times New Roman" w:hAnsi="Times New Roman" w:cs="Times New Roman"/>
                <w:sz w:val="24"/>
                <w:szCs w:val="24"/>
                <w:lang w:val="es-ES"/>
              </w:rPr>
            </w:pPr>
            <w:r w:rsidRPr="004571E5">
              <w:rPr>
                <w:rFonts w:ascii="Times New Roman" w:hAnsi="Times New Roman" w:cs="Times New Roman"/>
                <w:sz w:val="24"/>
                <w:szCs w:val="24"/>
              </w:rPr>
              <w:t>“De acuerdo con los hechos relacionados corresponde a la Sala de Revisión,</w:t>
            </w:r>
            <w:r w:rsidRPr="004571E5">
              <w:rPr>
                <w:rFonts w:ascii="Times New Roman" w:hAnsi="Times New Roman" w:cs="Times New Roman"/>
                <w:sz w:val="24"/>
                <w:szCs w:val="24"/>
                <w:lang w:val="es-ES_tradnl"/>
              </w:rPr>
              <w:t> determinar si </w:t>
            </w:r>
            <w:r w:rsidRPr="004571E5">
              <w:rPr>
                <w:rFonts w:ascii="Times New Roman" w:hAnsi="Times New Roman" w:cs="Times New Roman"/>
                <w:sz w:val="24"/>
                <w:szCs w:val="24"/>
              </w:rPr>
              <w:t>en el</w:t>
            </w:r>
            <w:r w:rsidRPr="004571E5">
              <w:rPr>
                <w:rFonts w:ascii="Times New Roman" w:hAnsi="Times New Roman" w:cs="Times New Roman"/>
                <w:sz w:val="24"/>
                <w:szCs w:val="24"/>
                <w:lang w:val="es-ES_tradnl"/>
              </w:rPr>
              <w:t> proceso de reparación directa que culminó en segunda instancia en </w:t>
            </w:r>
            <w:r w:rsidRPr="004571E5">
              <w:rPr>
                <w:rFonts w:ascii="Times New Roman" w:hAnsi="Times New Roman" w:cs="Times New Roman"/>
                <w:sz w:val="24"/>
                <w:szCs w:val="24"/>
                <w:lang w:val="es-MX"/>
              </w:rPr>
              <w:t>el Tribunal Administrativo Itinerante con sede en Bogotá, mediante el cual se negaron las pretensiones de la demanda, </w:t>
            </w:r>
            <w:r w:rsidRPr="004571E5">
              <w:rPr>
                <w:rFonts w:ascii="Times New Roman" w:hAnsi="Times New Roman" w:cs="Times New Roman"/>
                <w:sz w:val="24"/>
                <w:szCs w:val="24"/>
                <w:lang w:val="es-ES"/>
              </w:rPr>
              <w:t>incurrió en: </w:t>
            </w:r>
            <w:r w:rsidRPr="004571E5">
              <w:rPr>
                <w:rFonts w:ascii="Times New Roman" w:hAnsi="Times New Roman" w:cs="Times New Roman"/>
                <w:i/>
                <w:iCs/>
                <w:sz w:val="24"/>
                <w:szCs w:val="24"/>
                <w:lang w:val="es-ES"/>
              </w:rPr>
              <w:t>(i)</w:t>
            </w:r>
            <w:r w:rsidRPr="004571E5">
              <w:rPr>
                <w:rFonts w:ascii="Times New Roman" w:hAnsi="Times New Roman" w:cs="Times New Roman"/>
                <w:sz w:val="24"/>
                <w:szCs w:val="24"/>
                <w:lang w:val="es-ES"/>
              </w:rPr>
              <w:t> un</w:t>
            </w:r>
            <w:r w:rsidRPr="004571E5">
              <w:rPr>
                <w:rFonts w:ascii="Times New Roman" w:hAnsi="Times New Roman" w:cs="Times New Roman"/>
                <w:i/>
                <w:iCs/>
                <w:sz w:val="24"/>
                <w:szCs w:val="24"/>
                <w:lang w:val="es-ES"/>
              </w:rPr>
              <w:t> </w:t>
            </w:r>
            <w:r w:rsidRPr="004571E5">
              <w:rPr>
                <w:rFonts w:ascii="Times New Roman" w:hAnsi="Times New Roman" w:cs="Times New Roman"/>
                <w:sz w:val="24"/>
                <w:szCs w:val="24"/>
              </w:rPr>
              <w:t>defecto fáctico tanto en su dimensión positiva como negativa ello al no valorarse adecuadamente las pruebas obrantes en el expediente</w:t>
            </w:r>
            <w:r w:rsidRPr="004571E5">
              <w:rPr>
                <w:rFonts w:ascii="Times New Roman" w:hAnsi="Times New Roman" w:cs="Times New Roman"/>
                <w:sz w:val="24"/>
                <w:szCs w:val="24"/>
                <w:vertAlign w:val="superscript"/>
              </w:rPr>
              <w:t> </w:t>
            </w:r>
            <w:r w:rsidRPr="004571E5">
              <w:rPr>
                <w:rFonts w:ascii="Times New Roman" w:hAnsi="Times New Roman" w:cs="Times New Roman"/>
                <w:sz w:val="24"/>
                <w:szCs w:val="24"/>
              </w:rPr>
              <w:t>y al abstenerse de decretar las necesarias para llegar a la resolución del litigio planteado; </w:t>
            </w:r>
            <w:r w:rsidRPr="004571E5">
              <w:rPr>
                <w:rFonts w:ascii="Times New Roman" w:hAnsi="Times New Roman" w:cs="Times New Roman"/>
                <w:i/>
                <w:iCs/>
                <w:sz w:val="24"/>
                <w:szCs w:val="24"/>
              </w:rPr>
              <w:t>(</w:t>
            </w:r>
            <w:proofErr w:type="spellStart"/>
            <w:r w:rsidRPr="004571E5">
              <w:rPr>
                <w:rFonts w:ascii="Times New Roman" w:hAnsi="Times New Roman" w:cs="Times New Roman"/>
                <w:i/>
                <w:iCs/>
                <w:sz w:val="24"/>
                <w:szCs w:val="24"/>
              </w:rPr>
              <w:t>ii</w:t>
            </w:r>
            <w:proofErr w:type="spellEnd"/>
            <w:r w:rsidRPr="004571E5">
              <w:rPr>
                <w:rFonts w:ascii="Times New Roman" w:hAnsi="Times New Roman" w:cs="Times New Roman"/>
                <w:i/>
                <w:iCs/>
                <w:sz w:val="24"/>
                <w:szCs w:val="24"/>
              </w:rPr>
              <w:t>)</w:t>
            </w:r>
            <w:r w:rsidRPr="004571E5">
              <w:rPr>
                <w:rFonts w:ascii="Times New Roman" w:hAnsi="Times New Roman" w:cs="Times New Roman"/>
                <w:sz w:val="24"/>
                <w:szCs w:val="24"/>
              </w:rPr>
              <w:t> </w:t>
            </w:r>
            <w:r w:rsidRPr="004571E5">
              <w:rPr>
                <w:rFonts w:ascii="Times New Roman" w:hAnsi="Times New Roman" w:cs="Times New Roman"/>
                <w:sz w:val="24"/>
                <w:szCs w:val="24"/>
                <w:lang w:val="es-ES"/>
              </w:rPr>
              <w:t>ausencia de motivación al momento de demostrar la inexistencia del daño antijurídico, así como en </w:t>
            </w:r>
            <w:r w:rsidRPr="004571E5">
              <w:rPr>
                <w:rFonts w:ascii="Times New Roman" w:hAnsi="Times New Roman" w:cs="Times New Roman"/>
                <w:i/>
                <w:iCs/>
                <w:sz w:val="24"/>
                <w:szCs w:val="24"/>
                <w:lang w:val="es-ES"/>
              </w:rPr>
              <w:t>(</w:t>
            </w:r>
            <w:proofErr w:type="spellStart"/>
            <w:r w:rsidRPr="004571E5">
              <w:rPr>
                <w:rFonts w:ascii="Times New Roman" w:hAnsi="Times New Roman" w:cs="Times New Roman"/>
                <w:i/>
                <w:iCs/>
                <w:sz w:val="24"/>
                <w:szCs w:val="24"/>
                <w:lang w:val="es-ES"/>
              </w:rPr>
              <w:t>iii</w:t>
            </w:r>
            <w:proofErr w:type="spellEnd"/>
            <w:r w:rsidRPr="004571E5">
              <w:rPr>
                <w:rFonts w:ascii="Times New Roman" w:hAnsi="Times New Roman" w:cs="Times New Roman"/>
                <w:i/>
                <w:iCs/>
                <w:sz w:val="24"/>
                <w:szCs w:val="24"/>
                <w:lang w:val="es-ES"/>
              </w:rPr>
              <w:t>)</w:t>
            </w:r>
            <w:r w:rsidRPr="004571E5">
              <w:rPr>
                <w:rFonts w:ascii="Times New Roman" w:hAnsi="Times New Roman" w:cs="Times New Roman"/>
                <w:sz w:val="24"/>
                <w:szCs w:val="24"/>
                <w:lang w:val="es-ES"/>
              </w:rPr>
              <w:t> un </w:t>
            </w:r>
            <w:r w:rsidRPr="004571E5">
              <w:rPr>
                <w:rFonts w:ascii="Times New Roman" w:hAnsi="Times New Roman" w:cs="Times New Roman"/>
                <w:sz w:val="24"/>
                <w:szCs w:val="24"/>
              </w:rPr>
              <w:t>defecto procedimental por exceso ritual manifiesto al desconocer la realidad procesal demostrada en el proceso penal adelantado como consecuencia de la muerte del señor </w:t>
            </w:r>
            <w:r w:rsidRPr="004571E5">
              <w:rPr>
                <w:rFonts w:ascii="Times New Roman" w:hAnsi="Times New Roman" w:cs="Times New Roman"/>
                <w:sz w:val="24"/>
                <w:szCs w:val="24"/>
                <w:lang w:val="es-ES"/>
              </w:rPr>
              <w:t>Fabio Medina Guerra”.</w:t>
            </w:r>
          </w:p>
          <w:p w14:paraId="6C304AD1" w14:textId="77777777" w:rsidR="00FB697E" w:rsidRPr="004571E5" w:rsidRDefault="00FB697E" w:rsidP="00FB697E">
            <w:pPr>
              <w:pStyle w:val="Prrafodelista"/>
              <w:tabs>
                <w:tab w:val="left" w:pos="426"/>
              </w:tabs>
              <w:ind w:left="0"/>
              <w:jc w:val="both"/>
              <w:rPr>
                <w:rFonts w:ascii="Times New Roman" w:hAnsi="Times New Roman" w:cs="Times New Roman"/>
                <w:sz w:val="24"/>
                <w:szCs w:val="24"/>
                <w:lang w:val="es-ES"/>
              </w:rPr>
            </w:pPr>
          </w:p>
          <w:p w14:paraId="43791370" w14:textId="3F7D58E3" w:rsidR="00FB697E" w:rsidRPr="004571E5" w:rsidRDefault="00EB3085" w:rsidP="00FB697E">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lang w:val="es-ES"/>
              </w:rPr>
              <w:t>L</w:t>
            </w:r>
            <w:r w:rsidR="00FB697E" w:rsidRPr="004571E5">
              <w:rPr>
                <w:rFonts w:ascii="Times New Roman" w:hAnsi="Times New Roman" w:cs="Times New Roman"/>
                <w:sz w:val="24"/>
                <w:szCs w:val="24"/>
                <w:lang w:val="es-ES"/>
              </w:rPr>
              <w:t xml:space="preserve">a discusión versaba sobre la omisión en la valoración probatoria de elementos que podían dar cuenta de la ejecución. En concreto, la Corte encontró que la autoridad judicial omitió valorar </w:t>
            </w:r>
            <w:r w:rsidRPr="004571E5">
              <w:rPr>
                <w:rFonts w:ascii="Times New Roman" w:hAnsi="Times New Roman" w:cs="Times New Roman"/>
                <w:sz w:val="24"/>
                <w:szCs w:val="24"/>
                <w:lang w:val="es-ES"/>
              </w:rPr>
              <w:t xml:space="preserve">varios </w:t>
            </w:r>
            <w:r w:rsidR="00FB697E" w:rsidRPr="004571E5">
              <w:rPr>
                <w:rFonts w:ascii="Times New Roman" w:hAnsi="Times New Roman" w:cs="Times New Roman"/>
                <w:sz w:val="24"/>
                <w:szCs w:val="24"/>
                <w:lang w:val="es-ES"/>
              </w:rPr>
              <w:t>elementos probatorios</w:t>
            </w:r>
            <w:r w:rsidRPr="004571E5">
              <w:rPr>
                <w:rFonts w:ascii="Times New Roman" w:hAnsi="Times New Roman" w:cs="Times New Roman"/>
                <w:sz w:val="24"/>
                <w:szCs w:val="24"/>
                <w:lang w:val="es-ES"/>
              </w:rPr>
              <w:t xml:space="preserve"> que enunció así</w:t>
            </w:r>
            <w:r w:rsidR="00FB697E" w:rsidRPr="004571E5">
              <w:rPr>
                <w:rFonts w:ascii="Times New Roman" w:hAnsi="Times New Roman" w:cs="Times New Roman"/>
                <w:sz w:val="24"/>
                <w:szCs w:val="24"/>
                <w:lang w:val="es-ES"/>
              </w:rPr>
              <w:t>: “</w:t>
            </w:r>
            <w:r w:rsidR="00FB697E" w:rsidRPr="004571E5">
              <w:rPr>
                <w:rFonts w:ascii="Times New Roman" w:hAnsi="Times New Roman" w:cs="Times New Roman"/>
                <w:b/>
                <w:bCs/>
                <w:i/>
                <w:iCs/>
                <w:sz w:val="24"/>
                <w:szCs w:val="24"/>
              </w:rPr>
              <w:t>(i)</w:t>
            </w:r>
            <w:r w:rsidR="00FB697E" w:rsidRPr="004571E5">
              <w:rPr>
                <w:rFonts w:ascii="Times New Roman" w:hAnsi="Times New Roman" w:cs="Times New Roman"/>
                <w:sz w:val="24"/>
                <w:szCs w:val="24"/>
              </w:rPr>
              <w:t> los cuestionamientos referentes a la aptitud del arma supuestamente utilizada por el señor Fabio Medina Guerra para enfrentar a la tropa, </w:t>
            </w:r>
            <w:r w:rsidR="00FB697E" w:rsidRPr="004571E5">
              <w:rPr>
                <w:rFonts w:ascii="Times New Roman" w:hAnsi="Times New Roman" w:cs="Times New Roman"/>
                <w:b/>
                <w:bCs/>
                <w:i/>
                <w:iCs/>
                <w:sz w:val="24"/>
                <w:szCs w:val="24"/>
                <w:lang w:val="es-ES_tradnl"/>
              </w:rPr>
              <w:t>(</w:t>
            </w:r>
            <w:proofErr w:type="spellStart"/>
            <w:r w:rsidR="00FB697E" w:rsidRPr="004571E5">
              <w:rPr>
                <w:rFonts w:ascii="Times New Roman" w:hAnsi="Times New Roman" w:cs="Times New Roman"/>
                <w:b/>
                <w:bCs/>
                <w:i/>
                <w:iCs/>
                <w:sz w:val="24"/>
                <w:szCs w:val="24"/>
                <w:lang w:val="es-ES_tradnl"/>
              </w:rPr>
              <w:t>ii</w:t>
            </w:r>
            <w:proofErr w:type="spellEnd"/>
            <w:r w:rsidR="00FB697E" w:rsidRPr="004571E5">
              <w:rPr>
                <w:rFonts w:ascii="Times New Roman" w:hAnsi="Times New Roman" w:cs="Times New Roman"/>
                <w:b/>
                <w:bCs/>
                <w:i/>
                <w:iCs/>
                <w:sz w:val="24"/>
                <w:szCs w:val="24"/>
                <w:lang w:val="es-ES_tradnl"/>
              </w:rPr>
              <w:t>)</w:t>
            </w:r>
            <w:r w:rsidR="00FB697E" w:rsidRPr="004571E5">
              <w:rPr>
                <w:rFonts w:ascii="Times New Roman" w:hAnsi="Times New Roman" w:cs="Times New Roman"/>
                <w:i/>
                <w:iCs/>
                <w:sz w:val="24"/>
                <w:szCs w:val="24"/>
                <w:lang w:val="es-ES_tradnl"/>
              </w:rPr>
              <w:t> </w:t>
            </w:r>
            <w:r w:rsidR="00FB697E" w:rsidRPr="004571E5">
              <w:rPr>
                <w:rFonts w:ascii="Times New Roman" w:hAnsi="Times New Roman" w:cs="Times New Roman"/>
                <w:sz w:val="24"/>
                <w:szCs w:val="24"/>
              </w:rPr>
              <w:t>el protocolo de necropsia no coincide con las versiones de los implicados, </w:t>
            </w:r>
            <w:r w:rsidR="00FB697E" w:rsidRPr="004571E5">
              <w:rPr>
                <w:rFonts w:ascii="Times New Roman" w:hAnsi="Times New Roman" w:cs="Times New Roman"/>
                <w:b/>
                <w:bCs/>
                <w:i/>
                <w:iCs/>
                <w:sz w:val="24"/>
                <w:szCs w:val="24"/>
                <w:lang w:val="es-ES_tradnl"/>
              </w:rPr>
              <w:t>(</w:t>
            </w:r>
            <w:proofErr w:type="spellStart"/>
            <w:r w:rsidR="00FB697E" w:rsidRPr="004571E5">
              <w:rPr>
                <w:rFonts w:ascii="Times New Roman" w:hAnsi="Times New Roman" w:cs="Times New Roman"/>
                <w:b/>
                <w:bCs/>
                <w:i/>
                <w:iCs/>
                <w:sz w:val="24"/>
                <w:szCs w:val="24"/>
                <w:lang w:val="es-ES_tradnl"/>
              </w:rPr>
              <w:t>iii</w:t>
            </w:r>
            <w:proofErr w:type="spellEnd"/>
            <w:r w:rsidR="00FB697E" w:rsidRPr="004571E5">
              <w:rPr>
                <w:rFonts w:ascii="Times New Roman" w:hAnsi="Times New Roman" w:cs="Times New Roman"/>
                <w:b/>
                <w:bCs/>
                <w:i/>
                <w:iCs/>
                <w:sz w:val="24"/>
                <w:szCs w:val="24"/>
                <w:lang w:val="es-ES_tradnl"/>
              </w:rPr>
              <w:t>)</w:t>
            </w:r>
            <w:r w:rsidR="00FB697E" w:rsidRPr="004571E5">
              <w:rPr>
                <w:rFonts w:ascii="Times New Roman" w:hAnsi="Times New Roman" w:cs="Times New Roman"/>
                <w:sz w:val="24"/>
                <w:szCs w:val="24"/>
                <w:lang w:val="es-ES_tradnl"/>
              </w:rPr>
              <w:t> ni se preguntó ¿cómo sabían cuántos cartuchos tenía la pistola? </w:t>
            </w:r>
            <w:r w:rsidR="00FB697E" w:rsidRPr="004571E5">
              <w:rPr>
                <w:rFonts w:ascii="Times New Roman" w:hAnsi="Times New Roman" w:cs="Times New Roman"/>
                <w:b/>
                <w:bCs/>
                <w:i/>
                <w:iCs/>
                <w:sz w:val="24"/>
                <w:szCs w:val="24"/>
              </w:rPr>
              <w:t>(</w:t>
            </w:r>
            <w:proofErr w:type="spellStart"/>
            <w:r w:rsidR="00FB697E" w:rsidRPr="004571E5">
              <w:rPr>
                <w:rFonts w:ascii="Times New Roman" w:hAnsi="Times New Roman" w:cs="Times New Roman"/>
                <w:b/>
                <w:bCs/>
                <w:i/>
                <w:iCs/>
                <w:sz w:val="24"/>
                <w:szCs w:val="24"/>
              </w:rPr>
              <w:t>iv</w:t>
            </w:r>
            <w:proofErr w:type="spellEnd"/>
            <w:r w:rsidR="00FB697E" w:rsidRPr="004571E5">
              <w:rPr>
                <w:rFonts w:ascii="Times New Roman" w:hAnsi="Times New Roman" w:cs="Times New Roman"/>
                <w:b/>
                <w:bCs/>
                <w:i/>
                <w:iCs/>
                <w:sz w:val="24"/>
                <w:szCs w:val="24"/>
              </w:rPr>
              <w:t>)</w:t>
            </w:r>
            <w:r w:rsidR="00FB697E" w:rsidRPr="004571E5">
              <w:rPr>
                <w:rFonts w:ascii="Times New Roman" w:hAnsi="Times New Roman" w:cs="Times New Roman"/>
                <w:sz w:val="24"/>
                <w:szCs w:val="24"/>
              </w:rPr>
              <w:t> existen importantes divergencias en los testimonios respecto al lugar donde se adelantó el enfrentamiento, </w:t>
            </w:r>
            <w:r w:rsidR="00FB697E" w:rsidRPr="004571E5">
              <w:rPr>
                <w:rFonts w:ascii="Times New Roman" w:hAnsi="Times New Roman" w:cs="Times New Roman"/>
                <w:b/>
                <w:bCs/>
                <w:i/>
                <w:iCs/>
                <w:sz w:val="24"/>
                <w:szCs w:val="24"/>
              </w:rPr>
              <w:t>(v) </w:t>
            </w:r>
            <w:r w:rsidR="00FB697E" w:rsidRPr="004571E5">
              <w:rPr>
                <w:rFonts w:ascii="Times New Roman" w:hAnsi="Times New Roman" w:cs="Times New Roman"/>
                <w:sz w:val="24"/>
                <w:szCs w:val="24"/>
              </w:rPr>
              <w:t>o interrogarse la razón por la cual ¿los militares se encontraban en línea de tiro entre ellos? y </w:t>
            </w:r>
            <w:r w:rsidR="00FB697E" w:rsidRPr="004571E5">
              <w:rPr>
                <w:rFonts w:ascii="Times New Roman" w:hAnsi="Times New Roman" w:cs="Times New Roman"/>
                <w:b/>
                <w:bCs/>
                <w:i/>
                <w:iCs/>
                <w:sz w:val="24"/>
                <w:szCs w:val="24"/>
              </w:rPr>
              <w:t>(vi)</w:t>
            </w:r>
            <w:r w:rsidR="00FB697E" w:rsidRPr="004571E5">
              <w:rPr>
                <w:rFonts w:ascii="Times New Roman" w:hAnsi="Times New Roman" w:cs="Times New Roman"/>
                <w:sz w:val="24"/>
                <w:szCs w:val="24"/>
              </w:rPr>
              <w:t> ¿los militares aceptaron comida y bebida de la esposa de un guerrillero que acababan de dar de baja en combate?”.</w:t>
            </w:r>
          </w:p>
        </w:tc>
      </w:tr>
    </w:tbl>
    <w:p w14:paraId="79FA64F1" w14:textId="77777777" w:rsidR="00F57CF8" w:rsidRPr="004571E5" w:rsidRDefault="00F57CF8" w:rsidP="00F57CF8">
      <w:pPr>
        <w:pStyle w:val="Prrafodelista"/>
        <w:tabs>
          <w:tab w:val="left" w:pos="426"/>
        </w:tabs>
        <w:spacing w:after="0" w:line="240" w:lineRule="auto"/>
        <w:ind w:left="0"/>
        <w:jc w:val="both"/>
        <w:rPr>
          <w:rFonts w:ascii="Times New Roman" w:hAnsi="Times New Roman" w:cs="Times New Roman"/>
          <w:sz w:val="28"/>
          <w:szCs w:val="28"/>
        </w:rPr>
      </w:pPr>
    </w:p>
    <w:tbl>
      <w:tblPr>
        <w:tblStyle w:val="Tablaconcuadrcula"/>
        <w:tblW w:w="0" w:type="auto"/>
        <w:tblLook w:val="04A0" w:firstRow="1" w:lastRow="0" w:firstColumn="1" w:lastColumn="0" w:noHBand="0" w:noVBand="1"/>
      </w:tblPr>
      <w:tblGrid>
        <w:gridCol w:w="1363"/>
        <w:gridCol w:w="7465"/>
      </w:tblGrid>
      <w:tr w:rsidR="00DE4ABF" w:rsidRPr="004571E5" w14:paraId="70053B89" w14:textId="77777777" w:rsidTr="00400146">
        <w:tc>
          <w:tcPr>
            <w:tcW w:w="1363" w:type="dxa"/>
            <w:shd w:val="clear" w:color="auto" w:fill="A6A6A6" w:themeFill="background1" w:themeFillShade="A6"/>
          </w:tcPr>
          <w:p w14:paraId="6259755A" w14:textId="77777777" w:rsidR="00DE4ABF" w:rsidRPr="004571E5" w:rsidRDefault="00DE4ABF" w:rsidP="00DE4ABF">
            <w:pPr>
              <w:pStyle w:val="Prrafodelista"/>
              <w:tabs>
                <w:tab w:val="left" w:pos="426"/>
              </w:tabs>
              <w:ind w:left="0"/>
              <w:jc w:val="center"/>
              <w:rPr>
                <w:rFonts w:ascii="Times New Roman" w:hAnsi="Times New Roman" w:cs="Times New Roman"/>
                <w:b/>
                <w:bCs/>
                <w:sz w:val="24"/>
                <w:szCs w:val="24"/>
              </w:rPr>
            </w:pPr>
            <w:r w:rsidRPr="004571E5">
              <w:rPr>
                <w:rFonts w:ascii="Times New Roman" w:hAnsi="Times New Roman" w:cs="Times New Roman"/>
                <w:b/>
                <w:bCs/>
                <w:sz w:val="24"/>
                <w:szCs w:val="24"/>
              </w:rPr>
              <w:t>Sentencia</w:t>
            </w:r>
          </w:p>
        </w:tc>
        <w:tc>
          <w:tcPr>
            <w:tcW w:w="7465" w:type="dxa"/>
            <w:shd w:val="clear" w:color="auto" w:fill="A6A6A6" w:themeFill="background1" w:themeFillShade="A6"/>
          </w:tcPr>
          <w:p w14:paraId="1CF7F881" w14:textId="55389DAB" w:rsidR="00DE4ABF" w:rsidRPr="004571E5" w:rsidRDefault="00DE4ABF" w:rsidP="00DE4ABF">
            <w:pPr>
              <w:pStyle w:val="Prrafodelista"/>
              <w:tabs>
                <w:tab w:val="left" w:pos="426"/>
              </w:tabs>
              <w:ind w:left="0"/>
              <w:jc w:val="center"/>
              <w:rPr>
                <w:rFonts w:ascii="Times New Roman" w:hAnsi="Times New Roman" w:cs="Times New Roman"/>
                <w:b/>
                <w:bCs/>
                <w:sz w:val="24"/>
                <w:szCs w:val="24"/>
              </w:rPr>
            </w:pPr>
            <w:r w:rsidRPr="004571E5">
              <w:rPr>
                <w:rFonts w:ascii="Times New Roman" w:hAnsi="Times New Roman" w:cs="Times New Roman"/>
                <w:b/>
                <w:bCs/>
                <w:sz w:val="24"/>
                <w:szCs w:val="24"/>
              </w:rPr>
              <w:t>Problema</w:t>
            </w:r>
            <w:r w:rsidR="00677A38" w:rsidRPr="004571E5">
              <w:rPr>
                <w:rFonts w:ascii="Times New Roman" w:hAnsi="Times New Roman" w:cs="Times New Roman"/>
                <w:b/>
                <w:bCs/>
                <w:sz w:val="24"/>
                <w:szCs w:val="24"/>
              </w:rPr>
              <w:t>s</w:t>
            </w:r>
            <w:r w:rsidRPr="004571E5">
              <w:rPr>
                <w:rFonts w:ascii="Times New Roman" w:hAnsi="Times New Roman" w:cs="Times New Roman"/>
                <w:b/>
                <w:bCs/>
                <w:sz w:val="24"/>
                <w:szCs w:val="24"/>
              </w:rPr>
              <w:t xml:space="preserve"> jurídico</w:t>
            </w:r>
            <w:r w:rsidR="00677A38" w:rsidRPr="004571E5">
              <w:rPr>
                <w:rFonts w:ascii="Times New Roman" w:hAnsi="Times New Roman" w:cs="Times New Roman"/>
                <w:b/>
                <w:bCs/>
                <w:sz w:val="24"/>
                <w:szCs w:val="24"/>
              </w:rPr>
              <w:t>s</w:t>
            </w:r>
            <w:r w:rsidRPr="004571E5">
              <w:rPr>
                <w:rFonts w:ascii="Times New Roman" w:hAnsi="Times New Roman" w:cs="Times New Roman"/>
                <w:b/>
                <w:bCs/>
                <w:sz w:val="24"/>
                <w:szCs w:val="24"/>
              </w:rPr>
              <w:t xml:space="preserve"> fijado</w:t>
            </w:r>
            <w:r w:rsidR="00677A38" w:rsidRPr="004571E5">
              <w:rPr>
                <w:rFonts w:ascii="Times New Roman" w:hAnsi="Times New Roman" w:cs="Times New Roman"/>
                <w:b/>
                <w:bCs/>
                <w:sz w:val="24"/>
                <w:szCs w:val="24"/>
              </w:rPr>
              <w:t>s</w:t>
            </w:r>
            <w:r w:rsidRPr="004571E5">
              <w:rPr>
                <w:rFonts w:ascii="Times New Roman" w:hAnsi="Times New Roman" w:cs="Times New Roman"/>
                <w:b/>
                <w:bCs/>
                <w:sz w:val="24"/>
                <w:szCs w:val="24"/>
              </w:rPr>
              <w:t xml:space="preserve"> en la</w:t>
            </w:r>
            <w:r w:rsidR="00677A38" w:rsidRPr="004571E5">
              <w:rPr>
                <w:rFonts w:ascii="Times New Roman" w:hAnsi="Times New Roman" w:cs="Times New Roman"/>
                <w:b/>
                <w:bCs/>
                <w:sz w:val="24"/>
                <w:szCs w:val="24"/>
              </w:rPr>
              <w:t>s</w:t>
            </w:r>
            <w:r w:rsidRPr="004571E5">
              <w:rPr>
                <w:rFonts w:ascii="Times New Roman" w:hAnsi="Times New Roman" w:cs="Times New Roman"/>
                <w:b/>
                <w:bCs/>
                <w:sz w:val="24"/>
                <w:szCs w:val="24"/>
              </w:rPr>
              <w:t xml:space="preserve"> sentencia</w:t>
            </w:r>
            <w:r w:rsidR="00677A38" w:rsidRPr="004571E5">
              <w:rPr>
                <w:rFonts w:ascii="Times New Roman" w:hAnsi="Times New Roman" w:cs="Times New Roman"/>
                <w:b/>
                <w:bCs/>
                <w:sz w:val="24"/>
                <w:szCs w:val="24"/>
              </w:rPr>
              <w:t>s del Consejo de Estado</w:t>
            </w:r>
          </w:p>
        </w:tc>
      </w:tr>
      <w:tr w:rsidR="00DE4ABF" w:rsidRPr="004571E5" w14:paraId="70786EC6" w14:textId="77777777" w:rsidTr="00400146">
        <w:tc>
          <w:tcPr>
            <w:tcW w:w="1363" w:type="dxa"/>
            <w:shd w:val="clear" w:color="auto" w:fill="BFBFBF" w:themeFill="background1" w:themeFillShade="BF"/>
            <w:vAlign w:val="center"/>
          </w:tcPr>
          <w:p w14:paraId="13C9EC56" w14:textId="77777777" w:rsidR="00DE4ABF" w:rsidRPr="004571E5" w:rsidRDefault="00DE4ABF" w:rsidP="00DE4ABF">
            <w:pPr>
              <w:pStyle w:val="Prrafodelista"/>
              <w:tabs>
                <w:tab w:val="left" w:pos="426"/>
              </w:tabs>
              <w:ind w:left="0"/>
              <w:jc w:val="center"/>
              <w:rPr>
                <w:rFonts w:ascii="Times New Roman" w:hAnsi="Times New Roman" w:cs="Times New Roman"/>
                <w:sz w:val="24"/>
                <w:szCs w:val="24"/>
              </w:rPr>
            </w:pPr>
            <w:r w:rsidRPr="004571E5">
              <w:rPr>
                <w:rFonts w:ascii="Times New Roman" w:hAnsi="Times New Roman" w:cs="Times New Roman"/>
                <w:sz w:val="24"/>
                <w:szCs w:val="24"/>
              </w:rPr>
              <w:t>18850</w:t>
            </w:r>
          </w:p>
        </w:tc>
        <w:tc>
          <w:tcPr>
            <w:tcW w:w="7465" w:type="dxa"/>
            <w:vAlign w:val="center"/>
          </w:tcPr>
          <w:p w14:paraId="447C5291" w14:textId="3E9F06A8" w:rsidR="00DE4ABF" w:rsidRPr="004571E5" w:rsidRDefault="00DE4ABF" w:rsidP="00DE4ABF">
            <w:pPr>
              <w:tabs>
                <w:tab w:val="left" w:pos="426"/>
              </w:tabs>
              <w:jc w:val="both"/>
              <w:rPr>
                <w:rFonts w:ascii="Times New Roman" w:hAnsi="Times New Roman" w:cs="Times New Roman"/>
                <w:sz w:val="24"/>
                <w:szCs w:val="24"/>
              </w:rPr>
            </w:pPr>
            <w:r w:rsidRPr="004571E5">
              <w:rPr>
                <w:rFonts w:ascii="Times New Roman" w:hAnsi="Times New Roman" w:cs="Times New Roman"/>
                <w:sz w:val="24"/>
                <w:szCs w:val="24"/>
              </w:rPr>
              <w:t xml:space="preserve">“Corresponde a la Sala resolver sobre la imputación contra la Nación-Ministerio de Defensa-Policía Nacional por la detención y muerte de los señores </w:t>
            </w:r>
            <w:r w:rsidR="000F1BF3" w:rsidRPr="004571E5">
              <w:rPr>
                <w:rFonts w:ascii="Times New Roman" w:hAnsi="Times New Roman" w:cs="Times New Roman"/>
                <w:sz w:val="24"/>
                <w:szCs w:val="24"/>
              </w:rPr>
              <w:t xml:space="preserve">(…) </w:t>
            </w:r>
            <w:r w:rsidRPr="004571E5">
              <w:rPr>
                <w:rFonts w:ascii="Times New Roman" w:hAnsi="Times New Roman" w:cs="Times New Roman"/>
                <w:sz w:val="24"/>
                <w:szCs w:val="24"/>
              </w:rPr>
              <w:t xml:space="preserve"> y por la detención y lesiones ocasionadas a los señores </w:t>
            </w:r>
            <w:r w:rsidR="000F1BF3" w:rsidRPr="004571E5">
              <w:rPr>
                <w:rFonts w:ascii="Times New Roman" w:hAnsi="Times New Roman" w:cs="Times New Roman"/>
                <w:sz w:val="24"/>
                <w:szCs w:val="24"/>
              </w:rPr>
              <w:t>(…)</w:t>
            </w:r>
            <w:r w:rsidRPr="004571E5">
              <w:rPr>
                <w:rFonts w:ascii="Times New Roman" w:hAnsi="Times New Roman" w:cs="Times New Roman"/>
                <w:sz w:val="24"/>
                <w:szCs w:val="24"/>
              </w:rPr>
              <w:t xml:space="preserve">”. Tras ello, concluyó que “La Sala declarará la responsabilidad patrimonial de la Nación </w:t>
            </w:r>
            <w:r w:rsidR="000F1BF3" w:rsidRPr="004571E5">
              <w:rPr>
                <w:rFonts w:ascii="Times New Roman" w:hAnsi="Times New Roman" w:cs="Times New Roman"/>
                <w:sz w:val="24"/>
                <w:szCs w:val="24"/>
              </w:rPr>
              <w:t>(…)</w:t>
            </w:r>
            <w:r w:rsidRPr="004571E5">
              <w:rPr>
                <w:rFonts w:ascii="Times New Roman" w:hAnsi="Times New Roman" w:cs="Times New Roman"/>
                <w:sz w:val="24"/>
                <w:szCs w:val="24"/>
              </w:rPr>
              <w:t xml:space="preserve">. En </w:t>
            </w:r>
            <w:proofErr w:type="gramStart"/>
            <w:r w:rsidRPr="004571E5">
              <w:rPr>
                <w:rFonts w:ascii="Times New Roman" w:hAnsi="Times New Roman" w:cs="Times New Roman"/>
                <w:sz w:val="24"/>
                <w:szCs w:val="24"/>
              </w:rPr>
              <w:t>suma</w:t>
            </w:r>
            <w:proofErr w:type="gramEnd"/>
            <w:r w:rsidRPr="004571E5">
              <w:rPr>
                <w:rFonts w:ascii="Times New Roman" w:hAnsi="Times New Roman" w:cs="Times New Roman"/>
                <w:sz w:val="24"/>
                <w:szCs w:val="24"/>
              </w:rPr>
              <w:t xml:space="preserve"> porque los miembros de la fuerza pública, los requisaron, pusieron en condiciones de indefensión y los retuvieron ilegalmente, amén de que luego aparecieron los cadáveres de dos de ellos muertos por armas de fuego y los otros dos lesionados”.</w:t>
            </w:r>
          </w:p>
        </w:tc>
      </w:tr>
      <w:tr w:rsidR="00DE4ABF" w:rsidRPr="004571E5" w14:paraId="74DD100C" w14:textId="77777777" w:rsidTr="00400146">
        <w:tc>
          <w:tcPr>
            <w:tcW w:w="1363" w:type="dxa"/>
            <w:shd w:val="clear" w:color="auto" w:fill="BFBFBF" w:themeFill="background1" w:themeFillShade="BF"/>
            <w:vAlign w:val="center"/>
          </w:tcPr>
          <w:p w14:paraId="573E838F" w14:textId="77777777" w:rsidR="00DE4ABF" w:rsidRPr="004571E5" w:rsidRDefault="00DE4ABF" w:rsidP="00DE4ABF">
            <w:pPr>
              <w:pStyle w:val="Prrafodelista"/>
              <w:tabs>
                <w:tab w:val="left" w:pos="426"/>
              </w:tabs>
              <w:ind w:left="0"/>
              <w:jc w:val="center"/>
              <w:rPr>
                <w:rFonts w:ascii="Times New Roman" w:hAnsi="Times New Roman" w:cs="Times New Roman"/>
                <w:sz w:val="24"/>
                <w:szCs w:val="24"/>
              </w:rPr>
            </w:pPr>
            <w:r w:rsidRPr="004571E5">
              <w:rPr>
                <w:rFonts w:ascii="Times New Roman" w:hAnsi="Times New Roman" w:cs="Times New Roman"/>
                <w:sz w:val="24"/>
                <w:szCs w:val="24"/>
                <w:lang w:val="es-ES_tradnl"/>
              </w:rPr>
              <w:t>37310</w:t>
            </w:r>
          </w:p>
        </w:tc>
        <w:tc>
          <w:tcPr>
            <w:tcW w:w="7465" w:type="dxa"/>
          </w:tcPr>
          <w:p w14:paraId="1449F8DE" w14:textId="6A1A3A83" w:rsidR="00DE4ABF" w:rsidRPr="004571E5" w:rsidRDefault="000F1BF3" w:rsidP="00DE4ABF">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rPr>
              <w:t xml:space="preserve">“Previa acreditación de la existencia del daño que alegan los </w:t>
            </w:r>
            <w:proofErr w:type="gramStart"/>
            <w:r w:rsidRPr="004571E5">
              <w:rPr>
                <w:rFonts w:ascii="Times New Roman" w:hAnsi="Times New Roman" w:cs="Times New Roman"/>
                <w:sz w:val="24"/>
                <w:szCs w:val="24"/>
              </w:rPr>
              <w:t>demandantes,</w:t>
            </w:r>
            <w:proofErr w:type="gramEnd"/>
            <w:r w:rsidRPr="004571E5">
              <w:rPr>
                <w:rFonts w:ascii="Times New Roman" w:hAnsi="Times New Roman" w:cs="Times New Roman"/>
                <w:sz w:val="24"/>
                <w:szCs w:val="24"/>
              </w:rPr>
              <w:t xml:space="preserve"> compete a la Sala establecer si se encuentran acreditados los elementos que estructuran un juicio de responsabilidad en contra de la entidad demandada por la muerte del señor (…) a manos de un oficial del Ejército Nacional, o si por el contrario se demostró el hecho exclusivo y determinante de la víctima, eximente de responsabilidad que alega la recurrente”.</w:t>
            </w:r>
          </w:p>
        </w:tc>
      </w:tr>
      <w:tr w:rsidR="00DE4ABF" w:rsidRPr="004571E5" w14:paraId="1A2E1BE5" w14:textId="77777777" w:rsidTr="00400146">
        <w:tc>
          <w:tcPr>
            <w:tcW w:w="1363" w:type="dxa"/>
            <w:shd w:val="clear" w:color="auto" w:fill="BFBFBF" w:themeFill="background1" w:themeFillShade="BF"/>
            <w:vAlign w:val="center"/>
          </w:tcPr>
          <w:p w14:paraId="5FBD8D6D" w14:textId="77777777" w:rsidR="00DE4ABF" w:rsidRPr="004571E5" w:rsidRDefault="00DE4ABF" w:rsidP="00DE4ABF">
            <w:pPr>
              <w:pStyle w:val="Prrafodelista"/>
              <w:tabs>
                <w:tab w:val="left" w:pos="426"/>
              </w:tabs>
              <w:ind w:left="0"/>
              <w:jc w:val="center"/>
              <w:rPr>
                <w:rFonts w:ascii="Times New Roman" w:hAnsi="Times New Roman" w:cs="Times New Roman"/>
                <w:sz w:val="24"/>
                <w:szCs w:val="24"/>
              </w:rPr>
            </w:pPr>
            <w:r w:rsidRPr="004571E5">
              <w:rPr>
                <w:rFonts w:ascii="Times New Roman" w:hAnsi="Times New Roman" w:cs="Times New Roman"/>
                <w:sz w:val="24"/>
                <w:szCs w:val="24"/>
              </w:rPr>
              <w:t>47671</w:t>
            </w:r>
          </w:p>
        </w:tc>
        <w:tc>
          <w:tcPr>
            <w:tcW w:w="7465" w:type="dxa"/>
          </w:tcPr>
          <w:p w14:paraId="05E76C30" w14:textId="6CD42DDA" w:rsidR="00DE4ABF" w:rsidRPr="004571E5" w:rsidRDefault="000F1BF3" w:rsidP="00DE4ABF">
            <w:pPr>
              <w:pStyle w:val="Prrafodelista"/>
              <w:tabs>
                <w:tab w:val="left" w:pos="426"/>
              </w:tabs>
              <w:ind w:left="0"/>
              <w:jc w:val="both"/>
              <w:rPr>
                <w:rFonts w:ascii="Times New Roman" w:hAnsi="Times New Roman" w:cs="Times New Roman"/>
                <w:sz w:val="24"/>
                <w:szCs w:val="24"/>
              </w:rPr>
            </w:pPr>
            <w:r w:rsidRPr="004571E5">
              <w:rPr>
                <w:rFonts w:ascii="Times New Roman" w:hAnsi="Times New Roman" w:cs="Times New Roman"/>
                <w:sz w:val="24"/>
                <w:szCs w:val="24"/>
              </w:rPr>
              <w:t xml:space="preserve">La Subsección C indicó que “[s]e pueden plantear tres problemas jurídicos: (1) ¿cabe imputar fáctica y jurídicamente la responsabilidad a las entidades demandadas por el daño antijurídico padecido por (…) como consecuencia de su desaparición y muerte violenta (…)?; (2) si cabe imputar el daño antijurídico, ¿procede el reconocimiento y liquidación de los perjuicios inmateriales [morales y por vulneración a bienes convencionales y constitucionales] y materiales [en la modalidad de lucro cesante]; o, (3) ¿sólo cabe confirmar los perjuicios inmateriales que en la modalidad de </w:t>
            </w:r>
            <w:r w:rsidRPr="004571E5">
              <w:rPr>
                <w:rFonts w:ascii="Times New Roman" w:hAnsi="Times New Roman" w:cs="Times New Roman"/>
                <w:sz w:val="24"/>
                <w:szCs w:val="24"/>
              </w:rPr>
              <w:lastRenderedPageBreak/>
              <w:t>perjuicios morales fueron reconocidos y liquidados en primera instancia, o cabe incrementarlos?”.</w:t>
            </w:r>
          </w:p>
        </w:tc>
      </w:tr>
      <w:tr w:rsidR="00DE4ABF" w:rsidRPr="004571E5" w14:paraId="1EAFB2BD" w14:textId="77777777" w:rsidTr="00400146">
        <w:tc>
          <w:tcPr>
            <w:tcW w:w="1363" w:type="dxa"/>
            <w:shd w:val="clear" w:color="auto" w:fill="BFBFBF" w:themeFill="background1" w:themeFillShade="BF"/>
            <w:vAlign w:val="center"/>
          </w:tcPr>
          <w:p w14:paraId="75F0EB57" w14:textId="77777777" w:rsidR="00DE4ABF" w:rsidRPr="004571E5" w:rsidRDefault="00DE4ABF" w:rsidP="00DE4ABF">
            <w:pPr>
              <w:pStyle w:val="Prrafodelista"/>
              <w:tabs>
                <w:tab w:val="left" w:pos="426"/>
              </w:tabs>
              <w:ind w:left="0"/>
              <w:jc w:val="center"/>
              <w:rPr>
                <w:rFonts w:ascii="Times New Roman" w:hAnsi="Times New Roman" w:cs="Times New Roman"/>
                <w:sz w:val="24"/>
                <w:szCs w:val="24"/>
              </w:rPr>
            </w:pPr>
            <w:r w:rsidRPr="004571E5">
              <w:rPr>
                <w:rFonts w:ascii="Times New Roman" w:hAnsi="Times New Roman" w:cs="Times New Roman"/>
                <w:sz w:val="24"/>
                <w:szCs w:val="24"/>
              </w:rPr>
              <w:lastRenderedPageBreak/>
              <w:t>56282</w:t>
            </w:r>
          </w:p>
        </w:tc>
        <w:tc>
          <w:tcPr>
            <w:tcW w:w="7465" w:type="dxa"/>
          </w:tcPr>
          <w:p w14:paraId="36816FED" w14:textId="19C032F4" w:rsidR="00DE4ABF" w:rsidRPr="004571E5" w:rsidRDefault="00DE4ABF" w:rsidP="00DE4ABF">
            <w:pPr>
              <w:tabs>
                <w:tab w:val="left" w:pos="426"/>
              </w:tabs>
              <w:jc w:val="both"/>
              <w:rPr>
                <w:rFonts w:ascii="Times New Roman" w:hAnsi="Times New Roman" w:cs="Times New Roman"/>
                <w:sz w:val="24"/>
                <w:szCs w:val="24"/>
              </w:rPr>
            </w:pPr>
            <w:r w:rsidRPr="004571E5">
              <w:rPr>
                <w:rFonts w:ascii="Times New Roman" w:hAnsi="Times New Roman" w:cs="Times New Roman"/>
                <w:sz w:val="24"/>
                <w:szCs w:val="24"/>
              </w:rPr>
              <w:t xml:space="preserve">El Consejo de Estado señaló que “cabe examinar que por las circunstancias en que ocurrió la muerte violenta de </w:t>
            </w:r>
            <w:r w:rsidR="000F1BF3" w:rsidRPr="004571E5">
              <w:rPr>
                <w:rFonts w:ascii="Times New Roman" w:hAnsi="Times New Roman" w:cs="Times New Roman"/>
                <w:sz w:val="24"/>
                <w:szCs w:val="24"/>
              </w:rPr>
              <w:t xml:space="preserve">(…) </w:t>
            </w:r>
            <w:r w:rsidRPr="004571E5">
              <w:rPr>
                <w:rFonts w:ascii="Times New Roman" w:hAnsi="Times New Roman" w:cs="Times New Roman"/>
                <w:sz w:val="24"/>
                <w:szCs w:val="24"/>
              </w:rPr>
              <w:t>por las condiciones en las que este tipo de eventos se viene produciendo en el Estado colombiano en el marco del conflicto armado interno, los fundamentos para su encuadramiento como un caso constitutivo de una grave vulneración de los derechos humanos, violación del derecho internacional humanitario, y configuración como acto de lesa humanidad. Luego, la Sala examina la imputación en el caso en concreto como primera medida”.</w:t>
            </w:r>
          </w:p>
        </w:tc>
      </w:tr>
      <w:tr w:rsidR="00DE4ABF" w:rsidRPr="004571E5" w14:paraId="16CEB528" w14:textId="77777777" w:rsidTr="00400146">
        <w:tc>
          <w:tcPr>
            <w:tcW w:w="1363" w:type="dxa"/>
            <w:shd w:val="clear" w:color="auto" w:fill="BFBFBF" w:themeFill="background1" w:themeFillShade="BF"/>
            <w:vAlign w:val="center"/>
          </w:tcPr>
          <w:p w14:paraId="5568B5C1" w14:textId="77777777" w:rsidR="00DE4ABF" w:rsidRPr="004571E5" w:rsidRDefault="00DE4ABF" w:rsidP="00DE4ABF">
            <w:pPr>
              <w:pStyle w:val="Prrafodelista"/>
              <w:tabs>
                <w:tab w:val="left" w:pos="426"/>
              </w:tabs>
              <w:ind w:left="0"/>
              <w:jc w:val="center"/>
              <w:rPr>
                <w:rFonts w:ascii="Times New Roman" w:hAnsi="Times New Roman" w:cs="Times New Roman"/>
                <w:sz w:val="24"/>
                <w:szCs w:val="24"/>
              </w:rPr>
            </w:pPr>
            <w:r w:rsidRPr="004571E5">
              <w:rPr>
                <w:rFonts w:ascii="Times New Roman" w:hAnsi="Times New Roman" w:cs="Times New Roman"/>
                <w:sz w:val="24"/>
                <w:szCs w:val="24"/>
              </w:rPr>
              <w:t>55287</w:t>
            </w:r>
          </w:p>
        </w:tc>
        <w:tc>
          <w:tcPr>
            <w:tcW w:w="7465" w:type="dxa"/>
          </w:tcPr>
          <w:p w14:paraId="782E20BD" w14:textId="1237D821" w:rsidR="00DE4ABF" w:rsidRPr="004571E5" w:rsidRDefault="00DE4ABF" w:rsidP="00DE4ABF">
            <w:pPr>
              <w:tabs>
                <w:tab w:val="left" w:pos="426"/>
              </w:tabs>
              <w:jc w:val="both"/>
              <w:rPr>
                <w:rFonts w:ascii="Times New Roman" w:hAnsi="Times New Roman" w:cs="Times New Roman"/>
                <w:sz w:val="24"/>
                <w:szCs w:val="24"/>
              </w:rPr>
            </w:pPr>
            <w:r w:rsidRPr="004571E5">
              <w:rPr>
                <w:rFonts w:ascii="Times New Roman" w:hAnsi="Times New Roman" w:cs="Times New Roman"/>
                <w:sz w:val="24"/>
                <w:szCs w:val="24"/>
              </w:rPr>
              <w:t xml:space="preserve">“Se trata de establecer, conforme al recurso de apelación, si la entidad demanda se le debe imputar el daño antijurídico consistente en una ejecución extrajudicial o si, por el contrario, se encuentran configuradas las causales </w:t>
            </w:r>
          </w:p>
          <w:p w14:paraId="2D1196B0" w14:textId="49C90E83" w:rsidR="00DE4ABF" w:rsidRPr="004571E5" w:rsidRDefault="00DE4ABF" w:rsidP="00DE4ABF">
            <w:pPr>
              <w:pStyle w:val="Prrafodelista"/>
              <w:tabs>
                <w:tab w:val="left" w:pos="426"/>
              </w:tabs>
              <w:ind w:left="0"/>
              <w:jc w:val="both"/>
              <w:rPr>
                <w:rFonts w:ascii="Times New Roman" w:hAnsi="Times New Roman" w:cs="Times New Roman"/>
                <w:sz w:val="24"/>
                <w:szCs w:val="24"/>
              </w:rPr>
            </w:pPr>
            <w:proofErr w:type="spellStart"/>
            <w:r w:rsidRPr="004571E5">
              <w:rPr>
                <w:rFonts w:ascii="Times New Roman" w:hAnsi="Times New Roman" w:cs="Times New Roman"/>
                <w:sz w:val="24"/>
                <w:szCs w:val="24"/>
              </w:rPr>
              <w:t>exonerativas</w:t>
            </w:r>
            <w:proofErr w:type="spellEnd"/>
            <w:r w:rsidRPr="004571E5">
              <w:rPr>
                <w:rFonts w:ascii="Times New Roman" w:hAnsi="Times New Roman" w:cs="Times New Roman"/>
                <w:sz w:val="24"/>
                <w:szCs w:val="24"/>
              </w:rPr>
              <w:t xml:space="preserve"> de responsabilidad de legítima defensa y culpa exclusiva de la víctima”.</w:t>
            </w:r>
          </w:p>
        </w:tc>
      </w:tr>
    </w:tbl>
    <w:p w14:paraId="44FD8ED2" w14:textId="77777777" w:rsidR="00F57CF8" w:rsidRPr="004571E5" w:rsidRDefault="00F57CF8" w:rsidP="00F57CF8">
      <w:pPr>
        <w:pStyle w:val="Prrafodelista"/>
        <w:tabs>
          <w:tab w:val="left" w:pos="426"/>
        </w:tabs>
        <w:spacing w:after="0" w:line="240" w:lineRule="auto"/>
        <w:ind w:left="0"/>
        <w:jc w:val="both"/>
        <w:rPr>
          <w:rFonts w:ascii="Times New Roman" w:hAnsi="Times New Roman" w:cs="Times New Roman"/>
          <w:sz w:val="28"/>
          <w:szCs w:val="28"/>
        </w:rPr>
      </w:pPr>
    </w:p>
    <w:p w14:paraId="2777946E" w14:textId="2286043A" w:rsidR="00F57CF8" w:rsidRPr="004571E5" w:rsidRDefault="00F57CF8" w:rsidP="00F57CF8">
      <w:pPr>
        <w:pStyle w:val="Prrafodelista"/>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De acuerdo con lo anterior,</w:t>
      </w:r>
      <w:r w:rsidR="00677A38" w:rsidRPr="004571E5">
        <w:rPr>
          <w:rFonts w:ascii="Times New Roman" w:hAnsi="Times New Roman" w:cs="Times New Roman"/>
          <w:sz w:val="28"/>
          <w:szCs w:val="28"/>
        </w:rPr>
        <w:t xml:space="preserve"> en</w:t>
      </w:r>
      <w:r w:rsidR="000F1BF3" w:rsidRPr="004571E5">
        <w:rPr>
          <w:rFonts w:ascii="Times New Roman" w:hAnsi="Times New Roman" w:cs="Times New Roman"/>
          <w:sz w:val="28"/>
          <w:szCs w:val="28"/>
        </w:rPr>
        <w:t xml:space="preserve"> las sentencias proferidas por esta Corte </w:t>
      </w:r>
      <w:r w:rsidR="00677A38" w:rsidRPr="004571E5">
        <w:rPr>
          <w:rFonts w:ascii="Times New Roman" w:hAnsi="Times New Roman" w:cs="Times New Roman"/>
          <w:sz w:val="28"/>
          <w:szCs w:val="28"/>
        </w:rPr>
        <w:t xml:space="preserve">y por </w:t>
      </w:r>
      <w:r w:rsidR="000F1BF3" w:rsidRPr="004571E5">
        <w:rPr>
          <w:rFonts w:ascii="Times New Roman" w:hAnsi="Times New Roman" w:cs="Times New Roman"/>
          <w:sz w:val="28"/>
          <w:szCs w:val="28"/>
        </w:rPr>
        <w:t xml:space="preserve">el Consejo de Estado, se analizaron problemas jurídicos similares. </w:t>
      </w:r>
      <w:r w:rsidR="00677A38" w:rsidRPr="004571E5">
        <w:rPr>
          <w:rFonts w:ascii="Times New Roman" w:hAnsi="Times New Roman" w:cs="Times New Roman"/>
          <w:sz w:val="28"/>
          <w:szCs w:val="28"/>
        </w:rPr>
        <w:t>En las</w:t>
      </w:r>
      <w:r w:rsidR="004047DE" w:rsidRPr="004571E5">
        <w:rPr>
          <w:rFonts w:ascii="Times New Roman" w:hAnsi="Times New Roman" w:cs="Times New Roman"/>
          <w:sz w:val="28"/>
          <w:szCs w:val="28"/>
        </w:rPr>
        <w:t xml:space="preserve"> providencias</w:t>
      </w:r>
      <w:r w:rsidR="00677A38" w:rsidRPr="004571E5">
        <w:rPr>
          <w:rFonts w:ascii="Times New Roman" w:hAnsi="Times New Roman" w:cs="Times New Roman"/>
          <w:sz w:val="28"/>
          <w:szCs w:val="28"/>
        </w:rPr>
        <w:t xml:space="preserve"> de la Corte Constitucional </w:t>
      </w:r>
      <w:r w:rsidR="000F1BF3" w:rsidRPr="004571E5">
        <w:rPr>
          <w:rFonts w:ascii="Times New Roman" w:hAnsi="Times New Roman" w:cs="Times New Roman"/>
          <w:sz w:val="28"/>
          <w:szCs w:val="28"/>
        </w:rPr>
        <w:t>se discutía</w:t>
      </w:r>
      <w:r w:rsidR="00677A38" w:rsidRPr="004571E5">
        <w:rPr>
          <w:rFonts w:ascii="Times New Roman" w:hAnsi="Times New Roman" w:cs="Times New Roman"/>
          <w:sz w:val="28"/>
          <w:szCs w:val="28"/>
        </w:rPr>
        <w:t>, principalmente,</w:t>
      </w:r>
      <w:r w:rsidR="000F1BF3" w:rsidRPr="004571E5">
        <w:rPr>
          <w:rFonts w:ascii="Times New Roman" w:hAnsi="Times New Roman" w:cs="Times New Roman"/>
          <w:sz w:val="28"/>
          <w:szCs w:val="28"/>
        </w:rPr>
        <w:t xml:space="preserve"> la configuración de</w:t>
      </w:r>
      <w:r w:rsidR="00677A38" w:rsidRPr="004571E5">
        <w:rPr>
          <w:rFonts w:ascii="Times New Roman" w:hAnsi="Times New Roman" w:cs="Times New Roman"/>
          <w:sz w:val="28"/>
          <w:szCs w:val="28"/>
        </w:rPr>
        <w:t xml:space="preserve"> </w:t>
      </w:r>
      <w:r w:rsidR="000F1BF3" w:rsidRPr="004571E5">
        <w:rPr>
          <w:rFonts w:ascii="Times New Roman" w:hAnsi="Times New Roman" w:cs="Times New Roman"/>
          <w:sz w:val="28"/>
          <w:szCs w:val="28"/>
        </w:rPr>
        <w:t xml:space="preserve">un defecto fáctico y un desconocimiento del precedente. </w:t>
      </w:r>
      <w:r w:rsidR="00677A38" w:rsidRPr="004571E5">
        <w:rPr>
          <w:rFonts w:ascii="Times New Roman" w:hAnsi="Times New Roman" w:cs="Times New Roman"/>
          <w:sz w:val="28"/>
          <w:szCs w:val="28"/>
        </w:rPr>
        <w:t>En las del Consejo de Estado, con diferentes formulaciones, se debatía</w:t>
      </w:r>
      <w:r w:rsidR="000F1BF3" w:rsidRPr="004571E5">
        <w:rPr>
          <w:rFonts w:ascii="Times New Roman" w:hAnsi="Times New Roman" w:cs="Times New Roman"/>
          <w:sz w:val="28"/>
          <w:szCs w:val="28"/>
        </w:rPr>
        <w:t xml:space="preserve"> la existencia o no de responsabilidad del Estado por las muertes violentas de personas</w:t>
      </w:r>
      <w:r w:rsidR="0006740E" w:rsidRPr="004571E5">
        <w:rPr>
          <w:rFonts w:ascii="Times New Roman" w:hAnsi="Times New Roman" w:cs="Times New Roman"/>
          <w:sz w:val="28"/>
          <w:szCs w:val="28"/>
        </w:rPr>
        <w:t>,</w:t>
      </w:r>
      <w:r w:rsidR="000F1BF3" w:rsidRPr="004571E5">
        <w:rPr>
          <w:rFonts w:ascii="Times New Roman" w:hAnsi="Times New Roman" w:cs="Times New Roman"/>
          <w:sz w:val="28"/>
          <w:szCs w:val="28"/>
        </w:rPr>
        <w:t xml:space="preserve"> presuntamente en el marco de hechos de ejecución extrajudicial.</w:t>
      </w:r>
    </w:p>
    <w:p w14:paraId="635633FF" w14:textId="77777777" w:rsidR="00921FB3" w:rsidRPr="004571E5" w:rsidRDefault="00921FB3" w:rsidP="00921FB3">
      <w:pPr>
        <w:pStyle w:val="Prrafodelista"/>
        <w:tabs>
          <w:tab w:val="left" w:pos="426"/>
        </w:tabs>
        <w:spacing w:after="0" w:line="240" w:lineRule="auto"/>
        <w:ind w:left="0"/>
        <w:jc w:val="both"/>
        <w:rPr>
          <w:rFonts w:ascii="Times New Roman" w:hAnsi="Times New Roman" w:cs="Times New Roman"/>
          <w:b/>
          <w:sz w:val="28"/>
          <w:szCs w:val="28"/>
        </w:rPr>
      </w:pPr>
    </w:p>
    <w:p w14:paraId="45D8D603" w14:textId="10FF549A" w:rsidR="00921FB3" w:rsidRPr="004571E5" w:rsidRDefault="00921FB3" w:rsidP="00921FB3">
      <w:pPr>
        <w:pStyle w:val="Prrafodelista"/>
        <w:numPr>
          <w:ilvl w:val="0"/>
          <w:numId w:val="35"/>
        </w:numPr>
        <w:tabs>
          <w:tab w:val="left" w:pos="426"/>
        </w:tabs>
        <w:spacing w:after="0" w:line="240" w:lineRule="auto"/>
        <w:jc w:val="both"/>
        <w:rPr>
          <w:rFonts w:ascii="Times New Roman" w:hAnsi="Times New Roman" w:cs="Times New Roman"/>
          <w:b/>
          <w:iCs/>
          <w:sz w:val="28"/>
          <w:szCs w:val="28"/>
        </w:rPr>
      </w:pPr>
      <w:r w:rsidRPr="004571E5">
        <w:rPr>
          <w:rFonts w:ascii="Times New Roman" w:hAnsi="Times New Roman" w:cs="Times New Roman"/>
          <w:b/>
          <w:iCs/>
          <w:sz w:val="28"/>
          <w:szCs w:val="28"/>
        </w:rPr>
        <w:t>La existencia de una regla de decisión</w:t>
      </w:r>
      <w:r w:rsidR="00677A38" w:rsidRPr="004571E5">
        <w:rPr>
          <w:rFonts w:ascii="Times New Roman" w:hAnsi="Times New Roman" w:cs="Times New Roman"/>
          <w:b/>
          <w:iCs/>
          <w:sz w:val="28"/>
          <w:szCs w:val="28"/>
        </w:rPr>
        <w:t xml:space="preserve"> </w:t>
      </w:r>
      <w:r w:rsidR="00677A38" w:rsidRPr="004571E5">
        <w:rPr>
          <w:rFonts w:ascii="Times New Roman" w:hAnsi="Times New Roman" w:cs="Times New Roman"/>
          <w:b/>
          <w:sz w:val="28"/>
          <w:szCs w:val="28"/>
        </w:rPr>
        <w:t>relevante para el nuevo caso</w:t>
      </w:r>
      <w:r w:rsidR="00677A38" w:rsidRPr="004571E5">
        <w:rPr>
          <w:rStyle w:val="Refdenotaalpie"/>
          <w:rFonts w:ascii="Times New Roman" w:hAnsi="Times New Roman" w:cs="Times New Roman"/>
          <w:b/>
          <w:sz w:val="28"/>
          <w:szCs w:val="28"/>
          <w:lang w:val="es-ES_tradnl"/>
        </w:rPr>
        <w:t xml:space="preserve"> </w:t>
      </w:r>
    </w:p>
    <w:p w14:paraId="111E7F92" w14:textId="77777777" w:rsidR="00F8262E" w:rsidRPr="004571E5" w:rsidRDefault="00F8262E" w:rsidP="000E0557">
      <w:pPr>
        <w:tabs>
          <w:tab w:val="left" w:pos="426"/>
        </w:tabs>
        <w:spacing w:after="0" w:line="240" w:lineRule="auto"/>
        <w:jc w:val="both"/>
        <w:rPr>
          <w:rFonts w:ascii="Times New Roman" w:hAnsi="Times New Roman" w:cs="Times New Roman"/>
          <w:sz w:val="28"/>
          <w:szCs w:val="28"/>
        </w:rPr>
      </w:pPr>
    </w:p>
    <w:p w14:paraId="388BF193" w14:textId="77777777" w:rsidR="008D1AFA" w:rsidRPr="004571E5" w:rsidRDefault="00C37BB2" w:rsidP="00400146">
      <w:pPr>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Las</w:t>
      </w:r>
      <w:r w:rsidR="00921FB3" w:rsidRPr="004571E5">
        <w:rPr>
          <w:rFonts w:ascii="Times New Roman" w:hAnsi="Times New Roman" w:cs="Times New Roman"/>
          <w:sz w:val="28"/>
          <w:szCs w:val="28"/>
        </w:rPr>
        <w:t xml:space="preserve"> sentencias </w:t>
      </w:r>
      <w:r w:rsidR="009638CA" w:rsidRPr="004571E5">
        <w:rPr>
          <w:rFonts w:ascii="Times New Roman" w:hAnsi="Times New Roman" w:cs="Times New Roman"/>
          <w:sz w:val="28"/>
          <w:szCs w:val="28"/>
        </w:rPr>
        <w:t>invocadas</w:t>
      </w:r>
      <w:r w:rsidR="00921FB3" w:rsidRPr="004571E5">
        <w:rPr>
          <w:rFonts w:ascii="Times New Roman" w:hAnsi="Times New Roman" w:cs="Times New Roman"/>
          <w:sz w:val="28"/>
          <w:szCs w:val="28"/>
        </w:rPr>
        <w:t xml:space="preserve"> </w:t>
      </w:r>
      <w:r w:rsidRPr="004571E5">
        <w:rPr>
          <w:rFonts w:ascii="Times New Roman" w:hAnsi="Times New Roman" w:cs="Times New Roman"/>
          <w:sz w:val="28"/>
          <w:szCs w:val="28"/>
        </w:rPr>
        <w:t>permite</w:t>
      </w:r>
      <w:r w:rsidR="009638CA" w:rsidRPr="004571E5">
        <w:rPr>
          <w:rFonts w:ascii="Times New Roman" w:hAnsi="Times New Roman" w:cs="Times New Roman"/>
          <w:sz w:val="28"/>
          <w:szCs w:val="28"/>
        </w:rPr>
        <w:t>n</w:t>
      </w:r>
      <w:r w:rsidRPr="004571E5">
        <w:rPr>
          <w:rFonts w:ascii="Times New Roman" w:hAnsi="Times New Roman" w:cs="Times New Roman"/>
          <w:sz w:val="28"/>
          <w:szCs w:val="28"/>
        </w:rPr>
        <w:t xml:space="preserve"> identificar </w:t>
      </w:r>
      <w:r w:rsidR="00921FB3" w:rsidRPr="004571E5">
        <w:rPr>
          <w:rFonts w:ascii="Times New Roman" w:hAnsi="Times New Roman" w:cs="Times New Roman"/>
          <w:sz w:val="28"/>
          <w:szCs w:val="28"/>
        </w:rPr>
        <w:t xml:space="preserve">un conjunto de reglas decantadas respecto de la </w:t>
      </w:r>
      <w:r w:rsidR="007A0EDC" w:rsidRPr="004571E5">
        <w:rPr>
          <w:rFonts w:ascii="Times New Roman" w:hAnsi="Times New Roman" w:cs="Times New Roman"/>
          <w:sz w:val="28"/>
          <w:szCs w:val="28"/>
        </w:rPr>
        <w:t>valoración</w:t>
      </w:r>
      <w:r w:rsidR="00921FB3" w:rsidRPr="004571E5">
        <w:rPr>
          <w:rFonts w:ascii="Times New Roman" w:hAnsi="Times New Roman" w:cs="Times New Roman"/>
          <w:sz w:val="28"/>
          <w:szCs w:val="28"/>
        </w:rPr>
        <w:t xml:space="preserve"> probatoria en materia de ejecuciones extrajudiciales. </w:t>
      </w:r>
      <w:r w:rsidR="00993AFC" w:rsidRPr="004571E5">
        <w:rPr>
          <w:rFonts w:ascii="Times New Roman" w:hAnsi="Times New Roman" w:cs="Times New Roman"/>
          <w:sz w:val="28"/>
          <w:szCs w:val="28"/>
        </w:rPr>
        <w:t xml:space="preserve">La jurisprudencia ha reconocido que </w:t>
      </w:r>
      <w:r w:rsidR="00993AFC" w:rsidRPr="004571E5">
        <w:rPr>
          <w:rFonts w:ascii="Times New Roman" w:hAnsi="Times New Roman" w:cs="Times New Roman"/>
          <w:i/>
          <w:iCs/>
          <w:sz w:val="28"/>
          <w:szCs w:val="28"/>
        </w:rPr>
        <w:t>en aquellos casos en los que se plantee la posible ejecución extrajudicial de una persona es posible flexibilizar la actividad y valoración probatoria a efectos de asegurar la protección de las víctimas.</w:t>
      </w:r>
      <w:r w:rsidR="00993AFC" w:rsidRPr="004571E5">
        <w:rPr>
          <w:rFonts w:ascii="Times New Roman" w:hAnsi="Times New Roman" w:cs="Times New Roman"/>
          <w:sz w:val="28"/>
          <w:szCs w:val="28"/>
        </w:rPr>
        <w:t xml:space="preserve"> </w:t>
      </w:r>
    </w:p>
    <w:p w14:paraId="2B84A038" w14:textId="77777777" w:rsidR="008D1AFA" w:rsidRPr="004571E5" w:rsidRDefault="008D1AFA" w:rsidP="008D1AFA">
      <w:pPr>
        <w:tabs>
          <w:tab w:val="left" w:pos="426"/>
        </w:tabs>
        <w:spacing w:after="0" w:line="240" w:lineRule="auto"/>
        <w:jc w:val="both"/>
        <w:rPr>
          <w:rFonts w:ascii="Times New Roman" w:hAnsi="Times New Roman" w:cs="Times New Roman"/>
          <w:sz w:val="28"/>
          <w:szCs w:val="28"/>
        </w:rPr>
      </w:pPr>
    </w:p>
    <w:p w14:paraId="5B539B7F" w14:textId="036F8DCC" w:rsidR="008D1AFA" w:rsidRPr="004571E5" w:rsidRDefault="00993AFC" w:rsidP="008D1AFA">
      <w:pPr>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Recientemente la Sala Plena recordó en la Sentencia SU-287 de 2024 que “[l]</w:t>
      </w:r>
      <w:proofErr w:type="gramStart"/>
      <w:r w:rsidRPr="004571E5">
        <w:rPr>
          <w:rFonts w:ascii="Times New Roman" w:hAnsi="Times New Roman" w:cs="Times New Roman"/>
          <w:sz w:val="28"/>
          <w:szCs w:val="28"/>
        </w:rPr>
        <w:t>as dinámicas</w:t>
      </w:r>
      <w:proofErr w:type="gramEnd"/>
      <w:r w:rsidRPr="004571E5">
        <w:rPr>
          <w:rFonts w:ascii="Times New Roman" w:hAnsi="Times New Roman" w:cs="Times New Roman"/>
          <w:sz w:val="28"/>
          <w:szCs w:val="28"/>
        </w:rPr>
        <w:t xml:space="preserve"> del conflicto armado y las violaciones de derechos humanos perpetradas por el Estado exigen una reflexión cuidadosa para aplicar reglas probatorias, de modo que estas no se conviertan en cargas desproporcionadas sobre las víctimas y sus familiares”. Por ello “cuando se sospecha que el Estado ha violado los derechos de sus ciudadanos y que sus propios agentes, en lugar de procurar la justicia, han escondido la evidencia de sus delitos, la flexibilidad probatoria se vuelve un imperativo de ‘vital relevancia’ para garantizar el acceso a la administración de justicia”.</w:t>
      </w:r>
    </w:p>
    <w:p w14:paraId="24F0A760" w14:textId="77777777" w:rsidR="008D1AFA" w:rsidRPr="004571E5" w:rsidRDefault="008D1AFA" w:rsidP="008D1AFA">
      <w:pPr>
        <w:tabs>
          <w:tab w:val="left" w:pos="426"/>
        </w:tabs>
        <w:spacing w:after="0" w:line="240" w:lineRule="auto"/>
        <w:jc w:val="both"/>
        <w:rPr>
          <w:rFonts w:ascii="Times New Roman" w:hAnsi="Times New Roman" w:cs="Times New Roman"/>
          <w:sz w:val="28"/>
          <w:szCs w:val="28"/>
        </w:rPr>
      </w:pPr>
    </w:p>
    <w:p w14:paraId="0F3C8B8F" w14:textId="70356DA5" w:rsidR="008D1AFA" w:rsidRPr="004571E5" w:rsidRDefault="008D1AFA" w:rsidP="00887BAB">
      <w:pPr>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 xml:space="preserve">Recientemente, la Sala Plena destacó la complejidad del fenómeno de las ejecuciones extrajudiciales y afirmó, en la Sentencia SU-287 de 2024, que “[l]a sumatoria de los crímenes cometidos por agentes del Estado, con diferentes grados de sofisticación para encubrir la verdad, en un contexto atravesado por el conflicto armado, normalmente en zonas alejadas de los centros urbanos, con una precaria presencia institucional más allá de las fuerzas armadas, y donde las víctimas pertenecían a grupos de por sí excluidos o marginalizados de la sociedad (…), generó un escenario de rampante impunidad que rondaban una alarmante cifra del 98,5%”. </w:t>
      </w:r>
      <w:r w:rsidR="00887BAB" w:rsidRPr="004571E5">
        <w:rPr>
          <w:rFonts w:ascii="Times New Roman" w:hAnsi="Times New Roman" w:cs="Times New Roman"/>
          <w:sz w:val="28"/>
          <w:szCs w:val="28"/>
        </w:rPr>
        <w:t xml:space="preserve">Además, la Corte indicó que la consagración de un especial estándar responde a que "existen obstáculos para encontrar pruebas directas dado que los hechos usualmente ocurrieron en zonas remotas con baja </w:t>
      </w:r>
      <w:r w:rsidR="00887BAB" w:rsidRPr="004571E5">
        <w:rPr>
          <w:rFonts w:ascii="Times New Roman" w:hAnsi="Times New Roman" w:cs="Times New Roman"/>
          <w:sz w:val="28"/>
          <w:szCs w:val="28"/>
        </w:rPr>
        <w:lastRenderedPageBreak/>
        <w:t>presencia institucional o en condiciones de mayor ocultamiento</w:t>
      </w:r>
      <w:r w:rsidR="00230897">
        <w:rPr>
          <w:rFonts w:ascii="Times New Roman" w:hAnsi="Times New Roman" w:cs="Times New Roman"/>
          <w:sz w:val="28"/>
          <w:szCs w:val="28"/>
        </w:rPr>
        <w:t>”</w:t>
      </w:r>
      <w:r w:rsidR="00887BAB" w:rsidRPr="004571E5">
        <w:rPr>
          <w:rFonts w:ascii="Times New Roman" w:hAnsi="Times New Roman" w:cs="Times New Roman"/>
          <w:sz w:val="28"/>
          <w:szCs w:val="28"/>
        </w:rPr>
        <w:t>.</w:t>
      </w:r>
      <w:r w:rsidR="00230897">
        <w:rPr>
          <w:rFonts w:ascii="Times New Roman" w:hAnsi="Times New Roman" w:cs="Times New Roman"/>
          <w:sz w:val="28"/>
          <w:szCs w:val="28"/>
        </w:rPr>
        <w:t xml:space="preserve"> Igualmente, la Sala afirmó que a esta situación “</w:t>
      </w:r>
      <w:r w:rsidR="00887BAB" w:rsidRPr="004571E5">
        <w:rPr>
          <w:rFonts w:ascii="Times New Roman" w:hAnsi="Times New Roman" w:cs="Times New Roman"/>
          <w:sz w:val="28"/>
          <w:szCs w:val="28"/>
        </w:rPr>
        <w:t>se suma el estado de indefensión de las víctimas, el silencio de los testigos por el temor a represalias y la alteración de la escena por parte de los agentes estatales involucrados”, lo que ha “motivado que los tribunales de justicia avancen hacia la tesis de la flexibilización probatoria”. Además, la Sala Plena sostuvo que “ante la omisión de los agentes del [E]</w:t>
      </w:r>
      <w:proofErr w:type="spellStart"/>
      <w:r w:rsidR="00887BAB" w:rsidRPr="004571E5">
        <w:rPr>
          <w:rFonts w:ascii="Times New Roman" w:hAnsi="Times New Roman" w:cs="Times New Roman"/>
          <w:sz w:val="28"/>
          <w:szCs w:val="28"/>
        </w:rPr>
        <w:t>stado</w:t>
      </w:r>
      <w:proofErr w:type="spellEnd"/>
      <w:r w:rsidR="00887BAB" w:rsidRPr="004571E5">
        <w:rPr>
          <w:rFonts w:ascii="Times New Roman" w:hAnsi="Times New Roman" w:cs="Times New Roman"/>
          <w:sz w:val="28"/>
          <w:szCs w:val="28"/>
        </w:rPr>
        <w:t xml:space="preserve"> de controlar a sus uniformados en el cumplimiento de sus funciones, ante el ocultamiento de la verdad por parte de las agentes estatales y ante la imposibilidad de las víctimas de probar las circunstancias en las que se dieron los hechos, las cargas probatorias deben aligerarse en beneficio de las eventuales víctimas”. </w:t>
      </w:r>
    </w:p>
    <w:p w14:paraId="543F26D6" w14:textId="77777777" w:rsidR="00887BAB" w:rsidRPr="004571E5" w:rsidRDefault="00887BAB" w:rsidP="00887BAB">
      <w:pPr>
        <w:tabs>
          <w:tab w:val="left" w:pos="426"/>
        </w:tabs>
        <w:spacing w:after="0" w:line="240" w:lineRule="auto"/>
        <w:jc w:val="both"/>
        <w:rPr>
          <w:rFonts w:ascii="Times New Roman" w:hAnsi="Times New Roman" w:cs="Times New Roman"/>
          <w:sz w:val="28"/>
          <w:szCs w:val="28"/>
        </w:rPr>
      </w:pPr>
    </w:p>
    <w:p w14:paraId="11B8A6D8" w14:textId="3DAB2A71" w:rsidR="008D1AFA" w:rsidRPr="004571E5" w:rsidRDefault="008D1AFA" w:rsidP="00400146">
      <w:pPr>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 xml:space="preserve">Igualmente, la referida sentencia hizo referencia al Informe Final de la Comisión de la Verdad, en el cual se evidenció “un déficit de justicia histórico, generalizado y permanente respecto a las violaciones producidas […] en el conflicto armado colombiano” y se afirmó que esta impunidad representa “un círculo vicioso que es causa y a la vez consecuencia de las violaciones derivadas del conflicto”. Ello, relacionado con la magnitud del conflicto en Colombia, que la sentencia expresó de la siguiente manera: </w:t>
      </w:r>
    </w:p>
    <w:p w14:paraId="73E56DA7" w14:textId="77777777" w:rsidR="008D1AFA" w:rsidRPr="004571E5" w:rsidRDefault="008D1AFA" w:rsidP="008D1AFA">
      <w:pPr>
        <w:pStyle w:val="Prrafodelista"/>
        <w:rPr>
          <w:rFonts w:ascii="Times New Roman" w:hAnsi="Times New Roman" w:cs="Times New Roman"/>
          <w:sz w:val="28"/>
          <w:szCs w:val="28"/>
        </w:rPr>
      </w:pPr>
    </w:p>
    <w:p w14:paraId="0E973EDF" w14:textId="2B3B0196" w:rsidR="008D1AFA" w:rsidRPr="004571E5" w:rsidRDefault="008D1AFA" w:rsidP="008D1AFA">
      <w:pPr>
        <w:tabs>
          <w:tab w:val="left" w:pos="426"/>
        </w:tabs>
        <w:spacing w:after="0" w:line="240" w:lineRule="auto"/>
        <w:ind w:left="426"/>
        <w:jc w:val="both"/>
        <w:rPr>
          <w:rFonts w:ascii="Times New Roman" w:hAnsi="Times New Roman" w:cs="Times New Roman"/>
          <w:sz w:val="28"/>
          <w:szCs w:val="28"/>
        </w:rPr>
      </w:pPr>
      <w:r w:rsidRPr="004571E5">
        <w:rPr>
          <w:rFonts w:ascii="Times New Roman" w:hAnsi="Times New Roman" w:cs="Times New Roman"/>
          <w:sz w:val="28"/>
          <w:szCs w:val="28"/>
        </w:rPr>
        <w:t>“</w:t>
      </w:r>
      <w:r w:rsidRPr="004571E5">
        <w:rPr>
          <w:rFonts w:ascii="Times New Roman" w:hAnsi="Times New Roman" w:cs="Times New Roman"/>
          <w:sz w:val="24"/>
          <w:szCs w:val="24"/>
        </w:rPr>
        <w:t>Tristemente, este no es un fenómeno reciente para el país, pero fue en la primera década del dos mil cuando creció exponencialmente y se hizo más evidente. El Relator especial de las Naciones Unidas para las ejecuciones extrajudiciales, luego de su visita al país en el año 2009, advirtió que ‘[h]</w:t>
      </w:r>
      <w:proofErr w:type="spellStart"/>
      <w:r w:rsidRPr="004571E5">
        <w:rPr>
          <w:rFonts w:ascii="Times New Roman" w:hAnsi="Times New Roman" w:cs="Times New Roman"/>
          <w:sz w:val="24"/>
          <w:szCs w:val="24"/>
        </w:rPr>
        <w:t>a</w:t>
      </w:r>
      <w:proofErr w:type="spellEnd"/>
      <w:r w:rsidRPr="004571E5">
        <w:rPr>
          <w:rFonts w:ascii="Times New Roman" w:hAnsi="Times New Roman" w:cs="Times New Roman"/>
          <w:sz w:val="24"/>
          <w:szCs w:val="24"/>
        </w:rPr>
        <w:t xml:space="preserve"> habido demasiados asesinatos de carácter similar para caracterizarlos como incidentes aislados perpetrados por apenas algunos soldados o unidades renegados, o </w:t>
      </w:r>
      <w:r w:rsidRPr="004571E5">
        <w:rPr>
          <w:rFonts w:ascii="Times New Roman" w:hAnsi="Times New Roman" w:cs="Times New Roman"/>
          <w:i/>
          <w:iCs/>
          <w:sz w:val="24"/>
          <w:szCs w:val="24"/>
        </w:rPr>
        <w:t>manzanas podridas’</w:t>
      </w:r>
      <w:r w:rsidRPr="004571E5">
        <w:rPr>
          <w:rFonts w:ascii="Times New Roman" w:hAnsi="Times New Roman" w:cs="Times New Roman"/>
          <w:sz w:val="24"/>
          <w:szCs w:val="24"/>
        </w:rPr>
        <w:t>. Más recientemente, los avances de la Jurisdicción Especial para la Paz dan cuenta de registros de ejecuciones extrajudiciales que se remontan a 1978 y llegan, por lo menos, hasta 2016, con un total de 8.208 personas asesinadas bajo ese tipo de acciones. El periodo con mayor número de casos se concentra entre los años 2002 y 2008, cuando se reportaron 6.402 víctimas en 31 departamentos, es decir, una práctica criminal que se extendió prácticamente por la totalidad del país</w:t>
      </w:r>
      <w:r w:rsidRPr="004571E5">
        <w:rPr>
          <w:rFonts w:ascii="Times New Roman" w:hAnsi="Times New Roman" w:cs="Times New Roman"/>
          <w:sz w:val="28"/>
          <w:szCs w:val="28"/>
        </w:rPr>
        <w:t>”.</w:t>
      </w:r>
    </w:p>
    <w:p w14:paraId="536DECCB" w14:textId="77777777" w:rsidR="00993AFC" w:rsidRPr="004571E5" w:rsidRDefault="00993AFC" w:rsidP="000E0557">
      <w:pPr>
        <w:tabs>
          <w:tab w:val="left" w:pos="426"/>
        </w:tabs>
        <w:spacing w:after="0" w:line="240" w:lineRule="auto"/>
        <w:jc w:val="both"/>
        <w:rPr>
          <w:rFonts w:ascii="Times New Roman" w:hAnsi="Times New Roman" w:cs="Times New Roman"/>
          <w:sz w:val="28"/>
          <w:szCs w:val="28"/>
        </w:rPr>
      </w:pPr>
    </w:p>
    <w:p w14:paraId="26569E19" w14:textId="52338376" w:rsidR="00993AFC" w:rsidRPr="004571E5" w:rsidRDefault="00993AFC" w:rsidP="00481F2E">
      <w:pPr>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 xml:space="preserve"> </w:t>
      </w:r>
      <w:r w:rsidR="00921FB3" w:rsidRPr="004571E5">
        <w:rPr>
          <w:rFonts w:ascii="Times New Roman" w:hAnsi="Times New Roman" w:cs="Times New Roman"/>
          <w:sz w:val="28"/>
          <w:szCs w:val="28"/>
        </w:rPr>
        <w:t xml:space="preserve">Bajo este especial contexto y la dificultad probatoria que ello conlleva para las víctimas, la Corte ha fijado diferentes reglas que deben aplicarse al momento de valorar probatoriamente casos como los aquí referidos. Se trata de pautas o criterios que buscan equilibrar </w:t>
      </w:r>
      <w:r w:rsidR="00EB3085" w:rsidRPr="004571E5">
        <w:rPr>
          <w:rFonts w:ascii="Times New Roman" w:hAnsi="Times New Roman" w:cs="Times New Roman"/>
          <w:sz w:val="28"/>
          <w:szCs w:val="28"/>
        </w:rPr>
        <w:t xml:space="preserve">a </w:t>
      </w:r>
      <w:r w:rsidR="00921FB3" w:rsidRPr="004571E5">
        <w:rPr>
          <w:rFonts w:ascii="Times New Roman" w:hAnsi="Times New Roman" w:cs="Times New Roman"/>
          <w:sz w:val="28"/>
          <w:szCs w:val="28"/>
        </w:rPr>
        <w:t xml:space="preserve">las partes dentro del proceso y asegurar que </w:t>
      </w:r>
      <w:r w:rsidR="003A7C28" w:rsidRPr="004571E5">
        <w:rPr>
          <w:rFonts w:ascii="Times New Roman" w:hAnsi="Times New Roman" w:cs="Times New Roman"/>
          <w:sz w:val="28"/>
          <w:szCs w:val="28"/>
        </w:rPr>
        <w:t xml:space="preserve">el Estado, que se encuentra </w:t>
      </w:r>
      <w:r w:rsidR="007958A3" w:rsidRPr="004571E5">
        <w:rPr>
          <w:rFonts w:ascii="Times New Roman" w:hAnsi="Times New Roman" w:cs="Times New Roman"/>
          <w:sz w:val="28"/>
          <w:szCs w:val="28"/>
        </w:rPr>
        <w:t xml:space="preserve">por regla general </w:t>
      </w:r>
      <w:r w:rsidR="003A7C28" w:rsidRPr="004571E5">
        <w:rPr>
          <w:rFonts w:ascii="Times New Roman" w:hAnsi="Times New Roman" w:cs="Times New Roman"/>
          <w:sz w:val="28"/>
          <w:szCs w:val="28"/>
        </w:rPr>
        <w:t xml:space="preserve">en una mejor posición </w:t>
      </w:r>
      <w:r w:rsidR="007958A3" w:rsidRPr="004571E5">
        <w:rPr>
          <w:rFonts w:ascii="Times New Roman" w:hAnsi="Times New Roman" w:cs="Times New Roman"/>
          <w:sz w:val="28"/>
          <w:szCs w:val="28"/>
        </w:rPr>
        <w:t>para probar sus afirmaciones</w:t>
      </w:r>
      <w:r w:rsidR="003A7C28" w:rsidRPr="004571E5">
        <w:rPr>
          <w:rFonts w:ascii="Times New Roman" w:hAnsi="Times New Roman" w:cs="Times New Roman"/>
          <w:sz w:val="28"/>
          <w:szCs w:val="28"/>
        </w:rPr>
        <w:t>, no cuente con una ventaja desproporcionada sobre las víctimas.</w:t>
      </w:r>
    </w:p>
    <w:p w14:paraId="76ACF5BE" w14:textId="77777777" w:rsidR="00993AFC" w:rsidRPr="004571E5" w:rsidRDefault="00993AFC" w:rsidP="000E0557">
      <w:pPr>
        <w:tabs>
          <w:tab w:val="left" w:pos="426"/>
        </w:tabs>
        <w:spacing w:after="0" w:line="240" w:lineRule="auto"/>
        <w:jc w:val="both"/>
        <w:rPr>
          <w:rFonts w:ascii="Times New Roman" w:hAnsi="Times New Roman" w:cs="Times New Roman"/>
          <w:sz w:val="28"/>
          <w:szCs w:val="28"/>
        </w:rPr>
      </w:pPr>
    </w:p>
    <w:p w14:paraId="6F4B6C94" w14:textId="481F1489" w:rsidR="00A01528" w:rsidRPr="004571E5" w:rsidRDefault="00C37BB2" w:rsidP="00481F2E">
      <w:pPr>
        <w:numPr>
          <w:ilvl w:val="0"/>
          <w:numId w:val="1"/>
        </w:numPr>
        <w:tabs>
          <w:tab w:val="left" w:pos="426"/>
        </w:tabs>
        <w:spacing w:after="0" w:line="240" w:lineRule="auto"/>
        <w:jc w:val="both"/>
        <w:rPr>
          <w:rFonts w:ascii="Times New Roman" w:hAnsi="Times New Roman" w:cs="Times New Roman"/>
          <w:sz w:val="24"/>
          <w:szCs w:val="24"/>
        </w:rPr>
      </w:pPr>
      <w:r w:rsidRPr="004571E5">
        <w:rPr>
          <w:rFonts w:ascii="Times New Roman" w:hAnsi="Times New Roman" w:cs="Times New Roman"/>
          <w:sz w:val="28"/>
          <w:szCs w:val="28"/>
        </w:rPr>
        <w:t>D</w:t>
      </w:r>
      <w:r w:rsidR="009A1DF2" w:rsidRPr="004571E5">
        <w:rPr>
          <w:rFonts w:ascii="Times New Roman" w:hAnsi="Times New Roman" w:cs="Times New Roman"/>
          <w:sz w:val="28"/>
          <w:szCs w:val="28"/>
        </w:rPr>
        <w:t>iferentes salas de revisión</w:t>
      </w:r>
      <w:r w:rsidR="00B0053A" w:rsidRPr="004571E5">
        <w:rPr>
          <w:rStyle w:val="Refdenotaalpie"/>
          <w:rFonts w:ascii="Times New Roman" w:hAnsi="Times New Roman" w:cs="Times New Roman"/>
          <w:sz w:val="28"/>
          <w:szCs w:val="28"/>
        </w:rPr>
        <w:footnoteReference w:id="43"/>
      </w:r>
      <w:r w:rsidR="009A1DF2" w:rsidRPr="004571E5">
        <w:rPr>
          <w:rFonts w:ascii="Times New Roman" w:hAnsi="Times New Roman" w:cs="Times New Roman"/>
          <w:sz w:val="28"/>
          <w:szCs w:val="28"/>
        </w:rPr>
        <w:t xml:space="preserve"> y la Sala Plena</w:t>
      </w:r>
      <w:r w:rsidR="00B0053A" w:rsidRPr="004571E5">
        <w:rPr>
          <w:rStyle w:val="Refdenotaalpie"/>
          <w:rFonts w:ascii="Times New Roman" w:hAnsi="Times New Roman" w:cs="Times New Roman"/>
          <w:sz w:val="28"/>
          <w:szCs w:val="28"/>
        </w:rPr>
        <w:footnoteReference w:id="44"/>
      </w:r>
      <w:r w:rsidR="009A1DF2" w:rsidRPr="004571E5">
        <w:rPr>
          <w:rFonts w:ascii="Times New Roman" w:hAnsi="Times New Roman" w:cs="Times New Roman"/>
          <w:sz w:val="28"/>
          <w:szCs w:val="28"/>
        </w:rPr>
        <w:t xml:space="preserve"> de la Corte han establecido múltiples reglas respecto </w:t>
      </w:r>
      <w:r w:rsidR="007A0EDC" w:rsidRPr="004571E5">
        <w:rPr>
          <w:rFonts w:ascii="Times New Roman" w:hAnsi="Times New Roman" w:cs="Times New Roman"/>
          <w:sz w:val="28"/>
          <w:szCs w:val="28"/>
        </w:rPr>
        <w:t>de cómo debe operar la valoración</w:t>
      </w:r>
      <w:r w:rsidR="009A1DF2" w:rsidRPr="004571E5">
        <w:rPr>
          <w:rFonts w:ascii="Times New Roman" w:hAnsi="Times New Roman" w:cs="Times New Roman"/>
          <w:sz w:val="28"/>
          <w:szCs w:val="28"/>
        </w:rPr>
        <w:t xml:space="preserve"> probatoria en casos de ejecuciones extrajudiciales.</w:t>
      </w:r>
      <w:r w:rsidR="00993AFC" w:rsidRPr="004571E5">
        <w:rPr>
          <w:rFonts w:ascii="Times New Roman" w:hAnsi="Times New Roman" w:cs="Times New Roman"/>
          <w:sz w:val="28"/>
          <w:szCs w:val="28"/>
        </w:rPr>
        <w:t xml:space="preserve"> </w:t>
      </w:r>
      <w:r w:rsidR="009A1DF2" w:rsidRPr="004571E5">
        <w:rPr>
          <w:rFonts w:ascii="Times New Roman" w:hAnsi="Times New Roman" w:cs="Times New Roman"/>
          <w:sz w:val="28"/>
          <w:szCs w:val="28"/>
        </w:rPr>
        <w:t xml:space="preserve">Estas se han construido </w:t>
      </w:r>
      <w:r w:rsidR="00967C58" w:rsidRPr="004571E5">
        <w:rPr>
          <w:rFonts w:ascii="Times New Roman" w:hAnsi="Times New Roman" w:cs="Times New Roman"/>
          <w:sz w:val="28"/>
          <w:szCs w:val="28"/>
        </w:rPr>
        <w:t xml:space="preserve">a través de la interacción de la jurisprudencia de </w:t>
      </w:r>
      <w:r w:rsidR="009A1DF2" w:rsidRPr="004571E5">
        <w:rPr>
          <w:rFonts w:ascii="Times New Roman" w:hAnsi="Times New Roman" w:cs="Times New Roman"/>
          <w:sz w:val="28"/>
          <w:szCs w:val="28"/>
        </w:rPr>
        <w:t xml:space="preserve">esta </w:t>
      </w:r>
      <w:r w:rsidR="00DD0496" w:rsidRPr="004571E5">
        <w:rPr>
          <w:rFonts w:ascii="Times New Roman" w:hAnsi="Times New Roman" w:cs="Times New Roman"/>
          <w:sz w:val="28"/>
          <w:szCs w:val="28"/>
        </w:rPr>
        <w:t>C</w:t>
      </w:r>
      <w:r w:rsidR="009A1DF2" w:rsidRPr="004571E5">
        <w:rPr>
          <w:rFonts w:ascii="Times New Roman" w:hAnsi="Times New Roman" w:cs="Times New Roman"/>
          <w:sz w:val="28"/>
          <w:szCs w:val="28"/>
        </w:rPr>
        <w:t xml:space="preserve">orporación, </w:t>
      </w:r>
      <w:r w:rsidR="00967C58" w:rsidRPr="004571E5">
        <w:rPr>
          <w:rFonts w:ascii="Times New Roman" w:hAnsi="Times New Roman" w:cs="Times New Roman"/>
          <w:sz w:val="28"/>
          <w:szCs w:val="28"/>
        </w:rPr>
        <w:t>d</w:t>
      </w:r>
      <w:r w:rsidR="009A1DF2" w:rsidRPr="004571E5">
        <w:rPr>
          <w:rFonts w:ascii="Times New Roman" w:hAnsi="Times New Roman" w:cs="Times New Roman"/>
          <w:sz w:val="28"/>
          <w:szCs w:val="28"/>
        </w:rPr>
        <w:t>el Consejo de Estado</w:t>
      </w:r>
      <w:r w:rsidR="00E26B08" w:rsidRPr="004571E5">
        <w:rPr>
          <w:rStyle w:val="Refdenotaalpie"/>
          <w:rFonts w:ascii="Times New Roman" w:hAnsi="Times New Roman" w:cs="Times New Roman"/>
          <w:sz w:val="28"/>
          <w:szCs w:val="28"/>
        </w:rPr>
        <w:footnoteReference w:id="45"/>
      </w:r>
      <w:r w:rsidR="009A1DF2" w:rsidRPr="004571E5">
        <w:rPr>
          <w:rFonts w:ascii="Times New Roman" w:hAnsi="Times New Roman" w:cs="Times New Roman"/>
          <w:sz w:val="28"/>
          <w:szCs w:val="28"/>
        </w:rPr>
        <w:t xml:space="preserve"> y </w:t>
      </w:r>
      <w:r w:rsidR="00967C58" w:rsidRPr="004571E5">
        <w:rPr>
          <w:rFonts w:ascii="Times New Roman" w:hAnsi="Times New Roman" w:cs="Times New Roman"/>
          <w:sz w:val="28"/>
          <w:szCs w:val="28"/>
        </w:rPr>
        <w:t xml:space="preserve">de </w:t>
      </w:r>
      <w:r w:rsidR="009A1DF2" w:rsidRPr="004571E5">
        <w:rPr>
          <w:rFonts w:ascii="Times New Roman" w:hAnsi="Times New Roman" w:cs="Times New Roman"/>
          <w:sz w:val="28"/>
          <w:szCs w:val="28"/>
        </w:rPr>
        <w:t xml:space="preserve">la Corte </w:t>
      </w:r>
      <w:r w:rsidR="009A1DF2" w:rsidRPr="004571E5">
        <w:rPr>
          <w:rFonts w:ascii="Times New Roman" w:hAnsi="Times New Roman" w:cs="Times New Roman"/>
          <w:sz w:val="28"/>
          <w:szCs w:val="28"/>
        </w:rPr>
        <w:lastRenderedPageBreak/>
        <w:t>Interamericana de Derechos Humanos</w:t>
      </w:r>
      <w:r w:rsidR="00E26B08" w:rsidRPr="004571E5">
        <w:rPr>
          <w:rStyle w:val="Refdenotaalpie"/>
          <w:rFonts w:ascii="Times New Roman" w:hAnsi="Times New Roman" w:cs="Times New Roman"/>
          <w:sz w:val="28"/>
          <w:szCs w:val="28"/>
        </w:rPr>
        <w:footnoteReference w:id="46"/>
      </w:r>
      <w:r w:rsidR="009A1DF2" w:rsidRPr="004571E5">
        <w:rPr>
          <w:rFonts w:ascii="Times New Roman" w:hAnsi="Times New Roman" w:cs="Times New Roman"/>
          <w:sz w:val="28"/>
          <w:szCs w:val="28"/>
        </w:rPr>
        <w:t xml:space="preserve">. En la </w:t>
      </w:r>
      <w:r w:rsidR="00C90307" w:rsidRPr="004571E5">
        <w:rPr>
          <w:rFonts w:ascii="Times New Roman" w:hAnsi="Times New Roman" w:cs="Times New Roman"/>
          <w:sz w:val="28"/>
          <w:szCs w:val="28"/>
        </w:rPr>
        <w:t>siguiente</w:t>
      </w:r>
      <w:r w:rsidR="009A1DF2" w:rsidRPr="004571E5">
        <w:rPr>
          <w:rFonts w:ascii="Times New Roman" w:hAnsi="Times New Roman" w:cs="Times New Roman"/>
          <w:sz w:val="28"/>
          <w:szCs w:val="28"/>
        </w:rPr>
        <w:t xml:space="preserve"> tabla </w:t>
      </w:r>
      <w:r w:rsidR="00C90307" w:rsidRPr="004571E5">
        <w:rPr>
          <w:rFonts w:ascii="Times New Roman" w:hAnsi="Times New Roman" w:cs="Times New Roman"/>
          <w:sz w:val="28"/>
          <w:szCs w:val="28"/>
        </w:rPr>
        <w:t>se condensan las reglas más relevantes</w:t>
      </w:r>
      <w:r w:rsidR="00EF0504" w:rsidRPr="004571E5">
        <w:rPr>
          <w:rFonts w:ascii="Times New Roman" w:hAnsi="Times New Roman" w:cs="Times New Roman"/>
          <w:sz w:val="28"/>
          <w:szCs w:val="28"/>
        </w:rPr>
        <w:t xml:space="preserve"> establecidas por la Corte Constitucional</w:t>
      </w:r>
      <w:r w:rsidR="00C90307" w:rsidRPr="004571E5">
        <w:rPr>
          <w:rFonts w:ascii="Times New Roman" w:hAnsi="Times New Roman" w:cs="Times New Roman"/>
          <w:sz w:val="28"/>
          <w:szCs w:val="28"/>
        </w:rPr>
        <w:t xml:space="preserve">: </w:t>
      </w:r>
    </w:p>
    <w:p w14:paraId="65A28F81" w14:textId="77777777" w:rsidR="00C90307" w:rsidRPr="004571E5" w:rsidRDefault="00C90307" w:rsidP="00481F2E">
      <w:pPr>
        <w:tabs>
          <w:tab w:val="left" w:pos="426"/>
        </w:tabs>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828"/>
      </w:tblGrid>
      <w:tr w:rsidR="00C90307" w:rsidRPr="004571E5" w14:paraId="4156413E" w14:textId="77777777" w:rsidTr="001B4816">
        <w:tc>
          <w:tcPr>
            <w:tcW w:w="8828" w:type="dxa"/>
            <w:shd w:val="clear" w:color="auto" w:fill="BFBFBF" w:themeFill="background1" w:themeFillShade="BF"/>
          </w:tcPr>
          <w:p w14:paraId="5E1AB31D" w14:textId="6811403D" w:rsidR="00C90307" w:rsidRPr="004571E5" w:rsidRDefault="001B4816" w:rsidP="00481F2E">
            <w:pPr>
              <w:tabs>
                <w:tab w:val="left" w:pos="426"/>
              </w:tabs>
              <w:jc w:val="center"/>
              <w:rPr>
                <w:rFonts w:ascii="Times New Roman" w:hAnsi="Times New Roman" w:cs="Times New Roman"/>
                <w:b/>
                <w:bCs/>
                <w:sz w:val="24"/>
                <w:szCs w:val="24"/>
              </w:rPr>
            </w:pPr>
            <w:r w:rsidRPr="004571E5">
              <w:rPr>
                <w:rFonts w:ascii="Times New Roman" w:hAnsi="Times New Roman" w:cs="Times New Roman"/>
                <w:b/>
                <w:bCs/>
                <w:sz w:val="24"/>
                <w:szCs w:val="24"/>
              </w:rPr>
              <w:t>Reglas en materia probatoria ante eventos de ejecuciones extrajudiciales</w:t>
            </w:r>
            <w:r w:rsidRPr="004571E5">
              <w:rPr>
                <w:rStyle w:val="Refdenotaalpie"/>
                <w:rFonts w:ascii="Times New Roman" w:hAnsi="Times New Roman" w:cs="Times New Roman"/>
                <w:b/>
                <w:bCs/>
                <w:sz w:val="24"/>
                <w:szCs w:val="24"/>
              </w:rPr>
              <w:footnoteReference w:id="47"/>
            </w:r>
          </w:p>
        </w:tc>
      </w:tr>
      <w:tr w:rsidR="00C90307" w:rsidRPr="004571E5" w14:paraId="3464E7C5" w14:textId="77777777" w:rsidTr="001B4816">
        <w:tc>
          <w:tcPr>
            <w:tcW w:w="8828" w:type="dxa"/>
            <w:shd w:val="clear" w:color="auto" w:fill="D9D9D9" w:themeFill="background1" w:themeFillShade="D9"/>
          </w:tcPr>
          <w:p w14:paraId="2511BBF8" w14:textId="3955720C" w:rsidR="00C90307" w:rsidRPr="004571E5" w:rsidRDefault="00C37BB2" w:rsidP="00481F2E">
            <w:pPr>
              <w:tabs>
                <w:tab w:val="left" w:pos="426"/>
              </w:tabs>
              <w:jc w:val="center"/>
              <w:rPr>
                <w:rFonts w:ascii="Times New Roman" w:hAnsi="Times New Roman" w:cs="Times New Roman"/>
                <w:i/>
                <w:iCs/>
                <w:sz w:val="24"/>
                <w:szCs w:val="24"/>
              </w:rPr>
            </w:pPr>
            <w:r w:rsidRPr="004571E5">
              <w:rPr>
                <w:rFonts w:ascii="Times New Roman" w:hAnsi="Times New Roman" w:cs="Times New Roman"/>
                <w:i/>
                <w:iCs/>
                <w:sz w:val="24"/>
                <w:szCs w:val="24"/>
              </w:rPr>
              <w:t xml:space="preserve">Ámbitos relevantes para el Derecho Probatorio </w:t>
            </w:r>
          </w:p>
        </w:tc>
      </w:tr>
      <w:tr w:rsidR="00C90307" w:rsidRPr="004571E5" w14:paraId="3CC71BD1" w14:textId="77777777" w:rsidTr="00C90307">
        <w:tc>
          <w:tcPr>
            <w:tcW w:w="8828" w:type="dxa"/>
          </w:tcPr>
          <w:p w14:paraId="1E1C3FC5" w14:textId="7C9EC338" w:rsidR="00C90307" w:rsidRPr="004571E5" w:rsidRDefault="00716350" w:rsidP="00481F2E">
            <w:pPr>
              <w:tabs>
                <w:tab w:val="left" w:pos="426"/>
              </w:tabs>
              <w:jc w:val="both"/>
              <w:rPr>
                <w:rFonts w:ascii="Times New Roman" w:hAnsi="Times New Roman" w:cs="Times New Roman"/>
                <w:sz w:val="24"/>
                <w:szCs w:val="24"/>
              </w:rPr>
            </w:pPr>
            <w:r w:rsidRPr="004571E5">
              <w:rPr>
                <w:rFonts w:ascii="Times New Roman" w:hAnsi="Times New Roman" w:cs="Times New Roman"/>
                <w:i/>
                <w:iCs/>
                <w:sz w:val="24"/>
                <w:szCs w:val="24"/>
              </w:rPr>
              <w:t>Distribución de la carga de la prueba</w:t>
            </w:r>
            <w:r w:rsidRPr="004571E5">
              <w:rPr>
                <w:rFonts w:ascii="Times New Roman" w:hAnsi="Times New Roman" w:cs="Times New Roman"/>
                <w:sz w:val="24"/>
                <w:szCs w:val="24"/>
              </w:rPr>
              <w:t xml:space="preserve">. </w:t>
            </w:r>
            <w:r w:rsidR="00B0053A" w:rsidRPr="004571E5">
              <w:rPr>
                <w:rFonts w:ascii="Times New Roman" w:hAnsi="Times New Roman" w:cs="Times New Roman"/>
                <w:sz w:val="24"/>
                <w:szCs w:val="24"/>
              </w:rPr>
              <w:t xml:space="preserve">Dado que los autores y partícipes de los hechos que involucran una ejecución extrajudicial buscan esconder la verdad, “le corresponde a la entidad demandada, que se encontraba en mejor posición, aportar los medios de convicción que desvirtúen las imputaciones de la demanda”. Esto “no implica que exista una presunción de responsabilidad, ni que se exima a las partes de su deber jurídico de probar lo que reclaman, sino que, ante la omisión de los agentes del </w:t>
            </w:r>
            <w:r w:rsidR="0037274D" w:rsidRPr="004571E5">
              <w:rPr>
                <w:rFonts w:ascii="Times New Roman" w:hAnsi="Times New Roman" w:cs="Times New Roman"/>
                <w:sz w:val="24"/>
                <w:szCs w:val="24"/>
              </w:rPr>
              <w:t>E</w:t>
            </w:r>
            <w:r w:rsidR="00B0053A" w:rsidRPr="004571E5">
              <w:rPr>
                <w:rFonts w:ascii="Times New Roman" w:hAnsi="Times New Roman" w:cs="Times New Roman"/>
                <w:sz w:val="24"/>
                <w:szCs w:val="24"/>
              </w:rPr>
              <w:t xml:space="preserve">stado de controlar a sus uniformados en el cumplimiento de sus funciones, ante el ocultamiento de la verdad por parte de las agentes estatales y ante la imposibilidad de las víctimas de probar las circunstancias en las que se dieron los hechos, </w:t>
            </w:r>
            <w:r w:rsidR="00B0053A" w:rsidRPr="004571E5">
              <w:rPr>
                <w:rFonts w:ascii="Times New Roman" w:hAnsi="Times New Roman" w:cs="Times New Roman"/>
                <w:i/>
                <w:iCs/>
                <w:sz w:val="24"/>
                <w:szCs w:val="24"/>
              </w:rPr>
              <w:t>las cargas probatorias deben aligerarse en beneficio de las eventuales víctimas</w:t>
            </w:r>
            <w:r w:rsidR="00B0053A" w:rsidRPr="004571E5">
              <w:rPr>
                <w:rFonts w:ascii="Times New Roman" w:hAnsi="Times New Roman" w:cs="Times New Roman"/>
                <w:sz w:val="24"/>
                <w:szCs w:val="24"/>
              </w:rPr>
              <w:t>”.</w:t>
            </w:r>
          </w:p>
        </w:tc>
      </w:tr>
      <w:tr w:rsidR="00C90307" w:rsidRPr="004571E5" w14:paraId="663F72D6" w14:textId="77777777" w:rsidTr="00C90307">
        <w:tc>
          <w:tcPr>
            <w:tcW w:w="8828" w:type="dxa"/>
          </w:tcPr>
          <w:p w14:paraId="3D83040E" w14:textId="34B4B604" w:rsidR="00C90307" w:rsidRPr="004571E5" w:rsidRDefault="00716350" w:rsidP="00481F2E">
            <w:pPr>
              <w:tabs>
                <w:tab w:val="left" w:pos="426"/>
              </w:tabs>
              <w:jc w:val="both"/>
              <w:rPr>
                <w:rFonts w:ascii="Times New Roman" w:hAnsi="Times New Roman" w:cs="Times New Roman"/>
                <w:sz w:val="24"/>
                <w:szCs w:val="24"/>
              </w:rPr>
            </w:pPr>
            <w:r w:rsidRPr="004571E5">
              <w:rPr>
                <w:rFonts w:ascii="Times New Roman" w:hAnsi="Times New Roman" w:cs="Times New Roman"/>
                <w:i/>
                <w:iCs/>
                <w:sz w:val="24"/>
                <w:szCs w:val="24"/>
              </w:rPr>
              <w:t>Mayor peso a los medios de prueba indirectos</w:t>
            </w:r>
            <w:r w:rsidRPr="004571E5">
              <w:rPr>
                <w:rFonts w:ascii="Times New Roman" w:hAnsi="Times New Roman" w:cs="Times New Roman"/>
                <w:sz w:val="24"/>
                <w:szCs w:val="24"/>
              </w:rPr>
              <w:t xml:space="preserve">. </w:t>
            </w:r>
            <w:r w:rsidR="00B0053A" w:rsidRPr="004571E5">
              <w:rPr>
                <w:rFonts w:ascii="Times New Roman" w:hAnsi="Times New Roman" w:cs="Times New Roman"/>
                <w:sz w:val="24"/>
                <w:szCs w:val="24"/>
              </w:rPr>
              <w:t xml:space="preserve">Ante la dificultad recién indicada, es necesario recurrir a medios de prueba indirectos como los indicios y la prueba circunstancial “siempre que de ellos puedan inferirse conclusiones consistentes </w:t>
            </w:r>
            <w:r w:rsidR="0037274D" w:rsidRPr="004571E5">
              <w:rPr>
                <w:rFonts w:ascii="Times New Roman" w:hAnsi="Times New Roman" w:cs="Times New Roman"/>
                <w:sz w:val="24"/>
                <w:szCs w:val="24"/>
              </w:rPr>
              <w:t xml:space="preserve">de </w:t>
            </w:r>
            <w:r w:rsidR="00B0053A" w:rsidRPr="004571E5">
              <w:rPr>
                <w:rFonts w:ascii="Times New Roman" w:hAnsi="Times New Roman" w:cs="Times New Roman"/>
                <w:sz w:val="24"/>
                <w:szCs w:val="24"/>
              </w:rPr>
              <w:t>acuerdo con la aplicación de la sana crítica”. Además, el recaudo probatorio debe flexibilizarse, lo que “implica reducir el nivel de exigencia y las formalidades propias del esquema de justicia rogada, para así incorporar con mayor facilidad las pruebas trasladadas de procesos penales o disciplinarios”.</w:t>
            </w:r>
          </w:p>
        </w:tc>
      </w:tr>
      <w:tr w:rsidR="00C90307" w:rsidRPr="004571E5" w14:paraId="56281A92" w14:textId="77777777" w:rsidTr="00C90307">
        <w:tc>
          <w:tcPr>
            <w:tcW w:w="8828" w:type="dxa"/>
          </w:tcPr>
          <w:p w14:paraId="2B256F35" w14:textId="39877057" w:rsidR="00C90307" w:rsidRPr="004571E5" w:rsidRDefault="00716350" w:rsidP="00481F2E">
            <w:pPr>
              <w:tabs>
                <w:tab w:val="left" w:pos="426"/>
              </w:tabs>
              <w:jc w:val="both"/>
              <w:rPr>
                <w:rFonts w:ascii="Times New Roman" w:hAnsi="Times New Roman" w:cs="Times New Roman"/>
                <w:sz w:val="24"/>
                <w:szCs w:val="24"/>
              </w:rPr>
            </w:pPr>
            <w:r w:rsidRPr="004571E5">
              <w:rPr>
                <w:rFonts w:ascii="Times New Roman" w:hAnsi="Times New Roman" w:cs="Times New Roman"/>
                <w:i/>
                <w:iCs/>
                <w:sz w:val="24"/>
                <w:szCs w:val="24"/>
              </w:rPr>
              <w:t>Modificación del estándar de la prueba</w:t>
            </w:r>
            <w:r w:rsidRPr="004571E5">
              <w:rPr>
                <w:rFonts w:ascii="Times New Roman" w:hAnsi="Times New Roman" w:cs="Times New Roman"/>
                <w:sz w:val="24"/>
                <w:szCs w:val="24"/>
              </w:rPr>
              <w:t xml:space="preserve">. </w:t>
            </w:r>
            <w:r w:rsidR="00B0053A" w:rsidRPr="004571E5">
              <w:rPr>
                <w:rFonts w:ascii="Times New Roman" w:hAnsi="Times New Roman" w:cs="Times New Roman"/>
                <w:sz w:val="24"/>
                <w:szCs w:val="24"/>
              </w:rPr>
              <w:t xml:space="preserve">Si ante el juez se presentan versiones opuestas de los hechos “debe determinar cuál de ellas ofrece mayor probabilidad de acierto, sin necesidad de llegar a un convencimiento pleno más allá de toda duda razonable, como sí se exige en el campo de la responsabilidad individual del derecho penal”. </w:t>
            </w:r>
          </w:p>
        </w:tc>
      </w:tr>
      <w:tr w:rsidR="00C90307" w:rsidRPr="004571E5" w14:paraId="468674DB" w14:textId="77777777" w:rsidTr="001B4816">
        <w:tc>
          <w:tcPr>
            <w:tcW w:w="8828" w:type="dxa"/>
            <w:shd w:val="clear" w:color="auto" w:fill="D9D9D9" w:themeFill="background1" w:themeFillShade="D9"/>
          </w:tcPr>
          <w:p w14:paraId="5B903678" w14:textId="103B89A2" w:rsidR="00C90307" w:rsidRPr="004571E5" w:rsidRDefault="001B4816" w:rsidP="00481F2E">
            <w:pPr>
              <w:tabs>
                <w:tab w:val="left" w:pos="426"/>
              </w:tabs>
              <w:jc w:val="center"/>
              <w:rPr>
                <w:rFonts w:ascii="Times New Roman" w:hAnsi="Times New Roman" w:cs="Times New Roman"/>
                <w:i/>
                <w:iCs/>
                <w:sz w:val="24"/>
                <w:szCs w:val="24"/>
              </w:rPr>
            </w:pPr>
            <w:r w:rsidRPr="004571E5">
              <w:rPr>
                <w:rFonts w:ascii="Times New Roman" w:hAnsi="Times New Roman" w:cs="Times New Roman"/>
                <w:i/>
                <w:iCs/>
                <w:sz w:val="24"/>
                <w:szCs w:val="24"/>
              </w:rPr>
              <w:t xml:space="preserve">Cuatro efectos </w:t>
            </w:r>
            <w:r w:rsidR="007A0EDC" w:rsidRPr="004571E5">
              <w:rPr>
                <w:rFonts w:ascii="Times New Roman" w:hAnsi="Times New Roman" w:cs="Times New Roman"/>
                <w:i/>
                <w:iCs/>
                <w:sz w:val="24"/>
                <w:szCs w:val="24"/>
              </w:rPr>
              <w:t>del estándar especialmente reconocido</w:t>
            </w:r>
          </w:p>
        </w:tc>
      </w:tr>
      <w:tr w:rsidR="00C90307" w:rsidRPr="004571E5" w14:paraId="72A8FDF2" w14:textId="77777777" w:rsidTr="00C90307">
        <w:tc>
          <w:tcPr>
            <w:tcW w:w="8828" w:type="dxa"/>
          </w:tcPr>
          <w:p w14:paraId="2F3DD88A" w14:textId="26227676" w:rsidR="00C90307" w:rsidRPr="004571E5" w:rsidRDefault="001269F8" w:rsidP="00481F2E">
            <w:pPr>
              <w:tabs>
                <w:tab w:val="left" w:pos="426"/>
              </w:tabs>
              <w:jc w:val="both"/>
              <w:rPr>
                <w:rFonts w:ascii="Times New Roman" w:hAnsi="Times New Roman" w:cs="Times New Roman"/>
                <w:sz w:val="24"/>
                <w:szCs w:val="24"/>
              </w:rPr>
            </w:pPr>
            <w:r w:rsidRPr="004571E5">
              <w:rPr>
                <w:rFonts w:ascii="Times New Roman" w:hAnsi="Times New Roman" w:cs="Times New Roman"/>
                <w:sz w:val="24"/>
                <w:szCs w:val="24"/>
              </w:rPr>
              <w:t xml:space="preserve">Se han flexibilizado “los estándares probatorios a efecto de demostrar la responsabilidad patrimonial del Estado, aceptando, por ejemplo, que las pruebas trasladadas de procesos penales o </w:t>
            </w:r>
            <w:proofErr w:type="gramStart"/>
            <w:r w:rsidRPr="004571E5">
              <w:rPr>
                <w:rFonts w:ascii="Times New Roman" w:hAnsi="Times New Roman" w:cs="Times New Roman"/>
                <w:sz w:val="24"/>
                <w:szCs w:val="24"/>
              </w:rPr>
              <w:t>disciplinarios,</w:t>
            </w:r>
            <w:proofErr w:type="gramEnd"/>
            <w:r w:rsidRPr="004571E5">
              <w:rPr>
                <w:rFonts w:ascii="Times New Roman" w:hAnsi="Times New Roman" w:cs="Times New Roman"/>
                <w:sz w:val="24"/>
                <w:szCs w:val="24"/>
              </w:rPr>
              <w:t xml:space="preserve"> se analicen en este contexto con un rasero menor”.</w:t>
            </w:r>
          </w:p>
        </w:tc>
      </w:tr>
      <w:tr w:rsidR="00C90307" w:rsidRPr="004571E5" w14:paraId="57DA3167" w14:textId="77777777" w:rsidTr="00C90307">
        <w:tc>
          <w:tcPr>
            <w:tcW w:w="8828" w:type="dxa"/>
          </w:tcPr>
          <w:p w14:paraId="5823289F" w14:textId="6B15D182" w:rsidR="00C90307" w:rsidRPr="004571E5" w:rsidRDefault="00716350" w:rsidP="00481F2E">
            <w:pPr>
              <w:tabs>
                <w:tab w:val="left" w:pos="426"/>
              </w:tabs>
              <w:jc w:val="both"/>
              <w:rPr>
                <w:rFonts w:ascii="Times New Roman" w:hAnsi="Times New Roman" w:cs="Times New Roman"/>
                <w:sz w:val="24"/>
                <w:szCs w:val="24"/>
              </w:rPr>
            </w:pPr>
            <w:r w:rsidRPr="004571E5">
              <w:rPr>
                <w:rFonts w:ascii="Times New Roman" w:hAnsi="Times New Roman" w:cs="Times New Roman"/>
                <w:sz w:val="24"/>
                <w:szCs w:val="24"/>
              </w:rPr>
              <w:t>Emplear la </w:t>
            </w:r>
            <w:r w:rsidRPr="004571E5">
              <w:rPr>
                <w:rFonts w:ascii="Times New Roman" w:hAnsi="Times New Roman" w:cs="Times New Roman"/>
                <w:i/>
                <w:iCs/>
                <w:sz w:val="24"/>
                <w:szCs w:val="24"/>
              </w:rPr>
              <w:t>carga dinámica de la prueba</w:t>
            </w:r>
            <w:r w:rsidRPr="004571E5">
              <w:rPr>
                <w:rFonts w:ascii="Times New Roman" w:hAnsi="Times New Roman" w:cs="Times New Roman"/>
                <w:sz w:val="24"/>
                <w:szCs w:val="24"/>
              </w:rPr>
              <w:t>, de modo que la entidad demandada que se encuentre en mejor posición de aportar al expediente los medios de convicción sea la responsable de desvirtuar las imputaciones de la demanda. En ciertos casos, se puede incluso invertir la carga de la prueba y exigirle al Estado demostrar que no ocurrió la alegada ejecución extrajudicial.</w:t>
            </w:r>
          </w:p>
        </w:tc>
      </w:tr>
      <w:tr w:rsidR="001B4816" w:rsidRPr="004571E5" w14:paraId="5BD7FB79" w14:textId="77777777" w:rsidTr="00C90307">
        <w:tc>
          <w:tcPr>
            <w:tcW w:w="8828" w:type="dxa"/>
          </w:tcPr>
          <w:p w14:paraId="5E4D703F" w14:textId="3C1775FA" w:rsidR="001B4816" w:rsidRPr="004571E5" w:rsidRDefault="00716350" w:rsidP="00481F2E">
            <w:pPr>
              <w:tabs>
                <w:tab w:val="left" w:pos="426"/>
              </w:tabs>
              <w:jc w:val="both"/>
              <w:rPr>
                <w:rFonts w:ascii="Times New Roman" w:hAnsi="Times New Roman" w:cs="Times New Roman"/>
                <w:sz w:val="24"/>
                <w:szCs w:val="24"/>
              </w:rPr>
            </w:pPr>
            <w:r w:rsidRPr="004571E5">
              <w:rPr>
                <w:rFonts w:ascii="Times New Roman" w:hAnsi="Times New Roman" w:cs="Times New Roman"/>
                <w:sz w:val="24"/>
                <w:szCs w:val="24"/>
              </w:rPr>
              <w:t>Un deber reforzado de los jueces de emplear el ejercicio de sus facultades oficiosas, a fin de garantizar la justicia material, respetando los derechos fundamentales de las partes.</w:t>
            </w:r>
          </w:p>
        </w:tc>
      </w:tr>
      <w:tr w:rsidR="001B4816" w:rsidRPr="004571E5" w14:paraId="5D8F9342" w14:textId="77777777" w:rsidTr="00C90307">
        <w:tc>
          <w:tcPr>
            <w:tcW w:w="8828" w:type="dxa"/>
          </w:tcPr>
          <w:p w14:paraId="6809DDD1" w14:textId="09444471" w:rsidR="001B4816" w:rsidRPr="004571E5" w:rsidRDefault="00716350" w:rsidP="00481F2E">
            <w:pPr>
              <w:tabs>
                <w:tab w:val="left" w:pos="426"/>
              </w:tabs>
              <w:jc w:val="both"/>
              <w:rPr>
                <w:rFonts w:ascii="Times New Roman" w:hAnsi="Times New Roman" w:cs="Times New Roman"/>
                <w:sz w:val="24"/>
                <w:szCs w:val="24"/>
              </w:rPr>
            </w:pPr>
            <w:r w:rsidRPr="004571E5">
              <w:rPr>
                <w:rFonts w:ascii="Times New Roman" w:hAnsi="Times New Roman" w:cs="Times New Roman"/>
                <w:sz w:val="24"/>
                <w:szCs w:val="24"/>
              </w:rPr>
              <w:t xml:space="preserve">Privilegiar la valoración de los medios de prueba indirectos </w:t>
            </w:r>
            <w:r w:rsidR="00560920" w:rsidRPr="004571E5">
              <w:rPr>
                <w:rFonts w:ascii="Times New Roman" w:hAnsi="Times New Roman" w:cs="Times New Roman"/>
                <w:sz w:val="24"/>
                <w:szCs w:val="24"/>
              </w:rPr>
              <w:t>y las</w:t>
            </w:r>
            <w:r w:rsidRPr="004571E5">
              <w:rPr>
                <w:rFonts w:ascii="Times New Roman" w:hAnsi="Times New Roman" w:cs="Times New Roman"/>
                <w:sz w:val="24"/>
                <w:szCs w:val="24"/>
              </w:rPr>
              <w:t xml:space="preserve"> inferencias lógicas guiadas por las máximas de la experiencia, a efectos de reconstruir los hechos y lograr garantizar los derechos fundamentales a la verdad, justicia y reparación de los afectados. En este escenario, los indicios adquieren una especial relevancia en la valoración.</w:t>
            </w:r>
          </w:p>
        </w:tc>
      </w:tr>
    </w:tbl>
    <w:p w14:paraId="4E16622B" w14:textId="77777777" w:rsidR="00C90307" w:rsidRPr="004571E5" w:rsidRDefault="00C90307" w:rsidP="00481F2E">
      <w:pPr>
        <w:tabs>
          <w:tab w:val="left" w:pos="426"/>
        </w:tabs>
        <w:spacing w:after="0" w:line="240" w:lineRule="auto"/>
        <w:jc w:val="both"/>
        <w:rPr>
          <w:rFonts w:ascii="Times New Roman" w:hAnsi="Times New Roman" w:cs="Times New Roman"/>
          <w:sz w:val="24"/>
          <w:szCs w:val="24"/>
        </w:rPr>
      </w:pPr>
    </w:p>
    <w:p w14:paraId="6EB59C89" w14:textId="38A6B0B0" w:rsidR="00C37BB2" w:rsidRPr="004571E5" w:rsidRDefault="00C37BB2" w:rsidP="001B30B3">
      <w:pPr>
        <w:pStyle w:val="Prrafodelista"/>
        <w:numPr>
          <w:ilvl w:val="0"/>
          <w:numId w:val="1"/>
        </w:numPr>
        <w:tabs>
          <w:tab w:val="left" w:pos="426"/>
        </w:tabs>
        <w:spacing w:after="0"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Estas reglas </w:t>
      </w:r>
      <w:r w:rsidR="007A0EDC" w:rsidRPr="004571E5">
        <w:rPr>
          <w:rFonts w:ascii="Times New Roman" w:hAnsi="Times New Roman" w:cs="Times New Roman"/>
          <w:sz w:val="28"/>
          <w:szCs w:val="28"/>
          <w:lang w:val="es-ES_tradnl"/>
        </w:rPr>
        <w:t>sobre la</w:t>
      </w:r>
      <w:r w:rsidRPr="004571E5">
        <w:rPr>
          <w:rFonts w:ascii="Times New Roman" w:hAnsi="Times New Roman" w:cs="Times New Roman"/>
          <w:sz w:val="28"/>
          <w:szCs w:val="28"/>
          <w:lang w:val="es-ES_tradnl"/>
        </w:rPr>
        <w:t xml:space="preserve"> </w:t>
      </w:r>
      <w:r w:rsidR="007A0EDC" w:rsidRPr="004571E5">
        <w:rPr>
          <w:rFonts w:ascii="Times New Roman" w:hAnsi="Times New Roman" w:cs="Times New Roman"/>
          <w:sz w:val="28"/>
          <w:szCs w:val="28"/>
          <w:lang w:val="es-ES_tradnl"/>
        </w:rPr>
        <w:t>valoración</w:t>
      </w:r>
      <w:r w:rsidRPr="004571E5">
        <w:rPr>
          <w:rFonts w:ascii="Times New Roman" w:hAnsi="Times New Roman" w:cs="Times New Roman"/>
          <w:sz w:val="28"/>
          <w:szCs w:val="28"/>
          <w:lang w:val="es-ES_tradnl"/>
        </w:rPr>
        <w:t xml:space="preserve"> probatoria han sido relevantes para resolver los problemas jurídicos planteados en las sentencias que han sido invocadas como precedentes. A partir de ellas, se ha analizado la posible configuración de una ejecución extrajudicial y, en particular, los diferentes hechos indicadores de </w:t>
      </w:r>
      <w:r w:rsidRPr="004571E5">
        <w:rPr>
          <w:rFonts w:ascii="Times New Roman" w:hAnsi="Times New Roman" w:cs="Times New Roman"/>
          <w:sz w:val="28"/>
          <w:szCs w:val="28"/>
          <w:lang w:val="es-ES_tradnl"/>
        </w:rPr>
        <w:lastRenderedPageBreak/>
        <w:t xml:space="preserve">su ocurrencia. En consecuencia, la Corte concluye que las sentencias referidas en </w:t>
      </w:r>
      <w:r w:rsidR="00A23422" w:rsidRPr="004571E5">
        <w:rPr>
          <w:rFonts w:ascii="Times New Roman" w:hAnsi="Times New Roman" w:cs="Times New Roman"/>
          <w:sz w:val="28"/>
          <w:szCs w:val="28"/>
          <w:lang w:val="es-ES_tradnl"/>
        </w:rPr>
        <w:t xml:space="preserve">el fundamento </w:t>
      </w:r>
      <w:r w:rsidR="00E70E99" w:rsidRPr="004571E5">
        <w:rPr>
          <w:rFonts w:ascii="Times New Roman" w:hAnsi="Times New Roman" w:cs="Times New Roman"/>
          <w:sz w:val="28"/>
          <w:szCs w:val="28"/>
          <w:lang w:val="es-ES_tradnl"/>
        </w:rPr>
        <w:t>70</w:t>
      </w:r>
      <w:r w:rsidR="00A23422" w:rsidRPr="004571E5">
        <w:rPr>
          <w:rFonts w:ascii="Times New Roman" w:hAnsi="Times New Roman" w:cs="Times New Roman"/>
          <w:sz w:val="28"/>
          <w:szCs w:val="28"/>
          <w:lang w:val="es-ES_tradnl"/>
        </w:rPr>
        <w:t xml:space="preserve"> </w:t>
      </w:r>
      <w:r w:rsidRPr="004571E5">
        <w:rPr>
          <w:rFonts w:ascii="Times New Roman" w:hAnsi="Times New Roman" w:cs="Times New Roman"/>
          <w:sz w:val="28"/>
          <w:szCs w:val="28"/>
          <w:lang w:val="es-ES_tradnl"/>
        </w:rPr>
        <w:t>constituyen precedentes vinculantes para los casos que ahora se analizan.</w:t>
      </w:r>
    </w:p>
    <w:p w14:paraId="21CF4705" w14:textId="77777777" w:rsidR="00EC0080" w:rsidRPr="004571E5" w:rsidRDefault="00EC0080" w:rsidP="00EC0080">
      <w:pPr>
        <w:pStyle w:val="Prrafodelista"/>
        <w:tabs>
          <w:tab w:val="left" w:pos="426"/>
        </w:tabs>
        <w:spacing w:after="0" w:line="240" w:lineRule="auto"/>
        <w:ind w:left="0"/>
        <w:jc w:val="both"/>
        <w:rPr>
          <w:rFonts w:ascii="Times New Roman" w:hAnsi="Times New Roman" w:cs="Times New Roman"/>
          <w:sz w:val="28"/>
          <w:szCs w:val="28"/>
          <w:lang w:val="es-ES_tradnl"/>
        </w:rPr>
      </w:pPr>
    </w:p>
    <w:p w14:paraId="1FA524BA" w14:textId="5ED21D09" w:rsidR="00EC0080" w:rsidRPr="004571E5" w:rsidRDefault="00EC0080" w:rsidP="00EC0080">
      <w:pPr>
        <w:pStyle w:val="Prrafodelista"/>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 xml:space="preserve">Por último, es importante precisar que si bien la Sentencia T-237 de 2017 </w:t>
      </w:r>
      <w:r w:rsidR="00DB66D0" w:rsidRPr="004571E5">
        <w:rPr>
          <w:rFonts w:ascii="Times New Roman" w:hAnsi="Times New Roman" w:cs="Times New Roman"/>
          <w:sz w:val="28"/>
          <w:szCs w:val="28"/>
        </w:rPr>
        <w:t xml:space="preserve">no fue adoptada </w:t>
      </w:r>
      <w:r w:rsidRPr="004571E5">
        <w:rPr>
          <w:rFonts w:ascii="Times New Roman" w:hAnsi="Times New Roman" w:cs="Times New Roman"/>
          <w:sz w:val="28"/>
          <w:szCs w:val="28"/>
        </w:rPr>
        <w:t>por la Sala Plena de esta Corporación, ella constituye un precedente aplicable. En concreto, en la Sentencia SU-380 de 2021 la Corte sostuvo que el desconocimiento del precedente se produce “cuando las autoridades judiciales desatienden el alcance de los derechos fundamentales fijado por la Corte Constitucional a través de la </w:t>
      </w:r>
      <w:r w:rsidRPr="004571E5">
        <w:rPr>
          <w:rFonts w:ascii="Times New Roman" w:hAnsi="Times New Roman" w:cs="Times New Roman"/>
          <w:i/>
          <w:iCs/>
          <w:sz w:val="28"/>
          <w:szCs w:val="28"/>
        </w:rPr>
        <w:t xml:space="preserve">ratio </w:t>
      </w:r>
      <w:proofErr w:type="spellStart"/>
      <w:r w:rsidRPr="004571E5">
        <w:rPr>
          <w:rFonts w:ascii="Times New Roman" w:hAnsi="Times New Roman" w:cs="Times New Roman"/>
          <w:i/>
          <w:iCs/>
          <w:sz w:val="28"/>
          <w:szCs w:val="28"/>
        </w:rPr>
        <w:t>decidendi</w:t>
      </w:r>
      <w:proofErr w:type="spellEnd"/>
      <w:r w:rsidRPr="004571E5">
        <w:rPr>
          <w:rFonts w:ascii="Times New Roman" w:hAnsi="Times New Roman" w:cs="Times New Roman"/>
          <w:sz w:val="28"/>
          <w:szCs w:val="28"/>
        </w:rPr>
        <w:t> de sus sentencias de control concreto proferidas por la Sala Plena (SU) o por las distintas Salas de Revisión (T), siempre que no existan decisiones contradictorias en la línea jurisprudencial”. De este modo, las sentencias de tutela proferidas por las diferentes salas de revisión también constituyen un precedente en casos como el presente</w:t>
      </w:r>
      <w:r w:rsidR="00DB66D0" w:rsidRPr="004571E5">
        <w:rPr>
          <w:rFonts w:ascii="Times New Roman" w:hAnsi="Times New Roman" w:cs="Times New Roman"/>
          <w:sz w:val="28"/>
          <w:szCs w:val="28"/>
        </w:rPr>
        <w:t xml:space="preserve">. Ellas además adquieren un peso especial en tanto se integran a </w:t>
      </w:r>
      <w:r w:rsidRPr="004571E5">
        <w:rPr>
          <w:rFonts w:ascii="Times New Roman" w:hAnsi="Times New Roman" w:cs="Times New Roman"/>
          <w:sz w:val="28"/>
          <w:szCs w:val="28"/>
        </w:rPr>
        <w:t>una línea jurisprudencial pacífica y reiterada.</w:t>
      </w:r>
    </w:p>
    <w:p w14:paraId="1661E866" w14:textId="77777777" w:rsidR="00C37BB2" w:rsidRPr="004571E5" w:rsidRDefault="00C37BB2" w:rsidP="009638CA">
      <w:pPr>
        <w:pStyle w:val="Prrafodelista"/>
        <w:tabs>
          <w:tab w:val="left" w:pos="426"/>
        </w:tabs>
        <w:spacing w:after="0" w:line="240" w:lineRule="auto"/>
        <w:ind w:left="0"/>
        <w:jc w:val="both"/>
        <w:rPr>
          <w:rFonts w:ascii="Times New Roman" w:hAnsi="Times New Roman" w:cs="Times New Roman"/>
          <w:sz w:val="28"/>
          <w:szCs w:val="28"/>
          <w:lang w:val="es-ES_tradnl"/>
        </w:rPr>
      </w:pPr>
    </w:p>
    <w:p w14:paraId="4A6974DA" w14:textId="7E467755" w:rsidR="00A01528" w:rsidRPr="004571E5" w:rsidRDefault="00C37BB2" w:rsidP="001B30B3">
      <w:pPr>
        <w:pStyle w:val="Prrafodelista"/>
        <w:numPr>
          <w:ilvl w:val="0"/>
          <w:numId w:val="1"/>
        </w:numPr>
        <w:tabs>
          <w:tab w:val="left" w:pos="426"/>
        </w:tabs>
        <w:spacing w:after="0"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rPr>
        <w:t>Precisado lo anterior y a</w:t>
      </w:r>
      <w:r w:rsidR="00F8262E" w:rsidRPr="004571E5">
        <w:rPr>
          <w:rFonts w:ascii="Times New Roman" w:hAnsi="Times New Roman" w:cs="Times New Roman"/>
          <w:sz w:val="28"/>
          <w:szCs w:val="28"/>
        </w:rPr>
        <w:t xml:space="preserve"> fin de establecer si las decisiones cuestionadas desconocieron el precedente aplicable e incurrieron en un defecto fáctico, respecto de cada caso</w:t>
      </w:r>
      <w:r w:rsidRPr="004571E5">
        <w:rPr>
          <w:rFonts w:ascii="Times New Roman" w:hAnsi="Times New Roman" w:cs="Times New Roman"/>
          <w:sz w:val="28"/>
          <w:szCs w:val="28"/>
        </w:rPr>
        <w:t>,</w:t>
      </w:r>
      <w:r w:rsidR="00F8262E" w:rsidRPr="004571E5">
        <w:rPr>
          <w:rFonts w:ascii="Times New Roman" w:hAnsi="Times New Roman" w:cs="Times New Roman"/>
          <w:sz w:val="28"/>
          <w:szCs w:val="28"/>
        </w:rPr>
        <w:t xml:space="preserve"> la Corte establecerá (i) si las sentencias cuestionadas aplicaron o no dichas reglas y, en caso negativo, (</w:t>
      </w:r>
      <w:proofErr w:type="spellStart"/>
      <w:r w:rsidR="00F8262E" w:rsidRPr="004571E5">
        <w:rPr>
          <w:rFonts w:ascii="Times New Roman" w:hAnsi="Times New Roman" w:cs="Times New Roman"/>
          <w:sz w:val="28"/>
          <w:szCs w:val="28"/>
        </w:rPr>
        <w:t>ii</w:t>
      </w:r>
      <w:proofErr w:type="spellEnd"/>
      <w:r w:rsidR="00F8262E" w:rsidRPr="004571E5">
        <w:rPr>
          <w:rFonts w:ascii="Times New Roman" w:hAnsi="Times New Roman" w:cs="Times New Roman"/>
          <w:sz w:val="28"/>
          <w:szCs w:val="28"/>
        </w:rPr>
        <w:t>) si tal inaplicación condujo a una violación de los derechos fundamentales invocados.</w:t>
      </w:r>
    </w:p>
    <w:p w14:paraId="572B2860" w14:textId="77777777" w:rsidR="00F8262E" w:rsidRPr="004571E5" w:rsidRDefault="00B56076" w:rsidP="000E0557">
      <w:pPr>
        <w:pStyle w:val="Prrafodelista"/>
        <w:tabs>
          <w:tab w:val="left" w:pos="426"/>
        </w:tabs>
        <w:spacing w:after="0" w:line="240" w:lineRule="auto"/>
        <w:ind w:left="0"/>
        <w:jc w:val="both"/>
        <w:rPr>
          <w:rFonts w:ascii="Times New Roman" w:hAnsi="Times New Roman" w:cs="Times New Roman"/>
          <w:b/>
          <w:bCs/>
          <w:i/>
          <w:iCs/>
          <w:sz w:val="28"/>
          <w:szCs w:val="28"/>
          <w:lang w:val="es-ES_tradnl"/>
        </w:rPr>
      </w:pPr>
      <w:r w:rsidRPr="004571E5">
        <w:rPr>
          <w:rFonts w:ascii="Times New Roman" w:hAnsi="Times New Roman" w:cs="Times New Roman"/>
          <w:b/>
          <w:bCs/>
          <w:iCs/>
          <w:sz w:val="28"/>
          <w:szCs w:val="28"/>
          <w:lang w:val="es-ES_tradnl"/>
        </w:rPr>
        <w:t xml:space="preserve"> </w:t>
      </w:r>
    </w:p>
    <w:p w14:paraId="1080678A" w14:textId="401D8CAE" w:rsidR="00A01528" w:rsidRPr="004571E5" w:rsidRDefault="001F0367" w:rsidP="000E0557">
      <w:pPr>
        <w:pStyle w:val="Prrafodelista"/>
        <w:numPr>
          <w:ilvl w:val="1"/>
          <w:numId w:val="34"/>
        </w:numPr>
        <w:tabs>
          <w:tab w:val="left" w:pos="426"/>
        </w:tabs>
        <w:spacing w:after="0" w:line="240" w:lineRule="auto"/>
        <w:ind w:left="0" w:firstLine="0"/>
        <w:jc w:val="both"/>
        <w:rPr>
          <w:rFonts w:ascii="Times New Roman" w:hAnsi="Times New Roman" w:cs="Times New Roman"/>
          <w:b/>
          <w:bCs/>
          <w:i/>
          <w:iCs/>
          <w:sz w:val="28"/>
          <w:szCs w:val="28"/>
          <w:lang w:val="es-ES_tradnl"/>
        </w:rPr>
      </w:pPr>
      <w:r w:rsidRPr="004571E5">
        <w:rPr>
          <w:rFonts w:ascii="Times New Roman" w:hAnsi="Times New Roman" w:cs="Times New Roman"/>
          <w:b/>
          <w:bCs/>
          <w:i/>
          <w:iCs/>
          <w:sz w:val="28"/>
          <w:szCs w:val="28"/>
          <w:lang w:val="es-ES_tradnl"/>
        </w:rPr>
        <w:t xml:space="preserve">La sentencia </w:t>
      </w:r>
      <w:r w:rsidR="00CB3D47" w:rsidRPr="004571E5">
        <w:rPr>
          <w:rFonts w:ascii="Times New Roman" w:hAnsi="Times New Roman" w:cs="Times New Roman"/>
          <w:b/>
          <w:bCs/>
          <w:i/>
          <w:iCs/>
          <w:sz w:val="28"/>
          <w:szCs w:val="28"/>
          <w:lang w:eastAsia="es-CO"/>
        </w:rPr>
        <w:t>del 8 de octubre de 2021 de la Sección Tercera, Subsección C del Consejo de Estado</w:t>
      </w:r>
      <w:r w:rsidR="00CB3D47" w:rsidRPr="004571E5">
        <w:rPr>
          <w:rFonts w:ascii="Times New Roman" w:hAnsi="Times New Roman" w:cs="Times New Roman"/>
          <w:b/>
          <w:bCs/>
          <w:i/>
          <w:iCs/>
          <w:sz w:val="28"/>
          <w:szCs w:val="28"/>
          <w:lang w:val="es-ES_tradnl"/>
        </w:rPr>
        <w:t xml:space="preserve"> </w:t>
      </w:r>
      <w:r w:rsidRPr="004571E5">
        <w:rPr>
          <w:rFonts w:ascii="Times New Roman" w:hAnsi="Times New Roman" w:cs="Times New Roman"/>
          <w:b/>
          <w:bCs/>
          <w:i/>
          <w:iCs/>
          <w:sz w:val="28"/>
          <w:szCs w:val="28"/>
          <w:lang w:val="es-ES_tradnl"/>
        </w:rPr>
        <w:t>-</w:t>
      </w:r>
      <w:r w:rsidR="00A01528" w:rsidRPr="004571E5">
        <w:rPr>
          <w:rFonts w:ascii="Times New Roman" w:hAnsi="Times New Roman" w:cs="Times New Roman"/>
          <w:b/>
          <w:bCs/>
          <w:i/>
          <w:iCs/>
          <w:sz w:val="28"/>
          <w:szCs w:val="28"/>
          <w:lang w:val="es-ES_tradnl"/>
        </w:rPr>
        <w:t>expediente T-9.860.565</w:t>
      </w:r>
      <w:r w:rsidRPr="004571E5">
        <w:rPr>
          <w:rFonts w:ascii="Times New Roman" w:hAnsi="Times New Roman" w:cs="Times New Roman"/>
          <w:b/>
          <w:bCs/>
          <w:i/>
          <w:iCs/>
          <w:sz w:val="28"/>
          <w:szCs w:val="28"/>
          <w:lang w:val="es-ES_tradnl"/>
        </w:rPr>
        <w:t>-</w:t>
      </w:r>
      <w:r w:rsidR="00A01528" w:rsidRPr="004571E5">
        <w:rPr>
          <w:rFonts w:ascii="Times New Roman" w:hAnsi="Times New Roman" w:cs="Times New Roman"/>
          <w:b/>
          <w:bCs/>
          <w:i/>
          <w:iCs/>
          <w:sz w:val="28"/>
          <w:szCs w:val="28"/>
          <w:lang w:val="es-ES_tradnl"/>
        </w:rPr>
        <w:t xml:space="preserve"> </w:t>
      </w:r>
      <w:r w:rsidRPr="004571E5">
        <w:rPr>
          <w:rFonts w:ascii="Times New Roman" w:hAnsi="Times New Roman" w:cs="Times New Roman"/>
          <w:b/>
          <w:bCs/>
          <w:i/>
          <w:iCs/>
          <w:sz w:val="28"/>
          <w:szCs w:val="28"/>
          <w:lang w:val="es-ES_tradnl"/>
        </w:rPr>
        <w:t>desconoció los derechos fundamentales al debido proceso</w:t>
      </w:r>
      <w:r w:rsidR="00B943BC" w:rsidRPr="004571E5">
        <w:rPr>
          <w:rFonts w:ascii="Times New Roman" w:hAnsi="Times New Roman" w:cs="Times New Roman"/>
          <w:b/>
          <w:bCs/>
          <w:i/>
          <w:iCs/>
          <w:sz w:val="28"/>
          <w:szCs w:val="28"/>
          <w:lang w:val="es-ES_tradnl"/>
        </w:rPr>
        <w:t>, al acceso a la administración de justicia</w:t>
      </w:r>
      <w:r w:rsidRPr="004571E5">
        <w:rPr>
          <w:rFonts w:ascii="Times New Roman" w:hAnsi="Times New Roman" w:cs="Times New Roman"/>
          <w:b/>
          <w:bCs/>
          <w:i/>
          <w:iCs/>
          <w:sz w:val="28"/>
          <w:szCs w:val="28"/>
          <w:lang w:val="es-ES_tradnl"/>
        </w:rPr>
        <w:t xml:space="preserve"> y a la </w:t>
      </w:r>
      <w:r w:rsidR="00E17B1E" w:rsidRPr="004571E5">
        <w:rPr>
          <w:rFonts w:ascii="Times New Roman" w:hAnsi="Times New Roman" w:cs="Times New Roman"/>
          <w:b/>
          <w:bCs/>
          <w:i/>
          <w:iCs/>
          <w:sz w:val="28"/>
          <w:szCs w:val="28"/>
          <w:lang w:val="es-ES_tradnl"/>
        </w:rPr>
        <w:t>igualdad como origen del mandato de vinculatoriedad del precedente</w:t>
      </w:r>
    </w:p>
    <w:p w14:paraId="048EEDF6" w14:textId="77777777" w:rsidR="00A01528" w:rsidRPr="004571E5" w:rsidRDefault="00A01528" w:rsidP="00481F2E">
      <w:pPr>
        <w:pStyle w:val="Prrafodelista"/>
        <w:tabs>
          <w:tab w:val="left" w:pos="426"/>
        </w:tabs>
        <w:spacing w:after="0" w:line="240" w:lineRule="auto"/>
        <w:ind w:left="0"/>
        <w:jc w:val="both"/>
        <w:rPr>
          <w:rFonts w:ascii="Times New Roman" w:hAnsi="Times New Roman" w:cs="Times New Roman"/>
          <w:sz w:val="28"/>
          <w:szCs w:val="28"/>
          <w:lang w:val="es-ES_tradnl"/>
        </w:rPr>
      </w:pPr>
    </w:p>
    <w:p w14:paraId="1703E3DA" w14:textId="126405A8" w:rsidR="00EB29E2" w:rsidRPr="004571E5" w:rsidRDefault="005810EA" w:rsidP="00CB3D47">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La Sala Plena de la Corte Constitucional considera que en el presente caso </w:t>
      </w:r>
      <w:r w:rsidR="00846B28" w:rsidRPr="004571E5">
        <w:rPr>
          <w:rFonts w:ascii="Times New Roman" w:hAnsi="Times New Roman" w:cs="Times New Roman"/>
          <w:sz w:val="28"/>
          <w:szCs w:val="28"/>
          <w:lang w:val="es-ES_tradnl"/>
        </w:rPr>
        <w:t xml:space="preserve">(i) </w:t>
      </w:r>
      <w:r w:rsidRPr="004571E5">
        <w:rPr>
          <w:rFonts w:ascii="Times New Roman" w:hAnsi="Times New Roman" w:cs="Times New Roman"/>
          <w:sz w:val="28"/>
          <w:szCs w:val="28"/>
          <w:lang w:val="es-ES_tradnl"/>
        </w:rPr>
        <w:t>se desconoci</w:t>
      </w:r>
      <w:r w:rsidR="00EB29E2" w:rsidRPr="004571E5">
        <w:rPr>
          <w:rFonts w:ascii="Times New Roman" w:hAnsi="Times New Roman" w:cs="Times New Roman"/>
          <w:sz w:val="28"/>
          <w:szCs w:val="28"/>
          <w:lang w:val="es-ES_tradnl"/>
        </w:rPr>
        <w:t>ó</w:t>
      </w:r>
      <w:r w:rsidRPr="004571E5">
        <w:rPr>
          <w:rFonts w:ascii="Times New Roman" w:hAnsi="Times New Roman" w:cs="Times New Roman"/>
          <w:sz w:val="28"/>
          <w:szCs w:val="28"/>
          <w:lang w:val="es-ES_tradnl"/>
        </w:rPr>
        <w:t xml:space="preserve"> el precedente </w:t>
      </w:r>
      <w:r w:rsidR="001F0367" w:rsidRPr="004571E5">
        <w:rPr>
          <w:rFonts w:ascii="Times New Roman" w:hAnsi="Times New Roman" w:cs="Times New Roman"/>
          <w:sz w:val="28"/>
          <w:szCs w:val="28"/>
          <w:lang w:val="es-ES_tradnl"/>
        </w:rPr>
        <w:t>definido por la Corte Constitucional</w:t>
      </w:r>
      <w:r w:rsidR="00EB29E2" w:rsidRPr="004571E5">
        <w:rPr>
          <w:rFonts w:ascii="Times New Roman" w:hAnsi="Times New Roman" w:cs="Times New Roman"/>
          <w:sz w:val="28"/>
          <w:szCs w:val="28"/>
          <w:lang w:val="es-ES_tradnl"/>
        </w:rPr>
        <w:t xml:space="preserve"> y</w:t>
      </w:r>
      <w:r w:rsidR="001F0367" w:rsidRPr="004571E5">
        <w:rPr>
          <w:rFonts w:ascii="Times New Roman" w:hAnsi="Times New Roman" w:cs="Times New Roman"/>
          <w:sz w:val="28"/>
          <w:szCs w:val="28"/>
          <w:lang w:val="es-ES_tradnl"/>
        </w:rPr>
        <w:t xml:space="preserve"> </w:t>
      </w:r>
      <w:r w:rsidR="00846B28" w:rsidRPr="004571E5">
        <w:rPr>
          <w:rFonts w:ascii="Times New Roman" w:hAnsi="Times New Roman" w:cs="Times New Roman"/>
          <w:sz w:val="28"/>
          <w:szCs w:val="28"/>
          <w:lang w:val="es-ES_tradnl"/>
        </w:rPr>
        <w:t>(</w:t>
      </w:r>
      <w:proofErr w:type="spellStart"/>
      <w:r w:rsidR="00846B28" w:rsidRPr="004571E5">
        <w:rPr>
          <w:rFonts w:ascii="Times New Roman" w:hAnsi="Times New Roman" w:cs="Times New Roman"/>
          <w:sz w:val="28"/>
          <w:szCs w:val="28"/>
          <w:lang w:val="es-ES_tradnl"/>
        </w:rPr>
        <w:t>ii</w:t>
      </w:r>
      <w:proofErr w:type="spellEnd"/>
      <w:r w:rsidR="00846B28" w:rsidRPr="004571E5">
        <w:rPr>
          <w:rFonts w:ascii="Times New Roman" w:hAnsi="Times New Roman" w:cs="Times New Roman"/>
          <w:sz w:val="28"/>
          <w:szCs w:val="28"/>
          <w:lang w:val="es-ES_tradnl"/>
        </w:rPr>
        <w:t xml:space="preserve">) </w:t>
      </w:r>
      <w:r w:rsidR="001F0367" w:rsidRPr="004571E5">
        <w:rPr>
          <w:rFonts w:ascii="Times New Roman" w:hAnsi="Times New Roman" w:cs="Times New Roman"/>
          <w:sz w:val="28"/>
          <w:szCs w:val="28"/>
          <w:lang w:val="es-ES_tradnl"/>
        </w:rPr>
        <w:t>el precedente</w:t>
      </w:r>
      <w:r w:rsidR="00EB2A6D" w:rsidRPr="004571E5">
        <w:rPr>
          <w:rFonts w:ascii="Times New Roman" w:hAnsi="Times New Roman" w:cs="Times New Roman"/>
          <w:sz w:val="28"/>
          <w:szCs w:val="28"/>
          <w:lang w:val="es-ES_tradnl"/>
        </w:rPr>
        <w:t xml:space="preserve"> horizontal</w:t>
      </w:r>
      <w:r w:rsidR="001F0367" w:rsidRPr="004571E5">
        <w:rPr>
          <w:rFonts w:ascii="Times New Roman" w:hAnsi="Times New Roman" w:cs="Times New Roman"/>
          <w:sz w:val="28"/>
          <w:szCs w:val="28"/>
          <w:lang w:val="es-ES_tradnl"/>
        </w:rPr>
        <w:t xml:space="preserve"> derivado de la jurisprudencia de</w:t>
      </w:r>
      <w:r w:rsidR="00255883" w:rsidRPr="004571E5">
        <w:rPr>
          <w:rFonts w:ascii="Times New Roman" w:hAnsi="Times New Roman" w:cs="Times New Roman"/>
          <w:sz w:val="28"/>
          <w:szCs w:val="28"/>
          <w:lang w:val="es-ES_tradnl"/>
        </w:rPr>
        <w:t xml:space="preserve">l Consejo de Estado. </w:t>
      </w:r>
      <w:r w:rsidR="00EB29E2" w:rsidRPr="004571E5">
        <w:rPr>
          <w:rFonts w:ascii="Times New Roman" w:hAnsi="Times New Roman" w:cs="Times New Roman"/>
          <w:sz w:val="28"/>
          <w:szCs w:val="28"/>
          <w:lang w:val="es-ES_tradnl"/>
        </w:rPr>
        <w:t xml:space="preserve">Dicho desconocimiento concurrió con </w:t>
      </w:r>
      <w:r w:rsidR="00846B28" w:rsidRPr="004571E5">
        <w:rPr>
          <w:rFonts w:ascii="Times New Roman" w:hAnsi="Times New Roman" w:cs="Times New Roman"/>
          <w:sz w:val="28"/>
          <w:szCs w:val="28"/>
          <w:lang w:val="es-ES_tradnl"/>
        </w:rPr>
        <w:t>(</w:t>
      </w:r>
      <w:proofErr w:type="spellStart"/>
      <w:r w:rsidR="00846B28" w:rsidRPr="004571E5">
        <w:rPr>
          <w:rFonts w:ascii="Times New Roman" w:hAnsi="Times New Roman" w:cs="Times New Roman"/>
          <w:sz w:val="28"/>
          <w:szCs w:val="28"/>
          <w:lang w:val="es-ES_tradnl"/>
        </w:rPr>
        <w:t>iii</w:t>
      </w:r>
      <w:proofErr w:type="spellEnd"/>
      <w:r w:rsidR="00846B28" w:rsidRPr="004571E5">
        <w:rPr>
          <w:rFonts w:ascii="Times New Roman" w:hAnsi="Times New Roman" w:cs="Times New Roman"/>
          <w:sz w:val="28"/>
          <w:szCs w:val="28"/>
          <w:lang w:val="es-ES_tradnl"/>
        </w:rPr>
        <w:t xml:space="preserve">) </w:t>
      </w:r>
      <w:r w:rsidR="00EB29E2" w:rsidRPr="004571E5">
        <w:rPr>
          <w:rFonts w:ascii="Times New Roman" w:hAnsi="Times New Roman" w:cs="Times New Roman"/>
          <w:sz w:val="28"/>
          <w:szCs w:val="28"/>
          <w:lang w:val="es-ES_tradnl"/>
        </w:rPr>
        <w:t xml:space="preserve">la configuración de </w:t>
      </w:r>
      <w:r w:rsidRPr="004571E5">
        <w:rPr>
          <w:rFonts w:ascii="Times New Roman" w:hAnsi="Times New Roman" w:cs="Times New Roman"/>
          <w:sz w:val="28"/>
          <w:szCs w:val="28"/>
          <w:lang w:val="es-ES_tradnl"/>
        </w:rPr>
        <w:t>un defecto fáctico</w:t>
      </w:r>
      <w:r w:rsidR="00EB29E2" w:rsidRPr="004571E5">
        <w:rPr>
          <w:rFonts w:ascii="Times New Roman" w:hAnsi="Times New Roman" w:cs="Times New Roman"/>
          <w:sz w:val="28"/>
          <w:szCs w:val="28"/>
          <w:lang w:val="es-ES_tradnl"/>
        </w:rPr>
        <w:t xml:space="preserve"> </w:t>
      </w:r>
      <w:r w:rsidR="004D22D7" w:rsidRPr="004571E5">
        <w:rPr>
          <w:rFonts w:ascii="Times New Roman" w:hAnsi="Times New Roman" w:cs="Times New Roman"/>
          <w:sz w:val="28"/>
          <w:szCs w:val="28"/>
          <w:lang w:val="es-ES_tradnl"/>
        </w:rPr>
        <w:t>por</w:t>
      </w:r>
      <w:r w:rsidRPr="004571E5">
        <w:rPr>
          <w:rFonts w:ascii="Times New Roman" w:hAnsi="Times New Roman" w:cs="Times New Roman"/>
          <w:sz w:val="28"/>
          <w:szCs w:val="28"/>
          <w:lang w:val="es-ES_tradnl"/>
        </w:rPr>
        <w:t xml:space="preserve"> indebida valoración probatoria.</w:t>
      </w:r>
    </w:p>
    <w:p w14:paraId="5801F9FB" w14:textId="77777777" w:rsidR="00CB3D47" w:rsidRPr="004571E5" w:rsidRDefault="00CB3D47" w:rsidP="00CB3D47">
      <w:pPr>
        <w:pStyle w:val="Prrafodelista"/>
        <w:spacing w:line="240" w:lineRule="auto"/>
        <w:ind w:left="0"/>
        <w:jc w:val="both"/>
        <w:rPr>
          <w:rFonts w:ascii="Times New Roman" w:hAnsi="Times New Roman" w:cs="Times New Roman"/>
          <w:sz w:val="28"/>
          <w:szCs w:val="28"/>
          <w:lang w:val="es-ES_tradnl"/>
        </w:rPr>
      </w:pPr>
    </w:p>
    <w:p w14:paraId="514FF431" w14:textId="209EDF23" w:rsidR="00EB29E2" w:rsidRPr="004571E5" w:rsidRDefault="00EB29E2">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Un examen de la valoración probatoria realizada en las sentencias cuestionadas, evidencia que la decisión del Consejo de Estado desconoció las reglas probatorias referidas anteriormente. En particular, la Corte encuentra que no se consideró la relevancia que en este tipo de eventos tienen los indicios.</w:t>
      </w:r>
      <w:r w:rsidR="002767A9" w:rsidRPr="004571E5">
        <w:rPr>
          <w:rFonts w:ascii="Times New Roman" w:hAnsi="Times New Roman" w:cs="Times New Roman"/>
          <w:sz w:val="28"/>
          <w:szCs w:val="28"/>
          <w:lang w:val="es-ES_tradnl"/>
        </w:rPr>
        <w:t xml:space="preserve"> La siguiente tabla</w:t>
      </w:r>
      <w:r w:rsidR="0004459B" w:rsidRPr="004571E5">
        <w:rPr>
          <w:rFonts w:ascii="Times New Roman" w:hAnsi="Times New Roman" w:cs="Times New Roman"/>
          <w:sz w:val="28"/>
          <w:szCs w:val="28"/>
          <w:lang w:val="es-ES_tradnl"/>
        </w:rPr>
        <w:t xml:space="preserve"> contrasta lo indicado en algunos de los medios de prueba, la consideración que se hizo de ellos en la sentencia cuestionada y las conclusiones que, si se hubieran aplicado las reglas de </w:t>
      </w:r>
      <w:r w:rsidR="007A0EDC" w:rsidRPr="004571E5">
        <w:rPr>
          <w:rFonts w:ascii="Times New Roman" w:hAnsi="Times New Roman" w:cs="Times New Roman"/>
          <w:sz w:val="28"/>
          <w:szCs w:val="28"/>
          <w:lang w:val="es-ES_tradnl"/>
        </w:rPr>
        <w:t>valoración</w:t>
      </w:r>
      <w:r w:rsidR="0004459B" w:rsidRPr="004571E5">
        <w:rPr>
          <w:rFonts w:ascii="Times New Roman" w:hAnsi="Times New Roman" w:cs="Times New Roman"/>
          <w:sz w:val="28"/>
          <w:szCs w:val="28"/>
          <w:lang w:val="es-ES_tradnl"/>
        </w:rPr>
        <w:t xml:space="preserve"> probatoria, han debido considerarse. </w:t>
      </w:r>
    </w:p>
    <w:p w14:paraId="0357DABE" w14:textId="77777777" w:rsidR="00EB29E2" w:rsidRPr="004571E5" w:rsidRDefault="00EB29E2" w:rsidP="00EB29E2">
      <w:pPr>
        <w:pStyle w:val="Prrafodelista"/>
        <w:spacing w:line="240" w:lineRule="auto"/>
        <w:rPr>
          <w:rFonts w:ascii="Times New Roman" w:hAnsi="Times New Roman" w:cs="Times New Roman"/>
          <w:sz w:val="28"/>
          <w:szCs w:val="28"/>
          <w:lang w:val="es-ES_tradnl"/>
        </w:rPr>
      </w:pPr>
    </w:p>
    <w:tbl>
      <w:tblPr>
        <w:tblStyle w:val="Tablaconcuadrcula"/>
        <w:tblW w:w="8784" w:type="dxa"/>
        <w:tblLook w:val="04A0" w:firstRow="1" w:lastRow="0" w:firstColumn="1" w:lastColumn="0" w:noHBand="0" w:noVBand="1"/>
      </w:tblPr>
      <w:tblGrid>
        <w:gridCol w:w="2405"/>
        <w:gridCol w:w="2693"/>
        <w:gridCol w:w="3686"/>
      </w:tblGrid>
      <w:tr w:rsidR="00EB29E2" w:rsidRPr="004571E5" w14:paraId="4FBC18EE" w14:textId="77777777" w:rsidTr="00CB3D47">
        <w:tc>
          <w:tcPr>
            <w:tcW w:w="2405" w:type="dxa"/>
            <w:shd w:val="clear" w:color="auto" w:fill="D9D9D9" w:themeFill="background1" w:themeFillShade="D9"/>
            <w:vAlign w:val="center"/>
          </w:tcPr>
          <w:p w14:paraId="5C6F5475" w14:textId="2B26C5E8" w:rsidR="00EB29E2" w:rsidRPr="004571E5" w:rsidRDefault="00EB29E2" w:rsidP="00686E8A">
            <w:pPr>
              <w:pStyle w:val="Prrafodelista"/>
              <w:ind w:left="0"/>
              <w:jc w:val="center"/>
              <w:rPr>
                <w:rFonts w:ascii="Times New Roman" w:hAnsi="Times New Roman" w:cs="Times New Roman"/>
                <w:b/>
                <w:bCs/>
                <w:sz w:val="24"/>
                <w:szCs w:val="24"/>
                <w:lang w:val="es-ES_tradnl"/>
              </w:rPr>
            </w:pPr>
            <w:r w:rsidRPr="004571E5">
              <w:rPr>
                <w:rFonts w:ascii="Times New Roman" w:hAnsi="Times New Roman" w:cs="Times New Roman"/>
                <w:b/>
                <w:bCs/>
                <w:sz w:val="24"/>
                <w:szCs w:val="24"/>
                <w:lang w:val="es-ES_tradnl"/>
              </w:rPr>
              <w:t>Medios de prueba</w:t>
            </w:r>
          </w:p>
        </w:tc>
        <w:tc>
          <w:tcPr>
            <w:tcW w:w="2693" w:type="dxa"/>
            <w:shd w:val="clear" w:color="auto" w:fill="D9D9D9" w:themeFill="background1" w:themeFillShade="D9"/>
            <w:vAlign w:val="center"/>
          </w:tcPr>
          <w:p w14:paraId="3607F781" w14:textId="77777777" w:rsidR="00EB29E2" w:rsidRPr="004571E5" w:rsidRDefault="00EB29E2" w:rsidP="00686E8A">
            <w:pPr>
              <w:pStyle w:val="Prrafodelista"/>
              <w:ind w:left="0"/>
              <w:jc w:val="center"/>
              <w:rPr>
                <w:rFonts w:ascii="Times New Roman" w:hAnsi="Times New Roman" w:cs="Times New Roman"/>
                <w:b/>
                <w:bCs/>
                <w:sz w:val="24"/>
                <w:szCs w:val="24"/>
                <w:lang w:val="es-ES_tradnl"/>
              </w:rPr>
            </w:pPr>
            <w:r w:rsidRPr="004571E5">
              <w:rPr>
                <w:rFonts w:ascii="Times New Roman" w:hAnsi="Times New Roman" w:cs="Times New Roman"/>
                <w:b/>
                <w:bCs/>
                <w:sz w:val="24"/>
                <w:szCs w:val="24"/>
                <w:lang w:val="es-ES_tradnl"/>
              </w:rPr>
              <w:t>Valoración de la Subsección C</w:t>
            </w:r>
          </w:p>
        </w:tc>
        <w:tc>
          <w:tcPr>
            <w:tcW w:w="3686" w:type="dxa"/>
            <w:shd w:val="clear" w:color="auto" w:fill="D9D9D9" w:themeFill="background1" w:themeFillShade="D9"/>
            <w:vAlign w:val="center"/>
          </w:tcPr>
          <w:p w14:paraId="6AAED206" w14:textId="5EF2D621" w:rsidR="00EB29E2" w:rsidRPr="004571E5" w:rsidRDefault="00EB29E2" w:rsidP="00686E8A">
            <w:pPr>
              <w:pStyle w:val="Prrafodelista"/>
              <w:ind w:left="0"/>
              <w:jc w:val="center"/>
              <w:rPr>
                <w:rFonts w:ascii="Times New Roman" w:hAnsi="Times New Roman" w:cs="Times New Roman"/>
                <w:b/>
                <w:bCs/>
                <w:sz w:val="24"/>
                <w:szCs w:val="24"/>
                <w:lang w:val="es-ES_tradnl"/>
              </w:rPr>
            </w:pPr>
            <w:r w:rsidRPr="004571E5">
              <w:rPr>
                <w:rFonts w:ascii="Times New Roman" w:hAnsi="Times New Roman" w:cs="Times New Roman"/>
                <w:b/>
                <w:bCs/>
                <w:sz w:val="24"/>
                <w:szCs w:val="24"/>
                <w:lang w:val="es-ES_tradnl"/>
              </w:rPr>
              <w:t xml:space="preserve">Conclusión a partir del estándar </w:t>
            </w:r>
            <w:r w:rsidR="007A0EDC" w:rsidRPr="004571E5">
              <w:rPr>
                <w:rFonts w:ascii="Times New Roman" w:hAnsi="Times New Roman" w:cs="Times New Roman"/>
                <w:b/>
                <w:bCs/>
                <w:sz w:val="24"/>
                <w:szCs w:val="24"/>
                <w:lang w:val="es-ES_tradnl"/>
              </w:rPr>
              <w:t>fijado en la jurisprudencia</w:t>
            </w:r>
          </w:p>
        </w:tc>
      </w:tr>
      <w:tr w:rsidR="00EB29E2" w:rsidRPr="004571E5" w14:paraId="4307EA36" w14:textId="77777777" w:rsidTr="00CB3D47">
        <w:tc>
          <w:tcPr>
            <w:tcW w:w="2405" w:type="dxa"/>
            <w:vAlign w:val="center"/>
          </w:tcPr>
          <w:p w14:paraId="7E1539C0" w14:textId="77777777" w:rsidR="00EB29E2" w:rsidRPr="004571E5" w:rsidRDefault="00EB29E2" w:rsidP="00686E8A">
            <w:pPr>
              <w:pStyle w:val="Prrafodelista"/>
              <w:ind w:left="0"/>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 xml:space="preserve">Testimonio de Juan Guillermo Yepes, cuñado y empleador del señor González, quien afirmó que para el día del fallecimiento había estado </w:t>
            </w:r>
            <w:r w:rsidRPr="004571E5">
              <w:rPr>
                <w:rFonts w:ascii="Times New Roman" w:hAnsi="Times New Roman" w:cs="Times New Roman"/>
                <w:sz w:val="24"/>
                <w:szCs w:val="24"/>
                <w:lang w:val="es-ES_tradnl"/>
              </w:rPr>
              <w:lastRenderedPageBreak/>
              <w:t>trabajando con él</w:t>
            </w:r>
            <w:r w:rsidRPr="004571E5">
              <w:rPr>
                <w:rFonts w:ascii="Times New Roman" w:hAnsi="Times New Roman" w:cs="Times New Roman"/>
                <w:sz w:val="24"/>
                <w:szCs w:val="24"/>
                <w:vertAlign w:val="superscript"/>
                <w:lang w:val="es-ES_tradnl"/>
              </w:rPr>
              <w:footnoteReference w:id="48"/>
            </w:r>
            <w:r w:rsidRPr="004571E5">
              <w:rPr>
                <w:rFonts w:ascii="Times New Roman" w:hAnsi="Times New Roman" w:cs="Times New Roman"/>
                <w:sz w:val="24"/>
                <w:szCs w:val="24"/>
                <w:lang w:val="es-ES_tradnl"/>
              </w:rPr>
              <w:t xml:space="preserve">. Además, los testimonios de </w:t>
            </w:r>
            <w:r w:rsidRPr="004571E5">
              <w:rPr>
                <w:rFonts w:ascii="Times New Roman" w:hAnsi="Times New Roman" w:cs="Times New Roman"/>
                <w:sz w:val="24"/>
                <w:szCs w:val="24"/>
              </w:rPr>
              <w:t>Ana María Estrada Arias, Iveth Esther Cortés indicaron que el joven era electricista y era conocido en el barrio junto con los demás fallecidos.</w:t>
            </w:r>
          </w:p>
        </w:tc>
        <w:tc>
          <w:tcPr>
            <w:tcW w:w="2693" w:type="dxa"/>
            <w:vAlign w:val="center"/>
          </w:tcPr>
          <w:p w14:paraId="0F556C0B" w14:textId="26FB6DAE" w:rsidR="00EB29E2" w:rsidRPr="004571E5" w:rsidRDefault="00EB29E2" w:rsidP="00686E8A">
            <w:pPr>
              <w:pStyle w:val="Prrafodelista"/>
              <w:ind w:left="0"/>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lastRenderedPageBreak/>
              <w:t>La subsección afirmó que los testigos “</w:t>
            </w:r>
            <w:r w:rsidRPr="004571E5">
              <w:rPr>
                <w:rFonts w:ascii="Times New Roman" w:hAnsi="Times New Roman" w:cs="Times New Roman"/>
                <w:sz w:val="24"/>
                <w:szCs w:val="24"/>
              </w:rPr>
              <w:t xml:space="preserve">no presenciaron las circunstancias de tiempo, modo y lugar de la muerte de Juan David González Henao. Destacó que “[s]u dicho sobre las </w:t>
            </w:r>
            <w:r w:rsidRPr="004571E5">
              <w:rPr>
                <w:rFonts w:ascii="Times New Roman" w:hAnsi="Times New Roman" w:cs="Times New Roman"/>
                <w:sz w:val="24"/>
                <w:szCs w:val="24"/>
              </w:rPr>
              <w:lastRenderedPageBreak/>
              <w:t>actuaciones del Ejército no es verosímil, pues no es un relato libre de un hecho que conocieron”.  Además “</w:t>
            </w:r>
            <w:r w:rsidR="00426F08" w:rsidRPr="004571E5">
              <w:rPr>
                <w:rFonts w:ascii="Times New Roman" w:hAnsi="Times New Roman" w:cs="Times New Roman"/>
                <w:sz w:val="24"/>
                <w:szCs w:val="24"/>
              </w:rPr>
              <w:t>[</w:t>
            </w:r>
            <w:r w:rsidRPr="004571E5">
              <w:rPr>
                <w:rFonts w:ascii="Times New Roman" w:hAnsi="Times New Roman" w:cs="Times New Roman"/>
                <w:sz w:val="24"/>
                <w:szCs w:val="24"/>
              </w:rPr>
              <w:t>s</w:t>
            </w:r>
            <w:r w:rsidR="00426F08" w:rsidRPr="004571E5">
              <w:rPr>
                <w:rFonts w:ascii="Times New Roman" w:hAnsi="Times New Roman" w:cs="Times New Roman"/>
                <w:sz w:val="24"/>
                <w:szCs w:val="24"/>
              </w:rPr>
              <w:t>]</w:t>
            </w:r>
            <w:proofErr w:type="spellStart"/>
            <w:r w:rsidRPr="004571E5">
              <w:rPr>
                <w:rFonts w:ascii="Times New Roman" w:hAnsi="Times New Roman" w:cs="Times New Roman"/>
                <w:sz w:val="24"/>
                <w:szCs w:val="24"/>
              </w:rPr>
              <w:t>us</w:t>
            </w:r>
            <w:proofErr w:type="spellEnd"/>
            <w:r w:rsidRPr="004571E5">
              <w:rPr>
                <w:rFonts w:ascii="Times New Roman" w:hAnsi="Times New Roman" w:cs="Times New Roman"/>
                <w:sz w:val="24"/>
                <w:szCs w:val="24"/>
              </w:rPr>
              <w:t xml:space="preserve"> afirmaciones corresponden, más bien, a una opinión o a un juicio de valor posterior a los hechos y no son coincidentes con las demás pruebas documentales y testimoniales que obran en el expediente”.</w:t>
            </w:r>
          </w:p>
        </w:tc>
        <w:tc>
          <w:tcPr>
            <w:tcW w:w="3686" w:type="dxa"/>
            <w:vAlign w:val="center"/>
          </w:tcPr>
          <w:p w14:paraId="1A352D47" w14:textId="3A4C2A3E" w:rsidR="00EB29E2" w:rsidRPr="004571E5" w:rsidRDefault="00426F08" w:rsidP="00686E8A">
            <w:pPr>
              <w:pStyle w:val="Prrafodelista"/>
              <w:ind w:left="0"/>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lastRenderedPageBreak/>
              <w:t>En aplicación de la regla probatoria en virtud de la cual es necesario “[p</w:t>
            </w:r>
            <w:r w:rsidRPr="004571E5">
              <w:rPr>
                <w:rFonts w:ascii="Times New Roman" w:hAnsi="Times New Roman" w:cs="Times New Roman"/>
                <w:sz w:val="24"/>
                <w:szCs w:val="24"/>
              </w:rPr>
              <w:t>]</w:t>
            </w:r>
            <w:proofErr w:type="spellStart"/>
            <w:r w:rsidRPr="004571E5">
              <w:rPr>
                <w:rFonts w:ascii="Times New Roman" w:hAnsi="Times New Roman" w:cs="Times New Roman"/>
                <w:sz w:val="24"/>
                <w:szCs w:val="24"/>
              </w:rPr>
              <w:t>rivilegiar</w:t>
            </w:r>
            <w:proofErr w:type="spellEnd"/>
            <w:r w:rsidRPr="004571E5">
              <w:rPr>
                <w:rFonts w:ascii="Times New Roman" w:hAnsi="Times New Roman" w:cs="Times New Roman"/>
                <w:sz w:val="24"/>
                <w:szCs w:val="24"/>
              </w:rPr>
              <w:t xml:space="preserve"> la valoración de los medios de prueba indirectos y las inferencias lógicas guiadas por las máximas de la experiencia”</w:t>
            </w:r>
            <w:r w:rsidRPr="004571E5">
              <w:rPr>
                <w:rFonts w:ascii="Times New Roman" w:hAnsi="Times New Roman" w:cs="Times New Roman"/>
                <w:sz w:val="24"/>
                <w:szCs w:val="24"/>
                <w:lang w:val="es-ES_tradnl"/>
              </w:rPr>
              <w:t xml:space="preserve"> </w:t>
            </w:r>
            <w:r w:rsidR="00275A36" w:rsidRPr="004571E5">
              <w:rPr>
                <w:rFonts w:ascii="Times New Roman" w:hAnsi="Times New Roman" w:cs="Times New Roman"/>
                <w:sz w:val="24"/>
                <w:szCs w:val="24"/>
                <w:lang w:val="es-ES_tradnl"/>
              </w:rPr>
              <w:t xml:space="preserve">estos testimonios daban cuenta del perfil de la víctima, el lugar donde residía </w:t>
            </w:r>
            <w:r w:rsidR="00275A36" w:rsidRPr="004571E5">
              <w:rPr>
                <w:rFonts w:ascii="Times New Roman" w:hAnsi="Times New Roman" w:cs="Times New Roman"/>
                <w:sz w:val="24"/>
                <w:szCs w:val="24"/>
                <w:lang w:val="es-ES_tradnl"/>
              </w:rPr>
              <w:lastRenderedPageBreak/>
              <w:t>y la reputación con la que contaba en su comunidad.</w:t>
            </w:r>
          </w:p>
          <w:p w14:paraId="53D3C8F6" w14:textId="77777777" w:rsidR="00EF1ADB" w:rsidRPr="004571E5" w:rsidRDefault="00EF1ADB" w:rsidP="00686E8A">
            <w:pPr>
              <w:pStyle w:val="Prrafodelista"/>
              <w:ind w:left="0"/>
              <w:jc w:val="both"/>
              <w:rPr>
                <w:rFonts w:ascii="Times New Roman" w:hAnsi="Times New Roman" w:cs="Times New Roman"/>
                <w:sz w:val="24"/>
                <w:szCs w:val="24"/>
                <w:lang w:val="es-ES_tradnl"/>
              </w:rPr>
            </w:pPr>
          </w:p>
          <w:p w14:paraId="5B1EAE0C" w14:textId="4F85B7F3" w:rsidR="00EF1ADB" w:rsidRPr="004571E5" w:rsidRDefault="00EF1ADB" w:rsidP="00686E8A">
            <w:pPr>
              <w:pStyle w:val="Prrafodelista"/>
              <w:ind w:left="0"/>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La valoración de estos testimonios podría indicar que el Consejo de Estado incurrió en un error al considerar cual era el perfil de la víctima, asunto que ha sido analizado en otras oportunidades por esta Corporación</w:t>
            </w:r>
            <w:r w:rsidRPr="004571E5">
              <w:rPr>
                <w:rStyle w:val="Refdenotaalpie"/>
                <w:rFonts w:ascii="Times New Roman" w:hAnsi="Times New Roman" w:cs="Times New Roman"/>
                <w:sz w:val="24"/>
                <w:szCs w:val="24"/>
                <w:lang w:val="es-ES_tradnl"/>
              </w:rPr>
              <w:footnoteReference w:id="49"/>
            </w:r>
            <w:r w:rsidRPr="004571E5">
              <w:rPr>
                <w:rFonts w:ascii="Times New Roman" w:hAnsi="Times New Roman" w:cs="Times New Roman"/>
                <w:sz w:val="24"/>
                <w:szCs w:val="24"/>
                <w:lang w:val="es-ES_tradnl"/>
              </w:rPr>
              <w:t xml:space="preserve">. En concreto, los testimonios dan cuenta de que el señor González no se dedicaba a </w:t>
            </w:r>
            <w:proofErr w:type="gramStart"/>
            <w:r w:rsidRPr="004571E5">
              <w:rPr>
                <w:rFonts w:ascii="Times New Roman" w:hAnsi="Times New Roman" w:cs="Times New Roman"/>
                <w:sz w:val="24"/>
                <w:szCs w:val="24"/>
                <w:lang w:val="es-ES_tradnl"/>
              </w:rPr>
              <w:t>delinquir</w:t>
            </w:r>
            <w:proofErr w:type="gramEnd"/>
            <w:r w:rsidRPr="004571E5">
              <w:rPr>
                <w:rFonts w:ascii="Times New Roman" w:hAnsi="Times New Roman" w:cs="Times New Roman"/>
                <w:sz w:val="24"/>
                <w:szCs w:val="24"/>
                <w:lang w:val="es-ES_tradnl"/>
              </w:rPr>
              <w:t xml:space="preserve"> sino que, por el contrario, era un joven reconocido en su comunidad y que tenía un trabajo como electricista, lo que arroja serias dudas sobre las afirmaciones del Ejército respecto de que él llevaba varios días delinquiendo en la zona.</w:t>
            </w:r>
          </w:p>
        </w:tc>
      </w:tr>
      <w:tr w:rsidR="00EB29E2" w:rsidRPr="004571E5" w14:paraId="42B4EB56" w14:textId="77777777" w:rsidTr="00CB3D47">
        <w:tc>
          <w:tcPr>
            <w:tcW w:w="2405" w:type="dxa"/>
            <w:vAlign w:val="center"/>
          </w:tcPr>
          <w:p w14:paraId="21B0EA04" w14:textId="77777777" w:rsidR="00EB29E2" w:rsidRPr="004571E5" w:rsidRDefault="00EB29E2" w:rsidP="00686E8A">
            <w:pPr>
              <w:pStyle w:val="Prrafodelista"/>
              <w:ind w:left="0"/>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lastRenderedPageBreak/>
              <w:t xml:space="preserve">El análisis de residuos de disparo -emitido por el Cuerpo Técnico de Investigación de Química Aplicada y Sustancias Controladas Nivel Central de la </w:t>
            </w:r>
            <w:proofErr w:type="gramStart"/>
            <w:r w:rsidRPr="004571E5">
              <w:rPr>
                <w:rFonts w:ascii="Times New Roman" w:hAnsi="Times New Roman" w:cs="Times New Roman"/>
                <w:sz w:val="24"/>
                <w:szCs w:val="24"/>
                <w:lang w:val="es-ES_tradnl"/>
              </w:rPr>
              <w:t>Fiscalía General</w:t>
            </w:r>
            <w:proofErr w:type="gramEnd"/>
            <w:r w:rsidRPr="004571E5">
              <w:rPr>
                <w:rFonts w:ascii="Times New Roman" w:hAnsi="Times New Roman" w:cs="Times New Roman"/>
                <w:sz w:val="24"/>
                <w:szCs w:val="24"/>
                <w:lang w:val="es-ES_tradnl"/>
              </w:rPr>
              <w:t xml:space="preserve"> de la Nación- señaló para el señor González “incompatible con residuos de disparo en mano”</w:t>
            </w:r>
            <w:r w:rsidRPr="004571E5">
              <w:rPr>
                <w:rStyle w:val="Refdenotaalpie"/>
                <w:rFonts w:ascii="Times New Roman" w:hAnsi="Times New Roman" w:cs="Times New Roman"/>
                <w:sz w:val="24"/>
                <w:szCs w:val="24"/>
                <w:lang w:val="es-ES_tradnl"/>
              </w:rPr>
              <w:footnoteReference w:id="50"/>
            </w:r>
            <w:r w:rsidRPr="004571E5">
              <w:rPr>
                <w:rFonts w:ascii="Times New Roman" w:hAnsi="Times New Roman" w:cs="Times New Roman"/>
                <w:sz w:val="24"/>
                <w:szCs w:val="24"/>
                <w:lang w:val="es-ES_tradnl"/>
              </w:rPr>
              <w:t>.</w:t>
            </w:r>
          </w:p>
        </w:tc>
        <w:tc>
          <w:tcPr>
            <w:tcW w:w="2693" w:type="dxa"/>
            <w:vAlign w:val="center"/>
          </w:tcPr>
          <w:p w14:paraId="1B0E7179" w14:textId="4F113864" w:rsidR="00EB29E2" w:rsidRPr="004571E5" w:rsidRDefault="00EB29E2" w:rsidP="00686E8A">
            <w:pPr>
              <w:pStyle w:val="Prrafodelista"/>
              <w:ind w:left="0"/>
              <w:jc w:val="both"/>
              <w:rPr>
                <w:rFonts w:ascii="Times New Roman" w:hAnsi="Times New Roman" w:cs="Times New Roman"/>
                <w:sz w:val="24"/>
                <w:szCs w:val="24"/>
                <w:lang w:val="es-ES_tradnl"/>
              </w:rPr>
            </w:pPr>
            <w:r w:rsidRPr="004571E5">
              <w:rPr>
                <w:rFonts w:ascii="Times New Roman" w:hAnsi="Times New Roman" w:cs="Times New Roman"/>
                <w:sz w:val="24"/>
                <w:szCs w:val="24"/>
              </w:rPr>
              <w:t xml:space="preserve">“14.4. Obra el expediente copia auténtica de los estudios de laboratorio de balística y residuos de pólvora practicados por el CTI. Según los resultados de esos estudios, Juan David Urán López, Juan David González Henao y </w:t>
            </w:r>
            <w:proofErr w:type="spellStart"/>
            <w:r w:rsidRPr="004571E5">
              <w:rPr>
                <w:rFonts w:ascii="Times New Roman" w:hAnsi="Times New Roman" w:cs="Times New Roman"/>
                <w:sz w:val="24"/>
                <w:szCs w:val="24"/>
              </w:rPr>
              <w:t>Wisner</w:t>
            </w:r>
            <w:proofErr w:type="spellEnd"/>
            <w:r w:rsidRPr="004571E5">
              <w:rPr>
                <w:rFonts w:ascii="Times New Roman" w:hAnsi="Times New Roman" w:cs="Times New Roman"/>
                <w:sz w:val="24"/>
                <w:szCs w:val="24"/>
              </w:rPr>
              <w:t xml:space="preserve"> Adolfo Corrales “arrojaron incompatibilidad con residuos de disparo”</w:t>
            </w:r>
            <w:r w:rsidR="00426F08" w:rsidRPr="004571E5">
              <w:rPr>
                <w:rFonts w:ascii="Times New Roman" w:hAnsi="Times New Roman" w:cs="Times New Roman"/>
                <w:sz w:val="24"/>
                <w:szCs w:val="24"/>
              </w:rPr>
              <w:t>. Sin embargo</w:t>
            </w:r>
            <w:r w:rsidR="001B30B3" w:rsidRPr="004571E5">
              <w:rPr>
                <w:rFonts w:ascii="Times New Roman" w:hAnsi="Times New Roman" w:cs="Times New Roman"/>
                <w:sz w:val="24"/>
                <w:szCs w:val="24"/>
              </w:rPr>
              <w:t>,</w:t>
            </w:r>
            <w:r w:rsidRPr="004571E5">
              <w:rPr>
                <w:rFonts w:ascii="Times New Roman" w:hAnsi="Times New Roman" w:cs="Times New Roman"/>
                <w:sz w:val="24"/>
                <w:szCs w:val="24"/>
              </w:rPr>
              <w:t xml:space="preserve"> en las manos de Juan Pablo Carmona Zuluaga “se detectó residuos de disparo”. Las cuatro armas incautadas en el lugar de los hechos dieron “resultado positivo”, es decir, fueron disparadas”.</w:t>
            </w:r>
          </w:p>
        </w:tc>
        <w:tc>
          <w:tcPr>
            <w:tcW w:w="3686" w:type="dxa"/>
            <w:vAlign w:val="center"/>
          </w:tcPr>
          <w:p w14:paraId="3FB4110C" w14:textId="77777777" w:rsidR="00426F08" w:rsidRPr="004571E5" w:rsidRDefault="00426F08" w:rsidP="00686E8A">
            <w:pPr>
              <w:pStyle w:val="Prrafodelista"/>
              <w:ind w:left="0"/>
              <w:jc w:val="both"/>
              <w:rPr>
                <w:rFonts w:ascii="Times New Roman" w:hAnsi="Times New Roman" w:cs="Times New Roman"/>
                <w:sz w:val="24"/>
                <w:szCs w:val="24"/>
                <w:lang w:val="es-ES_tradnl"/>
              </w:rPr>
            </w:pPr>
          </w:p>
          <w:p w14:paraId="169E38DA" w14:textId="19394377" w:rsidR="00426F08" w:rsidRPr="004571E5" w:rsidRDefault="00426F08" w:rsidP="00686E8A">
            <w:pPr>
              <w:pStyle w:val="Prrafodelista"/>
              <w:ind w:left="0"/>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En aplicación de la regla probatoria en virtud de la cual es necesario “[p</w:t>
            </w:r>
            <w:r w:rsidRPr="004571E5">
              <w:rPr>
                <w:rFonts w:ascii="Times New Roman" w:hAnsi="Times New Roman" w:cs="Times New Roman"/>
                <w:sz w:val="24"/>
                <w:szCs w:val="24"/>
              </w:rPr>
              <w:t>]</w:t>
            </w:r>
            <w:proofErr w:type="spellStart"/>
            <w:r w:rsidRPr="004571E5">
              <w:rPr>
                <w:rFonts w:ascii="Times New Roman" w:hAnsi="Times New Roman" w:cs="Times New Roman"/>
                <w:sz w:val="24"/>
                <w:szCs w:val="24"/>
              </w:rPr>
              <w:t>rivilegiar</w:t>
            </w:r>
            <w:proofErr w:type="spellEnd"/>
            <w:r w:rsidRPr="004571E5">
              <w:rPr>
                <w:rFonts w:ascii="Times New Roman" w:hAnsi="Times New Roman" w:cs="Times New Roman"/>
                <w:sz w:val="24"/>
                <w:szCs w:val="24"/>
              </w:rPr>
              <w:t xml:space="preserve"> la valoración de los medios de prueba indirectos y las inferencias lógicas guiadas por las máximas de la experiencia”, era necesario considerar que, s</w:t>
            </w:r>
            <w:r w:rsidR="00EB29E2" w:rsidRPr="004571E5">
              <w:rPr>
                <w:rFonts w:ascii="Times New Roman" w:hAnsi="Times New Roman" w:cs="Times New Roman"/>
                <w:sz w:val="24"/>
                <w:szCs w:val="24"/>
                <w:lang w:val="es-ES_tradnl"/>
              </w:rPr>
              <w:t xml:space="preserve">i bien en las manos de </w:t>
            </w:r>
            <w:r w:rsidR="00EB29E2" w:rsidRPr="004571E5">
              <w:rPr>
                <w:rFonts w:ascii="Times New Roman" w:hAnsi="Times New Roman" w:cs="Times New Roman"/>
                <w:b/>
                <w:bCs/>
                <w:sz w:val="24"/>
                <w:szCs w:val="24"/>
                <w:lang w:val="es-ES_tradnl"/>
              </w:rPr>
              <w:t xml:space="preserve">uno </w:t>
            </w:r>
            <w:r w:rsidR="00EB29E2" w:rsidRPr="004571E5">
              <w:rPr>
                <w:rFonts w:ascii="Times New Roman" w:hAnsi="Times New Roman" w:cs="Times New Roman"/>
                <w:sz w:val="24"/>
                <w:szCs w:val="24"/>
                <w:lang w:val="es-ES_tradnl"/>
              </w:rPr>
              <w:t>de los fallecidos se encontraron residuos de pólvora, esto no ocurrió en el caso de l</w:t>
            </w:r>
            <w:r w:rsidRPr="004571E5">
              <w:rPr>
                <w:rFonts w:ascii="Times New Roman" w:hAnsi="Times New Roman" w:cs="Times New Roman"/>
                <w:sz w:val="24"/>
                <w:szCs w:val="24"/>
                <w:lang w:val="es-ES_tradnl"/>
              </w:rPr>
              <w:t>a</w:t>
            </w:r>
            <w:r w:rsidR="00EB29E2" w:rsidRPr="004571E5">
              <w:rPr>
                <w:rFonts w:ascii="Times New Roman" w:hAnsi="Times New Roman" w:cs="Times New Roman"/>
                <w:sz w:val="24"/>
                <w:szCs w:val="24"/>
                <w:lang w:val="es-ES_tradnl"/>
              </w:rPr>
              <w:t>s otr</w:t>
            </w:r>
            <w:r w:rsidRPr="004571E5">
              <w:rPr>
                <w:rFonts w:ascii="Times New Roman" w:hAnsi="Times New Roman" w:cs="Times New Roman"/>
                <w:sz w:val="24"/>
                <w:szCs w:val="24"/>
                <w:lang w:val="es-ES_tradnl"/>
              </w:rPr>
              <w:t>a</w:t>
            </w:r>
            <w:r w:rsidR="00EB29E2" w:rsidRPr="004571E5">
              <w:rPr>
                <w:rFonts w:ascii="Times New Roman" w:hAnsi="Times New Roman" w:cs="Times New Roman"/>
                <w:sz w:val="24"/>
                <w:szCs w:val="24"/>
                <w:lang w:val="es-ES_tradnl"/>
              </w:rPr>
              <w:t>s tres</w:t>
            </w:r>
            <w:r w:rsidRPr="004571E5">
              <w:rPr>
                <w:rFonts w:ascii="Times New Roman" w:hAnsi="Times New Roman" w:cs="Times New Roman"/>
                <w:sz w:val="24"/>
                <w:szCs w:val="24"/>
                <w:lang w:val="es-ES_tradnl"/>
              </w:rPr>
              <w:t xml:space="preserve"> personas</w:t>
            </w:r>
            <w:r w:rsidR="00EB29E2" w:rsidRPr="004571E5">
              <w:rPr>
                <w:rFonts w:ascii="Times New Roman" w:hAnsi="Times New Roman" w:cs="Times New Roman"/>
                <w:sz w:val="24"/>
                <w:szCs w:val="24"/>
                <w:lang w:val="es-ES_tradnl"/>
              </w:rPr>
              <w:t>. Ello</w:t>
            </w:r>
            <w:r w:rsidRPr="004571E5">
              <w:rPr>
                <w:rFonts w:ascii="Times New Roman" w:hAnsi="Times New Roman" w:cs="Times New Roman"/>
                <w:sz w:val="24"/>
                <w:szCs w:val="24"/>
                <w:lang w:val="es-ES_tradnl"/>
              </w:rPr>
              <w:t xml:space="preserve"> podría constituir un indicio que pondría en duda </w:t>
            </w:r>
            <w:r w:rsidR="00EB29E2" w:rsidRPr="004571E5">
              <w:rPr>
                <w:rFonts w:ascii="Times New Roman" w:hAnsi="Times New Roman" w:cs="Times New Roman"/>
                <w:sz w:val="24"/>
                <w:szCs w:val="24"/>
                <w:lang w:val="es-ES_tradnl"/>
              </w:rPr>
              <w:t xml:space="preserve">la veracidad de las afirmaciones del Ejército, según las cuales ocurrió un enfrentamiento con todos los jóvenes. </w:t>
            </w:r>
          </w:p>
          <w:p w14:paraId="107552AB" w14:textId="77777777" w:rsidR="00426F08" w:rsidRPr="004571E5" w:rsidRDefault="00426F08" w:rsidP="00686E8A">
            <w:pPr>
              <w:pStyle w:val="Prrafodelista"/>
              <w:ind w:left="0"/>
              <w:jc w:val="both"/>
              <w:rPr>
                <w:rFonts w:ascii="Times New Roman" w:hAnsi="Times New Roman" w:cs="Times New Roman"/>
                <w:sz w:val="24"/>
                <w:szCs w:val="24"/>
                <w:lang w:val="es-ES_tradnl"/>
              </w:rPr>
            </w:pPr>
          </w:p>
          <w:p w14:paraId="1423F684" w14:textId="67D9390B" w:rsidR="00EB29E2" w:rsidRPr="004571E5" w:rsidRDefault="00EB29E2" w:rsidP="00686E8A">
            <w:pPr>
              <w:pStyle w:val="Prrafodelista"/>
              <w:ind w:left="0"/>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Además, el hecho de que las cuatro armas hayan sido disparadas</w:t>
            </w:r>
            <w:r w:rsidR="00426F08" w:rsidRPr="004571E5">
              <w:rPr>
                <w:rFonts w:ascii="Times New Roman" w:hAnsi="Times New Roman" w:cs="Times New Roman"/>
                <w:sz w:val="24"/>
                <w:szCs w:val="24"/>
                <w:lang w:val="es-ES_tradnl"/>
              </w:rPr>
              <w:t>,</w:t>
            </w:r>
            <w:r w:rsidRPr="004571E5">
              <w:rPr>
                <w:rFonts w:ascii="Times New Roman" w:hAnsi="Times New Roman" w:cs="Times New Roman"/>
                <w:sz w:val="24"/>
                <w:szCs w:val="24"/>
                <w:lang w:val="es-ES_tradnl"/>
              </w:rPr>
              <w:t xml:space="preserve"> pero solo uno de los cuerpos haya presentado residuos de pólvora genera dudas respecto de la </w:t>
            </w:r>
            <w:r w:rsidR="00426F08" w:rsidRPr="004571E5">
              <w:rPr>
                <w:rFonts w:ascii="Times New Roman" w:hAnsi="Times New Roman" w:cs="Times New Roman"/>
                <w:sz w:val="24"/>
                <w:szCs w:val="24"/>
                <w:lang w:val="es-ES_tradnl"/>
              </w:rPr>
              <w:t xml:space="preserve">ocurrencia del </w:t>
            </w:r>
            <w:r w:rsidRPr="004571E5">
              <w:rPr>
                <w:rFonts w:ascii="Times New Roman" w:hAnsi="Times New Roman" w:cs="Times New Roman"/>
                <w:sz w:val="24"/>
                <w:szCs w:val="24"/>
                <w:lang w:val="es-ES_tradnl"/>
              </w:rPr>
              <w:t>enfrentamiento.</w:t>
            </w:r>
          </w:p>
        </w:tc>
      </w:tr>
      <w:tr w:rsidR="00EB29E2" w:rsidRPr="004571E5" w14:paraId="26AB08E8" w14:textId="77777777" w:rsidTr="00CB3D47">
        <w:tc>
          <w:tcPr>
            <w:tcW w:w="2405" w:type="dxa"/>
            <w:vAlign w:val="center"/>
          </w:tcPr>
          <w:p w14:paraId="31B523BA" w14:textId="76318811" w:rsidR="00EB29E2" w:rsidRPr="004571E5" w:rsidRDefault="00426F08" w:rsidP="00686E8A">
            <w:pPr>
              <w:pStyle w:val="Prrafodelista"/>
              <w:ind w:left="0"/>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 xml:space="preserve">Los estudios de laboratorio </w:t>
            </w:r>
            <w:r w:rsidR="00EB29E2" w:rsidRPr="004571E5">
              <w:rPr>
                <w:rFonts w:ascii="Times New Roman" w:hAnsi="Times New Roman" w:cs="Times New Roman"/>
                <w:sz w:val="24"/>
                <w:szCs w:val="24"/>
                <w:lang w:val="es-ES_tradnl"/>
              </w:rPr>
              <w:t>señal</w:t>
            </w:r>
            <w:r w:rsidRPr="004571E5">
              <w:rPr>
                <w:rFonts w:ascii="Times New Roman" w:hAnsi="Times New Roman" w:cs="Times New Roman"/>
                <w:sz w:val="24"/>
                <w:szCs w:val="24"/>
                <w:lang w:val="es-ES_tradnl"/>
              </w:rPr>
              <w:t>an</w:t>
            </w:r>
            <w:r w:rsidR="00EB29E2" w:rsidRPr="004571E5">
              <w:rPr>
                <w:rFonts w:ascii="Times New Roman" w:hAnsi="Times New Roman" w:cs="Times New Roman"/>
                <w:sz w:val="24"/>
                <w:szCs w:val="24"/>
                <w:lang w:val="es-ES_tradnl"/>
              </w:rPr>
              <w:t xml:space="preserve"> que el fallecido tenía tatuaje de pólvora</w:t>
            </w:r>
            <w:r w:rsidR="00EB29E2" w:rsidRPr="004571E5">
              <w:rPr>
                <w:rFonts w:ascii="Times New Roman" w:hAnsi="Times New Roman" w:cs="Times New Roman"/>
                <w:sz w:val="24"/>
                <w:szCs w:val="24"/>
                <w:vertAlign w:val="superscript"/>
                <w:lang w:val="es-ES_tradnl"/>
              </w:rPr>
              <w:footnoteReference w:id="51"/>
            </w:r>
            <w:r w:rsidR="00EB29E2" w:rsidRPr="004571E5">
              <w:rPr>
                <w:rFonts w:ascii="Times New Roman" w:hAnsi="Times New Roman" w:cs="Times New Roman"/>
                <w:sz w:val="24"/>
                <w:szCs w:val="24"/>
                <w:lang w:val="es-ES_tradnl"/>
              </w:rPr>
              <w:t xml:space="preserve"> y este únicamente se presentó en pruebas balísticas con distancia menor a 120 centímetros</w:t>
            </w:r>
            <w:r w:rsidR="00EB29E2" w:rsidRPr="004571E5">
              <w:rPr>
                <w:rFonts w:ascii="Times New Roman" w:hAnsi="Times New Roman" w:cs="Times New Roman"/>
                <w:sz w:val="24"/>
                <w:szCs w:val="24"/>
                <w:vertAlign w:val="superscript"/>
                <w:lang w:val="es-ES_tradnl"/>
              </w:rPr>
              <w:footnoteReference w:id="52"/>
            </w:r>
            <w:r w:rsidR="00EB29E2" w:rsidRPr="004571E5">
              <w:rPr>
                <w:rFonts w:ascii="Times New Roman" w:hAnsi="Times New Roman" w:cs="Times New Roman"/>
                <w:sz w:val="24"/>
                <w:szCs w:val="24"/>
                <w:lang w:val="es-ES_tradnl"/>
              </w:rPr>
              <w:t xml:space="preserve">. </w:t>
            </w:r>
          </w:p>
        </w:tc>
        <w:tc>
          <w:tcPr>
            <w:tcW w:w="2693" w:type="dxa"/>
            <w:vAlign w:val="center"/>
          </w:tcPr>
          <w:p w14:paraId="0D28561D" w14:textId="77777777" w:rsidR="00EB29E2" w:rsidRPr="004571E5" w:rsidRDefault="00EB29E2" w:rsidP="00686E8A">
            <w:pPr>
              <w:pStyle w:val="Prrafodelista"/>
              <w:ind w:left="0"/>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 xml:space="preserve">La subsección refirió estas pruebas en el </w:t>
            </w:r>
            <w:proofErr w:type="spellStart"/>
            <w:r w:rsidRPr="004571E5">
              <w:rPr>
                <w:rFonts w:ascii="Times New Roman" w:hAnsi="Times New Roman" w:cs="Times New Roman"/>
                <w:sz w:val="24"/>
                <w:szCs w:val="24"/>
                <w:lang w:val="es-ES_tradnl"/>
              </w:rPr>
              <w:t>fj</w:t>
            </w:r>
            <w:proofErr w:type="spellEnd"/>
            <w:r w:rsidRPr="004571E5">
              <w:rPr>
                <w:rFonts w:ascii="Times New Roman" w:hAnsi="Times New Roman" w:cs="Times New Roman"/>
                <w:sz w:val="24"/>
                <w:szCs w:val="24"/>
                <w:lang w:val="es-ES_tradnl"/>
              </w:rPr>
              <w:t xml:space="preserve">. 13 de la decisión y lo señaló como un hecho probado. Sin embargo, en el </w:t>
            </w:r>
            <w:proofErr w:type="spellStart"/>
            <w:r w:rsidRPr="004571E5">
              <w:rPr>
                <w:rFonts w:ascii="Times New Roman" w:hAnsi="Times New Roman" w:cs="Times New Roman"/>
                <w:sz w:val="24"/>
                <w:szCs w:val="24"/>
                <w:lang w:val="es-ES_tradnl"/>
              </w:rPr>
              <w:t>fj</w:t>
            </w:r>
            <w:proofErr w:type="spellEnd"/>
            <w:r w:rsidRPr="004571E5">
              <w:rPr>
                <w:rFonts w:ascii="Times New Roman" w:hAnsi="Times New Roman" w:cs="Times New Roman"/>
                <w:sz w:val="24"/>
                <w:szCs w:val="24"/>
                <w:lang w:val="es-ES_tradnl"/>
              </w:rPr>
              <w:t xml:space="preserve">. 19 afirmó que “uno de los cuatro orificios de entrada de las lesiones a González Henao tenía tatuaje, pero la Fiscalía no pudo determinar con certeza la </w:t>
            </w:r>
            <w:r w:rsidRPr="004571E5">
              <w:rPr>
                <w:rFonts w:ascii="Times New Roman" w:hAnsi="Times New Roman" w:cs="Times New Roman"/>
                <w:sz w:val="24"/>
                <w:szCs w:val="24"/>
                <w:lang w:val="es-ES_tradnl"/>
              </w:rPr>
              <w:lastRenderedPageBreak/>
              <w:t>trayectoria de los disparos”.</w:t>
            </w:r>
          </w:p>
        </w:tc>
        <w:tc>
          <w:tcPr>
            <w:tcW w:w="3686" w:type="dxa"/>
            <w:vAlign w:val="center"/>
          </w:tcPr>
          <w:p w14:paraId="3CB27E7B" w14:textId="5A2C4195" w:rsidR="0006740E" w:rsidRPr="004571E5" w:rsidRDefault="00426F08" w:rsidP="00686E8A">
            <w:pPr>
              <w:pStyle w:val="Prrafodelista"/>
              <w:ind w:left="0"/>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lastRenderedPageBreak/>
              <w:t xml:space="preserve">En aplicación de la regla probatoria en virtud de la cual </w:t>
            </w:r>
            <w:r w:rsidR="001F5283" w:rsidRPr="004571E5">
              <w:rPr>
                <w:rFonts w:ascii="Times New Roman" w:hAnsi="Times New Roman" w:cs="Times New Roman"/>
                <w:sz w:val="24"/>
                <w:szCs w:val="24"/>
                <w:lang w:val="es-ES_tradnl"/>
              </w:rPr>
              <w:t xml:space="preserve">si </w:t>
            </w:r>
            <w:r w:rsidR="001F5283" w:rsidRPr="004571E5">
              <w:rPr>
                <w:rFonts w:ascii="Times New Roman" w:hAnsi="Times New Roman" w:cs="Times New Roman"/>
                <w:sz w:val="24"/>
                <w:szCs w:val="24"/>
              </w:rPr>
              <w:t>se presentan versiones opuestas de los hechos “debe determinar cuál de ellas ofrece mayor probabilidad de acierto, sin necesidad de llegar a un convencimiento pleno más allá de toda duda razonable”</w:t>
            </w:r>
            <w:r w:rsidRPr="004571E5">
              <w:rPr>
                <w:rFonts w:ascii="Times New Roman" w:hAnsi="Times New Roman" w:cs="Times New Roman"/>
                <w:sz w:val="24"/>
                <w:szCs w:val="24"/>
                <w:lang w:val="es-ES_tradnl"/>
              </w:rPr>
              <w:t>,</w:t>
            </w:r>
            <w:r w:rsidR="000F29E9" w:rsidRPr="004571E5">
              <w:rPr>
                <w:rFonts w:ascii="Times New Roman" w:hAnsi="Times New Roman" w:cs="Times New Roman"/>
                <w:sz w:val="24"/>
                <w:szCs w:val="24"/>
                <w:lang w:val="es-ES_tradnl"/>
              </w:rPr>
              <w:t xml:space="preserve"> </w:t>
            </w:r>
            <w:r w:rsidR="0006740E" w:rsidRPr="004571E5">
              <w:rPr>
                <w:rFonts w:ascii="Times New Roman" w:hAnsi="Times New Roman" w:cs="Times New Roman"/>
                <w:sz w:val="24"/>
                <w:szCs w:val="24"/>
                <w:lang w:val="es-ES_tradnl"/>
              </w:rPr>
              <w:t>es posible evidenciar</w:t>
            </w:r>
            <w:r w:rsidR="00EB29E2" w:rsidRPr="004571E5">
              <w:rPr>
                <w:rFonts w:ascii="Times New Roman" w:hAnsi="Times New Roman" w:cs="Times New Roman"/>
                <w:sz w:val="24"/>
                <w:szCs w:val="24"/>
                <w:lang w:val="es-ES_tradnl"/>
              </w:rPr>
              <w:t xml:space="preserve"> inconsistencia</w:t>
            </w:r>
            <w:r w:rsidR="00635862" w:rsidRPr="004571E5">
              <w:rPr>
                <w:rFonts w:ascii="Times New Roman" w:hAnsi="Times New Roman" w:cs="Times New Roman"/>
                <w:sz w:val="24"/>
                <w:szCs w:val="24"/>
                <w:lang w:val="es-ES_tradnl"/>
              </w:rPr>
              <w:t>s</w:t>
            </w:r>
            <w:r w:rsidR="00EB29E2" w:rsidRPr="004571E5">
              <w:rPr>
                <w:rFonts w:ascii="Times New Roman" w:hAnsi="Times New Roman" w:cs="Times New Roman"/>
                <w:sz w:val="24"/>
                <w:szCs w:val="24"/>
                <w:lang w:val="es-ES_tradnl"/>
              </w:rPr>
              <w:t xml:space="preserve"> </w:t>
            </w:r>
            <w:r w:rsidR="00635862" w:rsidRPr="004571E5">
              <w:rPr>
                <w:rFonts w:ascii="Times New Roman" w:hAnsi="Times New Roman" w:cs="Times New Roman"/>
                <w:sz w:val="24"/>
                <w:szCs w:val="24"/>
                <w:lang w:val="es-ES_tradnl"/>
              </w:rPr>
              <w:t>en</w:t>
            </w:r>
            <w:r w:rsidR="00EB29E2" w:rsidRPr="004571E5">
              <w:rPr>
                <w:rFonts w:ascii="Times New Roman" w:hAnsi="Times New Roman" w:cs="Times New Roman"/>
                <w:sz w:val="24"/>
                <w:szCs w:val="24"/>
                <w:lang w:val="es-ES_tradnl"/>
              </w:rPr>
              <w:t xml:space="preserve"> el relato de los uniformados, quienes afirmaron disparar a una distancia </w:t>
            </w:r>
            <w:r w:rsidR="000F29E9" w:rsidRPr="004571E5">
              <w:rPr>
                <w:rFonts w:ascii="Times New Roman" w:hAnsi="Times New Roman" w:cs="Times New Roman"/>
                <w:sz w:val="24"/>
                <w:szCs w:val="24"/>
                <w:lang w:val="es-ES_tradnl"/>
              </w:rPr>
              <w:lastRenderedPageBreak/>
              <w:t xml:space="preserve">cercana a los </w:t>
            </w:r>
            <w:r w:rsidR="00EB29E2" w:rsidRPr="004571E5">
              <w:rPr>
                <w:rFonts w:ascii="Times New Roman" w:hAnsi="Times New Roman" w:cs="Times New Roman"/>
                <w:sz w:val="24"/>
                <w:szCs w:val="24"/>
                <w:lang w:val="es-ES_tradnl"/>
              </w:rPr>
              <w:t>27 metros</w:t>
            </w:r>
            <w:r w:rsidR="00EB29E2" w:rsidRPr="004571E5">
              <w:rPr>
                <w:rFonts w:ascii="Times New Roman" w:hAnsi="Times New Roman" w:cs="Times New Roman"/>
                <w:sz w:val="24"/>
                <w:szCs w:val="24"/>
                <w:vertAlign w:val="superscript"/>
                <w:lang w:val="es-ES_tradnl"/>
              </w:rPr>
              <w:footnoteReference w:id="53"/>
            </w:r>
            <w:r w:rsidR="00EB29E2" w:rsidRPr="004571E5">
              <w:rPr>
                <w:rFonts w:ascii="Times New Roman" w:hAnsi="Times New Roman" w:cs="Times New Roman"/>
                <w:sz w:val="24"/>
                <w:szCs w:val="24"/>
                <w:lang w:val="es-ES_tradnl"/>
              </w:rPr>
              <w:t>.</w:t>
            </w:r>
            <w:r w:rsidR="0006740E" w:rsidRPr="004571E5">
              <w:rPr>
                <w:rFonts w:ascii="Times New Roman" w:hAnsi="Times New Roman" w:cs="Times New Roman"/>
                <w:sz w:val="24"/>
                <w:szCs w:val="24"/>
                <w:lang w:val="es-ES_tradnl"/>
              </w:rPr>
              <w:t xml:space="preserve"> </w:t>
            </w:r>
            <w:r w:rsidR="00EB29E2" w:rsidRPr="004571E5">
              <w:rPr>
                <w:rFonts w:ascii="Times New Roman" w:hAnsi="Times New Roman" w:cs="Times New Roman"/>
                <w:sz w:val="24"/>
                <w:szCs w:val="24"/>
                <w:lang w:val="es-ES_tradnl"/>
              </w:rPr>
              <w:t xml:space="preserve">Además, la presencia de tatuaje </w:t>
            </w:r>
            <w:r w:rsidR="00887BAB" w:rsidRPr="004571E5">
              <w:rPr>
                <w:rFonts w:ascii="Times New Roman" w:hAnsi="Times New Roman" w:cs="Times New Roman"/>
                <w:sz w:val="24"/>
                <w:szCs w:val="24"/>
                <w:lang w:val="es-ES_tradnl"/>
              </w:rPr>
              <w:t>genera dudas respecto de que haya ocurrido el enfrentamiento, o podría poner en duda la tesis de los miembros de las fuerzas militares.</w:t>
            </w:r>
          </w:p>
        </w:tc>
      </w:tr>
      <w:tr w:rsidR="00EB29E2" w:rsidRPr="004571E5" w14:paraId="0BB2FEBF" w14:textId="77777777" w:rsidTr="00CB3D47">
        <w:tc>
          <w:tcPr>
            <w:tcW w:w="2405" w:type="dxa"/>
            <w:vAlign w:val="center"/>
          </w:tcPr>
          <w:p w14:paraId="0ADC0F52" w14:textId="3008C2EB" w:rsidR="00EB29E2" w:rsidRPr="004571E5" w:rsidRDefault="00EB29E2" w:rsidP="00686E8A">
            <w:pPr>
              <w:pStyle w:val="Prrafodelista"/>
              <w:ind w:left="0"/>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lastRenderedPageBreak/>
              <w:t>Informe de Patrullaje Madrid que señala</w:t>
            </w:r>
            <w:r w:rsidR="000F29E9" w:rsidRPr="004571E5">
              <w:rPr>
                <w:rFonts w:ascii="Times New Roman" w:hAnsi="Times New Roman" w:cs="Times New Roman"/>
                <w:sz w:val="24"/>
                <w:szCs w:val="24"/>
                <w:lang w:val="es-ES_tradnl"/>
              </w:rPr>
              <w:t>:</w:t>
            </w:r>
            <w:r w:rsidRPr="004571E5">
              <w:rPr>
                <w:rFonts w:ascii="Times New Roman" w:hAnsi="Times New Roman" w:cs="Times New Roman"/>
                <w:sz w:val="24"/>
                <w:szCs w:val="24"/>
                <w:lang w:val="es-ES_tradnl"/>
              </w:rPr>
              <w:t xml:space="preserve"> “se escucha también que salen varios sujetos a correr y simultáneamente mientras corren disparan hacia la patrulla”</w:t>
            </w:r>
            <w:r w:rsidRPr="004571E5">
              <w:rPr>
                <w:rStyle w:val="Refdenotaalpie"/>
                <w:rFonts w:ascii="Times New Roman" w:hAnsi="Times New Roman" w:cs="Times New Roman"/>
                <w:sz w:val="24"/>
                <w:szCs w:val="24"/>
                <w:lang w:val="es-ES_tradnl"/>
              </w:rPr>
              <w:footnoteReference w:id="54"/>
            </w:r>
            <w:r w:rsidRPr="004571E5">
              <w:rPr>
                <w:rFonts w:ascii="Times New Roman" w:hAnsi="Times New Roman" w:cs="Times New Roman"/>
                <w:sz w:val="24"/>
                <w:szCs w:val="24"/>
                <w:lang w:val="es-ES_tradnl"/>
              </w:rPr>
              <w:t>.</w:t>
            </w:r>
          </w:p>
        </w:tc>
        <w:tc>
          <w:tcPr>
            <w:tcW w:w="2693" w:type="dxa"/>
            <w:vAlign w:val="center"/>
          </w:tcPr>
          <w:p w14:paraId="3744639A" w14:textId="77777777" w:rsidR="00EB29E2" w:rsidRPr="004571E5" w:rsidRDefault="00EB29E2" w:rsidP="00686E8A">
            <w:pPr>
              <w:pStyle w:val="Prrafodelista"/>
              <w:ind w:left="0"/>
              <w:jc w:val="both"/>
              <w:rPr>
                <w:rFonts w:ascii="Times New Roman" w:hAnsi="Times New Roman" w:cs="Times New Roman"/>
                <w:sz w:val="24"/>
                <w:szCs w:val="24"/>
              </w:rPr>
            </w:pPr>
            <w:r w:rsidRPr="004571E5">
              <w:rPr>
                <w:rFonts w:ascii="Times New Roman" w:hAnsi="Times New Roman" w:cs="Times New Roman"/>
                <w:sz w:val="24"/>
                <w:szCs w:val="24"/>
                <w:lang w:val="es-ES_tradnl"/>
              </w:rPr>
              <w:t>La sentencia atacada no se pronunció sobre este punto.</w:t>
            </w:r>
          </w:p>
        </w:tc>
        <w:tc>
          <w:tcPr>
            <w:tcW w:w="3686" w:type="dxa"/>
            <w:vAlign w:val="center"/>
          </w:tcPr>
          <w:p w14:paraId="55ADE83B" w14:textId="361F6E35" w:rsidR="00EB29E2" w:rsidRPr="004571E5" w:rsidRDefault="000F29E9" w:rsidP="00686E8A">
            <w:pPr>
              <w:pStyle w:val="Prrafodelista"/>
              <w:ind w:left="0"/>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 xml:space="preserve">En aplicación de la regla probatoria en virtud de la cual </w:t>
            </w:r>
            <w:r w:rsidR="001F5283" w:rsidRPr="004571E5">
              <w:rPr>
                <w:rFonts w:ascii="Times New Roman" w:hAnsi="Times New Roman" w:cs="Times New Roman"/>
                <w:sz w:val="24"/>
                <w:szCs w:val="24"/>
                <w:lang w:val="es-ES_tradnl"/>
              </w:rPr>
              <w:t>es necesario “[p</w:t>
            </w:r>
            <w:r w:rsidR="001F5283" w:rsidRPr="004571E5">
              <w:rPr>
                <w:rFonts w:ascii="Times New Roman" w:hAnsi="Times New Roman" w:cs="Times New Roman"/>
                <w:sz w:val="24"/>
                <w:szCs w:val="24"/>
              </w:rPr>
              <w:t>]</w:t>
            </w:r>
            <w:proofErr w:type="spellStart"/>
            <w:r w:rsidR="001F5283" w:rsidRPr="004571E5">
              <w:rPr>
                <w:rFonts w:ascii="Times New Roman" w:hAnsi="Times New Roman" w:cs="Times New Roman"/>
                <w:sz w:val="24"/>
                <w:szCs w:val="24"/>
              </w:rPr>
              <w:t>rivilegiar</w:t>
            </w:r>
            <w:proofErr w:type="spellEnd"/>
            <w:r w:rsidR="001F5283" w:rsidRPr="004571E5">
              <w:rPr>
                <w:rFonts w:ascii="Times New Roman" w:hAnsi="Times New Roman" w:cs="Times New Roman"/>
                <w:sz w:val="24"/>
                <w:szCs w:val="24"/>
              </w:rPr>
              <w:t xml:space="preserve"> la valoración de los medios de prueba indirectos y las inferencias lógicas guiadas por las máximas de la experiencia”</w:t>
            </w:r>
            <w:r w:rsidRPr="004571E5">
              <w:rPr>
                <w:rFonts w:ascii="Times New Roman" w:hAnsi="Times New Roman" w:cs="Times New Roman"/>
                <w:sz w:val="24"/>
                <w:szCs w:val="24"/>
                <w:lang w:val="es-ES_tradnl"/>
              </w:rPr>
              <w:t>, el hecho afirmado en el informe de patrullaje</w:t>
            </w:r>
            <w:r w:rsidR="00EB29E2" w:rsidRPr="004571E5">
              <w:rPr>
                <w:rFonts w:ascii="Times New Roman" w:hAnsi="Times New Roman" w:cs="Times New Roman"/>
                <w:sz w:val="24"/>
                <w:szCs w:val="24"/>
                <w:lang w:val="es-ES_tradnl"/>
              </w:rPr>
              <w:t xml:space="preserve">, al interpretarse </w:t>
            </w:r>
            <w:r w:rsidR="0004459B" w:rsidRPr="004571E5">
              <w:rPr>
                <w:rFonts w:ascii="Times New Roman" w:hAnsi="Times New Roman" w:cs="Times New Roman"/>
                <w:sz w:val="24"/>
                <w:szCs w:val="24"/>
                <w:lang w:val="es-ES_tradnl"/>
              </w:rPr>
              <w:t xml:space="preserve">conjuntamente </w:t>
            </w:r>
            <w:r w:rsidR="00EB29E2" w:rsidRPr="004571E5">
              <w:rPr>
                <w:rFonts w:ascii="Times New Roman" w:hAnsi="Times New Roman" w:cs="Times New Roman"/>
                <w:sz w:val="24"/>
                <w:szCs w:val="24"/>
                <w:lang w:val="es-ES_tradnl"/>
              </w:rPr>
              <w:t>con el informe balístico que da cuenta de que solo uno de los fallecidos tenía residuos de pólvora en sus manos, podría</w:t>
            </w:r>
            <w:r w:rsidRPr="004571E5">
              <w:rPr>
                <w:rFonts w:ascii="Times New Roman" w:hAnsi="Times New Roman" w:cs="Times New Roman"/>
                <w:sz w:val="24"/>
                <w:szCs w:val="24"/>
                <w:lang w:val="es-ES_tradnl"/>
              </w:rPr>
              <w:t xml:space="preserve"> evidenciar</w:t>
            </w:r>
            <w:r w:rsidR="00EB29E2" w:rsidRPr="004571E5">
              <w:rPr>
                <w:rFonts w:ascii="Times New Roman" w:hAnsi="Times New Roman" w:cs="Times New Roman"/>
                <w:sz w:val="24"/>
                <w:szCs w:val="24"/>
                <w:lang w:val="es-ES_tradnl"/>
              </w:rPr>
              <w:t xml:space="preserve"> incongruencias en el relato del Ejército pues no se evidenció que varias personas dispararan contra los militares</w:t>
            </w:r>
            <w:r w:rsidRPr="004571E5">
              <w:rPr>
                <w:rFonts w:ascii="Times New Roman" w:hAnsi="Times New Roman" w:cs="Times New Roman"/>
                <w:sz w:val="24"/>
                <w:szCs w:val="24"/>
                <w:lang w:val="es-ES_tradnl"/>
              </w:rPr>
              <w:t>.</w:t>
            </w:r>
          </w:p>
        </w:tc>
      </w:tr>
    </w:tbl>
    <w:p w14:paraId="6CE39AA9" w14:textId="77777777" w:rsidR="00EB29E2" w:rsidRPr="004571E5" w:rsidRDefault="00EB29E2" w:rsidP="00EB29E2">
      <w:pPr>
        <w:pStyle w:val="Prrafodelista"/>
        <w:spacing w:line="240" w:lineRule="auto"/>
        <w:ind w:left="0"/>
        <w:jc w:val="both"/>
        <w:rPr>
          <w:rFonts w:ascii="Times New Roman" w:hAnsi="Times New Roman" w:cs="Times New Roman"/>
          <w:sz w:val="28"/>
          <w:szCs w:val="28"/>
          <w:lang w:val="es-ES_tradnl"/>
        </w:rPr>
      </w:pPr>
    </w:p>
    <w:p w14:paraId="6A5B92B5" w14:textId="4E1919F8" w:rsidR="000F29E9" w:rsidRPr="004571E5" w:rsidRDefault="000F29E9" w:rsidP="00D42FA8">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A</w:t>
      </w:r>
      <w:r w:rsidR="00EB29E2" w:rsidRPr="004571E5">
        <w:rPr>
          <w:rFonts w:ascii="Times New Roman" w:hAnsi="Times New Roman" w:cs="Times New Roman"/>
          <w:sz w:val="28"/>
          <w:szCs w:val="28"/>
          <w:lang w:val="es-ES_tradnl"/>
        </w:rPr>
        <w:t xml:space="preserve"> partir de estos medios de prueba e</w:t>
      </w:r>
      <w:r w:rsidRPr="004571E5">
        <w:rPr>
          <w:rFonts w:ascii="Times New Roman" w:hAnsi="Times New Roman" w:cs="Times New Roman"/>
          <w:sz w:val="28"/>
          <w:szCs w:val="28"/>
          <w:lang w:val="es-ES_tradnl"/>
        </w:rPr>
        <w:t>s</w:t>
      </w:r>
      <w:r w:rsidR="00EB29E2" w:rsidRPr="004571E5">
        <w:rPr>
          <w:rFonts w:ascii="Times New Roman" w:hAnsi="Times New Roman" w:cs="Times New Roman"/>
          <w:sz w:val="28"/>
          <w:szCs w:val="28"/>
          <w:lang w:val="es-ES_tradnl"/>
        </w:rPr>
        <w:t xml:space="preserve"> posible</w:t>
      </w:r>
      <w:r w:rsidRPr="004571E5">
        <w:rPr>
          <w:rFonts w:ascii="Times New Roman" w:hAnsi="Times New Roman" w:cs="Times New Roman"/>
          <w:sz w:val="28"/>
          <w:szCs w:val="28"/>
          <w:lang w:val="es-ES_tradnl"/>
        </w:rPr>
        <w:t xml:space="preserve"> encontrar</w:t>
      </w:r>
      <w:r w:rsidR="0004459B" w:rsidRPr="004571E5">
        <w:rPr>
          <w:rFonts w:ascii="Times New Roman" w:hAnsi="Times New Roman" w:cs="Times New Roman"/>
          <w:sz w:val="28"/>
          <w:szCs w:val="28"/>
          <w:lang w:val="es-ES_tradnl"/>
        </w:rPr>
        <w:t xml:space="preserve"> acreditad</w:t>
      </w:r>
      <w:r w:rsidR="009638CA" w:rsidRPr="004571E5">
        <w:rPr>
          <w:rFonts w:ascii="Times New Roman" w:hAnsi="Times New Roman" w:cs="Times New Roman"/>
          <w:sz w:val="28"/>
          <w:szCs w:val="28"/>
          <w:lang w:val="es-ES_tradnl"/>
        </w:rPr>
        <w:t>o</w:t>
      </w:r>
      <w:r w:rsidR="0004459B" w:rsidRPr="004571E5">
        <w:rPr>
          <w:rFonts w:ascii="Times New Roman" w:hAnsi="Times New Roman" w:cs="Times New Roman"/>
          <w:sz w:val="28"/>
          <w:szCs w:val="28"/>
          <w:lang w:val="es-ES_tradnl"/>
        </w:rPr>
        <w:t>s</w:t>
      </w:r>
      <w:r w:rsidRPr="004571E5">
        <w:rPr>
          <w:rFonts w:ascii="Times New Roman" w:hAnsi="Times New Roman" w:cs="Times New Roman"/>
          <w:sz w:val="28"/>
          <w:szCs w:val="28"/>
          <w:lang w:val="es-ES_tradnl"/>
        </w:rPr>
        <w:t xml:space="preserve"> </w:t>
      </w:r>
      <w:r w:rsidR="0004459B" w:rsidRPr="004571E5">
        <w:rPr>
          <w:rFonts w:ascii="Times New Roman" w:hAnsi="Times New Roman" w:cs="Times New Roman"/>
          <w:sz w:val="28"/>
          <w:szCs w:val="28"/>
          <w:lang w:val="es-ES_tradnl"/>
        </w:rPr>
        <w:t xml:space="preserve">hechos que indicarían </w:t>
      </w:r>
      <w:r w:rsidR="00EB29E2" w:rsidRPr="004571E5">
        <w:rPr>
          <w:rFonts w:ascii="Times New Roman" w:hAnsi="Times New Roman" w:cs="Times New Roman"/>
          <w:sz w:val="28"/>
          <w:szCs w:val="28"/>
          <w:lang w:val="es-ES_tradnl"/>
        </w:rPr>
        <w:t xml:space="preserve">que en el presente asunto </w:t>
      </w:r>
      <w:r w:rsidR="0004459B" w:rsidRPr="004571E5">
        <w:rPr>
          <w:rFonts w:ascii="Times New Roman" w:hAnsi="Times New Roman" w:cs="Times New Roman"/>
          <w:sz w:val="28"/>
          <w:szCs w:val="28"/>
          <w:lang w:val="es-ES_tradnl"/>
        </w:rPr>
        <w:t>pudo tener lugar</w:t>
      </w:r>
      <w:r w:rsidR="00EB29E2" w:rsidRPr="004571E5">
        <w:rPr>
          <w:rFonts w:ascii="Times New Roman" w:hAnsi="Times New Roman" w:cs="Times New Roman"/>
          <w:sz w:val="28"/>
          <w:szCs w:val="28"/>
          <w:lang w:val="es-ES_tradnl"/>
        </w:rPr>
        <w:t xml:space="preserve"> una ejecución extrajudicial. En concreto, era razonable concluir </w:t>
      </w:r>
      <w:r w:rsidR="00962856" w:rsidRPr="004571E5">
        <w:rPr>
          <w:rFonts w:ascii="Times New Roman" w:hAnsi="Times New Roman" w:cs="Times New Roman"/>
          <w:sz w:val="28"/>
          <w:szCs w:val="28"/>
          <w:lang w:val="es-ES_tradnl"/>
        </w:rPr>
        <w:t xml:space="preserve">que </w:t>
      </w:r>
      <w:r w:rsidR="00EB29E2" w:rsidRPr="004571E5">
        <w:rPr>
          <w:rFonts w:ascii="Times New Roman" w:hAnsi="Times New Roman" w:cs="Times New Roman"/>
          <w:sz w:val="28"/>
          <w:szCs w:val="28"/>
          <w:lang w:val="es-ES_tradnl"/>
        </w:rPr>
        <w:t>(i) los fallecidos no llevaban varios días delinquiendo en la zona</w:t>
      </w:r>
      <w:r w:rsidRPr="004571E5">
        <w:rPr>
          <w:rFonts w:ascii="Times New Roman" w:hAnsi="Times New Roman" w:cs="Times New Roman"/>
          <w:sz w:val="28"/>
          <w:szCs w:val="28"/>
          <w:lang w:val="es-ES_tradnl"/>
        </w:rPr>
        <w:t>,</w:t>
      </w:r>
      <w:r w:rsidR="00EB29E2" w:rsidRPr="004571E5">
        <w:rPr>
          <w:rFonts w:ascii="Times New Roman" w:hAnsi="Times New Roman" w:cs="Times New Roman"/>
          <w:sz w:val="28"/>
          <w:szCs w:val="28"/>
          <w:lang w:val="es-ES_tradnl"/>
        </w:rPr>
        <w:t xml:space="preserve"> sino que se encontraban en Medellín; (</w:t>
      </w:r>
      <w:proofErr w:type="spellStart"/>
      <w:r w:rsidR="00EB29E2" w:rsidRPr="004571E5">
        <w:rPr>
          <w:rFonts w:ascii="Times New Roman" w:hAnsi="Times New Roman" w:cs="Times New Roman"/>
          <w:sz w:val="28"/>
          <w:szCs w:val="28"/>
          <w:lang w:val="es-ES_tradnl"/>
        </w:rPr>
        <w:t>ii</w:t>
      </w:r>
      <w:proofErr w:type="spellEnd"/>
      <w:r w:rsidR="00EB29E2" w:rsidRPr="004571E5">
        <w:rPr>
          <w:rFonts w:ascii="Times New Roman" w:hAnsi="Times New Roman" w:cs="Times New Roman"/>
          <w:sz w:val="28"/>
          <w:szCs w:val="28"/>
          <w:lang w:val="es-ES_tradnl"/>
        </w:rPr>
        <w:t>) los disparos sobre el fallecido se hicieron a una muy corta distancia; y (</w:t>
      </w:r>
      <w:proofErr w:type="spellStart"/>
      <w:r w:rsidR="00EB29E2" w:rsidRPr="004571E5">
        <w:rPr>
          <w:rFonts w:ascii="Times New Roman" w:hAnsi="Times New Roman" w:cs="Times New Roman"/>
          <w:sz w:val="28"/>
          <w:szCs w:val="28"/>
          <w:lang w:val="es-ES_tradnl"/>
        </w:rPr>
        <w:t>iii</w:t>
      </w:r>
      <w:proofErr w:type="spellEnd"/>
      <w:r w:rsidR="00EB29E2" w:rsidRPr="004571E5">
        <w:rPr>
          <w:rFonts w:ascii="Times New Roman" w:hAnsi="Times New Roman" w:cs="Times New Roman"/>
          <w:sz w:val="28"/>
          <w:szCs w:val="28"/>
          <w:lang w:val="es-ES_tradnl"/>
        </w:rPr>
        <w:t>) se</w:t>
      </w:r>
      <w:r w:rsidRPr="004571E5">
        <w:rPr>
          <w:rFonts w:ascii="Times New Roman" w:hAnsi="Times New Roman" w:cs="Times New Roman"/>
          <w:sz w:val="28"/>
          <w:szCs w:val="28"/>
          <w:lang w:val="es-ES_tradnl"/>
        </w:rPr>
        <w:t xml:space="preserve"> probaron</w:t>
      </w:r>
      <w:r w:rsidR="00EB29E2" w:rsidRPr="004571E5">
        <w:rPr>
          <w:rFonts w:ascii="Times New Roman" w:hAnsi="Times New Roman" w:cs="Times New Roman"/>
          <w:sz w:val="28"/>
          <w:szCs w:val="28"/>
          <w:lang w:val="es-ES_tradnl"/>
        </w:rPr>
        <w:t xml:space="preserve"> hechos que se corresponden con los patrones típicos de estas situaciones</w:t>
      </w:r>
      <w:r w:rsidRPr="004571E5">
        <w:rPr>
          <w:rFonts w:ascii="Times New Roman" w:hAnsi="Times New Roman" w:cs="Times New Roman"/>
          <w:sz w:val="28"/>
          <w:szCs w:val="28"/>
          <w:lang w:val="es-ES_tradnl"/>
        </w:rPr>
        <w:t>.</w:t>
      </w:r>
      <w:r w:rsidR="00EB29E2" w:rsidRPr="004571E5">
        <w:rPr>
          <w:rFonts w:ascii="Times New Roman" w:hAnsi="Times New Roman" w:cs="Times New Roman"/>
          <w:sz w:val="28"/>
          <w:szCs w:val="28"/>
          <w:lang w:val="es-ES_tradnl"/>
        </w:rPr>
        <w:t xml:space="preserve"> </w:t>
      </w:r>
      <w:r w:rsidRPr="004571E5">
        <w:rPr>
          <w:rFonts w:ascii="Times New Roman" w:hAnsi="Times New Roman" w:cs="Times New Roman"/>
          <w:sz w:val="28"/>
          <w:szCs w:val="28"/>
          <w:lang w:val="es-ES_tradnl"/>
        </w:rPr>
        <w:t>Sobre esto último cabe destacar</w:t>
      </w:r>
      <w:r w:rsidR="001B30B3" w:rsidRPr="004571E5">
        <w:rPr>
          <w:rFonts w:ascii="Times New Roman" w:hAnsi="Times New Roman" w:cs="Times New Roman"/>
          <w:sz w:val="28"/>
          <w:szCs w:val="28"/>
          <w:lang w:val="es-ES_tradnl"/>
        </w:rPr>
        <w:t xml:space="preserve"> </w:t>
      </w:r>
      <w:r w:rsidR="00EB29E2" w:rsidRPr="004571E5">
        <w:rPr>
          <w:rFonts w:ascii="Times New Roman" w:hAnsi="Times New Roman" w:cs="Times New Roman"/>
          <w:sz w:val="28"/>
          <w:szCs w:val="28"/>
          <w:lang w:val="es-ES_tradnl"/>
        </w:rPr>
        <w:t xml:space="preserve">las dudas frente a la trayectoria </w:t>
      </w:r>
      <w:r w:rsidR="001B30B3" w:rsidRPr="004571E5">
        <w:rPr>
          <w:rFonts w:ascii="Times New Roman" w:hAnsi="Times New Roman" w:cs="Times New Roman"/>
          <w:sz w:val="28"/>
          <w:szCs w:val="28"/>
          <w:lang w:val="es-ES_tradnl"/>
        </w:rPr>
        <w:t xml:space="preserve">y la distancia desde la cual fueron disparados </w:t>
      </w:r>
      <w:r w:rsidR="00EB29E2" w:rsidRPr="004571E5">
        <w:rPr>
          <w:rFonts w:ascii="Times New Roman" w:hAnsi="Times New Roman" w:cs="Times New Roman"/>
          <w:sz w:val="28"/>
          <w:szCs w:val="28"/>
          <w:lang w:val="es-ES_tradnl"/>
        </w:rPr>
        <w:t xml:space="preserve">los proyectiles </w:t>
      </w:r>
      <w:r w:rsidRPr="004571E5">
        <w:rPr>
          <w:rFonts w:ascii="Times New Roman" w:hAnsi="Times New Roman" w:cs="Times New Roman"/>
          <w:sz w:val="28"/>
          <w:szCs w:val="28"/>
          <w:lang w:val="es-ES_tradnl"/>
        </w:rPr>
        <w:t>y</w:t>
      </w:r>
      <w:r w:rsidR="00EB29E2" w:rsidRPr="004571E5">
        <w:rPr>
          <w:rFonts w:ascii="Times New Roman" w:hAnsi="Times New Roman" w:cs="Times New Roman"/>
          <w:sz w:val="28"/>
          <w:szCs w:val="28"/>
          <w:lang w:val="es-ES_tradnl"/>
        </w:rPr>
        <w:t xml:space="preserve"> las incongruencias del relato del Ejército</w:t>
      </w:r>
      <w:r w:rsidRPr="004571E5">
        <w:rPr>
          <w:rFonts w:ascii="Times New Roman" w:hAnsi="Times New Roman" w:cs="Times New Roman"/>
          <w:sz w:val="28"/>
          <w:szCs w:val="28"/>
          <w:lang w:val="es-ES_tradnl"/>
        </w:rPr>
        <w:t>.</w:t>
      </w:r>
      <w:r w:rsidR="0004459B" w:rsidRPr="004571E5">
        <w:rPr>
          <w:rFonts w:ascii="Times New Roman" w:hAnsi="Times New Roman" w:cs="Times New Roman"/>
          <w:sz w:val="28"/>
          <w:szCs w:val="28"/>
          <w:lang w:val="es-ES_tradnl"/>
        </w:rPr>
        <w:t xml:space="preserve"> Tales circunstancias exigían de la autoridad judicial un examen mucho más detallado a efectos de contrastar hipótesis y, a partir de las reglas que la vinculaban, adoptar la decisión correspondiente. </w:t>
      </w:r>
    </w:p>
    <w:p w14:paraId="10DFA8EC" w14:textId="45A9C9CB" w:rsidR="00EB29E2" w:rsidRPr="004571E5" w:rsidRDefault="000F29E9" w:rsidP="00EB29E2">
      <w:pPr>
        <w:pStyle w:val="Prrafodelista"/>
        <w:spacing w:line="240" w:lineRule="auto"/>
        <w:ind w:left="0"/>
        <w:jc w:val="both"/>
        <w:rPr>
          <w:rFonts w:ascii="Times New Roman" w:hAnsi="Times New Roman" w:cs="Times New Roman"/>
          <w:sz w:val="28"/>
          <w:szCs w:val="28"/>
          <w:lang w:val="es-ES_tradnl"/>
        </w:rPr>
      </w:pPr>
      <w:r w:rsidRPr="004571E5" w:rsidDel="000F29E9">
        <w:rPr>
          <w:rFonts w:ascii="Times New Roman" w:hAnsi="Times New Roman" w:cs="Times New Roman"/>
          <w:sz w:val="28"/>
          <w:szCs w:val="28"/>
          <w:lang w:val="es-ES_tradnl"/>
        </w:rPr>
        <w:t xml:space="preserve"> </w:t>
      </w:r>
    </w:p>
    <w:p w14:paraId="6F602499" w14:textId="642EACC9" w:rsidR="00EB29E2" w:rsidRPr="004571E5" w:rsidRDefault="00EB29E2" w:rsidP="00EB29E2">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Adicionalmente, en la sentencia atacada la subsección afirmó que “[a]l demandante, pues, es a quien le corresponde probar hechos que sirvan de fundamento a las pretensiones”. Si bien es cierto que la parte demandante debe desplegar una actividad probatoria, bajo el estándar </w:t>
      </w:r>
      <w:r w:rsidR="007A0EDC" w:rsidRPr="004571E5">
        <w:rPr>
          <w:rFonts w:ascii="Times New Roman" w:hAnsi="Times New Roman" w:cs="Times New Roman"/>
          <w:sz w:val="28"/>
          <w:szCs w:val="28"/>
          <w:lang w:val="es-ES_tradnl"/>
        </w:rPr>
        <w:t>fijado en la jurisprudencia</w:t>
      </w:r>
      <w:r w:rsidRPr="004571E5">
        <w:rPr>
          <w:rFonts w:ascii="Times New Roman" w:hAnsi="Times New Roman" w:cs="Times New Roman"/>
          <w:sz w:val="28"/>
          <w:szCs w:val="28"/>
          <w:lang w:val="es-ES_tradnl"/>
        </w:rPr>
        <w:t xml:space="preserve">, el juez debió haber realizado una valoración de las pruebas que </w:t>
      </w:r>
      <w:r w:rsidR="00962856" w:rsidRPr="004571E5">
        <w:rPr>
          <w:rFonts w:ascii="Times New Roman" w:hAnsi="Times New Roman" w:cs="Times New Roman"/>
          <w:sz w:val="28"/>
          <w:szCs w:val="28"/>
          <w:lang w:val="es-ES_tradnl"/>
        </w:rPr>
        <w:t xml:space="preserve">considerara </w:t>
      </w:r>
      <w:r w:rsidRPr="004571E5">
        <w:rPr>
          <w:rFonts w:ascii="Times New Roman" w:hAnsi="Times New Roman" w:cs="Times New Roman"/>
          <w:sz w:val="28"/>
          <w:szCs w:val="28"/>
          <w:lang w:val="es-ES_tradnl"/>
        </w:rPr>
        <w:t xml:space="preserve">que </w:t>
      </w:r>
      <w:r w:rsidRPr="004571E5">
        <w:rPr>
          <w:rFonts w:ascii="Times New Roman" w:hAnsi="Times New Roman" w:cs="Times New Roman"/>
          <w:sz w:val="28"/>
          <w:szCs w:val="28"/>
        </w:rPr>
        <w:t>“le corresponde a la entidad demandada, que se encontraba en mejor posición, aportar los medios de convicción que desvirtúen las imputaciones de la demanda”</w:t>
      </w:r>
      <w:r w:rsidRPr="004571E5">
        <w:rPr>
          <w:rFonts w:ascii="Times New Roman" w:hAnsi="Times New Roman" w:cs="Times New Roman"/>
          <w:sz w:val="28"/>
          <w:szCs w:val="28"/>
          <w:vertAlign w:val="superscript"/>
        </w:rPr>
        <w:footnoteReference w:id="55"/>
      </w:r>
      <w:r w:rsidRPr="004571E5">
        <w:rPr>
          <w:rFonts w:ascii="Times New Roman" w:hAnsi="Times New Roman" w:cs="Times New Roman"/>
          <w:sz w:val="28"/>
          <w:szCs w:val="28"/>
        </w:rPr>
        <w:t xml:space="preserve">. De este modo, el </w:t>
      </w:r>
      <w:r w:rsidR="003A79AB" w:rsidRPr="004571E5">
        <w:rPr>
          <w:rFonts w:ascii="Times New Roman" w:hAnsi="Times New Roman" w:cs="Times New Roman"/>
          <w:sz w:val="28"/>
          <w:szCs w:val="28"/>
        </w:rPr>
        <w:t>desconocimiento del precedente implicó que la subsección accionada omitió verificar si era procedente</w:t>
      </w:r>
      <w:r w:rsidR="00962856" w:rsidRPr="004571E5">
        <w:rPr>
          <w:rFonts w:ascii="Times New Roman" w:hAnsi="Times New Roman" w:cs="Times New Roman"/>
          <w:sz w:val="28"/>
          <w:szCs w:val="28"/>
        </w:rPr>
        <w:t xml:space="preserve"> distribuir de manera dinámica la carga probatoria en lugar de atribuirla, exclusivamente, a la parte demandante</w:t>
      </w:r>
      <w:r w:rsidR="003A79AB" w:rsidRPr="004571E5">
        <w:rPr>
          <w:rFonts w:ascii="Times New Roman" w:hAnsi="Times New Roman" w:cs="Times New Roman"/>
          <w:sz w:val="28"/>
          <w:szCs w:val="28"/>
        </w:rPr>
        <w:t>.</w:t>
      </w:r>
    </w:p>
    <w:p w14:paraId="5668EAA1" w14:textId="77777777" w:rsidR="00EB29E2" w:rsidRPr="004571E5" w:rsidRDefault="00EB29E2" w:rsidP="00EB29E2">
      <w:pPr>
        <w:pStyle w:val="Prrafodelista"/>
        <w:rPr>
          <w:rFonts w:ascii="Times New Roman" w:hAnsi="Times New Roman" w:cs="Times New Roman"/>
          <w:sz w:val="28"/>
          <w:szCs w:val="28"/>
          <w:lang w:val="es-ES_tradnl"/>
        </w:rPr>
      </w:pPr>
    </w:p>
    <w:p w14:paraId="11FE15CE" w14:textId="0779B1CB" w:rsidR="00EB29E2" w:rsidRPr="004571E5" w:rsidRDefault="00EB29E2" w:rsidP="00EB29E2">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En este sentido, no le asiste razón al juez de segunda instancia del proceso de tutela cuando afirmó que </w:t>
      </w:r>
      <w:r w:rsidRPr="004571E5">
        <w:rPr>
          <w:rFonts w:ascii="Times New Roman" w:hAnsi="Times New Roman" w:cs="Times New Roman"/>
          <w:sz w:val="28"/>
          <w:szCs w:val="28"/>
        </w:rPr>
        <w:t>en el presente caso (i) no se allegó el expediente penal al proceso administrativo; (</w:t>
      </w:r>
      <w:proofErr w:type="spellStart"/>
      <w:r w:rsidRPr="004571E5">
        <w:rPr>
          <w:rFonts w:ascii="Times New Roman" w:hAnsi="Times New Roman" w:cs="Times New Roman"/>
          <w:sz w:val="28"/>
          <w:szCs w:val="28"/>
        </w:rPr>
        <w:t>ii</w:t>
      </w:r>
      <w:proofErr w:type="spellEnd"/>
      <w:r w:rsidRPr="004571E5">
        <w:rPr>
          <w:rFonts w:ascii="Times New Roman" w:hAnsi="Times New Roman" w:cs="Times New Roman"/>
          <w:sz w:val="28"/>
          <w:szCs w:val="28"/>
        </w:rPr>
        <w:t>) no se encontraban acreditados supuestos fácticos incompatibles; y (</w:t>
      </w:r>
      <w:proofErr w:type="spellStart"/>
      <w:r w:rsidRPr="004571E5">
        <w:rPr>
          <w:rFonts w:ascii="Times New Roman" w:hAnsi="Times New Roman" w:cs="Times New Roman"/>
          <w:sz w:val="28"/>
          <w:szCs w:val="28"/>
        </w:rPr>
        <w:t>iii</w:t>
      </w:r>
      <w:proofErr w:type="spellEnd"/>
      <w:r w:rsidRPr="004571E5">
        <w:rPr>
          <w:rFonts w:ascii="Times New Roman" w:hAnsi="Times New Roman" w:cs="Times New Roman"/>
          <w:sz w:val="28"/>
          <w:szCs w:val="28"/>
        </w:rPr>
        <w:t xml:space="preserve">) “la autoridad judicial explicó de manera suficiente </w:t>
      </w:r>
      <w:r w:rsidRPr="004571E5">
        <w:rPr>
          <w:rFonts w:ascii="Times New Roman" w:hAnsi="Times New Roman" w:cs="Times New Roman"/>
          <w:sz w:val="28"/>
          <w:szCs w:val="28"/>
        </w:rPr>
        <w:lastRenderedPageBreak/>
        <w:t>el porqué del valor probatorio asignado a cada uno de los medios de convicción”</w:t>
      </w:r>
      <w:r w:rsidRPr="004571E5">
        <w:rPr>
          <w:rFonts w:ascii="Times New Roman" w:hAnsi="Times New Roman" w:cs="Times New Roman"/>
          <w:sz w:val="28"/>
          <w:szCs w:val="28"/>
          <w:vertAlign w:val="superscript"/>
        </w:rPr>
        <w:footnoteReference w:id="56"/>
      </w:r>
      <w:r w:rsidRPr="004571E5">
        <w:rPr>
          <w:rFonts w:ascii="Times New Roman" w:hAnsi="Times New Roman" w:cs="Times New Roman"/>
          <w:sz w:val="28"/>
          <w:szCs w:val="28"/>
        </w:rPr>
        <w:t>. Ello por cuanto el expediente penal</w:t>
      </w:r>
      <w:r w:rsidR="00DD0496" w:rsidRPr="004571E5">
        <w:rPr>
          <w:rFonts w:ascii="Times New Roman" w:hAnsi="Times New Roman" w:cs="Times New Roman"/>
          <w:sz w:val="28"/>
          <w:szCs w:val="28"/>
        </w:rPr>
        <w:t xml:space="preserve"> sí fue aportado al proceso</w:t>
      </w:r>
      <w:r w:rsidR="00DD0496" w:rsidRPr="004571E5">
        <w:rPr>
          <w:rStyle w:val="Refdenotaalpie"/>
          <w:rFonts w:ascii="Times New Roman" w:hAnsi="Times New Roman" w:cs="Times New Roman"/>
          <w:sz w:val="28"/>
          <w:szCs w:val="28"/>
        </w:rPr>
        <w:footnoteReference w:id="57"/>
      </w:r>
      <w:r w:rsidRPr="004571E5">
        <w:rPr>
          <w:rFonts w:ascii="Times New Roman" w:hAnsi="Times New Roman" w:cs="Times New Roman"/>
          <w:sz w:val="28"/>
          <w:szCs w:val="28"/>
        </w:rPr>
        <w:t xml:space="preserve">, la tabla incorporada en el fundamento jurídico </w:t>
      </w:r>
      <w:r w:rsidR="00EE7CBE" w:rsidRPr="004571E5">
        <w:rPr>
          <w:rFonts w:ascii="Times New Roman" w:hAnsi="Times New Roman" w:cs="Times New Roman"/>
          <w:sz w:val="28"/>
          <w:szCs w:val="28"/>
        </w:rPr>
        <w:t>90</w:t>
      </w:r>
      <w:r w:rsidRPr="004571E5">
        <w:rPr>
          <w:rFonts w:ascii="Times New Roman" w:hAnsi="Times New Roman" w:cs="Times New Roman"/>
          <w:sz w:val="28"/>
          <w:szCs w:val="28"/>
        </w:rPr>
        <w:t xml:space="preserve"> demuestra que sí existían supuestos de hecho incompatibles y, aunque la autoridad judicial explicó </w:t>
      </w:r>
      <w:r w:rsidR="00962856" w:rsidRPr="004571E5">
        <w:rPr>
          <w:rFonts w:ascii="Times New Roman" w:hAnsi="Times New Roman" w:cs="Times New Roman"/>
          <w:sz w:val="28"/>
          <w:szCs w:val="28"/>
        </w:rPr>
        <w:t xml:space="preserve">la asignación de </w:t>
      </w:r>
      <w:r w:rsidRPr="004571E5">
        <w:rPr>
          <w:rFonts w:ascii="Times New Roman" w:hAnsi="Times New Roman" w:cs="Times New Roman"/>
          <w:sz w:val="28"/>
          <w:szCs w:val="28"/>
        </w:rPr>
        <w:t>valor probatorio</w:t>
      </w:r>
      <w:r w:rsidR="00962856" w:rsidRPr="004571E5">
        <w:rPr>
          <w:rFonts w:ascii="Times New Roman" w:hAnsi="Times New Roman" w:cs="Times New Roman"/>
          <w:sz w:val="28"/>
          <w:szCs w:val="28"/>
        </w:rPr>
        <w:t xml:space="preserve"> a los medios de prueba aportados</w:t>
      </w:r>
      <w:r w:rsidRPr="004571E5">
        <w:rPr>
          <w:rFonts w:ascii="Times New Roman" w:hAnsi="Times New Roman" w:cs="Times New Roman"/>
          <w:sz w:val="28"/>
          <w:szCs w:val="28"/>
        </w:rPr>
        <w:t>, lo cierto es que lo hizo sin aplicación del estándar requerido en este caso.</w:t>
      </w:r>
    </w:p>
    <w:p w14:paraId="03117F5E" w14:textId="77777777" w:rsidR="00EB29E2" w:rsidRPr="004571E5" w:rsidRDefault="00EB29E2" w:rsidP="00481F2E">
      <w:pPr>
        <w:pStyle w:val="Prrafodelista"/>
        <w:spacing w:line="240" w:lineRule="auto"/>
        <w:ind w:left="0"/>
        <w:jc w:val="both"/>
        <w:rPr>
          <w:rFonts w:ascii="Times New Roman" w:hAnsi="Times New Roman" w:cs="Times New Roman"/>
          <w:sz w:val="28"/>
          <w:szCs w:val="28"/>
          <w:lang w:val="es-ES_tradnl"/>
        </w:rPr>
      </w:pPr>
    </w:p>
    <w:p w14:paraId="25092235" w14:textId="0C10B8E9" w:rsidR="00255883" w:rsidRPr="004571E5" w:rsidRDefault="005810EA" w:rsidP="00255883">
      <w:pPr>
        <w:pStyle w:val="Prrafodelista"/>
        <w:numPr>
          <w:ilvl w:val="2"/>
          <w:numId w:val="34"/>
        </w:numPr>
        <w:spacing w:line="240" w:lineRule="auto"/>
        <w:ind w:left="0" w:firstLine="0"/>
        <w:jc w:val="both"/>
        <w:rPr>
          <w:rFonts w:ascii="Times New Roman" w:hAnsi="Times New Roman" w:cs="Times New Roman"/>
          <w:b/>
          <w:sz w:val="28"/>
          <w:szCs w:val="28"/>
          <w:lang w:val="es-ES_tradnl"/>
        </w:rPr>
      </w:pPr>
      <w:r w:rsidRPr="004571E5">
        <w:rPr>
          <w:rFonts w:ascii="Times New Roman" w:hAnsi="Times New Roman" w:cs="Times New Roman"/>
          <w:b/>
          <w:iCs/>
          <w:sz w:val="28"/>
          <w:szCs w:val="28"/>
          <w:lang w:val="es-ES_tradnl"/>
        </w:rPr>
        <w:t xml:space="preserve">Desconocimiento del </w:t>
      </w:r>
      <w:r w:rsidR="00D53781" w:rsidRPr="004571E5">
        <w:rPr>
          <w:rFonts w:ascii="Times New Roman" w:hAnsi="Times New Roman" w:cs="Times New Roman"/>
          <w:b/>
          <w:iCs/>
          <w:sz w:val="28"/>
          <w:szCs w:val="28"/>
          <w:lang w:val="es-ES_tradnl"/>
        </w:rPr>
        <w:t>precedente de la Corte Constitucional</w:t>
      </w:r>
      <w:r w:rsidRPr="004571E5">
        <w:rPr>
          <w:rFonts w:ascii="Times New Roman" w:hAnsi="Times New Roman" w:cs="Times New Roman"/>
          <w:b/>
          <w:sz w:val="28"/>
          <w:szCs w:val="28"/>
          <w:lang w:val="es-ES_tradnl"/>
        </w:rPr>
        <w:t xml:space="preserve"> </w:t>
      </w:r>
    </w:p>
    <w:p w14:paraId="04DA5F78" w14:textId="77777777" w:rsidR="00255883" w:rsidRPr="004571E5" w:rsidRDefault="00255883" w:rsidP="001B30B3">
      <w:pPr>
        <w:pStyle w:val="Prrafodelista"/>
        <w:spacing w:line="240" w:lineRule="auto"/>
        <w:ind w:left="0"/>
        <w:jc w:val="both"/>
        <w:rPr>
          <w:rFonts w:ascii="Times New Roman" w:hAnsi="Times New Roman" w:cs="Times New Roman"/>
          <w:sz w:val="28"/>
          <w:szCs w:val="28"/>
          <w:lang w:val="es-ES_tradnl"/>
        </w:rPr>
      </w:pPr>
    </w:p>
    <w:p w14:paraId="01B35483" w14:textId="4EB98AEB" w:rsidR="00EB2A6D" w:rsidRPr="004571E5" w:rsidRDefault="005810EA" w:rsidP="00255883">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En el caso bajo estudio, la Subsección accionada </w:t>
      </w:r>
      <w:r w:rsidR="000F29E9" w:rsidRPr="004571E5">
        <w:rPr>
          <w:rFonts w:ascii="Times New Roman" w:hAnsi="Times New Roman" w:cs="Times New Roman"/>
          <w:sz w:val="28"/>
          <w:szCs w:val="28"/>
          <w:lang w:val="es-ES_tradnl"/>
        </w:rPr>
        <w:t xml:space="preserve">se separó del precedente fijado por la Corte Constitucional, sin ni siquiera </w:t>
      </w:r>
      <w:r w:rsidRPr="004571E5">
        <w:rPr>
          <w:rFonts w:ascii="Times New Roman" w:hAnsi="Times New Roman" w:cs="Times New Roman"/>
          <w:sz w:val="28"/>
          <w:szCs w:val="28"/>
          <w:lang w:val="es-ES_tradnl"/>
        </w:rPr>
        <w:t>mencion</w:t>
      </w:r>
      <w:r w:rsidR="000F29E9" w:rsidRPr="004571E5">
        <w:rPr>
          <w:rFonts w:ascii="Times New Roman" w:hAnsi="Times New Roman" w:cs="Times New Roman"/>
          <w:sz w:val="28"/>
          <w:szCs w:val="28"/>
          <w:lang w:val="es-ES_tradnl"/>
        </w:rPr>
        <w:t xml:space="preserve">ar </w:t>
      </w:r>
      <w:r w:rsidR="00053584" w:rsidRPr="004571E5">
        <w:rPr>
          <w:rFonts w:ascii="Times New Roman" w:hAnsi="Times New Roman" w:cs="Times New Roman"/>
          <w:sz w:val="28"/>
          <w:szCs w:val="28"/>
          <w:lang w:val="es-ES_tradnl"/>
        </w:rPr>
        <w:t>el</w:t>
      </w:r>
      <w:r w:rsidR="000F29E9" w:rsidRPr="004571E5">
        <w:rPr>
          <w:rFonts w:ascii="Times New Roman" w:hAnsi="Times New Roman" w:cs="Times New Roman"/>
          <w:sz w:val="28"/>
          <w:szCs w:val="28"/>
          <w:lang w:val="es-ES_tradnl"/>
        </w:rPr>
        <w:t xml:space="preserve"> alcance de dicho </w:t>
      </w:r>
      <w:r w:rsidR="00053584" w:rsidRPr="004571E5">
        <w:rPr>
          <w:rFonts w:ascii="Times New Roman" w:hAnsi="Times New Roman" w:cs="Times New Roman"/>
          <w:sz w:val="28"/>
          <w:szCs w:val="28"/>
          <w:lang w:val="es-ES_tradnl"/>
        </w:rPr>
        <w:t xml:space="preserve">precedente, </w:t>
      </w:r>
      <w:r w:rsidR="000F29E9" w:rsidRPr="004571E5">
        <w:rPr>
          <w:rFonts w:ascii="Times New Roman" w:hAnsi="Times New Roman" w:cs="Times New Roman"/>
          <w:sz w:val="28"/>
          <w:szCs w:val="28"/>
          <w:lang w:val="es-ES_tradnl"/>
        </w:rPr>
        <w:t>in</w:t>
      </w:r>
      <w:r w:rsidR="00053584" w:rsidRPr="004571E5">
        <w:rPr>
          <w:rFonts w:ascii="Times New Roman" w:hAnsi="Times New Roman" w:cs="Times New Roman"/>
          <w:sz w:val="28"/>
          <w:szCs w:val="28"/>
          <w:lang w:val="es-ES_tradnl"/>
        </w:rPr>
        <w:t>cumpli</w:t>
      </w:r>
      <w:r w:rsidR="000F29E9" w:rsidRPr="004571E5">
        <w:rPr>
          <w:rFonts w:ascii="Times New Roman" w:hAnsi="Times New Roman" w:cs="Times New Roman"/>
          <w:sz w:val="28"/>
          <w:szCs w:val="28"/>
          <w:lang w:val="es-ES_tradnl"/>
        </w:rPr>
        <w:t xml:space="preserve">endo </w:t>
      </w:r>
      <w:r w:rsidR="00053584" w:rsidRPr="004571E5">
        <w:rPr>
          <w:rFonts w:ascii="Times New Roman" w:hAnsi="Times New Roman" w:cs="Times New Roman"/>
          <w:sz w:val="28"/>
          <w:szCs w:val="28"/>
          <w:lang w:val="es-ES_tradnl"/>
        </w:rPr>
        <w:t>con</w:t>
      </w:r>
      <w:r w:rsidR="000F29E9" w:rsidRPr="004571E5">
        <w:rPr>
          <w:rFonts w:ascii="Times New Roman" w:hAnsi="Times New Roman" w:cs="Times New Roman"/>
          <w:sz w:val="28"/>
          <w:szCs w:val="28"/>
          <w:lang w:val="es-ES_tradnl"/>
        </w:rPr>
        <w:t xml:space="preserve"> ello</w:t>
      </w:r>
      <w:r w:rsidR="00053584" w:rsidRPr="004571E5">
        <w:rPr>
          <w:rFonts w:ascii="Times New Roman" w:hAnsi="Times New Roman" w:cs="Times New Roman"/>
          <w:sz w:val="28"/>
          <w:szCs w:val="28"/>
          <w:lang w:val="es-ES_tradnl"/>
        </w:rPr>
        <w:t xml:space="preserve"> la carga de transparencia. </w:t>
      </w:r>
      <w:r w:rsidR="00EB2A6D" w:rsidRPr="004571E5">
        <w:rPr>
          <w:rFonts w:ascii="Times New Roman" w:hAnsi="Times New Roman" w:cs="Times New Roman"/>
          <w:sz w:val="28"/>
          <w:szCs w:val="28"/>
          <w:lang w:val="es-ES_tradnl"/>
        </w:rPr>
        <w:t>Como se mostró, ante eventos de ejecuciones extrajudiciales existe una amplia y reiterada línea jurisprudencial que se ha consolid</w:t>
      </w:r>
      <w:r w:rsidR="00B40352" w:rsidRPr="004571E5">
        <w:rPr>
          <w:rFonts w:ascii="Times New Roman" w:hAnsi="Times New Roman" w:cs="Times New Roman"/>
          <w:sz w:val="28"/>
          <w:szCs w:val="28"/>
          <w:lang w:val="es-ES_tradnl"/>
        </w:rPr>
        <w:t>ado</w:t>
      </w:r>
      <w:r w:rsidR="00EB2A6D" w:rsidRPr="004571E5">
        <w:rPr>
          <w:rFonts w:ascii="Times New Roman" w:hAnsi="Times New Roman" w:cs="Times New Roman"/>
          <w:sz w:val="28"/>
          <w:szCs w:val="28"/>
          <w:lang w:val="es-ES_tradnl"/>
        </w:rPr>
        <w:t xml:space="preserve"> al menos desde 2017. </w:t>
      </w:r>
      <w:r w:rsidR="00EB2A6D" w:rsidRPr="004571E5">
        <w:rPr>
          <w:rFonts w:ascii="Times New Roman" w:hAnsi="Times New Roman" w:cs="Times New Roman"/>
          <w:i/>
          <w:iCs/>
          <w:sz w:val="28"/>
          <w:szCs w:val="28"/>
          <w:lang w:val="es-ES_tradnl"/>
        </w:rPr>
        <w:t xml:space="preserve">Ninguna de </w:t>
      </w:r>
      <w:r w:rsidR="00265A6D" w:rsidRPr="004571E5">
        <w:rPr>
          <w:rFonts w:ascii="Times New Roman" w:hAnsi="Times New Roman" w:cs="Times New Roman"/>
          <w:i/>
          <w:iCs/>
          <w:sz w:val="28"/>
          <w:szCs w:val="28"/>
          <w:lang w:val="es-ES_tradnl"/>
        </w:rPr>
        <w:t>las</w:t>
      </w:r>
      <w:r w:rsidR="00EB2A6D" w:rsidRPr="004571E5">
        <w:rPr>
          <w:rFonts w:ascii="Times New Roman" w:hAnsi="Times New Roman" w:cs="Times New Roman"/>
          <w:i/>
          <w:iCs/>
          <w:sz w:val="28"/>
          <w:szCs w:val="28"/>
          <w:lang w:val="es-ES_tradnl"/>
        </w:rPr>
        <w:t xml:space="preserve"> sentencias</w:t>
      </w:r>
      <w:r w:rsidR="00265A6D" w:rsidRPr="004571E5">
        <w:rPr>
          <w:rFonts w:ascii="Times New Roman" w:hAnsi="Times New Roman" w:cs="Times New Roman"/>
          <w:i/>
          <w:iCs/>
          <w:sz w:val="28"/>
          <w:szCs w:val="28"/>
          <w:lang w:val="es-ES_tradnl"/>
        </w:rPr>
        <w:t xml:space="preserve"> de esta Corporación</w:t>
      </w:r>
      <w:r w:rsidR="00EB2A6D" w:rsidRPr="004571E5">
        <w:rPr>
          <w:rFonts w:ascii="Times New Roman" w:hAnsi="Times New Roman" w:cs="Times New Roman"/>
          <w:i/>
          <w:iCs/>
          <w:sz w:val="28"/>
          <w:szCs w:val="28"/>
          <w:lang w:val="es-ES_tradnl"/>
        </w:rPr>
        <w:t xml:space="preserve"> fue referida por la autoridad judicial.</w:t>
      </w:r>
    </w:p>
    <w:p w14:paraId="4BF157A1" w14:textId="77777777" w:rsidR="00255883" w:rsidRPr="004571E5" w:rsidRDefault="00255883" w:rsidP="001B30B3">
      <w:pPr>
        <w:pStyle w:val="Prrafodelista"/>
        <w:spacing w:line="240" w:lineRule="auto"/>
        <w:ind w:left="0"/>
        <w:jc w:val="both"/>
        <w:rPr>
          <w:rFonts w:ascii="Times New Roman" w:hAnsi="Times New Roman" w:cs="Times New Roman"/>
          <w:sz w:val="28"/>
          <w:szCs w:val="28"/>
          <w:lang w:val="es-ES_tradnl"/>
        </w:rPr>
      </w:pPr>
    </w:p>
    <w:p w14:paraId="4847B49F" w14:textId="5664D862" w:rsidR="00255883" w:rsidRPr="004571E5" w:rsidRDefault="00EB2A6D">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Lo anterior</w:t>
      </w:r>
      <w:r w:rsidR="00053584" w:rsidRPr="004571E5">
        <w:rPr>
          <w:rFonts w:ascii="Times New Roman" w:hAnsi="Times New Roman" w:cs="Times New Roman"/>
          <w:sz w:val="28"/>
          <w:szCs w:val="28"/>
          <w:lang w:val="es-ES_tradnl"/>
        </w:rPr>
        <w:t xml:space="preserve"> implica un desconocimiento del precedente sin una justificación válida y</w:t>
      </w:r>
      <w:r w:rsidR="007958A3" w:rsidRPr="004571E5">
        <w:rPr>
          <w:rFonts w:ascii="Times New Roman" w:hAnsi="Times New Roman" w:cs="Times New Roman"/>
          <w:sz w:val="28"/>
          <w:szCs w:val="28"/>
          <w:lang w:val="es-ES_tradnl"/>
        </w:rPr>
        <w:t>, en consecuencia,</w:t>
      </w:r>
      <w:r w:rsidR="00053584" w:rsidRPr="004571E5">
        <w:rPr>
          <w:rFonts w:ascii="Times New Roman" w:hAnsi="Times New Roman" w:cs="Times New Roman"/>
          <w:sz w:val="28"/>
          <w:szCs w:val="28"/>
          <w:lang w:val="es-ES_tradnl"/>
        </w:rPr>
        <w:t xml:space="preserve"> una vulneración de los derechos al debido proceso y la igualdad de los demandantes. </w:t>
      </w:r>
      <w:r w:rsidRPr="004571E5">
        <w:rPr>
          <w:rFonts w:ascii="Times New Roman" w:hAnsi="Times New Roman" w:cs="Times New Roman"/>
          <w:sz w:val="28"/>
          <w:szCs w:val="28"/>
          <w:lang w:val="es-ES_tradnl"/>
        </w:rPr>
        <w:t xml:space="preserve">Como lo ha sostenido la Corte, </w:t>
      </w:r>
      <w:r w:rsidR="007732AB" w:rsidRPr="004571E5">
        <w:rPr>
          <w:rFonts w:ascii="Times New Roman" w:hAnsi="Times New Roman" w:cs="Times New Roman"/>
          <w:sz w:val="28"/>
          <w:szCs w:val="28"/>
          <w:lang w:val="es-ES_tradnl"/>
        </w:rPr>
        <w:t xml:space="preserve">“[n]o </w:t>
      </w:r>
      <w:r w:rsidR="007732AB" w:rsidRPr="004571E5">
        <w:rPr>
          <w:rFonts w:ascii="Times New Roman" w:hAnsi="Times New Roman" w:cs="Times New Roman"/>
          <w:sz w:val="28"/>
          <w:szCs w:val="28"/>
          <w:lang w:val="es-ES"/>
        </w:rPr>
        <w:t>reconocer entonces el alcance de los fallos constitucionales vinculantes, sea por desconocimiento, descuido, u omisión, genera en el ordenamiento jurídico colombiano una evidente falta de coherencia y de conexión concreta con la Constitución, que finalmente se traduce en contradicciones ilógicas entre la normatividad y la Carta, que dificultan la unidad intrínseca del sistema, y afectan la seguridad jurídica”</w:t>
      </w:r>
      <w:r w:rsidR="007732AB" w:rsidRPr="004571E5">
        <w:rPr>
          <w:rStyle w:val="Refdenotaalpie"/>
          <w:rFonts w:ascii="Times New Roman" w:hAnsi="Times New Roman" w:cs="Times New Roman"/>
          <w:sz w:val="28"/>
          <w:szCs w:val="28"/>
          <w:lang w:val="es-ES"/>
        </w:rPr>
        <w:footnoteReference w:id="58"/>
      </w:r>
      <w:r w:rsidR="007732AB" w:rsidRPr="004571E5">
        <w:rPr>
          <w:rFonts w:ascii="Times New Roman" w:hAnsi="Times New Roman" w:cs="Times New Roman"/>
          <w:sz w:val="28"/>
          <w:szCs w:val="28"/>
          <w:lang w:val="es-ES"/>
        </w:rPr>
        <w:t>.</w:t>
      </w:r>
      <w:r w:rsidR="0004459B" w:rsidRPr="004571E5">
        <w:rPr>
          <w:rFonts w:ascii="Times New Roman" w:hAnsi="Times New Roman" w:cs="Times New Roman"/>
          <w:sz w:val="28"/>
          <w:szCs w:val="28"/>
          <w:lang w:val="es-ES"/>
        </w:rPr>
        <w:t xml:space="preserve"> </w:t>
      </w:r>
    </w:p>
    <w:p w14:paraId="3B6D4890" w14:textId="77777777" w:rsidR="0004459B" w:rsidRPr="004571E5" w:rsidRDefault="0004459B" w:rsidP="00412FA6">
      <w:pPr>
        <w:pStyle w:val="Prrafodelista"/>
        <w:rPr>
          <w:rFonts w:ascii="Times New Roman" w:hAnsi="Times New Roman" w:cs="Times New Roman"/>
          <w:sz w:val="28"/>
          <w:szCs w:val="28"/>
          <w:lang w:val="es-ES_tradnl"/>
        </w:rPr>
      </w:pPr>
    </w:p>
    <w:p w14:paraId="374A60B8" w14:textId="5980F0F8" w:rsidR="0004459B" w:rsidRPr="004571E5" w:rsidRDefault="0004459B">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En efecto, como se indicó en el fundamento </w:t>
      </w:r>
      <w:r w:rsidR="00DC3DD8" w:rsidRPr="004571E5">
        <w:rPr>
          <w:rFonts w:ascii="Times New Roman" w:hAnsi="Times New Roman" w:cs="Times New Roman"/>
          <w:sz w:val="28"/>
          <w:szCs w:val="28"/>
          <w:lang w:val="es-ES_tradnl"/>
        </w:rPr>
        <w:t>53</w:t>
      </w:r>
      <w:r w:rsidRPr="004571E5">
        <w:rPr>
          <w:rFonts w:ascii="Times New Roman" w:hAnsi="Times New Roman" w:cs="Times New Roman"/>
          <w:sz w:val="28"/>
          <w:szCs w:val="28"/>
          <w:lang w:val="es-ES_tradnl"/>
        </w:rPr>
        <w:t xml:space="preserve"> para separarse de un precedente fijado por la Corte Constitucional la carga de transparencia exige exponer de manera clara, precisa y detallada (a) en qué consiste el precedente del que se va a separar, (b) las providencias que lo han desarrollado y (c) el modo en que ha tenido lugar su aplicación. A su vez, la carga de </w:t>
      </w:r>
      <w:proofErr w:type="gramStart"/>
      <w:r w:rsidRPr="004571E5">
        <w:rPr>
          <w:rFonts w:ascii="Times New Roman" w:hAnsi="Times New Roman" w:cs="Times New Roman"/>
          <w:sz w:val="28"/>
          <w:szCs w:val="28"/>
          <w:lang w:val="es-ES_tradnl"/>
        </w:rPr>
        <w:t>argumentación,</w:t>
      </w:r>
      <w:proofErr w:type="gramEnd"/>
      <w:r w:rsidRPr="004571E5">
        <w:rPr>
          <w:rFonts w:ascii="Times New Roman" w:hAnsi="Times New Roman" w:cs="Times New Roman"/>
          <w:sz w:val="28"/>
          <w:szCs w:val="28"/>
          <w:lang w:val="es-ES_tradnl"/>
        </w:rPr>
        <w:t xml:space="preserve"> </w:t>
      </w:r>
      <w:r w:rsidR="00B265E5" w:rsidRPr="004571E5">
        <w:rPr>
          <w:rFonts w:ascii="Times New Roman" w:hAnsi="Times New Roman" w:cs="Times New Roman"/>
          <w:sz w:val="28"/>
          <w:szCs w:val="28"/>
          <w:lang w:val="es-ES_tradnl"/>
        </w:rPr>
        <w:t>impone (a) presentar razones especialmente poderosas con capacidad de justificar la separación y que excedan los simples desacuerdos y (b) explicar por qué tales razones justifican afectar los principios de seguridad jurídica, igualdad, buena fe y coherencia</w:t>
      </w:r>
      <w:r w:rsidRPr="004571E5">
        <w:rPr>
          <w:rFonts w:ascii="Times New Roman" w:hAnsi="Times New Roman" w:cs="Times New Roman"/>
          <w:sz w:val="28"/>
          <w:szCs w:val="28"/>
          <w:lang w:val="es-ES_tradnl"/>
        </w:rPr>
        <w:t>.</w:t>
      </w:r>
      <w:r w:rsidR="007D00CE" w:rsidRPr="004571E5">
        <w:rPr>
          <w:rFonts w:ascii="Times New Roman" w:hAnsi="Times New Roman" w:cs="Times New Roman"/>
          <w:sz w:val="28"/>
          <w:szCs w:val="28"/>
          <w:lang w:val="es-ES_tradnl"/>
        </w:rPr>
        <w:t xml:space="preserve"> Ningún argumento en esa doble dirección se encuentra en la sentencia cuestionada.  </w:t>
      </w:r>
    </w:p>
    <w:p w14:paraId="42EC9C78" w14:textId="77777777" w:rsidR="00EB2A6D" w:rsidRPr="004571E5" w:rsidRDefault="00EB2A6D" w:rsidP="001B30B3">
      <w:pPr>
        <w:pStyle w:val="Prrafodelista"/>
        <w:spacing w:line="240" w:lineRule="auto"/>
        <w:ind w:left="0"/>
        <w:jc w:val="both"/>
        <w:rPr>
          <w:lang w:val="es-ES_tradnl"/>
        </w:rPr>
      </w:pPr>
    </w:p>
    <w:p w14:paraId="26A65C83" w14:textId="43D7972A" w:rsidR="00255883" w:rsidRPr="004571E5" w:rsidRDefault="00EB2A6D" w:rsidP="00255883">
      <w:pPr>
        <w:pStyle w:val="Prrafodelista"/>
        <w:numPr>
          <w:ilvl w:val="2"/>
          <w:numId w:val="34"/>
        </w:numPr>
        <w:spacing w:line="240" w:lineRule="auto"/>
        <w:ind w:left="0" w:firstLine="0"/>
        <w:jc w:val="both"/>
        <w:rPr>
          <w:rFonts w:ascii="Times New Roman" w:hAnsi="Times New Roman" w:cs="Times New Roman"/>
          <w:b/>
          <w:sz w:val="28"/>
          <w:szCs w:val="28"/>
          <w:lang w:val="es-ES_tradnl"/>
        </w:rPr>
      </w:pPr>
      <w:r w:rsidRPr="004571E5">
        <w:rPr>
          <w:rFonts w:ascii="Times New Roman" w:hAnsi="Times New Roman" w:cs="Times New Roman"/>
          <w:b/>
          <w:iCs/>
          <w:sz w:val="28"/>
          <w:szCs w:val="28"/>
          <w:lang w:val="es-ES_tradnl"/>
        </w:rPr>
        <w:t>Violación del precedente horizontal</w:t>
      </w:r>
      <w:r w:rsidRPr="004571E5">
        <w:rPr>
          <w:rFonts w:ascii="Times New Roman" w:hAnsi="Times New Roman" w:cs="Times New Roman"/>
          <w:b/>
          <w:sz w:val="28"/>
          <w:szCs w:val="28"/>
          <w:lang w:val="es-ES_tradnl"/>
        </w:rPr>
        <w:t xml:space="preserve"> </w:t>
      </w:r>
    </w:p>
    <w:p w14:paraId="2F9E94D9" w14:textId="77777777" w:rsidR="00255883" w:rsidRPr="004571E5" w:rsidRDefault="00255883" w:rsidP="001B30B3">
      <w:pPr>
        <w:pStyle w:val="Prrafodelista"/>
        <w:spacing w:line="240" w:lineRule="auto"/>
        <w:ind w:left="0"/>
        <w:jc w:val="both"/>
        <w:rPr>
          <w:rFonts w:ascii="Times New Roman" w:hAnsi="Times New Roman" w:cs="Times New Roman"/>
          <w:sz w:val="28"/>
          <w:szCs w:val="28"/>
          <w:lang w:val="es-ES_tradnl"/>
        </w:rPr>
      </w:pPr>
    </w:p>
    <w:p w14:paraId="0468C8D1" w14:textId="0E9563B0" w:rsidR="00EB2A6D" w:rsidRPr="004571E5" w:rsidRDefault="00EB2A6D" w:rsidP="00B21FE6">
      <w:pPr>
        <w:pStyle w:val="Prrafodelista"/>
        <w:numPr>
          <w:ilvl w:val="0"/>
          <w:numId w:val="1"/>
        </w:numPr>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Como se indicó </w:t>
      </w:r>
      <w:r w:rsidR="0004459B" w:rsidRPr="004571E5">
        <w:rPr>
          <w:rFonts w:ascii="Times New Roman" w:hAnsi="Times New Roman" w:cs="Times New Roman"/>
          <w:sz w:val="28"/>
          <w:szCs w:val="28"/>
          <w:lang w:val="es-ES_tradnl"/>
        </w:rPr>
        <w:t xml:space="preserve">en </w:t>
      </w:r>
      <w:r w:rsidR="00DC3DD8" w:rsidRPr="004571E5">
        <w:rPr>
          <w:rFonts w:ascii="Times New Roman" w:hAnsi="Times New Roman" w:cs="Times New Roman"/>
          <w:sz w:val="28"/>
          <w:szCs w:val="28"/>
          <w:lang w:val="es-ES_tradnl"/>
        </w:rPr>
        <w:t>el fundamento 51</w:t>
      </w:r>
      <w:r w:rsidRPr="004571E5">
        <w:rPr>
          <w:rFonts w:ascii="Times New Roman" w:hAnsi="Times New Roman" w:cs="Times New Roman"/>
          <w:sz w:val="28"/>
          <w:szCs w:val="28"/>
          <w:lang w:val="es-ES_tradnl"/>
        </w:rPr>
        <w:t xml:space="preserve">, </w:t>
      </w:r>
      <w:r w:rsidR="0004459B" w:rsidRPr="004571E5">
        <w:rPr>
          <w:rFonts w:ascii="Times New Roman" w:hAnsi="Times New Roman" w:cs="Times New Roman"/>
          <w:sz w:val="28"/>
          <w:szCs w:val="28"/>
          <w:lang w:val="es-ES_tradnl"/>
        </w:rPr>
        <w:t>la separación</w:t>
      </w:r>
      <w:r w:rsidRPr="004571E5">
        <w:rPr>
          <w:rFonts w:ascii="Times New Roman" w:hAnsi="Times New Roman" w:cs="Times New Roman"/>
          <w:sz w:val="28"/>
          <w:szCs w:val="28"/>
          <w:lang w:val="es-ES_tradnl"/>
        </w:rPr>
        <w:t xml:space="preserve"> del precedente horizontal exige que el juez cumpla la</w:t>
      </w:r>
      <w:r w:rsidR="007D00CE" w:rsidRPr="004571E5">
        <w:rPr>
          <w:rFonts w:ascii="Times New Roman" w:hAnsi="Times New Roman" w:cs="Times New Roman"/>
          <w:sz w:val="28"/>
          <w:szCs w:val="28"/>
          <w:lang w:val="es-ES_tradnl"/>
        </w:rPr>
        <w:t xml:space="preserve"> doble</w:t>
      </w:r>
      <w:r w:rsidRPr="004571E5">
        <w:rPr>
          <w:rFonts w:ascii="Times New Roman" w:hAnsi="Times New Roman" w:cs="Times New Roman"/>
          <w:sz w:val="28"/>
          <w:szCs w:val="28"/>
          <w:lang w:val="es-ES_tradnl"/>
        </w:rPr>
        <w:t xml:space="preserve"> carga de transparencia y argumentación. </w:t>
      </w:r>
      <w:r w:rsidR="00B265E5" w:rsidRPr="004571E5">
        <w:rPr>
          <w:rFonts w:ascii="Times New Roman" w:hAnsi="Times New Roman" w:cs="Times New Roman"/>
          <w:sz w:val="28"/>
          <w:szCs w:val="28"/>
          <w:lang w:val="es-ES_tradnl"/>
        </w:rPr>
        <w:t xml:space="preserve">Como se indicó antes, ello exige el juez (i) “debe hacer referencia expresa al precedente con el que ha resuelto casos análogos (requisito de transparencia)” </w:t>
      </w:r>
      <w:r w:rsidR="00B21FE6" w:rsidRPr="004571E5">
        <w:rPr>
          <w:rFonts w:ascii="Times New Roman" w:hAnsi="Times New Roman" w:cs="Times New Roman"/>
          <w:sz w:val="28"/>
          <w:szCs w:val="28"/>
          <w:lang w:val="es-ES_tradnl"/>
        </w:rPr>
        <w:t xml:space="preserve">y </w:t>
      </w:r>
      <w:r w:rsidR="00B265E5" w:rsidRPr="004571E5">
        <w:rPr>
          <w:rFonts w:ascii="Times New Roman" w:hAnsi="Times New Roman" w:cs="Times New Roman"/>
          <w:sz w:val="28"/>
          <w:szCs w:val="28"/>
          <w:lang w:val="es-ES_tradnl"/>
        </w:rPr>
        <w:t>(</w:t>
      </w:r>
      <w:proofErr w:type="spellStart"/>
      <w:r w:rsidR="00B265E5" w:rsidRPr="004571E5">
        <w:rPr>
          <w:rFonts w:ascii="Times New Roman" w:hAnsi="Times New Roman" w:cs="Times New Roman"/>
          <w:sz w:val="28"/>
          <w:szCs w:val="28"/>
          <w:lang w:val="es-ES_tradnl"/>
        </w:rPr>
        <w:t>ii</w:t>
      </w:r>
      <w:proofErr w:type="spellEnd"/>
      <w:r w:rsidR="00B265E5" w:rsidRPr="004571E5">
        <w:rPr>
          <w:rFonts w:ascii="Times New Roman" w:hAnsi="Times New Roman" w:cs="Times New Roman"/>
          <w:sz w:val="28"/>
          <w:szCs w:val="28"/>
          <w:lang w:val="es-ES_tradnl"/>
        </w:rPr>
        <w:t>) “exponer las razones suficientes que, a la luz de los cambios introducidos en el ordenamiento jurídico, o por la transformación del contexto social dominante, justifiquen o evidencien la necesidad de producir un cambio jurisprudencial</w:t>
      </w:r>
      <w:r w:rsidR="00B21FE6" w:rsidRPr="004571E5">
        <w:rPr>
          <w:rFonts w:ascii="Times New Roman" w:hAnsi="Times New Roman" w:cs="Times New Roman"/>
          <w:sz w:val="28"/>
          <w:szCs w:val="28"/>
          <w:lang w:val="es-ES_tradnl"/>
        </w:rPr>
        <w:t xml:space="preserve">”. </w:t>
      </w:r>
      <w:r w:rsidR="00B265E5" w:rsidRPr="004571E5">
        <w:rPr>
          <w:rFonts w:ascii="Times New Roman" w:hAnsi="Times New Roman" w:cs="Times New Roman"/>
          <w:sz w:val="28"/>
          <w:szCs w:val="28"/>
          <w:lang w:val="es-ES_tradnl"/>
        </w:rPr>
        <w:t xml:space="preserve">Es decir, </w:t>
      </w:r>
      <w:r w:rsidR="007732AB" w:rsidRPr="004571E5">
        <w:rPr>
          <w:rFonts w:ascii="Times New Roman" w:hAnsi="Times New Roman" w:cs="Times New Roman"/>
          <w:sz w:val="28"/>
          <w:szCs w:val="28"/>
          <w:lang w:val="es-ES_tradnl"/>
        </w:rPr>
        <w:t xml:space="preserve">Para el caso concreto, a pesar de la existencia de decisiones relativas a la </w:t>
      </w:r>
      <w:r w:rsidR="007A0EDC" w:rsidRPr="004571E5">
        <w:rPr>
          <w:rFonts w:ascii="Times New Roman" w:hAnsi="Times New Roman" w:cs="Times New Roman"/>
          <w:sz w:val="28"/>
          <w:szCs w:val="28"/>
          <w:lang w:val="es-ES_tradnl"/>
        </w:rPr>
        <w:t>valoración</w:t>
      </w:r>
      <w:r w:rsidR="007732AB" w:rsidRPr="004571E5">
        <w:rPr>
          <w:rFonts w:ascii="Times New Roman" w:hAnsi="Times New Roman" w:cs="Times New Roman"/>
          <w:sz w:val="28"/>
          <w:szCs w:val="28"/>
          <w:lang w:val="es-ES_tradnl"/>
        </w:rPr>
        <w:t xml:space="preserve"> probatoria proferidas por </w:t>
      </w:r>
      <w:r w:rsidR="00265A6D" w:rsidRPr="004571E5">
        <w:rPr>
          <w:rFonts w:ascii="Times New Roman" w:hAnsi="Times New Roman" w:cs="Times New Roman"/>
          <w:sz w:val="28"/>
          <w:szCs w:val="28"/>
          <w:lang w:val="es-ES_tradnl"/>
        </w:rPr>
        <w:t xml:space="preserve">todas </w:t>
      </w:r>
      <w:r w:rsidR="007732AB" w:rsidRPr="004571E5">
        <w:rPr>
          <w:rFonts w:ascii="Times New Roman" w:hAnsi="Times New Roman" w:cs="Times New Roman"/>
          <w:sz w:val="28"/>
          <w:szCs w:val="28"/>
          <w:lang w:val="es-ES_tradnl"/>
        </w:rPr>
        <w:t xml:space="preserve">las </w:t>
      </w:r>
      <w:r w:rsidR="007732AB" w:rsidRPr="004571E5">
        <w:rPr>
          <w:rFonts w:ascii="Times New Roman" w:hAnsi="Times New Roman" w:cs="Times New Roman"/>
          <w:sz w:val="28"/>
          <w:szCs w:val="28"/>
          <w:lang w:val="es-ES_tradnl"/>
        </w:rPr>
        <w:lastRenderedPageBreak/>
        <w:t xml:space="preserve">subsecciones de la Sección Tercera, estos pronunciamientos no fueron reconocidos ni contrastados. </w:t>
      </w:r>
    </w:p>
    <w:p w14:paraId="1B52FDD9" w14:textId="77777777" w:rsidR="007732AB" w:rsidRPr="004571E5" w:rsidRDefault="007732AB" w:rsidP="00481F2E">
      <w:pPr>
        <w:pStyle w:val="Prrafodelista"/>
        <w:spacing w:line="240" w:lineRule="auto"/>
        <w:rPr>
          <w:rFonts w:ascii="Times New Roman" w:hAnsi="Times New Roman" w:cs="Times New Roman"/>
          <w:sz w:val="28"/>
          <w:szCs w:val="28"/>
          <w:lang w:val="es-ES_tradnl"/>
        </w:rPr>
      </w:pPr>
    </w:p>
    <w:p w14:paraId="20ACAC19" w14:textId="390D934F" w:rsidR="007732AB" w:rsidRPr="004571E5" w:rsidRDefault="00265A6D">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La</w:t>
      </w:r>
      <w:r w:rsidR="00693F17" w:rsidRPr="004571E5">
        <w:rPr>
          <w:rFonts w:ascii="Times New Roman" w:hAnsi="Times New Roman" w:cs="Times New Roman"/>
          <w:sz w:val="28"/>
          <w:szCs w:val="28"/>
          <w:lang w:val="es-ES_tradnl"/>
        </w:rPr>
        <w:t xml:space="preserve"> Corte ha podido identificar  las siguientes providencias en las qu</w:t>
      </w:r>
      <w:r w:rsidRPr="004571E5">
        <w:rPr>
          <w:rFonts w:ascii="Times New Roman" w:hAnsi="Times New Roman" w:cs="Times New Roman"/>
          <w:sz w:val="28"/>
          <w:szCs w:val="28"/>
          <w:lang w:val="es-ES_tradnl"/>
        </w:rPr>
        <w:t xml:space="preserve">e el Consejo de Estado </w:t>
      </w:r>
      <w:r w:rsidR="00693F17" w:rsidRPr="004571E5">
        <w:rPr>
          <w:rFonts w:ascii="Times New Roman" w:hAnsi="Times New Roman" w:cs="Times New Roman"/>
          <w:i/>
          <w:iCs/>
          <w:sz w:val="28"/>
          <w:szCs w:val="28"/>
          <w:lang w:val="es-ES_tradnl"/>
        </w:rPr>
        <w:t xml:space="preserve">ha reiterado la importancia de implementar </w:t>
      </w:r>
      <w:r w:rsidR="007A0EDC" w:rsidRPr="004571E5">
        <w:rPr>
          <w:rFonts w:ascii="Times New Roman" w:hAnsi="Times New Roman" w:cs="Times New Roman"/>
          <w:i/>
          <w:iCs/>
          <w:sz w:val="28"/>
          <w:szCs w:val="28"/>
          <w:lang w:val="es-ES_tradnl"/>
        </w:rPr>
        <w:t xml:space="preserve">un estándar </w:t>
      </w:r>
      <w:r w:rsidR="00693F17" w:rsidRPr="004571E5">
        <w:rPr>
          <w:rFonts w:ascii="Times New Roman" w:hAnsi="Times New Roman" w:cs="Times New Roman"/>
          <w:i/>
          <w:iCs/>
          <w:sz w:val="28"/>
          <w:szCs w:val="28"/>
          <w:lang w:val="es-ES_tradnl"/>
        </w:rPr>
        <w:t>probatori</w:t>
      </w:r>
      <w:r w:rsidR="007A0EDC" w:rsidRPr="004571E5">
        <w:rPr>
          <w:rFonts w:ascii="Times New Roman" w:hAnsi="Times New Roman" w:cs="Times New Roman"/>
          <w:i/>
          <w:iCs/>
          <w:sz w:val="28"/>
          <w:szCs w:val="28"/>
          <w:lang w:val="es-ES_tradnl"/>
        </w:rPr>
        <w:t>o razonable y ponderado en atención a las especiales circunstancias</w:t>
      </w:r>
      <w:r w:rsidR="00693F17" w:rsidRPr="004571E5">
        <w:rPr>
          <w:rFonts w:ascii="Times New Roman" w:hAnsi="Times New Roman" w:cs="Times New Roman"/>
          <w:i/>
          <w:iCs/>
          <w:sz w:val="28"/>
          <w:szCs w:val="28"/>
          <w:lang w:val="es-ES_tradnl"/>
        </w:rPr>
        <w:t xml:space="preserve"> en los casos en los que se invoca la ocurrencia de una ejecución extrajudicial</w:t>
      </w:r>
      <w:r w:rsidR="00CD721F" w:rsidRPr="004571E5">
        <w:rPr>
          <w:rFonts w:ascii="Times New Roman" w:hAnsi="Times New Roman" w:cs="Times New Roman"/>
          <w:sz w:val="28"/>
          <w:szCs w:val="28"/>
          <w:lang w:val="es-ES_tradnl"/>
        </w:rPr>
        <w:t>:</w:t>
      </w:r>
      <w:r w:rsidR="007732AB" w:rsidRPr="004571E5">
        <w:rPr>
          <w:rFonts w:ascii="Times New Roman" w:hAnsi="Times New Roman" w:cs="Times New Roman"/>
          <w:sz w:val="28"/>
          <w:szCs w:val="28"/>
          <w:lang w:val="es-ES_tradnl"/>
        </w:rPr>
        <w:t xml:space="preserve"> </w:t>
      </w:r>
      <w:r w:rsidR="00342169" w:rsidRPr="004571E5">
        <w:rPr>
          <w:rFonts w:ascii="Times New Roman" w:hAnsi="Times New Roman" w:cs="Times New Roman"/>
          <w:sz w:val="28"/>
          <w:szCs w:val="28"/>
          <w:lang w:val="es-ES_tradnl"/>
        </w:rPr>
        <w:t xml:space="preserve">(i) </w:t>
      </w:r>
      <w:r w:rsidR="007732AB" w:rsidRPr="004571E5">
        <w:rPr>
          <w:rFonts w:ascii="Times New Roman" w:hAnsi="Times New Roman" w:cs="Times New Roman"/>
          <w:sz w:val="28"/>
          <w:szCs w:val="28"/>
        </w:rPr>
        <w:t xml:space="preserve">del 26 de octubre de 2011 </w:t>
      </w:r>
      <w:r w:rsidR="00342169" w:rsidRPr="004571E5">
        <w:rPr>
          <w:rFonts w:ascii="Times New Roman" w:hAnsi="Times New Roman" w:cs="Times New Roman"/>
          <w:sz w:val="28"/>
          <w:szCs w:val="28"/>
        </w:rPr>
        <w:t>(</w:t>
      </w:r>
      <w:r w:rsidR="007732AB" w:rsidRPr="004571E5">
        <w:rPr>
          <w:rFonts w:ascii="Times New Roman" w:hAnsi="Times New Roman" w:cs="Times New Roman"/>
          <w:sz w:val="28"/>
          <w:szCs w:val="28"/>
        </w:rPr>
        <w:t>18850</w:t>
      </w:r>
      <w:r w:rsidR="00342169" w:rsidRPr="004571E5">
        <w:rPr>
          <w:rFonts w:ascii="Times New Roman" w:hAnsi="Times New Roman" w:cs="Times New Roman"/>
          <w:sz w:val="28"/>
          <w:szCs w:val="28"/>
        </w:rPr>
        <w:t>)</w:t>
      </w:r>
      <w:r w:rsidR="007732AB" w:rsidRPr="004571E5">
        <w:rPr>
          <w:rFonts w:ascii="Times New Roman" w:hAnsi="Times New Roman" w:cs="Times New Roman"/>
          <w:sz w:val="28"/>
          <w:szCs w:val="28"/>
        </w:rPr>
        <w:t xml:space="preserve"> de la Subsección B</w:t>
      </w:r>
      <w:r w:rsidR="00342169" w:rsidRPr="004571E5">
        <w:rPr>
          <w:rFonts w:ascii="Times New Roman" w:hAnsi="Times New Roman" w:cs="Times New Roman"/>
          <w:sz w:val="28"/>
          <w:szCs w:val="28"/>
        </w:rPr>
        <w:t>; (</w:t>
      </w:r>
      <w:proofErr w:type="spellStart"/>
      <w:r w:rsidR="00342169" w:rsidRPr="004571E5">
        <w:rPr>
          <w:rFonts w:ascii="Times New Roman" w:hAnsi="Times New Roman" w:cs="Times New Roman"/>
          <w:sz w:val="28"/>
          <w:szCs w:val="28"/>
        </w:rPr>
        <w:t>ii</w:t>
      </w:r>
      <w:proofErr w:type="spellEnd"/>
      <w:r w:rsidR="00342169" w:rsidRPr="004571E5">
        <w:rPr>
          <w:rFonts w:ascii="Times New Roman" w:hAnsi="Times New Roman" w:cs="Times New Roman"/>
          <w:sz w:val="28"/>
          <w:szCs w:val="28"/>
        </w:rPr>
        <w:t>) del 27 de septiembre de 2013 (19939) de la Subsección B; (</w:t>
      </w:r>
      <w:proofErr w:type="spellStart"/>
      <w:r w:rsidR="00342169" w:rsidRPr="004571E5">
        <w:rPr>
          <w:rFonts w:ascii="Times New Roman" w:hAnsi="Times New Roman" w:cs="Times New Roman"/>
          <w:sz w:val="28"/>
          <w:szCs w:val="28"/>
        </w:rPr>
        <w:t>iii</w:t>
      </w:r>
      <w:proofErr w:type="spellEnd"/>
      <w:r w:rsidR="00342169" w:rsidRPr="004571E5">
        <w:rPr>
          <w:rFonts w:ascii="Times New Roman" w:hAnsi="Times New Roman" w:cs="Times New Roman"/>
          <w:sz w:val="28"/>
          <w:szCs w:val="28"/>
        </w:rPr>
        <w:t xml:space="preserve">) </w:t>
      </w:r>
      <w:r w:rsidRPr="004571E5">
        <w:rPr>
          <w:rFonts w:ascii="Times New Roman" w:hAnsi="Times New Roman" w:cs="Times New Roman"/>
          <w:sz w:val="28"/>
          <w:szCs w:val="28"/>
        </w:rPr>
        <w:t>del 5 de marzo de 2015 (37310)</w:t>
      </w:r>
      <w:r w:rsidR="00AB7F7B" w:rsidRPr="004571E5">
        <w:rPr>
          <w:rFonts w:ascii="Times New Roman" w:hAnsi="Times New Roman" w:cs="Times New Roman"/>
          <w:sz w:val="28"/>
          <w:szCs w:val="28"/>
        </w:rPr>
        <w:t xml:space="preserve"> de la Subsección B</w:t>
      </w:r>
      <w:r w:rsidRPr="004571E5">
        <w:rPr>
          <w:rFonts w:ascii="Times New Roman" w:hAnsi="Times New Roman" w:cs="Times New Roman"/>
          <w:sz w:val="28"/>
          <w:szCs w:val="28"/>
        </w:rPr>
        <w:t>; (</w:t>
      </w:r>
      <w:proofErr w:type="spellStart"/>
      <w:r w:rsidRPr="004571E5">
        <w:rPr>
          <w:rFonts w:ascii="Times New Roman" w:hAnsi="Times New Roman" w:cs="Times New Roman"/>
          <w:sz w:val="28"/>
          <w:szCs w:val="28"/>
        </w:rPr>
        <w:t>iv</w:t>
      </w:r>
      <w:proofErr w:type="spellEnd"/>
      <w:r w:rsidRPr="004571E5">
        <w:rPr>
          <w:rFonts w:ascii="Times New Roman" w:hAnsi="Times New Roman" w:cs="Times New Roman"/>
          <w:sz w:val="28"/>
          <w:szCs w:val="28"/>
        </w:rPr>
        <w:t>) del 7 de septiembre de 2015 (47671)</w:t>
      </w:r>
      <w:r w:rsidR="00AB7F7B" w:rsidRPr="004571E5">
        <w:rPr>
          <w:rFonts w:ascii="Times New Roman" w:hAnsi="Times New Roman" w:cs="Times New Roman"/>
          <w:sz w:val="28"/>
          <w:szCs w:val="28"/>
        </w:rPr>
        <w:t xml:space="preserve"> de la Subsección C</w:t>
      </w:r>
      <w:r w:rsidRPr="004571E5">
        <w:rPr>
          <w:rFonts w:ascii="Times New Roman" w:hAnsi="Times New Roman" w:cs="Times New Roman"/>
          <w:sz w:val="28"/>
          <w:szCs w:val="28"/>
        </w:rPr>
        <w:t xml:space="preserve">; (v) </w:t>
      </w:r>
      <w:r w:rsidR="00342169" w:rsidRPr="004571E5">
        <w:rPr>
          <w:rFonts w:ascii="Times New Roman" w:hAnsi="Times New Roman" w:cs="Times New Roman"/>
          <w:sz w:val="28"/>
          <w:szCs w:val="28"/>
        </w:rPr>
        <w:t>del 14 de septiembre de 2016 (34349) de la Subsección A; (v</w:t>
      </w:r>
      <w:r w:rsidRPr="004571E5">
        <w:rPr>
          <w:rFonts w:ascii="Times New Roman" w:hAnsi="Times New Roman" w:cs="Times New Roman"/>
          <w:sz w:val="28"/>
          <w:szCs w:val="28"/>
        </w:rPr>
        <w:t>i</w:t>
      </w:r>
      <w:r w:rsidR="00342169" w:rsidRPr="004571E5">
        <w:rPr>
          <w:rFonts w:ascii="Times New Roman" w:hAnsi="Times New Roman" w:cs="Times New Roman"/>
          <w:sz w:val="28"/>
          <w:szCs w:val="28"/>
        </w:rPr>
        <w:t>) la sentencia del 10 de noviembre de 2016 (56282) de la Subsección C; (</w:t>
      </w:r>
      <w:proofErr w:type="spellStart"/>
      <w:r w:rsidR="00342169" w:rsidRPr="004571E5">
        <w:rPr>
          <w:rFonts w:ascii="Times New Roman" w:hAnsi="Times New Roman" w:cs="Times New Roman"/>
          <w:sz w:val="28"/>
          <w:szCs w:val="28"/>
        </w:rPr>
        <w:t>v</w:t>
      </w:r>
      <w:r w:rsidRPr="004571E5">
        <w:rPr>
          <w:rFonts w:ascii="Times New Roman" w:hAnsi="Times New Roman" w:cs="Times New Roman"/>
          <w:sz w:val="28"/>
          <w:szCs w:val="28"/>
        </w:rPr>
        <w:t>ii</w:t>
      </w:r>
      <w:proofErr w:type="spellEnd"/>
      <w:r w:rsidR="00342169" w:rsidRPr="004571E5">
        <w:rPr>
          <w:rFonts w:ascii="Times New Roman" w:hAnsi="Times New Roman" w:cs="Times New Roman"/>
          <w:sz w:val="28"/>
          <w:szCs w:val="28"/>
        </w:rPr>
        <w:t>) la sentencia del 23 de marzo de 2017 (50941) de la Subsección A; (</w:t>
      </w:r>
      <w:proofErr w:type="spellStart"/>
      <w:r w:rsidR="00342169" w:rsidRPr="004571E5">
        <w:rPr>
          <w:rFonts w:ascii="Times New Roman" w:hAnsi="Times New Roman" w:cs="Times New Roman"/>
          <w:sz w:val="28"/>
          <w:szCs w:val="28"/>
        </w:rPr>
        <w:t>vi</w:t>
      </w:r>
      <w:r w:rsidRPr="004571E5">
        <w:rPr>
          <w:rFonts w:ascii="Times New Roman" w:hAnsi="Times New Roman" w:cs="Times New Roman"/>
          <w:sz w:val="28"/>
          <w:szCs w:val="28"/>
        </w:rPr>
        <w:t>ii</w:t>
      </w:r>
      <w:proofErr w:type="spellEnd"/>
      <w:r w:rsidR="00342169" w:rsidRPr="004571E5">
        <w:rPr>
          <w:rFonts w:ascii="Times New Roman" w:hAnsi="Times New Roman" w:cs="Times New Roman"/>
          <w:sz w:val="28"/>
          <w:szCs w:val="28"/>
        </w:rPr>
        <w:t>) la sentencia del 5 de marzo de 2021 (47555) de la Subsección A</w:t>
      </w:r>
      <w:r w:rsidRPr="004571E5">
        <w:rPr>
          <w:rFonts w:ascii="Times New Roman" w:hAnsi="Times New Roman" w:cs="Times New Roman"/>
          <w:sz w:val="28"/>
          <w:szCs w:val="28"/>
        </w:rPr>
        <w:t>; y (</w:t>
      </w:r>
      <w:proofErr w:type="spellStart"/>
      <w:r w:rsidRPr="004571E5">
        <w:rPr>
          <w:rFonts w:ascii="Times New Roman" w:hAnsi="Times New Roman" w:cs="Times New Roman"/>
          <w:sz w:val="28"/>
          <w:szCs w:val="28"/>
        </w:rPr>
        <w:t>ix</w:t>
      </w:r>
      <w:proofErr w:type="spellEnd"/>
      <w:r w:rsidRPr="004571E5">
        <w:rPr>
          <w:rFonts w:ascii="Times New Roman" w:hAnsi="Times New Roman" w:cs="Times New Roman"/>
          <w:sz w:val="28"/>
          <w:szCs w:val="28"/>
        </w:rPr>
        <w:t xml:space="preserve">) del 28 de abril de 2021 (55287) </w:t>
      </w:r>
      <w:r w:rsidR="00AB7F7B" w:rsidRPr="004571E5">
        <w:rPr>
          <w:rFonts w:ascii="Times New Roman" w:hAnsi="Times New Roman" w:cs="Times New Roman"/>
          <w:sz w:val="28"/>
          <w:szCs w:val="28"/>
        </w:rPr>
        <w:t>de la Subsección B</w:t>
      </w:r>
      <w:r w:rsidRPr="004571E5">
        <w:rPr>
          <w:rFonts w:ascii="Times New Roman" w:hAnsi="Times New Roman" w:cs="Times New Roman"/>
          <w:sz w:val="28"/>
          <w:szCs w:val="28"/>
        </w:rPr>
        <w:t>.</w:t>
      </w:r>
      <w:r w:rsidR="00342169" w:rsidRPr="004571E5">
        <w:rPr>
          <w:rFonts w:ascii="Times New Roman" w:hAnsi="Times New Roman" w:cs="Times New Roman"/>
          <w:sz w:val="28"/>
          <w:szCs w:val="28"/>
        </w:rPr>
        <w:t xml:space="preserve"> Todas estas providencias </w:t>
      </w:r>
      <w:r w:rsidR="00B16166" w:rsidRPr="004571E5">
        <w:rPr>
          <w:rFonts w:ascii="Times New Roman" w:hAnsi="Times New Roman" w:cs="Times New Roman"/>
          <w:sz w:val="28"/>
          <w:szCs w:val="28"/>
        </w:rPr>
        <w:t>adoptan la</w:t>
      </w:r>
      <w:r w:rsidR="007A0EDC" w:rsidRPr="004571E5">
        <w:rPr>
          <w:rFonts w:ascii="Times New Roman" w:hAnsi="Times New Roman" w:cs="Times New Roman"/>
          <w:sz w:val="28"/>
          <w:szCs w:val="28"/>
        </w:rPr>
        <w:t>s</w:t>
      </w:r>
      <w:r w:rsidR="00B16166" w:rsidRPr="004571E5">
        <w:rPr>
          <w:rFonts w:ascii="Times New Roman" w:hAnsi="Times New Roman" w:cs="Times New Roman"/>
          <w:sz w:val="28"/>
          <w:szCs w:val="28"/>
        </w:rPr>
        <w:t xml:space="preserve"> </w:t>
      </w:r>
      <w:r w:rsidR="007A0EDC" w:rsidRPr="004571E5">
        <w:rPr>
          <w:rFonts w:ascii="Times New Roman" w:hAnsi="Times New Roman" w:cs="Times New Roman"/>
          <w:sz w:val="28"/>
          <w:szCs w:val="28"/>
        </w:rPr>
        <w:t>reglas aquí referidas</w:t>
      </w:r>
      <w:r w:rsidR="00B16166" w:rsidRPr="004571E5">
        <w:rPr>
          <w:rFonts w:ascii="Times New Roman" w:hAnsi="Times New Roman" w:cs="Times New Roman"/>
          <w:sz w:val="28"/>
          <w:szCs w:val="28"/>
        </w:rPr>
        <w:t xml:space="preserve"> y son</w:t>
      </w:r>
      <w:r w:rsidR="00342169" w:rsidRPr="004571E5">
        <w:rPr>
          <w:rFonts w:ascii="Times New Roman" w:hAnsi="Times New Roman" w:cs="Times New Roman"/>
          <w:sz w:val="28"/>
          <w:szCs w:val="28"/>
        </w:rPr>
        <w:t xml:space="preserve"> anteriores al fallo </w:t>
      </w:r>
      <w:r w:rsidR="00423E6E" w:rsidRPr="004571E5">
        <w:rPr>
          <w:rFonts w:ascii="Times New Roman" w:hAnsi="Times New Roman" w:cs="Times New Roman"/>
          <w:sz w:val="28"/>
          <w:szCs w:val="28"/>
        </w:rPr>
        <w:t>atacado</w:t>
      </w:r>
      <w:r w:rsidR="00342169" w:rsidRPr="004571E5">
        <w:rPr>
          <w:rFonts w:ascii="Times New Roman" w:hAnsi="Times New Roman" w:cs="Times New Roman"/>
          <w:sz w:val="28"/>
          <w:szCs w:val="28"/>
        </w:rPr>
        <w:t xml:space="preserve"> </w:t>
      </w:r>
      <w:r w:rsidR="00B16166" w:rsidRPr="004571E5">
        <w:rPr>
          <w:rFonts w:ascii="Times New Roman" w:hAnsi="Times New Roman" w:cs="Times New Roman"/>
          <w:sz w:val="28"/>
          <w:szCs w:val="28"/>
        </w:rPr>
        <w:t xml:space="preserve">-del 8 de octubre de 2021- y, por lo tanto, debían ser </w:t>
      </w:r>
      <w:r w:rsidR="00A138BE" w:rsidRPr="004571E5">
        <w:rPr>
          <w:rFonts w:ascii="Times New Roman" w:hAnsi="Times New Roman" w:cs="Times New Roman"/>
          <w:sz w:val="28"/>
          <w:szCs w:val="28"/>
        </w:rPr>
        <w:t xml:space="preserve">al menos </w:t>
      </w:r>
      <w:r w:rsidR="00B16166" w:rsidRPr="004571E5">
        <w:rPr>
          <w:rFonts w:ascii="Times New Roman" w:hAnsi="Times New Roman" w:cs="Times New Roman"/>
          <w:sz w:val="28"/>
          <w:szCs w:val="28"/>
        </w:rPr>
        <w:t>confrontadas por la Subsección C, sin que ello ocurriera.</w:t>
      </w:r>
    </w:p>
    <w:p w14:paraId="13C6092D" w14:textId="77777777" w:rsidR="00255883" w:rsidRPr="004571E5" w:rsidRDefault="00255883" w:rsidP="001B30B3">
      <w:pPr>
        <w:pStyle w:val="Prrafodelista"/>
        <w:spacing w:line="240" w:lineRule="auto"/>
        <w:ind w:left="0"/>
        <w:jc w:val="both"/>
        <w:rPr>
          <w:rFonts w:ascii="Times New Roman" w:hAnsi="Times New Roman" w:cs="Times New Roman"/>
          <w:sz w:val="28"/>
          <w:szCs w:val="28"/>
          <w:lang w:val="es-ES_tradnl"/>
        </w:rPr>
      </w:pPr>
    </w:p>
    <w:p w14:paraId="4B7A25E1" w14:textId="7D9E750D" w:rsidR="00053584" w:rsidRPr="004571E5" w:rsidRDefault="00255883">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Adicionalmente, la Corte quiere llamar la atención sobre uno de los argumentos planteados por el consejero ponente al impugnar la sentencia de tutela de primera instancia. En su escrito sostuvo que la idea de precedente es una </w:t>
      </w:r>
      <w:r w:rsidRPr="004571E5">
        <w:rPr>
          <w:rFonts w:ascii="Times New Roman" w:hAnsi="Times New Roman" w:cs="Times New Roman"/>
          <w:i/>
          <w:iCs/>
          <w:sz w:val="28"/>
          <w:szCs w:val="28"/>
          <w:lang w:val="es-ES_tradnl"/>
        </w:rPr>
        <w:t>“</w:t>
      </w:r>
      <w:r w:rsidRPr="004571E5">
        <w:rPr>
          <w:rFonts w:ascii="Times New Roman" w:hAnsi="Times New Roman" w:cs="Times New Roman"/>
          <w:i/>
          <w:iCs/>
          <w:sz w:val="28"/>
          <w:szCs w:val="28"/>
        </w:rPr>
        <w:t>figura ajena al ordenamiento jurídico colombiano que es de carácter legislado</w:t>
      </w:r>
      <w:r w:rsidRPr="004571E5">
        <w:rPr>
          <w:rFonts w:ascii="Times New Roman" w:hAnsi="Times New Roman" w:cs="Times New Roman"/>
          <w:i/>
          <w:iCs/>
          <w:sz w:val="28"/>
          <w:szCs w:val="28"/>
          <w:lang w:val="es-ES_tradnl"/>
        </w:rPr>
        <w:t>”.</w:t>
      </w:r>
      <w:r w:rsidRPr="004571E5">
        <w:rPr>
          <w:rFonts w:ascii="Times New Roman" w:hAnsi="Times New Roman" w:cs="Times New Roman"/>
          <w:sz w:val="28"/>
          <w:szCs w:val="28"/>
          <w:lang w:val="es-ES_tradnl"/>
        </w:rPr>
        <w:t xml:space="preserve"> Este planteamiento no puede aceptarse. El reconocimiento de la fuerza vinculante del precedente en el ordenamiento se encuentra, en la actualidad,</w:t>
      </w:r>
      <w:r w:rsidR="007D00CE" w:rsidRPr="004571E5">
        <w:rPr>
          <w:rFonts w:ascii="Times New Roman" w:hAnsi="Times New Roman" w:cs="Times New Roman"/>
          <w:sz w:val="28"/>
          <w:szCs w:val="28"/>
          <w:lang w:val="es-ES_tradnl"/>
        </w:rPr>
        <w:t xml:space="preserve"> fuera de toda duda</w:t>
      </w:r>
      <w:r w:rsidRPr="004571E5">
        <w:rPr>
          <w:rFonts w:ascii="Times New Roman" w:hAnsi="Times New Roman" w:cs="Times New Roman"/>
          <w:sz w:val="28"/>
          <w:szCs w:val="28"/>
          <w:lang w:val="es-ES_tradnl"/>
        </w:rPr>
        <w:t>. Desde 1999</w:t>
      </w:r>
      <w:r w:rsidR="00F03AB7" w:rsidRPr="004571E5">
        <w:rPr>
          <w:rFonts w:ascii="Times New Roman" w:hAnsi="Times New Roman" w:cs="Times New Roman"/>
          <w:sz w:val="28"/>
          <w:szCs w:val="28"/>
          <w:lang w:val="es-ES_tradnl"/>
        </w:rPr>
        <w:t xml:space="preserve"> -y probablemente desde antes-</w:t>
      </w:r>
      <w:r w:rsidRPr="004571E5">
        <w:rPr>
          <w:rFonts w:ascii="Times New Roman" w:hAnsi="Times New Roman" w:cs="Times New Roman"/>
          <w:sz w:val="28"/>
          <w:szCs w:val="28"/>
          <w:lang w:val="es-ES_tradnl"/>
        </w:rPr>
        <w:t xml:space="preserve"> cuando la Corte afirmó que “</w:t>
      </w:r>
      <w:r w:rsidRPr="004571E5">
        <w:rPr>
          <w:rFonts w:ascii="Times New Roman" w:hAnsi="Times New Roman" w:cs="Times New Roman"/>
          <w:sz w:val="28"/>
          <w:szCs w:val="28"/>
        </w:rPr>
        <w:t xml:space="preserve">es natural </w:t>
      </w:r>
      <w:r w:rsidR="002D453C" w:rsidRPr="004571E5">
        <w:rPr>
          <w:rFonts w:ascii="Times New Roman" w:hAnsi="Times New Roman" w:cs="Times New Roman"/>
          <w:sz w:val="28"/>
          <w:szCs w:val="28"/>
        </w:rPr>
        <w:t>que,</w:t>
      </w:r>
      <w:r w:rsidRPr="004571E5">
        <w:rPr>
          <w:rFonts w:ascii="Times New Roman" w:hAnsi="Times New Roman" w:cs="Times New Roman"/>
          <w:sz w:val="28"/>
          <w:szCs w:val="28"/>
        </w:rPr>
        <w:t xml:space="preserve"> en un Estado de derecho, los ciudadanos esperen de sus jueces que sigan interpretando las normas de la misma manera, por lo cual resulta válido exigirle un respeto por sus decisiones previas”</w:t>
      </w:r>
      <w:r w:rsidRPr="004571E5">
        <w:rPr>
          <w:rStyle w:val="Refdenotaalpie"/>
          <w:rFonts w:ascii="Times New Roman" w:hAnsi="Times New Roman" w:cs="Times New Roman"/>
          <w:sz w:val="28"/>
          <w:szCs w:val="28"/>
        </w:rPr>
        <w:footnoteReference w:id="59"/>
      </w:r>
      <w:r w:rsidRPr="004571E5">
        <w:rPr>
          <w:rFonts w:ascii="Times New Roman" w:hAnsi="Times New Roman" w:cs="Times New Roman"/>
          <w:sz w:val="28"/>
          <w:szCs w:val="28"/>
          <w:lang w:val="es-ES_tradnl"/>
        </w:rPr>
        <w:t xml:space="preserve">, este instrumento se ha integrado al ordenamiento jurídico colombiano y constituye una de sus más valiosas herramientas. </w:t>
      </w:r>
      <w:r w:rsidR="007D00CE" w:rsidRPr="004571E5">
        <w:rPr>
          <w:rFonts w:ascii="Times New Roman" w:hAnsi="Times New Roman" w:cs="Times New Roman"/>
          <w:sz w:val="28"/>
          <w:szCs w:val="28"/>
          <w:lang w:val="es-ES_tradnl"/>
        </w:rPr>
        <w:t xml:space="preserve">Así lo muestra una práctica judicial reiterada y uniforme. </w:t>
      </w:r>
    </w:p>
    <w:p w14:paraId="05FC9354" w14:textId="77777777" w:rsidR="00255883" w:rsidRPr="004571E5" w:rsidRDefault="00255883" w:rsidP="001B30B3">
      <w:pPr>
        <w:pStyle w:val="Prrafodelista"/>
        <w:spacing w:line="240" w:lineRule="auto"/>
        <w:ind w:left="0"/>
        <w:jc w:val="both"/>
        <w:rPr>
          <w:rFonts w:ascii="Times New Roman" w:hAnsi="Times New Roman" w:cs="Times New Roman"/>
          <w:b/>
          <w:sz w:val="28"/>
          <w:szCs w:val="28"/>
          <w:lang w:val="es-ES_tradnl"/>
        </w:rPr>
      </w:pPr>
    </w:p>
    <w:p w14:paraId="5C741399" w14:textId="77777777" w:rsidR="00C9125D" w:rsidRPr="004571E5" w:rsidRDefault="00BF6200" w:rsidP="00C9125D">
      <w:pPr>
        <w:pStyle w:val="Prrafodelista"/>
        <w:numPr>
          <w:ilvl w:val="2"/>
          <w:numId w:val="34"/>
        </w:numPr>
        <w:spacing w:line="240" w:lineRule="auto"/>
        <w:ind w:left="0" w:firstLine="0"/>
        <w:jc w:val="both"/>
        <w:rPr>
          <w:rFonts w:ascii="Times New Roman" w:hAnsi="Times New Roman" w:cs="Times New Roman"/>
          <w:b/>
          <w:sz w:val="28"/>
          <w:szCs w:val="28"/>
          <w:lang w:val="es-ES_tradnl"/>
        </w:rPr>
      </w:pPr>
      <w:r w:rsidRPr="004571E5">
        <w:rPr>
          <w:rFonts w:ascii="Times New Roman" w:hAnsi="Times New Roman" w:cs="Times New Roman"/>
          <w:b/>
          <w:iCs/>
          <w:sz w:val="28"/>
          <w:szCs w:val="28"/>
          <w:lang w:val="es-ES_tradnl"/>
        </w:rPr>
        <w:t>Defecto fáctico por indebida</w:t>
      </w:r>
      <w:r w:rsidR="00060300" w:rsidRPr="004571E5">
        <w:rPr>
          <w:rFonts w:ascii="Times New Roman" w:hAnsi="Times New Roman" w:cs="Times New Roman"/>
          <w:b/>
          <w:iCs/>
          <w:sz w:val="28"/>
          <w:szCs w:val="28"/>
          <w:lang w:val="es-ES_tradnl"/>
        </w:rPr>
        <w:t xml:space="preserve"> </w:t>
      </w:r>
      <w:r w:rsidRPr="004571E5">
        <w:rPr>
          <w:rFonts w:ascii="Times New Roman" w:hAnsi="Times New Roman" w:cs="Times New Roman"/>
          <w:b/>
          <w:iCs/>
          <w:sz w:val="28"/>
          <w:szCs w:val="28"/>
          <w:lang w:val="es-ES_tradnl"/>
        </w:rPr>
        <w:t>valoración probatoria</w:t>
      </w:r>
      <w:r w:rsidRPr="004571E5">
        <w:rPr>
          <w:rFonts w:ascii="Times New Roman" w:hAnsi="Times New Roman" w:cs="Times New Roman"/>
          <w:b/>
          <w:sz w:val="28"/>
          <w:szCs w:val="28"/>
          <w:lang w:val="es-ES_tradnl"/>
        </w:rPr>
        <w:t xml:space="preserve">. </w:t>
      </w:r>
    </w:p>
    <w:p w14:paraId="3E15084B" w14:textId="77777777" w:rsidR="00C9125D" w:rsidRPr="004571E5" w:rsidRDefault="00C9125D" w:rsidP="009638CA">
      <w:pPr>
        <w:pStyle w:val="Prrafodelista"/>
        <w:spacing w:after="0" w:line="240" w:lineRule="auto"/>
        <w:ind w:left="0"/>
        <w:jc w:val="both"/>
        <w:rPr>
          <w:rFonts w:ascii="Times New Roman" w:hAnsi="Times New Roman" w:cs="Times New Roman"/>
          <w:b/>
          <w:sz w:val="28"/>
          <w:szCs w:val="28"/>
          <w:lang w:val="es-ES_tradnl"/>
        </w:rPr>
      </w:pPr>
    </w:p>
    <w:p w14:paraId="42CB4A7E" w14:textId="10029CCF" w:rsidR="00C9125D" w:rsidRPr="004571E5" w:rsidRDefault="00C9125D" w:rsidP="009638CA">
      <w:pPr>
        <w:pStyle w:val="Prrafodelista"/>
        <w:numPr>
          <w:ilvl w:val="0"/>
          <w:numId w:val="1"/>
        </w:numPr>
        <w:spacing w:after="0" w:line="240" w:lineRule="auto"/>
        <w:jc w:val="both"/>
        <w:rPr>
          <w:rFonts w:ascii="Times New Roman" w:hAnsi="Times New Roman" w:cs="Times New Roman"/>
          <w:bCs/>
          <w:sz w:val="28"/>
          <w:szCs w:val="28"/>
          <w:lang w:val="es-ES_tradnl"/>
        </w:rPr>
      </w:pPr>
      <w:r w:rsidRPr="004571E5">
        <w:rPr>
          <w:rFonts w:ascii="Times New Roman" w:hAnsi="Times New Roman" w:cs="Times New Roman"/>
          <w:bCs/>
          <w:sz w:val="28"/>
          <w:szCs w:val="28"/>
          <w:lang w:val="es-ES_tradnl"/>
        </w:rPr>
        <w:t xml:space="preserve">De lo expuesto se desprende </w:t>
      </w:r>
      <w:r w:rsidR="007D00CE" w:rsidRPr="004571E5">
        <w:rPr>
          <w:rFonts w:ascii="Times New Roman" w:hAnsi="Times New Roman" w:cs="Times New Roman"/>
          <w:bCs/>
          <w:sz w:val="28"/>
          <w:szCs w:val="28"/>
          <w:lang w:val="es-ES_tradnl"/>
        </w:rPr>
        <w:t xml:space="preserve">entonces </w:t>
      </w:r>
      <w:r w:rsidRPr="004571E5">
        <w:rPr>
          <w:rFonts w:ascii="Times New Roman" w:hAnsi="Times New Roman" w:cs="Times New Roman"/>
          <w:bCs/>
          <w:sz w:val="28"/>
          <w:szCs w:val="28"/>
          <w:lang w:val="es-ES_tradnl"/>
        </w:rPr>
        <w:t xml:space="preserve">una clara infracción del precedente. Esa infracción de las reglas de </w:t>
      </w:r>
      <w:r w:rsidR="007A0EDC" w:rsidRPr="004571E5">
        <w:rPr>
          <w:rFonts w:ascii="Times New Roman" w:hAnsi="Times New Roman" w:cs="Times New Roman"/>
          <w:bCs/>
          <w:sz w:val="28"/>
          <w:szCs w:val="28"/>
          <w:lang w:val="es-ES_tradnl"/>
        </w:rPr>
        <w:t>valoración</w:t>
      </w:r>
      <w:r w:rsidRPr="004571E5">
        <w:rPr>
          <w:rFonts w:ascii="Times New Roman" w:hAnsi="Times New Roman" w:cs="Times New Roman"/>
          <w:bCs/>
          <w:sz w:val="28"/>
          <w:szCs w:val="28"/>
          <w:lang w:val="es-ES_tradnl"/>
        </w:rPr>
        <w:t xml:space="preserve"> probatoria tuvo como efecto inevitable la configuración de un defecto fáctico, en tanto las conclusiones probatorias a las que arribó el Consejo de Estado se obtuvieron al margen las reglas fijadas en la jurisprudencia, tal y como se desprende de lo indicado anteriormente</w:t>
      </w:r>
      <w:r w:rsidR="00522296" w:rsidRPr="004571E5">
        <w:rPr>
          <w:rFonts w:ascii="Times New Roman" w:hAnsi="Times New Roman" w:cs="Times New Roman"/>
          <w:bCs/>
          <w:sz w:val="28"/>
          <w:szCs w:val="28"/>
          <w:lang w:val="es-ES_tradnl"/>
        </w:rPr>
        <w:t>. En particular, si la subsección accionada hubiese aplicado las reglas referidas en esta providencia, habría podido llegar a conclusiones diferentes sobre los elementos obrantes en el expediente. El desconocimiento del precedente, así</w:t>
      </w:r>
      <w:r w:rsidR="00F03AB7" w:rsidRPr="004571E5">
        <w:rPr>
          <w:rFonts w:ascii="Times New Roman" w:hAnsi="Times New Roman" w:cs="Times New Roman"/>
          <w:bCs/>
          <w:sz w:val="28"/>
          <w:szCs w:val="28"/>
          <w:lang w:val="es-ES_tradnl"/>
        </w:rPr>
        <w:t xml:space="preserve"> las cosas</w:t>
      </w:r>
      <w:r w:rsidR="00522296" w:rsidRPr="004571E5">
        <w:rPr>
          <w:rFonts w:ascii="Times New Roman" w:hAnsi="Times New Roman" w:cs="Times New Roman"/>
          <w:bCs/>
          <w:sz w:val="28"/>
          <w:szCs w:val="28"/>
          <w:lang w:val="es-ES_tradnl"/>
        </w:rPr>
        <w:t>, implicó un defecto fáctico porque llevó a que el expediente se valorara sin atención al estándar probatorio fijado en la reiterada jurisprudencia.</w:t>
      </w:r>
    </w:p>
    <w:p w14:paraId="6B908324" w14:textId="77777777" w:rsidR="00762AB3" w:rsidRPr="004571E5" w:rsidRDefault="00762AB3" w:rsidP="00762AB3">
      <w:pPr>
        <w:pStyle w:val="Prrafodelista"/>
        <w:spacing w:after="0" w:line="240" w:lineRule="auto"/>
        <w:ind w:left="0"/>
        <w:jc w:val="both"/>
        <w:rPr>
          <w:rFonts w:ascii="Times New Roman" w:hAnsi="Times New Roman" w:cs="Times New Roman"/>
          <w:bCs/>
          <w:sz w:val="28"/>
          <w:szCs w:val="28"/>
          <w:lang w:val="es-ES_tradnl"/>
        </w:rPr>
      </w:pPr>
    </w:p>
    <w:p w14:paraId="20611725" w14:textId="20360FB4" w:rsidR="00762AB3" w:rsidRPr="004571E5" w:rsidRDefault="00762AB3" w:rsidP="009638CA">
      <w:pPr>
        <w:pStyle w:val="Prrafodelista"/>
        <w:numPr>
          <w:ilvl w:val="0"/>
          <w:numId w:val="1"/>
        </w:numPr>
        <w:spacing w:after="0" w:line="240" w:lineRule="auto"/>
        <w:jc w:val="both"/>
        <w:rPr>
          <w:rFonts w:ascii="Times New Roman" w:hAnsi="Times New Roman" w:cs="Times New Roman"/>
          <w:bCs/>
          <w:sz w:val="28"/>
          <w:szCs w:val="28"/>
          <w:lang w:val="es-ES_tradnl"/>
        </w:rPr>
      </w:pPr>
      <w:r w:rsidRPr="004571E5">
        <w:rPr>
          <w:rFonts w:ascii="Times New Roman" w:hAnsi="Times New Roman" w:cs="Times New Roman"/>
          <w:bCs/>
          <w:sz w:val="28"/>
          <w:szCs w:val="28"/>
          <w:lang w:val="es-ES_tradnl"/>
        </w:rPr>
        <w:t xml:space="preserve">En particular, como se mostró en el acápite 4.3, la aplicación de las reglas sobre el estándar probatorio aplicable a estos casos permitía concluir, en general, que (i) los fallecidos no llevaban varios días delinquiendo en la zona, </w:t>
      </w:r>
      <w:r w:rsidRPr="004571E5">
        <w:rPr>
          <w:rFonts w:ascii="Times New Roman" w:hAnsi="Times New Roman" w:cs="Times New Roman"/>
          <w:bCs/>
          <w:sz w:val="28"/>
          <w:szCs w:val="28"/>
          <w:lang w:val="es-ES_tradnl"/>
        </w:rPr>
        <w:lastRenderedPageBreak/>
        <w:t>sino que se encontraban en Medellín; (</w:t>
      </w:r>
      <w:proofErr w:type="spellStart"/>
      <w:r w:rsidRPr="004571E5">
        <w:rPr>
          <w:rFonts w:ascii="Times New Roman" w:hAnsi="Times New Roman" w:cs="Times New Roman"/>
          <w:bCs/>
          <w:sz w:val="28"/>
          <w:szCs w:val="28"/>
          <w:lang w:val="es-ES_tradnl"/>
        </w:rPr>
        <w:t>ii</w:t>
      </w:r>
      <w:proofErr w:type="spellEnd"/>
      <w:r w:rsidRPr="004571E5">
        <w:rPr>
          <w:rFonts w:ascii="Times New Roman" w:hAnsi="Times New Roman" w:cs="Times New Roman"/>
          <w:bCs/>
          <w:sz w:val="28"/>
          <w:szCs w:val="28"/>
          <w:lang w:val="es-ES_tradnl"/>
        </w:rPr>
        <w:t>) los disparos sobre el fallecido se hicieron a una muy corta distancia; (</w:t>
      </w:r>
      <w:proofErr w:type="spellStart"/>
      <w:r w:rsidRPr="004571E5">
        <w:rPr>
          <w:rFonts w:ascii="Times New Roman" w:hAnsi="Times New Roman" w:cs="Times New Roman"/>
          <w:bCs/>
          <w:sz w:val="28"/>
          <w:szCs w:val="28"/>
          <w:lang w:val="es-ES_tradnl"/>
        </w:rPr>
        <w:t>iii</w:t>
      </w:r>
      <w:proofErr w:type="spellEnd"/>
      <w:r w:rsidRPr="004571E5">
        <w:rPr>
          <w:rFonts w:ascii="Times New Roman" w:hAnsi="Times New Roman" w:cs="Times New Roman"/>
          <w:bCs/>
          <w:sz w:val="28"/>
          <w:szCs w:val="28"/>
          <w:lang w:val="es-ES_tradnl"/>
        </w:rPr>
        <w:t xml:space="preserve">) se probaron hechos que corresponden </w:t>
      </w:r>
      <w:r w:rsidR="00F03AB7" w:rsidRPr="004571E5">
        <w:rPr>
          <w:rFonts w:ascii="Times New Roman" w:hAnsi="Times New Roman" w:cs="Times New Roman"/>
          <w:bCs/>
          <w:sz w:val="28"/>
          <w:szCs w:val="28"/>
          <w:lang w:val="es-ES_tradnl"/>
        </w:rPr>
        <w:t xml:space="preserve">a </w:t>
      </w:r>
      <w:r w:rsidRPr="004571E5">
        <w:rPr>
          <w:rFonts w:ascii="Times New Roman" w:hAnsi="Times New Roman" w:cs="Times New Roman"/>
          <w:bCs/>
          <w:sz w:val="28"/>
          <w:szCs w:val="28"/>
          <w:lang w:val="es-ES_tradnl"/>
        </w:rPr>
        <w:t>los patrones típicos de estas situaciones; y, adicionalmente, (</w:t>
      </w:r>
      <w:proofErr w:type="spellStart"/>
      <w:r w:rsidRPr="004571E5">
        <w:rPr>
          <w:rFonts w:ascii="Times New Roman" w:hAnsi="Times New Roman" w:cs="Times New Roman"/>
          <w:bCs/>
          <w:sz w:val="28"/>
          <w:szCs w:val="28"/>
          <w:lang w:val="es-ES_tradnl"/>
        </w:rPr>
        <w:t>iv</w:t>
      </w:r>
      <w:proofErr w:type="spellEnd"/>
      <w:r w:rsidRPr="004571E5">
        <w:rPr>
          <w:rFonts w:ascii="Times New Roman" w:hAnsi="Times New Roman" w:cs="Times New Roman"/>
          <w:bCs/>
          <w:sz w:val="28"/>
          <w:szCs w:val="28"/>
          <w:lang w:val="es-ES_tradnl"/>
        </w:rPr>
        <w:t>) no se consideró la aplicación de la regla según la cual “</w:t>
      </w:r>
      <w:r w:rsidRPr="004571E5">
        <w:rPr>
          <w:rFonts w:ascii="Times New Roman" w:hAnsi="Times New Roman" w:cs="Times New Roman"/>
          <w:sz w:val="28"/>
          <w:szCs w:val="28"/>
        </w:rPr>
        <w:t>le corresponde a la entidad demandada, que se encontraba en mejor posición, aportar los medios de convicción que desvirtúen las imputaciones de la demanda”</w:t>
      </w:r>
      <w:r w:rsidRPr="004571E5">
        <w:rPr>
          <w:rFonts w:ascii="Times New Roman" w:hAnsi="Times New Roman" w:cs="Times New Roman"/>
          <w:sz w:val="28"/>
          <w:szCs w:val="28"/>
          <w:vertAlign w:val="superscript"/>
        </w:rPr>
        <w:footnoteReference w:id="60"/>
      </w:r>
      <w:r w:rsidRPr="004571E5">
        <w:rPr>
          <w:rFonts w:ascii="Times New Roman" w:hAnsi="Times New Roman" w:cs="Times New Roman"/>
          <w:sz w:val="28"/>
          <w:szCs w:val="28"/>
        </w:rPr>
        <w:t>.</w:t>
      </w:r>
      <w:r w:rsidRPr="004571E5">
        <w:rPr>
          <w:rFonts w:ascii="Times New Roman" w:hAnsi="Times New Roman" w:cs="Times New Roman"/>
          <w:bCs/>
          <w:sz w:val="28"/>
          <w:szCs w:val="28"/>
          <w:lang w:val="es-ES_tradnl"/>
        </w:rPr>
        <w:t xml:space="preserve">  </w:t>
      </w:r>
    </w:p>
    <w:p w14:paraId="698C979E" w14:textId="77777777" w:rsidR="00C9125D" w:rsidRPr="004571E5" w:rsidRDefault="00C9125D" w:rsidP="00C9125D">
      <w:pPr>
        <w:pStyle w:val="Prrafodelista"/>
        <w:spacing w:line="240" w:lineRule="auto"/>
        <w:ind w:left="0"/>
        <w:jc w:val="both"/>
        <w:rPr>
          <w:rFonts w:ascii="Times New Roman" w:hAnsi="Times New Roman" w:cs="Times New Roman"/>
          <w:b/>
          <w:sz w:val="28"/>
          <w:szCs w:val="28"/>
          <w:lang w:val="es-ES_tradnl"/>
        </w:rPr>
      </w:pPr>
    </w:p>
    <w:p w14:paraId="553E92F9" w14:textId="5C87AFE7" w:rsidR="00D42FA8" w:rsidRPr="004571E5" w:rsidRDefault="00D42FA8" w:rsidP="00C9125D">
      <w:pPr>
        <w:pStyle w:val="Prrafodelista"/>
        <w:numPr>
          <w:ilvl w:val="2"/>
          <w:numId w:val="34"/>
        </w:numPr>
        <w:spacing w:line="240" w:lineRule="auto"/>
        <w:ind w:left="0" w:firstLine="0"/>
        <w:jc w:val="both"/>
        <w:rPr>
          <w:rFonts w:ascii="Times New Roman" w:hAnsi="Times New Roman" w:cs="Times New Roman"/>
          <w:b/>
          <w:sz w:val="28"/>
          <w:szCs w:val="28"/>
          <w:lang w:val="es-ES_tradnl"/>
        </w:rPr>
      </w:pPr>
      <w:r w:rsidRPr="004571E5">
        <w:rPr>
          <w:rFonts w:ascii="Times New Roman" w:hAnsi="Times New Roman" w:cs="Times New Roman"/>
          <w:b/>
          <w:bCs/>
          <w:sz w:val="28"/>
          <w:szCs w:val="28"/>
          <w:lang w:val="es-ES_tradnl"/>
        </w:rPr>
        <w:t>Violación directa de la Constitución por desconocimiento del derecho a la igualdad</w:t>
      </w:r>
    </w:p>
    <w:p w14:paraId="7C2D5CA4" w14:textId="77777777" w:rsidR="00D42FA8" w:rsidRPr="004571E5" w:rsidRDefault="00D42FA8">
      <w:pPr>
        <w:pStyle w:val="Prrafodelista"/>
        <w:spacing w:line="240" w:lineRule="auto"/>
        <w:ind w:left="0"/>
        <w:jc w:val="both"/>
        <w:rPr>
          <w:rFonts w:ascii="Times New Roman" w:hAnsi="Times New Roman" w:cs="Times New Roman"/>
          <w:sz w:val="28"/>
          <w:szCs w:val="28"/>
          <w:lang w:val="es-ES_tradnl"/>
        </w:rPr>
      </w:pPr>
    </w:p>
    <w:p w14:paraId="510B4CC3" w14:textId="77777777" w:rsidR="003C22B5" w:rsidRPr="004571E5" w:rsidRDefault="00B16166">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En la acción de tutela se reprochó que la subsección accionada haya arribado a una decisión diferente a la del Tribunal Administrativo de Antioquia respecto de los mismos hechos. Ello, por cuanto los familiares de los otros tres jóvenes fallecidos presentaron una demanda de reparación directa por separado y allí se reconoció la responsabilidad estatal.</w:t>
      </w:r>
      <w:r w:rsidR="005717DC" w:rsidRPr="004571E5">
        <w:rPr>
          <w:rFonts w:ascii="Times New Roman" w:hAnsi="Times New Roman" w:cs="Times New Roman"/>
          <w:sz w:val="28"/>
          <w:szCs w:val="28"/>
          <w:lang w:val="es-ES_tradnl"/>
        </w:rPr>
        <w:t xml:space="preserve"> </w:t>
      </w:r>
      <w:r w:rsidR="003C22B5" w:rsidRPr="004571E5">
        <w:rPr>
          <w:rFonts w:ascii="Times New Roman" w:hAnsi="Times New Roman" w:cs="Times New Roman"/>
          <w:sz w:val="28"/>
          <w:szCs w:val="28"/>
          <w:lang w:val="es-ES_tradnl"/>
        </w:rPr>
        <w:t xml:space="preserve">Esto exige, en el caso concreto, una valoración especial respecto del defecto de violación directa de la Constitución por desconocimiento del derecho a la igualdad. </w:t>
      </w:r>
    </w:p>
    <w:p w14:paraId="4D8A7163" w14:textId="77777777" w:rsidR="003C22B5" w:rsidRPr="004571E5" w:rsidRDefault="003C22B5" w:rsidP="003C22B5">
      <w:pPr>
        <w:pStyle w:val="Prrafodelista"/>
        <w:tabs>
          <w:tab w:val="left" w:pos="426"/>
        </w:tabs>
        <w:spacing w:after="0" w:line="240" w:lineRule="auto"/>
        <w:ind w:left="0"/>
        <w:jc w:val="both"/>
        <w:rPr>
          <w:rFonts w:ascii="Times New Roman" w:hAnsi="Times New Roman" w:cs="Times New Roman"/>
          <w:b/>
          <w:bCs/>
          <w:sz w:val="28"/>
          <w:szCs w:val="28"/>
          <w:lang w:val="es-ES_tradnl"/>
        </w:rPr>
      </w:pPr>
    </w:p>
    <w:p w14:paraId="532CB469" w14:textId="5728665D" w:rsidR="003C22B5" w:rsidRPr="004571E5" w:rsidRDefault="003C22B5" w:rsidP="003C22B5">
      <w:pPr>
        <w:numPr>
          <w:ilvl w:val="0"/>
          <w:numId w:val="1"/>
        </w:numPr>
        <w:tabs>
          <w:tab w:val="left" w:pos="426"/>
        </w:tabs>
        <w:spacing w:after="0" w:line="240" w:lineRule="auto"/>
        <w:jc w:val="both"/>
        <w:rPr>
          <w:rFonts w:ascii="Times New Roman" w:hAnsi="Times New Roman" w:cs="Times New Roman"/>
          <w:sz w:val="24"/>
          <w:szCs w:val="24"/>
        </w:rPr>
      </w:pPr>
      <w:r w:rsidRPr="004571E5">
        <w:rPr>
          <w:rFonts w:ascii="Times New Roman" w:hAnsi="Times New Roman" w:cs="Times New Roman"/>
          <w:sz w:val="28"/>
          <w:szCs w:val="28"/>
          <w:lang w:val="es-ES_tradnl"/>
        </w:rPr>
        <w:t xml:space="preserve">El reconocimiento del Estado colombiano como “Social y Democrático de Derecho” supone no solo deberes de garantizar </w:t>
      </w:r>
      <w:r w:rsidR="007D00CE" w:rsidRPr="004571E5">
        <w:rPr>
          <w:rFonts w:ascii="Times New Roman" w:hAnsi="Times New Roman" w:cs="Times New Roman"/>
          <w:sz w:val="28"/>
          <w:szCs w:val="28"/>
          <w:lang w:val="es-ES_tradnl"/>
        </w:rPr>
        <w:t xml:space="preserve">(i) </w:t>
      </w:r>
      <w:r w:rsidRPr="004571E5">
        <w:rPr>
          <w:rFonts w:ascii="Times New Roman" w:hAnsi="Times New Roman" w:cs="Times New Roman"/>
          <w:sz w:val="28"/>
          <w:szCs w:val="28"/>
          <w:lang w:val="es-ES_tradnl"/>
        </w:rPr>
        <w:t xml:space="preserve">las prestaciones que se requieren para asegurar una vida digna y </w:t>
      </w:r>
      <w:r w:rsidR="007D00CE" w:rsidRPr="004571E5">
        <w:rPr>
          <w:rFonts w:ascii="Times New Roman" w:hAnsi="Times New Roman" w:cs="Times New Roman"/>
          <w:sz w:val="28"/>
          <w:szCs w:val="28"/>
          <w:lang w:val="es-ES_tradnl"/>
        </w:rPr>
        <w:t>(</w:t>
      </w:r>
      <w:proofErr w:type="spellStart"/>
      <w:r w:rsidR="007D00CE" w:rsidRPr="004571E5">
        <w:rPr>
          <w:rFonts w:ascii="Times New Roman" w:hAnsi="Times New Roman" w:cs="Times New Roman"/>
          <w:sz w:val="28"/>
          <w:szCs w:val="28"/>
          <w:lang w:val="es-ES_tradnl"/>
        </w:rPr>
        <w:t>ii</w:t>
      </w:r>
      <w:proofErr w:type="spellEnd"/>
      <w:r w:rsidR="007D00CE" w:rsidRPr="004571E5">
        <w:rPr>
          <w:rFonts w:ascii="Times New Roman" w:hAnsi="Times New Roman" w:cs="Times New Roman"/>
          <w:sz w:val="28"/>
          <w:szCs w:val="28"/>
          <w:lang w:val="es-ES_tradnl"/>
        </w:rPr>
        <w:t xml:space="preserve">) </w:t>
      </w:r>
      <w:r w:rsidRPr="004571E5">
        <w:rPr>
          <w:rFonts w:ascii="Times New Roman" w:hAnsi="Times New Roman" w:cs="Times New Roman"/>
          <w:sz w:val="28"/>
          <w:szCs w:val="28"/>
          <w:lang w:val="es-ES_tradnl"/>
        </w:rPr>
        <w:t xml:space="preserve">la participación de los ciudadanos en las decisiones que los afectan. Implica también el compromiso de respetar el </w:t>
      </w:r>
      <w:r w:rsidR="007D00CE" w:rsidRPr="004571E5">
        <w:rPr>
          <w:rFonts w:ascii="Times New Roman" w:hAnsi="Times New Roman" w:cs="Times New Roman"/>
          <w:sz w:val="28"/>
          <w:szCs w:val="28"/>
          <w:lang w:val="es-ES_tradnl"/>
        </w:rPr>
        <w:t>D</w:t>
      </w:r>
      <w:r w:rsidRPr="004571E5">
        <w:rPr>
          <w:rFonts w:ascii="Times New Roman" w:hAnsi="Times New Roman" w:cs="Times New Roman"/>
          <w:sz w:val="28"/>
          <w:szCs w:val="28"/>
          <w:lang w:val="es-ES_tradnl"/>
        </w:rPr>
        <w:t xml:space="preserve">erecho. A ese deber de respeto, idea central en el constitucionalismo, se anuda un mandato de asegurar no solo niveles razonables de certidumbre jurídica que permitan el ejercicio de las libertades, sino también un grado mínimo de coherencia entre todos los componentes del ordenamiento. </w:t>
      </w:r>
    </w:p>
    <w:p w14:paraId="75120AFD" w14:textId="77777777" w:rsidR="003C22B5" w:rsidRPr="004571E5" w:rsidRDefault="003C22B5" w:rsidP="003C22B5">
      <w:pPr>
        <w:tabs>
          <w:tab w:val="left" w:pos="426"/>
        </w:tabs>
        <w:spacing w:after="0" w:line="240" w:lineRule="auto"/>
        <w:jc w:val="both"/>
        <w:rPr>
          <w:rFonts w:ascii="Times New Roman" w:hAnsi="Times New Roman" w:cs="Times New Roman"/>
          <w:sz w:val="24"/>
          <w:szCs w:val="24"/>
        </w:rPr>
      </w:pPr>
    </w:p>
    <w:p w14:paraId="503C8CDC" w14:textId="19B8BD73" w:rsidR="003C22B5" w:rsidRPr="004571E5" w:rsidRDefault="003C22B5" w:rsidP="003C22B5">
      <w:pPr>
        <w:numPr>
          <w:ilvl w:val="0"/>
          <w:numId w:val="1"/>
        </w:numPr>
        <w:tabs>
          <w:tab w:val="left" w:pos="426"/>
        </w:tabs>
        <w:spacing w:after="0" w:line="240" w:lineRule="auto"/>
        <w:jc w:val="both"/>
        <w:rPr>
          <w:rFonts w:ascii="Times New Roman" w:hAnsi="Times New Roman" w:cs="Times New Roman"/>
          <w:sz w:val="24"/>
          <w:szCs w:val="24"/>
        </w:rPr>
      </w:pPr>
      <w:r w:rsidRPr="004571E5">
        <w:rPr>
          <w:rFonts w:ascii="Times New Roman" w:hAnsi="Times New Roman" w:cs="Times New Roman"/>
          <w:sz w:val="28"/>
          <w:szCs w:val="28"/>
          <w:lang w:val="es-ES_tradnl"/>
        </w:rPr>
        <w:t>Si las normas que rigen la conducta de las personas y de las autoridades no son predecibles o si los componentes del sistema jurídico entran en colisión permanente, de modo que no es posible identificar las reglas que rigen la solución de los conflictos en cada caso, se afectaría el reconocimiento de Colombia como un Estado de Derecho. Bajo esa perspectiva, la Corte Constitucional ha señalado que la afirmación de que el ordenamiento jurídico es un sistema “</w:t>
      </w:r>
      <w:r w:rsidRPr="004571E5">
        <w:rPr>
          <w:rFonts w:ascii="Times New Roman" w:hAnsi="Times New Roman" w:cs="Times New Roman"/>
          <w:sz w:val="28"/>
          <w:szCs w:val="28"/>
        </w:rPr>
        <w:t>garantiza su coherencia interna”</w:t>
      </w:r>
      <w:r w:rsidRPr="004571E5">
        <w:rPr>
          <w:rStyle w:val="Refdenotaalpie"/>
          <w:rFonts w:ascii="Times New Roman" w:hAnsi="Times New Roman" w:cs="Times New Roman"/>
          <w:sz w:val="28"/>
          <w:szCs w:val="28"/>
        </w:rPr>
        <w:footnoteReference w:id="61"/>
      </w:r>
      <w:r w:rsidRPr="004571E5">
        <w:rPr>
          <w:rFonts w:ascii="Times New Roman" w:hAnsi="Times New Roman" w:cs="Times New Roman"/>
          <w:sz w:val="28"/>
          <w:szCs w:val="28"/>
          <w:lang w:val="es-ES_tradnl"/>
        </w:rPr>
        <w:t xml:space="preserve"> de manera que la “</w:t>
      </w:r>
      <w:r w:rsidRPr="004571E5">
        <w:rPr>
          <w:rFonts w:ascii="Times New Roman" w:hAnsi="Times New Roman" w:cs="Times New Roman"/>
          <w:sz w:val="28"/>
          <w:szCs w:val="28"/>
        </w:rPr>
        <w:t>finalidad de esta armonía explícitamente buscada, no es otra que la de establecer un orden que permita regular conforme a un mismo sistema axiológico, las distintas situaciones de hecho llamadas a ser normadas por el ordenamiento jurídico”</w:t>
      </w:r>
      <w:r w:rsidRPr="004571E5">
        <w:rPr>
          <w:rStyle w:val="Refdenotaalpie"/>
          <w:rFonts w:ascii="Times New Roman" w:hAnsi="Times New Roman" w:cs="Times New Roman"/>
          <w:sz w:val="28"/>
          <w:szCs w:val="28"/>
        </w:rPr>
        <w:footnoteReference w:id="62"/>
      </w:r>
      <w:r w:rsidRPr="004571E5">
        <w:rPr>
          <w:rFonts w:ascii="Times New Roman" w:hAnsi="Times New Roman" w:cs="Times New Roman"/>
          <w:sz w:val="28"/>
          <w:szCs w:val="28"/>
        </w:rPr>
        <w:t>.</w:t>
      </w:r>
    </w:p>
    <w:p w14:paraId="4931E71D" w14:textId="77777777" w:rsidR="00230C37" w:rsidRPr="004571E5" w:rsidRDefault="00230C37" w:rsidP="00230C37">
      <w:pPr>
        <w:pStyle w:val="Prrafodelista"/>
        <w:rPr>
          <w:rFonts w:ascii="Times New Roman" w:hAnsi="Times New Roman" w:cs="Times New Roman"/>
          <w:sz w:val="24"/>
          <w:szCs w:val="24"/>
        </w:rPr>
      </w:pPr>
    </w:p>
    <w:p w14:paraId="5FC7A01A" w14:textId="0CBC8A7D" w:rsidR="00230C37" w:rsidRPr="004571E5" w:rsidRDefault="00230C37" w:rsidP="00EF23D5">
      <w:pPr>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 xml:space="preserve">En esta dirección, </w:t>
      </w:r>
      <w:r w:rsidR="007440DE" w:rsidRPr="004571E5">
        <w:rPr>
          <w:rFonts w:ascii="Times New Roman" w:hAnsi="Times New Roman" w:cs="Times New Roman"/>
          <w:sz w:val="28"/>
          <w:szCs w:val="28"/>
        </w:rPr>
        <w:t>en la Sentencia T-698 de 2004 la Corte señaló que la contradicción en sede judicial podía afectar importantes garantías como el derecho a la igualdad y la seguridad jurídica. Sostuvo la Corte:</w:t>
      </w:r>
    </w:p>
    <w:p w14:paraId="0C2DDCE1" w14:textId="77777777" w:rsidR="007440DE" w:rsidRPr="004571E5" w:rsidRDefault="007440DE" w:rsidP="007440DE">
      <w:pPr>
        <w:tabs>
          <w:tab w:val="left" w:pos="426"/>
        </w:tabs>
        <w:spacing w:after="0" w:line="240" w:lineRule="auto"/>
        <w:jc w:val="both"/>
        <w:rPr>
          <w:rFonts w:ascii="Times New Roman" w:hAnsi="Times New Roman" w:cs="Times New Roman"/>
          <w:sz w:val="28"/>
          <w:szCs w:val="28"/>
        </w:rPr>
      </w:pPr>
    </w:p>
    <w:p w14:paraId="5479CD59" w14:textId="65A31BF7" w:rsidR="00230C37" w:rsidRPr="004571E5" w:rsidRDefault="00230C37" w:rsidP="00230C37">
      <w:pPr>
        <w:tabs>
          <w:tab w:val="left" w:pos="426"/>
        </w:tabs>
        <w:spacing w:after="0" w:line="240" w:lineRule="auto"/>
        <w:ind w:left="426"/>
        <w:jc w:val="both"/>
        <w:rPr>
          <w:rFonts w:ascii="Times New Roman" w:hAnsi="Times New Roman" w:cs="Times New Roman"/>
          <w:sz w:val="24"/>
          <w:szCs w:val="24"/>
        </w:rPr>
      </w:pPr>
      <w:r w:rsidRPr="004571E5">
        <w:rPr>
          <w:rFonts w:ascii="Times New Roman" w:hAnsi="Times New Roman" w:cs="Times New Roman"/>
          <w:sz w:val="24"/>
          <w:szCs w:val="24"/>
        </w:rPr>
        <w:t xml:space="preserve">“Este fenómeno de la contradicción en sede judicial, a pesar de que se considere por algunos como una reflexión meramente fútil o parte de un anecdotario judicial, es en realidad una circunstancia grave para una comunidad que se precia de buscar la seguridad jurídica. No debe olvidarse </w:t>
      </w:r>
      <w:proofErr w:type="gramStart"/>
      <w:r w:rsidRPr="004571E5">
        <w:rPr>
          <w:rFonts w:ascii="Times New Roman" w:hAnsi="Times New Roman" w:cs="Times New Roman"/>
          <w:sz w:val="24"/>
          <w:szCs w:val="24"/>
        </w:rPr>
        <w:t>que</w:t>
      </w:r>
      <w:proofErr w:type="gramEnd"/>
      <w:r w:rsidRPr="004571E5">
        <w:rPr>
          <w:rFonts w:ascii="Times New Roman" w:hAnsi="Times New Roman" w:cs="Times New Roman"/>
          <w:sz w:val="24"/>
          <w:szCs w:val="24"/>
        </w:rPr>
        <w:t xml:space="preserve"> de los fallos judiciales superiores, dependerán evidentemente otras definiciones judiciales en otras instancias, al igual que el “estado del arte” sobre un tema específico o sobre la aplicación normativa en casos concretos, aspectos que involucra no sólo a las partes, sino a los jueces inferiores, los demás operadores jurídicos, los litigantes, la doctrina e incluso la jurisprudencia futura de un </w:t>
      </w:r>
      <w:r w:rsidRPr="004571E5">
        <w:rPr>
          <w:rFonts w:ascii="Times New Roman" w:hAnsi="Times New Roman" w:cs="Times New Roman"/>
          <w:sz w:val="24"/>
          <w:szCs w:val="24"/>
        </w:rPr>
        <w:lastRenderedPageBreak/>
        <w:t>organismo judicial. Es decir, los fallos de las autoridades llamadas a asegurar la protección de los derechos de las personas, o llamadas a definir la interpretación normativa para casos concretos, delimitan parte del engranaje del ordenamiento jurídico. De allí que, sentencias contradictorias de las autoridades judiciales en circunstancias en que aparentemente debería darse un trato igualitario, generan indefinición en elementos del ordenamiento y favorecen la contradicción o el desconocimiento del derecho a la igualdad de los asociados”.</w:t>
      </w:r>
    </w:p>
    <w:p w14:paraId="3DF4C4FD" w14:textId="77777777" w:rsidR="003C22B5" w:rsidRPr="004571E5" w:rsidRDefault="003C22B5" w:rsidP="003C22B5">
      <w:pPr>
        <w:tabs>
          <w:tab w:val="left" w:pos="426"/>
        </w:tabs>
        <w:spacing w:after="0" w:line="240" w:lineRule="auto"/>
        <w:jc w:val="both"/>
        <w:rPr>
          <w:rFonts w:ascii="Times New Roman" w:hAnsi="Times New Roman" w:cs="Times New Roman"/>
          <w:sz w:val="24"/>
          <w:szCs w:val="24"/>
        </w:rPr>
      </w:pPr>
    </w:p>
    <w:p w14:paraId="084670EB" w14:textId="58E86FE7" w:rsidR="007440DE" w:rsidRPr="004571E5" w:rsidRDefault="007440DE" w:rsidP="003C22B5">
      <w:pPr>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Esta circunstancia, además, ha llevado a que la Corte indique que las sentencias contradictorias afectan los derechos de las víctimas a la reparación. Por ejemplo, en la Sentencia T-655 de 2015 esta Corporación analizó si los derechos de una víctima de la masacre de Santo Domingo se afectaban pues en dos procesos judiciales se habían identificado diferentes responsables -las FARC en uno y el Estado en otro-. Sobre ello, la Corte sostuvo:</w:t>
      </w:r>
    </w:p>
    <w:p w14:paraId="4A696A22" w14:textId="77777777" w:rsidR="007440DE" w:rsidRPr="004571E5" w:rsidRDefault="007440DE" w:rsidP="007440DE">
      <w:pPr>
        <w:tabs>
          <w:tab w:val="left" w:pos="426"/>
        </w:tabs>
        <w:spacing w:after="0" w:line="240" w:lineRule="auto"/>
        <w:jc w:val="both"/>
        <w:rPr>
          <w:rFonts w:ascii="Times New Roman" w:hAnsi="Times New Roman" w:cs="Times New Roman"/>
          <w:sz w:val="28"/>
          <w:szCs w:val="28"/>
        </w:rPr>
      </w:pPr>
    </w:p>
    <w:p w14:paraId="70858DBB" w14:textId="6972F35E" w:rsidR="007440DE" w:rsidRPr="004571E5" w:rsidRDefault="007440DE" w:rsidP="007440DE">
      <w:pPr>
        <w:tabs>
          <w:tab w:val="left" w:pos="426"/>
        </w:tabs>
        <w:spacing w:after="0" w:line="240" w:lineRule="auto"/>
        <w:ind w:left="426"/>
        <w:jc w:val="both"/>
        <w:rPr>
          <w:rFonts w:ascii="Times New Roman" w:hAnsi="Times New Roman" w:cs="Times New Roman"/>
          <w:sz w:val="28"/>
          <w:szCs w:val="28"/>
        </w:rPr>
      </w:pPr>
      <w:r w:rsidRPr="004571E5">
        <w:rPr>
          <w:rFonts w:ascii="Times New Roman" w:hAnsi="Times New Roman" w:cs="Times New Roman"/>
          <w:sz w:val="28"/>
          <w:szCs w:val="28"/>
        </w:rPr>
        <w:t>“</w:t>
      </w:r>
      <w:r w:rsidRPr="004571E5">
        <w:rPr>
          <w:rFonts w:ascii="Times New Roman" w:hAnsi="Times New Roman" w:cs="Times New Roman"/>
          <w:sz w:val="24"/>
          <w:szCs w:val="24"/>
        </w:rPr>
        <w:t xml:space="preserve">[A] la actora sí se le violaron sus derechos fundamentales en cuanto la sentencia que se dictó en ese proceso [contra las FARC] perturba e impide la realización de sus garantías en la otra actuación, en la que el Estado tenía y tiene la responsabilidad de esclarecer lo ocurrido. En tanto afectada con un delito, la garantía de la verdad implica que la víctima tiene derecho a que la reconstrucción de lo sucedido, que ha sido progresivamente elaborada con su activa participación, con su narración y sus afirmaciones y ha alcanzado sentencias condenatorias, no sea enrarecida ni enturbiada con otras versiones de lo ocurrido, ni siquiera con una hipótesis judicial diferente de los hechos, pues justamente el Estado tiene la obligación de hacer coincidir la verdad procesal con la verdad histórica y de que no hayan </w:t>
      </w:r>
      <w:r w:rsidR="00081E3F" w:rsidRPr="004571E5">
        <w:rPr>
          <w:rFonts w:ascii="Times New Roman" w:hAnsi="Times New Roman" w:cs="Times New Roman"/>
          <w:sz w:val="24"/>
          <w:szCs w:val="24"/>
        </w:rPr>
        <w:t>‘</w:t>
      </w:r>
      <w:r w:rsidRPr="004571E5">
        <w:rPr>
          <w:rFonts w:ascii="Times New Roman" w:hAnsi="Times New Roman" w:cs="Times New Roman"/>
          <w:sz w:val="24"/>
          <w:szCs w:val="24"/>
        </w:rPr>
        <w:t>varias versiones</w:t>
      </w:r>
      <w:r w:rsidR="00081E3F" w:rsidRPr="004571E5">
        <w:rPr>
          <w:rFonts w:ascii="Times New Roman" w:hAnsi="Times New Roman" w:cs="Times New Roman"/>
          <w:sz w:val="24"/>
          <w:szCs w:val="24"/>
        </w:rPr>
        <w:t xml:space="preserve">’ </w:t>
      </w:r>
      <w:r w:rsidRPr="004571E5">
        <w:rPr>
          <w:rFonts w:ascii="Times New Roman" w:hAnsi="Times New Roman" w:cs="Times New Roman"/>
          <w:sz w:val="24"/>
          <w:szCs w:val="24"/>
        </w:rPr>
        <w:t>contrapuestas de los hechos</w:t>
      </w:r>
      <w:r w:rsidRPr="004571E5">
        <w:rPr>
          <w:rFonts w:ascii="Times New Roman" w:hAnsi="Times New Roman" w:cs="Times New Roman"/>
          <w:sz w:val="28"/>
          <w:szCs w:val="28"/>
        </w:rPr>
        <w:t>”.</w:t>
      </w:r>
    </w:p>
    <w:p w14:paraId="3095A88B" w14:textId="77777777" w:rsidR="007440DE" w:rsidRPr="004571E5" w:rsidRDefault="007440DE" w:rsidP="007440DE">
      <w:pPr>
        <w:tabs>
          <w:tab w:val="left" w:pos="426"/>
        </w:tabs>
        <w:spacing w:after="0" w:line="240" w:lineRule="auto"/>
        <w:jc w:val="both"/>
        <w:rPr>
          <w:rFonts w:ascii="Times New Roman" w:hAnsi="Times New Roman" w:cs="Times New Roman"/>
          <w:sz w:val="24"/>
          <w:szCs w:val="24"/>
        </w:rPr>
      </w:pPr>
    </w:p>
    <w:p w14:paraId="7235FB6B" w14:textId="1801632D" w:rsidR="003C22B5" w:rsidRPr="004571E5" w:rsidRDefault="003C22B5" w:rsidP="003C22B5">
      <w:pPr>
        <w:numPr>
          <w:ilvl w:val="0"/>
          <w:numId w:val="1"/>
        </w:numPr>
        <w:tabs>
          <w:tab w:val="left" w:pos="426"/>
        </w:tabs>
        <w:spacing w:after="0" w:line="240" w:lineRule="auto"/>
        <w:jc w:val="both"/>
        <w:rPr>
          <w:rFonts w:ascii="Times New Roman" w:hAnsi="Times New Roman" w:cs="Times New Roman"/>
          <w:sz w:val="24"/>
          <w:szCs w:val="24"/>
        </w:rPr>
      </w:pPr>
      <w:r w:rsidRPr="004571E5">
        <w:rPr>
          <w:rFonts w:ascii="Times New Roman" w:hAnsi="Times New Roman" w:cs="Times New Roman"/>
          <w:sz w:val="28"/>
          <w:szCs w:val="28"/>
          <w:lang w:val="es-ES_tradnl"/>
        </w:rPr>
        <w:t>Con fundamento en este punto de partida, el ordenamiento jurídico ha establecido un conjunto de instrumentos encaminados a realizar los fines en los que se asienta el Estado de Derecho. En esa dirección</w:t>
      </w:r>
      <w:r w:rsidR="007D00CE" w:rsidRPr="004571E5">
        <w:rPr>
          <w:rFonts w:ascii="Times New Roman" w:hAnsi="Times New Roman" w:cs="Times New Roman"/>
          <w:sz w:val="28"/>
          <w:szCs w:val="28"/>
          <w:lang w:val="es-ES_tradnl"/>
        </w:rPr>
        <w:t>,</w:t>
      </w:r>
      <w:r w:rsidRPr="004571E5">
        <w:rPr>
          <w:rFonts w:ascii="Times New Roman" w:hAnsi="Times New Roman" w:cs="Times New Roman"/>
          <w:sz w:val="28"/>
          <w:szCs w:val="28"/>
          <w:lang w:val="es-ES_tradnl"/>
        </w:rPr>
        <w:t xml:space="preserve"> </w:t>
      </w:r>
      <w:r w:rsidRPr="004571E5">
        <w:rPr>
          <w:rFonts w:ascii="Times New Roman" w:hAnsi="Times New Roman" w:cs="Times New Roman"/>
          <w:sz w:val="28"/>
          <w:szCs w:val="28"/>
        </w:rPr>
        <w:t>el ordenamiento prevé cláusulas que definen la jerarquía normativa</w:t>
      </w:r>
      <w:r w:rsidRPr="004571E5">
        <w:rPr>
          <w:rStyle w:val="Refdenotaalpie"/>
          <w:rFonts w:ascii="Times New Roman" w:hAnsi="Times New Roman" w:cs="Times New Roman"/>
          <w:sz w:val="28"/>
          <w:szCs w:val="28"/>
        </w:rPr>
        <w:footnoteReference w:id="63"/>
      </w:r>
      <w:r w:rsidRPr="004571E5">
        <w:rPr>
          <w:rFonts w:ascii="Times New Roman" w:hAnsi="Times New Roman" w:cs="Times New Roman"/>
          <w:sz w:val="28"/>
          <w:szCs w:val="28"/>
        </w:rPr>
        <w:t>, que reconocen la supremacía constitucional</w:t>
      </w:r>
      <w:r w:rsidRPr="004571E5">
        <w:rPr>
          <w:rStyle w:val="Refdenotaalpie"/>
          <w:rFonts w:ascii="Times New Roman" w:hAnsi="Times New Roman" w:cs="Times New Roman"/>
          <w:sz w:val="28"/>
          <w:szCs w:val="28"/>
        </w:rPr>
        <w:footnoteReference w:id="64"/>
      </w:r>
      <w:r w:rsidRPr="004571E5">
        <w:rPr>
          <w:rFonts w:ascii="Times New Roman" w:hAnsi="Times New Roman" w:cs="Times New Roman"/>
          <w:sz w:val="28"/>
          <w:szCs w:val="28"/>
        </w:rPr>
        <w:t>, que establecen el carácter vinculante del precedente vertical y horizontal</w:t>
      </w:r>
      <w:r w:rsidRPr="004571E5">
        <w:rPr>
          <w:rStyle w:val="Refdenotaalpie"/>
          <w:rFonts w:ascii="Times New Roman" w:hAnsi="Times New Roman" w:cs="Times New Roman"/>
          <w:sz w:val="28"/>
          <w:szCs w:val="28"/>
        </w:rPr>
        <w:footnoteReference w:id="65"/>
      </w:r>
      <w:r w:rsidRPr="004571E5">
        <w:rPr>
          <w:rFonts w:ascii="Times New Roman" w:hAnsi="Times New Roman" w:cs="Times New Roman"/>
          <w:sz w:val="28"/>
          <w:szCs w:val="28"/>
        </w:rPr>
        <w:t xml:space="preserve"> así como del </w:t>
      </w:r>
      <w:r w:rsidR="00D53781" w:rsidRPr="004571E5">
        <w:rPr>
          <w:rFonts w:ascii="Times New Roman" w:hAnsi="Times New Roman" w:cs="Times New Roman"/>
          <w:sz w:val="28"/>
          <w:szCs w:val="28"/>
        </w:rPr>
        <w:t xml:space="preserve">precedente de la Corte Constitucional </w:t>
      </w:r>
      <w:r w:rsidRPr="004571E5">
        <w:rPr>
          <w:rFonts w:ascii="Times New Roman" w:hAnsi="Times New Roman" w:cs="Times New Roman"/>
          <w:sz w:val="28"/>
          <w:szCs w:val="28"/>
        </w:rPr>
        <w:t>en particular</w:t>
      </w:r>
      <w:r w:rsidRPr="004571E5">
        <w:rPr>
          <w:rStyle w:val="Refdenotaalpie"/>
          <w:rFonts w:ascii="Times New Roman" w:hAnsi="Times New Roman" w:cs="Times New Roman"/>
          <w:sz w:val="28"/>
          <w:szCs w:val="28"/>
        </w:rPr>
        <w:footnoteReference w:id="66"/>
      </w:r>
      <w:r w:rsidRPr="004571E5">
        <w:rPr>
          <w:rFonts w:ascii="Times New Roman" w:hAnsi="Times New Roman" w:cs="Times New Roman"/>
          <w:sz w:val="28"/>
          <w:szCs w:val="28"/>
        </w:rPr>
        <w:t xml:space="preserve">. Estas formas de asegurar la coherencia en el </w:t>
      </w:r>
      <w:proofErr w:type="gramStart"/>
      <w:r w:rsidRPr="004571E5">
        <w:rPr>
          <w:rFonts w:ascii="Times New Roman" w:hAnsi="Times New Roman" w:cs="Times New Roman"/>
          <w:sz w:val="28"/>
          <w:szCs w:val="28"/>
        </w:rPr>
        <w:t>sistema,</w:t>
      </w:r>
      <w:proofErr w:type="gramEnd"/>
      <w:r w:rsidRPr="004571E5">
        <w:rPr>
          <w:rFonts w:ascii="Times New Roman" w:hAnsi="Times New Roman" w:cs="Times New Roman"/>
          <w:sz w:val="28"/>
          <w:szCs w:val="28"/>
        </w:rPr>
        <w:t xml:space="preserve"> se encuentran enlazadas con fórmulas específicas que permiten a todas las autoridades, en especial a las judiciales, interpretar las disposiciones que integran el ordenamiento, superar lagunas o enfrentar contradicciones normativas.  </w:t>
      </w:r>
    </w:p>
    <w:p w14:paraId="1BFB2C16" w14:textId="77777777" w:rsidR="003C22B5" w:rsidRPr="004571E5" w:rsidRDefault="003C22B5" w:rsidP="003C22B5">
      <w:pPr>
        <w:tabs>
          <w:tab w:val="left" w:pos="426"/>
        </w:tabs>
        <w:spacing w:after="0" w:line="240" w:lineRule="auto"/>
        <w:jc w:val="both"/>
        <w:rPr>
          <w:rFonts w:ascii="Times New Roman" w:hAnsi="Times New Roman" w:cs="Times New Roman"/>
          <w:sz w:val="24"/>
          <w:szCs w:val="24"/>
        </w:rPr>
      </w:pPr>
    </w:p>
    <w:p w14:paraId="0DD71758" w14:textId="77777777" w:rsidR="003C22B5" w:rsidRPr="004571E5" w:rsidRDefault="003C22B5" w:rsidP="003C22B5">
      <w:pPr>
        <w:numPr>
          <w:ilvl w:val="0"/>
          <w:numId w:val="1"/>
        </w:numPr>
        <w:tabs>
          <w:tab w:val="left" w:pos="426"/>
        </w:tabs>
        <w:spacing w:after="0" w:line="240" w:lineRule="auto"/>
        <w:jc w:val="both"/>
        <w:rPr>
          <w:rFonts w:ascii="Times New Roman" w:hAnsi="Times New Roman" w:cs="Times New Roman"/>
          <w:sz w:val="24"/>
          <w:szCs w:val="24"/>
        </w:rPr>
      </w:pPr>
      <w:r w:rsidRPr="004571E5">
        <w:rPr>
          <w:rFonts w:ascii="Times New Roman" w:hAnsi="Times New Roman" w:cs="Times New Roman"/>
          <w:sz w:val="28"/>
          <w:szCs w:val="28"/>
        </w:rPr>
        <w:t xml:space="preserve">Este conjunto de instrumentos se vincula de forma estrecha con el mandato que impone a las autoridades ofrecer un trato igual a todas las personas cuando no existan razones que justifiquen un trato diferente. Esa carga a favor de la </w:t>
      </w:r>
      <w:r w:rsidRPr="004571E5">
        <w:rPr>
          <w:rFonts w:ascii="Times New Roman" w:hAnsi="Times New Roman" w:cs="Times New Roman"/>
          <w:sz w:val="28"/>
          <w:szCs w:val="28"/>
        </w:rPr>
        <w:lastRenderedPageBreak/>
        <w:t xml:space="preserve">igualdad es una manifestación de la igual sujeción de todas las personas a la ley y, en esa dirección, el ordenamiento debe procurar el igual trato entre situaciones, grupos o personas que, en lo relevante, sean comparables. </w:t>
      </w:r>
    </w:p>
    <w:p w14:paraId="0FA74C29" w14:textId="77777777" w:rsidR="003C22B5" w:rsidRPr="004571E5" w:rsidRDefault="003C22B5" w:rsidP="003C22B5">
      <w:pPr>
        <w:tabs>
          <w:tab w:val="left" w:pos="426"/>
        </w:tabs>
        <w:spacing w:after="0" w:line="240" w:lineRule="auto"/>
        <w:jc w:val="both"/>
        <w:rPr>
          <w:rFonts w:ascii="Times New Roman" w:hAnsi="Times New Roman" w:cs="Times New Roman"/>
          <w:sz w:val="24"/>
          <w:szCs w:val="24"/>
        </w:rPr>
      </w:pPr>
    </w:p>
    <w:p w14:paraId="2021756C" w14:textId="168F8E95" w:rsidR="003C22B5" w:rsidRPr="004571E5" w:rsidRDefault="003C22B5" w:rsidP="003C22B5">
      <w:pPr>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El ejercicio de la función jurisdiccional se encuentra sujeta al mandato de trato igual y</w:t>
      </w:r>
      <w:r w:rsidR="007D00CE" w:rsidRPr="004571E5">
        <w:rPr>
          <w:rFonts w:ascii="Times New Roman" w:hAnsi="Times New Roman" w:cs="Times New Roman"/>
          <w:sz w:val="28"/>
          <w:szCs w:val="28"/>
        </w:rPr>
        <w:t>,</w:t>
      </w:r>
      <w:r w:rsidRPr="004571E5">
        <w:rPr>
          <w:rFonts w:ascii="Times New Roman" w:hAnsi="Times New Roman" w:cs="Times New Roman"/>
          <w:sz w:val="28"/>
          <w:szCs w:val="28"/>
        </w:rPr>
        <w:t xml:space="preserve"> es por ello</w:t>
      </w:r>
      <w:r w:rsidR="007D00CE" w:rsidRPr="004571E5">
        <w:rPr>
          <w:rFonts w:ascii="Times New Roman" w:hAnsi="Times New Roman" w:cs="Times New Roman"/>
          <w:sz w:val="28"/>
          <w:szCs w:val="28"/>
        </w:rPr>
        <w:t>,</w:t>
      </w:r>
      <w:r w:rsidRPr="004571E5">
        <w:rPr>
          <w:rFonts w:ascii="Times New Roman" w:hAnsi="Times New Roman" w:cs="Times New Roman"/>
          <w:sz w:val="28"/>
          <w:szCs w:val="28"/>
        </w:rPr>
        <w:t xml:space="preserve"> que la jurisprudencia constitucional ha reconocido la fuerza vinculante del precedente</w:t>
      </w:r>
      <w:r w:rsidR="007D00CE" w:rsidRPr="004571E5">
        <w:rPr>
          <w:rFonts w:ascii="Times New Roman" w:hAnsi="Times New Roman" w:cs="Times New Roman"/>
          <w:sz w:val="28"/>
          <w:szCs w:val="28"/>
        </w:rPr>
        <w:t>. Esa fuerza impone</w:t>
      </w:r>
      <w:r w:rsidRPr="004571E5">
        <w:rPr>
          <w:rFonts w:ascii="Times New Roman" w:hAnsi="Times New Roman" w:cs="Times New Roman"/>
          <w:sz w:val="28"/>
          <w:szCs w:val="28"/>
        </w:rPr>
        <w:t xml:space="preserve">, como obligación </w:t>
      </w:r>
      <w:r w:rsidRPr="004571E5">
        <w:rPr>
          <w:rFonts w:ascii="Times New Roman" w:hAnsi="Times New Roman" w:cs="Times New Roman"/>
          <w:i/>
          <w:sz w:val="28"/>
          <w:szCs w:val="28"/>
        </w:rPr>
        <w:t>prima facie</w:t>
      </w:r>
      <w:r w:rsidRPr="004571E5">
        <w:rPr>
          <w:rFonts w:ascii="Times New Roman" w:hAnsi="Times New Roman" w:cs="Times New Roman"/>
          <w:sz w:val="28"/>
          <w:szCs w:val="28"/>
        </w:rPr>
        <w:t xml:space="preserve">, seguir la regla de decisión establecida previamente al resolver un problema que es, desde el punto de vista fáctico y jurídico, equivalente. En </w:t>
      </w:r>
      <w:r w:rsidR="007D00CE" w:rsidRPr="004571E5">
        <w:rPr>
          <w:rFonts w:ascii="Times New Roman" w:hAnsi="Times New Roman" w:cs="Times New Roman"/>
          <w:sz w:val="28"/>
          <w:szCs w:val="28"/>
        </w:rPr>
        <w:t>todo caso y</w:t>
      </w:r>
      <w:r w:rsidRPr="004571E5">
        <w:rPr>
          <w:rFonts w:ascii="Times New Roman" w:hAnsi="Times New Roman" w:cs="Times New Roman"/>
          <w:sz w:val="28"/>
          <w:szCs w:val="28"/>
        </w:rPr>
        <w:t xml:space="preserve"> aunque existe</w:t>
      </w:r>
      <w:r w:rsidR="007D00CE" w:rsidRPr="004571E5">
        <w:rPr>
          <w:rFonts w:ascii="Times New Roman" w:hAnsi="Times New Roman" w:cs="Times New Roman"/>
          <w:sz w:val="28"/>
          <w:szCs w:val="28"/>
        </w:rPr>
        <w:t xml:space="preserve"> un deber de</w:t>
      </w:r>
      <w:r w:rsidRPr="004571E5">
        <w:rPr>
          <w:rFonts w:ascii="Times New Roman" w:hAnsi="Times New Roman" w:cs="Times New Roman"/>
          <w:sz w:val="28"/>
          <w:szCs w:val="28"/>
        </w:rPr>
        <w:t xml:space="preserve"> segui</w:t>
      </w:r>
      <w:r w:rsidR="007D00CE" w:rsidRPr="004571E5">
        <w:rPr>
          <w:rFonts w:ascii="Times New Roman" w:hAnsi="Times New Roman" w:cs="Times New Roman"/>
          <w:sz w:val="28"/>
          <w:szCs w:val="28"/>
        </w:rPr>
        <w:t>rlo,</w:t>
      </w:r>
      <w:r w:rsidRPr="004571E5">
        <w:rPr>
          <w:rFonts w:ascii="Times New Roman" w:hAnsi="Times New Roman" w:cs="Times New Roman"/>
          <w:sz w:val="28"/>
          <w:szCs w:val="28"/>
        </w:rPr>
        <w:t xml:space="preserve"> es posible separarse del mismo cumpliendo la doble carga de transparencia y argumentación</w:t>
      </w:r>
      <w:r w:rsidR="007D00CE" w:rsidRPr="004571E5">
        <w:rPr>
          <w:rFonts w:ascii="Times New Roman" w:hAnsi="Times New Roman" w:cs="Times New Roman"/>
          <w:sz w:val="28"/>
          <w:szCs w:val="28"/>
        </w:rPr>
        <w:t xml:space="preserve"> antes explicada</w:t>
      </w:r>
      <w:r w:rsidRPr="004571E5">
        <w:rPr>
          <w:rFonts w:ascii="Times New Roman" w:hAnsi="Times New Roman" w:cs="Times New Roman"/>
          <w:sz w:val="28"/>
          <w:szCs w:val="28"/>
        </w:rPr>
        <w:t xml:space="preserve">. Esta posibilidad de separarse, ofreciendo una justificación adecuada, constituye una de las formas bajo las cuales se articula el mandato de trato igual con la autonomía judicial reconocida en el artículo 228 de la Constitución.    </w:t>
      </w:r>
    </w:p>
    <w:p w14:paraId="3EA27060" w14:textId="77777777" w:rsidR="003C22B5" w:rsidRPr="004571E5" w:rsidRDefault="003C22B5" w:rsidP="003C22B5">
      <w:pPr>
        <w:tabs>
          <w:tab w:val="left" w:pos="426"/>
        </w:tabs>
        <w:spacing w:after="0" w:line="240" w:lineRule="auto"/>
        <w:jc w:val="both"/>
        <w:rPr>
          <w:rFonts w:ascii="Times New Roman" w:hAnsi="Times New Roman" w:cs="Times New Roman"/>
          <w:sz w:val="28"/>
          <w:szCs w:val="28"/>
        </w:rPr>
      </w:pPr>
    </w:p>
    <w:p w14:paraId="78BDD8EE" w14:textId="1556B329" w:rsidR="003C22B5" w:rsidRPr="004571E5" w:rsidRDefault="003C22B5" w:rsidP="003C22B5">
      <w:pPr>
        <w:numPr>
          <w:ilvl w:val="0"/>
          <w:numId w:val="1"/>
        </w:numPr>
        <w:tabs>
          <w:tab w:val="left" w:pos="426"/>
        </w:tabs>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 xml:space="preserve">La naturaleza vinculante del precedente exige, en todo caso, </w:t>
      </w:r>
      <w:r w:rsidR="007D00CE" w:rsidRPr="004571E5">
        <w:rPr>
          <w:rFonts w:ascii="Times New Roman" w:hAnsi="Times New Roman" w:cs="Times New Roman"/>
          <w:sz w:val="28"/>
          <w:szCs w:val="28"/>
        </w:rPr>
        <w:t xml:space="preserve">determinar </w:t>
      </w:r>
      <w:r w:rsidRPr="004571E5">
        <w:rPr>
          <w:rFonts w:ascii="Times New Roman" w:hAnsi="Times New Roman" w:cs="Times New Roman"/>
          <w:sz w:val="28"/>
          <w:szCs w:val="28"/>
        </w:rPr>
        <w:t xml:space="preserve">cuáles son las autoridades vinculadas. Es en ese contexto que se ha señalado que </w:t>
      </w:r>
      <w:r w:rsidR="007D00CE" w:rsidRPr="004571E5">
        <w:rPr>
          <w:rFonts w:ascii="Times New Roman" w:hAnsi="Times New Roman" w:cs="Times New Roman"/>
          <w:sz w:val="28"/>
          <w:szCs w:val="28"/>
        </w:rPr>
        <w:t xml:space="preserve">será vinculante </w:t>
      </w:r>
      <w:r w:rsidRPr="004571E5">
        <w:rPr>
          <w:rFonts w:ascii="Times New Roman" w:hAnsi="Times New Roman" w:cs="Times New Roman"/>
          <w:sz w:val="28"/>
          <w:szCs w:val="28"/>
        </w:rPr>
        <w:t xml:space="preserve">cuando se origina en la decisión de una autoridad judicial funcionalmente superior -precedente vertical- o cuando se trata de una decisión adoptada por la misma autoridad o por una autoridad judicial ubicada en la misma posición. De esto se desprende que no resulta posible predicar fuerza vinculante </w:t>
      </w:r>
      <w:r w:rsidR="00914B85" w:rsidRPr="004571E5">
        <w:rPr>
          <w:rFonts w:ascii="Times New Roman" w:hAnsi="Times New Roman" w:cs="Times New Roman"/>
          <w:sz w:val="28"/>
          <w:szCs w:val="28"/>
        </w:rPr>
        <w:t xml:space="preserve">-como precedente- </w:t>
      </w:r>
      <w:r w:rsidRPr="004571E5">
        <w:rPr>
          <w:rFonts w:ascii="Times New Roman" w:hAnsi="Times New Roman" w:cs="Times New Roman"/>
          <w:sz w:val="28"/>
          <w:szCs w:val="28"/>
        </w:rPr>
        <w:t>de una decisión adoptada por una autoridad de inferior jerarquía</w:t>
      </w:r>
      <w:r w:rsidR="00B21FE6" w:rsidRPr="004571E5">
        <w:rPr>
          <w:rFonts w:ascii="Times New Roman" w:hAnsi="Times New Roman" w:cs="Times New Roman"/>
          <w:sz w:val="28"/>
          <w:szCs w:val="28"/>
        </w:rPr>
        <w:t>.</w:t>
      </w:r>
    </w:p>
    <w:p w14:paraId="26381C4C" w14:textId="77777777" w:rsidR="003C22B5" w:rsidRPr="004571E5" w:rsidRDefault="003C22B5" w:rsidP="003C22B5">
      <w:pPr>
        <w:tabs>
          <w:tab w:val="left" w:pos="426"/>
        </w:tabs>
        <w:spacing w:after="0" w:line="240" w:lineRule="auto"/>
        <w:jc w:val="both"/>
        <w:rPr>
          <w:rFonts w:ascii="Times New Roman" w:hAnsi="Times New Roman" w:cs="Times New Roman"/>
          <w:sz w:val="28"/>
          <w:szCs w:val="28"/>
        </w:rPr>
      </w:pPr>
    </w:p>
    <w:p w14:paraId="51A25092" w14:textId="351B6386" w:rsidR="003C22B5" w:rsidRPr="004571E5" w:rsidRDefault="003C22B5" w:rsidP="003C22B5">
      <w:pPr>
        <w:numPr>
          <w:ilvl w:val="0"/>
          <w:numId w:val="1"/>
        </w:numPr>
        <w:tabs>
          <w:tab w:val="left" w:pos="426"/>
        </w:tabs>
        <w:spacing w:after="0" w:line="240" w:lineRule="auto"/>
        <w:jc w:val="both"/>
        <w:rPr>
          <w:rFonts w:ascii="Times New Roman" w:hAnsi="Times New Roman" w:cs="Times New Roman"/>
          <w:sz w:val="24"/>
          <w:szCs w:val="24"/>
        </w:rPr>
      </w:pPr>
      <w:r w:rsidRPr="004571E5">
        <w:rPr>
          <w:rFonts w:ascii="Times New Roman" w:hAnsi="Times New Roman" w:cs="Times New Roman"/>
          <w:sz w:val="28"/>
          <w:szCs w:val="28"/>
        </w:rPr>
        <w:t>Sin embargo, cabe hacerse la siguiente pregunta teniendo en cuenta los hechos que motivaron la interposición de la acción de tutela en el Caso 1: ¿es constitucionalmente admisible</w:t>
      </w:r>
      <w:r w:rsidR="00914B85" w:rsidRPr="004571E5">
        <w:rPr>
          <w:rFonts w:ascii="Times New Roman" w:hAnsi="Times New Roman" w:cs="Times New Roman"/>
          <w:sz w:val="28"/>
          <w:szCs w:val="28"/>
        </w:rPr>
        <w:t>,</w:t>
      </w:r>
      <w:r w:rsidRPr="004571E5">
        <w:rPr>
          <w:rFonts w:ascii="Times New Roman" w:hAnsi="Times New Roman" w:cs="Times New Roman"/>
          <w:sz w:val="28"/>
          <w:szCs w:val="28"/>
        </w:rPr>
        <w:t xml:space="preserve"> desde la perspectiva de la cláusula de Estado de Derecho y del mandato de trato igual</w:t>
      </w:r>
      <w:r w:rsidR="00914B85" w:rsidRPr="004571E5">
        <w:rPr>
          <w:rFonts w:ascii="Times New Roman" w:hAnsi="Times New Roman" w:cs="Times New Roman"/>
          <w:sz w:val="28"/>
          <w:szCs w:val="28"/>
        </w:rPr>
        <w:t>,</w:t>
      </w:r>
      <w:r w:rsidRPr="004571E5">
        <w:rPr>
          <w:rFonts w:ascii="Times New Roman" w:hAnsi="Times New Roman" w:cs="Times New Roman"/>
          <w:sz w:val="28"/>
          <w:szCs w:val="28"/>
        </w:rPr>
        <w:t xml:space="preserve"> que dos casos con una identidad plena sean decididos de manera diferente y ello obedezca, principalmente, a que por razones procesales fueron distribuidos entre autoridades judiciales diversas?  </w:t>
      </w:r>
    </w:p>
    <w:p w14:paraId="5AF9DD62" w14:textId="77777777" w:rsidR="003C22B5" w:rsidRPr="004571E5" w:rsidRDefault="003C22B5" w:rsidP="003C22B5">
      <w:pPr>
        <w:tabs>
          <w:tab w:val="left" w:pos="426"/>
        </w:tabs>
        <w:spacing w:after="0" w:line="240" w:lineRule="auto"/>
        <w:jc w:val="both"/>
        <w:rPr>
          <w:rFonts w:ascii="Times New Roman" w:hAnsi="Times New Roman" w:cs="Times New Roman"/>
          <w:sz w:val="24"/>
          <w:szCs w:val="24"/>
        </w:rPr>
      </w:pPr>
    </w:p>
    <w:p w14:paraId="599B88EA" w14:textId="34D6962A" w:rsidR="00914B85" w:rsidRPr="004571E5" w:rsidRDefault="003C22B5" w:rsidP="003C22B5">
      <w:pPr>
        <w:numPr>
          <w:ilvl w:val="0"/>
          <w:numId w:val="1"/>
        </w:numPr>
        <w:tabs>
          <w:tab w:val="left" w:pos="426"/>
        </w:tabs>
        <w:spacing w:after="0" w:line="240" w:lineRule="auto"/>
        <w:jc w:val="both"/>
        <w:rPr>
          <w:rFonts w:ascii="Times New Roman" w:hAnsi="Times New Roman" w:cs="Times New Roman"/>
          <w:sz w:val="24"/>
          <w:szCs w:val="24"/>
        </w:rPr>
      </w:pPr>
      <w:r w:rsidRPr="004571E5">
        <w:rPr>
          <w:rFonts w:ascii="Times New Roman" w:hAnsi="Times New Roman" w:cs="Times New Roman"/>
          <w:sz w:val="28"/>
          <w:szCs w:val="28"/>
          <w:lang w:val="es-ES_tradnl"/>
        </w:rPr>
        <w:t xml:space="preserve">En los hechos murieron cuatro personas luego de lo cual, de manera separada, fueron presentadas dos demandas. Al resolver la primera demanda, el Tribunal Administrativo de Antioquia accedió a las pretensiones formuladas por los familiares de tres de las personas fallecidas. Por el contrario, al pronunciarse tiempo después sobre la segunda demanda el Consejo de Estado negó las pretensiones frente al fallecimiento del señor González. Visto de este modo, no se trata de un problema </w:t>
      </w:r>
      <w:r w:rsidR="00914B85" w:rsidRPr="004571E5">
        <w:rPr>
          <w:rFonts w:ascii="Times New Roman" w:hAnsi="Times New Roman" w:cs="Times New Roman"/>
          <w:sz w:val="28"/>
          <w:szCs w:val="28"/>
          <w:lang w:val="es-ES_tradnl"/>
        </w:rPr>
        <w:t xml:space="preserve">relativo a </w:t>
      </w:r>
      <w:r w:rsidRPr="004571E5">
        <w:rPr>
          <w:rFonts w:ascii="Times New Roman" w:hAnsi="Times New Roman" w:cs="Times New Roman"/>
          <w:sz w:val="28"/>
          <w:szCs w:val="28"/>
          <w:lang w:val="es-ES_tradnl"/>
        </w:rPr>
        <w:t xml:space="preserve">la fuerza vinculante del precedente dado que, conforme a la jurisprudencia de la Corte, la regla de decisión fijada por un autoridad judicial funcionalmente inferior -Tribunal Administrativo- de aquella que debe adoptar la nueva decisión -Consejo de Estado- no vincula de ningún modo a esta última. </w:t>
      </w:r>
      <w:r w:rsidR="00914B85" w:rsidRPr="004571E5">
        <w:rPr>
          <w:rFonts w:ascii="Times New Roman" w:hAnsi="Times New Roman" w:cs="Times New Roman"/>
          <w:sz w:val="28"/>
          <w:szCs w:val="28"/>
          <w:lang w:val="es-ES_tradnl"/>
        </w:rPr>
        <w:t xml:space="preserve"> </w:t>
      </w:r>
    </w:p>
    <w:p w14:paraId="30B34388" w14:textId="0C1AFB2F" w:rsidR="003C22B5" w:rsidRPr="004571E5" w:rsidRDefault="00914B85" w:rsidP="003C22B5">
      <w:pPr>
        <w:tabs>
          <w:tab w:val="left" w:pos="426"/>
        </w:tabs>
        <w:spacing w:after="0" w:line="240" w:lineRule="auto"/>
        <w:jc w:val="both"/>
        <w:rPr>
          <w:rFonts w:ascii="Times New Roman" w:hAnsi="Times New Roman" w:cs="Times New Roman"/>
          <w:sz w:val="24"/>
          <w:szCs w:val="24"/>
        </w:rPr>
      </w:pPr>
      <w:r w:rsidRPr="004571E5" w:rsidDel="00914B85">
        <w:rPr>
          <w:rFonts w:ascii="Times New Roman" w:hAnsi="Times New Roman" w:cs="Times New Roman"/>
          <w:sz w:val="28"/>
          <w:szCs w:val="28"/>
          <w:lang w:val="es-ES_tradnl"/>
        </w:rPr>
        <w:t xml:space="preserve"> </w:t>
      </w:r>
    </w:p>
    <w:p w14:paraId="437CC0B2" w14:textId="253BB873" w:rsidR="00914B85" w:rsidRPr="004571E5" w:rsidRDefault="003C22B5" w:rsidP="003C22B5">
      <w:pPr>
        <w:numPr>
          <w:ilvl w:val="0"/>
          <w:numId w:val="1"/>
        </w:numPr>
        <w:tabs>
          <w:tab w:val="left" w:pos="426"/>
        </w:tabs>
        <w:spacing w:after="0" w:line="240" w:lineRule="auto"/>
        <w:jc w:val="both"/>
        <w:rPr>
          <w:rFonts w:ascii="Times New Roman" w:hAnsi="Times New Roman" w:cs="Times New Roman"/>
          <w:sz w:val="24"/>
          <w:szCs w:val="24"/>
        </w:rPr>
      </w:pPr>
      <w:r w:rsidRPr="004571E5">
        <w:rPr>
          <w:rFonts w:ascii="Times New Roman" w:hAnsi="Times New Roman" w:cs="Times New Roman"/>
          <w:sz w:val="28"/>
          <w:szCs w:val="28"/>
          <w:lang w:val="es-ES_tradnl"/>
        </w:rPr>
        <w:t>En una hipótesis como la descrita, la Corte debe preguntarse si el principio de autonomía judicial hace inmune la</w:t>
      </w:r>
      <w:r w:rsidR="00914B85" w:rsidRPr="004571E5">
        <w:rPr>
          <w:rFonts w:ascii="Times New Roman" w:hAnsi="Times New Roman" w:cs="Times New Roman"/>
          <w:sz w:val="28"/>
          <w:szCs w:val="28"/>
          <w:lang w:val="es-ES_tradnl"/>
        </w:rPr>
        <w:t xml:space="preserve"> sentencia</w:t>
      </w:r>
      <w:r w:rsidRPr="004571E5">
        <w:rPr>
          <w:rFonts w:ascii="Times New Roman" w:hAnsi="Times New Roman" w:cs="Times New Roman"/>
          <w:sz w:val="28"/>
          <w:szCs w:val="28"/>
          <w:lang w:val="es-ES_tradnl"/>
        </w:rPr>
        <w:t xml:space="preserve"> que ofrece una respuesta radicalmente diferente a la definida por una autoridad judicial en una sentencia </w:t>
      </w:r>
      <w:r w:rsidR="00914B85" w:rsidRPr="004571E5">
        <w:rPr>
          <w:rFonts w:ascii="Times New Roman" w:hAnsi="Times New Roman" w:cs="Times New Roman"/>
          <w:sz w:val="28"/>
          <w:szCs w:val="28"/>
          <w:lang w:val="es-ES_tradnl"/>
        </w:rPr>
        <w:t xml:space="preserve">previa y </w:t>
      </w:r>
      <w:r w:rsidRPr="004571E5">
        <w:rPr>
          <w:rFonts w:ascii="Times New Roman" w:hAnsi="Times New Roman" w:cs="Times New Roman"/>
          <w:sz w:val="28"/>
          <w:szCs w:val="28"/>
          <w:lang w:val="es-ES_tradnl"/>
        </w:rPr>
        <w:t xml:space="preserve">ejecutoriada. </w:t>
      </w:r>
      <w:r w:rsidR="00914B85" w:rsidRPr="004571E5">
        <w:rPr>
          <w:rFonts w:ascii="Times New Roman" w:hAnsi="Times New Roman" w:cs="Times New Roman"/>
          <w:sz w:val="28"/>
          <w:szCs w:val="28"/>
          <w:lang w:val="es-ES_tradnl"/>
        </w:rPr>
        <w:t>L</w:t>
      </w:r>
      <w:r w:rsidRPr="004571E5">
        <w:rPr>
          <w:rFonts w:ascii="Times New Roman" w:hAnsi="Times New Roman" w:cs="Times New Roman"/>
          <w:sz w:val="28"/>
          <w:szCs w:val="28"/>
        </w:rPr>
        <w:t>os jueces pueden tener diferentes interpretaciones de los hechos y</w:t>
      </w:r>
      <w:r w:rsidR="00914B85" w:rsidRPr="004571E5">
        <w:rPr>
          <w:rFonts w:ascii="Times New Roman" w:hAnsi="Times New Roman" w:cs="Times New Roman"/>
          <w:sz w:val="28"/>
          <w:szCs w:val="28"/>
        </w:rPr>
        <w:t xml:space="preserve"> de las disposiciones que regulan una situación, a tal punto que </w:t>
      </w:r>
      <w:r w:rsidRPr="004571E5">
        <w:rPr>
          <w:rFonts w:ascii="Times New Roman" w:hAnsi="Times New Roman" w:cs="Times New Roman"/>
          <w:sz w:val="28"/>
          <w:szCs w:val="28"/>
        </w:rPr>
        <w:t xml:space="preserve">frente a supuestos análogos -o incluso frente a los mismos supuestos- </w:t>
      </w:r>
      <w:r w:rsidR="00D257DE" w:rsidRPr="004571E5">
        <w:rPr>
          <w:rFonts w:ascii="Times New Roman" w:hAnsi="Times New Roman" w:cs="Times New Roman"/>
          <w:sz w:val="28"/>
          <w:szCs w:val="28"/>
        </w:rPr>
        <w:t xml:space="preserve">es posible que </w:t>
      </w:r>
      <w:r w:rsidRPr="004571E5">
        <w:rPr>
          <w:rFonts w:ascii="Times New Roman" w:hAnsi="Times New Roman" w:cs="Times New Roman"/>
          <w:sz w:val="28"/>
          <w:szCs w:val="28"/>
        </w:rPr>
        <w:t>arriben a soluciones diferentes.</w:t>
      </w:r>
      <w:r w:rsidRPr="004571E5">
        <w:rPr>
          <w:rFonts w:ascii="Times New Roman" w:hAnsi="Times New Roman" w:cs="Times New Roman"/>
          <w:sz w:val="28"/>
          <w:szCs w:val="28"/>
          <w:lang w:val="es-ES_tradnl"/>
        </w:rPr>
        <w:t xml:space="preserve"> Es por ello </w:t>
      </w:r>
      <w:proofErr w:type="gramStart"/>
      <w:r w:rsidRPr="004571E5">
        <w:rPr>
          <w:rFonts w:ascii="Times New Roman" w:hAnsi="Times New Roman" w:cs="Times New Roman"/>
          <w:sz w:val="28"/>
          <w:szCs w:val="28"/>
          <w:lang w:val="es-ES_tradnl"/>
        </w:rPr>
        <w:t>que</w:t>
      </w:r>
      <w:proofErr w:type="gramEnd"/>
      <w:r w:rsidRPr="004571E5">
        <w:rPr>
          <w:rFonts w:ascii="Times New Roman" w:hAnsi="Times New Roman" w:cs="Times New Roman"/>
          <w:sz w:val="28"/>
          <w:szCs w:val="28"/>
          <w:lang w:val="es-ES_tradnl"/>
        </w:rPr>
        <w:t xml:space="preserve"> la cuestión que ahora analiza la Corte no es sencilla. </w:t>
      </w:r>
    </w:p>
    <w:p w14:paraId="2F3D5B94" w14:textId="77777777" w:rsidR="00914B85" w:rsidRPr="004571E5" w:rsidRDefault="00914B85" w:rsidP="009638CA">
      <w:pPr>
        <w:tabs>
          <w:tab w:val="left" w:pos="426"/>
        </w:tabs>
        <w:spacing w:after="0" w:line="240" w:lineRule="auto"/>
        <w:jc w:val="both"/>
        <w:rPr>
          <w:rFonts w:ascii="Times New Roman" w:hAnsi="Times New Roman" w:cs="Times New Roman"/>
          <w:sz w:val="24"/>
          <w:szCs w:val="24"/>
        </w:rPr>
      </w:pPr>
    </w:p>
    <w:p w14:paraId="68329132" w14:textId="3BD3BAC9" w:rsidR="003C22B5" w:rsidRPr="004571E5" w:rsidRDefault="003C22B5" w:rsidP="003C22B5">
      <w:pPr>
        <w:numPr>
          <w:ilvl w:val="0"/>
          <w:numId w:val="1"/>
        </w:numPr>
        <w:tabs>
          <w:tab w:val="left" w:pos="426"/>
        </w:tabs>
        <w:spacing w:after="0" w:line="240" w:lineRule="auto"/>
        <w:jc w:val="both"/>
        <w:rPr>
          <w:rFonts w:ascii="Times New Roman" w:hAnsi="Times New Roman" w:cs="Times New Roman"/>
          <w:sz w:val="24"/>
          <w:szCs w:val="24"/>
        </w:rPr>
      </w:pPr>
      <w:r w:rsidRPr="004571E5">
        <w:rPr>
          <w:rFonts w:ascii="Times New Roman" w:hAnsi="Times New Roman" w:cs="Times New Roman"/>
          <w:sz w:val="28"/>
          <w:szCs w:val="28"/>
          <w:lang w:val="es-ES_tradnl"/>
        </w:rPr>
        <w:lastRenderedPageBreak/>
        <w:t xml:space="preserve">A favor de una regla que excluya, en eventos como el descrito, cualquier cuestionamiento a la decisión del Consejo de Estado, militan importantes argumentos relacionados con su condición de órgano de cierre de la jurisdicción de lo contencioso administrativo. Sin embargo, reconocer la absoluta inmunidad afectaría de manera significativa el principio de seguridad jurídica, la buena fe y el mandato de trato igual dado que los ciudadanos encontrarían que frente a una idéntica situación fáctica el ordenamiento tolera, sin más, decisiones por completo diferentes. </w:t>
      </w:r>
      <w:r w:rsidR="00914B85" w:rsidRPr="004571E5">
        <w:rPr>
          <w:rFonts w:ascii="Times New Roman" w:hAnsi="Times New Roman" w:cs="Times New Roman"/>
          <w:sz w:val="28"/>
          <w:szCs w:val="28"/>
          <w:lang w:val="es-ES_tradnl"/>
        </w:rPr>
        <w:t xml:space="preserve">Un observador externo encontraría la situación ciertamente extraña. </w:t>
      </w:r>
      <w:r w:rsidRPr="004571E5">
        <w:rPr>
          <w:rFonts w:ascii="Times New Roman" w:hAnsi="Times New Roman" w:cs="Times New Roman"/>
          <w:sz w:val="28"/>
          <w:szCs w:val="28"/>
          <w:lang w:val="es-ES_tradnl"/>
        </w:rPr>
        <w:t xml:space="preserve">         </w:t>
      </w:r>
    </w:p>
    <w:p w14:paraId="76F90E5E" w14:textId="77777777" w:rsidR="003C22B5" w:rsidRPr="004571E5" w:rsidRDefault="003C22B5" w:rsidP="003C22B5">
      <w:pPr>
        <w:tabs>
          <w:tab w:val="left" w:pos="426"/>
        </w:tabs>
        <w:spacing w:after="0" w:line="240" w:lineRule="auto"/>
        <w:jc w:val="both"/>
        <w:rPr>
          <w:rFonts w:ascii="Times New Roman" w:hAnsi="Times New Roman" w:cs="Times New Roman"/>
          <w:sz w:val="28"/>
          <w:szCs w:val="28"/>
        </w:rPr>
      </w:pPr>
    </w:p>
    <w:p w14:paraId="67178E76" w14:textId="3627A0F9" w:rsidR="00887BAB" w:rsidRPr="004571E5" w:rsidRDefault="00230C37" w:rsidP="003C22B5">
      <w:pPr>
        <w:pStyle w:val="Prrafodelista"/>
        <w:numPr>
          <w:ilvl w:val="0"/>
          <w:numId w:val="1"/>
        </w:numPr>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Por lo anterior, y en virtud del mandato de trato igual</w:t>
      </w:r>
      <w:r w:rsidR="00081E3F" w:rsidRPr="004571E5">
        <w:rPr>
          <w:rFonts w:ascii="Times New Roman" w:hAnsi="Times New Roman" w:cs="Times New Roman"/>
          <w:sz w:val="28"/>
          <w:szCs w:val="28"/>
        </w:rPr>
        <w:t xml:space="preserve"> y del derecho a la reparación de las víctimas en armonización con la independencia judicial</w:t>
      </w:r>
      <w:r w:rsidRPr="004571E5">
        <w:rPr>
          <w:rFonts w:ascii="Times New Roman" w:hAnsi="Times New Roman" w:cs="Times New Roman"/>
          <w:sz w:val="28"/>
          <w:szCs w:val="28"/>
        </w:rPr>
        <w:t xml:space="preserve">, es necesario que, en casos en los que se advierta la posible existencia de otros procesos originados en los mismos hechos, en el futuro las autoridades judiciales </w:t>
      </w:r>
      <w:r w:rsidR="00081E3F" w:rsidRPr="004571E5">
        <w:rPr>
          <w:rFonts w:ascii="Times New Roman" w:hAnsi="Times New Roman" w:cs="Times New Roman"/>
          <w:sz w:val="28"/>
          <w:szCs w:val="28"/>
        </w:rPr>
        <w:t>valoren</w:t>
      </w:r>
      <w:r w:rsidRPr="004571E5">
        <w:rPr>
          <w:rFonts w:ascii="Times New Roman" w:hAnsi="Times New Roman" w:cs="Times New Roman"/>
          <w:sz w:val="28"/>
          <w:szCs w:val="28"/>
        </w:rPr>
        <w:t xml:space="preserve"> las diferentes alternativas</w:t>
      </w:r>
      <w:r w:rsidR="00081E3F" w:rsidRPr="004571E5">
        <w:rPr>
          <w:rFonts w:ascii="Times New Roman" w:hAnsi="Times New Roman" w:cs="Times New Roman"/>
          <w:sz w:val="28"/>
          <w:szCs w:val="28"/>
        </w:rPr>
        <w:t xml:space="preserve"> </w:t>
      </w:r>
      <w:r w:rsidRPr="004571E5">
        <w:rPr>
          <w:rFonts w:ascii="Times New Roman" w:hAnsi="Times New Roman" w:cs="Times New Roman"/>
          <w:sz w:val="28"/>
          <w:szCs w:val="28"/>
        </w:rPr>
        <w:t>para que tales eventos puedan ser analizados y juzgados en un mismo proceso.</w:t>
      </w:r>
      <w:r w:rsidR="00081E3F" w:rsidRPr="004571E5">
        <w:rPr>
          <w:rFonts w:ascii="Times New Roman" w:hAnsi="Times New Roman" w:cs="Times New Roman"/>
          <w:sz w:val="28"/>
          <w:szCs w:val="28"/>
        </w:rPr>
        <w:t xml:space="preserve"> Para esto podría acudirse a mecanismos como la acumulación procesal o la vinculación de terceros. Esto, con el fin de disminuir la probabilidad de que una misma situación fáctica reciba dos respuestas diferentes por parte del ordenamiento jurídico.</w:t>
      </w:r>
      <w:r w:rsidR="00D257DE" w:rsidRPr="004571E5">
        <w:rPr>
          <w:rFonts w:ascii="Times New Roman" w:hAnsi="Times New Roman" w:cs="Times New Roman"/>
          <w:sz w:val="28"/>
          <w:szCs w:val="28"/>
        </w:rPr>
        <w:t xml:space="preserve"> Esto</w:t>
      </w:r>
      <w:r w:rsidR="00470B7F" w:rsidRPr="004571E5">
        <w:rPr>
          <w:rFonts w:ascii="Times New Roman" w:hAnsi="Times New Roman" w:cs="Times New Roman"/>
          <w:sz w:val="28"/>
          <w:szCs w:val="28"/>
        </w:rPr>
        <w:t>s</w:t>
      </w:r>
      <w:r w:rsidR="00D257DE" w:rsidRPr="004571E5">
        <w:rPr>
          <w:rFonts w:ascii="Times New Roman" w:hAnsi="Times New Roman" w:cs="Times New Roman"/>
          <w:sz w:val="28"/>
          <w:szCs w:val="28"/>
        </w:rPr>
        <w:t xml:space="preserve"> eventos acentúan el peso de la igualdad y exigen optimizar su realización a partir de una interpretación sistemática y teleológica de los diversos instrumentos procesales.</w:t>
      </w:r>
    </w:p>
    <w:p w14:paraId="0DC1448C" w14:textId="77777777" w:rsidR="00887BAB" w:rsidRPr="004571E5" w:rsidRDefault="00887BAB" w:rsidP="00887BAB">
      <w:pPr>
        <w:pStyle w:val="Prrafodelista"/>
        <w:rPr>
          <w:rFonts w:ascii="Times New Roman" w:hAnsi="Times New Roman" w:cs="Times New Roman"/>
          <w:sz w:val="28"/>
          <w:szCs w:val="28"/>
        </w:rPr>
      </w:pPr>
    </w:p>
    <w:p w14:paraId="7D0C25D5" w14:textId="1F79D077" w:rsidR="003C22B5" w:rsidRPr="004571E5" w:rsidRDefault="00887BAB" w:rsidP="003C22B5">
      <w:pPr>
        <w:pStyle w:val="Prrafodelista"/>
        <w:numPr>
          <w:ilvl w:val="0"/>
          <w:numId w:val="1"/>
        </w:numPr>
        <w:spacing w:after="0" w:line="240" w:lineRule="auto"/>
        <w:jc w:val="both"/>
        <w:rPr>
          <w:rFonts w:ascii="Times New Roman" w:hAnsi="Times New Roman" w:cs="Times New Roman"/>
          <w:sz w:val="28"/>
          <w:szCs w:val="28"/>
        </w:rPr>
      </w:pPr>
      <w:r w:rsidRPr="004571E5">
        <w:rPr>
          <w:rFonts w:ascii="Times New Roman" w:hAnsi="Times New Roman" w:cs="Times New Roman"/>
          <w:sz w:val="28"/>
          <w:szCs w:val="28"/>
        </w:rPr>
        <w:t xml:space="preserve">En el caso concreto, sin embargo, </w:t>
      </w:r>
      <w:r w:rsidRPr="004571E5">
        <w:rPr>
          <w:rFonts w:ascii="Times New Roman" w:hAnsi="Times New Roman" w:cs="Times New Roman"/>
          <w:b/>
          <w:sz w:val="28"/>
          <w:szCs w:val="28"/>
          <w:lang w:val="es-ES_tradnl"/>
        </w:rPr>
        <w:t>no</w:t>
      </w:r>
      <w:r w:rsidRPr="004571E5">
        <w:rPr>
          <w:rFonts w:ascii="Times New Roman" w:hAnsi="Times New Roman" w:cs="Times New Roman"/>
          <w:sz w:val="28"/>
          <w:szCs w:val="28"/>
          <w:lang w:val="es-ES_tradnl"/>
        </w:rPr>
        <w:t xml:space="preserve"> se acreditó que la subsección accionada conociera previamente de la decisión del Tribunal Administrativo de Antioquia adoptada el mes de mayo de 2014. En particular, los alegatos de conclusión dentro del proceso aquí estudiado fueron presentados en febrero de 2014, antes de que se profiriera el fallo del tribunal y no se evidencia en el expediente que exista un memorial o documento mediante el cual las partes hayan puesto en conocimiento del Consejo de Estado el resultado del proceso</w:t>
      </w:r>
      <w:r w:rsidR="00C2040E" w:rsidRPr="004571E5">
        <w:rPr>
          <w:rFonts w:ascii="Times New Roman" w:hAnsi="Times New Roman" w:cs="Times New Roman"/>
          <w:sz w:val="28"/>
          <w:szCs w:val="28"/>
          <w:lang w:val="es-ES_tradnl"/>
        </w:rPr>
        <w:t>.</w:t>
      </w:r>
    </w:p>
    <w:p w14:paraId="1797F2D6" w14:textId="77777777" w:rsidR="001B30B3" w:rsidRPr="004571E5" w:rsidRDefault="001B30B3" w:rsidP="001B30B3">
      <w:pPr>
        <w:pStyle w:val="Prrafodelista"/>
        <w:spacing w:line="240" w:lineRule="auto"/>
        <w:ind w:left="0"/>
        <w:jc w:val="both"/>
        <w:rPr>
          <w:rFonts w:ascii="Times New Roman" w:hAnsi="Times New Roman" w:cs="Times New Roman"/>
          <w:sz w:val="28"/>
          <w:szCs w:val="28"/>
          <w:lang w:val="es-ES_tradnl"/>
        </w:rPr>
      </w:pPr>
    </w:p>
    <w:p w14:paraId="3AF59D04" w14:textId="30D61C35" w:rsidR="000A5491" w:rsidRPr="004571E5" w:rsidRDefault="000A5491" w:rsidP="000A5491">
      <w:pPr>
        <w:pStyle w:val="Prrafodelista"/>
        <w:numPr>
          <w:ilvl w:val="1"/>
          <w:numId w:val="34"/>
        </w:numPr>
        <w:tabs>
          <w:tab w:val="left" w:pos="426"/>
        </w:tabs>
        <w:spacing w:after="0" w:line="240" w:lineRule="auto"/>
        <w:ind w:left="0" w:firstLine="0"/>
        <w:jc w:val="both"/>
        <w:rPr>
          <w:rFonts w:ascii="Times New Roman" w:hAnsi="Times New Roman" w:cs="Times New Roman"/>
          <w:b/>
          <w:bCs/>
          <w:i/>
          <w:iCs/>
          <w:sz w:val="28"/>
          <w:szCs w:val="28"/>
          <w:lang w:val="es-ES_tradnl"/>
        </w:rPr>
      </w:pPr>
      <w:r w:rsidRPr="004571E5">
        <w:rPr>
          <w:rFonts w:ascii="Times New Roman" w:hAnsi="Times New Roman" w:cs="Times New Roman"/>
          <w:b/>
          <w:bCs/>
          <w:i/>
          <w:iCs/>
          <w:sz w:val="28"/>
          <w:szCs w:val="28"/>
          <w:lang w:val="es-ES_tradnl"/>
        </w:rPr>
        <w:t xml:space="preserve"> La sentencia </w:t>
      </w:r>
      <w:r w:rsidR="001E5C78" w:rsidRPr="004571E5">
        <w:rPr>
          <w:rFonts w:ascii="Times New Roman" w:hAnsi="Times New Roman" w:cs="Times New Roman"/>
          <w:b/>
          <w:bCs/>
          <w:i/>
          <w:iCs/>
          <w:sz w:val="28"/>
          <w:szCs w:val="28"/>
          <w:lang w:val="es-ES_tradnl"/>
        </w:rPr>
        <w:t xml:space="preserve">del 5 de diciembre de 2022, la Subsección C de la Sección Tercera del Consejo de Estado </w:t>
      </w:r>
      <w:r w:rsidRPr="004571E5">
        <w:rPr>
          <w:rFonts w:ascii="Times New Roman" w:hAnsi="Times New Roman" w:cs="Times New Roman"/>
          <w:b/>
          <w:bCs/>
          <w:i/>
          <w:iCs/>
          <w:sz w:val="28"/>
          <w:szCs w:val="28"/>
          <w:lang w:val="es-ES_tradnl"/>
        </w:rPr>
        <w:t>-expediente T-10.191.129- desconoció los derechos fundamentales al debido proceso</w:t>
      </w:r>
      <w:r w:rsidR="00B943BC" w:rsidRPr="004571E5">
        <w:rPr>
          <w:rFonts w:ascii="Times New Roman" w:hAnsi="Times New Roman" w:cs="Times New Roman"/>
          <w:b/>
          <w:bCs/>
          <w:i/>
          <w:iCs/>
          <w:sz w:val="28"/>
          <w:szCs w:val="28"/>
          <w:lang w:val="es-ES_tradnl"/>
        </w:rPr>
        <w:t>, al acceso a la administración de justicia</w:t>
      </w:r>
      <w:r w:rsidRPr="004571E5">
        <w:rPr>
          <w:rFonts w:ascii="Times New Roman" w:hAnsi="Times New Roman" w:cs="Times New Roman"/>
          <w:b/>
          <w:bCs/>
          <w:i/>
          <w:iCs/>
          <w:sz w:val="28"/>
          <w:szCs w:val="28"/>
          <w:lang w:val="es-ES_tradnl"/>
        </w:rPr>
        <w:t xml:space="preserve"> y a la igualdad</w:t>
      </w:r>
      <w:r w:rsidR="00E17B1E" w:rsidRPr="004571E5">
        <w:rPr>
          <w:rFonts w:ascii="Times New Roman" w:hAnsi="Times New Roman" w:cs="Times New Roman"/>
          <w:b/>
          <w:bCs/>
          <w:i/>
          <w:iCs/>
          <w:sz w:val="28"/>
          <w:szCs w:val="28"/>
          <w:lang w:val="es-ES_tradnl"/>
        </w:rPr>
        <w:t xml:space="preserve"> como origen del mandato de vinculatoriedad del precedente</w:t>
      </w:r>
    </w:p>
    <w:p w14:paraId="14F5CB93" w14:textId="77777777" w:rsidR="00C170AC" w:rsidRPr="004571E5" w:rsidRDefault="00C170AC" w:rsidP="001B30B3">
      <w:pPr>
        <w:pStyle w:val="Prrafodelista"/>
        <w:tabs>
          <w:tab w:val="left" w:pos="426"/>
        </w:tabs>
        <w:spacing w:after="0" w:line="240" w:lineRule="auto"/>
        <w:ind w:left="0"/>
        <w:jc w:val="both"/>
        <w:rPr>
          <w:rFonts w:ascii="Times New Roman" w:hAnsi="Times New Roman" w:cs="Times New Roman"/>
          <w:b/>
          <w:bCs/>
          <w:i/>
          <w:iCs/>
          <w:sz w:val="28"/>
          <w:szCs w:val="28"/>
          <w:lang w:val="es-ES_tradnl"/>
        </w:rPr>
      </w:pPr>
    </w:p>
    <w:p w14:paraId="19A12BEF" w14:textId="276EE93D" w:rsidR="00686E8A" w:rsidRPr="004571E5" w:rsidRDefault="00686E8A" w:rsidP="00686E8A">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La Sala Plena de la Corte Constitucional considera que en el presente caso </w:t>
      </w:r>
      <w:r w:rsidR="00AD6AED" w:rsidRPr="004571E5">
        <w:rPr>
          <w:rFonts w:ascii="Times New Roman" w:hAnsi="Times New Roman" w:cs="Times New Roman"/>
          <w:sz w:val="28"/>
          <w:szCs w:val="28"/>
          <w:lang w:val="es-ES_tradnl"/>
        </w:rPr>
        <w:t xml:space="preserve">(i) </w:t>
      </w:r>
      <w:r w:rsidRPr="004571E5">
        <w:rPr>
          <w:rFonts w:ascii="Times New Roman" w:hAnsi="Times New Roman" w:cs="Times New Roman"/>
          <w:sz w:val="28"/>
          <w:szCs w:val="28"/>
          <w:lang w:val="es-ES_tradnl"/>
        </w:rPr>
        <w:t xml:space="preserve">se desconoció el precedente definido por la Corte Constitucional y </w:t>
      </w:r>
      <w:r w:rsidR="00AD6AED" w:rsidRPr="004571E5">
        <w:rPr>
          <w:rFonts w:ascii="Times New Roman" w:hAnsi="Times New Roman" w:cs="Times New Roman"/>
          <w:sz w:val="28"/>
          <w:szCs w:val="28"/>
          <w:lang w:val="es-ES_tradnl"/>
        </w:rPr>
        <w:t>(</w:t>
      </w:r>
      <w:proofErr w:type="spellStart"/>
      <w:r w:rsidR="00AD6AED" w:rsidRPr="004571E5">
        <w:rPr>
          <w:rFonts w:ascii="Times New Roman" w:hAnsi="Times New Roman" w:cs="Times New Roman"/>
          <w:sz w:val="28"/>
          <w:szCs w:val="28"/>
          <w:lang w:val="es-ES_tradnl"/>
        </w:rPr>
        <w:t>ii</w:t>
      </w:r>
      <w:proofErr w:type="spellEnd"/>
      <w:r w:rsidR="00AD6AED" w:rsidRPr="004571E5">
        <w:rPr>
          <w:rFonts w:ascii="Times New Roman" w:hAnsi="Times New Roman" w:cs="Times New Roman"/>
          <w:sz w:val="28"/>
          <w:szCs w:val="28"/>
          <w:lang w:val="es-ES_tradnl"/>
        </w:rPr>
        <w:t xml:space="preserve">) </w:t>
      </w:r>
      <w:r w:rsidRPr="004571E5">
        <w:rPr>
          <w:rFonts w:ascii="Times New Roman" w:hAnsi="Times New Roman" w:cs="Times New Roman"/>
          <w:sz w:val="28"/>
          <w:szCs w:val="28"/>
          <w:lang w:val="es-ES_tradnl"/>
        </w:rPr>
        <w:t xml:space="preserve">el precedente horizontal derivado de la jurisprudencia del Consejo de Estado. Dicho desconocimiento concurrió con </w:t>
      </w:r>
      <w:r w:rsidR="00AD6AED" w:rsidRPr="004571E5">
        <w:rPr>
          <w:rFonts w:ascii="Times New Roman" w:hAnsi="Times New Roman" w:cs="Times New Roman"/>
          <w:sz w:val="28"/>
          <w:szCs w:val="28"/>
          <w:lang w:val="es-ES_tradnl"/>
        </w:rPr>
        <w:t>(</w:t>
      </w:r>
      <w:proofErr w:type="spellStart"/>
      <w:r w:rsidR="00AD6AED" w:rsidRPr="004571E5">
        <w:rPr>
          <w:rFonts w:ascii="Times New Roman" w:hAnsi="Times New Roman" w:cs="Times New Roman"/>
          <w:sz w:val="28"/>
          <w:szCs w:val="28"/>
          <w:lang w:val="es-ES_tradnl"/>
        </w:rPr>
        <w:t>iii</w:t>
      </w:r>
      <w:proofErr w:type="spellEnd"/>
      <w:r w:rsidR="00AD6AED" w:rsidRPr="004571E5">
        <w:rPr>
          <w:rFonts w:ascii="Times New Roman" w:hAnsi="Times New Roman" w:cs="Times New Roman"/>
          <w:sz w:val="28"/>
          <w:szCs w:val="28"/>
          <w:lang w:val="es-ES_tradnl"/>
        </w:rPr>
        <w:t xml:space="preserve">) </w:t>
      </w:r>
      <w:r w:rsidRPr="004571E5">
        <w:rPr>
          <w:rFonts w:ascii="Times New Roman" w:hAnsi="Times New Roman" w:cs="Times New Roman"/>
          <w:sz w:val="28"/>
          <w:szCs w:val="28"/>
          <w:lang w:val="es-ES_tradnl"/>
        </w:rPr>
        <w:t xml:space="preserve">la configuración de un defecto fáctico </w:t>
      </w:r>
      <w:r w:rsidR="004D22D7" w:rsidRPr="004571E5">
        <w:rPr>
          <w:rFonts w:ascii="Times New Roman" w:hAnsi="Times New Roman" w:cs="Times New Roman"/>
          <w:sz w:val="28"/>
          <w:szCs w:val="28"/>
          <w:lang w:val="es-ES_tradnl"/>
        </w:rPr>
        <w:t>por</w:t>
      </w:r>
      <w:r w:rsidRPr="004571E5">
        <w:rPr>
          <w:rFonts w:ascii="Times New Roman" w:hAnsi="Times New Roman" w:cs="Times New Roman"/>
          <w:sz w:val="28"/>
          <w:szCs w:val="28"/>
          <w:lang w:val="es-ES_tradnl"/>
        </w:rPr>
        <w:t xml:space="preserve"> indebida valoración probatoria. A continuación, la Corte fundamenta esta conclusión. </w:t>
      </w:r>
    </w:p>
    <w:p w14:paraId="094C402F" w14:textId="77777777" w:rsidR="00686E8A" w:rsidRPr="004571E5" w:rsidRDefault="00686E8A" w:rsidP="001B30B3">
      <w:pPr>
        <w:pStyle w:val="Prrafodelista"/>
        <w:spacing w:line="240" w:lineRule="auto"/>
        <w:ind w:left="0"/>
        <w:jc w:val="both"/>
        <w:rPr>
          <w:rFonts w:ascii="Times New Roman" w:hAnsi="Times New Roman" w:cs="Times New Roman"/>
          <w:sz w:val="28"/>
          <w:szCs w:val="28"/>
          <w:lang w:val="es-ES_tradnl"/>
        </w:rPr>
      </w:pPr>
    </w:p>
    <w:p w14:paraId="1B501B34" w14:textId="11417853" w:rsidR="00686E8A" w:rsidRPr="004571E5" w:rsidRDefault="00686E8A" w:rsidP="00686E8A">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Un examen de la valoración probatoria realizada en las sentencias cuestionadas, evidencia que la decisión del Consejo de Estado desconoció las reglas probatorias referidas anteriormente. En particular, la Corte encuentra que no se consideró la relevancia que en este tipo de eventos tienen los indicios. </w:t>
      </w:r>
      <w:r w:rsidR="00C9125D" w:rsidRPr="004571E5">
        <w:rPr>
          <w:rFonts w:ascii="Times New Roman" w:hAnsi="Times New Roman" w:cs="Times New Roman"/>
          <w:sz w:val="28"/>
          <w:szCs w:val="28"/>
          <w:lang w:val="es-ES_tradnl"/>
        </w:rPr>
        <w:t xml:space="preserve">A diferencia del caso anterior, en esta oportunidad se prescinde de la valoración que realizó el juez en la sentencia contenciosa puesto que el caso nunca fue tratado como un evento de ejecución extrajudicial -tal y como señaló en los fundamentos </w:t>
      </w:r>
      <w:r w:rsidR="00DC3DD8" w:rsidRPr="004571E5">
        <w:rPr>
          <w:rFonts w:ascii="Times New Roman" w:hAnsi="Times New Roman" w:cs="Times New Roman"/>
          <w:sz w:val="28"/>
          <w:szCs w:val="28"/>
          <w:lang w:val="es-ES_tradnl"/>
        </w:rPr>
        <w:t>75 a 79</w:t>
      </w:r>
      <w:r w:rsidR="00C9125D" w:rsidRPr="004571E5">
        <w:rPr>
          <w:rFonts w:ascii="Times New Roman" w:hAnsi="Times New Roman" w:cs="Times New Roman"/>
          <w:sz w:val="28"/>
          <w:szCs w:val="28"/>
          <w:lang w:val="es-ES_tradnl"/>
        </w:rPr>
        <w:t xml:space="preserve">-. </w:t>
      </w:r>
      <w:r w:rsidRPr="004571E5">
        <w:rPr>
          <w:rFonts w:ascii="Times New Roman" w:hAnsi="Times New Roman" w:cs="Times New Roman"/>
          <w:sz w:val="28"/>
          <w:szCs w:val="28"/>
          <w:lang w:val="es-ES_tradnl"/>
        </w:rPr>
        <w:t xml:space="preserve">En el siguiente cuadro </w:t>
      </w:r>
      <w:r w:rsidR="00C9125D" w:rsidRPr="004571E5">
        <w:rPr>
          <w:rFonts w:ascii="Times New Roman" w:hAnsi="Times New Roman" w:cs="Times New Roman"/>
          <w:sz w:val="28"/>
          <w:szCs w:val="28"/>
          <w:lang w:val="es-ES_tradnl"/>
        </w:rPr>
        <w:t>puede</w:t>
      </w:r>
      <w:r w:rsidR="00D257DE" w:rsidRPr="004571E5">
        <w:rPr>
          <w:rFonts w:ascii="Times New Roman" w:hAnsi="Times New Roman" w:cs="Times New Roman"/>
          <w:sz w:val="28"/>
          <w:szCs w:val="28"/>
          <w:lang w:val="es-ES_tradnl"/>
        </w:rPr>
        <w:t>n</w:t>
      </w:r>
      <w:r w:rsidR="00A91D1D" w:rsidRPr="004571E5">
        <w:rPr>
          <w:rFonts w:ascii="Times New Roman" w:hAnsi="Times New Roman" w:cs="Times New Roman"/>
          <w:sz w:val="28"/>
          <w:szCs w:val="28"/>
          <w:lang w:val="es-ES_tradnl"/>
        </w:rPr>
        <w:t xml:space="preserve"> identificarse</w:t>
      </w:r>
      <w:r w:rsidR="00C9125D" w:rsidRPr="004571E5">
        <w:rPr>
          <w:rFonts w:ascii="Times New Roman" w:hAnsi="Times New Roman" w:cs="Times New Roman"/>
          <w:sz w:val="28"/>
          <w:szCs w:val="28"/>
          <w:lang w:val="es-ES_tradnl"/>
        </w:rPr>
        <w:t xml:space="preserve"> las </w:t>
      </w:r>
      <w:r w:rsidR="00C9125D" w:rsidRPr="004571E5">
        <w:rPr>
          <w:rFonts w:ascii="Times New Roman" w:hAnsi="Times New Roman" w:cs="Times New Roman"/>
          <w:sz w:val="28"/>
          <w:szCs w:val="28"/>
          <w:lang w:val="es-ES_tradnl"/>
        </w:rPr>
        <w:lastRenderedPageBreak/>
        <w:t>conclusiones que podría</w:t>
      </w:r>
      <w:r w:rsidR="00357572" w:rsidRPr="004571E5">
        <w:rPr>
          <w:rFonts w:ascii="Times New Roman" w:hAnsi="Times New Roman" w:cs="Times New Roman"/>
          <w:sz w:val="28"/>
          <w:szCs w:val="28"/>
          <w:lang w:val="es-ES_tradnl"/>
        </w:rPr>
        <w:t xml:space="preserve">n desprenderse </w:t>
      </w:r>
      <w:r w:rsidR="00C9125D" w:rsidRPr="004571E5">
        <w:rPr>
          <w:rFonts w:ascii="Times New Roman" w:hAnsi="Times New Roman" w:cs="Times New Roman"/>
          <w:sz w:val="28"/>
          <w:szCs w:val="28"/>
          <w:lang w:val="es-ES_tradnl"/>
        </w:rPr>
        <w:t>de los medios de prueba a partir del estándar fijado en la jurisprudencia:</w:t>
      </w:r>
    </w:p>
    <w:p w14:paraId="6B30584E" w14:textId="77777777" w:rsidR="00686E8A" w:rsidRPr="004571E5" w:rsidRDefault="00686E8A" w:rsidP="001B30B3">
      <w:pPr>
        <w:pStyle w:val="Prrafodelista"/>
        <w:rPr>
          <w:rFonts w:ascii="Times New Roman" w:hAnsi="Times New Roman" w:cs="Times New Roman"/>
          <w:sz w:val="28"/>
          <w:szCs w:val="28"/>
          <w:lang w:val="es-ES_tradnl"/>
        </w:rPr>
      </w:pPr>
    </w:p>
    <w:tbl>
      <w:tblPr>
        <w:tblStyle w:val="Tablaconcuadrcula"/>
        <w:tblW w:w="0" w:type="auto"/>
        <w:tblLook w:val="04A0" w:firstRow="1" w:lastRow="0" w:firstColumn="1" w:lastColumn="0" w:noHBand="0" w:noVBand="1"/>
      </w:tblPr>
      <w:tblGrid>
        <w:gridCol w:w="3114"/>
        <w:gridCol w:w="5670"/>
      </w:tblGrid>
      <w:tr w:rsidR="00686E8A" w:rsidRPr="004571E5" w14:paraId="455BCB06" w14:textId="77777777" w:rsidTr="000447C2">
        <w:tc>
          <w:tcPr>
            <w:tcW w:w="3114" w:type="dxa"/>
            <w:shd w:val="clear" w:color="auto" w:fill="D9D9D9" w:themeFill="background1" w:themeFillShade="D9"/>
            <w:vAlign w:val="center"/>
          </w:tcPr>
          <w:p w14:paraId="2E128CFA" w14:textId="0FCB5A15" w:rsidR="00686E8A" w:rsidRPr="004571E5" w:rsidRDefault="00F41BF7" w:rsidP="00686E8A">
            <w:pPr>
              <w:pStyle w:val="Prrafodelista"/>
              <w:ind w:left="0"/>
              <w:jc w:val="center"/>
              <w:rPr>
                <w:rFonts w:ascii="Times New Roman" w:hAnsi="Times New Roman" w:cs="Times New Roman"/>
                <w:b/>
                <w:bCs/>
                <w:sz w:val="24"/>
                <w:szCs w:val="24"/>
                <w:lang w:val="es-ES_tradnl"/>
              </w:rPr>
            </w:pPr>
            <w:r w:rsidRPr="004571E5">
              <w:rPr>
                <w:rFonts w:ascii="Times New Roman" w:hAnsi="Times New Roman" w:cs="Times New Roman"/>
                <w:b/>
                <w:bCs/>
                <w:sz w:val="24"/>
                <w:szCs w:val="24"/>
                <w:lang w:val="es-ES_tradnl"/>
              </w:rPr>
              <w:t>Medios de prueba</w:t>
            </w:r>
          </w:p>
        </w:tc>
        <w:tc>
          <w:tcPr>
            <w:tcW w:w="5670" w:type="dxa"/>
            <w:shd w:val="clear" w:color="auto" w:fill="D9D9D9" w:themeFill="background1" w:themeFillShade="D9"/>
            <w:vAlign w:val="center"/>
          </w:tcPr>
          <w:p w14:paraId="18B726E5" w14:textId="0B21662A" w:rsidR="00686E8A" w:rsidRPr="004571E5" w:rsidRDefault="00686E8A" w:rsidP="00686E8A">
            <w:pPr>
              <w:pStyle w:val="Prrafodelista"/>
              <w:ind w:left="0"/>
              <w:jc w:val="center"/>
              <w:rPr>
                <w:rFonts w:ascii="Times New Roman" w:hAnsi="Times New Roman" w:cs="Times New Roman"/>
                <w:b/>
                <w:bCs/>
                <w:sz w:val="24"/>
                <w:szCs w:val="24"/>
                <w:lang w:val="es-ES_tradnl"/>
              </w:rPr>
            </w:pPr>
            <w:r w:rsidRPr="004571E5">
              <w:rPr>
                <w:rFonts w:ascii="Times New Roman" w:hAnsi="Times New Roman" w:cs="Times New Roman"/>
                <w:b/>
                <w:bCs/>
                <w:sz w:val="24"/>
                <w:szCs w:val="24"/>
                <w:lang w:val="es-ES_tradnl"/>
              </w:rPr>
              <w:t xml:space="preserve">Conclusión a partir del estándar </w:t>
            </w:r>
            <w:r w:rsidR="007A0EDC" w:rsidRPr="004571E5">
              <w:rPr>
                <w:rFonts w:ascii="Times New Roman" w:hAnsi="Times New Roman" w:cs="Times New Roman"/>
                <w:b/>
                <w:bCs/>
                <w:sz w:val="24"/>
                <w:szCs w:val="24"/>
                <w:lang w:val="es-ES_tradnl"/>
              </w:rPr>
              <w:t>fijado por la jurisprudencia</w:t>
            </w:r>
          </w:p>
        </w:tc>
      </w:tr>
      <w:tr w:rsidR="00686E8A" w:rsidRPr="004571E5" w14:paraId="4416FC55" w14:textId="77777777" w:rsidTr="000447C2">
        <w:tc>
          <w:tcPr>
            <w:tcW w:w="3114" w:type="dxa"/>
            <w:vAlign w:val="center"/>
          </w:tcPr>
          <w:p w14:paraId="6D8888FB" w14:textId="724A2F31" w:rsidR="00686E8A" w:rsidRPr="004571E5" w:rsidRDefault="00332B8F" w:rsidP="00686E8A">
            <w:pPr>
              <w:pStyle w:val="Prrafodelista"/>
              <w:ind w:left="0"/>
              <w:jc w:val="both"/>
              <w:rPr>
                <w:rFonts w:ascii="Times New Roman" w:hAnsi="Times New Roman" w:cs="Times New Roman"/>
                <w:sz w:val="24"/>
                <w:szCs w:val="24"/>
                <w:lang w:val="es-ES_tradnl"/>
              </w:rPr>
            </w:pPr>
            <w:r w:rsidRPr="004571E5">
              <w:rPr>
                <w:rFonts w:ascii="Times New Roman" w:hAnsi="Times New Roman" w:cs="Times New Roman"/>
                <w:sz w:val="24"/>
                <w:szCs w:val="24"/>
              </w:rPr>
              <w:t>De los hechos se desprende que</w:t>
            </w:r>
            <w:r w:rsidR="00F41BF7" w:rsidRPr="004571E5">
              <w:rPr>
                <w:rFonts w:ascii="Times New Roman" w:hAnsi="Times New Roman" w:cs="Times New Roman"/>
                <w:sz w:val="24"/>
                <w:szCs w:val="24"/>
              </w:rPr>
              <w:t xml:space="preserve"> </w:t>
            </w:r>
            <w:r w:rsidRPr="004571E5">
              <w:rPr>
                <w:rFonts w:ascii="Times New Roman" w:hAnsi="Times New Roman" w:cs="Times New Roman"/>
                <w:sz w:val="24"/>
                <w:szCs w:val="24"/>
              </w:rPr>
              <w:t>n</w:t>
            </w:r>
            <w:r w:rsidR="00686E8A" w:rsidRPr="004571E5">
              <w:rPr>
                <w:rFonts w:ascii="Times New Roman" w:hAnsi="Times New Roman" w:cs="Times New Roman"/>
                <w:sz w:val="24"/>
                <w:szCs w:val="24"/>
              </w:rPr>
              <w:t>ingún</w:t>
            </w:r>
            <w:r w:rsidR="00686E8A" w:rsidRPr="004571E5">
              <w:rPr>
                <w:rFonts w:ascii="Times New Roman" w:hAnsi="Times New Roman" w:cs="Times New Roman"/>
                <w:sz w:val="24"/>
                <w:szCs w:val="24"/>
                <w:lang w:val="es-ES_tradnl"/>
              </w:rPr>
              <w:t xml:space="preserve"> militar resultó herido a pesar de un enfrentamiento con seis personas</w:t>
            </w:r>
            <w:r w:rsidR="00F41BF7" w:rsidRPr="004571E5">
              <w:rPr>
                <w:rFonts w:ascii="Times New Roman" w:hAnsi="Times New Roman" w:cs="Times New Roman"/>
                <w:sz w:val="24"/>
                <w:szCs w:val="24"/>
                <w:lang w:val="es-ES_tradnl"/>
              </w:rPr>
              <w:t>”</w:t>
            </w:r>
            <w:r w:rsidR="00686E8A" w:rsidRPr="004571E5">
              <w:rPr>
                <w:rFonts w:ascii="Times New Roman" w:hAnsi="Times New Roman" w:cs="Times New Roman"/>
                <w:sz w:val="24"/>
                <w:szCs w:val="24"/>
                <w:lang w:val="es-ES_tradnl"/>
              </w:rPr>
              <w:t>.</w:t>
            </w:r>
          </w:p>
        </w:tc>
        <w:tc>
          <w:tcPr>
            <w:tcW w:w="5670" w:type="dxa"/>
            <w:vAlign w:val="center"/>
          </w:tcPr>
          <w:p w14:paraId="29FC034A" w14:textId="5363AFC7" w:rsidR="00686E8A" w:rsidRPr="004571E5" w:rsidRDefault="00F41BF7" w:rsidP="00686E8A">
            <w:pPr>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 xml:space="preserve">En aplicación de la regla probatoria en </w:t>
            </w:r>
            <w:r w:rsidR="00332B8F" w:rsidRPr="004571E5">
              <w:rPr>
                <w:rFonts w:ascii="Times New Roman" w:hAnsi="Times New Roman" w:cs="Times New Roman"/>
                <w:sz w:val="24"/>
                <w:szCs w:val="24"/>
                <w:lang w:val="es-ES_tradnl"/>
              </w:rPr>
              <w:t>virtud de la cual es necesario “[p</w:t>
            </w:r>
            <w:r w:rsidR="00332B8F" w:rsidRPr="004571E5">
              <w:rPr>
                <w:rFonts w:ascii="Times New Roman" w:hAnsi="Times New Roman" w:cs="Times New Roman"/>
                <w:sz w:val="24"/>
                <w:szCs w:val="24"/>
              </w:rPr>
              <w:t>]</w:t>
            </w:r>
            <w:proofErr w:type="spellStart"/>
            <w:r w:rsidR="00332B8F" w:rsidRPr="004571E5">
              <w:rPr>
                <w:rFonts w:ascii="Times New Roman" w:hAnsi="Times New Roman" w:cs="Times New Roman"/>
                <w:sz w:val="24"/>
                <w:szCs w:val="24"/>
              </w:rPr>
              <w:t>rivilegiar</w:t>
            </w:r>
            <w:proofErr w:type="spellEnd"/>
            <w:r w:rsidR="00332B8F" w:rsidRPr="004571E5">
              <w:rPr>
                <w:rFonts w:ascii="Times New Roman" w:hAnsi="Times New Roman" w:cs="Times New Roman"/>
                <w:sz w:val="24"/>
                <w:szCs w:val="24"/>
              </w:rPr>
              <w:t xml:space="preserve"> la valoración de los medios de prueba indirectos y las inferencias lógicas guiadas por las máximas de la experiencia</w:t>
            </w:r>
            <w:r w:rsidRPr="004571E5">
              <w:rPr>
                <w:rFonts w:ascii="Times New Roman" w:hAnsi="Times New Roman" w:cs="Times New Roman"/>
                <w:sz w:val="24"/>
                <w:szCs w:val="24"/>
                <w:lang w:val="es-ES_tradnl"/>
              </w:rPr>
              <w:t>” e</w:t>
            </w:r>
            <w:r w:rsidR="00686E8A" w:rsidRPr="004571E5">
              <w:rPr>
                <w:rFonts w:ascii="Times New Roman" w:hAnsi="Times New Roman" w:cs="Times New Roman"/>
                <w:sz w:val="24"/>
                <w:szCs w:val="24"/>
                <w:lang w:val="es-ES_tradnl"/>
              </w:rPr>
              <w:t>st</w:t>
            </w:r>
            <w:r w:rsidRPr="004571E5">
              <w:rPr>
                <w:rFonts w:ascii="Times New Roman" w:hAnsi="Times New Roman" w:cs="Times New Roman"/>
                <w:sz w:val="24"/>
                <w:szCs w:val="24"/>
                <w:lang w:val="es-ES_tradnl"/>
              </w:rPr>
              <w:t>e</w:t>
            </w:r>
            <w:r w:rsidR="00686E8A" w:rsidRPr="004571E5">
              <w:rPr>
                <w:rFonts w:ascii="Times New Roman" w:hAnsi="Times New Roman" w:cs="Times New Roman"/>
                <w:sz w:val="24"/>
                <w:szCs w:val="24"/>
                <w:lang w:val="es-ES_tradnl"/>
              </w:rPr>
              <w:t xml:space="preserve"> </w:t>
            </w:r>
            <w:r w:rsidRPr="004571E5">
              <w:rPr>
                <w:rFonts w:ascii="Times New Roman" w:hAnsi="Times New Roman" w:cs="Times New Roman"/>
                <w:sz w:val="24"/>
                <w:szCs w:val="24"/>
                <w:lang w:val="es-ES_tradnl"/>
              </w:rPr>
              <w:t xml:space="preserve">hecho </w:t>
            </w:r>
            <w:r w:rsidR="00686E8A" w:rsidRPr="004571E5">
              <w:rPr>
                <w:rFonts w:ascii="Times New Roman" w:hAnsi="Times New Roman" w:cs="Times New Roman"/>
                <w:sz w:val="24"/>
                <w:szCs w:val="24"/>
                <w:lang w:val="es-ES_tradnl"/>
              </w:rPr>
              <w:t xml:space="preserve">podría </w:t>
            </w:r>
            <w:r w:rsidR="00275A36" w:rsidRPr="004571E5">
              <w:rPr>
                <w:rFonts w:ascii="Times New Roman" w:hAnsi="Times New Roman" w:cs="Times New Roman"/>
                <w:sz w:val="24"/>
                <w:szCs w:val="24"/>
                <w:lang w:val="es-ES_tradnl"/>
              </w:rPr>
              <w:t>suscitar dudas sobre la magnitud del enfrentamiento reportado por el Ejército.</w:t>
            </w:r>
          </w:p>
        </w:tc>
      </w:tr>
      <w:tr w:rsidR="00686E8A" w:rsidRPr="004571E5" w14:paraId="3CD44B65" w14:textId="77777777" w:rsidTr="000447C2">
        <w:tc>
          <w:tcPr>
            <w:tcW w:w="3114" w:type="dxa"/>
            <w:vAlign w:val="center"/>
          </w:tcPr>
          <w:p w14:paraId="40DB2989" w14:textId="7B3D0CC7" w:rsidR="00686E8A" w:rsidRPr="004571E5" w:rsidRDefault="00686E8A" w:rsidP="00686E8A">
            <w:pPr>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Informe pericial de necropsia 200801015001000554</w:t>
            </w:r>
            <w:r w:rsidR="00AD6AED" w:rsidRPr="004571E5">
              <w:rPr>
                <w:rFonts w:ascii="Times New Roman" w:hAnsi="Times New Roman" w:cs="Times New Roman"/>
                <w:sz w:val="24"/>
                <w:szCs w:val="24"/>
                <w:lang w:val="es-ES_tradnl"/>
              </w:rPr>
              <w:t xml:space="preserve">. </w:t>
            </w:r>
            <w:r w:rsidR="00332B8F" w:rsidRPr="004571E5">
              <w:rPr>
                <w:rFonts w:ascii="Times New Roman" w:hAnsi="Times New Roman" w:cs="Times New Roman"/>
                <w:sz w:val="24"/>
                <w:szCs w:val="24"/>
                <w:lang w:val="es-ES_tradnl"/>
              </w:rPr>
              <w:t>Este medio de prueba muestra</w:t>
            </w:r>
            <w:r w:rsidRPr="004571E5">
              <w:rPr>
                <w:rFonts w:ascii="Times New Roman" w:hAnsi="Times New Roman" w:cs="Times New Roman"/>
                <w:sz w:val="24"/>
                <w:szCs w:val="24"/>
                <w:lang w:val="es-ES_tradnl"/>
              </w:rPr>
              <w:t xml:space="preserve"> que el señor Vergel recibió disparos de múltiples ángulos y direcciones en al menos seis trayectorias diferentes</w:t>
            </w:r>
            <w:r w:rsidRPr="004571E5">
              <w:rPr>
                <w:rStyle w:val="Refdenotaalpie"/>
                <w:rFonts w:ascii="Times New Roman" w:hAnsi="Times New Roman" w:cs="Times New Roman"/>
                <w:sz w:val="24"/>
                <w:szCs w:val="24"/>
                <w:lang w:val="es-ES_tradnl"/>
              </w:rPr>
              <w:footnoteReference w:id="67"/>
            </w:r>
            <w:r w:rsidRPr="004571E5">
              <w:rPr>
                <w:rFonts w:ascii="Times New Roman" w:hAnsi="Times New Roman" w:cs="Times New Roman"/>
                <w:sz w:val="24"/>
                <w:szCs w:val="24"/>
                <w:lang w:val="es-ES_tradnl"/>
              </w:rPr>
              <w:t xml:space="preserve">. </w:t>
            </w:r>
          </w:p>
        </w:tc>
        <w:tc>
          <w:tcPr>
            <w:tcW w:w="5670" w:type="dxa"/>
            <w:vMerge w:val="restart"/>
            <w:vAlign w:val="center"/>
          </w:tcPr>
          <w:p w14:paraId="6288DFDC" w14:textId="27A19AEF" w:rsidR="00686E8A" w:rsidRPr="004571E5" w:rsidRDefault="00DD0E07" w:rsidP="00686E8A">
            <w:pPr>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 xml:space="preserve">En aplicación de la regla probatoria en </w:t>
            </w:r>
            <w:r w:rsidR="00332B8F" w:rsidRPr="004571E5">
              <w:rPr>
                <w:rFonts w:ascii="Times New Roman" w:hAnsi="Times New Roman" w:cs="Times New Roman"/>
                <w:sz w:val="24"/>
                <w:szCs w:val="24"/>
                <w:lang w:val="es-ES_tradnl"/>
              </w:rPr>
              <w:t>virtud de la cual es necesario “[p</w:t>
            </w:r>
            <w:r w:rsidR="00332B8F" w:rsidRPr="004571E5">
              <w:rPr>
                <w:rFonts w:ascii="Times New Roman" w:hAnsi="Times New Roman" w:cs="Times New Roman"/>
                <w:sz w:val="24"/>
                <w:szCs w:val="24"/>
              </w:rPr>
              <w:t>]</w:t>
            </w:r>
            <w:proofErr w:type="spellStart"/>
            <w:r w:rsidR="00332B8F" w:rsidRPr="004571E5">
              <w:rPr>
                <w:rFonts w:ascii="Times New Roman" w:hAnsi="Times New Roman" w:cs="Times New Roman"/>
                <w:sz w:val="24"/>
                <w:szCs w:val="24"/>
              </w:rPr>
              <w:t>rivilegiar</w:t>
            </w:r>
            <w:proofErr w:type="spellEnd"/>
            <w:r w:rsidR="00332B8F" w:rsidRPr="004571E5">
              <w:rPr>
                <w:rFonts w:ascii="Times New Roman" w:hAnsi="Times New Roman" w:cs="Times New Roman"/>
                <w:sz w:val="24"/>
                <w:szCs w:val="24"/>
              </w:rPr>
              <w:t xml:space="preserve"> la valoración de los medios de prueba indirectos y las inferencias lógicas guiadas por las máximas de la experiencia</w:t>
            </w:r>
            <w:r w:rsidR="00332B8F" w:rsidRPr="004571E5">
              <w:rPr>
                <w:rFonts w:ascii="Times New Roman" w:hAnsi="Times New Roman" w:cs="Times New Roman"/>
                <w:sz w:val="24"/>
                <w:szCs w:val="24"/>
                <w:lang w:val="es-ES_tradnl"/>
              </w:rPr>
              <w:t xml:space="preserve">” </w:t>
            </w:r>
            <w:r w:rsidRPr="004571E5">
              <w:rPr>
                <w:rFonts w:ascii="Times New Roman" w:hAnsi="Times New Roman" w:cs="Times New Roman"/>
                <w:sz w:val="24"/>
                <w:szCs w:val="24"/>
                <w:lang w:val="es-ES_tradnl"/>
              </w:rPr>
              <w:t>e</w:t>
            </w:r>
            <w:r w:rsidR="00686E8A" w:rsidRPr="004571E5">
              <w:rPr>
                <w:rFonts w:ascii="Times New Roman" w:hAnsi="Times New Roman" w:cs="Times New Roman"/>
                <w:sz w:val="24"/>
                <w:szCs w:val="24"/>
                <w:lang w:val="es-ES_tradnl"/>
              </w:rPr>
              <w:t>stos</w:t>
            </w:r>
            <w:r w:rsidR="00F41BF7" w:rsidRPr="004571E5">
              <w:rPr>
                <w:rFonts w:ascii="Times New Roman" w:hAnsi="Times New Roman" w:cs="Times New Roman"/>
                <w:sz w:val="24"/>
                <w:szCs w:val="24"/>
                <w:lang w:val="es-ES_tradnl"/>
              </w:rPr>
              <w:t xml:space="preserve"> medios de prueba</w:t>
            </w:r>
            <w:r w:rsidRPr="004571E5">
              <w:rPr>
                <w:rFonts w:ascii="Times New Roman" w:hAnsi="Times New Roman" w:cs="Times New Roman"/>
                <w:sz w:val="24"/>
                <w:szCs w:val="24"/>
                <w:lang w:val="es-ES_tradnl"/>
              </w:rPr>
              <w:t xml:space="preserve"> suscitan dudas acerca de la existencia de un enfrentamiento. </w:t>
            </w:r>
            <w:r w:rsidR="008B7457" w:rsidRPr="004571E5">
              <w:rPr>
                <w:rFonts w:ascii="Times New Roman" w:hAnsi="Times New Roman" w:cs="Times New Roman"/>
                <w:sz w:val="24"/>
                <w:szCs w:val="24"/>
                <w:lang w:val="es-ES_tradnl"/>
              </w:rPr>
              <w:t>De acuerdo con ello, el</w:t>
            </w:r>
            <w:r w:rsidR="00686E8A" w:rsidRPr="004571E5">
              <w:rPr>
                <w:rFonts w:ascii="Times New Roman" w:hAnsi="Times New Roman" w:cs="Times New Roman"/>
                <w:sz w:val="24"/>
                <w:szCs w:val="24"/>
                <w:lang w:val="es-ES_tradnl"/>
              </w:rPr>
              <w:t xml:space="preserve"> fallecido (i) </w:t>
            </w:r>
            <w:r w:rsidR="008B7457" w:rsidRPr="004571E5">
              <w:rPr>
                <w:rFonts w:ascii="Times New Roman" w:hAnsi="Times New Roman" w:cs="Times New Roman"/>
                <w:sz w:val="24"/>
                <w:szCs w:val="24"/>
                <w:lang w:val="es-ES_tradnl"/>
              </w:rPr>
              <w:t>podría haber estado</w:t>
            </w:r>
            <w:r w:rsidR="00686E8A" w:rsidRPr="004571E5">
              <w:rPr>
                <w:rFonts w:ascii="Times New Roman" w:hAnsi="Times New Roman" w:cs="Times New Roman"/>
                <w:sz w:val="24"/>
                <w:szCs w:val="24"/>
                <w:lang w:val="es-ES_tradnl"/>
              </w:rPr>
              <w:t xml:space="preserve"> rodeado de militares y</w:t>
            </w:r>
            <w:r w:rsidR="00D257DE" w:rsidRPr="004571E5">
              <w:rPr>
                <w:rFonts w:ascii="Times New Roman" w:hAnsi="Times New Roman" w:cs="Times New Roman"/>
                <w:sz w:val="24"/>
                <w:szCs w:val="24"/>
                <w:lang w:val="es-ES_tradnl"/>
              </w:rPr>
              <w:t>, al parecer,</w:t>
            </w:r>
            <w:r w:rsidR="00686E8A" w:rsidRPr="004571E5">
              <w:rPr>
                <w:rFonts w:ascii="Times New Roman" w:hAnsi="Times New Roman" w:cs="Times New Roman"/>
                <w:sz w:val="24"/>
                <w:szCs w:val="24"/>
                <w:lang w:val="es-ES_tradnl"/>
              </w:rPr>
              <w:t xml:space="preserve"> (</w:t>
            </w:r>
            <w:proofErr w:type="spellStart"/>
            <w:r w:rsidR="00686E8A" w:rsidRPr="004571E5">
              <w:rPr>
                <w:rFonts w:ascii="Times New Roman" w:hAnsi="Times New Roman" w:cs="Times New Roman"/>
                <w:sz w:val="24"/>
                <w:szCs w:val="24"/>
                <w:lang w:val="es-ES_tradnl"/>
              </w:rPr>
              <w:t>ii</w:t>
            </w:r>
            <w:proofErr w:type="spellEnd"/>
            <w:r w:rsidR="00686E8A" w:rsidRPr="004571E5">
              <w:rPr>
                <w:rFonts w:ascii="Times New Roman" w:hAnsi="Times New Roman" w:cs="Times New Roman"/>
                <w:sz w:val="24"/>
                <w:szCs w:val="24"/>
                <w:lang w:val="es-ES_tradnl"/>
              </w:rPr>
              <w:t>) recibió disparos desde muy cerca</w:t>
            </w:r>
            <w:r w:rsidR="008B7457" w:rsidRPr="004571E5">
              <w:rPr>
                <w:rFonts w:ascii="Times New Roman" w:hAnsi="Times New Roman" w:cs="Times New Roman"/>
                <w:sz w:val="24"/>
                <w:szCs w:val="24"/>
                <w:lang w:val="es-ES_tradnl"/>
              </w:rPr>
              <w:t>, en principio</w:t>
            </w:r>
            <w:r w:rsidR="00686E8A" w:rsidRPr="004571E5">
              <w:rPr>
                <w:rFonts w:ascii="Times New Roman" w:hAnsi="Times New Roman" w:cs="Times New Roman"/>
                <w:sz w:val="24"/>
                <w:szCs w:val="24"/>
                <w:lang w:val="es-ES_tradnl"/>
              </w:rPr>
              <w:t>. Ello contrasta con el relato</w:t>
            </w:r>
            <w:r w:rsidR="00423E6E" w:rsidRPr="004571E5">
              <w:rPr>
                <w:rFonts w:ascii="Times New Roman" w:hAnsi="Times New Roman" w:cs="Times New Roman"/>
                <w:sz w:val="24"/>
                <w:szCs w:val="24"/>
                <w:lang w:val="es-ES_tradnl"/>
              </w:rPr>
              <w:t xml:space="preserve"> de</w:t>
            </w:r>
            <w:r w:rsidR="00F41BF7" w:rsidRPr="004571E5">
              <w:rPr>
                <w:rFonts w:ascii="Times New Roman" w:hAnsi="Times New Roman" w:cs="Times New Roman"/>
                <w:sz w:val="24"/>
                <w:szCs w:val="24"/>
                <w:lang w:val="es-ES_tradnl"/>
              </w:rPr>
              <w:t xml:space="preserve"> los integrantes de las fuerzas militares </w:t>
            </w:r>
            <w:r w:rsidR="00D257DE" w:rsidRPr="004571E5">
              <w:rPr>
                <w:rFonts w:ascii="Times New Roman" w:hAnsi="Times New Roman" w:cs="Times New Roman"/>
                <w:sz w:val="24"/>
                <w:szCs w:val="24"/>
                <w:lang w:val="es-ES_tradnl"/>
              </w:rPr>
              <w:t xml:space="preserve">quienes </w:t>
            </w:r>
            <w:r w:rsidR="00686E8A" w:rsidRPr="004571E5">
              <w:rPr>
                <w:rFonts w:ascii="Times New Roman" w:hAnsi="Times New Roman" w:cs="Times New Roman"/>
                <w:sz w:val="24"/>
                <w:szCs w:val="24"/>
                <w:lang w:val="es-ES_tradnl"/>
              </w:rPr>
              <w:t xml:space="preserve">(i) aportaron un mapa de la operación </w:t>
            </w:r>
            <w:r w:rsidR="00F41BF7" w:rsidRPr="004571E5">
              <w:rPr>
                <w:rFonts w:ascii="Times New Roman" w:hAnsi="Times New Roman" w:cs="Times New Roman"/>
                <w:sz w:val="24"/>
                <w:szCs w:val="24"/>
                <w:lang w:val="es-ES_tradnl"/>
              </w:rPr>
              <w:t xml:space="preserve">en el que se indica </w:t>
            </w:r>
            <w:r w:rsidR="00686E8A" w:rsidRPr="004571E5">
              <w:rPr>
                <w:rFonts w:ascii="Times New Roman" w:hAnsi="Times New Roman" w:cs="Times New Roman"/>
                <w:sz w:val="24"/>
                <w:szCs w:val="24"/>
                <w:lang w:val="es-ES_tradnl"/>
              </w:rPr>
              <w:t>que los militares se ubicaban únicamente de frente y de lado de la ubicación donde falleció el señor Vergel</w:t>
            </w:r>
            <w:r w:rsidR="00686E8A" w:rsidRPr="004571E5">
              <w:rPr>
                <w:rStyle w:val="Refdenotaalpie"/>
                <w:rFonts w:ascii="Times New Roman" w:hAnsi="Times New Roman" w:cs="Times New Roman"/>
                <w:sz w:val="24"/>
                <w:szCs w:val="24"/>
                <w:lang w:val="es-ES_tradnl"/>
              </w:rPr>
              <w:footnoteReference w:id="68"/>
            </w:r>
            <w:r w:rsidRPr="004571E5">
              <w:rPr>
                <w:rFonts w:ascii="Times New Roman" w:hAnsi="Times New Roman" w:cs="Times New Roman"/>
                <w:sz w:val="24"/>
                <w:szCs w:val="24"/>
                <w:lang w:val="es-ES_tradnl"/>
              </w:rPr>
              <w:t xml:space="preserve"> </w:t>
            </w:r>
            <w:r w:rsidR="004B11A3" w:rsidRPr="004571E5">
              <w:rPr>
                <w:rFonts w:ascii="Times New Roman" w:hAnsi="Times New Roman" w:cs="Times New Roman"/>
                <w:sz w:val="24"/>
                <w:szCs w:val="24"/>
                <w:lang w:val="es-ES_tradnl"/>
              </w:rPr>
              <w:t>y</w:t>
            </w:r>
            <w:r w:rsidR="00686E8A" w:rsidRPr="004571E5">
              <w:rPr>
                <w:rFonts w:ascii="Times New Roman" w:hAnsi="Times New Roman" w:cs="Times New Roman"/>
                <w:sz w:val="24"/>
                <w:szCs w:val="24"/>
                <w:lang w:val="es-ES_tradnl"/>
              </w:rPr>
              <w:t xml:space="preserve"> (</w:t>
            </w:r>
            <w:proofErr w:type="spellStart"/>
            <w:r w:rsidR="00686E8A" w:rsidRPr="004571E5">
              <w:rPr>
                <w:rFonts w:ascii="Times New Roman" w:hAnsi="Times New Roman" w:cs="Times New Roman"/>
                <w:sz w:val="24"/>
                <w:szCs w:val="24"/>
                <w:lang w:val="es-ES_tradnl"/>
              </w:rPr>
              <w:t>ii</w:t>
            </w:r>
            <w:proofErr w:type="spellEnd"/>
            <w:r w:rsidR="00686E8A" w:rsidRPr="004571E5">
              <w:rPr>
                <w:rFonts w:ascii="Times New Roman" w:hAnsi="Times New Roman" w:cs="Times New Roman"/>
                <w:sz w:val="24"/>
                <w:szCs w:val="24"/>
                <w:lang w:val="es-ES_tradnl"/>
              </w:rPr>
              <w:t>)</w:t>
            </w:r>
            <w:r w:rsidR="004B11A3" w:rsidRPr="004571E5">
              <w:rPr>
                <w:rFonts w:ascii="Times New Roman" w:hAnsi="Times New Roman" w:cs="Times New Roman"/>
                <w:sz w:val="24"/>
                <w:szCs w:val="24"/>
                <w:lang w:val="es-ES_tradnl"/>
              </w:rPr>
              <w:t xml:space="preserve"> señalaron ante la Fiscalía que se ubicaban a una distancia que se evidencia mayor a dos metros entre los lugares por los cuales se desplazaron los soldados y los presuntos criminales, según</w:t>
            </w:r>
            <w:r w:rsidRPr="004571E5">
              <w:rPr>
                <w:rFonts w:ascii="Times New Roman" w:hAnsi="Times New Roman" w:cs="Times New Roman"/>
                <w:sz w:val="24"/>
                <w:szCs w:val="24"/>
                <w:lang w:val="es-ES_tradnl"/>
              </w:rPr>
              <w:t xml:space="preserve"> </w:t>
            </w:r>
            <w:r w:rsidR="00686E8A" w:rsidRPr="004571E5">
              <w:rPr>
                <w:rFonts w:ascii="Times New Roman" w:hAnsi="Times New Roman" w:cs="Times New Roman"/>
                <w:sz w:val="24"/>
                <w:szCs w:val="24"/>
                <w:lang w:val="es-ES_tradnl"/>
              </w:rPr>
              <w:t xml:space="preserve">la imagen </w:t>
            </w:r>
            <w:r w:rsidR="004B11A3" w:rsidRPr="004571E5">
              <w:rPr>
                <w:rFonts w:ascii="Times New Roman" w:hAnsi="Times New Roman" w:cs="Times New Roman"/>
                <w:sz w:val="24"/>
                <w:szCs w:val="24"/>
                <w:lang w:val="es-ES_tradnl"/>
              </w:rPr>
              <w:t>cuatro</w:t>
            </w:r>
            <w:r w:rsidR="00686E8A" w:rsidRPr="004571E5">
              <w:rPr>
                <w:rFonts w:ascii="Times New Roman" w:hAnsi="Times New Roman" w:cs="Times New Roman"/>
                <w:sz w:val="24"/>
                <w:szCs w:val="24"/>
                <w:lang w:val="es-ES_tradnl"/>
              </w:rPr>
              <w:t xml:space="preserve"> del examen contenido en la orden de trabajo 967 del 28 de julio de 2009</w:t>
            </w:r>
            <w:r w:rsidR="00686E8A" w:rsidRPr="004571E5">
              <w:rPr>
                <w:rStyle w:val="Refdenotaalpie"/>
                <w:rFonts w:ascii="Times New Roman" w:hAnsi="Times New Roman" w:cs="Times New Roman"/>
                <w:sz w:val="24"/>
                <w:szCs w:val="24"/>
                <w:lang w:val="es-ES_tradnl"/>
              </w:rPr>
              <w:footnoteReference w:id="69"/>
            </w:r>
            <w:r w:rsidR="00686E8A" w:rsidRPr="004571E5">
              <w:rPr>
                <w:rFonts w:ascii="Times New Roman" w:hAnsi="Times New Roman" w:cs="Times New Roman"/>
                <w:sz w:val="24"/>
                <w:szCs w:val="24"/>
                <w:lang w:val="es-ES_tradnl"/>
              </w:rPr>
              <w:t>.</w:t>
            </w:r>
          </w:p>
          <w:p w14:paraId="32D552C0" w14:textId="725D2477" w:rsidR="000447C2" w:rsidRPr="004571E5" w:rsidRDefault="000447C2" w:rsidP="00686E8A">
            <w:pPr>
              <w:jc w:val="both"/>
              <w:rPr>
                <w:rFonts w:ascii="Times New Roman" w:hAnsi="Times New Roman" w:cs="Times New Roman"/>
                <w:sz w:val="24"/>
                <w:szCs w:val="24"/>
                <w:lang w:val="es-ES_tradnl"/>
              </w:rPr>
            </w:pPr>
          </w:p>
        </w:tc>
      </w:tr>
      <w:tr w:rsidR="00686E8A" w:rsidRPr="004571E5" w14:paraId="632401D5" w14:textId="77777777" w:rsidTr="000447C2">
        <w:tc>
          <w:tcPr>
            <w:tcW w:w="3114" w:type="dxa"/>
            <w:vAlign w:val="center"/>
          </w:tcPr>
          <w:p w14:paraId="375D2BA6" w14:textId="19048692" w:rsidR="00686E8A" w:rsidRPr="004571E5" w:rsidRDefault="000447C2" w:rsidP="00686E8A">
            <w:pPr>
              <w:pStyle w:val="Prrafodelista"/>
              <w:ind w:left="0"/>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 xml:space="preserve">Informe de investigador de laboratorio del Cuerpo Técnico de Investigación en Balística Forense de la </w:t>
            </w:r>
            <w:proofErr w:type="gramStart"/>
            <w:r w:rsidRPr="004571E5">
              <w:rPr>
                <w:rFonts w:ascii="Times New Roman" w:hAnsi="Times New Roman" w:cs="Times New Roman"/>
                <w:sz w:val="24"/>
                <w:szCs w:val="24"/>
                <w:lang w:val="es-ES_tradnl"/>
              </w:rPr>
              <w:t>Fiscalía General</w:t>
            </w:r>
            <w:proofErr w:type="gramEnd"/>
            <w:r w:rsidRPr="004571E5">
              <w:rPr>
                <w:rFonts w:ascii="Times New Roman" w:hAnsi="Times New Roman" w:cs="Times New Roman"/>
                <w:sz w:val="24"/>
                <w:szCs w:val="24"/>
                <w:lang w:val="es-ES_tradnl"/>
              </w:rPr>
              <w:t xml:space="preserve"> de la Nación. o</w:t>
            </w:r>
            <w:r w:rsidR="00686E8A" w:rsidRPr="004571E5">
              <w:rPr>
                <w:rFonts w:ascii="Times New Roman" w:hAnsi="Times New Roman" w:cs="Times New Roman"/>
                <w:sz w:val="24"/>
                <w:szCs w:val="24"/>
                <w:lang w:val="es-ES_tradnl"/>
              </w:rPr>
              <w:t>rden de trabajo 4306-09</w:t>
            </w:r>
            <w:r w:rsidRPr="004571E5">
              <w:rPr>
                <w:rFonts w:ascii="Times New Roman" w:hAnsi="Times New Roman" w:cs="Times New Roman"/>
                <w:sz w:val="24"/>
                <w:szCs w:val="24"/>
                <w:lang w:val="es-ES_tradnl"/>
              </w:rPr>
              <w:t xml:space="preserve">. </w:t>
            </w:r>
            <w:r w:rsidR="006348AC" w:rsidRPr="004571E5">
              <w:rPr>
                <w:rFonts w:ascii="Times New Roman" w:hAnsi="Times New Roman" w:cs="Times New Roman"/>
                <w:sz w:val="24"/>
                <w:szCs w:val="24"/>
                <w:lang w:val="es-ES_tradnl"/>
              </w:rPr>
              <w:t xml:space="preserve">Esta </w:t>
            </w:r>
            <w:r w:rsidR="00686E8A" w:rsidRPr="004571E5">
              <w:rPr>
                <w:rFonts w:ascii="Times New Roman" w:hAnsi="Times New Roman" w:cs="Times New Roman"/>
                <w:sz w:val="24"/>
                <w:szCs w:val="24"/>
                <w:lang w:val="es-ES_tradnl"/>
              </w:rPr>
              <w:t>señala que la distancia de los impactos fue menor a dos metros y que se recibieron dos disparos en la parte posterior del cuerpo</w:t>
            </w:r>
            <w:r w:rsidR="00686E8A" w:rsidRPr="004571E5">
              <w:rPr>
                <w:rStyle w:val="Refdenotaalpie"/>
                <w:rFonts w:ascii="Times New Roman" w:hAnsi="Times New Roman" w:cs="Times New Roman"/>
                <w:sz w:val="24"/>
                <w:szCs w:val="24"/>
                <w:lang w:val="es-ES_tradnl"/>
              </w:rPr>
              <w:footnoteReference w:id="70"/>
            </w:r>
            <w:r w:rsidR="00686E8A" w:rsidRPr="004571E5">
              <w:rPr>
                <w:rFonts w:ascii="Times New Roman" w:hAnsi="Times New Roman" w:cs="Times New Roman"/>
                <w:sz w:val="24"/>
                <w:szCs w:val="24"/>
                <w:lang w:val="es-ES_tradnl"/>
              </w:rPr>
              <w:t xml:space="preserve">. </w:t>
            </w:r>
          </w:p>
        </w:tc>
        <w:tc>
          <w:tcPr>
            <w:tcW w:w="5670" w:type="dxa"/>
            <w:vMerge/>
            <w:vAlign w:val="center"/>
          </w:tcPr>
          <w:p w14:paraId="0C603D80" w14:textId="77777777" w:rsidR="00686E8A" w:rsidRPr="004571E5" w:rsidRDefault="00686E8A" w:rsidP="00686E8A">
            <w:pPr>
              <w:jc w:val="both"/>
              <w:rPr>
                <w:rFonts w:ascii="Times New Roman" w:hAnsi="Times New Roman" w:cs="Times New Roman"/>
                <w:sz w:val="24"/>
                <w:szCs w:val="24"/>
                <w:lang w:val="es-ES_tradnl"/>
              </w:rPr>
            </w:pPr>
          </w:p>
        </w:tc>
      </w:tr>
      <w:tr w:rsidR="00686E8A" w:rsidRPr="004571E5" w14:paraId="202489D3" w14:textId="77777777" w:rsidTr="000447C2">
        <w:tc>
          <w:tcPr>
            <w:tcW w:w="3114" w:type="dxa"/>
            <w:vAlign w:val="center"/>
          </w:tcPr>
          <w:p w14:paraId="77673A44" w14:textId="03616845" w:rsidR="00686E8A" w:rsidRPr="004571E5" w:rsidRDefault="00F41BF7" w:rsidP="00686E8A">
            <w:pPr>
              <w:pStyle w:val="Prrafodelista"/>
              <w:ind w:left="0"/>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T</w:t>
            </w:r>
            <w:r w:rsidR="00686E8A" w:rsidRPr="004571E5">
              <w:rPr>
                <w:rFonts w:ascii="Times New Roman" w:hAnsi="Times New Roman" w:cs="Times New Roman"/>
                <w:sz w:val="24"/>
                <w:szCs w:val="24"/>
                <w:lang w:val="es-ES_tradnl"/>
              </w:rPr>
              <w:t>estimonios de vari</w:t>
            </w:r>
            <w:r w:rsidRPr="004571E5">
              <w:rPr>
                <w:rFonts w:ascii="Times New Roman" w:hAnsi="Times New Roman" w:cs="Times New Roman"/>
                <w:sz w:val="24"/>
                <w:szCs w:val="24"/>
                <w:lang w:val="es-ES_tradnl"/>
              </w:rPr>
              <w:t>a</w:t>
            </w:r>
            <w:r w:rsidR="00686E8A" w:rsidRPr="004571E5">
              <w:rPr>
                <w:rFonts w:ascii="Times New Roman" w:hAnsi="Times New Roman" w:cs="Times New Roman"/>
                <w:sz w:val="24"/>
                <w:szCs w:val="24"/>
                <w:lang w:val="es-ES_tradnl"/>
              </w:rPr>
              <w:t>s</w:t>
            </w:r>
            <w:r w:rsidRPr="004571E5">
              <w:rPr>
                <w:rFonts w:ascii="Times New Roman" w:hAnsi="Times New Roman" w:cs="Times New Roman"/>
                <w:sz w:val="24"/>
                <w:szCs w:val="24"/>
                <w:lang w:val="es-ES_tradnl"/>
              </w:rPr>
              <w:t xml:space="preserve"> personas que conocían al</w:t>
            </w:r>
            <w:r w:rsidR="00686E8A" w:rsidRPr="004571E5">
              <w:rPr>
                <w:rFonts w:ascii="Times New Roman" w:hAnsi="Times New Roman" w:cs="Times New Roman"/>
                <w:sz w:val="24"/>
                <w:szCs w:val="24"/>
                <w:lang w:val="es-ES_tradnl"/>
              </w:rPr>
              <w:t xml:space="preserve"> señor Vergel que afirmaron que él no frecuentaba el municipio donde fue hallado y que trabajaba en Cúcuta como prestamista</w:t>
            </w:r>
            <w:r w:rsidR="00686E8A" w:rsidRPr="004571E5">
              <w:rPr>
                <w:rStyle w:val="Refdenotaalpie"/>
                <w:rFonts w:ascii="Times New Roman" w:hAnsi="Times New Roman" w:cs="Times New Roman"/>
                <w:sz w:val="24"/>
                <w:szCs w:val="24"/>
                <w:lang w:val="es-ES_tradnl"/>
              </w:rPr>
              <w:footnoteReference w:id="71"/>
            </w:r>
            <w:r w:rsidR="00686E8A" w:rsidRPr="004571E5">
              <w:rPr>
                <w:rFonts w:ascii="Times New Roman" w:hAnsi="Times New Roman" w:cs="Times New Roman"/>
                <w:sz w:val="24"/>
                <w:szCs w:val="24"/>
                <w:lang w:val="es-ES_tradnl"/>
              </w:rPr>
              <w:t>.</w:t>
            </w:r>
          </w:p>
        </w:tc>
        <w:tc>
          <w:tcPr>
            <w:tcW w:w="5670" w:type="dxa"/>
            <w:vAlign w:val="center"/>
          </w:tcPr>
          <w:p w14:paraId="4E334680" w14:textId="38B361D7" w:rsidR="00EF1ADB" w:rsidRPr="004571E5" w:rsidRDefault="00DD0E07" w:rsidP="00EF1ADB">
            <w:pPr>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 xml:space="preserve">En aplicación de la regla probatoria en virtud de la cual </w:t>
            </w:r>
            <w:r w:rsidR="00332B8F" w:rsidRPr="004571E5">
              <w:rPr>
                <w:rFonts w:ascii="Times New Roman" w:hAnsi="Times New Roman" w:cs="Times New Roman"/>
                <w:sz w:val="24"/>
                <w:szCs w:val="24"/>
                <w:lang w:val="es-ES_tradnl"/>
              </w:rPr>
              <w:t xml:space="preserve">si </w:t>
            </w:r>
            <w:r w:rsidR="00332B8F" w:rsidRPr="004571E5">
              <w:rPr>
                <w:rFonts w:ascii="Times New Roman" w:hAnsi="Times New Roman" w:cs="Times New Roman"/>
                <w:sz w:val="24"/>
                <w:szCs w:val="24"/>
              </w:rPr>
              <w:t>se presentan versiones opuestas de los hechos “debe determinar cuál de ellas ofrece mayor probabilidad de acierto, sin necesidad de llegar a un convencimiento pleno más allá de toda duda razonable”,</w:t>
            </w:r>
            <w:r w:rsidRPr="004571E5">
              <w:rPr>
                <w:rFonts w:ascii="Times New Roman" w:hAnsi="Times New Roman" w:cs="Times New Roman"/>
                <w:sz w:val="24"/>
                <w:szCs w:val="24"/>
                <w:lang w:val="es-ES_tradnl"/>
              </w:rPr>
              <w:t xml:space="preserve"> estos medios de prueba suscitan </w:t>
            </w:r>
            <w:r w:rsidR="00686E8A" w:rsidRPr="004571E5">
              <w:rPr>
                <w:rFonts w:ascii="Times New Roman" w:hAnsi="Times New Roman" w:cs="Times New Roman"/>
                <w:sz w:val="24"/>
                <w:szCs w:val="24"/>
                <w:lang w:val="es-ES_tradnl"/>
              </w:rPr>
              <w:t>dudas sobre el hecho de que el señor Vergel perteneciera a un grupo criminal, como lo señaló el Ejército. Además, el hecho de que los testigos reconocieran su profesión como prestamista da cuenta de que conocían de su día a día y las actividades a las que se dedicaba, por lo que podría inferirse que es poco probable que estuviera delinquiendo en la zona.</w:t>
            </w:r>
            <w:r w:rsidR="00EF1ADB" w:rsidRPr="004571E5">
              <w:rPr>
                <w:rFonts w:ascii="Times New Roman" w:hAnsi="Times New Roman" w:cs="Times New Roman"/>
                <w:sz w:val="24"/>
                <w:szCs w:val="24"/>
                <w:lang w:val="es-ES_tradnl"/>
              </w:rPr>
              <w:t xml:space="preserve"> Nuevamente, ello podría indicar que la autoridad judicial no fijó adecuadamente el perfil del fallecido, toda vez que era una persona reconocida en su comunidad.</w:t>
            </w:r>
          </w:p>
        </w:tc>
      </w:tr>
      <w:tr w:rsidR="00686E8A" w:rsidRPr="004571E5" w14:paraId="6A8DF804" w14:textId="77777777" w:rsidTr="000447C2">
        <w:trPr>
          <w:trHeight w:val="1294"/>
        </w:trPr>
        <w:tc>
          <w:tcPr>
            <w:tcW w:w="3114" w:type="dxa"/>
            <w:vAlign w:val="center"/>
          </w:tcPr>
          <w:p w14:paraId="34C817A7" w14:textId="77777777" w:rsidR="00686E8A" w:rsidRPr="004571E5" w:rsidRDefault="00686E8A" w:rsidP="00686E8A">
            <w:pPr>
              <w:pStyle w:val="Prrafodelista"/>
              <w:ind w:left="0"/>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t xml:space="preserve">Informe técnico de la </w:t>
            </w:r>
            <w:proofErr w:type="gramStart"/>
            <w:r w:rsidRPr="004571E5">
              <w:rPr>
                <w:rFonts w:ascii="Times New Roman" w:hAnsi="Times New Roman" w:cs="Times New Roman"/>
                <w:sz w:val="24"/>
                <w:szCs w:val="24"/>
                <w:lang w:val="es-ES_tradnl"/>
              </w:rPr>
              <w:t>Fiscalía General</w:t>
            </w:r>
            <w:proofErr w:type="gramEnd"/>
            <w:r w:rsidRPr="004571E5">
              <w:rPr>
                <w:rFonts w:ascii="Times New Roman" w:hAnsi="Times New Roman" w:cs="Times New Roman"/>
                <w:sz w:val="24"/>
                <w:szCs w:val="24"/>
                <w:lang w:val="es-ES_tradnl"/>
              </w:rPr>
              <w:t xml:space="preserve"> de la Nación</w:t>
            </w:r>
            <w:r w:rsidRPr="004571E5">
              <w:rPr>
                <w:rStyle w:val="Refdenotaalpie"/>
                <w:rFonts w:ascii="Times New Roman" w:hAnsi="Times New Roman" w:cs="Times New Roman"/>
                <w:sz w:val="24"/>
                <w:szCs w:val="24"/>
                <w:lang w:val="es-ES_tradnl"/>
              </w:rPr>
              <w:footnoteReference w:id="72"/>
            </w:r>
            <w:r w:rsidRPr="004571E5">
              <w:rPr>
                <w:rFonts w:ascii="Times New Roman" w:hAnsi="Times New Roman" w:cs="Times New Roman"/>
                <w:sz w:val="24"/>
                <w:szCs w:val="24"/>
                <w:lang w:val="es-ES_tradnl"/>
              </w:rPr>
              <w:t xml:space="preserve"> que señaló (i) que el lugar no estaba acordonado</w:t>
            </w:r>
            <w:r w:rsidRPr="004571E5">
              <w:rPr>
                <w:rFonts w:ascii="Times New Roman" w:hAnsi="Times New Roman" w:cs="Times New Roman"/>
                <w:sz w:val="24"/>
                <w:szCs w:val="24"/>
                <w:vertAlign w:val="superscript"/>
                <w:lang w:val="es-ES_tradnl"/>
              </w:rPr>
              <w:footnoteReference w:id="73"/>
            </w:r>
            <w:r w:rsidRPr="004571E5">
              <w:rPr>
                <w:rFonts w:ascii="Times New Roman" w:hAnsi="Times New Roman" w:cs="Times New Roman"/>
                <w:sz w:val="24"/>
                <w:szCs w:val="24"/>
                <w:lang w:val="es-ES_tradnl"/>
              </w:rPr>
              <w:t xml:space="preserve"> y (</w:t>
            </w:r>
            <w:proofErr w:type="spellStart"/>
            <w:r w:rsidRPr="004571E5">
              <w:rPr>
                <w:rFonts w:ascii="Times New Roman" w:hAnsi="Times New Roman" w:cs="Times New Roman"/>
                <w:sz w:val="24"/>
                <w:szCs w:val="24"/>
                <w:lang w:val="es-ES_tradnl"/>
              </w:rPr>
              <w:t>ii</w:t>
            </w:r>
            <w:proofErr w:type="spellEnd"/>
            <w:r w:rsidRPr="004571E5">
              <w:rPr>
                <w:rFonts w:ascii="Times New Roman" w:hAnsi="Times New Roman" w:cs="Times New Roman"/>
                <w:sz w:val="24"/>
                <w:szCs w:val="24"/>
                <w:lang w:val="es-ES_tradnl"/>
              </w:rPr>
              <w:t xml:space="preserve">) que únicamente se encontraron </w:t>
            </w:r>
            <w:r w:rsidRPr="004571E5">
              <w:rPr>
                <w:rFonts w:ascii="Times New Roman" w:hAnsi="Times New Roman" w:cs="Times New Roman"/>
                <w:sz w:val="24"/>
                <w:szCs w:val="24"/>
                <w:lang w:val="es-ES_tradnl"/>
              </w:rPr>
              <w:lastRenderedPageBreak/>
              <w:t>tres armas de fuego disparadas</w:t>
            </w:r>
            <w:r w:rsidRPr="004571E5">
              <w:rPr>
                <w:rStyle w:val="Refdenotaalpie"/>
                <w:rFonts w:ascii="Times New Roman" w:hAnsi="Times New Roman" w:cs="Times New Roman"/>
                <w:sz w:val="24"/>
                <w:szCs w:val="24"/>
                <w:lang w:val="es-ES_tradnl"/>
              </w:rPr>
              <w:footnoteReference w:id="74"/>
            </w:r>
            <w:r w:rsidRPr="004571E5">
              <w:rPr>
                <w:rFonts w:ascii="Times New Roman" w:hAnsi="Times New Roman" w:cs="Times New Roman"/>
                <w:sz w:val="24"/>
                <w:szCs w:val="24"/>
                <w:lang w:val="es-ES_tradnl"/>
              </w:rPr>
              <w:t>.</w:t>
            </w:r>
          </w:p>
        </w:tc>
        <w:tc>
          <w:tcPr>
            <w:tcW w:w="5670" w:type="dxa"/>
            <w:vAlign w:val="center"/>
          </w:tcPr>
          <w:p w14:paraId="7B403DC0" w14:textId="73CE52D6" w:rsidR="00686E8A" w:rsidRPr="004571E5" w:rsidRDefault="00DD0E07" w:rsidP="00686E8A">
            <w:pPr>
              <w:jc w:val="both"/>
              <w:rPr>
                <w:rFonts w:ascii="Times New Roman" w:hAnsi="Times New Roman" w:cs="Times New Roman"/>
                <w:sz w:val="24"/>
                <w:szCs w:val="24"/>
                <w:lang w:val="es-ES_tradnl"/>
              </w:rPr>
            </w:pPr>
            <w:r w:rsidRPr="004571E5">
              <w:rPr>
                <w:rFonts w:ascii="Times New Roman" w:hAnsi="Times New Roman" w:cs="Times New Roman"/>
                <w:sz w:val="24"/>
                <w:szCs w:val="24"/>
                <w:lang w:val="es-ES_tradnl"/>
              </w:rPr>
              <w:lastRenderedPageBreak/>
              <w:t xml:space="preserve">En aplicación de la regla probatoria en </w:t>
            </w:r>
            <w:r w:rsidR="00332B8F" w:rsidRPr="004571E5">
              <w:rPr>
                <w:rFonts w:ascii="Times New Roman" w:hAnsi="Times New Roman" w:cs="Times New Roman"/>
                <w:sz w:val="24"/>
                <w:szCs w:val="24"/>
                <w:lang w:val="es-ES_tradnl"/>
              </w:rPr>
              <w:t>virtud de la cual es necesario “[p</w:t>
            </w:r>
            <w:r w:rsidR="00332B8F" w:rsidRPr="004571E5">
              <w:rPr>
                <w:rFonts w:ascii="Times New Roman" w:hAnsi="Times New Roman" w:cs="Times New Roman"/>
                <w:sz w:val="24"/>
                <w:szCs w:val="24"/>
              </w:rPr>
              <w:t>]</w:t>
            </w:r>
            <w:proofErr w:type="spellStart"/>
            <w:r w:rsidR="00332B8F" w:rsidRPr="004571E5">
              <w:rPr>
                <w:rFonts w:ascii="Times New Roman" w:hAnsi="Times New Roman" w:cs="Times New Roman"/>
                <w:sz w:val="24"/>
                <w:szCs w:val="24"/>
              </w:rPr>
              <w:t>rivilegiar</w:t>
            </w:r>
            <w:proofErr w:type="spellEnd"/>
            <w:r w:rsidR="00332B8F" w:rsidRPr="004571E5">
              <w:rPr>
                <w:rFonts w:ascii="Times New Roman" w:hAnsi="Times New Roman" w:cs="Times New Roman"/>
                <w:sz w:val="24"/>
                <w:szCs w:val="24"/>
              </w:rPr>
              <w:t xml:space="preserve"> la valoración de los medios de prueba indirectos y las inferencias lógicas guiadas por las máximas de la experiencia</w:t>
            </w:r>
            <w:r w:rsidR="00332B8F" w:rsidRPr="004571E5">
              <w:rPr>
                <w:rFonts w:ascii="Times New Roman" w:hAnsi="Times New Roman" w:cs="Times New Roman"/>
                <w:sz w:val="24"/>
                <w:szCs w:val="24"/>
                <w:lang w:val="es-ES_tradnl"/>
              </w:rPr>
              <w:t xml:space="preserve">” </w:t>
            </w:r>
            <w:r w:rsidRPr="004571E5">
              <w:rPr>
                <w:rFonts w:ascii="Times New Roman" w:hAnsi="Times New Roman" w:cs="Times New Roman"/>
                <w:sz w:val="24"/>
                <w:szCs w:val="24"/>
                <w:lang w:val="es-ES_tradnl"/>
              </w:rPr>
              <w:t>e</w:t>
            </w:r>
            <w:r w:rsidR="00686E8A" w:rsidRPr="004571E5">
              <w:rPr>
                <w:rFonts w:ascii="Times New Roman" w:hAnsi="Times New Roman" w:cs="Times New Roman"/>
                <w:sz w:val="24"/>
                <w:szCs w:val="24"/>
                <w:lang w:val="es-ES_tradnl"/>
              </w:rPr>
              <w:t>llo podría indicar (i) la alteración de la zona de los hechos, pues no se respetaron los protocolos; o (</w:t>
            </w:r>
            <w:proofErr w:type="spellStart"/>
            <w:r w:rsidR="00686E8A" w:rsidRPr="004571E5">
              <w:rPr>
                <w:rFonts w:ascii="Times New Roman" w:hAnsi="Times New Roman" w:cs="Times New Roman"/>
                <w:sz w:val="24"/>
                <w:szCs w:val="24"/>
                <w:lang w:val="es-ES_tradnl"/>
              </w:rPr>
              <w:t>ii</w:t>
            </w:r>
            <w:proofErr w:type="spellEnd"/>
            <w:r w:rsidR="00686E8A" w:rsidRPr="004571E5">
              <w:rPr>
                <w:rFonts w:ascii="Times New Roman" w:hAnsi="Times New Roman" w:cs="Times New Roman"/>
                <w:sz w:val="24"/>
                <w:szCs w:val="24"/>
                <w:lang w:val="es-ES_tradnl"/>
              </w:rPr>
              <w:t xml:space="preserve">) las inconsistencias con el relato de </w:t>
            </w:r>
            <w:r w:rsidR="00686E8A" w:rsidRPr="004571E5">
              <w:rPr>
                <w:rFonts w:ascii="Times New Roman" w:hAnsi="Times New Roman" w:cs="Times New Roman"/>
                <w:sz w:val="24"/>
                <w:szCs w:val="24"/>
                <w:lang w:val="es-ES_tradnl"/>
              </w:rPr>
              <w:lastRenderedPageBreak/>
              <w:t xml:space="preserve">los militares, pues no pueden probar con precisión las condiciones del presunto enfrentamiento. </w:t>
            </w:r>
          </w:p>
        </w:tc>
      </w:tr>
    </w:tbl>
    <w:p w14:paraId="6370A8AA" w14:textId="77777777" w:rsidR="00686E8A" w:rsidRPr="004571E5" w:rsidRDefault="00686E8A" w:rsidP="00686E8A">
      <w:pPr>
        <w:pStyle w:val="Prrafodelista"/>
        <w:spacing w:line="240" w:lineRule="auto"/>
        <w:ind w:left="0"/>
        <w:jc w:val="both"/>
        <w:rPr>
          <w:rFonts w:ascii="Times New Roman" w:hAnsi="Times New Roman" w:cs="Times New Roman"/>
          <w:sz w:val="28"/>
          <w:szCs w:val="28"/>
          <w:lang w:val="es-ES_tradnl"/>
        </w:rPr>
      </w:pPr>
    </w:p>
    <w:p w14:paraId="138A7F90" w14:textId="40145868" w:rsidR="00357572" w:rsidRPr="004571E5" w:rsidRDefault="00357572" w:rsidP="00357572">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La Corte encuentra necesario insistir en un aspecto en particular. A pesar de lo indicado en el Informe de investigador de laboratorio del Cuerpo Técnico de Investigación en Balística Forense de la </w:t>
      </w:r>
      <w:proofErr w:type="gramStart"/>
      <w:r w:rsidRPr="004571E5">
        <w:rPr>
          <w:rFonts w:ascii="Times New Roman" w:hAnsi="Times New Roman" w:cs="Times New Roman"/>
          <w:sz w:val="28"/>
          <w:szCs w:val="28"/>
          <w:lang w:val="es-ES_tradnl"/>
        </w:rPr>
        <w:t>Fiscalía General</w:t>
      </w:r>
      <w:proofErr w:type="gramEnd"/>
      <w:r w:rsidRPr="004571E5">
        <w:rPr>
          <w:rFonts w:ascii="Times New Roman" w:hAnsi="Times New Roman" w:cs="Times New Roman"/>
          <w:sz w:val="28"/>
          <w:szCs w:val="28"/>
          <w:lang w:val="es-ES_tradnl"/>
        </w:rPr>
        <w:t xml:space="preserve"> de la Nación según el cual la distancia de los impactos fue menor a dos metros y se recibieron dos disparos en la parte posterior del cuerpo, la sentencia cuestionada indicó que “los disparos que recibió fueron a larga distancia”</w:t>
      </w:r>
      <w:r w:rsidRPr="004571E5">
        <w:rPr>
          <w:rStyle w:val="Refdenotaalpie"/>
          <w:rFonts w:ascii="Times New Roman" w:hAnsi="Times New Roman" w:cs="Times New Roman"/>
          <w:sz w:val="28"/>
          <w:szCs w:val="28"/>
          <w:lang w:val="es-ES_tradnl"/>
        </w:rPr>
        <w:footnoteReference w:id="75"/>
      </w:r>
      <w:r w:rsidRPr="004571E5">
        <w:rPr>
          <w:rFonts w:ascii="Times New Roman" w:hAnsi="Times New Roman" w:cs="Times New Roman"/>
          <w:sz w:val="28"/>
          <w:szCs w:val="28"/>
          <w:lang w:val="es-ES_tradnl"/>
        </w:rPr>
        <w:t xml:space="preserve">. Sin embargo, para arribar a esta conclusión no presenta un argumento específico a pesar de la importancia que este hecho puede tener en la valoración del caso. Dicho informe, se insiste, indica en el acápite “XIV. Interpretación de resultados” que de acuerdo con los resultados del examen “correspondiente al occiso Jhony Vergel Ortega, teniendo en cuenta la materialización gráfica de trayectorias, (ver diagramas), se determinó que los disparos fueron hechos a una distancia menor a 2 </w:t>
      </w:r>
      <w:proofErr w:type="spellStart"/>
      <w:r w:rsidRPr="004571E5">
        <w:rPr>
          <w:rFonts w:ascii="Times New Roman" w:hAnsi="Times New Roman" w:cs="Times New Roman"/>
          <w:sz w:val="28"/>
          <w:szCs w:val="28"/>
          <w:lang w:val="es-ES_tradnl"/>
        </w:rPr>
        <w:t>mts</w:t>
      </w:r>
      <w:proofErr w:type="spellEnd"/>
      <w:r w:rsidRPr="004571E5">
        <w:rPr>
          <w:rFonts w:ascii="Times New Roman" w:hAnsi="Times New Roman" w:cs="Times New Roman"/>
          <w:sz w:val="28"/>
          <w:szCs w:val="28"/>
          <w:lang w:val="es-ES_tradnl"/>
        </w:rPr>
        <w:t xml:space="preserve"> (hay evidencia de restos de pólvora)”</w:t>
      </w:r>
      <w:r w:rsidRPr="004571E5">
        <w:rPr>
          <w:rStyle w:val="Refdenotaalpie"/>
          <w:rFonts w:ascii="Times New Roman" w:hAnsi="Times New Roman" w:cs="Times New Roman"/>
          <w:sz w:val="28"/>
          <w:szCs w:val="28"/>
          <w:lang w:val="es-ES_tradnl"/>
        </w:rPr>
        <w:footnoteReference w:id="76"/>
      </w:r>
      <w:r w:rsidRPr="004571E5">
        <w:rPr>
          <w:rFonts w:ascii="Times New Roman" w:hAnsi="Times New Roman" w:cs="Times New Roman"/>
          <w:sz w:val="28"/>
          <w:szCs w:val="28"/>
          <w:lang w:val="es-ES_tradnl"/>
        </w:rPr>
        <w:t xml:space="preserve">. Esta circunstancia implica la omisión de una circunstancia que, más allá de un simple indicio, </w:t>
      </w:r>
      <w:r w:rsidR="008B7457" w:rsidRPr="004571E5">
        <w:rPr>
          <w:rFonts w:ascii="Times New Roman" w:hAnsi="Times New Roman" w:cs="Times New Roman"/>
          <w:sz w:val="28"/>
          <w:szCs w:val="28"/>
          <w:lang w:val="es-ES_tradnl"/>
        </w:rPr>
        <w:t xml:space="preserve">podría dar </w:t>
      </w:r>
      <w:r w:rsidRPr="004571E5">
        <w:rPr>
          <w:rFonts w:ascii="Times New Roman" w:hAnsi="Times New Roman" w:cs="Times New Roman"/>
          <w:sz w:val="28"/>
          <w:szCs w:val="28"/>
          <w:lang w:val="es-ES_tradnl"/>
        </w:rPr>
        <w:t>cuenta de que las armas se accionaron a una corta distancia respecto de la persona fallecida.</w:t>
      </w:r>
    </w:p>
    <w:p w14:paraId="4006B565" w14:textId="77777777" w:rsidR="00357572" w:rsidRPr="004571E5" w:rsidRDefault="00357572" w:rsidP="009638CA">
      <w:pPr>
        <w:pStyle w:val="Prrafodelista"/>
        <w:spacing w:line="240" w:lineRule="auto"/>
        <w:ind w:left="0"/>
        <w:jc w:val="both"/>
        <w:rPr>
          <w:rFonts w:ascii="Times New Roman" w:hAnsi="Times New Roman" w:cs="Times New Roman"/>
          <w:sz w:val="28"/>
          <w:szCs w:val="28"/>
          <w:lang w:val="es-ES_tradnl"/>
        </w:rPr>
      </w:pPr>
    </w:p>
    <w:p w14:paraId="74035B38" w14:textId="4DFE4026" w:rsidR="00686E8A" w:rsidRPr="004571E5" w:rsidRDefault="00686E8A" w:rsidP="00686E8A">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De este modo, a partir de estos medios de prueba era posible </w:t>
      </w:r>
      <w:r w:rsidR="00D5306A" w:rsidRPr="004571E5">
        <w:rPr>
          <w:rFonts w:ascii="Times New Roman" w:hAnsi="Times New Roman" w:cs="Times New Roman"/>
          <w:sz w:val="28"/>
          <w:szCs w:val="28"/>
          <w:lang w:val="es-ES_tradnl"/>
        </w:rPr>
        <w:t xml:space="preserve">identificar circunstancias </w:t>
      </w:r>
      <w:r w:rsidRPr="004571E5">
        <w:rPr>
          <w:rFonts w:ascii="Times New Roman" w:hAnsi="Times New Roman" w:cs="Times New Roman"/>
          <w:sz w:val="28"/>
          <w:szCs w:val="28"/>
          <w:lang w:val="es-ES_tradnl"/>
        </w:rPr>
        <w:t>que</w:t>
      </w:r>
      <w:r w:rsidR="00D5306A" w:rsidRPr="004571E5">
        <w:rPr>
          <w:rFonts w:ascii="Times New Roman" w:hAnsi="Times New Roman" w:cs="Times New Roman"/>
          <w:sz w:val="28"/>
          <w:szCs w:val="28"/>
          <w:lang w:val="es-ES_tradnl"/>
        </w:rPr>
        <w:t xml:space="preserve"> indica</w:t>
      </w:r>
      <w:r w:rsidR="00357572" w:rsidRPr="004571E5">
        <w:rPr>
          <w:rFonts w:ascii="Times New Roman" w:hAnsi="Times New Roman" w:cs="Times New Roman"/>
          <w:sz w:val="28"/>
          <w:szCs w:val="28"/>
          <w:lang w:val="es-ES_tradnl"/>
        </w:rPr>
        <w:t>ban o sugerían</w:t>
      </w:r>
      <w:r w:rsidRPr="004571E5">
        <w:rPr>
          <w:rFonts w:ascii="Times New Roman" w:hAnsi="Times New Roman" w:cs="Times New Roman"/>
          <w:sz w:val="28"/>
          <w:szCs w:val="28"/>
          <w:lang w:val="es-ES_tradnl"/>
        </w:rPr>
        <w:t xml:space="preserve"> que</w:t>
      </w:r>
      <w:r w:rsidR="00D5306A" w:rsidRPr="004571E5">
        <w:rPr>
          <w:rFonts w:ascii="Times New Roman" w:hAnsi="Times New Roman" w:cs="Times New Roman"/>
          <w:sz w:val="28"/>
          <w:szCs w:val="28"/>
          <w:lang w:val="es-ES_tradnl"/>
        </w:rPr>
        <w:t xml:space="preserve"> la muerte del señor </w:t>
      </w:r>
      <w:r w:rsidR="00194618" w:rsidRPr="004571E5">
        <w:rPr>
          <w:rFonts w:ascii="Times New Roman" w:hAnsi="Times New Roman" w:cs="Times New Roman"/>
          <w:sz w:val="28"/>
          <w:szCs w:val="28"/>
          <w:lang w:val="es-ES_tradnl"/>
        </w:rPr>
        <w:t>Vergel</w:t>
      </w:r>
      <w:r w:rsidRPr="004571E5">
        <w:rPr>
          <w:rFonts w:ascii="Times New Roman" w:hAnsi="Times New Roman" w:cs="Times New Roman"/>
          <w:sz w:val="28"/>
          <w:szCs w:val="28"/>
          <w:lang w:val="es-ES_tradnl"/>
        </w:rPr>
        <w:t xml:space="preserve"> se presentó </w:t>
      </w:r>
      <w:r w:rsidR="00D5306A" w:rsidRPr="004571E5">
        <w:rPr>
          <w:rFonts w:ascii="Times New Roman" w:hAnsi="Times New Roman" w:cs="Times New Roman"/>
          <w:sz w:val="28"/>
          <w:szCs w:val="28"/>
          <w:lang w:val="es-ES_tradnl"/>
        </w:rPr>
        <w:t xml:space="preserve">durante </w:t>
      </w:r>
      <w:r w:rsidRPr="004571E5">
        <w:rPr>
          <w:rFonts w:ascii="Times New Roman" w:hAnsi="Times New Roman" w:cs="Times New Roman"/>
          <w:sz w:val="28"/>
          <w:szCs w:val="28"/>
          <w:lang w:val="es-ES_tradnl"/>
        </w:rPr>
        <w:t>una ejecución extrajudicial. En concreto, era razonable concluir que: (i) el señor Vergel no frecuentaba la zona y sus conocidos lo ubicaban en la ciudad de Cúcuta para la época de los hechos; (</w:t>
      </w:r>
      <w:proofErr w:type="spellStart"/>
      <w:r w:rsidRPr="004571E5">
        <w:rPr>
          <w:rFonts w:ascii="Times New Roman" w:hAnsi="Times New Roman" w:cs="Times New Roman"/>
          <w:sz w:val="28"/>
          <w:szCs w:val="28"/>
          <w:lang w:val="es-ES_tradnl"/>
        </w:rPr>
        <w:t>ii</w:t>
      </w:r>
      <w:proofErr w:type="spellEnd"/>
      <w:r w:rsidRPr="004571E5">
        <w:rPr>
          <w:rFonts w:ascii="Times New Roman" w:hAnsi="Times New Roman" w:cs="Times New Roman"/>
          <w:sz w:val="28"/>
          <w:szCs w:val="28"/>
          <w:lang w:val="es-ES_tradnl"/>
        </w:rPr>
        <w:t>) los disparos que se efectuaron sobre el fallecido se hicieron</w:t>
      </w:r>
      <w:r w:rsidR="008B7457" w:rsidRPr="004571E5">
        <w:rPr>
          <w:rFonts w:ascii="Times New Roman" w:hAnsi="Times New Roman" w:cs="Times New Roman"/>
          <w:sz w:val="28"/>
          <w:szCs w:val="28"/>
          <w:lang w:val="es-ES_tradnl"/>
        </w:rPr>
        <w:t>, en principio,</w:t>
      </w:r>
      <w:r w:rsidRPr="004571E5">
        <w:rPr>
          <w:rFonts w:ascii="Times New Roman" w:hAnsi="Times New Roman" w:cs="Times New Roman"/>
          <w:sz w:val="28"/>
          <w:szCs w:val="28"/>
          <w:lang w:val="es-ES_tradnl"/>
        </w:rPr>
        <w:t xml:space="preserve"> a una muy corta distancia y mientras él </w:t>
      </w:r>
      <w:r w:rsidR="008B7457" w:rsidRPr="004571E5">
        <w:rPr>
          <w:rFonts w:ascii="Times New Roman" w:hAnsi="Times New Roman" w:cs="Times New Roman"/>
          <w:sz w:val="28"/>
          <w:szCs w:val="28"/>
          <w:lang w:val="es-ES_tradnl"/>
        </w:rPr>
        <w:t>pod</w:t>
      </w:r>
      <w:r w:rsidR="003F6609" w:rsidRPr="004571E5">
        <w:rPr>
          <w:rFonts w:ascii="Times New Roman" w:hAnsi="Times New Roman" w:cs="Times New Roman"/>
          <w:sz w:val="28"/>
          <w:szCs w:val="28"/>
          <w:lang w:val="es-ES_tradnl"/>
        </w:rPr>
        <w:t>r</w:t>
      </w:r>
      <w:r w:rsidR="008B7457" w:rsidRPr="004571E5">
        <w:rPr>
          <w:rFonts w:ascii="Times New Roman" w:hAnsi="Times New Roman" w:cs="Times New Roman"/>
          <w:sz w:val="28"/>
          <w:szCs w:val="28"/>
          <w:lang w:val="es-ES_tradnl"/>
        </w:rPr>
        <w:t>ía estar</w:t>
      </w:r>
      <w:r w:rsidRPr="004571E5">
        <w:rPr>
          <w:rFonts w:ascii="Times New Roman" w:hAnsi="Times New Roman" w:cs="Times New Roman"/>
          <w:sz w:val="28"/>
          <w:szCs w:val="28"/>
          <w:lang w:val="es-ES_tradnl"/>
        </w:rPr>
        <w:t xml:space="preserve"> rodeado; y (</w:t>
      </w:r>
      <w:proofErr w:type="spellStart"/>
      <w:r w:rsidRPr="004571E5">
        <w:rPr>
          <w:rFonts w:ascii="Times New Roman" w:hAnsi="Times New Roman" w:cs="Times New Roman"/>
          <w:sz w:val="28"/>
          <w:szCs w:val="28"/>
          <w:lang w:val="es-ES_tradnl"/>
        </w:rPr>
        <w:t>iii</w:t>
      </w:r>
      <w:proofErr w:type="spellEnd"/>
      <w:r w:rsidRPr="004571E5">
        <w:rPr>
          <w:rFonts w:ascii="Times New Roman" w:hAnsi="Times New Roman" w:cs="Times New Roman"/>
          <w:sz w:val="28"/>
          <w:szCs w:val="28"/>
          <w:lang w:val="es-ES_tradnl"/>
        </w:rPr>
        <w:t>) se presenta</w:t>
      </w:r>
      <w:r w:rsidR="00357572" w:rsidRPr="004571E5">
        <w:rPr>
          <w:rFonts w:ascii="Times New Roman" w:hAnsi="Times New Roman" w:cs="Times New Roman"/>
          <w:sz w:val="28"/>
          <w:szCs w:val="28"/>
          <w:lang w:val="es-ES_tradnl"/>
        </w:rPr>
        <w:t>ron</w:t>
      </w:r>
      <w:r w:rsidRPr="004571E5">
        <w:rPr>
          <w:rFonts w:ascii="Times New Roman" w:hAnsi="Times New Roman" w:cs="Times New Roman"/>
          <w:sz w:val="28"/>
          <w:szCs w:val="28"/>
          <w:lang w:val="es-ES_tradnl"/>
        </w:rPr>
        <w:t xml:space="preserve"> hechos que se corresponden con los patrones típicos de estas situaciones</w:t>
      </w:r>
      <w:r w:rsidR="00D5306A" w:rsidRPr="004571E5">
        <w:rPr>
          <w:rFonts w:ascii="Times New Roman" w:hAnsi="Times New Roman" w:cs="Times New Roman"/>
          <w:sz w:val="28"/>
          <w:szCs w:val="28"/>
          <w:lang w:val="es-ES_tradnl"/>
        </w:rPr>
        <w:t xml:space="preserve"> tal y como se desprende del contraste entre los informes técnicos aportados al expediente y</w:t>
      </w:r>
      <w:r w:rsidRPr="004571E5">
        <w:rPr>
          <w:rFonts w:ascii="Times New Roman" w:hAnsi="Times New Roman" w:cs="Times New Roman"/>
          <w:sz w:val="28"/>
          <w:szCs w:val="28"/>
          <w:lang w:val="es-ES_tradnl"/>
        </w:rPr>
        <w:t xml:space="preserve"> el relato de</w:t>
      </w:r>
      <w:r w:rsidR="00D5306A" w:rsidRPr="004571E5">
        <w:rPr>
          <w:rFonts w:ascii="Times New Roman" w:hAnsi="Times New Roman" w:cs="Times New Roman"/>
          <w:sz w:val="28"/>
          <w:szCs w:val="28"/>
          <w:lang w:val="es-ES_tradnl"/>
        </w:rPr>
        <w:t xml:space="preserve"> los integrantes de las fuerzas militares</w:t>
      </w:r>
      <w:r w:rsidRPr="004571E5">
        <w:rPr>
          <w:rFonts w:ascii="Times New Roman" w:hAnsi="Times New Roman" w:cs="Times New Roman"/>
          <w:sz w:val="28"/>
          <w:szCs w:val="28"/>
          <w:lang w:val="es-ES_tradnl"/>
        </w:rPr>
        <w:t>.</w:t>
      </w:r>
      <w:r w:rsidR="008B7457" w:rsidRPr="004571E5">
        <w:rPr>
          <w:rFonts w:ascii="Times New Roman" w:hAnsi="Times New Roman" w:cs="Times New Roman"/>
          <w:sz w:val="28"/>
          <w:szCs w:val="28"/>
          <w:lang w:val="es-ES_tradnl"/>
        </w:rPr>
        <w:t xml:space="preserve"> Las conclusiones definitivas, sin embargo, deberán ser tomadas por</w:t>
      </w:r>
      <w:r w:rsidR="003F6609" w:rsidRPr="004571E5">
        <w:rPr>
          <w:rFonts w:ascii="Times New Roman" w:hAnsi="Times New Roman" w:cs="Times New Roman"/>
          <w:sz w:val="28"/>
          <w:szCs w:val="28"/>
          <w:lang w:val="es-ES_tradnl"/>
        </w:rPr>
        <w:t xml:space="preserve"> la autoridad judicial</w:t>
      </w:r>
      <w:r w:rsidR="008B7457" w:rsidRPr="004571E5">
        <w:rPr>
          <w:rFonts w:ascii="Times New Roman" w:hAnsi="Times New Roman" w:cs="Times New Roman"/>
          <w:sz w:val="28"/>
          <w:szCs w:val="28"/>
          <w:lang w:val="es-ES_tradnl"/>
        </w:rPr>
        <w:t xml:space="preserve"> al valorar las pruebas bajo el estándar fijado por la jurisprudencia.</w:t>
      </w:r>
    </w:p>
    <w:p w14:paraId="3FCF6EE7" w14:textId="77777777" w:rsidR="00686E8A" w:rsidRPr="004571E5" w:rsidRDefault="00686E8A" w:rsidP="00686E8A">
      <w:pPr>
        <w:pStyle w:val="Prrafodelista"/>
        <w:spacing w:line="240" w:lineRule="auto"/>
        <w:ind w:left="0"/>
        <w:jc w:val="both"/>
        <w:rPr>
          <w:rFonts w:ascii="Times New Roman" w:hAnsi="Times New Roman" w:cs="Times New Roman"/>
          <w:sz w:val="28"/>
          <w:szCs w:val="28"/>
          <w:lang w:val="es-ES_tradnl"/>
        </w:rPr>
      </w:pPr>
    </w:p>
    <w:p w14:paraId="4D470DFC" w14:textId="2B094E09" w:rsidR="00686E8A" w:rsidRPr="004571E5" w:rsidRDefault="00686E8A" w:rsidP="00B21FE6">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Adicionalmente, y en el mismo sentido que en el caso anterior, es importante notar </w:t>
      </w:r>
      <w:r w:rsidR="00024831" w:rsidRPr="004571E5">
        <w:rPr>
          <w:rFonts w:ascii="Times New Roman" w:hAnsi="Times New Roman" w:cs="Times New Roman"/>
          <w:sz w:val="28"/>
          <w:szCs w:val="28"/>
          <w:lang w:val="es-ES_tradnl"/>
        </w:rPr>
        <w:t>que,</w:t>
      </w:r>
      <w:r w:rsidRPr="004571E5">
        <w:rPr>
          <w:rFonts w:ascii="Times New Roman" w:hAnsi="Times New Roman" w:cs="Times New Roman"/>
          <w:sz w:val="28"/>
          <w:szCs w:val="28"/>
          <w:lang w:val="es-ES_tradnl"/>
        </w:rPr>
        <w:t xml:space="preserve"> en la respuesta a la demanda de reparación directa</w:t>
      </w:r>
      <w:r w:rsidR="00357572" w:rsidRPr="004571E5">
        <w:rPr>
          <w:rFonts w:ascii="Times New Roman" w:hAnsi="Times New Roman" w:cs="Times New Roman"/>
          <w:sz w:val="28"/>
          <w:szCs w:val="28"/>
          <w:lang w:val="es-ES_tradnl"/>
        </w:rPr>
        <w:t>,</w:t>
      </w:r>
      <w:r w:rsidRPr="004571E5">
        <w:rPr>
          <w:rFonts w:ascii="Times New Roman" w:hAnsi="Times New Roman" w:cs="Times New Roman"/>
          <w:sz w:val="28"/>
          <w:szCs w:val="28"/>
          <w:lang w:val="es-ES_tradnl"/>
        </w:rPr>
        <w:t xml:space="preserve"> la apoderada del Ministerio de Defensa indicó</w:t>
      </w:r>
      <w:r w:rsidR="00AC1E15" w:rsidRPr="004571E5">
        <w:rPr>
          <w:rFonts w:ascii="Times New Roman" w:hAnsi="Times New Roman" w:cs="Times New Roman"/>
          <w:sz w:val="28"/>
          <w:szCs w:val="28"/>
          <w:lang w:val="es-ES_tradnl"/>
        </w:rPr>
        <w:t>,</w:t>
      </w:r>
      <w:r w:rsidRPr="004571E5">
        <w:rPr>
          <w:rFonts w:ascii="Times New Roman" w:hAnsi="Times New Roman" w:cs="Times New Roman"/>
          <w:sz w:val="28"/>
          <w:szCs w:val="28"/>
          <w:lang w:val="es-ES_tradnl"/>
        </w:rPr>
        <w:t xml:space="preserve"> frente a los hechos</w:t>
      </w:r>
      <w:r w:rsidR="00AC1E15" w:rsidRPr="004571E5">
        <w:rPr>
          <w:rFonts w:ascii="Times New Roman" w:hAnsi="Times New Roman" w:cs="Times New Roman"/>
          <w:sz w:val="28"/>
          <w:szCs w:val="28"/>
          <w:lang w:val="es-ES_tradnl"/>
        </w:rPr>
        <w:t>,</w:t>
      </w:r>
      <w:r w:rsidRPr="004571E5">
        <w:rPr>
          <w:rFonts w:ascii="Times New Roman" w:hAnsi="Times New Roman" w:cs="Times New Roman"/>
          <w:sz w:val="28"/>
          <w:szCs w:val="28"/>
          <w:lang w:val="es-ES_tradnl"/>
        </w:rPr>
        <w:t xml:space="preserve"> que “no me constan, deben probarse en el proceso mediante pruebas idóneas y conducentes (…) sin que a la fecha exista material probatorio que respalde los argumentos esbozados por la parte actora”</w:t>
      </w:r>
      <w:r w:rsidRPr="004571E5">
        <w:rPr>
          <w:rStyle w:val="Refdenotaalpie"/>
          <w:rFonts w:ascii="Times New Roman" w:hAnsi="Times New Roman" w:cs="Times New Roman"/>
          <w:sz w:val="28"/>
          <w:szCs w:val="28"/>
          <w:lang w:val="es-ES_tradnl"/>
        </w:rPr>
        <w:footnoteReference w:id="77"/>
      </w:r>
      <w:r w:rsidRPr="004571E5">
        <w:rPr>
          <w:rFonts w:ascii="Times New Roman" w:hAnsi="Times New Roman" w:cs="Times New Roman"/>
          <w:sz w:val="28"/>
          <w:szCs w:val="28"/>
          <w:lang w:val="es-ES_tradnl"/>
        </w:rPr>
        <w:t xml:space="preserve">. Bajo el estándar </w:t>
      </w:r>
      <w:r w:rsidR="007A0EDC" w:rsidRPr="004571E5">
        <w:rPr>
          <w:rFonts w:ascii="Times New Roman" w:hAnsi="Times New Roman" w:cs="Times New Roman"/>
          <w:sz w:val="28"/>
          <w:szCs w:val="28"/>
          <w:lang w:val="es-ES_tradnl"/>
        </w:rPr>
        <w:t>antes referido</w:t>
      </w:r>
      <w:r w:rsidRPr="004571E5">
        <w:rPr>
          <w:rFonts w:ascii="Times New Roman" w:hAnsi="Times New Roman" w:cs="Times New Roman"/>
          <w:sz w:val="28"/>
          <w:szCs w:val="28"/>
          <w:lang w:val="es-ES_tradnl"/>
        </w:rPr>
        <w:t>, el juez debió haber realizado una valoración de las pruebas que</w:t>
      </w:r>
      <w:r w:rsidR="00D5306A" w:rsidRPr="004571E5">
        <w:rPr>
          <w:rFonts w:ascii="Times New Roman" w:hAnsi="Times New Roman" w:cs="Times New Roman"/>
          <w:sz w:val="28"/>
          <w:szCs w:val="28"/>
          <w:lang w:val="es-ES_tradnl"/>
        </w:rPr>
        <w:t xml:space="preserve"> tuviera en cuenta la regla en virtud de la cual </w:t>
      </w:r>
      <w:r w:rsidRPr="004571E5">
        <w:rPr>
          <w:rFonts w:ascii="Times New Roman" w:hAnsi="Times New Roman" w:cs="Times New Roman"/>
          <w:sz w:val="28"/>
          <w:szCs w:val="28"/>
        </w:rPr>
        <w:t>“le corresponde a la entidad demandada, que se encontraba en mejor posición, aportar los medios de convicción que desvirtúen las imputaciones de la demanda”</w:t>
      </w:r>
      <w:r w:rsidRPr="004571E5">
        <w:rPr>
          <w:rStyle w:val="Refdenotaalpie"/>
          <w:rFonts w:ascii="Times New Roman" w:hAnsi="Times New Roman" w:cs="Times New Roman"/>
          <w:sz w:val="28"/>
          <w:szCs w:val="28"/>
        </w:rPr>
        <w:footnoteReference w:id="78"/>
      </w:r>
      <w:r w:rsidRPr="004571E5">
        <w:rPr>
          <w:rFonts w:ascii="Times New Roman" w:hAnsi="Times New Roman" w:cs="Times New Roman"/>
          <w:sz w:val="28"/>
          <w:szCs w:val="28"/>
        </w:rPr>
        <w:t>.</w:t>
      </w:r>
      <w:r w:rsidRPr="004571E5">
        <w:rPr>
          <w:rFonts w:ascii="Times New Roman" w:hAnsi="Times New Roman" w:cs="Times New Roman"/>
          <w:sz w:val="28"/>
          <w:szCs w:val="28"/>
          <w:lang w:val="es-ES_tradnl"/>
        </w:rPr>
        <w:t xml:space="preserve"> </w:t>
      </w:r>
      <w:r w:rsidR="00B21FE6" w:rsidRPr="004571E5">
        <w:rPr>
          <w:rFonts w:ascii="Times New Roman" w:hAnsi="Times New Roman" w:cs="Times New Roman"/>
          <w:sz w:val="28"/>
          <w:szCs w:val="28"/>
        </w:rPr>
        <w:t>De este modo, el desconocimiento del precedente implicó que la subsección accionada omitió verificar si era procedente distribuir de manera dinámica la carga probatoria en lugar de atribuirla, exclusivamente, a la parte demandante</w:t>
      </w:r>
      <w:r w:rsidR="003A79AB" w:rsidRPr="004571E5">
        <w:rPr>
          <w:rFonts w:ascii="Times New Roman" w:hAnsi="Times New Roman" w:cs="Times New Roman"/>
          <w:sz w:val="28"/>
          <w:szCs w:val="28"/>
        </w:rPr>
        <w:t>.</w:t>
      </w:r>
    </w:p>
    <w:p w14:paraId="18487839" w14:textId="77777777" w:rsidR="0067685E" w:rsidRPr="004571E5" w:rsidRDefault="0067685E" w:rsidP="00481F2E">
      <w:pPr>
        <w:pStyle w:val="Prrafodelista"/>
        <w:spacing w:line="240" w:lineRule="auto"/>
        <w:ind w:left="0"/>
        <w:jc w:val="both"/>
        <w:rPr>
          <w:rFonts w:ascii="Times New Roman" w:hAnsi="Times New Roman" w:cs="Times New Roman"/>
          <w:sz w:val="28"/>
          <w:szCs w:val="28"/>
          <w:lang w:val="es-ES_tradnl"/>
        </w:rPr>
      </w:pPr>
    </w:p>
    <w:p w14:paraId="3D0A3FD4" w14:textId="14D2F465" w:rsidR="00533003" w:rsidRPr="004571E5" w:rsidRDefault="0067685E" w:rsidP="00533003">
      <w:pPr>
        <w:pStyle w:val="Prrafodelista"/>
        <w:numPr>
          <w:ilvl w:val="2"/>
          <w:numId w:val="34"/>
        </w:numPr>
        <w:spacing w:line="240" w:lineRule="auto"/>
        <w:ind w:left="0" w:firstLine="0"/>
        <w:jc w:val="both"/>
        <w:rPr>
          <w:rFonts w:ascii="Times New Roman" w:hAnsi="Times New Roman" w:cs="Times New Roman"/>
          <w:b/>
          <w:sz w:val="28"/>
          <w:szCs w:val="28"/>
          <w:lang w:val="es-ES_tradnl"/>
        </w:rPr>
      </w:pPr>
      <w:r w:rsidRPr="004571E5">
        <w:rPr>
          <w:rFonts w:ascii="Times New Roman" w:hAnsi="Times New Roman" w:cs="Times New Roman"/>
          <w:b/>
          <w:iCs/>
          <w:sz w:val="28"/>
          <w:szCs w:val="28"/>
          <w:lang w:val="es-ES_tradnl"/>
        </w:rPr>
        <w:t>Desconocimiento del precedente</w:t>
      </w:r>
      <w:r w:rsidRPr="004571E5">
        <w:rPr>
          <w:rFonts w:ascii="Times New Roman" w:hAnsi="Times New Roman" w:cs="Times New Roman"/>
          <w:b/>
          <w:sz w:val="28"/>
          <w:szCs w:val="28"/>
          <w:lang w:val="es-ES_tradnl"/>
        </w:rPr>
        <w:t xml:space="preserve">. </w:t>
      </w:r>
    </w:p>
    <w:p w14:paraId="1669FA67" w14:textId="77777777" w:rsidR="00533003" w:rsidRPr="004571E5" w:rsidRDefault="00533003" w:rsidP="00533003">
      <w:pPr>
        <w:pStyle w:val="Prrafodelista"/>
        <w:spacing w:line="240" w:lineRule="auto"/>
        <w:ind w:left="0"/>
        <w:jc w:val="both"/>
        <w:rPr>
          <w:rFonts w:ascii="Times New Roman" w:hAnsi="Times New Roman" w:cs="Times New Roman"/>
          <w:sz w:val="28"/>
          <w:szCs w:val="28"/>
          <w:lang w:val="es-ES_tradnl"/>
        </w:rPr>
      </w:pPr>
    </w:p>
    <w:p w14:paraId="119E0FDA" w14:textId="6CDB2CA1" w:rsidR="000409E7" w:rsidRPr="004571E5" w:rsidRDefault="00533003" w:rsidP="000409E7">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Los demandantes no invocaron un desconocimiento del </w:t>
      </w:r>
      <w:r w:rsidR="00D53781" w:rsidRPr="004571E5">
        <w:rPr>
          <w:rFonts w:ascii="Times New Roman" w:hAnsi="Times New Roman" w:cs="Times New Roman"/>
          <w:sz w:val="28"/>
          <w:szCs w:val="28"/>
          <w:lang w:val="es-ES_tradnl"/>
        </w:rPr>
        <w:t>precedente de la Corte Constitucional</w:t>
      </w:r>
      <w:r w:rsidR="003F6609" w:rsidRPr="004571E5">
        <w:rPr>
          <w:rFonts w:ascii="Times New Roman" w:hAnsi="Times New Roman" w:cs="Times New Roman"/>
          <w:sz w:val="28"/>
          <w:szCs w:val="28"/>
          <w:lang w:val="es-ES_tradnl"/>
        </w:rPr>
        <w:t>. Su planteamiento se contrajo a señalar la infracción del</w:t>
      </w:r>
      <w:r w:rsidRPr="004571E5">
        <w:rPr>
          <w:rFonts w:ascii="Times New Roman" w:hAnsi="Times New Roman" w:cs="Times New Roman"/>
          <w:sz w:val="28"/>
          <w:szCs w:val="28"/>
          <w:lang w:val="es-ES_tradnl"/>
        </w:rPr>
        <w:t xml:space="preserve"> precedente </w:t>
      </w:r>
      <w:r w:rsidR="003834B6" w:rsidRPr="004571E5">
        <w:rPr>
          <w:rFonts w:ascii="Times New Roman" w:hAnsi="Times New Roman" w:cs="Times New Roman"/>
          <w:sz w:val="28"/>
          <w:szCs w:val="28"/>
          <w:lang w:val="es-ES_tradnl"/>
        </w:rPr>
        <w:t>horizontal</w:t>
      </w:r>
      <w:r w:rsidRPr="004571E5">
        <w:rPr>
          <w:rFonts w:ascii="Times New Roman" w:hAnsi="Times New Roman" w:cs="Times New Roman"/>
          <w:sz w:val="28"/>
          <w:szCs w:val="28"/>
          <w:lang w:val="es-ES_tradnl"/>
        </w:rPr>
        <w:t xml:space="preserve">. Ahora bien, dado que el caso sí debía ser tratado como un evento de ejecución extrajudicial y, en consecuencia, era necesario aplicar el estándar probatorio fijado en el precedente, corresponde a la Corte determinar si la subsección y el tribunal accionados desconocieron el precedente </w:t>
      </w:r>
      <w:r w:rsidR="00D53781" w:rsidRPr="004571E5">
        <w:rPr>
          <w:rFonts w:ascii="Times New Roman" w:hAnsi="Times New Roman" w:cs="Times New Roman"/>
          <w:sz w:val="28"/>
          <w:szCs w:val="28"/>
          <w:lang w:val="es-ES_tradnl"/>
        </w:rPr>
        <w:t>de esta Corporación</w:t>
      </w:r>
      <w:r w:rsidRPr="004571E5">
        <w:rPr>
          <w:rFonts w:ascii="Times New Roman" w:hAnsi="Times New Roman" w:cs="Times New Roman"/>
          <w:sz w:val="28"/>
          <w:szCs w:val="28"/>
          <w:lang w:val="es-ES_tradnl"/>
        </w:rPr>
        <w:t xml:space="preserve"> y del Consejo de Estado en la materia. </w:t>
      </w:r>
      <w:r w:rsidR="000409E7" w:rsidRPr="004571E5">
        <w:rPr>
          <w:rFonts w:ascii="Times New Roman" w:hAnsi="Times New Roman" w:cs="Times New Roman"/>
          <w:sz w:val="28"/>
          <w:szCs w:val="28"/>
          <w:lang w:val="es-ES_tradnl"/>
        </w:rPr>
        <w:t>Ello se explica porque, como lo ha sostenido la Corte, “[l]a compleja tarea asignada a la Corte Constitucional en el sistema jurídico colombiano ha dado lugar a una acumulación sucesiva de reglas que permiten enlazar cada disputa constitucional con la respuesta o decisión que frente a ella asume este tribunal. La agregación articulada de reglas que se relacionan de diferentes formas ha permitido fijar el significado de la Constitución y, por ello, su seguimiento y respeto se convierte especialmente importante para asegurar su supremacía”</w:t>
      </w:r>
      <w:r w:rsidR="000409E7" w:rsidRPr="004571E5">
        <w:rPr>
          <w:rStyle w:val="Refdenotaalpie"/>
          <w:rFonts w:ascii="Times New Roman" w:hAnsi="Times New Roman" w:cs="Times New Roman"/>
          <w:sz w:val="28"/>
          <w:szCs w:val="28"/>
          <w:lang w:val="es-ES_tradnl"/>
        </w:rPr>
        <w:footnoteReference w:id="79"/>
      </w:r>
      <w:r w:rsidR="000409E7" w:rsidRPr="004571E5">
        <w:rPr>
          <w:rFonts w:ascii="Times New Roman" w:hAnsi="Times New Roman" w:cs="Times New Roman"/>
          <w:sz w:val="28"/>
          <w:szCs w:val="28"/>
          <w:lang w:val="es-ES_tradnl"/>
        </w:rPr>
        <w:t>.</w:t>
      </w:r>
    </w:p>
    <w:p w14:paraId="7F295C20" w14:textId="77777777" w:rsidR="00533003" w:rsidRPr="004571E5" w:rsidRDefault="00533003" w:rsidP="00533003">
      <w:pPr>
        <w:pStyle w:val="Prrafodelista"/>
        <w:spacing w:line="240" w:lineRule="auto"/>
        <w:rPr>
          <w:rFonts w:ascii="Times New Roman" w:hAnsi="Times New Roman" w:cs="Times New Roman"/>
          <w:sz w:val="28"/>
          <w:szCs w:val="28"/>
          <w:lang w:val="es-ES_tradnl"/>
        </w:rPr>
      </w:pPr>
    </w:p>
    <w:p w14:paraId="70C03AAC" w14:textId="7AB4F819" w:rsidR="00533003" w:rsidRPr="004571E5" w:rsidRDefault="00533003" w:rsidP="00533003">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Sobre este punto, se encuentra que en la sentencia del tribunal de primera instancia </w:t>
      </w:r>
      <w:r w:rsidR="00145245" w:rsidRPr="004571E5">
        <w:rPr>
          <w:rFonts w:ascii="Times New Roman" w:hAnsi="Times New Roman" w:cs="Times New Roman"/>
          <w:sz w:val="28"/>
          <w:szCs w:val="28"/>
          <w:lang w:val="es-ES_tradnl"/>
        </w:rPr>
        <w:t>no se refirió el precedente aplicable</w:t>
      </w:r>
      <w:r w:rsidRPr="004571E5">
        <w:rPr>
          <w:rFonts w:ascii="Times New Roman" w:hAnsi="Times New Roman" w:cs="Times New Roman"/>
          <w:sz w:val="28"/>
          <w:szCs w:val="28"/>
          <w:lang w:val="es-ES_tradnl"/>
        </w:rPr>
        <w:t xml:space="preserve">. Por su parte, la subsección accionada únicamente abordó en las consideraciones el “régimen de responsabilidad del Estado por el uso excesivo y desproporcionado de la fuerza”, el “régimen de responsabilidad del Estado por daños causados con armas de dotación oficial” y el “hecho o culpa exclusiva de la víctima”. </w:t>
      </w:r>
      <w:r w:rsidR="00145245" w:rsidRPr="004571E5">
        <w:rPr>
          <w:rFonts w:ascii="Times New Roman" w:hAnsi="Times New Roman" w:cs="Times New Roman"/>
          <w:sz w:val="28"/>
          <w:szCs w:val="28"/>
          <w:lang w:val="es-ES_tradnl"/>
        </w:rPr>
        <w:t>La subsección accionada no</w:t>
      </w:r>
      <w:r w:rsidRPr="004571E5">
        <w:rPr>
          <w:rFonts w:ascii="Times New Roman" w:hAnsi="Times New Roman" w:cs="Times New Roman"/>
          <w:sz w:val="28"/>
          <w:szCs w:val="28"/>
          <w:lang w:val="es-ES_tradnl"/>
        </w:rPr>
        <w:t xml:space="preserve"> dio al caso un tratamiento de ejecución extrajudicial</w:t>
      </w:r>
      <w:r w:rsidR="00226878" w:rsidRPr="004571E5">
        <w:rPr>
          <w:rFonts w:ascii="Times New Roman" w:hAnsi="Times New Roman" w:cs="Times New Roman"/>
          <w:sz w:val="28"/>
          <w:szCs w:val="28"/>
          <w:lang w:val="es-ES_tradnl"/>
        </w:rPr>
        <w:t xml:space="preserve"> debiendo hacerlo</w:t>
      </w:r>
      <w:r w:rsidRPr="004571E5">
        <w:rPr>
          <w:rFonts w:ascii="Times New Roman" w:hAnsi="Times New Roman" w:cs="Times New Roman"/>
          <w:sz w:val="28"/>
          <w:szCs w:val="28"/>
          <w:lang w:val="es-ES_tradnl"/>
        </w:rPr>
        <w:t xml:space="preserve"> y, en consecuencia, no tuv</w:t>
      </w:r>
      <w:r w:rsidR="00EE5FDF" w:rsidRPr="004571E5">
        <w:rPr>
          <w:rFonts w:ascii="Times New Roman" w:hAnsi="Times New Roman" w:cs="Times New Roman"/>
          <w:sz w:val="28"/>
          <w:szCs w:val="28"/>
          <w:lang w:val="es-ES_tradnl"/>
        </w:rPr>
        <w:t>o</w:t>
      </w:r>
      <w:r w:rsidRPr="004571E5">
        <w:rPr>
          <w:rFonts w:ascii="Times New Roman" w:hAnsi="Times New Roman" w:cs="Times New Roman"/>
          <w:sz w:val="28"/>
          <w:szCs w:val="28"/>
          <w:lang w:val="es-ES_tradnl"/>
        </w:rPr>
        <w:t xml:space="preserve"> en cuenta el precedente</w:t>
      </w:r>
      <w:r w:rsidR="00AC1E15" w:rsidRPr="004571E5">
        <w:rPr>
          <w:rFonts w:ascii="Times New Roman" w:hAnsi="Times New Roman" w:cs="Times New Roman"/>
          <w:sz w:val="28"/>
          <w:szCs w:val="28"/>
          <w:lang w:val="es-ES_tradnl"/>
        </w:rPr>
        <w:t xml:space="preserve"> relevante</w:t>
      </w:r>
      <w:r w:rsidRPr="004571E5">
        <w:rPr>
          <w:rFonts w:ascii="Times New Roman" w:hAnsi="Times New Roman" w:cs="Times New Roman"/>
          <w:sz w:val="28"/>
          <w:szCs w:val="28"/>
          <w:lang w:val="es-ES_tradnl"/>
        </w:rPr>
        <w:t>.</w:t>
      </w:r>
    </w:p>
    <w:p w14:paraId="1997CCDA" w14:textId="77777777" w:rsidR="00533003" w:rsidRPr="004571E5" w:rsidRDefault="00533003" w:rsidP="00533003">
      <w:pPr>
        <w:pStyle w:val="Prrafodelista"/>
        <w:spacing w:line="240" w:lineRule="auto"/>
        <w:rPr>
          <w:rFonts w:ascii="Times New Roman" w:hAnsi="Times New Roman" w:cs="Times New Roman"/>
          <w:sz w:val="28"/>
          <w:szCs w:val="28"/>
          <w:lang w:val="es-ES_tradnl"/>
        </w:rPr>
      </w:pPr>
    </w:p>
    <w:p w14:paraId="093DBAB4" w14:textId="663E943B" w:rsidR="00533003" w:rsidRPr="004571E5" w:rsidRDefault="00533003" w:rsidP="00533003">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De este modo, </w:t>
      </w:r>
      <w:r w:rsidR="00145245" w:rsidRPr="004571E5">
        <w:rPr>
          <w:rFonts w:ascii="Times New Roman" w:hAnsi="Times New Roman" w:cs="Times New Roman"/>
          <w:sz w:val="28"/>
          <w:szCs w:val="28"/>
          <w:lang w:val="es-ES_tradnl"/>
        </w:rPr>
        <w:t>en el proceso no</w:t>
      </w:r>
      <w:r w:rsidR="00AC1E15" w:rsidRPr="004571E5">
        <w:rPr>
          <w:rFonts w:ascii="Times New Roman" w:hAnsi="Times New Roman" w:cs="Times New Roman"/>
          <w:sz w:val="28"/>
          <w:szCs w:val="28"/>
          <w:lang w:val="es-ES_tradnl"/>
        </w:rPr>
        <w:t xml:space="preserve"> </w:t>
      </w:r>
      <w:r w:rsidR="00145245" w:rsidRPr="004571E5">
        <w:rPr>
          <w:rFonts w:ascii="Times New Roman" w:hAnsi="Times New Roman" w:cs="Times New Roman"/>
          <w:sz w:val="28"/>
          <w:szCs w:val="28"/>
          <w:lang w:val="es-ES_tradnl"/>
        </w:rPr>
        <w:t xml:space="preserve">se </w:t>
      </w:r>
      <w:r w:rsidR="00AC1E15" w:rsidRPr="004571E5">
        <w:rPr>
          <w:rFonts w:ascii="Times New Roman" w:hAnsi="Times New Roman" w:cs="Times New Roman"/>
          <w:sz w:val="28"/>
          <w:szCs w:val="28"/>
          <w:lang w:val="es-ES_tradnl"/>
        </w:rPr>
        <w:t>identificó ni consideró</w:t>
      </w:r>
      <w:r w:rsidRPr="004571E5">
        <w:rPr>
          <w:rFonts w:ascii="Times New Roman" w:hAnsi="Times New Roman" w:cs="Times New Roman"/>
          <w:sz w:val="28"/>
          <w:szCs w:val="28"/>
          <w:lang w:val="es-ES_tradnl"/>
        </w:rPr>
        <w:t xml:space="preserve"> el precedente en la materia</w:t>
      </w:r>
      <w:r w:rsidR="00DC3DD8" w:rsidRPr="004571E5">
        <w:rPr>
          <w:rFonts w:ascii="Times New Roman" w:hAnsi="Times New Roman" w:cs="Times New Roman"/>
          <w:sz w:val="28"/>
          <w:szCs w:val="28"/>
          <w:lang w:val="es-ES_tradnl"/>
        </w:rPr>
        <w:t xml:space="preserve"> </w:t>
      </w:r>
      <w:r w:rsidRPr="004571E5">
        <w:rPr>
          <w:rFonts w:ascii="Times New Roman" w:hAnsi="Times New Roman" w:cs="Times New Roman"/>
          <w:sz w:val="28"/>
          <w:szCs w:val="28"/>
          <w:lang w:val="es-ES_tradnl"/>
        </w:rPr>
        <w:t xml:space="preserve">-supra </w:t>
      </w:r>
      <w:r w:rsidR="00E70E99" w:rsidRPr="004571E5">
        <w:rPr>
          <w:rFonts w:ascii="Times New Roman" w:hAnsi="Times New Roman" w:cs="Times New Roman"/>
          <w:sz w:val="28"/>
          <w:szCs w:val="28"/>
          <w:lang w:val="es-ES_tradnl"/>
        </w:rPr>
        <w:t>70</w:t>
      </w:r>
      <w:r w:rsidRPr="004571E5">
        <w:rPr>
          <w:rFonts w:ascii="Times New Roman" w:hAnsi="Times New Roman" w:cs="Times New Roman"/>
          <w:sz w:val="28"/>
          <w:szCs w:val="28"/>
          <w:lang w:val="es-ES_tradnl"/>
        </w:rPr>
        <w:t xml:space="preserve">-. </w:t>
      </w:r>
      <w:r w:rsidR="00085A5A" w:rsidRPr="004571E5">
        <w:rPr>
          <w:rFonts w:ascii="Times New Roman" w:hAnsi="Times New Roman" w:cs="Times New Roman"/>
          <w:sz w:val="28"/>
          <w:szCs w:val="28"/>
          <w:lang w:val="es-ES_tradnl"/>
        </w:rPr>
        <w:t xml:space="preserve">En este sentido, </w:t>
      </w:r>
      <w:r w:rsidR="00145245" w:rsidRPr="004571E5">
        <w:rPr>
          <w:rFonts w:ascii="Times New Roman" w:hAnsi="Times New Roman" w:cs="Times New Roman"/>
          <w:sz w:val="28"/>
          <w:szCs w:val="28"/>
          <w:lang w:val="es-ES_tradnl"/>
        </w:rPr>
        <w:t xml:space="preserve">se </w:t>
      </w:r>
      <w:r w:rsidR="003834B6" w:rsidRPr="004571E5">
        <w:rPr>
          <w:rFonts w:ascii="Times New Roman" w:hAnsi="Times New Roman" w:cs="Times New Roman"/>
          <w:sz w:val="28"/>
          <w:szCs w:val="28"/>
          <w:lang w:val="es-ES_tradnl"/>
        </w:rPr>
        <w:t>omiti</w:t>
      </w:r>
      <w:r w:rsidR="00145245" w:rsidRPr="004571E5">
        <w:rPr>
          <w:rFonts w:ascii="Times New Roman" w:hAnsi="Times New Roman" w:cs="Times New Roman"/>
          <w:sz w:val="28"/>
          <w:szCs w:val="28"/>
          <w:lang w:val="es-ES_tradnl"/>
        </w:rPr>
        <w:t>ó</w:t>
      </w:r>
      <w:r w:rsidR="003834B6" w:rsidRPr="004571E5">
        <w:rPr>
          <w:rFonts w:ascii="Times New Roman" w:hAnsi="Times New Roman" w:cs="Times New Roman"/>
          <w:sz w:val="28"/>
          <w:szCs w:val="28"/>
          <w:lang w:val="es-ES_tradnl"/>
        </w:rPr>
        <w:t xml:space="preserve"> dar</w:t>
      </w:r>
      <w:r w:rsidRPr="004571E5">
        <w:rPr>
          <w:rFonts w:ascii="Times New Roman" w:hAnsi="Times New Roman" w:cs="Times New Roman"/>
          <w:sz w:val="28"/>
          <w:szCs w:val="28"/>
          <w:lang w:val="es-ES_tradnl"/>
        </w:rPr>
        <w:t xml:space="preserve"> al caso el tratamiento de una ejecución extrajudicial debiendo hacerlo </w:t>
      </w:r>
      <w:r w:rsidR="003834B6" w:rsidRPr="004571E5">
        <w:rPr>
          <w:rFonts w:ascii="Times New Roman" w:hAnsi="Times New Roman" w:cs="Times New Roman"/>
          <w:sz w:val="28"/>
          <w:szCs w:val="28"/>
          <w:lang w:val="es-ES_tradnl"/>
        </w:rPr>
        <w:t xml:space="preserve">y </w:t>
      </w:r>
      <w:r w:rsidRPr="004571E5">
        <w:rPr>
          <w:rFonts w:ascii="Times New Roman" w:hAnsi="Times New Roman" w:cs="Times New Roman"/>
          <w:sz w:val="28"/>
          <w:szCs w:val="28"/>
          <w:lang w:val="es-ES_tradnl"/>
        </w:rPr>
        <w:t xml:space="preserve">(i) </w:t>
      </w:r>
      <w:r w:rsidR="003F6609" w:rsidRPr="004571E5">
        <w:rPr>
          <w:rFonts w:ascii="Times New Roman" w:hAnsi="Times New Roman" w:cs="Times New Roman"/>
          <w:sz w:val="28"/>
          <w:szCs w:val="28"/>
          <w:lang w:val="es-ES_tradnl"/>
        </w:rPr>
        <w:t xml:space="preserve">no </w:t>
      </w:r>
      <w:r w:rsidR="00145245" w:rsidRPr="004571E5">
        <w:rPr>
          <w:rFonts w:ascii="Times New Roman" w:hAnsi="Times New Roman" w:cs="Times New Roman"/>
          <w:sz w:val="28"/>
          <w:szCs w:val="28"/>
          <w:lang w:val="es-ES_tradnl"/>
        </w:rPr>
        <w:t>se refirió</w:t>
      </w:r>
      <w:r w:rsidRPr="004571E5">
        <w:rPr>
          <w:rFonts w:ascii="Times New Roman" w:hAnsi="Times New Roman" w:cs="Times New Roman"/>
          <w:sz w:val="28"/>
          <w:szCs w:val="28"/>
          <w:lang w:val="es-ES_tradnl"/>
        </w:rPr>
        <w:t xml:space="preserve"> el precedente </w:t>
      </w:r>
      <w:r w:rsidR="003F6609" w:rsidRPr="004571E5">
        <w:rPr>
          <w:rFonts w:ascii="Times New Roman" w:hAnsi="Times New Roman" w:cs="Times New Roman"/>
          <w:sz w:val="28"/>
          <w:szCs w:val="28"/>
          <w:lang w:val="es-ES_tradnl"/>
        </w:rPr>
        <w:t xml:space="preserve">y </w:t>
      </w:r>
      <w:r w:rsidRPr="004571E5">
        <w:rPr>
          <w:rFonts w:ascii="Times New Roman" w:hAnsi="Times New Roman" w:cs="Times New Roman"/>
          <w:sz w:val="28"/>
          <w:szCs w:val="28"/>
          <w:lang w:val="es-ES_tradnl"/>
        </w:rPr>
        <w:t>(</w:t>
      </w:r>
      <w:proofErr w:type="spellStart"/>
      <w:r w:rsidRPr="004571E5">
        <w:rPr>
          <w:rFonts w:ascii="Times New Roman" w:hAnsi="Times New Roman" w:cs="Times New Roman"/>
          <w:sz w:val="28"/>
          <w:szCs w:val="28"/>
          <w:lang w:val="es-ES_tradnl"/>
        </w:rPr>
        <w:t>ii</w:t>
      </w:r>
      <w:proofErr w:type="spellEnd"/>
      <w:r w:rsidRPr="004571E5">
        <w:rPr>
          <w:rFonts w:ascii="Times New Roman" w:hAnsi="Times New Roman" w:cs="Times New Roman"/>
          <w:sz w:val="28"/>
          <w:szCs w:val="28"/>
          <w:lang w:val="es-ES_tradnl"/>
        </w:rPr>
        <w:t xml:space="preserve">) </w:t>
      </w:r>
      <w:r w:rsidR="00145245" w:rsidRPr="004571E5">
        <w:rPr>
          <w:rFonts w:ascii="Times New Roman" w:hAnsi="Times New Roman" w:cs="Times New Roman"/>
          <w:sz w:val="28"/>
          <w:szCs w:val="28"/>
          <w:lang w:val="es-ES_tradnl"/>
        </w:rPr>
        <w:t>se</w:t>
      </w:r>
      <w:r w:rsidR="003F6609" w:rsidRPr="004571E5">
        <w:rPr>
          <w:rFonts w:ascii="Times New Roman" w:hAnsi="Times New Roman" w:cs="Times New Roman"/>
          <w:sz w:val="28"/>
          <w:szCs w:val="28"/>
          <w:lang w:val="es-ES_tradnl"/>
        </w:rPr>
        <w:t xml:space="preserve"> echan de menos las </w:t>
      </w:r>
      <w:r w:rsidRPr="004571E5">
        <w:rPr>
          <w:rFonts w:ascii="Times New Roman" w:hAnsi="Times New Roman" w:cs="Times New Roman"/>
          <w:sz w:val="28"/>
          <w:szCs w:val="28"/>
          <w:lang w:val="es-ES_tradnl"/>
        </w:rPr>
        <w:t>razones que justificaran apartarse del mismo.</w:t>
      </w:r>
      <w:r w:rsidR="00AC1E15" w:rsidRPr="004571E5">
        <w:rPr>
          <w:rFonts w:ascii="Times New Roman" w:hAnsi="Times New Roman" w:cs="Times New Roman"/>
          <w:sz w:val="28"/>
          <w:szCs w:val="28"/>
          <w:lang w:val="es-ES_tradnl"/>
        </w:rPr>
        <w:t xml:space="preserve"> El desconocimiento del precedente horizontal antes referido concurre, por las mismas razones expuestas al resolver el </w:t>
      </w:r>
      <w:r w:rsidR="00412FA6" w:rsidRPr="004571E5">
        <w:rPr>
          <w:rFonts w:ascii="Times New Roman" w:hAnsi="Times New Roman" w:cs="Times New Roman"/>
          <w:sz w:val="28"/>
          <w:szCs w:val="28"/>
          <w:lang w:val="es-ES_tradnl"/>
        </w:rPr>
        <w:t>Caso</w:t>
      </w:r>
      <w:r w:rsidR="00AC1E15" w:rsidRPr="004571E5">
        <w:rPr>
          <w:rFonts w:ascii="Times New Roman" w:hAnsi="Times New Roman" w:cs="Times New Roman"/>
          <w:sz w:val="28"/>
          <w:szCs w:val="28"/>
          <w:lang w:val="es-ES_tradnl"/>
        </w:rPr>
        <w:t xml:space="preserve"> 1, con una violación del precedente fijado por la Corte Constitucional. </w:t>
      </w:r>
    </w:p>
    <w:p w14:paraId="77D2C1C5" w14:textId="77777777" w:rsidR="00533003" w:rsidRPr="004571E5" w:rsidRDefault="00533003" w:rsidP="00533003">
      <w:pPr>
        <w:pStyle w:val="Prrafodelista"/>
        <w:spacing w:line="240" w:lineRule="auto"/>
        <w:ind w:left="0"/>
        <w:jc w:val="both"/>
        <w:rPr>
          <w:rFonts w:ascii="Times New Roman" w:hAnsi="Times New Roman" w:cs="Times New Roman"/>
          <w:b/>
          <w:sz w:val="28"/>
          <w:szCs w:val="28"/>
          <w:lang w:val="es-ES_tradnl"/>
        </w:rPr>
      </w:pPr>
    </w:p>
    <w:p w14:paraId="0DE6C06A" w14:textId="77777777" w:rsidR="00533003" w:rsidRPr="004571E5" w:rsidRDefault="00533003" w:rsidP="00533003">
      <w:pPr>
        <w:pStyle w:val="Prrafodelista"/>
        <w:numPr>
          <w:ilvl w:val="2"/>
          <w:numId w:val="34"/>
        </w:numPr>
        <w:spacing w:line="240" w:lineRule="auto"/>
        <w:ind w:left="0" w:firstLine="0"/>
        <w:jc w:val="both"/>
        <w:rPr>
          <w:rFonts w:ascii="Times New Roman" w:hAnsi="Times New Roman" w:cs="Times New Roman"/>
          <w:b/>
          <w:sz w:val="28"/>
          <w:szCs w:val="28"/>
          <w:lang w:val="es-ES_tradnl"/>
        </w:rPr>
      </w:pPr>
      <w:r w:rsidRPr="004571E5">
        <w:rPr>
          <w:rFonts w:ascii="Times New Roman" w:hAnsi="Times New Roman" w:cs="Times New Roman"/>
          <w:b/>
          <w:iCs/>
          <w:sz w:val="28"/>
          <w:szCs w:val="28"/>
          <w:lang w:val="es-ES_tradnl"/>
        </w:rPr>
        <w:t>Defecto fáctico por indebida valoración probatoria</w:t>
      </w:r>
      <w:r w:rsidRPr="004571E5">
        <w:rPr>
          <w:rFonts w:ascii="Times New Roman" w:hAnsi="Times New Roman" w:cs="Times New Roman"/>
          <w:b/>
          <w:sz w:val="28"/>
          <w:szCs w:val="28"/>
          <w:lang w:val="es-ES_tradnl"/>
        </w:rPr>
        <w:t xml:space="preserve">. </w:t>
      </w:r>
    </w:p>
    <w:p w14:paraId="078C8F0D" w14:textId="77777777" w:rsidR="00533003" w:rsidRPr="004571E5" w:rsidRDefault="00533003" w:rsidP="00533003">
      <w:pPr>
        <w:pStyle w:val="Prrafodelista"/>
        <w:spacing w:line="240" w:lineRule="auto"/>
        <w:ind w:left="0"/>
        <w:jc w:val="both"/>
        <w:rPr>
          <w:rFonts w:ascii="Times New Roman" w:hAnsi="Times New Roman" w:cs="Times New Roman"/>
          <w:sz w:val="28"/>
          <w:szCs w:val="28"/>
          <w:lang w:val="es-ES_tradnl"/>
        </w:rPr>
      </w:pPr>
    </w:p>
    <w:p w14:paraId="7DBB0893" w14:textId="7A181460" w:rsidR="00060300" w:rsidRPr="004571E5" w:rsidRDefault="00533003" w:rsidP="00533003">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De lo expuesto se desprende una clara infracción del precedente. Esa infracción de las reglas de </w:t>
      </w:r>
      <w:r w:rsidR="007A0EDC" w:rsidRPr="004571E5">
        <w:rPr>
          <w:rFonts w:ascii="Times New Roman" w:hAnsi="Times New Roman" w:cs="Times New Roman"/>
          <w:bCs/>
          <w:sz w:val="28"/>
          <w:szCs w:val="28"/>
          <w:lang w:val="es-ES_tradnl"/>
        </w:rPr>
        <w:t xml:space="preserve">valoración </w:t>
      </w:r>
      <w:r w:rsidRPr="004571E5">
        <w:rPr>
          <w:rFonts w:ascii="Times New Roman" w:hAnsi="Times New Roman" w:cs="Times New Roman"/>
          <w:sz w:val="28"/>
          <w:szCs w:val="28"/>
          <w:lang w:val="es-ES_tradnl"/>
        </w:rPr>
        <w:t xml:space="preserve">probatoria tuvo como efecto inevitable la configuración de un defecto fáctico, en tanto las conclusiones probatorias a las que arribó el Consejo de Estado se obtuvieron al margen de </w:t>
      </w:r>
      <w:r w:rsidR="003834B6" w:rsidRPr="004571E5">
        <w:rPr>
          <w:rFonts w:ascii="Times New Roman" w:hAnsi="Times New Roman" w:cs="Times New Roman"/>
          <w:sz w:val="28"/>
          <w:szCs w:val="28"/>
          <w:lang w:val="es-ES_tradnl"/>
        </w:rPr>
        <w:t>las reglas fijadas en la materia</w:t>
      </w:r>
      <w:r w:rsidRPr="004571E5">
        <w:rPr>
          <w:rFonts w:ascii="Times New Roman" w:hAnsi="Times New Roman" w:cs="Times New Roman"/>
          <w:sz w:val="28"/>
          <w:szCs w:val="28"/>
          <w:lang w:val="es-ES_tradnl"/>
        </w:rPr>
        <w:t>, tal y como se desprende de lo indicado anteriormente</w:t>
      </w:r>
      <w:r w:rsidR="00522296" w:rsidRPr="004571E5">
        <w:rPr>
          <w:rFonts w:ascii="Times New Roman" w:hAnsi="Times New Roman" w:cs="Times New Roman"/>
          <w:sz w:val="28"/>
          <w:szCs w:val="28"/>
          <w:lang w:val="es-ES_tradnl"/>
        </w:rPr>
        <w:t xml:space="preserve">. </w:t>
      </w:r>
      <w:r w:rsidR="00522296" w:rsidRPr="004571E5">
        <w:rPr>
          <w:rFonts w:ascii="Times New Roman" w:hAnsi="Times New Roman" w:cs="Times New Roman"/>
          <w:bCs/>
          <w:sz w:val="28"/>
          <w:szCs w:val="28"/>
          <w:lang w:val="es-ES_tradnl"/>
        </w:rPr>
        <w:t>En particular, si la subsección accionada hubiese aplicado las reglas referidas en esta providencia, habría podido llegar a conclusiones diferentes sobre los elementos obrantes en el expediente. El desconocimiento del precedente, así</w:t>
      </w:r>
      <w:r w:rsidR="003F6609" w:rsidRPr="004571E5">
        <w:rPr>
          <w:rFonts w:ascii="Times New Roman" w:hAnsi="Times New Roman" w:cs="Times New Roman"/>
          <w:bCs/>
          <w:sz w:val="28"/>
          <w:szCs w:val="28"/>
          <w:lang w:val="es-ES_tradnl"/>
        </w:rPr>
        <w:t xml:space="preserve"> las cosas</w:t>
      </w:r>
      <w:r w:rsidR="00522296" w:rsidRPr="004571E5">
        <w:rPr>
          <w:rFonts w:ascii="Times New Roman" w:hAnsi="Times New Roman" w:cs="Times New Roman"/>
          <w:bCs/>
          <w:sz w:val="28"/>
          <w:szCs w:val="28"/>
          <w:lang w:val="es-ES_tradnl"/>
        </w:rPr>
        <w:t>, implicó un defecto fáctico porque llevó a que el expediente se valorara sin atención al estándar probatorio fijado en la reiterada jurisprudencia.</w:t>
      </w:r>
    </w:p>
    <w:p w14:paraId="41AD860C" w14:textId="77777777" w:rsidR="00FB697E" w:rsidRPr="004571E5" w:rsidRDefault="00FB697E" w:rsidP="00FB697E">
      <w:pPr>
        <w:pStyle w:val="Prrafodelista"/>
        <w:spacing w:line="240" w:lineRule="auto"/>
        <w:ind w:left="0"/>
        <w:jc w:val="both"/>
        <w:rPr>
          <w:rFonts w:ascii="Times New Roman" w:hAnsi="Times New Roman" w:cs="Times New Roman"/>
          <w:sz w:val="28"/>
          <w:szCs w:val="28"/>
          <w:lang w:val="es-ES_tradnl"/>
        </w:rPr>
      </w:pPr>
    </w:p>
    <w:p w14:paraId="089D97FC" w14:textId="6E4B5A3D" w:rsidR="00FB697E" w:rsidRPr="004571E5" w:rsidRDefault="00FB697E" w:rsidP="00533003">
      <w:pPr>
        <w:pStyle w:val="Prrafodelista"/>
        <w:numPr>
          <w:ilvl w:val="0"/>
          <w:numId w:val="1"/>
        </w:numPr>
        <w:spacing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Como se indicó en el cuadro de valoración probatoria, el defecto fáctico se estructuró pues, al no aplicar las reglas sobre el estándar probatorio reconocidas </w:t>
      </w:r>
      <w:r w:rsidRPr="004571E5">
        <w:rPr>
          <w:rFonts w:ascii="Times New Roman" w:hAnsi="Times New Roman" w:cs="Times New Roman"/>
          <w:sz w:val="28"/>
          <w:szCs w:val="28"/>
          <w:lang w:val="es-ES_tradnl"/>
        </w:rPr>
        <w:lastRenderedPageBreak/>
        <w:t>en la jurisprudencia, se omitió considerar que, en principio, (i) el señor Vergel no frecuentaba la zona y sus conocidos lo ubicaban en la ciudad de Cúcuta para la época de los hechos; (</w:t>
      </w:r>
      <w:proofErr w:type="spellStart"/>
      <w:r w:rsidRPr="004571E5">
        <w:rPr>
          <w:rFonts w:ascii="Times New Roman" w:hAnsi="Times New Roman" w:cs="Times New Roman"/>
          <w:sz w:val="28"/>
          <w:szCs w:val="28"/>
          <w:lang w:val="es-ES_tradnl"/>
        </w:rPr>
        <w:t>ii</w:t>
      </w:r>
      <w:proofErr w:type="spellEnd"/>
      <w:r w:rsidRPr="004571E5">
        <w:rPr>
          <w:rFonts w:ascii="Times New Roman" w:hAnsi="Times New Roman" w:cs="Times New Roman"/>
          <w:sz w:val="28"/>
          <w:szCs w:val="28"/>
          <w:lang w:val="es-ES_tradnl"/>
        </w:rPr>
        <w:t>) los disparos que se efectuaron sobre el fallecido se hicieron a una muy corta distancia y mientras él estaba rodeado; (</w:t>
      </w:r>
      <w:proofErr w:type="spellStart"/>
      <w:r w:rsidRPr="004571E5">
        <w:rPr>
          <w:rFonts w:ascii="Times New Roman" w:hAnsi="Times New Roman" w:cs="Times New Roman"/>
          <w:sz w:val="28"/>
          <w:szCs w:val="28"/>
          <w:lang w:val="es-ES_tradnl"/>
        </w:rPr>
        <w:t>iii</w:t>
      </w:r>
      <w:proofErr w:type="spellEnd"/>
      <w:r w:rsidRPr="004571E5">
        <w:rPr>
          <w:rFonts w:ascii="Times New Roman" w:hAnsi="Times New Roman" w:cs="Times New Roman"/>
          <w:sz w:val="28"/>
          <w:szCs w:val="28"/>
          <w:lang w:val="es-ES_tradnl"/>
        </w:rPr>
        <w:t>) se presentaron hechos que corresponden</w:t>
      </w:r>
      <w:r w:rsidR="003F6609" w:rsidRPr="004571E5">
        <w:rPr>
          <w:rFonts w:ascii="Times New Roman" w:hAnsi="Times New Roman" w:cs="Times New Roman"/>
          <w:sz w:val="28"/>
          <w:szCs w:val="28"/>
          <w:lang w:val="es-ES_tradnl"/>
        </w:rPr>
        <w:t xml:space="preserve"> a</w:t>
      </w:r>
      <w:r w:rsidRPr="004571E5">
        <w:rPr>
          <w:rFonts w:ascii="Times New Roman" w:hAnsi="Times New Roman" w:cs="Times New Roman"/>
          <w:sz w:val="28"/>
          <w:szCs w:val="28"/>
          <w:lang w:val="es-ES_tradnl"/>
        </w:rPr>
        <w:t xml:space="preserve"> los patrones típicos de estas situaciones tal y como se desprende del contraste entre los informes técnicos aportados al expediente y el relato de los integrantes de las fuerzas militares; y, además, (</w:t>
      </w:r>
      <w:proofErr w:type="spellStart"/>
      <w:r w:rsidRPr="004571E5">
        <w:rPr>
          <w:rFonts w:ascii="Times New Roman" w:hAnsi="Times New Roman" w:cs="Times New Roman"/>
          <w:sz w:val="28"/>
          <w:szCs w:val="28"/>
          <w:lang w:val="es-ES_tradnl"/>
        </w:rPr>
        <w:t>iv</w:t>
      </w:r>
      <w:proofErr w:type="spellEnd"/>
      <w:r w:rsidRPr="004571E5">
        <w:rPr>
          <w:rFonts w:ascii="Times New Roman" w:hAnsi="Times New Roman" w:cs="Times New Roman"/>
          <w:sz w:val="28"/>
          <w:szCs w:val="28"/>
          <w:lang w:val="es-ES_tradnl"/>
        </w:rPr>
        <w:t>) no se valoró la necesidad de aplicar una carga dinámica de la prueba en el caso concreto.</w:t>
      </w:r>
    </w:p>
    <w:p w14:paraId="69F2BD68" w14:textId="77777777" w:rsidR="00533003" w:rsidRPr="004571E5" w:rsidRDefault="00533003" w:rsidP="00533003">
      <w:pPr>
        <w:pStyle w:val="Prrafodelista"/>
        <w:spacing w:line="240" w:lineRule="auto"/>
        <w:ind w:left="0"/>
        <w:jc w:val="both"/>
        <w:rPr>
          <w:rFonts w:ascii="Times New Roman" w:hAnsi="Times New Roman" w:cs="Times New Roman"/>
          <w:sz w:val="28"/>
          <w:szCs w:val="28"/>
          <w:lang w:val="es-ES_tradnl"/>
        </w:rPr>
      </w:pPr>
    </w:p>
    <w:p w14:paraId="2EA59A2E" w14:textId="68A53E25" w:rsidR="00A01528" w:rsidRPr="004571E5" w:rsidRDefault="00774A9E" w:rsidP="00412FA6">
      <w:pPr>
        <w:pStyle w:val="Prrafodelista"/>
        <w:numPr>
          <w:ilvl w:val="0"/>
          <w:numId w:val="34"/>
        </w:numPr>
        <w:tabs>
          <w:tab w:val="left" w:pos="426"/>
        </w:tabs>
        <w:spacing w:after="0" w:line="240" w:lineRule="auto"/>
        <w:ind w:left="0" w:firstLine="0"/>
        <w:jc w:val="both"/>
        <w:rPr>
          <w:rFonts w:ascii="Times New Roman" w:hAnsi="Times New Roman" w:cs="Times New Roman"/>
          <w:b/>
          <w:bCs/>
          <w:iCs/>
          <w:sz w:val="28"/>
          <w:szCs w:val="28"/>
          <w:lang w:val="es-ES_tradnl"/>
        </w:rPr>
      </w:pPr>
      <w:r w:rsidRPr="004571E5">
        <w:rPr>
          <w:rFonts w:ascii="Times New Roman" w:hAnsi="Times New Roman" w:cs="Times New Roman"/>
          <w:b/>
          <w:bCs/>
          <w:iCs/>
          <w:sz w:val="28"/>
          <w:szCs w:val="28"/>
          <w:lang w:val="es-ES_tradnl"/>
        </w:rPr>
        <w:t>Conclusiones y ó</w:t>
      </w:r>
      <w:r w:rsidR="00A01528" w:rsidRPr="004571E5">
        <w:rPr>
          <w:rFonts w:ascii="Times New Roman" w:hAnsi="Times New Roman" w:cs="Times New Roman"/>
          <w:b/>
          <w:bCs/>
          <w:iCs/>
          <w:sz w:val="28"/>
          <w:szCs w:val="28"/>
          <w:lang w:val="es-ES_tradnl"/>
        </w:rPr>
        <w:t xml:space="preserve">rdenes </w:t>
      </w:r>
      <w:r w:rsidR="00024831" w:rsidRPr="004571E5">
        <w:rPr>
          <w:rFonts w:ascii="Times New Roman" w:hAnsi="Times New Roman" w:cs="Times New Roman"/>
          <w:b/>
          <w:bCs/>
          <w:iCs/>
          <w:sz w:val="28"/>
          <w:szCs w:val="28"/>
          <w:lang w:val="es-ES_tradnl"/>
        </w:rPr>
        <w:t>por</w:t>
      </w:r>
      <w:r w:rsidR="00A01528" w:rsidRPr="004571E5">
        <w:rPr>
          <w:rFonts w:ascii="Times New Roman" w:hAnsi="Times New Roman" w:cs="Times New Roman"/>
          <w:b/>
          <w:bCs/>
          <w:iCs/>
          <w:sz w:val="28"/>
          <w:szCs w:val="28"/>
          <w:lang w:val="es-ES_tradnl"/>
        </w:rPr>
        <w:t xml:space="preserve"> proferir </w:t>
      </w:r>
    </w:p>
    <w:p w14:paraId="25F53D05" w14:textId="77777777" w:rsidR="00A01528" w:rsidRPr="004571E5" w:rsidRDefault="00A01528" w:rsidP="00481F2E">
      <w:pPr>
        <w:pStyle w:val="Prrafodelista"/>
        <w:tabs>
          <w:tab w:val="left" w:pos="426"/>
        </w:tabs>
        <w:spacing w:after="0" w:line="240" w:lineRule="auto"/>
        <w:ind w:left="0"/>
        <w:jc w:val="both"/>
        <w:rPr>
          <w:rFonts w:ascii="Times New Roman" w:hAnsi="Times New Roman" w:cs="Times New Roman"/>
          <w:sz w:val="28"/>
          <w:szCs w:val="28"/>
          <w:lang w:val="es-ES_tradnl"/>
        </w:rPr>
      </w:pPr>
    </w:p>
    <w:p w14:paraId="35BA266A" w14:textId="39AE6B22" w:rsidR="00F52B74" w:rsidRPr="004571E5" w:rsidRDefault="00927A8C" w:rsidP="00533003">
      <w:pPr>
        <w:pStyle w:val="Prrafodelista"/>
        <w:numPr>
          <w:ilvl w:val="0"/>
          <w:numId w:val="1"/>
        </w:numPr>
        <w:tabs>
          <w:tab w:val="left" w:pos="426"/>
        </w:tabs>
        <w:spacing w:after="0"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 xml:space="preserve">De acuerdo con lo anterior, en ambos casos se evidenció una vulneración de los derechos al debido proceso y al acceso a la administración de justicia. </w:t>
      </w:r>
      <w:r w:rsidR="00F52B74" w:rsidRPr="004571E5">
        <w:rPr>
          <w:rFonts w:ascii="Times New Roman" w:hAnsi="Times New Roman" w:cs="Times New Roman"/>
          <w:sz w:val="28"/>
          <w:szCs w:val="28"/>
          <w:lang w:val="es-ES_tradnl"/>
        </w:rPr>
        <w:t xml:space="preserve">La Subsección C de la Sección Tercera del Consejo de Estado omitió aplicar el </w:t>
      </w:r>
      <w:r w:rsidR="00D53781" w:rsidRPr="004571E5">
        <w:rPr>
          <w:rFonts w:ascii="Times New Roman" w:hAnsi="Times New Roman" w:cs="Times New Roman"/>
          <w:sz w:val="28"/>
          <w:szCs w:val="28"/>
          <w:lang w:val="es-ES_tradnl"/>
        </w:rPr>
        <w:t xml:space="preserve">precedente de la Corte Constitucional </w:t>
      </w:r>
      <w:r w:rsidR="00F52B74" w:rsidRPr="004571E5">
        <w:rPr>
          <w:rFonts w:ascii="Times New Roman" w:hAnsi="Times New Roman" w:cs="Times New Roman"/>
          <w:sz w:val="28"/>
          <w:szCs w:val="28"/>
          <w:lang w:val="es-ES_tradnl"/>
        </w:rPr>
        <w:t>y horizontal y, en consecuencia, incurrió en un defecto fáctico pues valoró las pruebas sin aplicar el estándar flexible reconocido en la jurisprudencia</w:t>
      </w:r>
      <w:r w:rsidR="00596D9F" w:rsidRPr="004571E5">
        <w:rPr>
          <w:rFonts w:ascii="Times New Roman" w:hAnsi="Times New Roman" w:cs="Times New Roman"/>
          <w:sz w:val="28"/>
          <w:szCs w:val="28"/>
          <w:lang w:val="es-ES_tradnl"/>
        </w:rPr>
        <w:t>, no otorgó a las pruebas indiciarias el peso fijado en el precedente y no</w:t>
      </w:r>
      <w:r w:rsidR="00AC1E15" w:rsidRPr="004571E5">
        <w:rPr>
          <w:rFonts w:ascii="Times New Roman" w:hAnsi="Times New Roman" w:cs="Times New Roman"/>
          <w:sz w:val="28"/>
          <w:szCs w:val="28"/>
          <w:lang w:val="es-ES_tradnl"/>
        </w:rPr>
        <w:t xml:space="preserve"> consideró la relevancia de aplicar la</w:t>
      </w:r>
      <w:r w:rsidR="00596D9F" w:rsidRPr="004571E5">
        <w:rPr>
          <w:rFonts w:ascii="Times New Roman" w:hAnsi="Times New Roman" w:cs="Times New Roman"/>
          <w:sz w:val="28"/>
          <w:szCs w:val="28"/>
          <w:lang w:val="es-ES_tradnl"/>
        </w:rPr>
        <w:t xml:space="preserve"> carga dinámica de la prueba.</w:t>
      </w:r>
    </w:p>
    <w:p w14:paraId="5280A0DD" w14:textId="77777777" w:rsidR="00F52B74" w:rsidRPr="004571E5" w:rsidRDefault="00F52B74" w:rsidP="00481F2E">
      <w:pPr>
        <w:pStyle w:val="Prrafodelista"/>
        <w:tabs>
          <w:tab w:val="left" w:pos="426"/>
        </w:tabs>
        <w:spacing w:after="0" w:line="240" w:lineRule="auto"/>
        <w:ind w:left="0"/>
        <w:jc w:val="both"/>
        <w:rPr>
          <w:rFonts w:ascii="Times New Roman" w:hAnsi="Times New Roman" w:cs="Times New Roman"/>
          <w:sz w:val="28"/>
          <w:szCs w:val="28"/>
          <w:lang w:val="es-ES_tradnl"/>
        </w:rPr>
      </w:pPr>
    </w:p>
    <w:p w14:paraId="6AF8DF9B" w14:textId="364A1F2B" w:rsidR="00EC1F61" w:rsidRPr="004571E5" w:rsidRDefault="0092388A" w:rsidP="00533003">
      <w:pPr>
        <w:pStyle w:val="Prrafodelista"/>
        <w:numPr>
          <w:ilvl w:val="0"/>
          <w:numId w:val="1"/>
        </w:numPr>
        <w:tabs>
          <w:tab w:val="left" w:pos="426"/>
        </w:tabs>
        <w:spacing w:after="0"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En consecuencia, l</w:t>
      </w:r>
      <w:r w:rsidR="00927A8C" w:rsidRPr="004571E5">
        <w:rPr>
          <w:rFonts w:ascii="Times New Roman" w:hAnsi="Times New Roman" w:cs="Times New Roman"/>
          <w:sz w:val="28"/>
          <w:szCs w:val="28"/>
          <w:lang w:val="es-ES_tradnl"/>
        </w:rPr>
        <w:t xml:space="preserve">a Corte encuentra necesario </w:t>
      </w:r>
      <w:r w:rsidRPr="004571E5">
        <w:rPr>
          <w:rFonts w:ascii="Times New Roman" w:hAnsi="Times New Roman" w:cs="Times New Roman"/>
          <w:sz w:val="28"/>
          <w:szCs w:val="28"/>
          <w:lang w:val="es-ES_tradnl"/>
        </w:rPr>
        <w:t>revocar</w:t>
      </w:r>
      <w:r w:rsidR="00927A8C" w:rsidRPr="004571E5">
        <w:rPr>
          <w:rFonts w:ascii="Times New Roman" w:hAnsi="Times New Roman" w:cs="Times New Roman"/>
          <w:sz w:val="28"/>
          <w:szCs w:val="28"/>
          <w:lang w:val="es-ES_tradnl"/>
        </w:rPr>
        <w:t xml:space="preserve"> las sentencias de segunda instancia </w:t>
      </w:r>
      <w:r w:rsidR="00F52B74" w:rsidRPr="004571E5">
        <w:rPr>
          <w:rFonts w:ascii="Times New Roman" w:hAnsi="Times New Roman" w:cs="Times New Roman"/>
          <w:sz w:val="28"/>
          <w:szCs w:val="28"/>
          <w:lang w:val="es-ES_tradnl"/>
        </w:rPr>
        <w:t>dentro de</w:t>
      </w:r>
      <w:r w:rsidR="00774A9E" w:rsidRPr="004571E5">
        <w:rPr>
          <w:rFonts w:ascii="Times New Roman" w:hAnsi="Times New Roman" w:cs="Times New Roman"/>
          <w:sz w:val="28"/>
          <w:szCs w:val="28"/>
          <w:lang w:val="es-ES_tradnl"/>
        </w:rPr>
        <w:t xml:space="preserve"> </w:t>
      </w:r>
      <w:r w:rsidR="00F52B74" w:rsidRPr="004571E5">
        <w:rPr>
          <w:rFonts w:ascii="Times New Roman" w:hAnsi="Times New Roman" w:cs="Times New Roman"/>
          <w:sz w:val="28"/>
          <w:szCs w:val="28"/>
          <w:lang w:val="es-ES_tradnl"/>
        </w:rPr>
        <w:t>l</w:t>
      </w:r>
      <w:r w:rsidR="00774A9E" w:rsidRPr="004571E5">
        <w:rPr>
          <w:rFonts w:ascii="Times New Roman" w:hAnsi="Times New Roman" w:cs="Times New Roman"/>
          <w:sz w:val="28"/>
          <w:szCs w:val="28"/>
          <w:lang w:val="es-ES_tradnl"/>
        </w:rPr>
        <w:t>os</w:t>
      </w:r>
      <w:r w:rsidR="00F52B74" w:rsidRPr="004571E5">
        <w:rPr>
          <w:rFonts w:ascii="Times New Roman" w:hAnsi="Times New Roman" w:cs="Times New Roman"/>
          <w:sz w:val="28"/>
          <w:szCs w:val="28"/>
          <w:lang w:val="es-ES_tradnl"/>
        </w:rPr>
        <w:t xml:space="preserve"> proceso</w:t>
      </w:r>
      <w:r w:rsidR="00774A9E" w:rsidRPr="004571E5">
        <w:rPr>
          <w:rFonts w:ascii="Times New Roman" w:hAnsi="Times New Roman" w:cs="Times New Roman"/>
          <w:sz w:val="28"/>
          <w:szCs w:val="28"/>
          <w:lang w:val="es-ES_tradnl"/>
        </w:rPr>
        <w:t>s</w:t>
      </w:r>
      <w:r w:rsidR="00F52B74" w:rsidRPr="004571E5">
        <w:rPr>
          <w:rFonts w:ascii="Times New Roman" w:hAnsi="Times New Roman" w:cs="Times New Roman"/>
          <w:sz w:val="28"/>
          <w:szCs w:val="28"/>
          <w:lang w:val="es-ES_tradnl"/>
        </w:rPr>
        <w:t xml:space="preserve"> de tutela</w:t>
      </w:r>
      <w:r w:rsidR="00EC1F61" w:rsidRPr="004571E5">
        <w:rPr>
          <w:rFonts w:ascii="Times New Roman" w:hAnsi="Times New Roman" w:cs="Times New Roman"/>
          <w:sz w:val="28"/>
          <w:szCs w:val="28"/>
          <w:lang w:val="es-ES_tradnl"/>
        </w:rPr>
        <w:t>. En su lugar, se confirmarán las sentencias de primera instancia que concedieron el amparo en ambos casos y otorgaron veinte (20) días a la subsección accionada para proferir una nueva decisión teniendo en cuenta el precedente aplicable a</w:t>
      </w:r>
      <w:r w:rsidR="00EE7CBE" w:rsidRPr="004571E5">
        <w:rPr>
          <w:rFonts w:ascii="Times New Roman" w:hAnsi="Times New Roman" w:cs="Times New Roman"/>
          <w:sz w:val="28"/>
          <w:szCs w:val="28"/>
          <w:lang w:val="es-ES_tradnl"/>
        </w:rPr>
        <w:t xml:space="preserve"> los casos</w:t>
      </w:r>
      <w:r w:rsidR="00EC1F61" w:rsidRPr="004571E5">
        <w:rPr>
          <w:rFonts w:ascii="Times New Roman" w:hAnsi="Times New Roman" w:cs="Times New Roman"/>
          <w:sz w:val="28"/>
          <w:szCs w:val="28"/>
          <w:lang w:val="es-ES_tradnl"/>
        </w:rPr>
        <w:t>.</w:t>
      </w:r>
    </w:p>
    <w:p w14:paraId="2895B143" w14:textId="77777777" w:rsidR="00D15E03" w:rsidRPr="004571E5" w:rsidRDefault="00D15E03" w:rsidP="00481F2E">
      <w:pPr>
        <w:pStyle w:val="Prrafodelista"/>
        <w:tabs>
          <w:tab w:val="left" w:pos="426"/>
        </w:tabs>
        <w:spacing w:after="0" w:line="240" w:lineRule="auto"/>
        <w:ind w:left="0"/>
        <w:jc w:val="both"/>
        <w:rPr>
          <w:rFonts w:ascii="Times New Roman" w:hAnsi="Times New Roman" w:cs="Times New Roman"/>
          <w:sz w:val="28"/>
          <w:szCs w:val="28"/>
          <w:lang w:val="es-ES_tradnl"/>
        </w:rPr>
      </w:pPr>
    </w:p>
    <w:p w14:paraId="44CE2D49" w14:textId="15EFFAA1" w:rsidR="00D15E03" w:rsidRPr="004571E5" w:rsidRDefault="00D15E03" w:rsidP="00481F2E">
      <w:pPr>
        <w:pStyle w:val="Prrafodelista"/>
        <w:tabs>
          <w:tab w:val="left" w:pos="426"/>
        </w:tabs>
        <w:spacing w:after="0" w:line="240" w:lineRule="auto"/>
        <w:ind w:left="0"/>
        <w:jc w:val="both"/>
        <w:rPr>
          <w:rFonts w:ascii="Times New Roman" w:hAnsi="Times New Roman" w:cs="Times New Roman"/>
          <w:b/>
          <w:bCs/>
          <w:sz w:val="28"/>
          <w:szCs w:val="28"/>
          <w:lang w:val="es-ES_tradnl"/>
        </w:rPr>
      </w:pPr>
      <w:r w:rsidRPr="004571E5">
        <w:rPr>
          <w:rFonts w:ascii="Times New Roman" w:hAnsi="Times New Roman" w:cs="Times New Roman"/>
          <w:b/>
          <w:bCs/>
          <w:sz w:val="28"/>
          <w:szCs w:val="28"/>
          <w:lang w:val="es-ES_tradnl"/>
        </w:rPr>
        <w:t xml:space="preserve">III. DECISIÓN </w:t>
      </w:r>
    </w:p>
    <w:p w14:paraId="5C238C68" w14:textId="77777777" w:rsidR="00D15E03" w:rsidRPr="004571E5" w:rsidRDefault="00D15E03" w:rsidP="00481F2E">
      <w:pPr>
        <w:pStyle w:val="Prrafodelista"/>
        <w:tabs>
          <w:tab w:val="left" w:pos="426"/>
        </w:tabs>
        <w:spacing w:after="0" w:line="240" w:lineRule="auto"/>
        <w:ind w:left="0"/>
        <w:jc w:val="both"/>
        <w:rPr>
          <w:rFonts w:ascii="Times New Roman" w:hAnsi="Times New Roman" w:cs="Times New Roman"/>
          <w:sz w:val="28"/>
          <w:szCs w:val="28"/>
          <w:lang w:val="es-ES_tradnl"/>
        </w:rPr>
      </w:pPr>
    </w:p>
    <w:p w14:paraId="118BC68B" w14:textId="4A4BABAB" w:rsidR="00063321" w:rsidRPr="004571E5" w:rsidRDefault="009223F5" w:rsidP="00481F2E">
      <w:pPr>
        <w:kinsoku w:val="0"/>
        <w:overflowPunct w:val="0"/>
        <w:autoSpaceDE w:val="0"/>
        <w:autoSpaceDN w:val="0"/>
        <w:adjustRightInd w:val="0"/>
        <w:spacing w:after="0" w:line="240" w:lineRule="auto"/>
        <w:ind w:right="49"/>
        <w:jc w:val="both"/>
        <w:rPr>
          <w:rFonts w:ascii="Times New Roman" w:hAnsi="Times New Roman" w:cs="Times New Roman"/>
          <w:sz w:val="28"/>
          <w:szCs w:val="28"/>
          <w:lang w:val="es-ES"/>
        </w:rPr>
      </w:pPr>
      <w:r w:rsidRPr="004571E5">
        <w:rPr>
          <w:rFonts w:ascii="Times New Roman" w:hAnsi="Times New Roman" w:cs="Times New Roman"/>
          <w:sz w:val="28"/>
          <w:szCs w:val="28"/>
          <w:lang w:val="es-ES"/>
        </w:rPr>
        <w:t>En virtud de lo anterior, administrando justicia en nombre de la República y por autoridad de la Ley, la Sala Plena de la Corte Constitucional de Colombia,</w:t>
      </w:r>
    </w:p>
    <w:p w14:paraId="24BAE796" w14:textId="77777777" w:rsidR="00063321" w:rsidRPr="004571E5" w:rsidRDefault="00063321" w:rsidP="00481F2E">
      <w:pPr>
        <w:kinsoku w:val="0"/>
        <w:overflowPunct w:val="0"/>
        <w:autoSpaceDE w:val="0"/>
        <w:autoSpaceDN w:val="0"/>
        <w:adjustRightInd w:val="0"/>
        <w:spacing w:after="0" w:line="240" w:lineRule="auto"/>
        <w:ind w:right="49"/>
        <w:jc w:val="both"/>
        <w:rPr>
          <w:rFonts w:ascii="Times New Roman" w:hAnsi="Times New Roman" w:cs="Times New Roman"/>
          <w:sz w:val="28"/>
          <w:szCs w:val="28"/>
          <w:lang w:val="es-ES_tradnl"/>
        </w:rPr>
      </w:pPr>
    </w:p>
    <w:p w14:paraId="0C87FA70" w14:textId="0F936FB7" w:rsidR="00D3300B" w:rsidRPr="004571E5" w:rsidRDefault="00D3300B" w:rsidP="00481F2E">
      <w:pPr>
        <w:tabs>
          <w:tab w:val="left" w:pos="426"/>
        </w:tabs>
        <w:spacing w:after="0" w:line="240" w:lineRule="auto"/>
        <w:jc w:val="center"/>
        <w:rPr>
          <w:rFonts w:ascii="Times New Roman" w:hAnsi="Times New Roman" w:cs="Times New Roman"/>
          <w:b/>
          <w:sz w:val="28"/>
          <w:szCs w:val="28"/>
          <w:lang w:val="es-ES_tradnl"/>
        </w:rPr>
      </w:pPr>
      <w:r w:rsidRPr="004571E5">
        <w:rPr>
          <w:rFonts w:ascii="Times New Roman" w:hAnsi="Times New Roman" w:cs="Times New Roman"/>
          <w:b/>
          <w:sz w:val="28"/>
          <w:szCs w:val="28"/>
          <w:lang w:val="es-ES_tradnl"/>
        </w:rPr>
        <w:t>RESUEL</w:t>
      </w:r>
      <w:r w:rsidR="00C674A0" w:rsidRPr="004571E5">
        <w:rPr>
          <w:rFonts w:ascii="Times New Roman" w:hAnsi="Times New Roman" w:cs="Times New Roman"/>
          <w:b/>
          <w:sz w:val="28"/>
          <w:szCs w:val="28"/>
          <w:lang w:val="es-ES_tradnl"/>
        </w:rPr>
        <w:t>VE</w:t>
      </w:r>
    </w:p>
    <w:p w14:paraId="530847AF" w14:textId="77777777" w:rsidR="00C674A0" w:rsidRPr="004571E5" w:rsidRDefault="00C674A0" w:rsidP="00481F2E">
      <w:pPr>
        <w:tabs>
          <w:tab w:val="left" w:pos="426"/>
        </w:tabs>
        <w:spacing w:after="0" w:line="240" w:lineRule="auto"/>
        <w:jc w:val="center"/>
        <w:rPr>
          <w:rFonts w:ascii="Times New Roman" w:hAnsi="Times New Roman" w:cs="Times New Roman"/>
          <w:b/>
          <w:sz w:val="28"/>
          <w:szCs w:val="28"/>
          <w:lang w:val="es-ES_tradnl"/>
        </w:rPr>
      </w:pPr>
    </w:p>
    <w:p w14:paraId="5E37103D" w14:textId="79DE432F" w:rsidR="00A94C2E" w:rsidRPr="004571E5" w:rsidRDefault="00F86A70" w:rsidP="00525E21">
      <w:pPr>
        <w:pStyle w:val="Prrafodelista"/>
        <w:tabs>
          <w:tab w:val="left" w:pos="426"/>
        </w:tabs>
        <w:spacing w:after="0" w:line="240" w:lineRule="auto"/>
        <w:ind w:left="0"/>
        <w:jc w:val="both"/>
        <w:rPr>
          <w:rFonts w:ascii="Times New Roman" w:hAnsi="Times New Roman" w:cs="Times New Roman"/>
          <w:bCs/>
          <w:sz w:val="28"/>
          <w:szCs w:val="28"/>
          <w:lang w:val="es-ES_tradnl"/>
        </w:rPr>
      </w:pPr>
      <w:r w:rsidRPr="004571E5">
        <w:rPr>
          <w:rFonts w:ascii="Times New Roman" w:hAnsi="Times New Roman" w:cs="Times New Roman"/>
          <w:b/>
          <w:sz w:val="28"/>
          <w:szCs w:val="28"/>
          <w:lang w:val="es-ES_tradnl"/>
        </w:rPr>
        <w:t>Primero:</w:t>
      </w:r>
      <w:r w:rsidR="004D23F8" w:rsidRPr="004571E5">
        <w:rPr>
          <w:rFonts w:ascii="Times New Roman" w:hAnsi="Times New Roman" w:cs="Times New Roman"/>
          <w:b/>
          <w:sz w:val="28"/>
          <w:szCs w:val="28"/>
          <w:lang w:val="es-ES_tradnl"/>
        </w:rPr>
        <w:t xml:space="preserve"> </w:t>
      </w:r>
      <w:r w:rsidR="004D23F8" w:rsidRPr="004571E5">
        <w:rPr>
          <w:rFonts w:ascii="Times New Roman" w:hAnsi="Times New Roman" w:cs="Times New Roman"/>
          <w:bCs/>
          <w:sz w:val="28"/>
          <w:szCs w:val="28"/>
          <w:lang w:val="es-ES_tradnl"/>
        </w:rPr>
        <w:t xml:space="preserve">dentro del expediente T-9.860.565, </w:t>
      </w:r>
      <w:r w:rsidR="004D23F8" w:rsidRPr="004571E5">
        <w:rPr>
          <w:rFonts w:ascii="Times New Roman" w:hAnsi="Times New Roman" w:cs="Times New Roman"/>
          <w:b/>
          <w:sz w:val="28"/>
          <w:szCs w:val="28"/>
          <w:lang w:val="es-ES_tradnl"/>
        </w:rPr>
        <w:t>REVOCAR</w:t>
      </w:r>
      <w:r w:rsidR="004D23F8" w:rsidRPr="004571E5">
        <w:rPr>
          <w:rFonts w:ascii="Times New Roman" w:hAnsi="Times New Roman" w:cs="Times New Roman"/>
          <w:bCs/>
          <w:sz w:val="28"/>
          <w:szCs w:val="28"/>
          <w:lang w:val="es-ES_tradnl"/>
        </w:rPr>
        <w:t xml:space="preserve"> la </w:t>
      </w:r>
      <w:r w:rsidR="00DC50F6" w:rsidRPr="004571E5">
        <w:rPr>
          <w:rFonts w:ascii="Times New Roman" w:hAnsi="Times New Roman" w:cs="Times New Roman"/>
          <w:bCs/>
          <w:sz w:val="28"/>
          <w:szCs w:val="28"/>
          <w:lang w:val="es-ES_tradnl"/>
        </w:rPr>
        <w:t xml:space="preserve">sentencia </w:t>
      </w:r>
      <w:r w:rsidR="00DC50F6" w:rsidRPr="004571E5">
        <w:rPr>
          <w:rFonts w:ascii="Times New Roman" w:hAnsi="Times New Roman" w:cs="Times New Roman"/>
          <w:bCs/>
          <w:sz w:val="28"/>
          <w:szCs w:val="28"/>
        </w:rPr>
        <w:t xml:space="preserve">del 12 de octubre de 2023, la Subsección A de la Sección Segunda </w:t>
      </w:r>
      <w:r w:rsidR="00DC50F6" w:rsidRPr="004571E5">
        <w:rPr>
          <w:rFonts w:ascii="Times New Roman" w:hAnsi="Times New Roman" w:cs="Times New Roman"/>
          <w:bCs/>
          <w:sz w:val="28"/>
          <w:szCs w:val="28"/>
          <w:lang w:val="es-ES_tradnl"/>
        </w:rPr>
        <w:t xml:space="preserve">de la Sala Contencioso Administrativa del Consejo de Estado y, en su lugar, </w:t>
      </w:r>
      <w:r w:rsidR="00DC50F6" w:rsidRPr="004571E5">
        <w:rPr>
          <w:rFonts w:ascii="Times New Roman" w:hAnsi="Times New Roman" w:cs="Times New Roman"/>
          <w:b/>
          <w:bCs/>
          <w:sz w:val="28"/>
          <w:szCs w:val="28"/>
          <w:lang w:val="es-ES_tradnl"/>
        </w:rPr>
        <w:t>CONFIRMAR INTEGRALMENTE</w:t>
      </w:r>
      <w:r w:rsidR="00DC50F6" w:rsidRPr="004571E5">
        <w:rPr>
          <w:rFonts w:ascii="Times New Roman" w:hAnsi="Times New Roman" w:cs="Times New Roman"/>
          <w:bCs/>
          <w:sz w:val="28"/>
          <w:szCs w:val="28"/>
          <w:lang w:val="es-ES_tradnl"/>
        </w:rPr>
        <w:t xml:space="preserve"> la sentencia </w:t>
      </w:r>
      <w:r w:rsidR="000D7D81" w:rsidRPr="004571E5">
        <w:rPr>
          <w:rFonts w:ascii="Times New Roman" w:hAnsi="Times New Roman" w:cs="Times New Roman"/>
          <w:bCs/>
          <w:sz w:val="28"/>
          <w:szCs w:val="28"/>
        </w:rPr>
        <w:t xml:space="preserve">del 19 de julio de 2023 </w:t>
      </w:r>
      <w:r w:rsidR="00DC50F6" w:rsidRPr="004571E5">
        <w:rPr>
          <w:rFonts w:ascii="Times New Roman" w:hAnsi="Times New Roman" w:cs="Times New Roman"/>
          <w:bCs/>
          <w:sz w:val="28"/>
          <w:szCs w:val="28"/>
          <w:lang w:val="es-ES_tradnl"/>
        </w:rPr>
        <w:t>de la Sección Cuarta de la Sala Contencioso Administrativa del Consejo de Estado que concedió el amparo.</w:t>
      </w:r>
    </w:p>
    <w:p w14:paraId="3D8854EA" w14:textId="77777777" w:rsidR="00A94C2E" w:rsidRPr="004571E5" w:rsidRDefault="00A94C2E" w:rsidP="00481F2E">
      <w:pPr>
        <w:pStyle w:val="Prrafodelista"/>
        <w:shd w:val="clear" w:color="auto" w:fill="FFFFFF"/>
        <w:spacing w:after="0" w:line="240" w:lineRule="auto"/>
        <w:ind w:left="0" w:right="49"/>
        <w:jc w:val="both"/>
        <w:rPr>
          <w:rFonts w:ascii="Times New Roman" w:hAnsi="Times New Roman" w:cs="Times New Roman"/>
          <w:b/>
          <w:sz w:val="28"/>
          <w:szCs w:val="28"/>
          <w:lang w:val="es-ES_tradnl"/>
        </w:rPr>
      </w:pPr>
    </w:p>
    <w:p w14:paraId="68B24AB1" w14:textId="252134F8" w:rsidR="00CE671D" w:rsidRPr="004571E5" w:rsidRDefault="00A94C2E" w:rsidP="00481F2E">
      <w:pPr>
        <w:pStyle w:val="Prrafodelista"/>
        <w:shd w:val="clear" w:color="auto" w:fill="FFFFFF"/>
        <w:spacing w:after="0" w:line="240" w:lineRule="auto"/>
        <w:ind w:left="0" w:right="49"/>
        <w:jc w:val="both"/>
        <w:rPr>
          <w:rFonts w:ascii="Times New Roman" w:hAnsi="Times New Roman" w:cs="Times New Roman"/>
          <w:sz w:val="28"/>
          <w:szCs w:val="28"/>
          <w:lang w:val="es-ES_tradnl"/>
        </w:rPr>
      </w:pPr>
      <w:r w:rsidRPr="004571E5">
        <w:rPr>
          <w:rFonts w:ascii="Times New Roman" w:hAnsi="Times New Roman" w:cs="Times New Roman"/>
          <w:b/>
          <w:sz w:val="28"/>
          <w:szCs w:val="28"/>
          <w:lang w:val="es-ES_tradnl"/>
        </w:rPr>
        <w:t xml:space="preserve">Segundo: </w:t>
      </w:r>
      <w:r w:rsidR="00EC1F61" w:rsidRPr="004571E5">
        <w:rPr>
          <w:rFonts w:ascii="Times New Roman" w:hAnsi="Times New Roman" w:cs="Times New Roman"/>
          <w:sz w:val="28"/>
          <w:szCs w:val="28"/>
          <w:lang w:val="es-ES_tradnl"/>
        </w:rPr>
        <w:t>dentro del expediente T-10.191.129,</w:t>
      </w:r>
      <w:r w:rsidR="00EC1F61" w:rsidRPr="004571E5">
        <w:rPr>
          <w:rFonts w:ascii="Times New Roman" w:hAnsi="Times New Roman" w:cs="Times New Roman"/>
          <w:b/>
          <w:bCs/>
          <w:sz w:val="28"/>
          <w:szCs w:val="28"/>
          <w:lang w:val="es-ES_tradnl"/>
        </w:rPr>
        <w:t xml:space="preserve"> </w:t>
      </w:r>
      <w:r w:rsidR="00EC1F61" w:rsidRPr="004571E5">
        <w:rPr>
          <w:rFonts w:ascii="Times New Roman" w:hAnsi="Times New Roman" w:cs="Times New Roman"/>
          <w:b/>
          <w:sz w:val="28"/>
          <w:szCs w:val="28"/>
          <w:lang w:val="es-ES_tradnl"/>
        </w:rPr>
        <w:t>REVOCAR</w:t>
      </w:r>
      <w:r w:rsidR="00EC1F61" w:rsidRPr="004571E5">
        <w:rPr>
          <w:rFonts w:ascii="Times New Roman" w:hAnsi="Times New Roman" w:cs="Times New Roman"/>
          <w:b/>
          <w:bCs/>
          <w:sz w:val="28"/>
          <w:szCs w:val="28"/>
          <w:lang w:val="es-ES_tradnl"/>
        </w:rPr>
        <w:t xml:space="preserve"> </w:t>
      </w:r>
      <w:r w:rsidR="00EC1F61" w:rsidRPr="004571E5">
        <w:rPr>
          <w:rFonts w:ascii="Times New Roman" w:hAnsi="Times New Roman" w:cs="Times New Roman"/>
          <w:sz w:val="28"/>
          <w:szCs w:val="28"/>
          <w:lang w:val="es-ES_tradnl"/>
        </w:rPr>
        <w:t xml:space="preserve">la sentencia del 4 de abril de 2024 de la Sección Quinta de la Sala Contencioso Administrativa del Consejo de Estado y, en su lugar, </w:t>
      </w:r>
      <w:r w:rsidR="00EC1F61" w:rsidRPr="004571E5">
        <w:rPr>
          <w:rFonts w:ascii="Times New Roman" w:hAnsi="Times New Roman" w:cs="Times New Roman"/>
          <w:b/>
          <w:bCs/>
          <w:sz w:val="28"/>
          <w:szCs w:val="28"/>
          <w:lang w:val="es-ES_tradnl"/>
        </w:rPr>
        <w:t>CONFIRMAR</w:t>
      </w:r>
      <w:r w:rsidR="00DC50F6" w:rsidRPr="004571E5">
        <w:rPr>
          <w:rFonts w:ascii="Times New Roman" w:hAnsi="Times New Roman" w:cs="Times New Roman"/>
          <w:b/>
          <w:bCs/>
          <w:sz w:val="28"/>
          <w:szCs w:val="28"/>
          <w:lang w:val="es-ES_tradnl"/>
        </w:rPr>
        <w:t xml:space="preserve"> INTEGRALMENTE</w:t>
      </w:r>
      <w:r w:rsidR="00EC1F61" w:rsidRPr="004571E5">
        <w:rPr>
          <w:rFonts w:ascii="Times New Roman" w:hAnsi="Times New Roman" w:cs="Times New Roman"/>
          <w:sz w:val="28"/>
          <w:szCs w:val="28"/>
          <w:lang w:val="es-ES_tradnl"/>
        </w:rPr>
        <w:t xml:space="preserve"> la sentencia del </w:t>
      </w:r>
      <w:r w:rsidR="00EC1F61" w:rsidRPr="004571E5">
        <w:rPr>
          <w:rFonts w:ascii="Times New Roman" w:hAnsi="Times New Roman" w:cs="Times New Roman"/>
          <w:sz w:val="28"/>
          <w:szCs w:val="28"/>
        </w:rPr>
        <w:t xml:space="preserve">15 de febrero de 2024 </w:t>
      </w:r>
      <w:r w:rsidR="00EC1F61" w:rsidRPr="004571E5">
        <w:rPr>
          <w:rFonts w:ascii="Times New Roman" w:hAnsi="Times New Roman" w:cs="Times New Roman"/>
          <w:sz w:val="28"/>
          <w:szCs w:val="28"/>
          <w:lang w:val="es-ES_tradnl"/>
        </w:rPr>
        <w:t>de la Sección Cuarta de la Sala Contencioso Administrativa del Consejo de Estado que concedió el amparo.</w:t>
      </w:r>
    </w:p>
    <w:p w14:paraId="600F5944" w14:textId="77777777" w:rsidR="00CE671D" w:rsidRPr="004571E5" w:rsidRDefault="00CE671D" w:rsidP="00481F2E">
      <w:pPr>
        <w:pStyle w:val="Prrafodelista"/>
        <w:shd w:val="clear" w:color="auto" w:fill="FFFFFF"/>
        <w:spacing w:after="0" w:line="240" w:lineRule="auto"/>
        <w:ind w:left="0" w:right="49"/>
        <w:jc w:val="both"/>
        <w:rPr>
          <w:rFonts w:ascii="Times New Roman" w:hAnsi="Times New Roman" w:cs="Times New Roman"/>
          <w:b/>
          <w:sz w:val="28"/>
          <w:szCs w:val="28"/>
          <w:lang w:val="es-ES_tradnl"/>
        </w:rPr>
      </w:pPr>
    </w:p>
    <w:p w14:paraId="72950A67" w14:textId="7FFB0091" w:rsidR="00967F6F" w:rsidRPr="004571E5" w:rsidRDefault="00BC55CD" w:rsidP="00481F2E">
      <w:pPr>
        <w:pStyle w:val="Prrafodelista"/>
        <w:shd w:val="clear" w:color="auto" w:fill="FFFFFF"/>
        <w:spacing w:after="0" w:line="240" w:lineRule="auto"/>
        <w:ind w:left="0" w:right="49"/>
        <w:jc w:val="both"/>
        <w:rPr>
          <w:rFonts w:ascii="Times New Roman" w:hAnsi="Times New Roman" w:cs="Times New Roman"/>
          <w:sz w:val="28"/>
          <w:szCs w:val="28"/>
          <w:lang w:val="es-ES_tradnl"/>
        </w:rPr>
      </w:pPr>
      <w:r w:rsidRPr="004571E5">
        <w:rPr>
          <w:rFonts w:ascii="Times New Roman" w:hAnsi="Times New Roman" w:cs="Times New Roman"/>
          <w:b/>
          <w:bCs/>
          <w:sz w:val="28"/>
          <w:szCs w:val="28"/>
          <w:lang w:val="es-ES_tradnl"/>
        </w:rPr>
        <w:t>Tercero</w:t>
      </w:r>
      <w:r w:rsidR="004D23F8" w:rsidRPr="004571E5">
        <w:rPr>
          <w:rFonts w:ascii="Times New Roman" w:hAnsi="Times New Roman" w:cs="Times New Roman"/>
          <w:b/>
          <w:bCs/>
          <w:sz w:val="28"/>
          <w:szCs w:val="28"/>
          <w:lang w:val="es-ES_tradnl"/>
        </w:rPr>
        <w:t xml:space="preserve">: </w:t>
      </w:r>
      <w:r w:rsidR="00967F6F" w:rsidRPr="004571E5">
        <w:rPr>
          <w:rFonts w:ascii="Times New Roman" w:hAnsi="Times New Roman" w:cs="Times New Roman"/>
          <w:b/>
          <w:bCs/>
          <w:sz w:val="28"/>
          <w:szCs w:val="28"/>
          <w:lang w:val="es-ES"/>
        </w:rPr>
        <w:t>LÍBRESE</w:t>
      </w:r>
      <w:r w:rsidR="00967F6F" w:rsidRPr="004571E5">
        <w:rPr>
          <w:rFonts w:ascii="Times New Roman" w:hAnsi="Times New Roman" w:cs="Times New Roman"/>
          <w:b/>
          <w:sz w:val="28"/>
          <w:szCs w:val="28"/>
          <w:lang w:val="es-ES"/>
        </w:rPr>
        <w:t xml:space="preserve"> </w:t>
      </w:r>
      <w:r w:rsidR="00967F6F" w:rsidRPr="004571E5">
        <w:rPr>
          <w:rFonts w:ascii="Times New Roman" w:hAnsi="Times New Roman" w:cs="Times New Roman"/>
          <w:sz w:val="28"/>
          <w:szCs w:val="28"/>
          <w:lang w:val="es-ES"/>
        </w:rPr>
        <w:t>por la Secretaría General de la Corte Constitucional la comunicación de que trata el artículo 36 del Decreto Estatutario 2591 de 1991.</w:t>
      </w:r>
    </w:p>
    <w:p w14:paraId="5ABCF452" w14:textId="77777777" w:rsidR="00967F6F" w:rsidRPr="004571E5" w:rsidRDefault="00967F6F" w:rsidP="00481F2E">
      <w:pPr>
        <w:tabs>
          <w:tab w:val="left" w:pos="284"/>
          <w:tab w:val="left" w:pos="426"/>
        </w:tabs>
        <w:spacing w:after="0" w:line="240" w:lineRule="auto"/>
        <w:jc w:val="both"/>
        <w:rPr>
          <w:rFonts w:ascii="Times New Roman" w:hAnsi="Times New Roman" w:cs="Times New Roman"/>
          <w:sz w:val="28"/>
          <w:szCs w:val="28"/>
          <w:lang w:val="es-ES_tradnl"/>
        </w:rPr>
      </w:pPr>
    </w:p>
    <w:p w14:paraId="5823BE0E" w14:textId="1BA09817" w:rsidR="004C1BEC" w:rsidRDefault="00967F6F" w:rsidP="00481F2E">
      <w:pPr>
        <w:tabs>
          <w:tab w:val="left" w:pos="284"/>
          <w:tab w:val="left" w:pos="426"/>
        </w:tabs>
        <w:spacing w:after="0" w:line="240" w:lineRule="auto"/>
        <w:jc w:val="both"/>
        <w:rPr>
          <w:rFonts w:ascii="Times New Roman" w:hAnsi="Times New Roman" w:cs="Times New Roman"/>
          <w:sz w:val="28"/>
          <w:szCs w:val="28"/>
          <w:lang w:val="es-ES_tradnl"/>
        </w:rPr>
      </w:pPr>
      <w:r w:rsidRPr="004571E5">
        <w:rPr>
          <w:rFonts w:ascii="Times New Roman" w:hAnsi="Times New Roman" w:cs="Times New Roman"/>
          <w:sz w:val="28"/>
          <w:szCs w:val="28"/>
          <w:lang w:val="es-ES_tradnl"/>
        </w:rPr>
        <w:t>Notifíquese, comuníquese y cúmplase.</w:t>
      </w:r>
    </w:p>
    <w:p w14:paraId="7AF776EE" w14:textId="029A7ABB" w:rsidR="00014128" w:rsidRDefault="00014128" w:rsidP="00481F2E">
      <w:pPr>
        <w:tabs>
          <w:tab w:val="left" w:pos="284"/>
          <w:tab w:val="left" w:pos="426"/>
        </w:tabs>
        <w:spacing w:after="0" w:line="240" w:lineRule="auto"/>
        <w:jc w:val="both"/>
        <w:rPr>
          <w:rFonts w:ascii="Times New Roman" w:hAnsi="Times New Roman" w:cs="Times New Roman"/>
          <w:sz w:val="28"/>
          <w:szCs w:val="28"/>
          <w:lang w:val="es-ES_tradnl"/>
        </w:rPr>
      </w:pPr>
    </w:p>
    <w:p w14:paraId="7B630B8E" w14:textId="7D9F7538" w:rsidR="00014128" w:rsidRDefault="00014128" w:rsidP="00481F2E">
      <w:pPr>
        <w:tabs>
          <w:tab w:val="left" w:pos="284"/>
          <w:tab w:val="left" w:pos="426"/>
        </w:tabs>
        <w:spacing w:after="0" w:line="240" w:lineRule="auto"/>
        <w:jc w:val="both"/>
        <w:rPr>
          <w:rFonts w:ascii="Times New Roman" w:hAnsi="Times New Roman" w:cs="Times New Roman"/>
          <w:sz w:val="28"/>
          <w:szCs w:val="28"/>
          <w:lang w:val="es-ES_tradnl"/>
        </w:rPr>
      </w:pPr>
    </w:p>
    <w:p w14:paraId="42E8F22D" w14:textId="3B00F355"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JOSE FERNANDO REYES CUARTAS</w:t>
      </w:r>
    </w:p>
    <w:p w14:paraId="2E83C6F1" w14:textId="46B8BB95"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Magistrado</w:t>
      </w:r>
    </w:p>
    <w:p w14:paraId="3801128E" w14:textId="02CD0043"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0D8FCCE1" w14:textId="60B3929B"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640C1DFF" w14:textId="3FE7A9BC"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35E3E4CB" w14:textId="08D886FD"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NATALIA ÁNGEL CABO</w:t>
      </w:r>
    </w:p>
    <w:p w14:paraId="75BF405E" w14:textId="5F1D06C0"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Magistrada</w:t>
      </w:r>
    </w:p>
    <w:p w14:paraId="7798DE98" w14:textId="00EA3574"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34114AA1" w14:textId="1668D1C4"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4E4411EC" w14:textId="24707865"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2BAF58B0" w14:textId="1550B329"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JUAN CARLOS CORTÉS GONZÁLEZ</w:t>
      </w:r>
    </w:p>
    <w:p w14:paraId="53F5ECB5" w14:textId="77A0B200"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Magistrado</w:t>
      </w:r>
    </w:p>
    <w:p w14:paraId="6AD9948C" w14:textId="55AB57AB"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294F17F5" w14:textId="5A56EDDD"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53F02BA6" w14:textId="3FC75C84"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70B7C91D" w14:textId="1C9FFA73"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DIANA FAJARDO RIVERA</w:t>
      </w:r>
    </w:p>
    <w:p w14:paraId="4057D483" w14:textId="4D9793CF"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Magistrada</w:t>
      </w:r>
    </w:p>
    <w:p w14:paraId="4B0E4DFB" w14:textId="04039F5E"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1A058FD9" w14:textId="626C423C"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6E35DFCB" w14:textId="23D77372"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6A5CC522" w14:textId="62827467"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VLADIMIR FERNÁNDEZ ANDRADE</w:t>
      </w:r>
    </w:p>
    <w:p w14:paraId="41B8726D" w14:textId="1F849A27"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Magistrado</w:t>
      </w:r>
    </w:p>
    <w:p w14:paraId="3D1A8BE1" w14:textId="777D1E58"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16021D84" w14:textId="6A331B0E"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45A1DA94" w14:textId="6D4B2838"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2DC19BA7" w14:textId="7F448466"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 xml:space="preserve">JORGE ENRIQUE IBÁÑEZ NAJAR </w:t>
      </w:r>
    </w:p>
    <w:p w14:paraId="0298394A" w14:textId="6E46333B"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Magistrado</w:t>
      </w:r>
    </w:p>
    <w:p w14:paraId="16284DEE" w14:textId="44ABF43D"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Ausente con excusa</w:t>
      </w:r>
    </w:p>
    <w:p w14:paraId="13C58F92" w14:textId="7A4453B7"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2A4C9BED" w14:textId="5806A418"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11D2141F" w14:textId="435AB637"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2AF0FDC6" w14:textId="5E87783B"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ANTONIO JOSÉ LIZARAZO OCAMPO</w:t>
      </w:r>
    </w:p>
    <w:p w14:paraId="0E1C5976" w14:textId="60C61B37"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Magistrado</w:t>
      </w:r>
    </w:p>
    <w:p w14:paraId="2B0F05D7" w14:textId="3E4B81B9"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71BC68C6" w14:textId="640C7A93"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4DC742FA" w14:textId="70614809"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4B7E107E" w14:textId="0C46A1AE"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PAOLA ANDREA MENESES MOSQUERA</w:t>
      </w:r>
    </w:p>
    <w:p w14:paraId="0CB539A6" w14:textId="5A9434B6"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Magistrada</w:t>
      </w:r>
    </w:p>
    <w:p w14:paraId="02B712DF" w14:textId="2E1926BD"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15EFFF73" w14:textId="332789A3"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0ED80829" w14:textId="10BDCD7C"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0AF9D97C" w14:textId="2BA408F1"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CRISTINA PARDO SCHLESINGER</w:t>
      </w:r>
    </w:p>
    <w:p w14:paraId="4EF7CED4" w14:textId="43325C8E"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Magistrada</w:t>
      </w:r>
    </w:p>
    <w:p w14:paraId="7E157BBD" w14:textId="4598F69E"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1839E863" w14:textId="0094E168"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6A97F22D" w14:textId="6232864F"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p>
    <w:p w14:paraId="3A937269" w14:textId="61E9CAF6" w:rsidR="00014128" w:rsidRDefault="00014128" w:rsidP="00014128">
      <w:pPr>
        <w:tabs>
          <w:tab w:val="left" w:pos="284"/>
          <w:tab w:val="left" w:pos="426"/>
        </w:tabs>
        <w:spacing w:after="0" w:line="240" w:lineRule="auto"/>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ANDREA LILIANA ROMERO LOPEZ</w:t>
      </w:r>
    </w:p>
    <w:p w14:paraId="611C1C34" w14:textId="660C041D" w:rsidR="00014128" w:rsidRDefault="00014128" w:rsidP="00184089">
      <w:pPr>
        <w:tabs>
          <w:tab w:val="left" w:pos="284"/>
          <w:tab w:val="left" w:pos="426"/>
        </w:tabs>
        <w:spacing w:after="0" w:line="240" w:lineRule="auto"/>
        <w:ind w:left="284" w:hanging="284"/>
        <w:jc w:val="center"/>
        <w:rPr>
          <w:rFonts w:ascii="Times New Roman" w:hAnsi="Times New Roman" w:cs="Times New Roman"/>
          <w:sz w:val="28"/>
          <w:szCs w:val="28"/>
          <w:lang w:val="es-ES_tradnl"/>
        </w:rPr>
      </w:pPr>
      <w:r w:rsidRPr="00014128">
        <w:rPr>
          <w:rFonts w:ascii="Times New Roman" w:hAnsi="Times New Roman" w:cs="Times New Roman"/>
          <w:sz w:val="28"/>
          <w:szCs w:val="28"/>
          <w:lang w:val="es-ES_tradnl"/>
        </w:rPr>
        <w:t>Secretaria General</w:t>
      </w:r>
    </w:p>
    <w:sectPr w:rsidR="00014128" w:rsidSect="00C41C99">
      <w:headerReference w:type="default" r:id="rId9"/>
      <w:footerReference w:type="even" r:id="rId10"/>
      <w:footerReference w:type="default" r:id="rId11"/>
      <w:pgSz w:w="12240" w:h="20160" w:code="5"/>
      <w:pgMar w:top="1418" w:right="1701" w:bottom="1135"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F200" w14:textId="77777777" w:rsidR="0061310F" w:rsidRDefault="0061310F" w:rsidP="0066107D">
      <w:pPr>
        <w:spacing w:after="0" w:line="240" w:lineRule="auto"/>
      </w:pPr>
      <w:r>
        <w:separator/>
      </w:r>
    </w:p>
  </w:endnote>
  <w:endnote w:type="continuationSeparator" w:id="0">
    <w:p w14:paraId="2EF57C62" w14:textId="77777777" w:rsidR="0061310F" w:rsidRDefault="0061310F" w:rsidP="0066107D">
      <w:pPr>
        <w:spacing w:after="0" w:line="240" w:lineRule="auto"/>
      </w:pPr>
      <w:r>
        <w:continuationSeparator/>
      </w:r>
    </w:p>
  </w:endnote>
  <w:endnote w:type="continuationNotice" w:id="1">
    <w:p w14:paraId="2909C9DF" w14:textId="77777777" w:rsidR="0061310F" w:rsidRDefault="00613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017685390"/>
      <w:docPartObj>
        <w:docPartGallery w:val="Page Numbers (Bottom of Page)"/>
        <w:docPartUnique/>
      </w:docPartObj>
    </w:sdtPr>
    <w:sdtEndPr>
      <w:rPr>
        <w:rStyle w:val="Nmerodepgina"/>
      </w:rPr>
    </w:sdtEndPr>
    <w:sdtContent>
      <w:p w14:paraId="7D2EFCBB" w14:textId="0A99DF66" w:rsidR="00EF23D5" w:rsidRDefault="00EF23D5" w:rsidP="002D5C5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330DD9A" w14:textId="77777777" w:rsidR="00EF23D5" w:rsidRDefault="00EF23D5" w:rsidP="004F351B">
    <w:pPr>
      <w:pStyle w:val="Piedepgina"/>
      <w:ind w:right="360"/>
    </w:pPr>
  </w:p>
  <w:p w14:paraId="06297002" w14:textId="77777777" w:rsidR="00EF23D5" w:rsidRDefault="00EF23D5"/>
  <w:p w14:paraId="6250F750" w14:textId="77777777" w:rsidR="00EF23D5" w:rsidRDefault="00EF23D5"/>
  <w:p w14:paraId="22AC12B1" w14:textId="77777777" w:rsidR="00EF23D5" w:rsidRDefault="00EF23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rPr>
      <w:id w:val="-1133094678"/>
      <w:docPartObj>
        <w:docPartGallery w:val="Page Numbers (Bottom of Page)"/>
        <w:docPartUnique/>
      </w:docPartObj>
    </w:sdtPr>
    <w:sdtEndPr>
      <w:rPr>
        <w:rStyle w:val="Nmerodepgina"/>
      </w:rPr>
    </w:sdtEndPr>
    <w:sdtContent>
      <w:p w14:paraId="67ADC1B8" w14:textId="103C7EAE" w:rsidR="00EF23D5" w:rsidRPr="004F351B" w:rsidRDefault="00EF23D5" w:rsidP="002D5C53">
        <w:pPr>
          <w:pStyle w:val="Piedepgina"/>
          <w:framePr w:wrap="none" w:vAnchor="text" w:hAnchor="margin" w:xAlign="right" w:y="1"/>
          <w:rPr>
            <w:rStyle w:val="Nmerodepgina"/>
            <w:rFonts w:ascii="Times New Roman" w:hAnsi="Times New Roman" w:cs="Times New Roman"/>
          </w:rPr>
        </w:pPr>
        <w:r w:rsidRPr="004F351B">
          <w:rPr>
            <w:rStyle w:val="Nmerodepgina"/>
            <w:rFonts w:ascii="Times New Roman" w:hAnsi="Times New Roman" w:cs="Times New Roman"/>
          </w:rPr>
          <w:fldChar w:fldCharType="begin"/>
        </w:r>
        <w:r w:rsidRPr="004F351B">
          <w:rPr>
            <w:rStyle w:val="Nmerodepgina"/>
            <w:rFonts w:ascii="Times New Roman" w:hAnsi="Times New Roman" w:cs="Times New Roman"/>
          </w:rPr>
          <w:instrText xml:space="preserve"> PAGE </w:instrText>
        </w:r>
        <w:r w:rsidRPr="004F351B">
          <w:rPr>
            <w:rStyle w:val="Nmerodepgina"/>
            <w:rFonts w:ascii="Times New Roman" w:hAnsi="Times New Roman" w:cs="Times New Roman"/>
          </w:rPr>
          <w:fldChar w:fldCharType="separate"/>
        </w:r>
        <w:r>
          <w:rPr>
            <w:rStyle w:val="Nmerodepgina"/>
            <w:rFonts w:ascii="Times New Roman" w:hAnsi="Times New Roman" w:cs="Times New Roman"/>
            <w:noProof/>
          </w:rPr>
          <w:t>21</w:t>
        </w:r>
        <w:r w:rsidRPr="004F351B">
          <w:rPr>
            <w:rStyle w:val="Nmerodepgina"/>
            <w:rFonts w:ascii="Times New Roman" w:hAnsi="Times New Roman" w:cs="Times New Roman"/>
          </w:rPr>
          <w:fldChar w:fldCharType="end"/>
        </w:r>
      </w:p>
    </w:sdtContent>
  </w:sdt>
  <w:p w14:paraId="4536BE37" w14:textId="509EDB6E" w:rsidR="00EF23D5" w:rsidRPr="004F351B" w:rsidRDefault="00EF23D5" w:rsidP="004F351B">
    <w:pPr>
      <w:pStyle w:val="Piedepgina"/>
      <w:ind w:right="360"/>
      <w:jc w:val="right"/>
      <w:rPr>
        <w:rFonts w:ascii="Times New Roman" w:hAnsi="Times New Roman" w:cs="Times New Roman"/>
      </w:rPr>
    </w:pPr>
  </w:p>
  <w:p w14:paraId="602C107B" w14:textId="77777777" w:rsidR="00EF23D5" w:rsidRPr="004F351B" w:rsidRDefault="00EF23D5">
    <w:pPr>
      <w:pStyle w:val="Piedepgina"/>
      <w:rPr>
        <w:rFonts w:ascii="Times New Roman" w:hAnsi="Times New Roman" w:cs="Times New Roman"/>
      </w:rPr>
    </w:pPr>
  </w:p>
  <w:p w14:paraId="6EA76398" w14:textId="77777777" w:rsidR="00EF23D5" w:rsidRDefault="00EF23D5"/>
  <w:p w14:paraId="0EFB5CA0" w14:textId="77777777" w:rsidR="00EF23D5" w:rsidRDefault="00EF23D5"/>
  <w:p w14:paraId="1602A313" w14:textId="77777777" w:rsidR="00EF23D5" w:rsidRDefault="00EF23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CE8B" w14:textId="77777777" w:rsidR="0061310F" w:rsidRDefault="0061310F" w:rsidP="0066107D">
      <w:pPr>
        <w:spacing w:after="0" w:line="240" w:lineRule="auto"/>
      </w:pPr>
      <w:r>
        <w:separator/>
      </w:r>
    </w:p>
  </w:footnote>
  <w:footnote w:type="continuationSeparator" w:id="0">
    <w:p w14:paraId="29A7254B" w14:textId="77777777" w:rsidR="0061310F" w:rsidRDefault="0061310F" w:rsidP="0066107D">
      <w:pPr>
        <w:spacing w:after="0" w:line="240" w:lineRule="auto"/>
      </w:pPr>
      <w:r>
        <w:continuationSeparator/>
      </w:r>
    </w:p>
  </w:footnote>
  <w:footnote w:type="continuationNotice" w:id="1">
    <w:p w14:paraId="3BAAC6F5" w14:textId="77777777" w:rsidR="0061310F" w:rsidRDefault="0061310F">
      <w:pPr>
        <w:spacing w:after="0" w:line="240" w:lineRule="auto"/>
      </w:pPr>
    </w:p>
  </w:footnote>
  <w:footnote w:id="2">
    <w:p w14:paraId="70567CF7" w14:textId="0433C17D" w:rsidR="00EF23D5" w:rsidRPr="00FC2497" w:rsidRDefault="00EF23D5" w:rsidP="00DD0496">
      <w:pPr>
        <w:pStyle w:val="Textonotapie"/>
        <w:jc w:val="both"/>
        <w:rPr>
          <w:rFonts w:ascii="Times New Roman" w:hAnsi="Times New Roman" w:cs="Times New Roman"/>
          <w:lang w:val="es-ES_tradnl"/>
        </w:rPr>
      </w:pPr>
      <w:r w:rsidRPr="00FC2497">
        <w:rPr>
          <w:rStyle w:val="Refdenotaalpie"/>
          <w:rFonts w:ascii="Times New Roman" w:hAnsi="Times New Roman" w:cs="Times New Roman"/>
          <w:lang w:val="es-ES_tradnl"/>
        </w:rPr>
        <w:footnoteRef/>
      </w:r>
      <w:r w:rsidRPr="00FC2497">
        <w:rPr>
          <w:rFonts w:ascii="Times New Roman" w:hAnsi="Times New Roman" w:cs="Times New Roman"/>
          <w:lang w:val="es-ES_tradnl"/>
        </w:rPr>
        <w:t xml:space="preserve"> La información sobre los hechos expuestos en el escrito de tutela fue complementada a través de los elementos probatorios que obran en el expediente con el fin de facilitar el entendimiento del caso.</w:t>
      </w:r>
    </w:p>
  </w:footnote>
  <w:footnote w:id="3">
    <w:p w14:paraId="1CD7AC50" w14:textId="1347B6AB"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Expediente digital, archivo “6_11001031500020230157900-(2023-11-2 13-3-32)-13332-5.pdf”. Pg. 2. </w:t>
      </w:r>
    </w:p>
  </w:footnote>
  <w:footnote w:id="4">
    <w:p w14:paraId="18FA4B69"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Ibidem.</w:t>
      </w:r>
    </w:p>
  </w:footnote>
  <w:footnote w:id="5">
    <w:p w14:paraId="1637E733" w14:textId="4201474A"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Expediente digital, archivo “19_11001031500020230157900-(2023-11-2 13-7-25)-13725-18.pdf”. Pg. 1.</w:t>
      </w:r>
    </w:p>
  </w:footnote>
  <w:footnote w:id="6">
    <w:p w14:paraId="3AE7CB07" w14:textId="0510A950" w:rsidR="00EF23D5" w:rsidRPr="00FC2497" w:rsidRDefault="00EF23D5" w:rsidP="00DD0496">
      <w:pPr>
        <w:pStyle w:val="Prrafodelista"/>
        <w:spacing w:after="0" w:line="240" w:lineRule="auto"/>
        <w:ind w:left="0"/>
        <w:jc w:val="both"/>
        <w:rPr>
          <w:rFonts w:ascii="Times New Roman" w:hAnsi="Times New Roman" w:cs="Times New Roman"/>
          <w:sz w:val="20"/>
          <w:szCs w:val="20"/>
        </w:rPr>
      </w:pPr>
      <w:r w:rsidRPr="00FC2497">
        <w:rPr>
          <w:rStyle w:val="Refdenotaalpie"/>
          <w:rFonts w:ascii="Times New Roman" w:hAnsi="Times New Roman" w:cs="Times New Roman"/>
          <w:sz w:val="20"/>
          <w:szCs w:val="20"/>
        </w:rPr>
        <w:footnoteRef/>
      </w:r>
      <w:r w:rsidRPr="00FC2497">
        <w:rPr>
          <w:rFonts w:ascii="Times New Roman" w:hAnsi="Times New Roman" w:cs="Times New Roman"/>
          <w:sz w:val="20"/>
          <w:szCs w:val="20"/>
        </w:rPr>
        <w:t xml:space="preserve"> En concreto, la Sección indicó que de acuerdo con el informe del relator Especial sobre ejecuciones extrajudiciales, sumarias o arbitrarias- Misión a Colombia (2010), al describir los patrones identificados en casos de ejecuciones extrajudiciales se indicó que en “algunos casos, un ‘reclutador’ pagado (un civil, un miembro desmovilizado de un grupo armado o un ex militar) atrae a las víctimas civiles a un lugar apartado engañándolas con un señuelo, por lo general la promesa de un trabajo”.</w:t>
      </w:r>
    </w:p>
  </w:footnote>
  <w:footnote w:id="7">
    <w:p w14:paraId="3DC6F47E" w14:textId="149E4F35"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Expediente digital, archivo “35_35_110010315000202301579002RECIBEMEMORIAL20230731161910.pdf”. Pg. 2.</w:t>
      </w:r>
    </w:p>
  </w:footnote>
  <w:footnote w:id="8">
    <w:p w14:paraId="0D84D9B2"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Ibid. Pg. 4.</w:t>
      </w:r>
    </w:p>
  </w:footnote>
  <w:footnote w:id="9">
    <w:p w14:paraId="3CA02B8D" w14:textId="64FBA06C"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Expediente digital, archivo “38_11001031500020230157900-(2023-11-2 13-7-55)-13755-37.pdf”. Pg. 11.</w:t>
      </w:r>
    </w:p>
  </w:footnote>
  <w:footnote w:id="10">
    <w:p w14:paraId="67B3884D"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Ibidem.</w:t>
      </w:r>
    </w:p>
  </w:footnote>
  <w:footnote w:id="11">
    <w:p w14:paraId="03F20A32" w14:textId="77777777" w:rsidR="00EF23D5" w:rsidRPr="00FC2497" w:rsidRDefault="00EF23D5" w:rsidP="00DD0496">
      <w:pPr>
        <w:pStyle w:val="Textonotapie"/>
        <w:jc w:val="both"/>
        <w:rPr>
          <w:rFonts w:ascii="Times New Roman" w:hAnsi="Times New Roman" w:cs="Times New Roman"/>
          <w:lang w:val="es-ES_tradnl"/>
        </w:rPr>
      </w:pPr>
      <w:r w:rsidRPr="00FC2497">
        <w:rPr>
          <w:rStyle w:val="Refdenotaalpie"/>
          <w:rFonts w:ascii="Times New Roman" w:hAnsi="Times New Roman" w:cs="Times New Roman"/>
          <w:lang w:val="es-ES_tradnl"/>
        </w:rPr>
        <w:footnoteRef/>
      </w:r>
      <w:r w:rsidRPr="00FC2497">
        <w:rPr>
          <w:rFonts w:ascii="Times New Roman" w:hAnsi="Times New Roman" w:cs="Times New Roman"/>
          <w:lang w:val="es-ES_tradnl"/>
        </w:rPr>
        <w:t xml:space="preserve"> La información sobre los hechos expuestos en el escrito de tutela fue complementada a través de los elementos probatorios que obran en el expediente con el fin de facilitar el entendimiento del caso.  </w:t>
      </w:r>
    </w:p>
  </w:footnote>
  <w:footnote w:id="12">
    <w:p w14:paraId="4D134942" w14:textId="488EAE5F"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La sentencia indicó: “Martín Sanguino Rincón no se encuentra legitimado por activa, pues no se aportó prueba idónea para acreditar su vínculo familiar y/o afectivo con Jhony Alexander Vergel Ortega, ni la calidad del tercero perjudicado con el daño alegado”. Pg. 8 de la sentencia de segunda instancia, fl. 374 dentro del expediente contencioso administrativo, disponible en el archivo del expediente digital “32_11001031500020230633300-(24-04-17 15-01-34)-150134-31.pdf”.</w:t>
      </w:r>
    </w:p>
  </w:footnote>
  <w:footnote w:id="13">
    <w:p w14:paraId="77EE4FED" w14:textId="35A124A9"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Expediente digital, archivo “ACCIÓNDETUTELALUZMARINAORTEGALUNAYOTROS.pdf”. P. 5.</w:t>
      </w:r>
    </w:p>
  </w:footnote>
  <w:footnote w:id="14">
    <w:p w14:paraId="4971D105" w14:textId="77A9A08A"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Específicamente, sostuvo: “La anterior conclusión, precisamente se fundamentó en lo siguiente: i) que el 4 de agosto de 2008, el Comando de Caballería “MAZA” No. 5 de la 30 Brigada del Ejército Nacional se encontraba en desarrollo de la operación “Fénix” en el municipio de Durania (Norte de Santander), cuyo objeto era “combatir las organizaciones terroristas de las FARC, ELN, EPL, nuevas bandas BACRIM y algunas organizaciones que estén en capacidad de efectuar acciones terroristas contra la población civil”; ii) que en desarrollo de la mencionada operación, se presentó un intercambio de disparos entre uniformados del Ejército Nacional y un grupo de insurgentes que se encontraban en la zona, en el cual falleció Jhony Alexander Vergel Ortega; iii) que mediante informe de necropsia No. 20080101540010000 del 5 de agosto de 2008, un médico forense del Instituto Nacional de Medicina Legal y Ciencias Forenses conceptuó que Jhony Alexis Vergel Ortega recibió seis (6) impactos de arma de fuego “uno de los cuales uno penetró la cavidad torácica produciendo severo daño del pulmón derecho con gran Hemotorax y otro proyectil que produjo una fractura de la 3, 4 y 5 vertebra con sección medular conllevándole a su deceso”; y iv) que mediante informe de investigación criminal No. 416401 del 19 de septiembre de 2008, el Investigador Criminalístico VII adscrito a la Unidad de Química Aplicada y Sustancias Controladas del Cuerpo Técnico de Investigación certificó que las muestras de residuos de disparo en mano tomadas a Jhony Alexis Vergel Ortega resultaron positivas para “bario, antimonio, plomo y antimonio/bario en dorso derecho, palma derecha y dorso izquierdo”.”. Expediente digital, archivo “43_11001031500020230633300-(24-04-17 15-02-00)-150200-42.pdf”. p. 18.</w:t>
      </w:r>
    </w:p>
  </w:footnote>
  <w:footnote w:id="15">
    <w:p w14:paraId="2E6C986A"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Ibid. P. 22.</w:t>
      </w:r>
    </w:p>
  </w:footnote>
  <w:footnote w:id="16">
    <w:p w14:paraId="764A29A2" w14:textId="0AAD444C"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Recientemente, en la Sentencia T-144 de 2024, la Corte recordó que “La naturaleza de la acción de tutela, como mecanismo de protección de derechos fundamentales, reviste al juez que conoce de ella de una serie de facultades que, en ejercicio de la jurisdicción ordinaria, no posee. La principal de ellas consiste en fallar más allá de lo solicitado por quien hace uso de este mecanismo, fallos ultra y extrapetita. Prerrogativa que permite al juez de tutela pronunciarse sobre aspectos que, sin ser expuestos como fundamento del amparo solicitado, deben ser objeto de pronunciamiento, por estar vulnerando o impidiendo la efectividad de derechos de rango constitucional fundamental”. Al respecto, se reiteraron las sentencias T-049 de 1998, T-150 de 2010, T-003 de 2012 y T-472 de 2012. En materia concreta de tutela contra providencia judicial, en la Sentencia T-271 de 2023 se indicó que “</w:t>
      </w:r>
      <w:r w:rsidRPr="00FC2497">
        <w:rPr>
          <w:rFonts w:ascii="Times New Roman" w:hAnsi="Times New Roman" w:cs="Times New Roman"/>
          <w:lang w:val="es-ES_tradnl"/>
        </w:rPr>
        <w:t>Antes de plantear los problemas jurídicos que correspondería estudiar, es preciso recordar que el juez de tutela se encuentra facultado para emitir fallos </w:t>
      </w:r>
      <w:r w:rsidRPr="00FC2497">
        <w:rPr>
          <w:rFonts w:ascii="Times New Roman" w:hAnsi="Times New Roman" w:cs="Times New Roman"/>
          <w:i/>
          <w:iCs/>
          <w:lang w:val="es-ES_tradnl"/>
        </w:rPr>
        <w:t>extra </w:t>
      </w:r>
      <w:r w:rsidRPr="00FC2497">
        <w:rPr>
          <w:rFonts w:ascii="Times New Roman" w:hAnsi="Times New Roman" w:cs="Times New Roman"/>
          <w:lang w:val="es-ES_tradnl"/>
        </w:rPr>
        <w:t>y </w:t>
      </w:r>
      <w:r w:rsidRPr="00FC2497">
        <w:rPr>
          <w:rFonts w:ascii="Times New Roman" w:hAnsi="Times New Roman" w:cs="Times New Roman"/>
          <w:i/>
          <w:iCs/>
          <w:lang w:val="es-ES_tradnl"/>
        </w:rPr>
        <w:t>ultra petita, </w:t>
      </w:r>
      <w:r w:rsidRPr="00FC2497">
        <w:rPr>
          <w:rFonts w:ascii="Times New Roman" w:hAnsi="Times New Roman" w:cs="Times New Roman"/>
          <w:lang w:val="es-ES_tradnl"/>
        </w:rPr>
        <w:t xml:space="preserve">lo que significa que la Corte no tiene limitada su competencia a resolver forzosamente las acusaciones en los términos en que hayan sido formuladas por la parte accionante, ni tiene que ceñirse necesariamente a las pretensiones y a los derechos invocados.  De esta forma se puede otorgar una protección más efectiva, acorde con el rol que le corresponde ejercer al juez constitucional. (…) </w:t>
      </w:r>
      <w:r w:rsidRPr="00FC2497">
        <w:rPr>
          <w:rFonts w:ascii="Times New Roman" w:hAnsi="Times New Roman" w:cs="Times New Roman"/>
        </w:rPr>
        <w:t>Así las cosas, en principio, la controversia se circunscribe a evaluar los defectos identificados por la parte accionante. Sin embargo, la revisión de los argumentos que esta expuso le permite a Sala observar la posible ocurrencia de otros defectos no alegados, como lo son la falta de motivación y la violación directa de la Constitución. Por tanto, el análisis también comprenderá yerros diferentes a los indicados en la acción de tutela”.</w:t>
      </w:r>
    </w:p>
  </w:footnote>
  <w:footnote w:id="17">
    <w:p w14:paraId="13CE34C0" w14:textId="1BD7AECB" w:rsidR="00EF23D5" w:rsidRPr="00FC2497" w:rsidRDefault="00EF23D5" w:rsidP="00DD0496">
      <w:pPr>
        <w:spacing w:after="0" w:line="240" w:lineRule="auto"/>
        <w:jc w:val="both"/>
        <w:rPr>
          <w:rFonts w:ascii="Times New Roman" w:hAnsi="Times New Roman" w:cs="Times New Roman"/>
          <w:sz w:val="20"/>
          <w:szCs w:val="20"/>
        </w:rPr>
      </w:pPr>
      <w:r w:rsidRPr="00FC2497">
        <w:rPr>
          <w:rStyle w:val="Refdenotaalpie"/>
          <w:rFonts w:ascii="Times New Roman" w:hAnsi="Times New Roman" w:cs="Times New Roman"/>
          <w:sz w:val="20"/>
          <w:szCs w:val="20"/>
        </w:rPr>
        <w:footnoteRef/>
      </w:r>
      <w:r w:rsidRPr="00FC2497">
        <w:rPr>
          <w:rFonts w:ascii="Times New Roman" w:hAnsi="Times New Roman" w:cs="Times New Roman"/>
          <w:sz w:val="20"/>
          <w:szCs w:val="20"/>
        </w:rPr>
        <w:t xml:space="preserve"> A</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continuación,</w:t>
      </w:r>
      <w:r w:rsidRPr="00FC2497">
        <w:rPr>
          <w:rFonts w:ascii="Times New Roman" w:hAnsi="Times New Roman" w:cs="Times New Roman"/>
          <w:spacing w:val="-3"/>
          <w:sz w:val="20"/>
          <w:szCs w:val="20"/>
        </w:rPr>
        <w:t xml:space="preserve"> </w:t>
      </w:r>
      <w:r w:rsidRPr="00FC2497">
        <w:rPr>
          <w:rFonts w:ascii="Times New Roman" w:hAnsi="Times New Roman" w:cs="Times New Roman"/>
          <w:sz w:val="20"/>
          <w:szCs w:val="20"/>
        </w:rPr>
        <w:t>se</w:t>
      </w:r>
      <w:r w:rsidRPr="00FC2497">
        <w:rPr>
          <w:rFonts w:ascii="Times New Roman" w:hAnsi="Times New Roman" w:cs="Times New Roman"/>
          <w:spacing w:val="-7"/>
          <w:sz w:val="20"/>
          <w:szCs w:val="20"/>
        </w:rPr>
        <w:t xml:space="preserve"> </w:t>
      </w:r>
      <w:r w:rsidRPr="00FC2497">
        <w:rPr>
          <w:rFonts w:ascii="Times New Roman" w:hAnsi="Times New Roman" w:cs="Times New Roman"/>
          <w:sz w:val="20"/>
          <w:szCs w:val="20"/>
        </w:rPr>
        <w:t>retoman las</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consideraciones</w:t>
      </w:r>
      <w:r w:rsidRPr="00FC2497">
        <w:rPr>
          <w:rFonts w:ascii="Times New Roman" w:hAnsi="Times New Roman" w:cs="Times New Roman"/>
          <w:spacing w:val="-2"/>
          <w:sz w:val="20"/>
          <w:szCs w:val="20"/>
        </w:rPr>
        <w:t xml:space="preserve"> </w:t>
      </w:r>
      <w:r w:rsidRPr="00FC2497">
        <w:rPr>
          <w:rFonts w:ascii="Times New Roman" w:hAnsi="Times New Roman" w:cs="Times New Roman"/>
          <w:sz w:val="20"/>
          <w:szCs w:val="20"/>
        </w:rPr>
        <w:t>de</w:t>
      </w:r>
      <w:r w:rsidRPr="00FC2497">
        <w:rPr>
          <w:rFonts w:ascii="Times New Roman" w:hAnsi="Times New Roman" w:cs="Times New Roman"/>
          <w:spacing w:val="-7"/>
          <w:sz w:val="20"/>
          <w:szCs w:val="20"/>
        </w:rPr>
        <w:t xml:space="preserve"> </w:t>
      </w:r>
      <w:r w:rsidRPr="00FC2497">
        <w:rPr>
          <w:rFonts w:ascii="Times New Roman" w:hAnsi="Times New Roman" w:cs="Times New Roman"/>
          <w:sz w:val="20"/>
          <w:szCs w:val="20"/>
        </w:rPr>
        <w:t>las</w:t>
      </w:r>
      <w:r w:rsidRPr="00FC2497">
        <w:rPr>
          <w:rFonts w:ascii="Times New Roman" w:hAnsi="Times New Roman" w:cs="Times New Roman"/>
          <w:spacing w:val="-3"/>
          <w:sz w:val="20"/>
          <w:szCs w:val="20"/>
        </w:rPr>
        <w:t xml:space="preserve"> </w:t>
      </w:r>
      <w:r w:rsidRPr="00FC2497">
        <w:rPr>
          <w:rFonts w:ascii="Times New Roman" w:hAnsi="Times New Roman" w:cs="Times New Roman"/>
          <w:sz w:val="20"/>
          <w:szCs w:val="20"/>
        </w:rPr>
        <w:t>sentencias</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SU-087 de 2022, SU-388 de 2022 y SU-446 de 2022.</w:t>
      </w:r>
    </w:p>
  </w:footnote>
  <w:footnote w:id="18">
    <w:p w14:paraId="68CA549B" w14:textId="5281CD59" w:rsidR="00EF23D5" w:rsidRPr="00FC2497" w:rsidRDefault="00EF23D5" w:rsidP="00DD0496">
      <w:pPr>
        <w:spacing w:after="0" w:line="240" w:lineRule="auto"/>
        <w:jc w:val="both"/>
        <w:rPr>
          <w:rFonts w:ascii="Times New Roman" w:hAnsi="Times New Roman" w:cs="Times New Roman"/>
          <w:sz w:val="20"/>
          <w:szCs w:val="20"/>
        </w:rPr>
      </w:pPr>
      <w:r w:rsidRPr="00FC2497">
        <w:rPr>
          <w:rStyle w:val="Refdenotaalpie"/>
          <w:rFonts w:ascii="Times New Roman" w:hAnsi="Times New Roman" w:cs="Times New Roman"/>
          <w:sz w:val="20"/>
          <w:szCs w:val="20"/>
        </w:rPr>
        <w:footnoteRef/>
      </w:r>
      <w:r w:rsidRPr="00FC2497">
        <w:rPr>
          <w:rFonts w:ascii="Times New Roman" w:hAnsi="Times New Roman" w:cs="Times New Roman"/>
          <w:sz w:val="20"/>
          <w:szCs w:val="20"/>
        </w:rPr>
        <w:t xml:space="preserve"> Este último requisito que fue incluido por la Corte en la Sentencia SU-391 de 2016, encuentra una excepción</w:t>
      </w:r>
      <w:r w:rsidRPr="00FC2497">
        <w:rPr>
          <w:rFonts w:ascii="Times New Roman" w:hAnsi="Times New Roman" w:cs="Times New Roman"/>
          <w:spacing w:val="-47"/>
          <w:sz w:val="20"/>
          <w:szCs w:val="20"/>
        </w:rPr>
        <w:t xml:space="preserve"> </w:t>
      </w:r>
      <w:r w:rsidRPr="00FC2497">
        <w:rPr>
          <w:rFonts w:ascii="Times New Roman" w:hAnsi="Times New Roman" w:cs="Times New Roman"/>
          <w:sz w:val="20"/>
          <w:szCs w:val="20"/>
        </w:rPr>
        <w:t>cuando</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“el</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fallo</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dictado</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por</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esa</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Corporación</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(i)</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desconoce</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la</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cosa</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juzgada</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constitucional;</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o</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(ii)</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su</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interpretación genera un bloqueo institucional inconstitucional</w:t>
      </w:r>
      <w:r w:rsidRPr="00FC2497">
        <w:rPr>
          <w:rFonts w:ascii="Times New Roman" w:hAnsi="Times New Roman" w:cs="Times New Roman"/>
          <w:b/>
          <w:sz w:val="20"/>
          <w:szCs w:val="20"/>
        </w:rPr>
        <w:t xml:space="preserve">” </w:t>
      </w:r>
      <w:r w:rsidRPr="00FC2497">
        <w:rPr>
          <w:rFonts w:ascii="Times New Roman" w:hAnsi="Times New Roman" w:cs="Times New Roman"/>
          <w:sz w:val="20"/>
          <w:szCs w:val="20"/>
        </w:rPr>
        <w:t>según ello fue establecido por la sentencia</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SU-355</w:t>
      </w:r>
      <w:r w:rsidRPr="00FC2497">
        <w:rPr>
          <w:rFonts w:ascii="Times New Roman" w:hAnsi="Times New Roman" w:cs="Times New Roman"/>
          <w:spacing w:val="2"/>
          <w:sz w:val="20"/>
          <w:szCs w:val="20"/>
        </w:rPr>
        <w:t xml:space="preserve"> </w:t>
      </w:r>
      <w:r w:rsidRPr="00FC2497">
        <w:rPr>
          <w:rFonts w:ascii="Times New Roman" w:hAnsi="Times New Roman" w:cs="Times New Roman"/>
          <w:sz w:val="20"/>
          <w:szCs w:val="20"/>
        </w:rPr>
        <w:t>de</w:t>
      </w:r>
      <w:r w:rsidRPr="00FC2497">
        <w:rPr>
          <w:rFonts w:ascii="Times New Roman" w:hAnsi="Times New Roman" w:cs="Times New Roman"/>
          <w:spacing w:val="-1"/>
          <w:sz w:val="20"/>
          <w:szCs w:val="20"/>
        </w:rPr>
        <w:t xml:space="preserve"> </w:t>
      </w:r>
      <w:r w:rsidRPr="00FC2497">
        <w:rPr>
          <w:rFonts w:ascii="Times New Roman" w:hAnsi="Times New Roman" w:cs="Times New Roman"/>
          <w:sz w:val="20"/>
          <w:szCs w:val="20"/>
        </w:rPr>
        <w:t>2020.</w:t>
      </w:r>
    </w:p>
  </w:footnote>
  <w:footnote w:id="19">
    <w:p w14:paraId="58218F79" w14:textId="6FAC7484" w:rsidR="00EF23D5" w:rsidRPr="00FC2497" w:rsidRDefault="00EF23D5" w:rsidP="00EE5FDF">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SU-388 de 2023</w:t>
      </w:r>
      <w:r w:rsidR="00EE5FDF" w:rsidRPr="00FC2497">
        <w:rPr>
          <w:rFonts w:ascii="Times New Roman" w:hAnsi="Times New Roman" w:cs="Times New Roman"/>
        </w:rPr>
        <w:t>. La Corte sostuvo que “[h]abiéndose identificado que la providencia cuestionada es de carácter general, impersonal y abstracto, encuentra la Corte que contra ella no procede la acción de tutela, en tanto ésta no se encuentra prevista para cuestionar este tipo de actos”.</w:t>
      </w:r>
    </w:p>
  </w:footnote>
  <w:footnote w:id="20">
    <w:p w14:paraId="0D3A93C7"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SU-048 de 2022.</w:t>
      </w:r>
    </w:p>
  </w:footnote>
  <w:footnote w:id="21">
    <w:p w14:paraId="6A21C032"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SU-207 de 2022, reiterando la sentencia T-147 de 2020.</w:t>
      </w:r>
    </w:p>
  </w:footnote>
  <w:footnote w:id="22">
    <w:p w14:paraId="2BD728F0"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SU-207 de 2022.</w:t>
      </w:r>
    </w:p>
  </w:footnote>
  <w:footnote w:id="23">
    <w:p w14:paraId="784A52CE"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SU-048 de 2022, retomando la sentencia T-442 de 1994.</w:t>
      </w:r>
    </w:p>
  </w:footnote>
  <w:footnote w:id="24">
    <w:p w14:paraId="2DB68007" w14:textId="568491B5" w:rsidR="00EF23D5" w:rsidRPr="00FC2497" w:rsidRDefault="00EF23D5" w:rsidP="00DD0496">
      <w:pPr>
        <w:pStyle w:val="Textonotapie"/>
        <w:jc w:val="both"/>
        <w:rPr>
          <w:rFonts w:ascii="Times New Roman" w:hAnsi="Times New Roman" w:cs="Times New Roman"/>
          <w:lang w:val="es-MX"/>
        </w:rPr>
      </w:pPr>
      <w:r w:rsidRPr="00FC2497">
        <w:rPr>
          <w:rStyle w:val="Refdenotaalpie"/>
          <w:rFonts w:ascii="Times New Roman" w:hAnsi="Times New Roman" w:cs="Times New Roman"/>
        </w:rPr>
        <w:footnoteRef/>
      </w:r>
      <w:r w:rsidRPr="00FC2497">
        <w:rPr>
          <w:rFonts w:ascii="Times New Roman" w:hAnsi="Times New Roman" w:cs="Times New Roman"/>
        </w:rPr>
        <w:t xml:space="preserve"> </w:t>
      </w:r>
      <w:r w:rsidRPr="00FC2497">
        <w:rPr>
          <w:rFonts w:ascii="Times New Roman" w:hAnsi="Times New Roman" w:cs="Times New Roman"/>
          <w:lang w:val="es-MX"/>
        </w:rPr>
        <w:t>SU-048 del 2022, reiterando la Sentencia T-781 del 2011.</w:t>
      </w:r>
    </w:p>
  </w:footnote>
  <w:footnote w:id="25">
    <w:p w14:paraId="55BA16F0"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SU-354 de 2017 y SU-446 de 2022.</w:t>
      </w:r>
    </w:p>
  </w:footnote>
  <w:footnote w:id="26">
    <w:p w14:paraId="578670AD" w14:textId="77777777" w:rsidR="00EF23D5" w:rsidRPr="00FC2497" w:rsidRDefault="00EF23D5" w:rsidP="00DD0496">
      <w:pPr>
        <w:pStyle w:val="Textonotapie"/>
        <w:jc w:val="both"/>
        <w:rPr>
          <w:rFonts w:ascii="Times New Roman" w:hAnsi="Times New Roman" w:cs="Times New Roman"/>
          <w:lang w:val="es-MX"/>
        </w:rPr>
      </w:pPr>
      <w:r w:rsidRPr="00FC2497">
        <w:rPr>
          <w:rStyle w:val="Refdenotaalpie"/>
          <w:rFonts w:ascii="Times New Roman" w:hAnsi="Times New Roman" w:cs="Times New Roman"/>
        </w:rPr>
        <w:footnoteRef/>
      </w:r>
      <w:r w:rsidRPr="00FC2497">
        <w:rPr>
          <w:rFonts w:ascii="Times New Roman" w:hAnsi="Times New Roman" w:cs="Times New Roman"/>
        </w:rPr>
        <w:t xml:space="preserve"> </w:t>
      </w:r>
      <w:r w:rsidRPr="00FC2497">
        <w:rPr>
          <w:rFonts w:ascii="Times New Roman" w:hAnsi="Times New Roman" w:cs="Times New Roman"/>
          <w:lang w:val="es-MX"/>
        </w:rPr>
        <w:t>SU-087 de 2022.</w:t>
      </w:r>
    </w:p>
  </w:footnote>
  <w:footnote w:id="27">
    <w:p w14:paraId="5B9D74F6" w14:textId="77777777" w:rsidR="00EF23D5" w:rsidRPr="00FC2497" w:rsidRDefault="00EF23D5" w:rsidP="00DD0496">
      <w:pPr>
        <w:pStyle w:val="Textonotapie"/>
        <w:jc w:val="both"/>
        <w:rPr>
          <w:rFonts w:ascii="Times New Roman" w:hAnsi="Times New Roman" w:cs="Times New Roman"/>
          <w:lang w:val="es-MX"/>
        </w:rPr>
      </w:pPr>
      <w:r w:rsidRPr="00FC2497">
        <w:rPr>
          <w:rStyle w:val="Refdenotaalpie"/>
          <w:rFonts w:ascii="Times New Roman" w:hAnsi="Times New Roman" w:cs="Times New Roman"/>
        </w:rPr>
        <w:footnoteRef/>
      </w:r>
      <w:r w:rsidRPr="00FC2497">
        <w:rPr>
          <w:rFonts w:ascii="Times New Roman" w:hAnsi="Times New Roman" w:cs="Times New Roman"/>
        </w:rPr>
        <w:t xml:space="preserve"> </w:t>
      </w:r>
      <w:r w:rsidRPr="00FC2497">
        <w:rPr>
          <w:rFonts w:ascii="Times New Roman" w:hAnsi="Times New Roman" w:cs="Times New Roman"/>
          <w:lang w:val="es-MX"/>
        </w:rPr>
        <w:t>SU-087 de 2022.</w:t>
      </w:r>
    </w:p>
  </w:footnote>
  <w:footnote w:id="28">
    <w:p w14:paraId="7997B1DF" w14:textId="7863FCED"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En la Sentencia SU-035 de 2018 la Corte analizó el desconocimiento, por parte de una Subsección de la Sección Tercera, del precedente de la Corte Constitucional y el fijado por las demás subsecciones.</w:t>
      </w:r>
    </w:p>
  </w:footnote>
  <w:footnote w:id="29">
    <w:p w14:paraId="5BECF396" w14:textId="7417F32A" w:rsidR="00EF23D5" w:rsidRPr="00FC2497" w:rsidRDefault="00EF23D5">
      <w:pPr>
        <w:pStyle w:val="Textonotapie"/>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SU-087 de 2022.</w:t>
      </w:r>
    </w:p>
  </w:footnote>
  <w:footnote w:id="30">
    <w:p w14:paraId="429CF296" w14:textId="77777777" w:rsidR="00EF23D5" w:rsidRPr="00FC2497" w:rsidRDefault="00EF23D5" w:rsidP="00DD0496">
      <w:pPr>
        <w:pStyle w:val="Textonotapie"/>
        <w:jc w:val="both"/>
        <w:rPr>
          <w:rFonts w:ascii="Times New Roman" w:hAnsi="Times New Roman" w:cs="Times New Roman"/>
          <w:lang w:val="es-MX"/>
        </w:rPr>
      </w:pPr>
      <w:r w:rsidRPr="00FC2497">
        <w:rPr>
          <w:rStyle w:val="Refdenotaalpie"/>
          <w:rFonts w:ascii="Times New Roman" w:hAnsi="Times New Roman" w:cs="Times New Roman"/>
        </w:rPr>
        <w:footnoteRef/>
      </w:r>
      <w:r w:rsidRPr="00FC2497">
        <w:rPr>
          <w:rFonts w:ascii="Times New Roman" w:hAnsi="Times New Roman" w:cs="Times New Roman"/>
        </w:rPr>
        <w:t xml:space="preserve"> </w:t>
      </w:r>
      <w:r w:rsidRPr="00FC2497">
        <w:rPr>
          <w:rFonts w:ascii="Times New Roman" w:hAnsi="Times New Roman" w:cs="Times New Roman"/>
          <w:lang w:val="es-MX"/>
        </w:rPr>
        <w:t xml:space="preserve">SU-087 de 2022. Igualmente, en la sentencia C-820 de 2006 se indicó: </w:t>
      </w:r>
      <w:r w:rsidRPr="00FC2497">
        <w:rPr>
          <w:rFonts w:ascii="Times New Roman" w:hAnsi="Times New Roman" w:cs="Times New Roman"/>
        </w:rPr>
        <w:t>“[d]e esta forma, es claro que la Corte Constitucional es también órgano “límite” de interpretación legal, pues de las condiciones estructurales de su funcionamiento, en el control de constitucionalidad de la ley, es perfectamente posible que la cosa juzgada constitucional incluya el sentido constitucionalmente autorizado de la ley oscura. En efecto, a pesar de que si bien es cierto, de acuerdo con lo regulado en el Título VIII de la Constitución, la administración de justicia se organiza a partir de la separación de jurisdicciones y, por ello, corresponde a los jueces ordinarios la interpretación de la ley y, a la Corte Constitucional la interpretación última de la Constitución, no es menos cierto que hace parte de la esencia de la función atribuida a esta última el entendimiento racional, lógico y práctico de la ley cuyo control de constitucionalidad debe ejercer”.</w:t>
      </w:r>
    </w:p>
  </w:footnote>
  <w:footnote w:id="31">
    <w:p w14:paraId="1A132994" w14:textId="00B4BC3C" w:rsidR="00EF23D5" w:rsidRPr="00FC2497" w:rsidRDefault="00EF23D5" w:rsidP="00DD0496">
      <w:pPr>
        <w:pStyle w:val="Textonotapie"/>
        <w:jc w:val="both"/>
        <w:rPr>
          <w:rFonts w:ascii="Times New Roman" w:hAnsi="Times New Roman" w:cs="Times New Roman"/>
          <w:lang w:val="es-MX"/>
        </w:rPr>
      </w:pPr>
      <w:r w:rsidRPr="00FC2497">
        <w:rPr>
          <w:rStyle w:val="Refdenotaalpie"/>
          <w:rFonts w:ascii="Times New Roman" w:hAnsi="Times New Roman" w:cs="Times New Roman"/>
        </w:rPr>
        <w:footnoteRef/>
      </w:r>
      <w:r w:rsidRPr="00FC2497">
        <w:rPr>
          <w:rFonts w:ascii="Times New Roman" w:hAnsi="Times New Roman" w:cs="Times New Roman"/>
        </w:rPr>
        <w:t xml:space="preserve"> </w:t>
      </w:r>
      <w:r w:rsidRPr="00FC2497">
        <w:rPr>
          <w:rFonts w:ascii="Times New Roman" w:hAnsi="Times New Roman" w:cs="Times New Roman"/>
          <w:lang w:val="es-MX"/>
        </w:rPr>
        <w:t xml:space="preserve">SU-087 de 2022. En la sentencia </w:t>
      </w:r>
      <w:r w:rsidRPr="00FC2497">
        <w:rPr>
          <w:rFonts w:ascii="Times New Roman" w:hAnsi="Times New Roman" w:cs="Times New Roman"/>
        </w:rPr>
        <w:t>SU-324 de 2017, reiterando la sentencia C-539 de 2011</w:t>
      </w:r>
      <w:r w:rsidRPr="00FC2497">
        <w:rPr>
          <w:rFonts w:ascii="Times New Roman" w:hAnsi="Times New Roman" w:cs="Times New Roman"/>
          <w:lang w:val="es-MX"/>
        </w:rPr>
        <w:t xml:space="preserve"> se indicó</w:t>
      </w:r>
      <w:r w:rsidRPr="00FC2497">
        <w:rPr>
          <w:rFonts w:ascii="Times New Roman" w:hAnsi="Times New Roman" w:cs="Times New Roman"/>
          <w:lang w:val="es-ES_tradnl"/>
        </w:rPr>
        <w:t xml:space="preserve"> que “los precedentes jurisprudenciales de la Corte Suprema de Justicia, el Consejo de Estado y la Sala Disciplinaria del Consejo Superior de la Judicatura, deben respetar la interpretación vinculante que realice la Corte Constitucional, la cual es prevalente en materia de interpretación de los derechos fundamentales y de la Constitución en general”. Igualmente, en la sentencia </w:t>
      </w:r>
      <w:r w:rsidRPr="00FC2497">
        <w:rPr>
          <w:rFonts w:ascii="Times New Roman" w:hAnsi="Times New Roman" w:cs="Times New Roman"/>
        </w:rPr>
        <w:t xml:space="preserve">C-816 de 2011 se sostuvo que </w:t>
      </w:r>
      <w:r w:rsidRPr="00FC2497">
        <w:rPr>
          <w:rFonts w:ascii="Times New Roman" w:hAnsi="Times New Roman" w:cs="Times New Roman"/>
          <w:lang w:val="es-ES_tradnl"/>
        </w:rPr>
        <w:t xml:space="preserve">“las autoridades, al extender los efectos de las sentencias de unificación jurisprudencial dictadas por el Consejo de Estado-, deben incorporar en sus fallos de manera preferente las decisiones de la Corte Constitucional que interpreten las normas constitucionales aplicables a la resolución de los asuntos de su competencia”. En la sentencia SU-354 de 2017 la Corte señaló que “respecto a la interpretación de la Constitución en materia de derechos fundamentales, tienen prevalencia respecto de la interpretación que sobre la misma realicen los demás órganos judiciales, al habérsele encargado la guarda de la supremacía de la Constitución”. </w:t>
      </w:r>
      <w:r w:rsidR="00B3327F" w:rsidRPr="00FC2497">
        <w:rPr>
          <w:rFonts w:ascii="Times New Roman" w:hAnsi="Times New Roman" w:cs="Times New Roman"/>
          <w:lang w:val="es-ES_tradnl"/>
        </w:rPr>
        <w:t xml:space="preserve">Igualmente </w:t>
      </w:r>
      <w:r w:rsidRPr="00FC2497">
        <w:rPr>
          <w:rFonts w:ascii="Times New Roman" w:hAnsi="Times New Roman" w:cs="Times New Roman"/>
          <w:lang w:val="es-ES_tradnl"/>
        </w:rPr>
        <w:t>en la sentencia SU-113 de 2018 se afirmó que “</w:t>
      </w:r>
      <w:r w:rsidRPr="00FC2497">
        <w:rPr>
          <w:rFonts w:ascii="Times New Roman" w:hAnsi="Times New Roman" w:cs="Times New Roman"/>
        </w:rPr>
        <w:t>tanto los fallos proferidos en control abstracto como en concreto están amparados por la fuerza vinculante, ‘debido a que determinan el contenido y alcance de la normatividad superior, al punto que su desconocimiento significaría una violación de la constitución’”.</w:t>
      </w:r>
    </w:p>
  </w:footnote>
  <w:footnote w:id="32">
    <w:p w14:paraId="6C2ED85F" w14:textId="77777777" w:rsidR="00EF23D5" w:rsidRPr="00FC2497" w:rsidRDefault="00EF23D5" w:rsidP="00DD0496">
      <w:pPr>
        <w:pStyle w:val="Textonotapie"/>
        <w:jc w:val="both"/>
        <w:rPr>
          <w:rFonts w:ascii="Times New Roman" w:hAnsi="Times New Roman" w:cs="Times New Roman"/>
          <w:lang w:val="es-ES"/>
        </w:rPr>
      </w:pPr>
      <w:r w:rsidRPr="00FC2497">
        <w:rPr>
          <w:rStyle w:val="Refdenotaalpie"/>
          <w:rFonts w:ascii="Times New Roman" w:hAnsi="Times New Roman" w:cs="Times New Roman"/>
        </w:rPr>
        <w:footnoteRef/>
      </w:r>
      <w:r w:rsidRPr="00FC2497">
        <w:rPr>
          <w:rFonts w:ascii="Times New Roman" w:hAnsi="Times New Roman" w:cs="Times New Roman"/>
        </w:rPr>
        <w:t xml:space="preserve"> </w:t>
      </w:r>
      <w:r w:rsidRPr="00FC2497">
        <w:rPr>
          <w:rFonts w:ascii="Times New Roman" w:hAnsi="Times New Roman" w:cs="Times New Roman"/>
          <w:lang w:val="es-ES"/>
        </w:rPr>
        <w:t>C-179 de 2016.</w:t>
      </w:r>
    </w:p>
  </w:footnote>
  <w:footnote w:id="33">
    <w:p w14:paraId="5C2FAAE6" w14:textId="77777777" w:rsidR="00EF23D5" w:rsidRPr="00FC2497" w:rsidRDefault="00EF23D5" w:rsidP="00DD0496">
      <w:pPr>
        <w:pStyle w:val="Textonotapie"/>
        <w:jc w:val="both"/>
        <w:rPr>
          <w:rFonts w:ascii="Times New Roman" w:hAnsi="Times New Roman" w:cs="Times New Roman"/>
          <w:lang w:val="es-ES"/>
        </w:rPr>
      </w:pPr>
      <w:r w:rsidRPr="00FC2497">
        <w:rPr>
          <w:rStyle w:val="Refdenotaalpie"/>
          <w:rFonts w:ascii="Times New Roman" w:hAnsi="Times New Roman" w:cs="Times New Roman"/>
        </w:rPr>
        <w:footnoteRef/>
      </w:r>
      <w:r w:rsidRPr="00FC2497">
        <w:rPr>
          <w:rFonts w:ascii="Times New Roman" w:hAnsi="Times New Roman" w:cs="Times New Roman"/>
        </w:rPr>
        <w:t xml:space="preserve"> </w:t>
      </w:r>
      <w:r w:rsidRPr="00FC2497">
        <w:rPr>
          <w:rFonts w:ascii="Times New Roman" w:hAnsi="Times New Roman" w:cs="Times New Roman"/>
          <w:lang w:val="es-ES"/>
        </w:rPr>
        <w:t>C-179 de 2016.</w:t>
      </w:r>
    </w:p>
  </w:footnote>
  <w:footnote w:id="34">
    <w:p w14:paraId="2BBC1318" w14:textId="77777777" w:rsidR="00EF23D5" w:rsidRPr="00FC2497" w:rsidRDefault="00EF23D5" w:rsidP="00DD0496">
      <w:pPr>
        <w:pStyle w:val="Textonotapie"/>
        <w:jc w:val="both"/>
        <w:rPr>
          <w:rFonts w:ascii="Times New Roman" w:hAnsi="Times New Roman" w:cs="Times New Roman"/>
          <w:lang w:val="es-ES"/>
        </w:rPr>
      </w:pPr>
      <w:r w:rsidRPr="00FC2497">
        <w:rPr>
          <w:rStyle w:val="Refdenotaalpie"/>
          <w:rFonts w:ascii="Times New Roman" w:hAnsi="Times New Roman" w:cs="Times New Roman"/>
        </w:rPr>
        <w:footnoteRef/>
      </w:r>
      <w:r w:rsidRPr="00FC2497">
        <w:rPr>
          <w:rFonts w:ascii="Times New Roman" w:hAnsi="Times New Roman" w:cs="Times New Roman"/>
        </w:rPr>
        <w:t xml:space="preserve"> </w:t>
      </w:r>
      <w:r w:rsidRPr="00FC2497">
        <w:rPr>
          <w:rFonts w:ascii="Times New Roman" w:hAnsi="Times New Roman" w:cs="Times New Roman"/>
          <w:lang w:val="es-ES"/>
        </w:rPr>
        <w:t xml:space="preserve">C-179 de 2016. Se apoya esta cita en la Sentencia C-634 de 2011. </w:t>
      </w:r>
    </w:p>
  </w:footnote>
  <w:footnote w:id="35">
    <w:p w14:paraId="08439A4D" w14:textId="21CCF9BF" w:rsidR="00EF23D5" w:rsidRPr="00FC2497" w:rsidRDefault="00EF23D5" w:rsidP="00B23845">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Para el Caso 1, el poder se evidencia en el archivo “6_11001031500020230157900-(2023-11-2 13-3-32)-13332-5.pdf”, pgs. 32 a 39. En el Caso 2, el poder se encuentra en el archivo “ACCIÓN DE TUTELA LUZ MARINA ORTEGA LUNA Y OTROS”, pgs. 29 a 34.</w:t>
      </w:r>
    </w:p>
  </w:footnote>
  <w:footnote w:id="36">
    <w:p w14:paraId="085725C6" w14:textId="704D089D" w:rsidR="00EF23D5" w:rsidRPr="00FC2497" w:rsidRDefault="00EF23D5">
      <w:pPr>
        <w:pStyle w:val="Textonotapie"/>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Reiterando la Sentencia SU-573 de 2019.</w:t>
      </w:r>
    </w:p>
  </w:footnote>
  <w:footnote w:id="37">
    <w:p w14:paraId="40A57502" w14:textId="0C320149" w:rsidR="00EF23D5" w:rsidRPr="00FC2497" w:rsidRDefault="00EF23D5" w:rsidP="00B23845">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El artículo </w:t>
      </w:r>
      <w:r w:rsidRPr="00FC2497">
        <w:rPr>
          <w:rFonts w:ascii="Times New Roman" w:eastAsia="Times New Roman" w:hAnsi="Times New Roman" w:cs="Times New Roman"/>
        </w:rPr>
        <w:t xml:space="preserve">308 del CPACA indica que “los procedimientos y las actuaciones administrativas, así como las demandas y procesos en curso a la vigencia de la presente ley seguirán rigiéndose y culminarán de conformidad con el régimen jurídico anterior”. Por ello, dado que las demandas fueron presentadas en vigencia del CCA -en 2008 para el Caso 1, y en 2010 para el Caso 2- se hace referencia a </w:t>
      </w:r>
      <w:r w:rsidR="00EE5FDF" w:rsidRPr="00FC2497">
        <w:rPr>
          <w:rFonts w:ascii="Times New Roman" w:eastAsia="Times New Roman" w:hAnsi="Times New Roman" w:cs="Times New Roman"/>
        </w:rPr>
        <w:t>este régimen procesal</w:t>
      </w:r>
      <w:r w:rsidRPr="00FC2497">
        <w:rPr>
          <w:rFonts w:ascii="Times New Roman" w:eastAsia="Times New Roman" w:hAnsi="Times New Roman" w:cs="Times New Roman"/>
        </w:rPr>
        <w:t>.</w:t>
      </w:r>
    </w:p>
  </w:footnote>
  <w:footnote w:id="38">
    <w:p w14:paraId="76354237" w14:textId="55D87949"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Fl. 396 del expediente contencioso administrativo.</w:t>
      </w:r>
    </w:p>
  </w:footnote>
  <w:footnote w:id="39">
    <w:p w14:paraId="6F2E2565"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Fl. 21 del expediente contencioso administrativo.</w:t>
      </w:r>
    </w:p>
  </w:footnote>
  <w:footnote w:id="40">
    <w:p w14:paraId="585D7878"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Fl. 256 del expediente contencioso administrativo.</w:t>
      </w:r>
    </w:p>
  </w:footnote>
  <w:footnote w:id="41">
    <w:p w14:paraId="14E37946" w14:textId="11A9B620"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Fl. 322 del expediente contencioso administrativo. En concreto, los doce indicios señalados son que las víctimas (i) no eran de la zona; (ii) no tenían antecedentes; (iii) no existen informes de inteligencia que los señalen como miembros de grupos al margen de la ley; (iv) no hay prueba de que los habitantes del sector hayan sido extorsionados; (v) el operativo duró diez minutos; (vi) los militares dispararon 78 balas; (vii) no hubo ningún  militar herido; (viii) las armas de los presuntos atacantes solo se accionaron tres veces; (ix) las víctimas estaban rodeadas, pues fueron impactadas desde diferentes ángulos; (x) los disparos fueron hechos a una distancia menor a dos metros; (xi) las versiones de los militares no coinciden con los informes técnicos; y (xi) los 78 cartuchos nunca fueron hallados en el lugar de los hechos.</w:t>
      </w:r>
    </w:p>
  </w:footnote>
  <w:footnote w:id="42">
    <w:p w14:paraId="71505993" w14:textId="70549CCD"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Expediente digital, archivo “ACCIÓN DE TUTELA LUZ MARINA ORTEGA LUNA Y OTROS”. Pg. 172.</w:t>
      </w:r>
    </w:p>
  </w:footnote>
  <w:footnote w:id="43">
    <w:p w14:paraId="03557891" w14:textId="03380A8F"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Sentencias T-214 de 2020 y T-237 de 2017.</w:t>
      </w:r>
    </w:p>
  </w:footnote>
  <w:footnote w:id="44">
    <w:p w14:paraId="60AE439E" w14:textId="48D0CE09"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Sentencias SU-287 de 2024, SU-016 de 2024, SU-060 de 2021, SU-062 de 2018 y SU-035 de 2018.</w:t>
      </w:r>
    </w:p>
  </w:footnote>
  <w:footnote w:id="45">
    <w:p w14:paraId="654C3870" w14:textId="2F5E3B6C"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Algunos pronunciamientos relevantes y recientes de la Sección Tercera son los siguientes:  Sentencia de Unificación del 28 de agosto de 2014. Radicación 32988; Sentencia del 12 de septiembre de 2022. Radicación 56232.  Sentencia del 10 de mayo de 2018. Radicación 54718 y Sentencia del 4 de diciembre de 2023. Radicación 64885</w:t>
      </w:r>
    </w:p>
  </w:footnote>
  <w:footnote w:id="46">
    <w:p w14:paraId="38F4861A" w14:textId="639D0B95" w:rsidR="00EF23D5" w:rsidRPr="00FC2497" w:rsidRDefault="00EF23D5" w:rsidP="008D1AFA">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Casos Masacre de Mapiripán Vs. Colombia; Escher y otros vs. Brasil; Velásquez Rodríguez vs. Honduras; Ríos y otros vs. Venezuela; Kawas Fernández vs. Honduras. En materia probatoria, es particularmente relevante resaltar dos decisiones. Primero, en el año 2018 se profirió sentencia </w:t>
      </w:r>
      <w:r w:rsidR="00B265E5" w:rsidRPr="00FC2497">
        <w:rPr>
          <w:rFonts w:ascii="Times New Roman" w:hAnsi="Times New Roman" w:cs="Times New Roman"/>
        </w:rPr>
        <w:t xml:space="preserve">de fondo, reparaciones y costas </w:t>
      </w:r>
      <w:r w:rsidRPr="00FC2497">
        <w:rPr>
          <w:rFonts w:ascii="Times New Roman" w:hAnsi="Times New Roman" w:cs="Times New Roman"/>
        </w:rPr>
        <w:t>en el caso Villamizar Durán y otros vs Colombia. Allí, la Corte se pronunció sobre el deber de incorporar el enfoque de derechos humanos en la investigación y juzgamiento de graves violaciones de derechos humanos, lo que supone la flexibilización probatoria en este tipo de casos</w:t>
      </w:r>
      <w:r w:rsidR="00DB66D0" w:rsidRPr="00FC2497">
        <w:rPr>
          <w:rFonts w:ascii="Times New Roman" w:hAnsi="Times New Roman" w:cs="Times New Roman"/>
        </w:rPr>
        <w:t xml:space="preserve"> indicando: “</w:t>
      </w:r>
      <w:r w:rsidR="00B265E5" w:rsidRPr="00FC2497">
        <w:rPr>
          <w:rFonts w:ascii="Times New Roman" w:hAnsi="Times New Roman" w:cs="Times New Roman"/>
        </w:rPr>
        <w:t>la investigación para la determinación de los hechos y de los responsables de los hechos como los del presente caso, no puede depender de la iniciativa procesal de la víctima o de sus familiares, o de la aportación privada de elementos probatorios para darle impulso al proceso</w:t>
      </w:r>
      <w:r w:rsidR="00DB66D0" w:rsidRPr="00FC2497">
        <w:rPr>
          <w:rFonts w:ascii="Times New Roman" w:hAnsi="Times New Roman" w:cs="Times New Roman"/>
        </w:rPr>
        <w:t>”</w:t>
      </w:r>
      <w:r w:rsidRPr="00FC2497">
        <w:rPr>
          <w:rFonts w:ascii="Times New Roman" w:hAnsi="Times New Roman" w:cs="Times New Roman"/>
        </w:rPr>
        <w:t>. Segundo, en la sentencia</w:t>
      </w:r>
      <w:r w:rsidR="00B265E5" w:rsidRPr="00FC2497">
        <w:rPr>
          <w:rFonts w:ascii="Times New Roman" w:hAnsi="Times New Roman" w:cs="Times New Roman"/>
        </w:rPr>
        <w:t xml:space="preserve"> de fondo, reparaciones y costas</w:t>
      </w:r>
      <w:r w:rsidRPr="00FC2497">
        <w:rPr>
          <w:rFonts w:ascii="Times New Roman" w:hAnsi="Times New Roman" w:cs="Times New Roman"/>
        </w:rPr>
        <w:t xml:space="preserve"> del  caso Velásquez Rodríguez vs Honduras la Corte Interamericana sostuvo que “[l]a prueba circunstancial, los indicios y las presunciones, pueden utilizarse, siempre que de ellos puedan inferirse conclusiones consistentes sobre los hechos”, de ahí que, “[l]a prueba indiciaria o presuntiva resulta de especial importancia cuando se trata de denuncias sobre la desaparición, ya que esta forma de represión se caracteriza por procurar la supresión de todo elemento que permita comprobar el secuestro, el paradero y la suerte de las víctimas”.</w:t>
      </w:r>
    </w:p>
  </w:footnote>
  <w:footnote w:id="47">
    <w:p w14:paraId="78DA4843" w14:textId="650AED84"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SU-287 de 2024.</w:t>
      </w:r>
    </w:p>
  </w:footnote>
  <w:footnote w:id="48">
    <w:p w14:paraId="5B974837"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Expediente digital, archivo “EXPEDIENTE 2008 00437 00 C1_compressed.pdf”. Pg. 71.</w:t>
      </w:r>
    </w:p>
  </w:footnote>
  <w:footnote w:id="49">
    <w:p w14:paraId="50D5BD93" w14:textId="43026D3B"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SU-287 de 2024.</w:t>
      </w:r>
    </w:p>
  </w:footnote>
  <w:footnote w:id="50">
    <w:p w14:paraId="55BA51A7"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Expediente digital, archivo “000 2008 00437 00 anexos_compressed.pdf”. Pg. 138</w:t>
      </w:r>
    </w:p>
  </w:footnote>
  <w:footnote w:id="51">
    <w:p w14:paraId="67DB4E2E" w14:textId="77777777" w:rsidR="00EF23D5" w:rsidRPr="001D459E" w:rsidRDefault="00EF23D5" w:rsidP="00DD0496">
      <w:pPr>
        <w:pStyle w:val="Textonotapie"/>
        <w:jc w:val="both"/>
        <w:rPr>
          <w:rFonts w:ascii="Times New Roman" w:hAnsi="Times New Roman" w:cs="Times New Roman"/>
          <w:lang w:val="en-US"/>
        </w:rPr>
      </w:pPr>
      <w:r w:rsidRPr="00FC2497">
        <w:rPr>
          <w:rStyle w:val="Refdenotaalpie"/>
          <w:rFonts w:ascii="Times New Roman" w:hAnsi="Times New Roman" w:cs="Times New Roman"/>
        </w:rPr>
        <w:footnoteRef/>
      </w:r>
      <w:r w:rsidRPr="001D459E">
        <w:rPr>
          <w:rFonts w:ascii="Times New Roman" w:hAnsi="Times New Roman" w:cs="Times New Roman"/>
          <w:lang w:val="en-US"/>
        </w:rPr>
        <w:t xml:space="preserve"> Ibid. Pg. 418.</w:t>
      </w:r>
    </w:p>
  </w:footnote>
  <w:footnote w:id="52">
    <w:p w14:paraId="635324BC" w14:textId="77777777" w:rsidR="00EF23D5" w:rsidRPr="001D459E" w:rsidRDefault="00EF23D5" w:rsidP="00DD0496">
      <w:pPr>
        <w:pStyle w:val="Textonotapie"/>
        <w:jc w:val="both"/>
        <w:rPr>
          <w:rFonts w:ascii="Times New Roman" w:hAnsi="Times New Roman" w:cs="Times New Roman"/>
          <w:lang w:val="en-US"/>
        </w:rPr>
      </w:pPr>
      <w:r w:rsidRPr="00FC2497">
        <w:rPr>
          <w:rStyle w:val="Refdenotaalpie"/>
          <w:rFonts w:ascii="Times New Roman" w:hAnsi="Times New Roman" w:cs="Times New Roman"/>
        </w:rPr>
        <w:footnoteRef/>
      </w:r>
      <w:r w:rsidRPr="001D459E">
        <w:rPr>
          <w:rFonts w:ascii="Times New Roman" w:hAnsi="Times New Roman" w:cs="Times New Roman"/>
          <w:lang w:val="en-US"/>
        </w:rPr>
        <w:t xml:space="preserve"> Ibid. Pg. 369.</w:t>
      </w:r>
    </w:p>
  </w:footnote>
  <w:footnote w:id="53">
    <w:p w14:paraId="07B51AF7" w14:textId="77777777" w:rsidR="00EF23D5" w:rsidRPr="001D459E" w:rsidRDefault="00EF23D5" w:rsidP="00DD0496">
      <w:pPr>
        <w:pStyle w:val="Textonotapie"/>
        <w:jc w:val="both"/>
        <w:rPr>
          <w:rFonts w:ascii="Times New Roman" w:hAnsi="Times New Roman" w:cs="Times New Roman"/>
          <w:lang w:val="en-US"/>
        </w:rPr>
      </w:pPr>
      <w:r w:rsidRPr="00FC2497">
        <w:rPr>
          <w:rStyle w:val="Refdenotaalpie"/>
          <w:rFonts w:ascii="Times New Roman" w:hAnsi="Times New Roman" w:cs="Times New Roman"/>
        </w:rPr>
        <w:footnoteRef/>
      </w:r>
      <w:r w:rsidRPr="001D459E">
        <w:rPr>
          <w:rFonts w:ascii="Times New Roman" w:hAnsi="Times New Roman" w:cs="Times New Roman"/>
          <w:lang w:val="en-US"/>
        </w:rPr>
        <w:t xml:space="preserve"> Ibid. Pg. 369.</w:t>
      </w:r>
    </w:p>
  </w:footnote>
  <w:footnote w:id="54">
    <w:p w14:paraId="4C428884"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Expediente digital, archivo “EXPEDIENTE 2008 00437 00 C1_compressed”. Pg. 97.</w:t>
      </w:r>
    </w:p>
  </w:footnote>
  <w:footnote w:id="55">
    <w:p w14:paraId="2F7BFB55" w14:textId="77777777" w:rsidR="00EF23D5" w:rsidRPr="00FC2497" w:rsidRDefault="00EF23D5" w:rsidP="00DD0496">
      <w:pPr>
        <w:pStyle w:val="Textonotapie"/>
        <w:jc w:val="both"/>
        <w:rPr>
          <w:rFonts w:ascii="Times New Roman" w:hAnsi="Times New Roman" w:cs="Times New Roman"/>
          <w:lang w:val="es-MX"/>
        </w:rPr>
      </w:pPr>
      <w:r w:rsidRPr="00FC2497">
        <w:rPr>
          <w:rStyle w:val="Refdenotaalpie"/>
          <w:rFonts w:ascii="Times New Roman" w:hAnsi="Times New Roman" w:cs="Times New Roman"/>
        </w:rPr>
        <w:footnoteRef/>
      </w:r>
      <w:r w:rsidRPr="00FC2497">
        <w:rPr>
          <w:rFonts w:ascii="Times New Roman" w:hAnsi="Times New Roman" w:cs="Times New Roman"/>
        </w:rPr>
        <w:t xml:space="preserve"> </w:t>
      </w:r>
      <w:r w:rsidRPr="00FC2497">
        <w:rPr>
          <w:rFonts w:ascii="Times New Roman" w:hAnsi="Times New Roman" w:cs="Times New Roman"/>
          <w:lang w:val="es-MX"/>
        </w:rPr>
        <w:t>Sentencia SU-287 de 2024.</w:t>
      </w:r>
    </w:p>
  </w:footnote>
  <w:footnote w:id="56">
    <w:p w14:paraId="4265BB61"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Ibidem.</w:t>
      </w:r>
    </w:p>
  </w:footnote>
  <w:footnote w:id="57">
    <w:p w14:paraId="67A0EBFE" w14:textId="659B8135"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En concreto, este fue solicitado como una prueba dentro de la demanda y es posible encontrar el mismo en el archivo “000 2008 00437 00 anexos_compressed.pdf”.</w:t>
      </w:r>
    </w:p>
  </w:footnote>
  <w:footnote w:id="58">
    <w:p w14:paraId="29855D48" w14:textId="68299036"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SU-354 de 2017, citando la Sentencia SU-640 de 2008.</w:t>
      </w:r>
    </w:p>
  </w:footnote>
  <w:footnote w:id="59">
    <w:p w14:paraId="4C1215B9"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SU-047 de 1999.</w:t>
      </w:r>
    </w:p>
  </w:footnote>
  <w:footnote w:id="60">
    <w:p w14:paraId="508D8CC3" w14:textId="77777777" w:rsidR="00EF23D5" w:rsidRPr="00FC2497" w:rsidRDefault="00EF23D5" w:rsidP="00762AB3">
      <w:pPr>
        <w:pStyle w:val="Textonotapie"/>
        <w:jc w:val="both"/>
        <w:rPr>
          <w:rFonts w:ascii="Times New Roman" w:hAnsi="Times New Roman" w:cs="Times New Roman"/>
          <w:lang w:val="es-MX"/>
        </w:rPr>
      </w:pPr>
      <w:r w:rsidRPr="00FC2497">
        <w:rPr>
          <w:rStyle w:val="Refdenotaalpie"/>
          <w:rFonts w:ascii="Times New Roman" w:hAnsi="Times New Roman" w:cs="Times New Roman"/>
        </w:rPr>
        <w:footnoteRef/>
      </w:r>
      <w:r w:rsidRPr="00FC2497">
        <w:rPr>
          <w:rFonts w:ascii="Times New Roman" w:hAnsi="Times New Roman" w:cs="Times New Roman"/>
        </w:rPr>
        <w:t xml:space="preserve"> </w:t>
      </w:r>
      <w:r w:rsidRPr="00FC2497">
        <w:rPr>
          <w:rFonts w:ascii="Times New Roman" w:hAnsi="Times New Roman" w:cs="Times New Roman"/>
          <w:lang w:val="es-MX"/>
        </w:rPr>
        <w:t>Sentencia SU-287 de 2024.</w:t>
      </w:r>
    </w:p>
  </w:footnote>
  <w:footnote w:id="61">
    <w:p w14:paraId="667B4E83" w14:textId="77777777" w:rsidR="00EF23D5" w:rsidRPr="00FC2497" w:rsidRDefault="00EF23D5" w:rsidP="00DD0496">
      <w:pPr>
        <w:pStyle w:val="Textonotapie"/>
        <w:jc w:val="both"/>
        <w:rPr>
          <w:rFonts w:ascii="Times New Roman" w:hAnsi="Times New Roman" w:cs="Times New Roman"/>
          <w:lang w:val="es-ES"/>
        </w:rPr>
      </w:pPr>
      <w:r w:rsidRPr="00FC2497">
        <w:rPr>
          <w:rStyle w:val="Refdenotaalpie"/>
          <w:rFonts w:ascii="Times New Roman" w:hAnsi="Times New Roman" w:cs="Times New Roman"/>
        </w:rPr>
        <w:footnoteRef/>
      </w:r>
      <w:r w:rsidRPr="00FC2497">
        <w:rPr>
          <w:rFonts w:ascii="Times New Roman" w:hAnsi="Times New Roman" w:cs="Times New Roman"/>
        </w:rPr>
        <w:t xml:space="preserve"> C-037 del 2000</w:t>
      </w:r>
    </w:p>
  </w:footnote>
  <w:footnote w:id="62">
    <w:p w14:paraId="237FDFE4"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Ibid.</w:t>
      </w:r>
    </w:p>
  </w:footnote>
  <w:footnote w:id="63">
    <w:p w14:paraId="7BBD01AB"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Ibid.</w:t>
      </w:r>
    </w:p>
  </w:footnote>
  <w:footnote w:id="64">
    <w:p w14:paraId="1CF60724"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Sentencia C-054 de 2016. Sostuvo la Corte que “[e]l principio de supremacía constitucional tiene una función jerárquica, lo cual conlleva dos consecuencias. En primer lugar, implica la imposibilidad de predicar en el orden jurídico normas que tengan un nivel superior a la Constitución. Esto implica, a su vez, que aquellas normas que hacen parte del bloque de constitucionalidad en sentido estricto, en los términos del inciso primero del artículo 93 C.P., alcancen el mismo nivel jerárquico de la Constitución, pero no una escala superior que la subordine, por lo que son disposiciones integradas más no superpuestas a la Carta Política. La segunda faceta de la función jerárquica es la de servir de parámetro para la validez formal y material de las normas que integran el ordenamiento jurídico”.</w:t>
      </w:r>
    </w:p>
  </w:footnote>
  <w:footnote w:id="65">
    <w:p w14:paraId="257CBA09"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SU-113 de 2018. La Corte indicó que “[e]l precedente ´’se constituye en un pilar del Estado de Derecho, pues lo que busca es asegurar la coherencia en la aplicación del ordenamiento jurídico, a través de decisiones judiciales que sean razonablemente previsibles’”. Además, en la Sentencia SU-087 de 2022 se afirmó que el precedente “asegura la coherencia y seguridad jurídica, pues ‘las normas, si se quiere que gobiernen la conducta de los seres humanos, deben tener un significado estable’”.</w:t>
      </w:r>
    </w:p>
  </w:footnote>
  <w:footnote w:id="66">
    <w:p w14:paraId="3CF9A976"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Sentencia T-767 de 2015. La Corte afirmó que “el precedente constitucional asegura la coherencia del sistema jurídico, pues permite determinar de manera anticipada y con plena certeza la solución aplicada a un determinado problema jurídico, de suerte que los sujetos están llamados a ajustar su actuar a las normas y reglas que los regulan, en concordancia con la interpretación que se ha determinado acorde y compatible con el contenido de la Constitución Política”.</w:t>
      </w:r>
    </w:p>
  </w:footnote>
  <w:footnote w:id="67">
    <w:p w14:paraId="546DDC72"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Expediente digital, archivo “ACCIÓN DE TUTELA LUZ MARINA ORTEGA LUNA Y OTROS”. Pg. 133.</w:t>
      </w:r>
    </w:p>
  </w:footnote>
  <w:footnote w:id="68">
    <w:p w14:paraId="15AEDAA8"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Fl. 146 del expediente contencioso administrativo.</w:t>
      </w:r>
    </w:p>
  </w:footnote>
  <w:footnote w:id="69">
    <w:p w14:paraId="70071F51" w14:textId="77777777"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Expediente digital, archivo “ACCIÓN DE TUTELA LUZ MARINA ORTEGA LUNA Y OTROS”. Pg. 159.</w:t>
      </w:r>
    </w:p>
  </w:footnote>
  <w:footnote w:id="70">
    <w:p w14:paraId="5C4960C8" w14:textId="64528E2A" w:rsidR="00EF23D5" w:rsidRPr="00FC2497" w:rsidRDefault="00EF23D5" w:rsidP="00DD0496">
      <w:pPr>
        <w:pStyle w:val="Textonotapie"/>
        <w:jc w:val="both"/>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Ibid. Pg. 172.</w:t>
      </w:r>
    </w:p>
  </w:footnote>
  <w:footnote w:id="71">
    <w:p w14:paraId="0612CA54" w14:textId="77777777" w:rsidR="00EF23D5" w:rsidRPr="00FC2497" w:rsidRDefault="00EF23D5" w:rsidP="00DD0496">
      <w:pPr>
        <w:pStyle w:val="Textonotapie"/>
        <w:jc w:val="both"/>
        <w:rPr>
          <w:rFonts w:ascii="Times New Roman" w:hAnsi="Times New Roman" w:cs="Times New Roman"/>
          <w:lang w:val="es-MX"/>
        </w:rPr>
      </w:pPr>
      <w:r w:rsidRPr="00FC2497">
        <w:rPr>
          <w:rStyle w:val="Refdenotaalpie"/>
          <w:rFonts w:ascii="Times New Roman" w:hAnsi="Times New Roman" w:cs="Times New Roman"/>
        </w:rPr>
        <w:footnoteRef/>
      </w:r>
      <w:r w:rsidRPr="00FC2497">
        <w:rPr>
          <w:rFonts w:ascii="Times New Roman" w:hAnsi="Times New Roman" w:cs="Times New Roman"/>
        </w:rPr>
        <w:t xml:space="preserve"> </w:t>
      </w:r>
      <w:r w:rsidRPr="00FC2497">
        <w:rPr>
          <w:rFonts w:ascii="Times New Roman" w:hAnsi="Times New Roman" w:cs="Times New Roman"/>
          <w:lang w:val="es-MX"/>
        </w:rPr>
        <w:t>Fl. 158 a 164 del expediente contencioso administrativo.</w:t>
      </w:r>
    </w:p>
  </w:footnote>
  <w:footnote w:id="72">
    <w:p w14:paraId="19E89AB0" w14:textId="77777777" w:rsidR="00EF23D5" w:rsidRPr="001D459E" w:rsidRDefault="00EF23D5" w:rsidP="00DD0496">
      <w:pPr>
        <w:pStyle w:val="Textonotapie"/>
        <w:jc w:val="both"/>
        <w:rPr>
          <w:rFonts w:ascii="Times New Roman" w:hAnsi="Times New Roman" w:cs="Times New Roman"/>
          <w:lang w:val="en-US"/>
        </w:rPr>
      </w:pPr>
      <w:r w:rsidRPr="00FC2497">
        <w:rPr>
          <w:rStyle w:val="Refdenotaalpie"/>
          <w:rFonts w:ascii="Times New Roman" w:hAnsi="Times New Roman" w:cs="Times New Roman"/>
        </w:rPr>
        <w:footnoteRef/>
      </w:r>
      <w:r w:rsidRPr="00FC2497">
        <w:rPr>
          <w:rFonts w:ascii="Times New Roman" w:hAnsi="Times New Roman" w:cs="Times New Roman"/>
        </w:rPr>
        <w:t xml:space="preserve"> Expediente digital, archivo “ACCIÓN DE TUTELA LUZ MARINA ORTEGA LUNA Y OTROS”. </w:t>
      </w:r>
      <w:r w:rsidRPr="001D459E">
        <w:rPr>
          <w:rFonts w:ascii="Times New Roman" w:hAnsi="Times New Roman" w:cs="Times New Roman"/>
          <w:lang w:val="en-US"/>
        </w:rPr>
        <w:t>Pg. 179 a 183.</w:t>
      </w:r>
    </w:p>
  </w:footnote>
  <w:footnote w:id="73">
    <w:p w14:paraId="0B82FED3" w14:textId="77777777" w:rsidR="00EF23D5" w:rsidRPr="001D459E" w:rsidRDefault="00EF23D5" w:rsidP="00DD0496">
      <w:pPr>
        <w:pStyle w:val="Textonotapie"/>
        <w:jc w:val="both"/>
        <w:rPr>
          <w:rFonts w:ascii="Times New Roman" w:hAnsi="Times New Roman" w:cs="Times New Roman"/>
          <w:lang w:val="en-US"/>
        </w:rPr>
      </w:pPr>
      <w:r w:rsidRPr="00FC2497">
        <w:rPr>
          <w:rStyle w:val="Refdenotaalpie"/>
          <w:rFonts w:ascii="Times New Roman" w:hAnsi="Times New Roman" w:cs="Times New Roman"/>
        </w:rPr>
        <w:footnoteRef/>
      </w:r>
      <w:r w:rsidRPr="001D459E">
        <w:rPr>
          <w:rFonts w:ascii="Times New Roman" w:hAnsi="Times New Roman" w:cs="Times New Roman"/>
          <w:lang w:val="en-US"/>
        </w:rPr>
        <w:t xml:space="preserve"> Ibid. Pg. 180.</w:t>
      </w:r>
    </w:p>
  </w:footnote>
  <w:footnote w:id="74">
    <w:p w14:paraId="3B769090" w14:textId="77777777" w:rsidR="00EF23D5" w:rsidRPr="001D459E" w:rsidRDefault="00EF23D5" w:rsidP="00DD0496">
      <w:pPr>
        <w:pStyle w:val="Textonotapie"/>
        <w:jc w:val="both"/>
        <w:rPr>
          <w:rFonts w:ascii="Times New Roman" w:hAnsi="Times New Roman" w:cs="Times New Roman"/>
          <w:lang w:val="en-US"/>
        </w:rPr>
      </w:pPr>
      <w:r w:rsidRPr="00FC2497">
        <w:rPr>
          <w:rStyle w:val="Refdenotaalpie"/>
          <w:rFonts w:ascii="Times New Roman" w:hAnsi="Times New Roman" w:cs="Times New Roman"/>
        </w:rPr>
        <w:footnoteRef/>
      </w:r>
      <w:r w:rsidRPr="001D459E">
        <w:rPr>
          <w:rFonts w:ascii="Times New Roman" w:hAnsi="Times New Roman" w:cs="Times New Roman"/>
          <w:lang w:val="en-US"/>
        </w:rPr>
        <w:t xml:space="preserve"> Ibid. Pg. 181.</w:t>
      </w:r>
    </w:p>
  </w:footnote>
  <w:footnote w:id="75">
    <w:p w14:paraId="22E75575" w14:textId="77777777" w:rsidR="00EF23D5" w:rsidRPr="001D459E" w:rsidRDefault="00EF23D5" w:rsidP="00DD0496">
      <w:pPr>
        <w:pStyle w:val="Textonotapie"/>
        <w:jc w:val="both"/>
        <w:rPr>
          <w:rFonts w:ascii="Times New Roman" w:hAnsi="Times New Roman" w:cs="Times New Roman"/>
          <w:lang w:val="en-US"/>
        </w:rPr>
      </w:pPr>
      <w:r w:rsidRPr="00FC2497">
        <w:rPr>
          <w:rStyle w:val="Refdenotaalpie"/>
          <w:rFonts w:ascii="Times New Roman" w:hAnsi="Times New Roman" w:cs="Times New Roman"/>
        </w:rPr>
        <w:footnoteRef/>
      </w:r>
      <w:r w:rsidRPr="001D459E">
        <w:rPr>
          <w:rFonts w:ascii="Times New Roman" w:hAnsi="Times New Roman" w:cs="Times New Roman"/>
          <w:lang w:val="en-US"/>
        </w:rPr>
        <w:t xml:space="preserve"> Ibid. Pg. 119.</w:t>
      </w:r>
    </w:p>
  </w:footnote>
  <w:footnote w:id="76">
    <w:p w14:paraId="1FC62214" w14:textId="77777777" w:rsidR="00EF23D5" w:rsidRPr="001D459E" w:rsidRDefault="00EF23D5" w:rsidP="00DD0496">
      <w:pPr>
        <w:pStyle w:val="Textonotapie"/>
        <w:jc w:val="both"/>
        <w:rPr>
          <w:rFonts w:ascii="Times New Roman" w:hAnsi="Times New Roman" w:cs="Times New Roman"/>
          <w:lang w:val="en-US"/>
        </w:rPr>
      </w:pPr>
      <w:r w:rsidRPr="00FC2497">
        <w:rPr>
          <w:rStyle w:val="Refdenotaalpie"/>
          <w:rFonts w:ascii="Times New Roman" w:hAnsi="Times New Roman" w:cs="Times New Roman"/>
        </w:rPr>
        <w:footnoteRef/>
      </w:r>
      <w:r w:rsidRPr="001D459E">
        <w:rPr>
          <w:rFonts w:ascii="Times New Roman" w:hAnsi="Times New Roman" w:cs="Times New Roman"/>
          <w:lang w:val="en-US"/>
        </w:rPr>
        <w:t xml:space="preserve"> Ibid. Pg. 172.</w:t>
      </w:r>
    </w:p>
  </w:footnote>
  <w:footnote w:id="77">
    <w:p w14:paraId="4E94A8B9" w14:textId="77777777" w:rsidR="00EF23D5" w:rsidRPr="00FC2497" w:rsidRDefault="00EF23D5" w:rsidP="00DD0496">
      <w:pPr>
        <w:pStyle w:val="Textonotapie"/>
        <w:jc w:val="both"/>
        <w:rPr>
          <w:rFonts w:ascii="Times New Roman" w:hAnsi="Times New Roman" w:cs="Times New Roman"/>
          <w:lang w:val="es-MX"/>
        </w:rPr>
      </w:pPr>
      <w:r w:rsidRPr="00FC2497">
        <w:rPr>
          <w:rStyle w:val="Refdenotaalpie"/>
          <w:rFonts w:ascii="Times New Roman" w:hAnsi="Times New Roman" w:cs="Times New Roman"/>
        </w:rPr>
        <w:footnoteRef/>
      </w:r>
      <w:r w:rsidRPr="00FC2497">
        <w:rPr>
          <w:rFonts w:ascii="Times New Roman" w:hAnsi="Times New Roman" w:cs="Times New Roman"/>
        </w:rPr>
        <w:t xml:space="preserve"> </w:t>
      </w:r>
      <w:r w:rsidRPr="00FC2497">
        <w:rPr>
          <w:rFonts w:ascii="Times New Roman" w:hAnsi="Times New Roman" w:cs="Times New Roman"/>
          <w:lang w:val="es-MX"/>
        </w:rPr>
        <w:t>Fl. 74 del expediente contencioso administrativo.</w:t>
      </w:r>
    </w:p>
  </w:footnote>
  <w:footnote w:id="78">
    <w:p w14:paraId="381994D4" w14:textId="77777777" w:rsidR="00EF23D5" w:rsidRPr="00FC2497" w:rsidRDefault="00EF23D5" w:rsidP="00DD0496">
      <w:pPr>
        <w:pStyle w:val="Textonotapie"/>
        <w:jc w:val="both"/>
        <w:rPr>
          <w:rFonts w:ascii="Times New Roman" w:hAnsi="Times New Roman" w:cs="Times New Roman"/>
          <w:lang w:val="es-MX"/>
        </w:rPr>
      </w:pPr>
      <w:r w:rsidRPr="00FC2497">
        <w:rPr>
          <w:rStyle w:val="Refdenotaalpie"/>
          <w:rFonts w:ascii="Times New Roman" w:hAnsi="Times New Roman" w:cs="Times New Roman"/>
        </w:rPr>
        <w:footnoteRef/>
      </w:r>
      <w:r w:rsidRPr="00FC2497">
        <w:rPr>
          <w:rFonts w:ascii="Times New Roman" w:hAnsi="Times New Roman" w:cs="Times New Roman"/>
        </w:rPr>
        <w:t xml:space="preserve"> </w:t>
      </w:r>
      <w:r w:rsidRPr="00FC2497">
        <w:rPr>
          <w:rFonts w:ascii="Times New Roman" w:hAnsi="Times New Roman" w:cs="Times New Roman"/>
          <w:lang w:val="es-MX"/>
        </w:rPr>
        <w:t>Sentencia SU-287 de 2024.</w:t>
      </w:r>
    </w:p>
  </w:footnote>
  <w:footnote w:id="79">
    <w:p w14:paraId="2F4C119A" w14:textId="1AE5B21A" w:rsidR="000409E7" w:rsidRPr="002848AE" w:rsidRDefault="000409E7">
      <w:pPr>
        <w:pStyle w:val="Textonotapie"/>
        <w:rPr>
          <w:rFonts w:ascii="Times New Roman" w:hAnsi="Times New Roman" w:cs="Times New Roman"/>
        </w:rPr>
      </w:pPr>
      <w:r w:rsidRPr="00FC2497">
        <w:rPr>
          <w:rStyle w:val="Refdenotaalpie"/>
          <w:rFonts w:ascii="Times New Roman" w:hAnsi="Times New Roman" w:cs="Times New Roman"/>
        </w:rPr>
        <w:footnoteRef/>
      </w:r>
      <w:r w:rsidRPr="00FC2497">
        <w:rPr>
          <w:rFonts w:ascii="Times New Roman" w:hAnsi="Times New Roman" w:cs="Times New Roman"/>
        </w:rPr>
        <w:t xml:space="preserve"> Sentencia C</w:t>
      </w:r>
      <w:r w:rsidR="002848AE" w:rsidRPr="00FC2497">
        <w:rPr>
          <w:rFonts w:ascii="Times New Roman" w:hAnsi="Times New Roman" w:cs="Times New Roman"/>
        </w:rPr>
        <w:t>-480</w:t>
      </w:r>
      <w:r w:rsidRPr="00FC2497">
        <w:rPr>
          <w:rFonts w:ascii="Times New Roman" w:hAnsi="Times New Roman" w:cs="Times New Roman"/>
        </w:rPr>
        <w:t xml:space="preserve"> de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B591" w14:textId="44062041" w:rsidR="00EF23D5" w:rsidRPr="006D5FB1" w:rsidRDefault="00EF23D5" w:rsidP="006D5FB1">
    <w:pPr>
      <w:pStyle w:val="Encabezado"/>
      <w:rPr>
        <w:rFonts w:ascii="Times New Roman" w:hAnsi="Times New Roman" w:cs="Times New Roman"/>
        <w:sz w:val="20"/>
        <w:szCs w:val="20"/>
      </w:rPr>
    </w:pPr>
    <w:r w:rsidRPr="00F331BD">
      <w:rPr>
        <w:rFonts w:ascii="Times New Roman" w:hAnsi="Times New Roman" w:cs="Times New Roman"/>
        <w:sz w:val="20"/>
        <w:szCs w:val="20"/>
      </w:rPr>
      <w:t xml:space="preserve">Expediente </w:t>
    </w:r>
    <w:r w:rsidRPr="00165A2B">
      <w:rPr>
        <w:rFonts w:ascii="Times New Roman" w:hAnsi="Times New Roman" w:cs="Times New Roman"/>
        <w:sz w:val="20"/>
        <w:szCs w:val="20"/>
      </w:rPr>
      <w:t>T-9.</w:t>
    </w:r>
    <w:r>
      <w:rPr>
        <w:rFonts w:ascii="Times New Roman" w:hAnsi="Times New Roman" w:cs="Times New Roman"/>
        <w:sz w:val="20"/>
        <w:szCs w:val="20"/>
      </w:rPr>
      <w:t>860.565AC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3ECC"/>
    <w:multiLevelType w:val="hybridMultilevel"/>
    <w:tmpl w:val="F0581224"/>
    <w:lvl w:ilvl="0" w:tplc="F6D84C4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4337A0"/>
    <w:multiLevelType w:val="hybridMultilevel"/>
    <w:tmpl w:val="C102DEF8"/>
    <w:lvl w:ilvl="0" w:tplc="1110D2BA">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C4F602C"/>
    <w:multiLevelType w:val="hybridMultilevel"/>
    <w:tmpl w:val="191E13EC"/>
    <w:lvl w:ilvl="0" w:tplc="A61E4B32">
      <w:start w:val="1"/>
      <w:numFmt w:val="low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974E7E"/>
    <w:multiLevelType w:val="hybridMultilevel"/>
    <w:tmpl w:val="B3CE75EE"/>
    <w:lvl w:ilvl="0" w:tplc="D3C4C2CC">
      <w:start w:val="1"/>
      <w:numFmt w:val="lowerRoman"/>
      <w:lvlText w:val="(%1)"/>
      <w:lvlJc w:val="left"/>
      <w:pPr>
        <w:ind w:left="1080" w:hanging="720"/>
      </w:pPr>
      <w:rPr>
        <w:rFonts w:ascii="Times New Roman" w:hAnsi="Times New Roman" w:cs="Times New Roman"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1039E2"/>
    <w:multiLevelType w:val="hybridMultilevel"/>
    <w:tmpl w:val="4E30FC3C"/>
    <w:lvl w:ilvl="0" w:tplc="A978E98E">
      <w:start w:val="1"/>
      <w:numFmt w:val="lowerLetter"/>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7AA0AD8"/>
    <w:multiLevelType w:val="hybridMultilevel"/>
    <w:tmpl w:val="7CD69FD4"/>
    <w:lvl w:ilvl="0" w:tplc="53DE005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734471"/>
    <w:multiLevelType w:val="hybridMultilevel"/>
    <w:tmpl w:val="A73C5D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7B6ED7"/>
    <w:multiLevelType w:val="hybridMultilevel"/>
    <w:tmpl w:val="E242B018"/>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FD14A80"/>
    <w:multiLevelType w:val="hybridMultilevel"/>
    <w:tmpl w:val="4C221CCC"/>
    <w:lvl w:ilvl="0" w:tplc="924AB3A4">
      <w:start w:val="1"/>
      <w:numFmt w:val="low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E30F34"/>
    <w:multiLevelType w:val="hybridMultilevel"/>
    <w:tmpl w:val="85684AB4"/>
    <w:lvl w:ilvl="0" w:tplc="C100A0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5638CC"/>
    <w:multiLevelType w:val="multilevel"/>
    <w:tmpl w:val="4170C76A"/>
    <w:lvl w:ilvl="0">
      <w:start w:val="1"/>
      <w:numFmt w:val="decimal"/>
      <w:lvlText w:val="%1."/>
      <w:lvlJc w:val="left"/>
      <w:pPr>
        <w:tabs>
          <w:tab w:val="num" w:pos="340"/>
        </w:tabs>
        <w:ind w:left="0" w:firstLine="0"/>
      </w:pPr>
      <w:rPr>
        <w:rFonts w:hint="default"/>
        <w:b w:val="0"/>
        <w:bCs w:val="0"/>
        <w:i w:val="0"/>
        <w:iCs/>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CC0343"/>
    <w:multiLevelType w:val="hybridMultilevel"/>
    <w:tmpl w:val="CBE46F82"/>
    <w:lvl w:ilvl="0" w:tplc="2DA8E7D8">
      <w:start w:val="1"/>
      <w:numFmt w:val="lowerRoman"/>
      <w:lvlText w:val="(%1)"/>
      <w:lvlJc w:val="left"/>
      <w:pPr>
        <w:ind w:left="1080" w:hanging="720"/>
      </w:pPr>
      <w:rPr>
        <w:rFonts w:hint="default"/>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423054"/>
    <w:multiLevelType w:val="hybridMultilevel"/>
    <w:tmpl w:val="78EEE13E"/>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3" w15:restartNumberingAfterBreak="0">
    <w:nsid w:val="2C49270B"/>
    <w:multiLevelType w:val="hybridMultilevel"/>
    <w:tmpl w:val="9A6A7B46"/>
    <w:lvl w:ilvl="0" w:tplc="C2A49030">
      <w:start w:val="1"/>
      <w:numFmt w:val="lowerRoman"/>
      <w:lvlText w:val="(%1)"/>
      <w:lvlJc w:val="left"/>
      <w:pPr>
        <w:ind w:left="1080" w:hanging="720"/>
      </w:pPr>
      <w:rPr>
        <w:rFonts w:hint="default"/>
        <w:i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E024A37"/>
    <w:multiLevelType w:val="multilevel"/>
    <w:tmpl w:val="2850D2B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A060A7"/>
    <w:multiLevelType w:val="hybridMultilevel"/>
    <w:tmpl w:val="FBAA3692"/>
    <w:lvl w:ilvl="0" w:tplc="CA96814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FBE3EFD"/>
    <w:multiLevelType w:val="hybridMultilevel"/>
    <w:tmpl w:val="ABAC7068"/>
    <w:lvl w:ilvl="0" w:tplc="1A4AFCB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305794"/>
    <w:multiLevelType w:val="hybridMultilevel"/>
    <w:tmpl w:val="0A0E2C38"/>
    <w:lvl w:ilvl="0" w:tplc="74DA28F4">
      <w:start w:val="1"/>
      <w:numFmt w:val="decimal"/>
      <w:suff w:val="space"/>
      <w:lvlText w:val="%1."/>
      <w:lvlJc w:val="left"/>
      <w:pPr>
        <w:ind w:left="0" w:firstLine="0"/>
      </w:pPr>
      <w:rPr>
        <w:b w:val="0"/>
        <w:bCs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36A4603C"/>
    <w:multiLevelType w:val="hybridMultilevel"/>
    <w:tmpl w:val="0DBEB650"/>
    <w:lvl w:ilvl="0" w:tplc="8C46CAC0">
      <w:start w:val="1"/>
      <w:numFmt w:val="decimal"/>
      <w:suff w:val="space"/>
      <w:lvlText w:val="%1."/>
      <w:lvlJc w:val="left"/>
      <w:pPr>
        <w:ind w:left="0" w:firstLine="0"/>
      </w:pPr>
      <w:rPr>
        <w:rFonts w:ascii="Times New Roman" w:hAnsi="Times New Roman" w:cs="Times New Roman" w:hint="default"/>
        <w:i w:val="0"/>
        <w:iCs w:val="0"/>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37725551"/>
    <w:multiLevelType w:val="hybridMultilevel"/>
    <w:tmpl w:val="70B2EE7A"/>
    <w:lvl w:ilvl="0" w:tplc="7206B2A4">
      <w:start w:val="1"/>
      <w:numFmt w:val="decimal"/>
      <w:lvlText w:val="%1."/>
      <w:lvlJc w:val="left"/>
      <w:pPr>
        <w:ind w:left="720" w:hanging="360"/>
      </w:pPr>
      <w:rPr>
        <w:rFonts w:ascii="Times New Roman" w:hAnsi="Times New Roman" w:cs="Times New Roman" w:hint="default"/>
        <w:b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D411DD2"/>
    <w:multiLevelType w:val="hybridMultilevel"/>
    <w:tmpl w:val="5E58AC8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DB4E21"/>
    <w:multiLevelType w:val="multilevel"/>
    <w:tmpl w:val="6B82C7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1300470"/>
    <w:multiLevelType w:val="hybridMultilevel"/>
    <w:tmpl w:val="56AA35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1994ACD"/>
    <w:multiLevelType w:val="hybridMultilevel"/>
    <w:tmpl w:val="7C28B0DA"/>
    <w:lvl w:ilvl="0" w:tplc="7BE6CC9C">
      <w:start w:val="39"/>
      <w:numFmt w:val="decimal"/>
      <w:suff w:val="space"/>
      <w:lvlText w:val="%1."/>
      <w:lvlJc w:val="lef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2B73485"/>
    <w:multiLevelType w:val="hybridMultilevel"/>
    <w:tmpl w:val="CFFEBEF6"/>
    <w:lvl w:ilvl="0" w:tplc="454CD5B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6DF1869"/>
    <w:multiLevelType w:val="hybridMultilevel"/>
    <w:tmpl w:val="66C070BC"/>
    <w:lvl w:ilvl="0" w:tplc="B2168188">
      <w:start w:val="1"/>
      <w:numFmt w:val="low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97D78F6"/>
    <w:multiLevelType w:val="hybridMultilevel"/>
    <w:tmpl w:val="9DDC9E98"/>
    <w:lvl w:ilvl="0" w:tplc="248EA00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98116AE"/>
    <w:multiLevelType w:val="multilevel"/>
    <w:tmpl w:val="6B52938C"/>
    <w:lvl w:ilvl="0">
      <w:start w:val="30"/>
      <w:numFmt w:val="decimal"/>
      <w:lvlText w:val="%1."/>
      <w:lvlJc w:val="left"/>
      <w:pPr>
        <w:ind w:left="576" w:hanging="57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4F17608C"/>
    <w:multiLevelType w:val="hybridMultilevel"/>
    <w:tmpl w:val="DFE6F80C"/>
    <w:lvl w:ilvl="0" w:tplc="6DD4E7EC">
      <w:start w:val="1"/>
      <w:numFmt w:val="decimal"/>
      <w:suff w:val="space"/>
      <w:lvlText w:val="%1."/>
      <w:lvlJc w:val="left"/>
      <w:pPr>
        <w:ind w:left="0" w:firstLine="0"/>
      </w:pPr>
      <w:rPr>
        <w:rFonts w:hint="default"/>
        <w:b w:val="0"/>
        <w:bCs/>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432BDB"/>
    <w:multiLevelType w:val="hybridMultilevel"/>
    <w:tmpl w:val="CD968C12"/>
    <w:lvl w:ilvl="0" w:tplc="660092BC">
      <w:start w:val="1"/>
      <w:numFmt w:val="upperLetter"/>
      <w:lvlText w:val="%1."/>
      <w:lvlJc w:val="left"/>
      <w:pPr>
        <w:ind w:left="720" w:hanging="360"/>
      </w:pPr>
      <w:rPr>
        <w:rFonts w:hint="default"/>
        <w:i/>
        <w:u w:val="single"/>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D181DA9"/>
    <w:multiLevelType w:val="hybridMultilevel"/>
    <w:tmpl w:val="549EC76A"/>
    <w:lvl w:ilvl="0" w:tplc="FD0ECDC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E330BD8"/>
    <w:multiLevelType w:val="hybridMultilevel"/>
    <w:tmpl w:val="F4502874"/>
    <w:lvl w:ilvl="0" w:tplc="1AFE075A">
      <w:start w:val="1"/>
      <w:numFmt w:val="decimal"/>
      <w:suff w:val="space"/>
      <w:lvlText w:val="%1."/>
      <w:lvlJc w:val="left"/>
      <w:pPr>
        <w:ind w:left="0" w:firstLine="0"/>
      </w:pPr>
      <w:rPr>
        <w:rFonts w:hint="default"/>
        <w:b w:val="0"/>
        <w:i w:val="0"/>
        <w:sz w:val="28"/>
        <w:szCs w:val="2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1A2266"/>
    <w:multiLevelType w:val="hybridMultilevel"/>
    <w:tmpl w:val="B4D2769A"/>
    <w:lvl w:ilvl="0" w:tplc="B2168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65C2EA0"/>
    <w:multiLevelType w:val="hybridMultilevel"/>
    <w:tmpl w:val="B4D2769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5C4F53"/>
    <w:multiLevelType w:val="hybridMultilevel"/>
    <w:tmpl w:val="42A6453C"/>
    <w:lvl w:ilvl="0" w:tplc="5D9449D0">
      <w:start w:val="1"/>
      <w:numFmt w:val="decimal"/>
      <w:suff w:val="space"/>
      <w:lvlText w:val="%1."/>
      <w:lvlJc w:val="left"/>
      <w:pPr>
        <w:ind w:left="0" w:firstLine="0"/>
      </w:pPr>
      <w:rPr>
        <w:rFonts w:hint="default"/>
        <w:i w:val="0"/>
        <w:iCs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82930039">
    <w:abstractNumId w:val="31"/>
  </w:num>
  <w:num w:numId="2" w16cid:durableId="1621182710">
    <w:abstractNumId w:val="8"/>
  </w:num>
  <w:num w:numId="3" w16cid:durableId="1681932307">
    <w:abstractNumId w:val="12"/>
  </w:num>
  <w:num w:numId="4" w16cid:durableId="1682901510">
    <w:abstractNumId w:val="23"/>
  </w:num>
  <w:num w:numId="5" w16cid:durableId="419522022">
    <w:abstractNumId w:val="14"/>
  </w:num>
  <w:num w:numId="6" w16cid:durableId="20846376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238906">
    <w:abstractNumId w:val="32"/>
  </w:num>
  <w:num w:numId="8" w16cid:durableId="964850239">
    <w:abstractNumId w:val="30"/>
  </w:num>
  <w:num w:numId="9" w16cid:durableId="60178749">
    <w:abstractNumId w:val="33"/>
  </w:num>
  <w:num w:numId="10" w16cid:durableId="1012996353">
    <w:abstractNumId w:val="25"/>
  </w:num>
  <w:num w:numId="11" w16cid:durableId="261114073">
    <w:abstractNumId w:val="2"/>
  </w:num>
  <w:num w:numId="12" w16cid:durableId="1225606072">
    <w:abstractNumId w:val="28"/>
  </w:num>
  <w:num w:numId="13" w16cid:durableId="746151534">
    <w:abstractNumId w:val="10"/>
  </w:num>
  <w:num w:numId="14" w16cid:durableId="1615089462">
    <w:abstractNumId w:val="5"/>
  </w:num>
  <w:num w:numId="15" w16cid:durableId="1210915169">
    <w:abstractNumId w:val="11"/>
  </w:num>
  <w:num w:numId="16" w16cid:durableId="17245998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15012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439117">
    <w:abstractNumId w:val="15"/>
  </w:num>
  <w:num w:numId="19" w16cid:durableId="412898917">
    <w:abstractNumId w:val="20"/>
  </w:num>
  <w:num w:numId="20" w16cid:durableId="163321412">
    <w:abstractNumId w:val="22"/>
  </w:num>
  <w:num w:numId="21" w16cid:durableId="1773091985">
    <w:abstractNumId w:val="13"/>
  </w:num>
  <w:num w:numId="22" w16cid:durableId="395398494">
    <w:abstractNumId w:val="26"/>
  </w:num>
  <w:num w:numId="23" w16cid:durableId="500506490">
    <w:abstractNumId w:val="34"/>
  </w:num>
  <w:num w:numId="24" w16cid:durableId="377323054">
    <w:abstractNumId w:val="29"/>
  </w:num>
  <w:num w:numId="25" w16cid:durableId="91322794">
    <w:abstractNumId w:val="16"/>
  </w:num>
  <w:num w:numId="26" w16cid:durableId="414009544">
    <w:abstractNumId w:val="3"/>
  </w:num>
  <w:num w:numId="27" w16cid:durableId="1608521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7165545">
    <w:abstractNumId w:val="24"/>
  </w:num>
  <w:num w:numId="29" w16cid:durableId="8138320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4554808">
    <w:abstractNumId w:val="27"/>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2149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0577174">
    <w:abstractNumId w:val="6"/>
  </w:num>
  <w:num w:numId="33" w16cid:durableId="620379821">
    <w:abstractNumId w:val="19"/>
  </w:num>
  <w:num w:numId="34" w16cid:durableId="1713504680">
    <w:abstractNumId w:val="21"/>
  </w:num>
  <w:num w:numId="35" w16cid:durableId="1949584966">
    <w:abstractNumId w:val="0"/>
  </w:num>
  <w:num w:numId="36" w16cid:durableId="2110612320">
    <w:abstractNumId w:val="9"/>
  </w:num>
  <w:num w:numId="37" w16cid:durableId="16104265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4096" w:nlCheck="1" w:checkStyle="0"/>
  <w:activeWritingStyle w:appName="MSWord" w:lang="es-MX" w:vendorID="64" w:dllVersion="6" w:nlCheck="1" w:checkStyle="0"/>
  <w:activeWritingStyle w:appName="MSWord" w:lang="en-US" w:vendorID="64" w:dllVersion="4096" w:nlCheck="1" w:checkStyle="0"/>
  <w:activeWritingStyle w:appName="MSWord" w:lang="es-US" w:vendorID="64" w:dllVersion="0" w:nlCheck="1" w:checkStyle="0"/>
  <w:activeWritingStyle w:appName="MSWord" w:lang="es-US" w:vendorID="64" w:dllVersion="4096" w:nlCheck="1" w:checkStyle="0"/>
  <w:proofState w:spelling="clean" w:grammar="clean"/>
  <w:defaultTabStop w:val="567"/>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1FB"/>
    <w:rsid w:val="00002D4C"/>
    <w:rsid w:val="00003335"/>
    <w:rsid w:val="0000344E"/>
    <w:rsid w:val="000034CE"/>
    <w:rsid w:val="0000394A"/>
    <w:rsid w:val="00003A52"/>
    <w:rsid w:val="0000505E"/>
    <w:rsid w:val="0000545F"/>
    <w:rsid w:val="0000570D"/>
    <w:rsid w:val="00005B70"/>
    <w:rsid w:val="00006003"/>
    <w:rsid w:val="000064FA"/>
    <w:rsid w:val="00007A23"/>
    <w:rsid w:val="00007E22"/>
    <w:rsid w:val="000117DC"/>
    <w:rsid w:val="0001199F"/>
    <w:rsid w:val="000119DC"/>
    <w:rsid w:val="0001288D"/>
    <w:rsid w:val="000128D8"/>
    <w:rsid w:val="00012E50"/>
    <w:rsid w:val="00012FAB"/>
    <w:rsid w:val="0001303C"/>
    <w:rsid w:val="0001403B"/>
    <w:rsid w:val="00014128"/>
    <w:rsid w:val="00014587"/>
    <w:rsid w:val="000156B7"/>
    <w:rsid w:val="00015AD0"/>
    <w:rsid w:val="00015AD8"/>
    <w:rsid w:val="00015CA5"/>
    <w:rsid w:val="00016073"/>
    <w:rsid w:val="0001652D"/>
    <w:rsid w:val="00016CAF"/>
    <w:rsid w:val="00016DFA"/>
    <w:rsid w:val="00020FA0"/>
    <w:rsid w:val="00021E3E"/>
    <w:rsid w:val="0002213B"/>
    <w:rsid w:val="000224F8"/>
    <w:rsid w:val="00022551"/>
    <w:rsid w:val="0002257D"/>
    <w:rsid w:val="00022C1D"/>
    <w:rsid w:val="00023401"/>
    <w:rsid w:val="00024831"/>
    <w:rsid w:val="0002540D"/>
    <w:rsid w:val="00025727"/>
    <w:rsid w:val="00025754"/>
    <w:rsid w:val="00026770"/>
    <w:rsid w:val="000268D9"/>
    <w:rsid w:val="00026CAD"/>
    <w:rsid w:val="00026EBC"/>
    <w:rsid w:val="00026F9E"/>
    <w:rsid w:val="000300E3"/>
    <w:rsid w:val="000306EE"/>
    <w:rsid w:val="000309CD"/>
    <w:rsid w:val="00030B5E"/>
    <w:rsid w:val="00031D27"/>
    <w:rsid w:val="00032C2E"/>
    <w:rsid w:val="00033AD2"/>
    <w:rsid w:val="000341B1"/>
    <w:rsid w:val="00034261"/>
    <w:rsid w:val="0003632B"/>
    <w:rsid w:val="00036674"/>
    <w:rsid w:val="000376C6"/>
    <w:rsid w:val="000376F7"/>
    <w:rsid w:val="0003790B"/>
    <w:rsid w:val="00037A21"/>
    <w:rsid w:val="00037D67"/>
    <w:rsid w:val="00040873"/>
    <w:rsid w:val="000409E7"/>
    <w:rsid w:val="00040A39"/>
    <w:rsid w:val="00040F0F"/>
    <w:rsid w:val="00040FB7"/>
    <w:rsid w:val="00041C5E"/>
    <w:rsid w:val="00042CD1"/>
    <w:rsid w:val="000435EE"/>
    <w:rsid w:val="00043778"/>
    <w:rsid w:val="000442A7"/>
    <w:rsid w:val="0004459B"/>
    <w:rsid w:val="000447C2"/>
    <w:rsid w:val="00045000"/>
    <w:rsid w:val="000450E6"/>
    <w:rsid w:val="000456AF"/>
    <w:rsid w:val="00046384"/>
    <w:rsid w:val="00046AD7"/>
    <w:rsid w:val="00046F15"/>
    <w:rsid w:val="00047642"/>
    <w:rsid w:val="0005037A"/>
    <w:rsid w:val="00050B44"/>
    <w:rsid w:val="00050B6D"/>
    <w:rsid w:val="00051195"/>
    <w:rsid w:val="000516A5"/>
    <w:rsid w:val="0005198A"/>
    <w:rsid w:val="00051B67"/>
    <w:rsid w:val="00051D0E"/>
    <w:rsid w:val="00051DBD"/>
    <w:rsid w:val="000523F1"/>
    <w:rsid w:val="0005247B"/>
    <w:rsid w:val="00052998"/>
    <w:rsid w:val="00052B7D"/>
    <w:rsid w:val="00053584"/>
    <w:rsid w:val="000538E9"/>
    <w:rsid w:val="00053A2C"/>
    <w:rsid w:val="00053A6D"/>
    <w:rsid w:val="00053C0D"/>
    <w:rsid w:val="00054C80"/>
    <w:rsid w:val="00055740"/>
    <w:rsid w:val="0005613E"/>
    <w:rsid w:val="000569FA"/>
    <w:rsid w:val="00056C06"/>
    <w:rsid w:val="00056C2C"/>
    <w:rsid w:val="00057410"/>
    <w:rsid w:val="000576BA"/>
    <w:rsid w:val="000577F4"/>
    <w:rsid w:val="00057C75"/>
    <w:rsid w:val="00060300"/>
    <w:rsid w:val="00062154"/>
    <w:rsid w:val="000628D2"/>
    <w:rsid w:val="00062E43"/>
    <w:rsid w:val="00063321"/>
    <w:rsid w:val="00063E62"/>
    <w:rsid w:val="000641E5"/>
    <w:rsid w:val="00065A51"/>
    <w:rsid w:val="00065AFF"/>
    <w:rsid w:val="0006656B"/>
    <w:rsid w:val="00066FEB"/>
    <w:rsid w:val="0006740E"/>
    <w:rsid w:val="000676F8"/>
    <w:rsid w:val="000678A9"/>
    <w:rsid w:val="00067E5B"/>
    <w:rsid w:val="000702FE"/>
    <w:rsid w:val="000717AB"/>
    <w:rsid w:val="00072B91"/>
    <w:rsid w:val="00073801"/>
    <w:rsid w:val="00073EFA"/>
    <w:rsid w:val="00074996"/>
    <w:rsid w:val="00074EC6"/>
    <w:rsid w:val="000752D2"/>
    <w:rsid w:val="00075C9E"/>
    <w:rsid w:val="00075D97"/>
    <w:rsid w:val="0007651D"/>
    <w:rsid w:val="0007786D"/>
    <w:rsid w:val="00077A6D"/>
    <w:rsid w:val="00077CA1"/>
    <w:rsid w:val="00077FF8"/>
    <w:rsid w:val="0008044D"/>
    <w:rsid w:val="000812FD"/>
    <w:rsid w:val="00081E3F"/>
    <w:rsid w:val="00084377"/>
    <w:rsid w:val="00084733"/>
    <w:rsid w:val="00085484"/>
    <w:rsid w:val="00085A5A"/>
    <w:rsid w:val="00085FF3"/>
    <w:rsid w:val="00086784"/>
    <w:rsid w:val="00086C56"/>
    <w:rsid w:val="00086CFA"/>
    <w:rsid w:val="00087A89"/>
    <w:rsid w:val="00087F7A"/>
    <w:rsid w:val="00092AB9"/>
    <w:rsid w:val="00092AE8"/>
    <w:rsid w:val="0009315D"/>
    <w:rsid w:val="00093192"/>
    <w:rsid w:val="000933D5"/>
    <w:rsid w:val="0009374A"/>
    <w:rsid w:val="00094A2F"/>
    <w:rsid w:val="0009546A"/>
    <w:rsid w:val="00095A11"/>
    <w:rsid w:val="00096117"/>
    <w:rsid w:val="00096914"/>
    <w:rsid w:val="00096F01"/>
    <w:rsid w:val="000971E4"/>
    <w:rsid w:val="00097610"/>
    <w:rsid w:val="000A1402"/>
    <w:rsid w:val="000A1626"/>
    <w:rsid w:val="000A1653"/>
    <w:rsid w:val="000A1ED3"/>
    <w:rsid w:val="000A1FCC"/>
    <w:rsid w:val="000A2350"/>
    <w:rsid w:val="000A2C9A"/>
    <w:rsid w:val="000A30DC"/>
    <w:rsid w:val="000A3644"/>
    <w:rsid w:val="000A3DF7"/>
    <w:rsid w:val="000A413C"/>
    <w:rsid w:val="000A45DA"/>
    <w:rsid w:val="000A460C"/>
    <w:rsid w:val="000A4702"/>
    <w:rsid w:val="000A47B0"/>
    <w:rsid w:val="000A4C85"/>
    <w:rsid w:val="000A4D27"/>
    <w:rsid w:val="000A4DD8"/>
    <w:rsid w:val="000A5491"/>
    <w:rsid w:val="000A587B"/>
    <w:rsid w:val="000A5F08"/>
    <w:rsid w:val="000A6288"/>
    <w:rsid w:val="000B0001"/>
    <w:rsid w:val="000B0DF1"/>
    <w:rsid w:val="000B17AF"/>
    <w:rsid w:val="000B193D"/>
    <w:rsid w:val="000B1AF4"/>
    <w:rsid w:val="000B1B8F"/>
    <w:rsid w:val="000B1BB5"/>
    <w:rsid w:val="000B2200"/>
    <w:rsid w:val="000B3135"/>
    <w:rsid w:val="000B3CC6"/>
    <w:rsid w:val="000B4D70"/>
    <w:rsid w:val="000B5285"/>
    <w:rsid w:val="000B5DFF"/>
    <w:rsid w:val="000B5FD0"/>
    <w:rsid w:val="000B64FF"/>
    <w:rsid w:val="000B6979"/>
    <w:rsid w:val="000B6A9C"/>
    <w:rsid w:val="000B6B00"/>
    <w:rsid w:val="000B6DE1"/>
    <w:rsid w:val="000B6F10"/>
    <w:rsid w:val="000B6F15"/>
    <w:rsid w:val="000C0011"/>
    <w:rsid w:val="000C0E1F"/>
    <w:rsid w:val="000C0E68"/>
    <w:rsid w:val="000C11B3"/>
    <w:rsid w:val="000C1D43"/>
    <w:rsid w:val="000C1DCD"/>
    <w:rsid w:val="000C2DA6"/>
    <w:rsid w:val="000C31C2"/>
    <w:rsid w:val="000C3702"/>
    <w:rsid w:val="000C38A9"/>
    <w:rsid w:val="000C3CD8"/>
    <w:rsid w:val="000C3F3C"/>
    <w:rsid w:val="000C561E"/>
    <w:rsid w:val="000C5881"/>
    <w:rsid w:val="000C5EF0"/>
    <w:rsid w:val="000C65C3"/>
    <w:rsid w:val="000C68EA"/>
    <w:rsid w:val="000C6C5B"/>
    <w:rsid w:val="000C6DA6"/>
    <w:rsid w:val="000C7259"/>
    <w:rsid w:val="000C72A6"/>
    <w:rsid w:val="000C76E4"/>
    <w:rsid w:val="000D0798"/>
    <w:rsid w:val="000D0F09"/>
    <w:rsid w:val="000D1401"/>
    <w:rsid w:val="000D174F"/>
    <w:rsid w:val="000D1958"/>
    <w:rsid w:val="000D19EE"/>
    <w:rsid w:val="000D1E8D"/>
    <w:rsid w:val="000D2A72"/>
    <w:rsid w:val="000D2C78"/>
    <w:rsid w:val="000D3619"/>
    <w:rsid w:val="000D501B"/>
    <w:rsid w:val="000D5826"/>
    <w:rsid w:val="000D6D18"/>
    <w:rsid w:val="000D7613"/>
    <w:rsid w:val="000D7D81"/>
    <w:rsid w:val="000D7EA3"/>
    <w:rsid w:val="000E0493"/>
    <w:rsid w:val="000E0557"/>
    <w:rsid w:val="000E0BC3"/>
    <w:rsid w:val="000E140A"/>
    <w:rsid w:val="000E1C73"/>
    <w:rsid w:val="000E1D24"/>
    <w:rsid w:val="000E2446"/>
    <w:rsid w:val="000E292A"/>
    <w:rsid w:val="000E2A24"/>
    <w:rsid w:val="000E32A0"/>
    <w:rsid w:val="000E33DA"/>
    <w:rsid w:val="000E3A5C"/>
    <w:rsid w:val="000E4CD3"/>
    <w:rsid w:val="000E5736"/>
    <w:rsid w:val="000E57AF"/>
    <w:rsid w:val="000E6AF6"/>
    <w:rsid w:val="000E6CE8"/>
    <w:rsid w:val="000E70C7"/>
    <w:rsid w:val="000E7194"/>
    <w:rsid w:val="000E732F"/>
    <w:rsid w:val="000F0665"/>
    <w:rsid w:val="000F07AD"/>
    <w:rsid w:val="000F0D6A"/>
    <w:rsid w:val="000F15F5"/>
    <w:rsid w:val="000F164F"/>
    <w:rsid w:val="000F1A71"/>
    <w:rsid w:val="000F1BF3"/>
    <w:rsid w:val="000F25E2"/>
    <w:rsid w:val="000F279F"/>
    <w:rsid w:val="000F27EC"/>
    <w:rsid w:val="000F29E9"/>
    <w:rsid w:val="000F2B8A"/>
    <w:rsid w:val="000F3368"/>
    <w:rsid w:val="000F3B95"/>
    <w:rsid w:val="000F46D2"/>
    <w:rsid w:val="000F4DAF"/>
    <w:rsid w:val="000F4F5A"/>
    <w:rsid w:val="000F57FA"/>
    <w:rsid w:val="000F5F5B"/>
    <w:rsid w:val="000F6D0F"/>
    <w:rsid w:val="000F729C"/>
    <w:rsid w:val="001000E7"/>
    <w:rsid w:val="0010068B"/>
    <w:rsid w:val="00100F54"/>
    <w:rsid w:val="00101A63"/>
    <w:rsid w:val="00102795"/>
    <w:rsid w:val="00102875"/>
    <w:rsid w:val="0010301A"/>
    <w:rsid w:val="00103042"/>
    <w:rsid w:val="001042C2"/>
    <w:rsid w:val="0010488B"/>
    <w:rsid w:val="00104ED9"/>
    <w:rsid w:val="00105D83"/>
    <w:rsid w:val="00106100"/>
    <w:rsid w:val="00106969"/>
    <w:rsid w:val="001071A5"/>
    <w:rsid w:val="00107D80"/>
    <w:rsid w:val="00110230"/>
    <w:rsid w:val="00110913"/>
    <w:rsid w:val="00111221"/>
    <w:rsid w:val="001119D8"/>
    <w:rsid w:val="00111A59"/>
    <w:rsid w:val="001133EE"/>
    <w:rsid w:val="00113B28"/>
    <w:rsid w:val="00115D7B"/>
    <w:rsid w:val="00116416"/>
    <w:rsid w:val="001169CF"/>
    <w:rsid w:val="001174A6"/>
    <w:rsid w:val="00117572"/>
    <w:rsid w:val="001177CB"/>
    <w:rsid w:val="0012013F"/>
    <w:rsid w:val="001211FB"/>
    <w:rsid w:val="001228BC"/>
    <w:rsid w:val="001231BC"/>
    <w:rsid w:val="001232DC"/>
    <w:rsid w:val="00123789"/>
    <w:rsid w:val="00123B85"/>
    <w:rsid w:val="00124771"/>
    <w:rsid w:val="00124829"/>
    <w:rsid w:val="00124AE8"/>
    <w:rsid w:val="00124F95"/>
    <w:rsid w:val="001269F8"/>
    <w:rsid w:val="00126EA5"/>
    <w:rsid w:val="00127238"/>
    <w:rsid w:val="0012739B"/>
    <w:rsid w:val="00127431"/>
    <w:rsid w:val="00127DCC"/>
    <w:rsid w:val="00130338"/>
    <w:rsid w:val="001307B5"/>
    <w:rsid w:val="00131966"/>
    <w:rsid w:val="001323F3"/>
    <w:rsid w:val="0013280E"/>
    <w:rsid w:val="00132E1B"/>
    <w:rsid w:val="00133112"/>
    <w:rsid w:val="00133774"/>
    <w:rsid w:val="00133779"/>
    <w:rsid w:val="0013388B"/>
    <w:rsid w:val="00134056"/>
    <w:rsid w:val="00134136"/>
    <w:rsid w:val="00135733"/>
    <w:rsid w:val="00136A61"/>
    <w:rsid w:val="00137D7F"/>
    <w:rsid w:val="0014062E"/>
    <w:rsid w:val="00140781"/>
    <w:rsid w:val="00140A52"/>
    <w:rsid w:val="00140CA2"/>
    <w:rsid w:val="00141095"/>
    <w:rsid w:val="001415CA"/>
    <w:rsid w:val="001415F7"/>
    <w:rsid w:val="001419AC"/>
    <w:rsid w:val="001424DE"/>
    <w:rsid w:val="00142E23"/>
    <w:rsid w:val="00143053"/>
    <w:rsid w:val="00143462"/>
    <w:rsid w:val="00143518"/>
    <w:rsid w:val="00143BE7"/>
    <w:rsid w:val="00145245"/>
    <w:rsid w:val="0015085A"/>
    <w:rsid w:val="0015112A"/>
    <w:rsid w:val="001517EE"/>
    <w:rsid w:val="00151C9D"/>
    <w:rsid w:val="001524E1"/>
    <w:rsid w:val="00152784"/>
    <w:rsid w:val="00152AF5"/>
    <w:rsid w:val="001530AB"/>
    <w:rsid w:val="001530D2"/>
    <w:rsid w:val="00153953"/>
    <w:rsid w:val="00153EEB"/>
    <w:rsid w:val="00154964"/>
    <w:rsid w:val="001559E2"/>
    <w:rsid w:val="00156647"/>
    <w:rsid w:val="00156934"/>
    <w:rsid w:val="00157596"/>
    <w:rsid w:val="00157916"/>
    <w:rsid w:val="00160121"/>
    <w:rsid w:val="001603F2"/>
    <w:rsid w:val="00160624"/>
    <w:rsid w:val="00160A4C"/>
    <w:rsid w:val="00160CE6"/>
    <w:rsid w:val="001621C2"/>
    <w:rsid w:val="0016228B"/>
    <w:rsid w:val="00162613"/>
    <w:rsid w:val="00162A69"/>
    <w:rsid w:val="00162D86"/>
    <w:rsid w:val="00163D91"/>
    <w:rsid w:val="00163DA9"/>
    <w:rsid w:val="00163DFA"/>
    <w:rsid w:val="00163E44"/>
    <w:rsid w:val="00164F10"/>
    <w:rsid w:val="00164FF2"/>
    <w:rsid w:val="001654E1"/>
    <w:rsid w:val="00165A2B"/>
    <w:rsid w:val="00167423"/>
    <w:rsid w:val="0016764E"/>
    <w:rsid w:val="001706CE"/>
    <w:rsid w:val="0017181B"/>
    <w:rsid w:val="001719E5"/>
    <w:rsid w:val="001720B7"/>
    <w:rsid w:val="0017267E"/>
    <w:rsid w:val="00172AF8"/>
    <w:rsid w:val="00172D40"/>
    <w:rsid w:val="0017349A"/>
    <w:rsid w:val="00173D62"/>
    <w:rsid w:val="00174F3A"/>
    <w:rsid w:val="00175DC5"/>
    <w:rsid w:val="00175E5D"/>
    <w:rsid w:val="00176D39"/>
    <w:rsid w:val="00177472"/>
    <w:rsid w:val="00177D4F"/>
    <w:rsid w:val="00177EB9"/>
    <w:rsid w:val="001801C5"/>
    <w:rsid w:val="001803DC"/>
    <w:rsid w:val="00180949"/>
    <w:rsid w:val="0018221A"/>
    <w:rsid w:val="001824C7"/>
    <w:rsid w:val="00182C5D"/>
    <w:rsid w:val="0018332E"/>
    <w:rsid w:val="00183D7A"/>
    <w:rsid w:val="00184089"/>
    <w:rsid w:val="001840D5"/>
    <w:rsid w:val="00184605"/>
    <w:rsid w:val="00184710"/>
    <w:rsid w:val="00185D09"/>
    <w:rsid w:val="00185EF3"/>
    <w:rsid w:val="001866EC"/>
    <w:rsid w:val="00186CB2"/>
    <w:rsid w:val="00187C28"/>
    <w:rsid w:val="001900E7"/>
    <w:rsid w:val="0019052A"/>
    <w:rsid w:val="001908CA"/>
    <w:rsid w:val="00190995"/>
    <w:rsid w:val="001910B2"/>
    <w:rsid w:val="0019271B"/>
    <w:rsid w:val="00192BE1"/>
    <w:rsid w:val="00193DAB"/>
    <w:rsid w:val="00193E4D"/>
    <w:rsid w:val="00193EE0"/>
    <w:rsid w:val="00194618"/>
    <w:rsid w:val="00194873"/>
    <w:rsid w:val="0019528E"/>
    <w:rsid w:val="001956E8"/>
    <w:rsid w:val="00196599"/>
    <w:rsid w:val="0019703C"/>
    <w:rsid w:val="00197485"/>
    <w:rsid w:val="001A017A"/>
    <w:rsid w:val="001A09DB"/>
    <w:rsid w:val="001A0AA4"/>
    <w:rsid w:val="001A0B37"/>
    <w:rsid w:val="001A2253"/>
    <w:rsid w:val="001A32F0"/>
    <w:rsid w:val="001A479B"/>
    <w:rsid w:val="001A4A21"/>
    <w:rsid w:val="001A4DE9"/>
    <w:rsid w:val="001A4E59"/>
    <w:rsid w:val="001A4EB6"/>
    <w:rsid w:val="001A571D"/>
    <w:rsid w:val="001A689B"/>
    <w:rsid w:val="001A6BE5"/>
    <w:rsid w:val="001A750D"/>
    <w:rsid w:val="001B03CC"/>
    <w:rsid w:val="001B0CE8"/>
    <w:rsid w:val="001B0EBF"/>
    <w:rsid w:val="001B1F78"/>
    <w:rsid w:val="001B2679"/>
    <w:rsid w:val="001B288B"/>
    <w:rsid w:val="001B2B8D"/>
    <w:rsid w:val="001B30B3"/>
    <w:rsid w:val="001B3166"/>
    <w:rsid w:val="001B3528"/>
    <w:rsid w:val="001B3A2D"/>
    <w:rsid w:val="001B4233"/>
    <w:rsid w:val="001B446F"/>
    <w:rsid w:val="001B4816"/>
    <w:rsid w:val="001B4B20"/>
    <w:rsid w:val="001B5277"/>
    <w:rsid w:val="001B5454"/>
    <w:rsid w:val="001B5B5D"/>
    <w:rsid w:val="001B5E82"/>
    <w:rsid w:val="001B5EB4"/>
    <w:rsid w:val="001C05D8"/>
    <w:rsid w:val="001C0C84"/>
    <w:rsid w:val="001C1D76"/>
    <w:rsid w:val="001C2837"/>
    <w:rsid w:val="001C2850"/>
    <w:rsid w:val="001C2D26"/>
    <w:rsid w:val="001C3F33"/>
    <w:rsid w:val="001C4894"/>
    <w:rsid w:val="001C4B68"/>
    <w:rsid w:val="001C5128"/>
    <w:rsid w:val="001C5631"/>
    <w:rsid w:val="001C5ECD"/>
    <w:rsid w:val="001C611D"/>
    <w:rsid w:val="001C6211"/>
    <w:rsid w:val="001C63FD"/>
    <w:rsid w:val="001C65DC"/>
    <w:rsid w:val="001C66DA"/>
    <w:rsid w:val="001C6C38"/>
    <w:rsid w:val="001C6E0A"/>
    <w:rsid w:val="001C7CC9"/>
    <w:rsid w:val="001D053E"/>
    <w:rsid w:val="001D05EC"/>
    <w:rsid w:val="001D07F3"/>
    <w:rsid w:val="001D1659"/>
    <w:rsid w:val="001D16BD"/>
    <w:rsid w:val="001D2A3B"/>
    <w:rsid w:val="001D2A66"/>
    <w:rsid w:val="001D30A1"/>
    <w:rsid w:val="001D459E"/>
    <w:rsid w:val="001D4843"/>
    <w:rsid w:val="001D501A"/>
    <w:rsid w:val="001D5DCB"/>
    <w:rsid w:val="001D5F68"/>
    <w:rsid w:val="001D60DD"/>
    <w:rsid w:val="001D622D"/>
    <w:rsid w:val="001D62E3"/>
    <w:rsid w:val="001D6741"/>
    <w:rsid w:val="001D69F0"/>
    <w:rsid w:val="001D6A62"/>
    <w:rsid w:val="001D6A7A"/>
    <w:rsid w:val="001D6A8A"/>
    <w:rsid w:val="001E0443"/>
    <w:rsid w:val="001E067F"/>
    <w:rsid w:val="001E1F2F"/>
    <w:rsid w:val="001E2406"/>
    <w:rsid w:val="001E26A7"/>
    <w:rsid w:val="001E2B10"/>
    <w:rsid w:val="001E2C72"/>
    <w:rsid w:val="001E3880"/>
    <w:rsid w:val="001E3B33"/>
    <w:rsid w:val="001E42AB"/>
    <w:rsid w:val="001E46ED"/>
    <w:rsid w:val="001E4BCC"/>
    <w:rsid w:val="001E5343"/>
    <w:rsid w:val="001E56B0"/>
    <w:rsid w:val="001E5C78"/>
    <w:rsid w:val="001E60A9"/>
    <w:rsid w:val="001E7379"/>
    <w:rsid w:val="001F0367"/>
    <w:rsid w:val="001F0821"/>
    <w:rsid w:val="001F08A1"/>
    <w:rsid w:val="001F0EB1"/>
    <w:rsid w:val="001F10A5"/>
    <w:rsid w:val="001F1758"/>
    <w:rsid w:val="001F18BC"/>
    <w:rsid w:val="001F22E4"/>
    <w:rsid w:val="001F3794"/>
    <w:rsid w:val="001F3864"/>
    <w:rsid w:val="001F4123"/>
    <w:rsid w:val="001F48A5"/>
    <w:rsid w:val="001F4F36"/>
    <w:rsid w:val="001F5283"/>
    <w:rsid w:val="001F53E6"/>
    <w:rsid w:val="0020070E"/>
    <w:rsid w:val="00200CFD"/>
    <w:rsid w:val="00201155"/>
    <w:rsid w:val="0020138F"/>
    <w:rsid w:val="002025E4"/>
    <w:rsid w:val="002026B8"/>
    <w:rsid w:val="002029CE"/>
    <w:rsid w:val="002029FA"/>
    <w:rsid w:val="002030B9"/>
    <w:rsid w:val="00204C82"/>
    <w:rsid w:val="0020582A"/>
    <w:rsid w:val="002058CC"/>
    <w:rsid w:val="0020618B"/>
    <w:rsid w:val="00206C98"/>
    <w:rsid w:val="0020743F"/>
    <w:rsid w:val="00207893"/>
    <w:rsid w:val="00207FE9"/>
    <w:rsid w:val="00210400"/>
    <w:rsid w:val="0021060E"/>
    <w:rsid w:val="0021096D"/>
    <w:rsid w:val="0021126E"/>
    <w:rsid w:val="002117CC"/>
    <w:rsid w:val="0021189B"/>
    <w:rsid w:val="002122DE"/>
    <w:rsid w:val="002123E1"/>
    <w:rsid w:val="00213AAE"/>
    <w:rsid w:val="00213BBC"/>
    <w:rsid w:val="00213E36"/>
    <w:rsid w:val="002150A4"/>
    <w:rsid w:val="00215217"/>
    <w:rsid w:val="0021576E"/>
    <w:rsid w:val="00215C95"/>
    <w:rsid w:val="0021695D"/>
    <w:rsid w:val="00216E05"/>
    <w:rsid w:val="00217AD3"/>
    <w:rsid w:val="00217D1B"/>
    <w:rsid w:val="002207B0"/>
    <w:rsid w:val="00221B51"/>
    <w:rsid w:val="00221C7B"/>
    <w:rsid w:val="0022211F"/>
    <w:rsid w:val="00222C9D"/>
    <w:rsid w:val="00223B65"/>
    <w:rsid w:val="00223F1C"/>
    <w:rsid w:val="0022490C"/>
    <w:rsid w:val="00224F6C"/>
    <w:rsid w:val="002259E2"/>
    <w:rsid w:val="002266F7"/>
    <w:rsid w:val="00226878"/>
    <w:rsid w:val="00226B67"/>
    <w:rsid w:val="00227FAA"/>
    <w:rsid w:val="00230011"/>
    <w:rsid w:val="00230897"/>
    <w:rsid w:val="00230932"/>
    <w:rsid w:val="00230943"/>
    <w:rsid w:val="00230945"/>
    <w:rsid w:val="00230C37"/>
    <w:rsid w:val="002310A9"/>
    <w:rsid w:val="002313F2"/>
    <w:rsid w:val="00231642"/>
    <w:rsid w:val="00231C69"/>
    <w:rsid w:val="00231D0C"/>
    <w:rsid w:val="0023231A"/>
    <w:rsid w:val="00232C83"/>
    <w:rsid w:val="002330C5"/>
    <w:rsid w:val="00233392"/>
    <w:rsid w:val="002335C0"/>
    <w:rsid w:val="00233DDF"/>
    <w:rsid w:val="00234511"/>
    <w:rsid w:val="00234689"/>
    <w:rsid w:val="0023476A"/>
    <w:rsid w:val="0023536F"/>
    <w:rsid w:val="002353BD"/>
    <w:rsid w:val="00235D60"/>
    <w:rsid w:val="00235E4F"/>
    <w:rsid w:val="00236B47"/>
    <w:rsid w:val="0023728E"/>
    <w:rsid w:val="0023734A"/>
    <w:rsid w:val="00237840"/>
    <w:rsid w:val="0023795E"/>
    <w:rsid w:val="00237CB4"/>
    <w:rsid w:val="00241321"/>
    <w:rsid w:val="0024246A"/>
    <w:rsid w:val="00243DC7"/>
    <w:rsid w:val="002442D0"/>
    <w:rsid w:val="002442D2"/>
    <w:rsid w:val="00244372"/>
    <w:rsid w:val="00245032"/>
    <w:rsid w:val="002452E2"/>
    <w:rsid w:val="00245AA5"/>
    <w:rsid w:val="00246990"/>
    <w:rsid w:val="0024796D"/>
    <w:rsid w:val="00247C97"/>
    <w:rsid w:val="00247E1B"/>
    <w:rsid w:val="0025048E"/>
    <w:rsid w:val="00251A34"/>
    <w:rsid w:val="0025235B"/>
    <w:rsid w:val="00252B93"/>
    <w:rsid w:val="00252CEC"/>
    <w:rsid w:val="002533EC"/>
    <w:rsid w:val="002543EC"/>
    <w:rsid w:val="002545B3"/>
    <w:rsid w:val="00254607"/>
    <w:rsid w:val="00254644"/>
    <w:rsid w:val="00254DD5"/>
    <w:rsid w:val="00255883"/>
    <w:rsid w:val="0025641B"/>
    <w:rsid w:val="00256A57"/>
    <w:rsid w:val="00256B11"/>
    <w:rsid w:val="00256B34"/>
    <w:rsid w:val="0025717E"/>
    <w:rsid w:val="0025778F"/>
    <w:rsid w:val="00257ABF"/>
    <w:rsid w:val="002600E5"/>
    <w:rsid w:val="0026058E"/>
    <w:rsid w:val="002611D2"/>
    <w:rsid w:val="00261375"/>
    <w:rsid w:val="002618CF"/>
    <w:rsid w:val="0026282D"/>
    <w:rsid w:val="00262F98"/>
    <w:rsid w:val="0026350F"/>
    <w:rsid w:val="00264D36"/>
    <w:rsid w:val="002656D7"/>
    <w:rsid w:val="002657D1"/>
    <w:rsid w:val="00265A6D"/>
    <w:rsid w:val="00266465"/>
    <w:rsid w:val="002677FE"/>
    <w:rsid w:val="00267B1B"/>
    <w:rsid w:val="00267DCB"/>
    <w:rsid w:val="00270A82"/>
    <w:rsid w:val="002712BA"/>
    <w:rsid w:val="0027138C"/>
    <w:rsid w:val="00271E71"/>
    <w:rsid w:val="002734B9"/>
    <w:rsid w:val="00273915"/>
    <w:rsid w:val="0027421C"/>
    <w:rsid w:val="002751D3"/>
    <w:rsid w:val="002753DB"/>
    <w:rsid w:val="00275A36"/>
    <w:rsid w:val="00276081"/>
    <w:rsid w:val="002767A9"/>
    <w:rsid w:val="002772CF"/>
    <w:rsid w:val="00277A2B"/>
    <w:rsid w:val="00280979"/>
    <w:rsid w:val="00281504"/>
    <w:rsid w:val="00281F86"/>
    <w:rsid w:val="002823A3"/>
    <w:rsid w:val="00282FAF"/>
    <w:rsid w:val="00284242"/>
    <w:rsid w:val="002848AE"/>
    <w:rsid w:val="00285BB8"/>
    <w:rsid w:val="00285F6E"/>
    <w:rsid w:val="00285FF0"/>
    <w:rsid w:val="00287AB5"/>
    <w:rsid w:val="00287F60"/>
    <w:rsid w:val="0029000A"/>
    <w:rsid w:val="0029122F"/>
    <w:rsid w:val="0029244E"/>
    <w:rsid w:val="00292914"/>
    <w:rsid w:val="00292BE9"/>
    <w:rsid w:val="00292EB5"/>
    <w:rsid w:val="00293185"/>
    <w:rsid w:val="002933EA"/>
    <w:rsid w:val="002933F0"/>
    <w:rsid w:val="00293AB7"/>
    <w:rsid w:val="00293C5F"/>
    <w:rsid w:val="00293D9C"/>
    <w:rsid w:val="00294076"/>
    <w:rsid w:val="00294A15"/>
    <w:rsid w:val="00295319"/>
    <w:rsid w:val="00295440"/>
    <w:rsid w:val="00295914"/>
    <w:rsid w:val="00296E2F"/>
    <w:rsid w:val="00296EBD"/>
    <w:rsid w:val="002A01F9"/>
    <w:rsid w:val="002A0416"/>
    <w:rsid w:val="002A17A0"/>
    <w:rsid w:val="002A2419"/>
    <w:rsid w:val="002A2ED5"/>
    <w:rsid w:val="002A2F9E"/>
    <w:rsid w:val="002A36F3"/>
    <w:rsid w:val="002A3CF0"/>
    <w:rsid w:val="002A40B6"/>
    <w:rsid w:val="002A43F8"/>
    <w:rsid w:val="002A4D0E"/>
    <w:rsid w:val="002A4F9B"/>
    <w:rsid w:val="002A59B9"/>
    <w:rsid w:val="002A5C11"/>
    <w:rsid w:val="002A5F17"/>
    <w:rsid w:val="002A6365"/>
    <w:rsid w:val="002A7566"/>
    <w:rsid w:val="002A7E34"/>
    <w:rsid w:val="002B028F"/>
    <w:rsid w:val="002B04CB"/>
    <w:rsid w:val="002B05F5"/>
    <w:rsid w:val="002B0B36"/>
    <w:rsid w:val="002B0FDB"/>
    <w:rsid w:val="002B3031"/>
    <w:rsid w:val="002B562E"/>
    <w:rsid w:val="002B5953"/>
    <w:rsid w:val="002B59C7"/>
    <w:rsid w:val="002B5BD1"/>
    <w:rsid w:val="002B6120"/>
    <w:rsid w:val="002B6250"/>
    <w:rsid w:val="002B7E17"/>
    <w:rsid w:val="002C015C"/>
    <w:rsid w:val="002C04A5"/>
    <w:rsid w:val="002C078C"/>
    <w:rsid w:val="002C1648"/>
    <w:rsid w:val="002C1948"/>
    <w:rsid w:val="002C27B9"/>
    <w:rsid w:val="002C296E"/>
    <w:rsid w:val="002C2C6A"/>
    <w:rsid w:val="002C2E81"/>
    <w:rsid w:val="002C33D3"/>
    <w:rsid w:val="002C39EE"/>
    <w:rsid w:val="002C438E"/>
    <w:rsid w:val="002C475B"/>
    <w:rsid w:val="002C48EA"/>
    <w:rsid w:val="002C4AF9"/>
    <w:rsid w:val="002C4C4E"/>
    <w:rsid w:val="002C4E12"/>
    <w:rsid w:val="002C4F10"/>
    <w:rsid w:val="002C4F4D"/>
    <w:rsid w:val="002C5410"/>
    <w:rsid w:val="002C55A4"/>
    <w:rsid w:val="002C5853"/>
    <w:rsid w:val="002C58F2"/>
    <w:rsid w:val="002C5B90"/>
    <w:rsid w:val="002C6282"/>
    <w:rsid w:val="002C642C"/>
    <w:rsid w:val="002C6734"/>
    <w:rsid w:val="002C6D70"/>
    <w:rsid w:val="002C73AB"/>
    <w:rsid w:val="002D060B"/>
    <w:rsid w:val="002D0819"/>
    <w:rsid w:val="002D10E4"/>
    <w:rsid w:val="002D2370"/>
    <w:rsid w:val="002D2F7A"/>
    <w:rsid w:val="002D30E9"/>
    <w:rsid w:val="002D3F6E"/>
    <w:rsid w:val="002D41A6"/>
    <w:rsid w:val="002D4246"/>
    <w:rsid w:val="002D450B"/>
    <w:rsid w:val="002D453C"/>
    <w:rsid w:val="002D479B"/>
    <w:rsid w:val="002D4870"/>
    <w:rsid w:val="002D522E"/>
    <w:rsid w:val="002D549B"/>
    <w:rsid w:val="002D5C53"/>
    <w:rsid w:val="002D5F95"/>
    <w:rsid w:val="002D60AA"/>
    <w:rsid w:val="002D742F"/>
    <w:rsid w:val="002D7F11"/>
    <w:rsid w:val="002E03F5"/>
    <w:rsid w:val="002E0409"/>
    <w:rsid w:val="002E0FAE"/>
    <w:rsid w:val="002E1155"/>
    <w:rsid w:val="002E1729"/>
    <w:rsid w:val="002E1C6D"/>
    <w:rsid w:val="002E225B"/>
    <w:rsid w:val="002E2404"/>
    <w:rsid w:val="002E2BE9"/>
    <w:rsid w:val="002E3A51"/>
    <w:rsid w:val="002E488B"/>
    <w:rsid w:val="002E4927"/>
    <w:rsid w:val="002E5277"/>
    <w:rsid w:val="002E67CC"/>
    <w:rsid w:val="002E6895"/>
    <w:rsid w:val="002E76C8"/>
    <w:rsid w:val="002E77AD"/>
    <w:rsid w:val="002E7942"/>
    <w:rsid w:val="002E7C3A"/>
    <w:rsid w:val="002F0373"/>
    <w:rsid w:val="002F0668"/>
    <w:rsid w:val="002F0DE2"/>
    <w:rsid w:val="002F1065"/>
    <w:rsid w:val="002F161A"/>
    <w:rsid w:val="002F1890"/>
    <w:rsid w:val="002F234F"/>
    <w:rsid w:val="002F3126"/>
    <w:rsid w:val="002F3F04"/>
    <w:rsid w:val="002F4431"/>
    <w:rsid w:val="002F4820"/>
    <w:rsid w:val="002F48F8"/>
    <w:rsid w:val="002F54B8"/>
    <w:rsid w:val="002F5641"/>
    <w:rsid w:val="002F5EC3"/>
    <w:rsid w:val="002F5FAB"/>
    <w:rsid w:val="002F61E4"/>
    <w:rsid w:val="002F6C01"/>
    <w:rsid w:val="002F78ED"/>
    <w:rsid w:val="002F79B5"/>
    <w:rsid w:val="002F7DAC"/>
    <w:rsid w:val="00300017"/>
    <w:rsid w:val="003010B3"/>
    <w:rsid w:val="00301452"/>
    <w:rsid w:val="00302762"/>
    <w:rsid w:val="00302DA6"/>
    <w:rsid w:val="00302E38"/>
    <w:rsid w:val="00303472"/>
    <w:rsid w:val="003038B5"/>
    <w:rsid w:val="0030467A"/>
    <w:rsid w:val="003050EF"/>
    <w:rsid w:val="003052D3"/>
    <w:rsid w:val="00305F82"/>
    <w:rsid w:val="0030614D"/>
    <w:rsid w:val="00306202"/>
    <w:rsid w:val="003075D5"/>
    <w:rsid w:val="003077A0"/>
    <w:rsid w:val="003078D0"/>
    <w:rsid w:val="00307B76"/>
    <w:rsid w:val="00311079"/>
    <w:rsid w:val="003125E3"/>
    <w:rsid w:val="003125E9"/>
    <w:rsid w:val="003125FA"/>
    <w:rsid w:val="0031286C"/>
    <w:rsid w:val="003128DB"/>
    <w:rsid w:val="00312A9A"/>
    <w:rsid w:val="0031330D"/>
    <w:rsid w:val="00313840"/>
    <w:rsid w:val="00313E73"/>
    <w:rsid w:val="00314041"/>
    <w:rsid w:val="00314CAE"/>
    <w:rsid w:val="00315E5F"/>
    <w:rsid w:val="00316957"/>
    <w:rsid w:val="00317A0E"/>
    <w:rsid w:val="00317E0F"/>
    <w:rsid w:val="00320754"/>
    <w:rsid w:val="003207E9"/>
    <w:rsid w:val="00321335"/>
    <w:rsid w:val="003216A4"/>
    <w:rsid w:val="003224D3"/>
    <w:rsid w:val="003225D2"/>
    <w:rsid w:val="00323459"/>
    <w:rsid w:val="00323913"/>
    <w:rsid w:val="00323FB9"/>
    <w:rsid w:val="00324349"/>
    <w:rsid w:val="003245C1"/>
    <w:rsid w:val="00325632"/>
    <w:rsid w:val="003257D7"/>
    <w:rsid w:val="00325883"/>
    <w:rsid w:val="00325BDD"/>
    <w:rsid w:val="00325C27"/>
    <w:rsid w:val="00325D83"/>
    <w:rsid w:val="00325EAF"/>
    <w:rsid w:val="00326470"/>
    <w:rsid w:val="00327936"/>
    <w:rsid w:val="00327F5B"/>
    <w:rsid w:val="00330B5C"/>
    <w:rsid w:val="00330D55"/>
    <w:rsid w:val="00332AAE"/>
    <w:rsid w:val="00332B8F"/>
    <w:rsid w:val="00332C50"/>
    <w:rsid w:val="0033308C"/>
    <w:rsid w:val="0033317B"/>
    <w:rsid w:val="00333720"/>
    <w:rsid w:val="00333E26"/>
    <w:rsid w:val="00334738"/>
    <w:rsid w:val="00334E87"/>
    <w:rsid w:val="003351A0"/>
    <w:rsid w:val="003361ED"/>
    <w:rsid w:val="003362DC"/>
    <w:rsid w:val="00336304"/>
    <w:rsid w:val="003367A0"/>
    <w:rsid w:val="00336A54"/>
    <w:rsid w:val="003401E9"/>
    <w:rsid w:val="00340B35"/>
    <w:rsid w:val="00340E27"/>
    <w:rsid w:val="00340E4F"/>
    <w:rsid w:val="0034159B"/>
    <w:rsid w:val="00341AA7"/>
    <w:rsid w:val="00342169"/>
    <w:rsid w:val="00343AA6"/>
    <w:rsid w:val="00344E87"/>
    <w:rsid w:val="00345A48"/>
    <w:rsid w:val="003463E5"/>
    <w:rsid w:val="0034670F"/>
    <w:rsid w:val="003467D0"/>
    <w:rsid w:val="003470AF"/>
    <w:rsid w:val="0034780D"/>
    <w:rsid w:val="00347C0F"/>
    <w:rsid w:val="0035042F"/>
    <w:rsid w:val="0035064D"/>
    <w:rsid w:val="003513C4"/>
    <w:rsid w:val="003514B2"/>
    <w:rsid w:val="00351B06"/>
    <w:rsid w:val="00352432"/>
    <w:rsid w:val="0035374A"/>
    <w:rsid w:val="00353877"/>
    <w:rsid w:val="00354306"/>
    <w:rsid w:val="003543E5"/>
    <w:rsid w:val="00355CEE"/>
    <w:rsid w:val="00355DE4"/>
    <w:rsid w:val="00355FF6"/>
    <w:rsid w:val="003564FF"/>
    <w:rsid w:val="003565F7"/>
    <w:rsid w:val="00356BA9"/>
    <w:rsid w:val="00356BB3"/>
    <w:rsid w:val="00356C38"/>
    <w:rsid w:val="00356CFA"/>
    <w:rsid w:val="00356EA0"/>
    <w:rsid w:val="00357572"/>
    <w:rsid w:val="0035769F"/>
    <w:rsid w:val="0035777D"/>
    <w:rsid w:val="00360AAC"/>
    <w:rsid w:val="00361A6B"/>
    <w:rsid w:val="00361E07"/>
    <w:rsid w:val="0036242C"/>
    <w:rsid w:val="00362A02"/>
    <w:rsid w:val="0036379E"/>
    <w:rsid w:val="00364550"/>
    <w:rsid w:val="003649D9"/>
    <w:rsid w:val="00365760"/>
    <w:rsid w:val="00365C5D"/>
    <w:rsid w:val="00366421"/>
    <w:rsid w:val="00366E5F"/>
    <w:rsid w:val="00366F78"/>
    <w:rsid w:val="003670C3"/>
    <w:rsid w:val="00367144"/>
    <w:rsid w:val="003709B4"/>
    <w:rsid w:val="003715C4"/>
    <w:rsid w:val="00371684"/>
    <w:rsid w:val="003723F5"/>
    <w:rsid w:val="00372404"/>
    <w:rsid w:val="0037274D"/>
    <w:rsid w:val="00372C15"/>
    <w:rsid w:val="00372D6F"/>
    <w:rsid w:val="00372FEC"/>
    <w:rsid w:val="003735B0"/>
    <w:rsid w:val="00373C52"/>
    <w:rsid w:val="00374139"/>
    <w:rsid w:val="003741F4"/>
    <w:rsid w:val="00374237"/>
    <w:rsid w:val="0037483B"/>
    <w:rsid w:val="00374BD1"/>
    <w:rsid w:val="00374C24"/>
    <w:rsid w:val="00375836"/>
    <w:rsid w:val="0037589B"/>
    <w:rsid w:val="00375EAF"/>
    <w:rsid w:val="00376487"/>
    <w:rsid w:val="00376B34"/>
    <w:rsid w:val="00377870"/>
    <w:rsid w:val="003778DE"/>
    <w:rsid w:val="0037799D"/>
    <w:rsid w:val="00380C55"/>
    <w:rsid w:val="003812C7"/>
    <w:rsid w:val="00381D3C"/>
    <w:rsid w:val="0038249B"/>
    <w:rsid w:val="003825C6"/>
    <w:rsid w:val="0038328A"/>
    <w:rsid w:val="00383440"/>
    <w:rsid w:val="003834B6"/>
    <w:rsid w:val="00383753"/>
    <w:rsid w:val="00383BE5"/>
    <w:rsid w:val="00383F90"/>
    <w:rsid w:val="00383FAC"/>
    <w:rsid w:val="003840E3"/>
    <w:rsid w:val="003849CE"/>
    <w:rsid w:val="00385216"/>
    <w:rsid w:val="003852FE"/>
    <w:rsid w:val="0038536F"/>
    <w:rsid w:val="00385432"/>
    <w:rsid w:val="003862B9"/>
    <w:rsid w:val="003865B3"/>
    <w:rsid w:val="00386690"/>
    <w:rsid w:val="00386B78"/>
    <w:rsid w:val="003870D3"/>
    <w:rsid w:val="003901DB"/>
    <w:rsid w:val="003905C0"/>
    <w:rsid w:val="0039065C"/>
    <w:rsid w:val="00390FC5"/>
    <w:rsid w:val="0039167E"/>
    <w:rsid w:val="00392B08"/>
    <w:rsid w:val="00392BFD"/>
    <w:rsid w:val="00392E6E"/>
    <w:rsid w:val="00392F73"/>
    <w:rsid w:val="00393273"/>
    <w:rsid w:val="0039419A"/>
    <w:rsid w:val="00394A94"/>
    <w:rsid w:val="00395240"/>
    <w:rsid w:val="00395663"/>
    <w:rsid w:val="003957B8"/>
    <w:rsid w:val="00395A34"/>
    <w:rsid w:val="00395ACC"/>
    <w:rsid w:val="00395DCF"/>
    <w:rsid w:val="0039650A"/>
    <w:rsid w:val="003967DB"/>
    <w:rsid w:val="00396F40"/>
    <w:rsid w:val="003975E5"/>
    <w:rsid w:val="0039772E"/>
    <w:rsid w:val="00397AD2"/>
    <w:rsid w:val="003A139F"/>
    <w:rsid w:val="003A14BC"/>
    <w:rsid w:val="003A15BA"/>
    <w:rsid w:val="003A18B6"/>
    <w:rsid w:val="003A1BE3"/>
    <w:rsid w:val="003A202D"/>
    <w:rsid w:val="003A238D"/>
    <w:rsid w:val="003A2963"/>
    <w:rsid w:val="003A2983"/>
    <w:rsid w:val="003A2F3E"/>
    <w:rsid w:val="003A33DF"/>
    <w:rsid w:val="003A3F3E"/>
    <w:rsid w:val="003A4300"/>
    <w:rsid w:val="003A4B89"/>
    <w:rsid w:val="003A533B"/>
    <w:rsid w:val="003A550C"/>
    <w:rsid w:val="003A5ED2"/>
    <w:rsid w:val="003A67CA"/>
    <w:rsid w:val="003A6DBB"/>
    <w:rsid w:val="003A7053"/>
    <w:rsid w:val="003A757D"/>
    <w:rsid w:val="003A75D9"/>
    <w:rsid w:val="003A79AB"/>
    <w:rsid w:val="003A7C28"/>
    <w:rsid w:val="003B0020"/>
    <w:rsid w:val="003B130A"/>
    <w:rsid w:val="003B2CB9"/>
    <w:rsid w:val="003B2F45"/>
    <w:rsid w:val="003B3A1B"/>
    <w:rsid w:val="003B3B90"/>
    <w:rsid w:val="003B492F"/>
    <w:rsid w:val="003B4ACF"/>
    <w:rsid w:val="003B4B3C"/>
    <w:rsid w:val="003B5868"/>
    <w:rsid w:val="003B61F3"/>
    <w:rsid w:val="003B6397"/>
    <w:rsid w:val="003B66E8"/>
    <w:rsid w:val="003B7144"/>
    <w:rsid w:val="003B718C"/>
    <w:rsid w:val="003B758A"/>
    <w:rsid w:val="003B7B90"/>
    <w:rsid w:val="003C072D"/>
    <w:rsid w:val="003C10CF"/>
    <w:rsid w:val="003C1605"/>
    <w:rsid w:val="003C1A68"/>
    <w:rsid w:val="003C1D80"/>
    <w:rsid w:val="003C22B5"/>
    <w:rsid w:val="003C263C"/>
    <w:rsid w:val="003C2B93"/>
    <w:rsid w:val="003C38B0"/>
    <w:rsid w:val="003C3B68"/>
    <w:rsid w:val="003C41D0"/>
    <w:rsid w:val="003C4587"/>
    <w:rsid w:val="003C45B1"/>
    <w:rsid w:val="003C531A"/>
    <w:rsid w:val="003C5378"/>
    <w:rsid w:val="003C5545"/>
    <w:rsid w:val="003C6339"/>
    <w:rsid w:val="003C64C1"/>
    <w:rsid w:val="003C6982"/>
    <w:rsid w:val="003C6A64"/>
    <w:rsid w:val="003C768D"/>
    <w:rsid w:val="003D0501"/>
    <w:rsid w:val="003D08DF"/>
    <w:rsid w:val="003D14FB"/>
    <w:rsid w:val="003D1E6A"/>
    <w:rsid w:val="003D2567"/>
    <w:rsid w:val="003D29B6"/>
    <w:rsid w:val="003D29E3"/>
    <w:rsid w:val="003D2A6D"/>
    <w:rsid w:val="003D2EB2"/>
    <w:rsid w:val="003D30C9"/>
    <w:rsid w:val="003D3756"/>
    <w:rsid w:val="003D4971"/>
    <w:rsid w:val="003D4CFF"/>
    <w:rsid w:val="003D4D2F"/>
    <w:rsid w:val="003D4F2E"/>
    <w:rsid w:val="003D5E37"/>
    <w:rsid w:val="003D5FBD"/>
    <w:rsid w:val="003D7277"/>
    <w:rsid w:val="003D7AEE"/>
    <w:rsid w:val="003E133E"/>
    <w:rsid w:val="003E218C"/>
    <w:rsid w:val="003E2280"/>
    <w:rsid w:val="003E23A5"/>
    <w:rsid w:val="003E4F34"/>
    <w:rsid w:val="003E71A6"/>
    <w:rsid w:val="003E72F5"/>
    <w:rsid w:val="003E7D65"/>
    <w:rsid w:val="003F01EA"/>
    <w:rsid w:val="003F0905"/>
    <w:rsid w:val="003F0B07"/>
    <w:rsid w:val="003F105B"/>
    <w:rsid w:val="003F1900"/>
    <w:rsid w:val="003F1DD8"/>
    <w:rsid w:val="003F2022"/>
    <w:rsid w:val="003F31B6"/>
    <w:rsid w:val="003F3BBA"/>
    <w:rsid w:val="003F41E6"/>
    <w:rsid w:val="003F44FA"/>
    <w:rsid w:val="003F45E4"/>
    <w:rsid w:val="003F4EF5"/>
    <w:rsid w:val="003F55F5"/>
    <w:rsid w:val="003F6267"/>
    <w:rsid w:val="003F6609"/>
    <w:rsid w:val="003F74B5"/>
    <w:rsid w:val="003F7543"/>
    <w:rsid w:val="00400146"/>
    <w:rsid w:val="004002AD"/>
    <w:rsid w:val="0040038B"/>
    <w:rsid w:val="004007A5"/>
    <w:rsid w:val="00400DE4"/>
    <w:rsid w:val="00400FA2"/>
    <w:rsid w:val="0040104C"/>
    <w:rsid w:val="00401381"/>
    <w:rsid w:val="00401AA6"/>
    <w:rsid w:val="0040279B"/>
    <w:rsid w:val="004027AE"/>
    <w:rsid w:val="004037A8"/>
    <w:rsid w:val="00403800"/>
    <w:rsid w:val="00403E9B"/>
    <w:rsid w:val="004042D6"/>
    <w:rsid w:val="0040447F"/>
    <w:rsid w:val="004047DE"/>
    <w:rsid w:val="004052D3"/>
    <w:rsid w:val="00405BB7"/>
    <w:rsid w:val="004066B2"/>
    <w:rsid w:val="00406759"/>
    <w:rsid w:val="00406962"/>
    <w:rsid w:val="00407ABD"/>
    <w:rsid w:val="004104BE"/>
    <w:rsid w:val="00411095"/>
    <w:rsid w:val="0041155C"/>
    <w:rsid w:val="00411890"/>
    <w:rsid w:val="00411D29"/>
    <w:rsid w:val="00411DA8"/>
    <w:rsid w:val="00412875"/>
    <w:rsid w:val="00412FA6"/>
    <w:rsid w:val="00413723"/>
    <w:rsid w:val="004141D1"/>
    <w:rsid w:val="004144C9"/>
    <w:rsid w:val="00414C2D"/>
    <w:rsid w:val="00415712"/>
    <w:rsid w:val="00415A28"/>
    <w:rsid w:val="00415B0A"/>
    <w:rsid w:val="00415D7E"/>
    <w:rsid w:val="004166E6"/>
    <w:rsid w:val="00416CB0"/>
    <w:rsid w:val="004172A5"/>
    <w:rsid w:val="0041798A"/>
    <w:rsid w:val="0042014A"/>
    <w:rsid w:val="004203D9"/>
    <w:rsid w:val="004205B5"/>
    <w:rsid w:val="00420EB0"/>
    <w:rsid w:val="004214E8"/>
    <w:rsid w:val="004215D2"/>
    <w:rsid w:val="00421F9F"/>
    <w:rsid w:val="00422B48"/>
    <w:rsid w:val="004231F3"/>
    <w:rsid w:val="00423B5D"/>
    <w:rsid w:val="00423E6E"/>
    <w:rsid w:val="00425B03"/>
    <w:rsid w:val="00425DCC"/>
    <w:rsid w:val="00426498"/>
    <w:rsid w:val="00426C20"/>
    <w:rsid w:val="00426F08"/>
    <w:rsid w:val="00427590"/>
    <w:rsid w:val="00427E72"/>
    <w:rsid w:val="004302BB"/>
    <w:rsid w:val="00430A74"/>
    <w:rsid w:val="00430F47"/>
    <w:rsid w:val="00431030"/>
    <w:rsid w:val="00431A39"/>
    <w:rsid w:val="00431A91"/>
    <w:rsid w:val="00431C38"/>
    <w:rsid w:val="00431D28"/>
    <w:rsid w:val="0043202E"/>
    <w:rsid w:val="004320D5"/>
    <w:rsid w:val="00432B3E"/>
    <w:rsid w:val="00432F8C"/>
    <w:rsid w:val="004338F7"/>
    <w:rsid w:val="00434B07"/>
    <w:rsid w:val="00436108"/>
    <w:rsid w:val="004365FF"/>
    <w:rsid w:val="00436793"/>
    <w:rsid w:val="00436A2D"/>
    <w:rsid w:val="00436E1B"/>
    <w:rsid w:val="004379E0"/>
    <w:rsid w:val="00437D12"/>
    <w:rsid w:val="00437DE6"/>
    <w:rsid w:val="00437FC9"/>
    <w:rsid w:val="00440578"/>
    <w:rsid w:val="0044069C"/>
    <w:rsid w:val="00440E7F"/>
    <w:rsid w:val="0044104A"/>
    <w:rsid w:val="00441AD0"/>
    <w:rsid w:val="00441BF6"/>
    <w:rsid w:val="0044200D"/>
    <w:rsid w:val="0044254B"/>
    <w:rsid w:val="00442A5E"/>
    <w:rsid w:val="00442A90"/>
    <w:rsid w:val="00444962"/>
    <w:rsid w:val="00444DE1"/>
    <w:rsid w:val="00444E8F"/>
    <w:rsid w:val="00444F3F"/>
    <w:rsid w:val="00445ABC"/>
    <w:rsid w:val="00446187"/>
    <w:rsid w:val="00446B9C"/>
    <w:rsid w:val="00447252"/>
    <w:rsid w:val="00447348"/>
    <w:rsid w:val="00447825"/>
    <w:rsid w:val="0045016A"/>
    <w:rsid w:val="00450BF2"/>
    <w:rsid w:val="004517AE"/>
    <w:rsid w:val="00451A60"/>
    <w:rsid w:val="004520BB"/>
    <w:rsid w:val="00453511"/>
    <w:rsid w:val="004547FF"/>
    <w:rsid w:val="0045490E"/>
    <w:rsid w:val="00454F8F"/>
    <w:rsid w:val="00455C36"/>
    <w:rsid w:val="00456921"/>
    <w:rsid w:val="00456EA1"/>
    <w:rsid w:val="004571E5"/>
    <w:rsid w:val="00457B73"/>
    <w:rsid w:val="00460489"/>
    <w:rsid w:val="004611D4"/>
    <w:rsid w:val="00461442"/>
    <w:rsid w:val="004614C6"/>
    <w:rsid w:val="004617EE"/>
    <w:rsid w:val="0046245B"/>
    <w:rsid w:val="0046265F"/>
    <w:rsid w:val="00463511"/>
    <w:rsid w:val="00464107"/>
    <w:rsid w:val="00464296"/>
    <w:rsid w:val="00464ABE"/>
    <w:rsid w:val="00464CF0"/>
    <w:rsid w:val="00465A06"/>
    <w:rsid w:val="00465F1F"/>
    <w:rsid w:val="0046608F"/>
    <w:rsid w:val="004664B8"/>
    <w:rsid w:val="0046654F"/>
    <w:rsid w:val="00467159"/>
    <w:rsid w:val="0046725A"/>
    <w:rsid w:val="0046753D"/>
    <w:rsid w:val="0046755F"/>
    <w:rsid w:val="004703CA"/>
    <w:rsid w:val="00470661"/>
    <w:rsid w:val="0047066B"/>
    <w:rsid w:val="00470B46"/>
    <w:rsid w:val="00470B7F"/>
    <w:rsid w:val="00470E8D"/>
    <w:rsid w:val="00472C94"/>
    <w:rsid w:val="00472D2D"/>
    <w:rsid w:val="00473C7E"/>
    <w:rsid w:val="00473CA8"/>
    <w:rsid w:val="00473CCF"/>
    <w:rsid w:val="00473EF7"/>
    <w:rsid w:val="004759A8"/>
    <w:rsid w:val="004763B6"/>
    <w:rsid w:val="00476C9D"/>
    <w:rsid w:val="00476CC2"/>
    <w:rsid w:val="004800FD"/>
    <w:rsid w:val="004802D7"/>
    <w:rsid w:val="00481AA7"/>
    <w:rsid w:val="00481F2E"/>
    <w:rsid w:val="00482435"/>
    <w:rsid w:val="00483FC9"/>
    <w:rsid w:val="00484801"/>
    <w:rsid w:val="004856AF"/>
    <w:rsid w:val="00485F88"/>
    <w:rsid w:val="00486AF2"/>
    <w:rsid w:val="00486C36"/>
    <w:rsid w:val="00486D3D"/>
    <w:rsid w:val="00486E7A"/>
    <w:rsid w:val="00487905"/>
    <w:rsid w:val="00487960"/>
    <w:rsid w:val="00491113"/>
    <w:rsid w:val="00491710"/>
    <w:rsid w:val="00491734"/>
    <w:rsid w:val="00491F07"/>
    <w:rsid w:val="00492668"/>
    <w:rsid w:val="0049431A"/>
    <w:rsid w:val="00494912"/>
    <w:rsid w:val="00494DDB"/>
    <w:rsid w:val="00495058"/>
    <w:rsid w:val="0049521A"/>
    <w:rsid w:val="004954D2"/>
    <w:rsid w:val="00495768"/>
    <w:rsid w:val="00495EEE"/>
    <w:rsid w:val="00496E72"/>
    <w:rsid w:val="00497131"/>
    <w:rsid w:val="004975CA"/>
    <w:rsid w:val="004A02CA"/>
    <w:rsid w:val="004A1407"/>
    <w:rsid w:val="004A2039"/>
    <w:rsid w:val="004A2729"/>
    <w:rsid w:val="004A2A80"/>
    <w:rsid w:val="004A3E27"/>
    <w:rsid w:val="004A51D8"/>
    <w:rsid w:val="004A54C5"/>
    <w:rsid w:val="004A5764"/>
    <w:rsid w:val="004A5BDE"/>
    <w:rsid w:val="004A5D2A"/>
    <w:rsid w:val="004A6159"/>
    <w:rsid w:val="004A61AF"/>
    <w:rsid w:val="004A63C6"/>
    <w:rsid w:val="004A69EC"/>
    <w:rsid w:val="004A6E5A"/>
    <w:rsid w:val="004A6E66"/>
    <w:rsid w:val="004A74D1"/>
    <w:rsid w:val="004A77DC"/>
    <w:rsid w:val="004B0308"/>
    <w:rsid w:val="004B11A3"/>
    <w:rsid w:val="004B2CE0"/>
    <w:rsid w:val="004B35E5"/>
    <w:rsid w:val="004B3692"/>
    <w:rsid w:val="004B3E82"/>
    <w:rsid w:val="004B4333"/>
    <w:rsid w:val="004B4CAD"/>
    <w:rsid w:val="004B5082"/>
    <w:rsid w:val="004B5E15"/>
    <w:rsid w:val="004B64E9"/>
    <w:rsid w:val="004B6714"/>
    <w:rsid w:val="004B6B39"/>
    <w:rsid w:val="004C038F"/>
    <w:rsid w:val="004C0A39"/>
    <w:rsid w:val="004C0B68"/>
    <w:rsid w:val="004C0BC8"/>
    <w:rsid w:val="004C0C20"/>
    <w:rsid w:val="004C0F8F"/>
    <w:rsid w:val="004C18AC"/>
    <w:rsid w:val="004C1BEC"/>
    <w:rsid w:val="004C1E5D"/>
    <w:rsid w:val="004C3130"/>
    <w:rsid w:val="004C32B5"/>
    <w:rsid w:val="004C3B92"/>
    <w:rsid w:val="004C3F0E"/>
    <w:rsid w:val="004C5E37"/>
    <w:rsid w:val="004C61C4"/>
    <w:rsid w:val="004C6309"/>
    <w:rsid w:val="004C6B94"/>
    <w:rsid w:val="004C6D3F"/>
    <w:rsid w:val="004D034C"/>
    <w:rsid w:val="004D1152"/>
    <w:rsid w:val="004D135E"/>
    <w:rsid w:val="004D1A36"/>
    <w:rsid w:val="004D1F89"/>
    <w:rsid w:val="004D1FE4"/>
    <w:rsid w:val="004D22D7"/>
    <w:rsid w:val="004D23F8"/>
    <w:rsid w:val="004D250A"/>
    <w:rsid w:val="004D29C1"/>
    <w:rsid w:val="004D32B8"/>
    <w:rsid w:val="004D4285"/>
    <w:rsid w:val="004D47B5"/>
    <w:rsid w:val="004D4F43"/>
    <w:rsid w:val="004D548A"/>
    <w:rsid w:val="004D5CED"/>
    <w:rsid w:val="004D5EF6"/>
    <w:rsid w:val="004D657A"/>
    <w:rsid w:val="004D70D8"/>
    <w:rsid w:val="004E1025"/>
    <w:rsid w:val="004E13DB"/>
    <w:rsid w:val="004E196D"/>
    <w:rsid w:val="004E19C2"/>
    <w:rsid w:val="004E225B"/>
    <w:rsid w:val="004E24E0"/>
    <w:rsid w:val="004E2EA5"/>
    <w:rsid w:val="004E3859"/>
    <w:rsid w:val="004E39B3"/>
    <w:rsid w:val="004E5283"/>
    <w:rsid w:val="004E54A4"/>
    <w:rsid w:val="004E60D1"/>
    <w:rsid w:val="004E6DBB"/>
    <w:rsid w:val="004E6F65"/>
    <w:rsid w:val="004E7500"/>
    <w:rsid w:val="004E787D"/>
    <w:rsid w:val="004E7E65"/>
    <w:rsid w:val="004F0237"/>
    <w:rsid w:val="004F066F"/>
    <w:rsid w:val="004F0C32"/>
    <w:rsid w:val="004F0C57"/>
    <w:rsid w:val="004F1200"/>
    <w:rsid w:val="004F13F8"/>
    <w:rsid w:val="004F2113"/>
    <w:rsid w:val="004F21C4"/>
    <w:rsid w:val="004F2283"/>
    <w:rsid w:val="004F2319"/>
    <w:rsid w:val="004F2903"/>
    <w:rsid w:val="004F2AEE"/>
    <w:rsid w:val="004F2BAB"/>
    <w:rsid w:val="004F34E3"/>
    <w:rsid w:val="004F351B"/>
    <w:rsid w:val="004F3751"/>
    <w:rsid w:val="004F4036"/>
    <w:rsid w:val="004F4160"/>
    <w:rsid w:val="004F4594"/>
    <w:rsid w:val="004F5768"/>
    <w:rsid w:val="004F57BD"/>
    <w:rsid w:val="004F5EAC"/>
    <w:rsid w:val="004F63D3"/>
    <w:rsid w:val="004F658D"/>
    <w:rsid w:val="004F7764"/>
    <w:rsid w:val="004F7F56"/>
    <w:rsid w:val="005004F4"/>
    <w:rsid w:val="00500638"/>
    <w:rsid w:val="00500964"/>
    <w:rsid w:val="005009E9"/>
    <w:rsid w:val="0050157B"/>
    <w:rsid w:val="0050168A"/>
    <w:rsid w:val="00501D3B"/>
    <w:rsid w:val="0050270A"/>
    <w:rsid w:val="00502B77"/>
    <w:rsid w:val="00502F0A"/>
    <w:rsid w:val="00503372"/>
    <w:rsid w:val="005039C8"/>
    <w:rsid w:val="00504A96"/>
    <w:rsid w:val="005053A4"/>
    <w:rsid w:val="00505664"/>
    <w:rsid w:val="00505F71"/>
    <w:rsid w:val="005060FC"/>
    <w:rsid w:val="00506431"/>
    <w:rsid w:val="0050683D"/>
    <w:rsid w:val="005068C5"/>
    <w:rsid w:val="00506AE8"/>
    <w:rsid w:val="00506D99"/>
    <w:rsid w:val="00506DEB"/>
    <w:rsid w:val="00506F28"/>
    <w:rsid w:val="00506FFE"/>
    <w:rsid w:val="005071EB"/>
    <w:rsid w:val="0051057F"/>
    <w:rsid w:val="0051066A"/>
    <w:rsid w:val="00510AC8"/>
    <w:rsid w:val="005125E2"/>
    <w:rsid w:val="00512A53"/>
    <w:rsid w:val="00512B69"/>
    <w:rsid w:val="00513653"/>
    <w:rsid w:val="00513696"/>
    <w:rsid w:val="005139CF"/>
    <w:rsid w:val="00513AF5"/>
    <w:rsid w:val="00514866"/>
    <w:rsid w:val="005149D3"/>
    <w:rsid w:val="00515720"/>
    <w:rsid w:val="00515D66"/>
    <w:rsid w:val="00516510"/>
    <w:rsid w:val="00516B12"/>
    <w:rsid w:val="00516E15"/>
    <w:rsid w:val="00516E26"/>
    <w:rsid w:val="0051732D"/>
    <w:rsid w:val="005178F9"/>
    <w:rsid w:val="00517E1D"/>
    <w:rsid w:val="00520CB5"/>
    <w:rsid w:val="00521350"/>
    <w:rsid w:val="005217E0"/>
    <w:rsid w:val="00521FF4"/>
    <w:rsid w:val="00522296"/>
    <w:rsid w:val="00523614"/>
    <w:rsid w:val="00524441"/>
    <w:rsid w:val="00524992"/>
    <w:rsid w:val="005258C0"/>
    <w:rsid w:val="00525BDF"/>
    <w:rsid w:val="00525E21"/>
    <w:rsid w:val="00525FD9"/>
    <w:rsid w:val="00526372"/>
    <w:rsid w:val="005265E7"/>
    <w:rsid w:val="00526D12"/>
    <w:rsid w:val="00530EDF"/>
    <w:rsid w:val="00531079"/>
    <w:rsid w:val="00531B07"/>
    <w:rsid w:val="00531B23"/>
    <w:rsid w:val="00531EA9"/>
    <w:rsid w:val="00532539"/>
    <w:rsid w:val="0053274F"/>
    <w:rsid w:val="0053294F"/>
    <w:rsid w:val="00532FC1"/>
    <w:rsid w:val="00533003"/>
    <w:rsid w:val="00533728"/>
    <w:rsid w:val="005337AA"/>
    <w:rsid w:val="00533FB0"/>
    <w:rsid w:val="00534073"/>
    <w:rsid w:val="00534114"/>
    <w:rsid w:val="0053461F"/>
    <w:rsid w:val="00534D20"/>
    <w:rsid w:val="005355E5"/>
    <w:rsid w:val="0053567F"/>
    <w:rsid w:val="00535C6D"/>
    <w:rsid w:val="005362CB"/>
    <w:rsid w:val="005375D0"/>
    <w:rsid w:val="005376ED"/>
    <w:rsid w:val="00537F8E"/>
    <w:rsid w:val="005402FE"/>
    <w:rsid w:val="00540F87"/>
    <w:rsid w:val="00541692"/>
    <w:rsid w:val="00541CD0"/>
    <w:rsid w:val="00541D68"/>
    <w:rsid w:val="0054280C"/>
    <w:rsid w:val="005437D3"/>
    <w:rsid w:val="005438D0"/>
    <w:rsid w:val="00544EF6"/>
    <w:rsid w:val="00544FCF"/>
    <w:rsid w:val="005455C3"/>
    <w:rsid w:val="005456FD"/>
    <w:rsid w:val="00545CED"/>
    <w:rsid w:val="00545E84"/>
    <w:rsid w:val="00545EE5"/>
    <w:rsid w:val="00546A90"/>
    <w:rsid w:val="00546F66"/>
    <w:rsid w:val="005470F8"/>
    <w:rsid w:val="005471C9"/>
    <w:rsid w:val="0054730A"/>
    <w:rsid w:val="00547393"/>
    <w:rsid w:val="00550AED"/>
    <w:rsid w:val="00550EBC"/>
    <w:rsid w:val="00552014"/>
    <w:rsid w:val="00552D61"/>
    <w:rsid w:val="00553496"/>
    <w:rsid w:val="0055358D"/>
    <w:rsid w:val="005543DB"/>
    <w:rsid w:val="005544FA"/>
    <w:rsid w:val="00554819"/>
    <w:rsid w:val="0055490C"/>
    <w:rsid w:val="0055491E"/>
    <w:rsid w:val="00555C0A"/>
    <w:rsid w:val="00555F2B"/>
    <w:rsid w:val="00556409"/>
    <w:rsid w:val="005567C3"/>
    <w:rsid w:val="00556F3E"/>
    <w:rsid w:val="0055708C"/>
    <w:rsid w:val="00557D8C"/>
    <w:rsid w:val="00560920"/>
    <w:rsid w:val="00561439"/>
    <w:rsid w:val="00562406"/>
    <w:rsid w:val="005628CE"/>
    <w:rsid w:val="00563CA0"/>
    <w:rsid w:val="00564473"/>
    <w:rsid w:val="0056448A"/>
    <w:rsid w:val="0056485F"/>
    <w:rsid w:val="00564B3E"/>
    <w:rsid w:val="005652B9"/>
    <w:rsid w:val="00565518"/>
    <w:rsid w:val="005662F4"/>
    <w:rsid w:val="005668AC"/>
    <w:rsid w:val="00567E9C"/>
    <w:rsid w:val="005715DF"/>
    <w:rsid w:val="005717DC"/>
    <w:rsid w:val="0057272B"/>
    <w:rsid w:val="00572779"/>
    <w:rsid w:val="0057306F"/>
    <w:rsid w:val="00573648"/>
    <w:rsid w:val="005736C3"/>
    <w:rsid w:val="00573FDF"/>
    <w:rsid w:val="00574166"/>
    <w:rsid w:val="0057455A"/>
    <w:rsid w:val="00574E37"/>
    <w:rsid w:val="0057777E"/>
    <w:rsid w:val="00577B6D"/>
    <w:rsid w:val="00577CD9"/>
    <w:rsid w:val="0058016D"/>
    <w:rsid w:val="0058091C"/>
    <w:rsid w:val="005810EA"/>
    <w:rsid w:val="005810F8"/>
    <w:rsid w:val="00581E4D"/>
    <w:rsid w:val="0058243F"/>
    <w:rsid w:val="00583BCA"/>
    <w:rsid w:val="005843F4"/>
    <w:rsid w:val="005851B3"/>
    <w:rsid w:val="005851E3"/>
    <w:rsid w:val="00585413"/>
    <w:rsid w:val="005859B2"/>
    <w:rsid w:val="00585D93"/>
    <w:rsid w:val="00586007"/>
    <w:rsid w:val="0058665D"/>
    <w:rsid w:val="00586E6F"/>
    <w:rsid w:val="005878EF"/>
    <w:rsid w:val="00587DCD"/>
    <w:rsid w:val="005908ED"/>
    <w:rsid w:val="0059094A"/>
    <w:rsid w:val="005912D4"/>
    <w:rsid w:val="0059154B"/>
    <w:rsid w:val="00591947"/>
    <w:rsid w:val="00592588"/>
    <w:rsid w:val="00593977"/>
    <w:rsid w:val="00593995"/>
    <w:rsid w:val="005939EE"/>
    <w:rsid w:val="00593FB1"/>
    <w:rsid w:val="005949E8"/>
    <w:rsid w:val="00594E39"/>
    <w:rsid w:val="005955DD"/>
    <w:rsid w:val="00595BC8"/>
    <w:rsid w:val="005961E4"/>
    <w:rsid w:val="00596531"/>
    <w:rsid w:val="00596D9F"/>
    <w:rsid w:val="00596E6A"/>
    <w:rsid w:val="0059731B"/>
    <w:rsid w:val="005A07AA"/>
    <w:rsid w:val="005A0B68"/>
    <w:rsid w:val="005A15A9"/>
    <w:rsid w:val="005A1C30"/>
    <w:rsid w:val="005A25B7"/>
    <w:rsid w:val="005A288B"/>
    <w:rsid w:val="005A2A16"/>
    <w:rsid w:val="005A2F28"/>
    <w:rsid w:val="005A31F1"/>
    <w:rsid w:val="005A3705"/>
    <w:rsid w:val="005A38F0"/>
    <w:rsid w:val="005A3C11"/>
    <w:rsid w:val="005A4014"/>
    <w:rsid w:val="005A4321"/>
    <w:rsid w:val="005A484F"/>
    <w:rsid w:val="005A5076"/>
    <w:rsid w:val="005A55B7"/>
    <w:rsid w:val="005A5E60"/>
    <w:rsid w:val="005A5EF1"/>
    <w:rsid w:val="005A602F"/>
    <w:rsid w:val="005A68D0"/>
    <w:rsid w:val="005A6B3F"/>
    <w:rsid w:val="005A6E59"/>
    <w:rsid w:val="005A7225"/>
    <w:rsid w:val="005A75E2"/>
    <w:rsid w:val="005B0BC5"/>
    <w:rsid w:val="005B0CDE"/>
    <w:rsid w:val="005B1908"/>
    <w:rsid w:val="005B2A00"/>
    <w:rsid w:val="005B2D9F"/>
    <w:rsid w:val="005B2DD6"/>
    <w:rsid w:val="005B32F7"/>
    <w:rsid w:val="005B3A45"/>
    <w:rsid w:val="005B42C1"/>
    <w:rsid w:val="005B4F76"/>
    <w:rsid w:val="005B554E"/>
    <w:rsid w:val="005B56B9"/>
    <w:rsid w:val="005B59AD"/>
    <w:rsid w:val="005B5CFB"/>
    <w:rsid w:val="005B6984"/>
    <w:rsid w:val="005B7012"/>
    <w:rsid w:val="005B73A4"/>
    <w:rsid w:val="005B787D"/>
    <w:rsid w:val="005B7DF1"/>
    <w:rsid w:val="005B7F38"/>
    <w:rsid w:val="005C02B3"/>
    <w:rsid w:val="005C02D8"/>
    <w:rsid w:val="005C0FE2"/>
    <w:rsid w:val="005C1D06"/>
    <w:rsid w:val="005C28BC"/>
    <w:rsid w:val="005C2DF5"/>
    <w:rsid w:val="005C3274"/>
    <w:rsid w:val="005C3D4D"/>
    <w:rsid w:val="005C3DF9"/>
    <w:rsid w:val="005C3EB4"/>
    <w:rsid w:val="005C47DE"/>
    <w:rsid w:val="005C4D3A"/>
    <w:rsid w:val="005C4D70"/>
    <w:rsid w:val="005C57F0"/>
    <w:rsid w:val="005C58D5"/>
    <w:rsid w:val="005C5A2C"/>
    <w:rsid w:val="005C5E97"/>
    <w:rsid w:val="005C620B"/>
    <w:rsid w:val="005C6824"/>
    <w:rsid w:val="005C6C4F"/>
    <w:rsid w:val="005C70F3"/>
    <w:rsid w:val="005C77CE"/>
    <w:rsid w:val="005D0A43"/>
    <w:rsid w:val="005D0C90"/>
    <w:rsid w:val="005D122C"/>
    <w:rsid w:val="005D18A1"/>
    <w:rsid w:val="005D1A48"/>
    <w:rsid w:val="005D1C32"/>
    <w:rsid w:val="005D3374"/>
    <w:rsid w:val="005D35C3"/>
    <w:rsid w:val="005D3C16"/>
    <w:rsid w:val="005D4026"/>
    <w:rsid w:val="005D493F"/>
    <w:rsid w:val="005D4A86"/>
    <w:rsid w:val="005D54B9"/>
    <w:rsid w:val="005D5D81"/>
    <w:rsid w:val="005D645C"/>
    <w:rsid w:val="005D6F1C"/>
    <w:rsid w:val="005D7B9F"/>
    <w:rsid w:val="005D7D51"/>
    <w:rsid w:val="005E030D"/>
    <w:rsid w:val="005E04C5"/>
    <w:rsid w:val="005E0A53"/>
    <w:rsid w:val="005E10BF"/>
    <w:rsid w:val="005E16BE"/>
    <w:rsid w:val="005E16F1"/>
    <w:rsid w:val="005E1FCA"/>
    <w:rsid w:val="005E21A0"/>
    <w:rsid w:val="005E24CA"/>
    <w:rsid w:val="005E2A22"/>
    <w:rsid w:val="005E2DBF"/>
    <w:rsid w:val="005E310A"/>
    <w:rsid w:val="005E3435"/>
    <w:rsid w:val="005E36DE"/>
    <w:rsid w:val="005E3F30"/>
    <w:rsid w:val="005E5259"/>
    <w:rsid w:val="005E5590"/>
    <w:rsid w:val="005E6678"/>
    <w:rsid w:val="005E7572"/>
    <w:rsid w:val="005E78A4"/>
    <w:rsid w:val="005E7B9A"/>
    <w:rsid w:val="005F13CE"/>
    <w:rsid w:val="005F153C"/>
    <w:rsid w:val="005F1A11"/>
    <w:rsid w:val="005F1CDD"/>
    <w:rsid w:val="005F2143"/>
    <w:rsid w:val="005F21DB"/>
    <w:rsid w:val="005F23C4"/>
    <w:rsid w:val="005F240A"/>
    <w:rsid w:val="005F26F6"/>
    <w:rsid w:val="005F2B6B"/>
    <w:rsid w:val="005F374F"/>
    <w:rsid w:val="005F3A42"/>
    <w:rsid w:val="005F46CC"/>
    <w:rsid w:val="005F47A6"/>
    <w:rsid w:val="005F4A7A"/>
    <w:rsid w:val="005F5B57"/>
    <w:rsid w:val="005F5B7B"/>
    <w:rsid w:val="005F68DB"/>
    <w:rsid w:val="005F7390"/>
    <w:rsid w:val="005F7668"/>
    <w:rsid w:val="005F767A"/>
    <w:rsid w:val="006001A3"/>
    <w:rsid w:val="00601E6D"/>
    <w:rsid w:val="00603952"/>
    <w:rsid w:val="00603A46"/>
    <w:rsid w:val="00603B09"/>
    <w:rsid w:val="006056F1"/>
    <w:rsid w:val="00605F07"/>
    <w:rsid w:val="006061F1"/>
    <w:rsid w:val="00606597"/>
    <w:rsid w:val="00606EF5"/>
    <w:rsid w:val="006070C1"/>
    <w:rsid w:val="006074B7"/>
    <w:rsid w:val="00607578"/>
    <w:rsid w:val="00611F9F"/>
    <w:rsid w:val="00611FF3"/>
    <w:rsid w:val="0061227A"/>
    <w:rsid w:val="00612345"/>
    <w:rsid w:val="0061270E"/>
    <w:rsid w:val="0061310F"/>
    <w:rsid w:val="00613510"/>
    <w:rsid w:val="00613B18"/>
    <w:rsid w:val="00613BC0"/>
    <w:rsid w:val="00613F64"/>
    <w:rsid w:val="006147D0"/>
    <w:rsid w:val="00614F64"/>
    <w:rsid w:val="006150E5"/>
    <w:rsid w:val="00615478"/>
    <w:rsid w:val="0061593D"/>
    <w:rsid w:val="006166A8"/>
    <w:rsid w:val="006171A8"/>
    <w:rsid w:val="00617214"/>
    <w:rsid w:val="00617A49"/>
    <w:rsid w:val="00617F23"/>
    <w:rsid w:val="00617F26"/>
    <w:rsid w:val="00620AF3"/>
    <w:rsid w:val="00620BFD"/>
    <w:rsid w:val="0062131E"/>
    <w:rsid w:val="006216F4"/>
    <w:rsid w:val="006225DC"/>
    <w:rsid w:val="006227F8"/>
    <w:rsid w:val="00622D03"/>
    <w:rsid w:val="00623135"/>
    <w:rsid w:val="00623B48"/>
    <w:rsid w:val="006241FF"/>
    <w:rsid w:val="00625966"/>
    <w:rsid w:val="0062600E"/>
    <w:rsid w:val="006264FE"/>
    <w:rsid w:val="00626768"/>
    <w:rsid w:val="00626C08"/>
    <w:rsid w:val="00627447"/>
    <w:rsid w:val="006276F6"/>
    <w:rsid w:val="00627C65"/>
    <w:rsid w:val="00630FA1"/>
    <w:rsid w:val="006311E6"/>
    <w:rsid w:val="0063131E"/>
    <w:rsid w:val="00632A9B"/>
    <w:rsid w:val="00632B00"/>
    <w:rsid w:val="0063404D"/>
    <w:rsid w:val="0063440D"/>
    <w:rsid w:val="006346C5"/>
    <w:rsid w:val="006346ED"/>
    <w:rsid w:val="006348AC"/>
    <w:rsid w:val="00634C82"/>
    <w:rsid w:val="00634D62"/>
    <w:rsid w:val="00635862"/>
    <w:rsid w:val="00636052"/>
    <w:rsid w:val="00636DC3"/>
    <w:rsid w:val="00637805"/>
    <w:rsid w:val="006407D0"/>
    <w:rsid w:val="00640C77"/>
    <w:rsid w:val="00640D85"/>
    <w:rsid w:val="006414DC"/>
    <w:rsid w:val="006416F1"/>
    <w:rsid w:val="006417C0"/>
    <w:rsid w:val="00641BF9"/>
    <w:rsid w:val="006440AE"/>
    <w:rsid w:val="00644651"/>
    <w:rsid w:val="00644CB2"/>
    <w:rsid w:val="00645068"/>
    <w:rsid w:val="00645A26"/>
    <w:rsid w:val="00645D35"/>
    <w:rsid w:val="00645DF9"/>
    <w:rsid w:val="00646354"/>
    <w:rsid w:val="0064719C"/>
    <w:rsid w:val="006478F7"/>
    <w:rsid w:val="006501EB"/>
    <w:rsid w:val="00650C4B"/>
    <w:rsid w:val="00650C56"/>
    <w:rsid w:val="00651021"/>
    <w:rsid w:val="0065124B"/>
    <w:rsid w:val="006514B9"/>
    <w:rsid w:val="00651E87"/>
    <w:rsid w:val="006528CF"/>
    <w:rsid w:val="00652982"/>
    <w:rsid w:val="00652CD9"/>
    <w:rsid w:val="0065314E"/>
    <w:rsid w:val="00653331"/>
    <w:rsid w:val="00653382"/>
    <w:rsid w:val="006533B0"/>
    <w:rsid w:val="006542A6"/>
    <w:rsid w:val="006546D3"/>
    <w:rsid w:val="006550D5"/>
    <w:rsid w:val="0065585A"/>
    <w:rsid w:val="00655FEC"/>
    <w:rsid w:val="006575B1"/>
    <w:rsid w:val="006576B2"/>
    <w:rsid w:val="006608BC"/>
    <w:rsid w:val="0066107D"/>
    <w:rsid w:val="00661E69"/>
    <w:rsid w:val="00662CC9"/>
    <w:rsid w:val="00663682"/>
    <w:rsid w:val="00663E1E"/>
    <w:rsid w:val="00664035"/>
    <w:rsid w:val="00664E68"/>
    <w:rsid w:val="00665577"/>
    <w:rsid w:val="00665A2B"/>
    <w:rsid w:val="00666516"/>
    <w:rsid w:val="0066686C"/>
    <w:rsid w:val="00666EFA"/>
    <w:rsid w:val="006671F8"/>
    <w:rsid w:val="00667361"/>
    <w:rsid w:val="00667630"/>
    <w:rsid w:val="00667953"/>
    <w:rsid w:val="00667C7F"/>
    <w:rsid w:val="006702F0"/>
    <w:rsid w:val="00671ECD"/>
    <w:rsid w:val="00672759"/>
    <w:rsid w:val="00672768"/>
    <w:rsid w:val="00673137"/>
    <w:rsid w:val="006735FC"/>
    <w:rsid w:val="0067396E"/>
    <w:rsid w:val="00673E51"/>
    <w:rsid w:val="00673F80"/>
    <w:rsid w:val="0067472A"/>
    <w:rsid w:val="00674867"/>
    <w:rsid w:val="006751FB"/>
    <w:rsid w:val="00675401"/>
    <w:rsid w:val="0067599C"/>
    <w:rsid w:val="006761E6"/>
    <w:rsid w:val="006767D2"/>
    <w:rsid w:val="0067683C"/>
    <w:rsid w:val="0067685E"/>
    <w:rsid w:val="00676DCD"/>
    <w:rsid w:val="00677A38"/>
    <w:rsid w:val="00677A9F"/>
    <w:rsid w:val="00677C9B"/>
    <w:rsid w:val="00680F0F"/>
    <w:rsid w:val="0068119F"/>
    <w:rsid w:val="00681464"/>
    <w:rsid w:val="0068217C"/>
    <w:rsid w:val="006827FD"/>
    <w:rsid w:val="00682A90"/>
    <w:rsid w:val="00682F13"/>
    <w:rsid w:val="00683B6C"/>
    <w:rsid w:val="00683E13"/>
    <w:rsid w:val="00684A38"/>
    <w:rsid w:val="006850D3"/>
    <w:rsid w:val="00685EEF"/>
    <w:rsid w:val="00686004"/>
    <w:rsid w:val="00686E7D"/>
    <w:rsid w:val="00686E8A"/>
    <w:rsid w:val="006872C4"/>
    <w:rsid w:val="00687AF4"/>
    <w:rsid w:val="0069047A"/>
    <w:rsid w:val="0069063B"/>
    <w:rsid w:val="0069099E"/>
    <w:rsid w:val="0069144E"/>
    <w:rsid w:val="00691BED"/>
    <w:rsid w:val="006937A3"/>
    <w:rsid w:val="00693F17"/>
    <w:rsid w:val="00694137"/>
    <w:rsid w:val="0069424F"/>
    <w:rsid w:val="00694733"/>
    <w:rsid w:val="00695139"/>
    <w:rsid w:val="00695285"/>
    <w:rsid w:val="0069577F"/>
    <w:rsid w:val="00696859"/>
    <w:rsid w:val="00696B78"/>
    <w:rsid w:val="00697EE9"/>
    <w:rsid w:val="006A0080"/>
    <w:rsid w:val="006A0083"/>
    <w:rsid w:val="006A01CF"/>
    <w:rsid w:val="006A025A"/>
    <w:rsid w:val="006A11E8"/>
    <w:rsid w:val="006A1B62"/>
    <w:rsid w:val="006A2AC3"/>
    <w:rsid w:val="006A3A46"/>
    <w:rsid w:val="006A3BA4"/>
    <w:rsid w:val="006A3BAA"/>
    <w:rsid w:val="006A4EFE"/>
    <w:rsid w:val="006A5336"/>
    <w:rsid w:val="006A53DF"/>
    <w:rsid w:val="006A56A6"/>
    <w:rsid w:val="006A6E20"/>
    <w:rsid w:val="006A7351"/>
    <w:rsid w:val="006B0208"/>
    <w:rsid w:val="006B027E"/>
    <w:rsid w:val="006B0657"/>
    <w:rsid w:val="006B068C"/>
    <w:rsid w:val="006B0830"/>
    <w:rsid w:val="006B0A3A"/>
    <w:rsid w:val="006B0F00"/>
    <w:rsid w:val="006B1FC6"/>
    <w:rsid w:val="006B2925"/>
    <w:rsid w:val="006B3693"/>
    <w:rsid w:val="006B476C"/>
    <w:rsid w:val="006B51F3"/>
    <w:rsid w:val="006B6143"/>
    <w:rsid w:val="006B61C4"/>
    <w:rsid w:val="006B6402"/>
    <w:rsid w:val="006B7213"/>
    <w:rsid w:val="006B7639"/>
    <w:rsid w:val="006B775C"/>
    <w:rsid w:val="006C06A5"/>
    <w:rsid w:val="006C08A1"/>
    <w:rsid w:val="006C0911"/>
    <w:rsid w:val="006C27A6"/>
    <w:rsid w:val="006C2B87"/>
    <w:rsid w:val="006C2D9D"/>
    <w:rsid w:val="006C319B"/>
    <w:rsid w:val="006C3214"/>
    <w:rsid w:val="006C3487"/>
    <w:rsid w:val="006C34F2"/>
    <w:rsid w:val="006C3FD9"/>
    <w:rsid w:val="006C5E63"/>
    <w:rsid w:val="006C5F3D"/>
    <w:rsid w:val="006C6174"/>
    <w:rsid w:val="006C7229"/>
    <w:rsid w:val="006C736E"/>
    <w:rsid w:val="006C76D0"/>
    <w:rsid w:val="006C78F6"/>
    <w:rsid w:val="006C7B27"/>
    <w:rsid w:val="006C7D02"/>
    <w:rsid w:val="006D0DE4"/>
    <w:rsid w:val="006D1018"/>
    <w:rsid w:val="006D16BC"/>
    <w:rsid w:val="006D3C0A"/>
    <w:rsid w:val="006D3E68"/>
    <w:rsid w:val="006D4413"/>
    <w:rsid w:val="006D449C"/>
    <w:rsid w:val="006D4F50"/>
    <w:rsid w:val="006D55E0"/>
    <w:rsid w:val="006D5FB1"/>
    <w:rsid w:val="006D6381"/>
    <w:rsid w:val="006D6FAE"/>
    <w:rsid w:val="006D7644"/>
    <w:rsid w:val="006D7999"/>
    <w:rsid w:val="006E03DA"/>
    <w:rsid w:val="006E03ED"/>
    <w:rsid w:val="006E2E1D"/>
    <w:rsid w:val="006E3074"/>
    <w:rsid w:val="006E3904"/>
    <w:rsid w:val="006E3BF0"/>
    <w:rsid w:val="006E50CD"/>
    <w:rsid w:val="006E5A65"/>
    <w:rsid w:val="006E5B53"/>
    <w:rsid w:val="006E5EB4"/>
    <w:rsid w:val="006E68AD"/>
    <w:rsid w:val="006E6CA5"/>
    <w:rsid w:val="006E7129"/>
    <w:rsid w:val="006E756D"/>
    <w:rsid w:val="006F0A7B"/>
    <w:rsid w:val="006F1012"/>
    <w:rsid w:val="006F1537"/>
    <w:rsid w:val="006F1CF1"/>
    <w:rsid w:val="006F24B6"/>
    <w:rsid w:val="006F35ED"/>
    <w:rsid w:val="006F3DF0"/>
    <w:rsid w:val="006F3F6D"/>
    <w:rsid w:val="006F4557"/>
    <w:rsid w:val="006F5613"/>
    <w:rsid w:val="006F585C"/>
    <w:rsid w:val="006F64AA"/>
    <w:rsid w:val="006F7A42"/>
    <w:rsid w:val="0070072F"/>
    <w:rsid w:val="00700F29"/>
    <w:rsid w:val="00701DB3"/>
    <w:rsid w:val="00701DE8"/>
    <w:rsid w:val="00702039"/>
    <w:rsid w:val="00702111"/>
    <w:rsid w:val="007023E1"/>
    <w:rsid w:val="007026E4"/>
    <w:rsid w:val="007034F8"/>
    <w:rsid w:val="00703EE0"/>
    <w:rsid w:val="0070470A"/>
    <w:rsid w:val="007053C6"/>
    <w:rsid w:val="007055BB"/>
    <w:rsid w:val="00706858"/>
    <w:rsid w:val="00706B11"/>
    <w:rsid w:val="0070719F"/>
    <w:rsid w:val="0070721F"/>
    <w:rsid w:val="00710C70"/>
    <w:rsid w:val="007122CB"/>
    <w:rsid w:val="00712C23"/>
    <w:rsid w:val="007133FB"/>
    <w:rsid w:val="00713498"/>
    <w:rsid w:val="00714CCA"/>
    <w:rsid w:val="00714D70"/>
    <w:rsid w:val="00714D7D"/>
    <w:rsid w:val="00714F8A"/>
    <w:rsid w:val="00716350"/>
    <w:rsid w:val="00716786"/>
    <w:rsid w:val="007169B0"/>
    <w:rsid w:val="00716A85"/>
    <w:rsid w:val="00716BEE"/>
    <w:rsid w:val="00720017"/>
    <w:rsid w:val="007208DD"/>
    <w:rsid w:val="00720B11"/>
    <w:rsid w:val="00720DB7"/>
    <w:rsid w:val="00720DDE"/>
    <w:rsid w:val="007212B3"/>
    <w:rsid w:val="00721570"/>
    <w:rsid w:val="00721A27"/>
    <w:rsid w:val="00722679"/>
    <w:rsid w:val="00722984"/>
    <w:rsid w:val="00723142"/>
    <w:rsid w:val="00724037"/>
    <w:rsid w:val="00724943"/>
    <w:rsid w:val="00724C3B"/>
    <w:rsid w:val="00724E4B"/>
    <w:rsid w:val="0072558F"/>
    <w:rsid w:val="007258D4"/>
    <w:rsid w:val="00725F58"/>
    <w:rsid w:val="00725FF0"/>
    <w:rsid w:val="00726260"/>
    <w:rsid w:val="00726851"/>
    <w:rsid w:val="00727548"/>
    <w:rsid w:val="00727769"/>
    <w:rsid w:val="00730393"/>
    <w:rsid w:val="0073062D"/>
    <w:rsid w:val="00731355"/>
    <w:rsid w:val="0073135B"/>
    <w:rsid w:val="00731615"/>
    <w:rsid w:val="007316D9"/>
    <w:rsid w:val="00731E20"/>
    <w:rsid w:val="00732598"/>
    <w:rsid w:val="0073277F"/>
    <w:rsid w:val="00733064"/>
    <w:rsid w:val="00733300"/>
    <w:rsid w:val="007336F0"/>
    <w:rsid w:val="00733752"/>
    <w:rsid w:val="00733805"/>
    <w:rsid w:val="00733ADE"/>
    <w:rsid w:val="00733E0D"/>
    <w:rsid w:val="00733FF4"/>
    <w:rsid w:val="00734294"/>
    <w:rsid w:val="00734776"/>
    <w:rsid w:val="00735D8C"/>
    <w:rsid w:val="007361A3"/>
    <w:rsid w:val="007363E8"/>
    <w:rsid w:val="007366A7"/>
    <w:rsid w:val="007370CB"/>
    <w:rsid w:val="007372D5"/>
    <w:rsid w:val="00737A67"/>
    <w:rsid w:val="00737A6E"/>
    <w:rsid w:val="00740B70"/>
    <w:rsid w:val="0074119B"/>
    <w:rsid w:val="0074189C"/>
    <w:rsid w:val="00742970"/>
    <w:rsid w:val="007437A6"/>
    <w:rsid w:val="007439CD"/>
    <w:rsid w:val="00743AA0"/>
    <w:rsid w:val="00743DDC"/>
    <w:rsid w:val="007440DE"/>
    <w:rsid w:val="00744487"/>
    <w:rsid w:val="007445A3"/>
    <w:rsid w:val="00744602"/>
    <w:rsid w:val="00745297"/>
    <w:rsid w:val="00745D79"/>
    <w:rsid w:val="00745D96"/>
    <w:rsid w:val="00745ECB"/>
    <w:rsid w:val="00746185"/>
    <w:rsid w:val="00746D69"/>
    <w:rsid w:val="0074772C"/>
    <w:rsid w:val="007477EA"/>
    <w:rsid w:val="00747841"/>
    <w:rsid w:val="00747FC4"/>
    <w:rsid w:val="007503AD"/>
    <w:rsid w:val="00750A7A"/>
    <w:rsid w:val="00751089"/>
    <w:rsid w:val="007519B4"/>
    <w:rsid w:val="00751F1F"/>
    <w:rsid w:val="0075228E"/>
    <w:rsid w:val="00752DC7"/>
    <w:rsid w:val="00753A31"/>
    <w:rsid w:val="00753E42"/>
    <w:rsid w:val="007543D5"/>
    <w:rsid w:val="007548EA"/>
    <w:rsid w:val="007550A9"/>
    <w:rsid w:val="00756C35"/>
    <w:rsid w:val="00757B7F"/>
    <w:rsid w:val="00757BF7"/>
    <w:rsid w:val="00760737"/>
    <w:rsid w:val="00761658"/>
    <w:rsid w:val="0076192A"/>
    <w:rsid w:val="00762A71"/>
    <w:rsid w:val="00762AA0"/>
    <w:rsid w:val="00762AB3"/>
    <w:rsid w:val="00762B69"/>
    <w:rsid w:val="00762D1D"/>
    <w:rsid w:val="00763844"/>
    <w:rsid w:val="007638A2"/>
    <w:rsid w:val="00763BE0"/>
    <w:rsid w:val="007668F1"/>
    <w:rsid w:val="00767A84"/>
    <w:rsid w:val="00767ACC"/>
    <w:rsid w:val="00767BEE"/>
    <w:rsid w:val="00767D9F"/>
    <w:rsid w:val="00767FCA"/>
    <w:rsid w:val="007713EC"/>
    <w:rsid w:val="00771F77"/>
    <w:rsid w:val="00772081"/>
    <w:rsid w:val="0077281D"/>
    <w:rsid w:val="00772DD6"/>
    <w:rsid w:val="007732AB"/>
    <w:rsid w:val="007736F8"/>
    <w:rsid w:val="00773A8B"/>
    <w:rsid w:val="00773F59"/>
    <w:rsid w:val="00774A9E"/>
    <w:rsid w:val="00776135"/>
    <w:rsid w:val="0077726B"/>
    <w:rsid w:val="00777DBC"/>
    <w:rsid w:val="00777EF4"/>
    <w:rsid w:val="00777F1A"/>
    <w:rsid w:val="00780207"/>
    <w:rsid w:val="007803ED"/>
    <w:rsid w:val="0078070A"/>
    <w:rsid w:val="00780873"/>
    <w:rsid w:val="0078112B"/>
    <w:rsid w:val="00781532"/>
    <w:rsid w:val="007817BE"/>
    <w:rsid w:val="0078220A"/>
    <w:rsid w:val="007828AE"/>
    <w:rsid w:val="007836D1"/>
    <w:rsid w:val="00783DD5"/>
    <w:rsid w:val="007840A2"/>
    <w:rsid w:val="00785EA7"/>
    <w:rsid w:val="00785F80"/>
    <w:rsid w:val="0078615F"/>
    <w:rsid w:val="007874B4"/>
    <w:rsid w:val="0079043F"/>
    <w:rsid w:val="0079072A"/>
    <w:rsid w:val="00790B73"/>
    <w:rsid w:val="00790BE1"/>
    <w:rsid w:val="007913E2"/>
    <w:rsid w:val="00792137"/>
    <w:rsid w:val="00792306"/>
    <w:rsid w:val="0079242B"/>
    <w:rsid w:val="00794186"/>
    <w:rsid w:val="00794755"/>
    <w:rsid w:val="007948CA"/>
    <w:rsid w:val="0079556C"/>
    <w:rsid w:val="007958A3"/>
    <w:rsid w:val="00795CE1"/>
    <w:rsid w:val="007961FF"/>
    <w:rsid w:val="00796633"/>
    <w:rsid w:val="00796A03"/>
    <w:rsid w:val="00796EBE"/>
    <w:rsid w:val="00797833"/>
    <w:rsid w:val="00797D80"/>
    <w:rsid w:val="00797E4C"/>
    <w:rsid w:val="00797E53"/>
    <w:rsid w:val="007A0CB9"/>
    <w:rsid w:val="007A0EDC"/>
    <w:rsid w:val="007A1201"/>
    <w:rsid w:val="007A12E2"/>
    <w:rsid w:val="007A14B0"/>
    <w:rsid w:val="007A15DA"/>
    <w:rsid w:val="007A1AFA"/>
    <w:rsid w:val="007A1F6B"/>
    <w:rsid w:val="007A2AB8"/>
    <w:rsid w:val="007A2C76"/>
    <w:rsid w:val="007A32E5"/>
    <w:rsid w:val="007A3D92"/>
    <w:rsid w:val="007A3FA2"/>
    <w:rsid w:val="007A4AF3"/>
    <w:rsid w:val="007A4C1B"/>
    <w:rsid w:val="007A6002"/>
    <w:rsid w:val="007A652B"/>
    <w:rsid w:val="007A6D33"/>
    <w:rsid w:val="007A6D55"/>
    <w:rsid w:val="007A7F61"/>
    <w:rsid w:val="007B002D"/>
    <w:rsid w:val="007B04BD"/>
    <w:rsid w:val="007B081C"/>
    <w:rsid w:val="007B08D2"/>
    <w:rsid w:val="007B0939"/>
    <w:rsid w:val="007B10F3"/>
    <w:rsid w:val="007B1162"/>
    <w:rsid w:val="007B144F"/>
    <w:rsid w:val="007B1733"/>
    <w:rsid w:val="007B2465"/>
    <w:rsid w:val="007B26CB"/>
    <w:rsid w:val="007B2C42"/>
    <w:rsid w:val="007B35EC"/>
    <w:rsid w:val="007B360D"/>
    <w:rsid w:val="007B366D"/>
    <w:rsid w:val="007B3B04"/>
    <w:rsid w:val="007B49CD"/>
    <w:rsid w:val="007B4C57"/>
    <w:rsid w:val="007B577A"/>
    <w:rsid w:val="007B6094"/>
    <w:rsid w:val="007B63B5"/>
    <w:rsid w:val="007B6648"/>
    <w:rsid w:val="007B69C7"/>
    <w:rsid w:val="007B6A9C"/>
    <w:rsid w:val="007B713B"/>
    <w:rsid w:val="007B782E"/>
    <w:rsid w:val="007C050B"/>
    <w:rsid w:val="007C0615"/>
    <w:rsid w:val="007C07A8"/>
    <w:rsid w:val="007C1A6E"/>
    <w:rsid w:val="007C28B6"/>
    <w:rsid w:val="007C3D4F"/>
    <w:rsid w:val="007C3F3C"/>
    <w:rsid w:val="007C3F5C"/>
    <w:rsid w:val="007C459F"/>
    <w:rsid w:val="007C4E9D"/>
    <w:rsid w:val="007C5934"/>
    <w:rsid w:val="007C59FD"/>
    <w:rsid w:val="007C5EE5"/>
    <w:rsid w:val="007C6285"/>
    <w:rsid w:val="007C6586"/>
    <w:rsid w:val="007C6BAD"/>
    <w:rsid w:val="007C6CBD"/>
    <w:rsid w:val="007D00CE"/>
    <w:rsid w:val="007D0141"/>
    <w:rsid w:val="007D1181"/>
    <w:rsid w:val="007D1778"/>
    <w:rsid w:val="007D19DD"/>
    <w:rsid w:val="007D1B59"/>
    <w:rsid w:val="007D24FA"/>
    <w:rsid w:val="007D26F9"/>
    <w:rsid w:val="007D29B9"/>
    <w:rsid w:val="007D3019"/>
    <w:rsid w:val="007D3B6F"/>
    <w:rsid w:val="007D3F4E"/>
    <w:rsid w:val="007D3FFC"/>
    <w:rsid w:val="007D4217"/>
    <w:rsid w:val="007D4DD5"/>
    <w:rsid w:val="007D53B6"/>
    <w:rsid w:val="007D65D0"/>
    <w:rsid w:val="007D6BC3"/>
    <w:rsid w:val="007D6E8D"/>
    <w:rsid w:val="007D7602"/>
    <w:rsid w:val="007E016C"/>
    <w:rsid w:val="007E0A45"/>
    <w:rsid w:val="007E0A93"/>
    <w:rsid w:val="007E0FB3"/>
    <w:rsid w:val="007E1036"/>
    <w:rsid w:val="007E10BC"/>
    <w:rsid w:val="007E1546"/>
    <w:rsid w:val="007E1857"/>
    <w:rsid w:val="007E223D"/>
    <w:rsid w:val="007E2638"/>
    <w:rsid w:val="007E2764"/>
    <w:rsid w:val="007E2E00"/>
    <w:rsid w:val="007E376A"/>
    <w:rsid w:val="007E46C0"/>
    <w:rsid w:val="007E480F"/>
    <w:rsid w:val="007E4F86"/>
    <w:rsid w:val="007E59D3"/>
    <w:rsid w:val="007E5E44"/>
    <w:rsid w:val="007E5FF2"/>
    <w:rsid w:val="007E71A0"/>
    <w:rsid w:val="007E7271"/>
    <w:rsid w:val="007E776B"/>
    <w:rsid w:val="007E7E07"/>
    <w:rsid w:val="007F0C9E"/>
    <w:rsid w:val="007F1363"/>
    <w:rsid w:val="007F1839"/>
    <w:rsid w:val="007F20A9"/>
    <w:rsid w:val="007F2A8A"/>
    <w:rsid w:val="007F3599"/>
    <w:rsid w:val="007F36D4"/>
    <w:rsid w:val="007F3B98"/>
    <w:rsid w:val="007F4A26"/>
    <w:rsid w:val="007F5082"/>
    <w:rsid w:val="007F50F4"/>
    <w:rsid w:val="007F53DA"/>
    <w:rsid w:val="007F579C"/>
    <w:rsid w:val="007F60CE"/>
    <w:rsid w:val="007F6E03"/>
    <w:rsid w:val="007F7FE3"/>
    <w:rsid w:val="00800C07"/>
    <w:rsid w:val="008013FE"/>
    <w:rsid w:val="00801B73"/>
    <w:rsid w:val="00801F64"/>
    <w:rsid w:val="00801F75"/>
    <w:rsid w:val="008026C2"/>
    <w:rsid w:val="008029A7"/>
    <w:rsid w:val="00802BB5"/>
    <w:rsid w:val="008034CA"/>
    <w:rsid w:val="0080391E"/>
    <w:rsid w:val="00803C1E"/>
    <w:rsid w:val="00804BC4"/>
    <w:rsid w:val="00804DFA"/>
    <w:rsid w:val="00805F20"/>
    <w:rsid w:val="00805F21"/>
    <w:rsid w:val="00806149"/>
    <w:rsid w:val="00806C0B"/>
    <w:rsid w:val="00807065"/>
    <w:rsid w:val="00810338"/>
    <w:rsid w:val="008106FB"/>
    <w:rsid w:val="00810F53"/>
    <w:rsid w:val="008112E9"/>
    <w:rsid w:val="00811537"/>
    <w:rsid w:val="008117A5"/>
    <w:rsid w:val="008119C5"/>
    <w:rsid w:val="00811E4C"/>
    <w:rsid w:val="00811EA9"/>
    <w:rsid w:val="0081228F"/>
    <w:rsid w:val="00812D37"/>
    <w:rsid w:val="00812E86"/>
    <w:rsid w:val="008130E7"/>
    <w:rsid w:val="0081416F"/>
    <w:rsid w:val="00814180"/>
    <w:rsid w:val="008146B4"/>
    <w:rsid w:val="00815118"/>
    <w:rsid w:val="00815158"/>
    <w:rsid w:val="00815693"/>
    <w:rsid w:val="0081643B"/>
    <w:rsid w:val="008179DA"/>
    <w:rsid w:val="008200DE"/>
    <w:rsid w:val="0082044C"/>
    <w:rsid w:val="00820814"/>
    <w:rsid w:val="00821113"/>
    <w:rsid w:val="008220C0"/>
    <w:rsid w:val="008235BD"/>
    <w:rsid w:val="008237FC"/>
    <w:rsid w:val="00823911"/>
    <w:rsid w:val="00823A40"/>
    <w:rsid w:val="00823F53"/>
    <w:rsid w:val="00824DC0"/>
    <w:rsid w:val="00825535"/>
    <w:rsid w:val="0082573A"/>
    <w:rsid w:val="008264A5"/>
    <w:rsid w:val="008267C2"/>
    <w:rsid w:val="008279CC"/>
    <w:rsid w:val="008301A1"/>
    <w:rsid w:val="0083022B"/>
    <w:rsid w:val="00830C16"/>
    <w:rsid w:val="00831158"/>
    <w:rsid w:val="008313CC"/>
    <w:rsid w:val="00831973"/>
    <w:rsid w:val="00832D32"/>
    <w:rsid w:val="008330B7"/>
    <w:rsid w:val="00833A26"/>
    <w:rsid w:val="00833D22"/>
    <w:rsid w:val="0083411C"/>
    <w:rsid w:val="00834291"/>
    <w:rsid w:val="0083474F"/>
    <w:rsid w:val="00835684"/>
    <w:rsid w:val="008357B5"/>
    <w:rsid w:val="0083604F"/>
    <w:rsid w:val="008373B2"/>
    <w:rsid w:val="00837FA0"/>
    <w:rsid w:val="00840282"/>
    <w:rsid w:val="00840649"/>
    <w:rsid w:val="00842589"/>
    <w:rsid w:val="00842664"/>
    <w:rsid w:val="00842E4E"/>
    <w:rsid w:val="008439D3"/>
    <w:rsid w:val="00845161"/>
    <w:rsid w:val="0084517D"/>
    <w:rsid w:val="00845BF8"/>
    <w:rsid w:val="00845DD7"/>
    <w:rsid w:val="00846161"/>
    <w:rsid w:val="0084675B"/>
    <w:rsid w:val="00846B28"/>
    <w:rsid w:val="008471A6"/>
    <w:rsid w:val="00847497"/>
    <w:rsid w:val="00847FCB"/>
    <w:rsid w:val="00850215"/>
    <w:rsid w:val="008504AA"/>
    <w:rsid w:val="00851A62"/>
    <w:rsid w:val="00853702"/>
    <w:rsid w:val="008538EA"/>
    <w:rsid w:val="008540BB"/>
    <w:rsid w:val="008541A0"/>
    <w:rsid w:val="00854251"/>
    <w:rsid w:val="008543C5"/>
    <w:rsid w:val="008545E4"/>
    <w:rsid w:val="00854B15"/>
    <w:rsid w:val="0085506F"/>
    <w:rsid w:val="00855523"/>
    <w:rsid w:val="00855726"/>
    <w:rsid w:val="00856039"/>
    <w:rsid w:val="008561F5"/>
    <w:rsid w:val="008564E6"/>
    <w:rsid w:val="00856E39"/>
    <w:rsid w:val="0085763C"/>
    <w:rsid w:val="00860293"/>
    <w:rsid w:val="00860D48"/>
    <w:rsid w:val="00861267"/>
    <w:rsid w:val="0086136D"/>
    <w:rsid w:val="00861822"/>
    <w:rsid w:val="00862353"/>
    <w:rsid w:val="00862F96"/>
    <w:rsid w:val="00863AF3"/>
    <w:rsid w:val="00863D52"/>
    <w:rsid w:val="00864B71"/>
    <w:rsid w:val="00864FDF"/>
    <w:rsid w:val="0086573D"/>
    <w:rsid w:val="0086664E"/>
    <w:rsid w:val="00866C24"/>
    <w:rsid w:val="00870493"/>
    <w:rsid w:val="008706BD"/>
    <w:rsid w:val="0087086B"/>
    <w:rsid w:val="00870AA3"/>
    <w:rsid w:val="008711EE"/>
    <w:rsid w:val="00871B70"/>
    <w:rsid w:val="00872666"/>
    <w:rsid w:val="008726BB"/>
    <w:rsid w:val="008738FE"/>
    <w:rsid w:val="00873E60"/>
    <w:rsid w:val="00874A40"/>
    <w:rsid w:val="00874D53"/>
    <w:rsid w:val="00874D81"/>
    <w:rsid w:val="00875442"/>
    <w:rsid w:val="00875633"/>
    <w:rsid w:val="00875883"/>
    <w:rsid w:val="008769DF"/>
    <w:rsid w:val="008770DC"/>
    <w:rsid w:val="00877987"/>
    <w:rsid w:val="00877CC5"/>
    <w:rsid w:val="00880D08"/>
    <w:rsid w:val="00880E81"/>
    <w:rsid w:val="00880F91"/>
    <w:rsid w:val="00882917"/>
    <w:rsid w:val="00883345"/>
    <w:rsid w:val="0088370B"/>
    <w:rsid w:val="0088423A"/>
    <w:rsid w:val="00884A92"/>
    <w:rsid w:val="00884D0F"/>
    <w:rsid w:val="0088685A"/>
    <w:rsid w:val="00886BE3"/>
    <w:rsid w:val="00886FE9"/>
    <w:rsid w:val="008874E3"/>
    <w:rsid w:val="0088774B"/>
    <w:rsid w:val="00887BAB"/>
    <w:rsid w:val="00887DD7"/>
    <w:rsid w:val="00890063"/>
    <w:rsid w:val="00891062"/>
    <w:rsid w:val="00891544"/>
    <w:rsid w:val="0089168B"/>
    <w:rsid w:val="008917F6"/>
    <w:rsid w:val="008918B8"/>
    <w:rsid w:val="00891D9B"/>
    <w:rsid w:val="00892896"/>
    <w:rsid w:val="008928CB"/>
    <w:rsid w:val="00893293"/>
    <w:rsid w:val="008939B7"/>
    <w:rsid w:val="00893E30"/>
    <w:rsid w:val="00894192"/>
    <w:rsid w:val="00894427"/>
    <w:rsid w:val="0089442A"/>
    <w:rsid w:val="008949A9"/>
    <w:rsid w:val="00895C47"/>
    <w:rsid w:val="0089601F"/>
    <w:rsid w:val="0089641A"/>
    <w:rsid w:val="0089642A"/>
    <w:rsid w:val="00896B65"/>
    <w:rsid w:val="00897216"/>
    <w:rsid w:val="00897ED8"/>
    <w:rsid w:val="008A165A"/>
    <w:rsid w:val="008A2942"/>
    <w:rsid w:val="008A2AF8"/>
    <w:rsid w:val="008A2B24"/>
    <w:rsid w:val="008A2EA1"/>
    <w:rsid w:val="008A4CA5"/>
    <w:rsid w:val="008A5D4E"/>
    <w:rsid w:val="008A756A"/>
    <w:rsid w:val="008A773B"/>
    <w:rsid w:val="008A7863"/>
    <w:rsid w:val="008A7A47"/>
    <w:rsid w:val="008B0A53"/>
    <w:rsid w:val="008B0B95"/>
    <w:rsid w:val="008B1C3E"/>
    <w:rsid w:val="008B2051"/>
    <w:rsid w:val="008B3651"/>
    <w:rsid w:val="008B3DBD"/>
    <w:rsid w:val="008B4516"/>
    <w:rsid w:val="008B5048"/>
    <w:rsid w:val="008B5335"/>
    <w:rsid w:val="008B5F9D"/>
    <w:rsid w:val="008B6B39"/>
    <w:rsid w:val="008B6EA7"/>
    <w:rsid w:val="008B7457"/>
    <w:rsid w:val="008B7577"/>
    <w:rsid w:val="008C063A"/>
    <w:rsid w:val="008C0721"/>
    <w:rsid w:val="008C0F09"/>
    <w:rsid w:val="008C151F"/>
    <w:rsid w:val="008C18E1"/>
    <w:rsid w:val="008C2454"/>
    <w:rsid w:val="008C2C5C"/>
    <w:rsid w:val="008C351B"/>
    <w:rsid w:val="008C3FE2"/>
    <w:rsid w:val="008C46E2"/>
    <w:rsid w:val="008C5446"/>
    <w:rsid w:val="008C5C7F"/>
    <w:rsid w:val="008C5D8B"/>
    <w:rsid w:val="008C5F22"/>
    <w:rsid w:val="008C68DB"/>
    <w:rsid w:val="008C6D49"/>
    <w:rsid w:val="008C7741"/>
    <w:rsid w:val="008C7BD8"/>
    <w:rsid w:val="008D10FA"/>
    <w:rsid w:val="008D119A"/>
    <w:rsid w:val="008D13A0"/>
    <w:rsid w:val="008D1564"/>
    <w:rsid w:val="008D1A43"/>
    <w:rsid w:val="008D1AFA"/>
    <w:rsid w:val="008D1FF2"/>
    <w:rsid w:val="008D2309"/>
    <w:rsid w:val="008D2540"/>
    <w:rsid w:val="008D327F"/>
    <w:rsid w:val="008D371A"/>
    <w:rsid w:val="008D45D8"/>
    <w:rsid w:val="008D4BA9"/>
    <w:rsid w:val="008D53CD"/>
    <w:rsid w:val="008D541B"/>
    <w:rsid w:val="008D5DF5"/>
    <w:rsid w:val="008D6614"/>
    <w:rsid w:val="008D6949"/>
    <w:rsid w:val="008D6EEE"/>
    <w:rsid w:val="008D72B0"/>
    <w:rsid w:val="008D7A33"/>
    <w:rsid w:val="008D7CAC"/>
    <w:rsid w:val="008E2C82"/>
    <w:rsid w:val="008E3181"/>
    <w:rsid w:val="008E354E"/>
    <w:rsid w:val="008E4C36"/>
    <w:rsid w:val="008E56A4"/>
    <w:rsid w:val="008E6AA2"/>
    <w:rsid w:val="008E75F1"/>
    <w:rsid w:val="008E7603"/>
    <w:rsid w:val="008F0725"/>
    <w:rsid w:val="008F0D59"/>
    <w:rsid w:val="008F0EAF"/>
    <w:rsid w:val="008F0FDA"/>
    <w:rsid w:val="008F171A"/>
    <w:rsid w:val="008F3C28"/>
    <w:rsid w:val="008F3C93"/>
    <w:rsid w:val="008F4051"/>
    <w:rsid w:val="008F432D"/>
    <w:rsid w:val="008F46ED"/>
    <w:rsid w:val="008F5CE6"/>
    <w:rsid w:val="008F5DE6"/>
    <w:rsid w:val="008F6809"/>
    <w:rsid w:val="008F6851"/>
    <w:rsid w:val="008F714D"/>
    <w:rsid w:val="008F74F3"/>
    <w:rsid w:val="008F764D"/>
    <w:rsid w:val="008F77DC"/>
    <w:rsid w:val="008F7A97"/>
    <w:rsid w:val="00900485"/>
    <w:rsid w:val="00900604"/>
    <w:rsid w:val="00900664"/>
    <w:rsid w:val="00901CBE"/>
    <w:rsid w:val="00901FD6"/>
    <w:rsid w:val="0090233F"/>
    <w:rsid w:val="00902545"/>
    <w:rsid w:val="0090265C"/>
    <w:rsid w:val="00902771"/>
    <w:rsid w:val="00902C8C"/>
    <w:rsid w:val="00903AAE"/>
    <w:rsid w:val="00903C2C"/>
    <w:rsid w:val="009042CA"/>
    <w:rsid w:val="0090441D"/>
    <w:rsid w:val="00904C80"/>
    <w:rsid w:val="009052E6"/>
    <w:rsid w:val="00905FF3"/>
    <w:rsid w:val="00906A04"/>
    <w:rsid w:val="00906A68"/>
    <w:rsid w:val="0090722A"/>
    <w:rsid w:val="00907B8E"/>
    <w:rsid w:val="00907BC0"/>
    <w:rsid w:val="009105AF"/>
    <w:rsid w:val="009109D3"/>
    <w:rsid w:val="00912CC7"/>
    <w:rsid w:val="00914222"/>
    <w:rsid w:val="00914B41"/>
    <w:rsid w:val="00914B85"/>
    <w:rsid w:val="009152CD"/>
    <w:rsid w:val="00915562"/>
    <w:rsid w:val="00915A02"/>
    <w:rsid w:val="00916025"/>
    <w:rsid w:val="0091604F"/>
    <w:rsid w:val="0091606D"/>
    <w:rsid w:val="0091679F"/>
    <w:rsid w:val="009168A1"/>
    <w:rsid w:val="00916BC0"/>
    <w:rsid w:val="00920126"/>
    <w:rsid w:val="00920258"/>
    <w:rsid w:val="0092056B"/>
    <w:rsid w:val="00920F0D"/>
    <w:rsid w:val="00921579"/>
    <w:rsid w:val="00921675"/>
    <w:rsid w:val="00921FB3"/>
    <w:rsid w:val="009223F5"/>
    <w:rsid w:val="00922EAB"/>
    <w:rsid w:val="0092378B"/>
    <w:rsid w:val="0092388A"/>
    <w:rsid w:val="00923DA2"/>
    <w:rsid w:val="00923FF5"/>
    <w:rsid w:val="00924374"/>
    <w:rsid w:val="00924920"/>
    <w:rsid w:val="009250EA"/>
    <w:rsid w:val="0092531B"/>
    <w:rsid w:val="00925A1E"/>
    <w:rsid w:val="00926199"/>
    <w:rsid w:val="00926906"/>
    <w:rsid w:val="00926A40"/>
    <w:rsid w:val="00926F87"/>
    <w:rsid w:val="00927A1A"/>
    <w:rsid w:val="00927A43"/>
    <w:rsid w:val="00927A8C"/>
    <w:rsid w:val="009300EA"/>
    <w:rsid w:val="00931771"/>
    <w:rsid w:val="00932162"/>
    <w:rsid w:val="009328DE"/>
    <w:rsid w:val="009329DD"/>
    <w:rsid w:val="00932A56"/>
    <w:rsid w:val="00932B8F"/>
    <w:rsid w:val="00933328"/>
    <w:rsid w:val="009339B6"/>
    <w:rsid w:val="00933DA5"/>
    <w:rsid w:val="009340C1"/>
    <w:rsid w:val="00935462"/>
    <w:rsid w:val="009359FC"/>
    <w:rsid w:val="0093628D"/>
    <w:rsid w:val="00936CA6"/>
    <w:rsid w:val="00936D74"/>
    <w:rsid w:val="00936F6F"/>
    <w:rsid w:val="009408B1"/>
    <w:rsid w:val="009416BB"/>
    <w:rsid w:val="0094175C"/>
    <w:rsid w:val="00941CA3"/>
    <w:rsid w:val="00941D11"/>
    <w:rsid w:val="00942361"/>
    <w:rsid w:val="009426DD"/>
    <w:rsid w:val="00942B99"/>
    <w:rsid w:val="00942EEA"/>
    <w:rsid w:val="00943618"/>
    <w:rsid w:val="00943DE5"/>
    <w:rsid w:val="00945A6B"/>
    <w:rsid w:val="009465E8"/>
    <w:rsid w:val="0094667F"/>
    <w:rsid w:val="009466BF"/>
    <w:rsid w:val="009466DB"/>
    <w:rsid w:val="00946C2E"/>
    <w:rsid w:val="00947A3F"/>
    <w:rsid w:val="00947C17"/>
    <w:rsid w:val="00947C38"/>
    <w:rsid w:val="00947D23"/>
    <w:rsid w:val="00950022"/>
    <w:rsid w:val="0095006F"/>
    <w:rsid w:val="00950B15"/>
    <w:rsid w:val="009516E6"/>
    <w:rsid w:val="00951765"/>
    <w:rsid w:val="0095183F"/>
    <w:rsid w:val="00951CED"/>
    <w:rsid w:val="00951E3E"/>
    <w:rsid w:val="00951EA8"/>
    <w:rsid w:val="00951F5F"/>
    <w:rsid w:val="00952073"/>
    <w:rsid w:val="00952262"/>
    <w:rsid w:val="00952555"/>
    <w:rsid w:val="009527A6"/>
    <w:rsid w:val="00952986"/>
    <w:rsid w:val="00952A11"/>
    <w:rsid w:val="00952C77"/>
    <w:rsid w:val="009532E2"/>
    <w:rsid w:val="00953DDE"/>
    <w:rsid w:val="00955474"/>
    <w:rsid w:val="00955622"/>
    <w:rsid w:val="00955DA9"/>
    <w:rsid w:val="0095654E"/>
    <w:rsid w:val="0095663E"/>
    <w:rsid w:val="0095680C"/>
    <w:rsid w:val="00956A9D"/>
    <w:rsid w:val="00956F7D"/>
    <w:rsid w:val="00957143"/>
    <w:rsid w:val="00957AF4"/>
    <w:rsid w:val="009600B5"/>
    <w:rsid w:val="00960656"/>
    <w:rsid w:val="00960B43"/>
    <w:rsid w:val="00961B6A"/>
    <w:rsid w:val="00961D8C"/>
    <w:rsid w:val="00962856"/>
    <w:rsid w:val="009629D0"/>
    <w:rsid w:val="009638CA"/>
    <w:rsid w:val="00963B05"/>
    <w:rsid w:val="00963CE0"/>
    <w:rsid w:val="0096432E"/>
    <w:rsid w:val="00964368"/>
    <w:rsid w:val="009646F6"/>
    <w:rsid w:val="00964D0A"/>
    <w:rsid w:val="009663C4"/>
    <w:rsid w:val="0096714A"/>
    <w:rsid w:val="00967C58"/>
    <w:rsid w:val="00967E2F"/>
    <w:rsid w:val="00967F6F"/>
    <w:rsid w:val="009709EB"/>
    <w:rsid w:val="00970D09"/>
    <w:rsid w:val="00971AE3"/>
    <w:rsid w:val="00972A63"/>
    <w:rsid w:val="009735A0"/>
    <w:rsid w:val="00973995"/>
    <w:rsid w:val="0097481D"/>
    <w:rsid w:val="00974B09"/>
    <w:rsid w:val="00975989"/>
    <w:rsid w:val="00976610"/>
    <w:rsid w:val="00980838"/>
    <w:rsid w:val="0098106D"/>
    <w:rsid w:val="009821EF"/>
    <w:rsid w:val="009826BA"/>
    <w:rsid w:val="00982EA7"/>
    <w:rsid w:val="00983E64"/>
    <w:rsid w:val="00983EE4"/>
    <w:rsid w:val="009848BF"/>
    <w:rsid w:val="0098493F"/>
    <w:rsid w:val="00984A98"/>
    <w:rsid w:val="00984AEF"/>
    <w:rsid w:val="0098507B"/>
    <w:rsid w:val="00985550"/>
    <w:rsid w:val="009863BD"/>
    <w:rsid w:val="00986E0A"/>
    <w:rsid w:val="00987536"/>
    <w:rsid w:val="00987C6F"/>
    <w:rsid w:val="00990A36"/>
    <w:rsid w:val="00990AAA"/>
    <w:rsid w:val="00991B5C"/>
    <w:rsid w:val="00992516"/>
    <w:rsid w:val="009925BA"/>
    <w:rsid w:val="009929E8"/>
    <w:rsid w:val="00992C80"/>
    <w:rsid w:val="00992CE8"/>
    <w:rsid w:val="00993704"/>
    <w:rsid w:val="009938A3"/>
    <w:rsid w:val="009939A9"/>
    <w:rsid w:val="00993AFC"/>
    <w:rsid w:val="00994322"/>
    <w:rsid w:val="00994347"/>
    <w:rsid w:val="0099456D"/>
    <w:rsid w:val="00994A42"/>
    <w:rsid w:val="00995049"/>
    <w:rsid w:val="00995576"/>
    <w:rsid w:val="00995EAB"/>
    <w:rsid w:val="0099709B"/>
    <w:rsid w:val="009971CA"/>
    <w:rsid w:val="009A0115"/>
    <w:rsid w:val="009A0952"/>
    <w:rsid w:val="009A0B94"/>
    <w:rsid w:val="009A1DF2"/>
    <w:rsid w:val="009A24CC"/>
    <w:rsid w:val="009A25D0"/>
    <w:rsid w:val="009A3984"/>
    <w:rsid w:val="009A40D7"/>
    <w:rsid w:val="009A49F4"/>
    <w:rsid w:val="009A57CF"/>
    <w:rsid w:val="009A676F"/>
    <w:rsid w:val="009A6A09"/>
    <w:rsid w:val="009A6C7B"/>
    <w:rsid w:val="009A6D3D"/>
    <w:rsid w:val="009A73AA"/>
    <w:rsid w:val="009A73F9"/>
    <w:rsid w:val="009B05FF"/>
    <w:rsid w:val="009B101D"/>
    <w:rsid w:val="009B1E43"/>
    <w:rsid w:val="009B2166"/>
    <w:rsid w:val="009B25CD"/>
    <w:rsid w:val="009B314A"/>
    <w:rsid w:val="009B3B25"/>
    <w:rsid w:val="009B46D8"/>
    <w:rsid w:val="009B565C"/>
    <w:rsid w:val="009B6256"/>
    <w:rsid w:val="009B6BF5"/>
    <w:rsid w:val="009B71C2"/>
    <w:rsid w:val="009B7770"/>
    <w:rsid w:val="009B7F60"/>
    <w:rsid w:val="009C00A1"/>
    <w:rsid w:val="009C0A7C"/>
    <w:rsid w:val="009C0CC9"/>
    <w:rsid w:val="009C12F9"/>
    <w:rsid w:val="009C1794"/>
    <w:rsid w:val="009C1D67"/>
    <w:rsid w:val="009C2086"/>
    <w:rsid w:val="009C2151"/>
    <w:rsid w:val="009C26ED"/>
    <w:rsid w:val="009C2C2A"/>
    <w:rsid w:val="009C2F4C"/>
    <w:rsid w:val="009C3A83"/>
    <w:rsid w:val="009C430A"/>
    <w:rsid w:val="009C4477"/>
    <w:rsid w:val="009C45DE"/>
    <w:rsid w:val="009C4621"/>
    <w:rsid w:val="009C4E56"/>
    <w:rsid w:val="009C53CC"/>
    <w:rsid w:val="009C57FF"/>
    <w:rsid w:val="009C58FA"/>
    <w:rsid w:val="009C7693"/>
    <w:rsid w:val="009C7B1A"/>
    <w:rsid w:val="009D0130"/>
    <w:rsid w:val="009D04CE"/>
    <w:rsid w:val="009D0801"/>
    <w:rsid w:val="009D14AE"/>
    <w:rsid w:val="009D1518"/>
    <w:rsid w:val="009D2E86"/>
    <w:rsid w:val="009D316D"/>
    <w:rsid w:val="009D3504"/>
    <w:rsid w:val="009D38D1"/>
    <w:rsid w:val="009D3EB6"/>
    <w:rsid w:val="009D4A68"/>
    <w:rsid w:val="009D50C5"/>
    <w:rsid w:val="009D5E8C"/>
    <w:rsid w:val="009D63E8"/>
    <w:rsid w:val="009D64B2"/>
    <w:rsid w:val="009D7826"/>
    <w:rsid w:val="009D7CEA"/>
    <w:rsid w:val="009D7E61"/>
    <w:rsid w:val="009E095B"/>
    <w:rsid w:val="009E0BAA"/>
    <w:rsid w:val="009E1904"/>
    <w:rsid w:val="009E1CD0"/>
    <w:rsid w:val="009E298F"/>
    <w:rsid w:val="009E2D53"/>
    <w:rsid w:val="009E305E"/>
    <w:rsid w:val="009E35D0"/>
    <w:rsid w:val="009E3DB3"/>
    <w:rsid w:val="009E3FC5"/>
    <w:rsid w:val="009E499A"/>
    <w:rsid w:val="009E4ED9"/>
    <w:rsid w:val="009E7234"/>
    <w:rsid w:val="009E7B53"/>
    <w:rsid w:val="009E7DE7"/>
    <w:rsid w:val="009F2EC5"/>
    <w:rsid w:val="009F35D0"/>
    <w:rsid w:val="009F3788"/>
    <w:rsid w:val="009F3A84"/>
    <w:rsid w:val="009F3B04"/>
    <w:rsid w:val="009F444D"/>
    <w:rsid w:val="009F4891"/>
    <w:rsid w:val="009F5126"/>
    <w:rsid w:val="009F549A"/>
    <w:rsid w:val="009F55D9"/>
    <w:rsid w:val="009F668A"/>
    <w:rsid w:val="009F6E68"/>
    <w:rsid w:val="009F7C4E"/>
    <w:rsid w:val="009F7DBA"/>
    <w:rsid w:val="00A000C8"/>
    <w:rsid w:val="00A00A30"/>
    <w:rsid w:val="00A00DF8"/>
    <w:rsid w:val="00A013C7"/>
    <w:rsid w:val="00A01528"/>
    <w:rsid w:val="00A01C35"/>
    <w:rsid w:val="00A02420"/>
    <w:rsid w:val="00A0269D"/>
    <w:rsid w:val="00A0276A"/>
    <w:rsid w:val="00A0370C"/>
    <w:rsid w:val="00A03754"/>
    <w:rsid w:val="00A04248"/>
    <w:rsid w:val="00A044CF"/>
    <w:rsid w:val="00A04BAB"/>
    <w:rsid w:val="00A0515A"/>
    <w:rsid w:val="00A0582B"/>
    <w:rsid w:val="00A05DD7"/>
    <w:rsid w:val="00A061B2"/>
    <w:rsid w:val="00A06300"/>
    <w:rsid w:val="00A06827"/>
    <w:rsid w:val="00A108E6"/>
    <w:rsid w:val="00A10928"/>
    <w:rsid w:val="00A11153"/>
    <w:rsid w:val="00A121EC"/>
    <w:rsid w:val="00A12A25"/>
    <w:rsid w:val="00A138BE"/>
    <w:rsid w:val="00A14EB4"/>
    <w:rsid w:val="00A155A1"/>
    <w:rsid w:val="00A159DC"/>
    <w:rsid w:val="00A15CA1"/>
    <w:rsid w:val="00A166B7"/>
    <w:rsid w:val="00A16BE2"/>
    <w:rsid w:val="00A16D89"/>
    <w:rsid w:val="00A17175"/>
    <w:rsid w:val="00A1768D"/>
    <w:rsid w:val="00A178B2"/>
    <w:rsid w:val="00A17E66"/>
    <w:rsid w:val="00A20978"/>
    <w:rsid w:val="00A21A83"/>
    <w:rsid w:val="00A21CB1"/>
    <w:rsid w:val="00A22DAD"/>
    <w:rsid w:val="00A23422"/>
    <w:rsid w:val="00A23695"/>
    <w:rsid w:val="00A236D8"/>
    <w:rsid w:val="00A241BB"/>
    <w:rsid w:val="00A255F5"/>
    <w:rsid w:val="00A2611C"/>
    <w:rsid w:val="00A26A7D"/>
    <w:rsid w:val="00A26F57"/>
    <w:rsid w:val="00A2701E"/>
    <w:rsid w:val="00A274FB"/>
    <w:rsid w:val="00A278C1"/>
    <w:rsid w:val="00A27ACC"/>
    <w:rsid w:val="00A305A1"/>
    <w:rsid w:val="00A307D5"/>
    <w:rsid w:val="00A30E46"/>
    <w:rsid w:val="00A30F5A"/>
    <w:rsid w:val="00A3157A"/>
    <w:rsid w:val="00A317A3"/>
    <w:rsid w:val="00A31BA6"/>
    <w:rsid w:val="00A320EE"/>
    <w:rsid w:val="00A32C8B"/>
    <w:rsid w:val="00A32C91"/>
    <w:rsid w:val="00A335C4"/>
    <w:rsid w:val="00A34D48"/>
    <w:rsid w:val="00A359E5"/>
    <w:rsid w:val="00A3674B"/>
    <w:rsid w:val="00A369AF"/>
    <w:rsid w:val="00A36BE5"/>
    <w:rsid w:val="00A372FE"/>
    <w:rsid w:val="00A37B7D"/>
    <w:rsid w:val="00A401F9"/>
    <w:rsid w:val="00A41EDE"/>
    <w:rsid w:val="00A42504"/>
    <w:rsid w:val="00A4432A"/>
    <w:rsid w:val="00A4551E"/>
    <w:rsid w:val="00A462AC"/>
    <w:rsid w:val="00A47278"/>
    <w:rsid w:val="00A47583"/>
    <w:rsid w:val="00A476BA"/>
    <w:rsid w:val="00A478CD"/>
    <w:rsid w:val="00A478F9"/>
    <w:rsid w:val="00A47D62"/>
    <w:rsid w:val="00A47DE8"/>
    <w:rsid w:val="00A5052D"/>
    <w:rsid w:val="00A506BD"/>
    <w:rsid w:val="00A50A11"/>
    <w:rsid w:val="00A52101"/>
    <w:rsid w:val="00A52154"/>
    <w:rsid w:val="00A526E0"/>
    <w:rsid w:val="00A533E1"/>
    <w:rsid w:val="00A53BA1"/>
    <w:rsid w:val="00A53DC6"/>
    <w:rsid w:val="00A5420D"/>
    <w:rsid w:val="00A54719"/>
    <w:rsid w:val="00A5504D"/>
    <w:rsid w:val="00A5511C"/>
    <w:rsid w:val="00A55C0A"/>
    <w:rsid w:val="00A60250"/>
    <w:rsid w:val="00A60F5A"/>
    <w:rsid w:val="00A613B6"/>
    <w:rsid w:val="00A61737"/>
    <w:rsid w:val="00A61B80"/>
    <w:rsid w:val="00A61F9F"/>
    <w:rsid w:val="00A62266"/>
    <w:rsid w:val="00A62360"/>
    <w:rsid w:val="00A62937"/>
    <w:rsid w:val="00A62C5B"/>
    <w:rsid w:val="00A62D31"/>
    <w:rsid w:val="00A6369E"/>
    <w:rsid w:val="00A6389D"/>
    <w:rsid w:val="00A64048"/>
    <w:rsid w:val="00A649DC"/>
    <w:rsid w:val="00A65404"/>
    <w:rsid w:val="00A65DE9"/>
    <w:rsid w:val="00A65E73"/>
    <w:rsid w:val="00A65EB2"/>
    <w:rsid w:val="00A6613A"/>
    <w:rsid w:val="00A6703B"/>
    <w:rsid w:val="00A67DD3"/>
    <w:rsid w:val="00A70386"/>
    <w:rsid w:val="00A715B5"/>
    <w:rsid w:val="00A71B11"/>
    <w:rsid w:val="00A72EBC"/>
    <w:rsid w:val="00A73398"/>
    <w:rsid w:val="00A736BB"/>
    <w:rsid w:val="00A73D4B"/>
    <w:rsid w:val="00A7465C"/>
    <w:rsid w:val="00A74856"/>
    <w:rsid w:val="00A74DC7"/>
    <w:rsid w:val="00A75058"/>
    <w:rsid w:val="00A75F43"/>
    <w:rsid w:val="00A763B7"/>
    <w:rsid w:val="00A76A86"/>
    <w:rsid w:val="00A77BE3"/>
    <w:rsid w:val="00A807AE"/>
    <w:rsid w:val="00A80829"/>
    <w:rsid w:val="00A810C4"/>
    <w:rsid w:val="00A81442"/>
    <w:rsid w:val="00A817F9"/>
    <w:rsid w:val="00A81B97"/>
    <w:rsid w:val="00A81D88"/>
    <w:rsid w:val="00A831C2"/>
    <w:rsid w:val="00A84737"/>
    <w:rsid w:val="00A85B62"/>
    <w:rsid w:val="00A85B79"/>
    <w:rsid w:val="00A85DB9"/>
    <w:rsid w:val="00A867A8"/>
    <w:rsid w:val="00A86AE9"/>
    <w:rsid w:val="00A877B5"/>
    <w:rsid w:val="00A87EE9"/>
    <w:rsid w:val="00A90AF4"/>
    <w:rsid w:val="00A90F8A"/>
    <w:rsid w:val="00A912C7"/>
    <w:rsid w:val="00A9173D"/>
    <w:rsid w:val="00A91D1D"/>
    <w:rsid w:val="00A91F8F"/>
    <w:rsid w:val="00A92104"/>
    <w:rsid w:val="00A92331"/>
    <w:rsid w:val="00A92735"/>
    <w:rsid w:val="00A92CC9"/>
    <w:rsid w:val="00A92E9A"/>
    <w:rsid w:val="00A93556"/>
    <w:rsid w:val="00A9393F"/>
    <w:rsid w:val="00A93AD7"/>
    <w:rsid w:val="00A93C6A"/>
    <w:rsid w:val="00A93F42"/>
    <w:rsid w:val="00A9402B"/>
    <w:rsid w:val="00A9447F"/>
    <w:rsid w:val="00A94B80"/>
    <w:rsid w:val="00A94C2E"/>
    <w:rsid w:val="00A950C5"/>
    <w:rsid w:val="00A953D2"/>
    <w:rsid w:val="00A95A36"/>
    <w:rsid w:val="00A965D9"/>
    <w:rsid w:val="00A96CC0"/>
    <w:rsid w:val="00A972A7"/>
    <w:rsid w:val="00A979C3"/>
    <w:rsid w:val="00AA152E"/>
    <w:rsid w:val="00AA205E"/>
    <w:rsid w:val="00AA221A"/>
    <w:rsid w:val="00AA24B7"/>
    <w:rsid w:val="00AA2936"/>
    <w:rsid w:val="00AA2B22"/>
    <w:rsid w:val="00AA2C34"/>
    <w:rsid w:val="00AA2DA2"/>
    <w:rsid w:val="00AA307B"/>
    <w:rsid w:val="00AA3132"/>
    <w:rsid w:val="00AA31E5"/>
    <w:rsid w:val="00AA3642"/>
    <w:rsid w:val="00AA3BC6"/>
    <w:rsid w:val="00AA3F62"/>
    <w:rsid w:val="00AA4AF6"/>
    <w:rsid w:val="00AA51CF"/>
    <w:rsid w:val="00AA52B0"/>
    <w:rsid w:val="00AA5362"/>
    <w:rsid w:val="00AA56EB"/>
    <w:rsid w:val="00AA5722"/>
    <w:rsid w:val="00AA5B3C"/>
    <w:rsid w:val="00AA5BE5"/>
    <w:rsid w:val="00AA612F"/>
    <w:rsid w:val="00AA6A61"/>
    <w:rsid w:val="00AA6C7E"/>
    <w:rsid w:val="00AA6C94"/>
    <w:rsid w:val="00AA6CB6"/>
    <w:rsid w:val="00AA6EE2"/>
    <w:rsid w:val="00AA748C"/>
    <w:rsid w:val="00AB04BC"/>
    <w:rsid w:val="00AB0B7B"/>
    <w:rsid w:val="00AB2181"/>
    <w:rsid w:val="00AB23C2"/>
    <w:rsid w:val="00AB3452"/>
    <w:rsid w:val="00AB4E53"/>
    <w:rsid w:val="00AB543F"/>
    <w:rsid w:val="00AB64B1"/>
    <w:rsid w:val="00AB66F1"/>
    <w:rsid w:val="00AB7160"/>
    <w:rsid w:val="00AB7198"/>
    <w:rsid w:val="00AB722C"/>
    <w:rsid w:val="00AB7903"/>
    <w:rsid w:val="00AB7A29"/>
    <w:rsid w:val="00AB7D54"/>
    <w:rsid w:val="00AB7F2A"/>
    <w:rsid w:val="00AB7F7B"/>
    <w:rsid w:val="00AC039C"/>
    <w:rsid w:val="00AC0BDE"/>
    <w:rsid w:val="00AC0C90"/>
    <w:rsid w:val="00AC11F6"/>
    <w:rsid w:val="00AC15D6"/>
    <w:rsid w:val="00AC1642"/>
    <w:rsid w:val="00AC170F"/>
    <w:rsid w:val="00AC1C76"/>
    <w:rsid w:val="00AC1E15"/>
    <w:rsid w:val="00AC25DA"/>
    <w:rsid w:val="00AC261D"/>
    <w:rsid w:val="00AC2949"/>
    <w:rsid w:val="00AC3899"/>
    <w:rsid w:val="00AC3ADE"/>
    <w:rsid w:val="00AC7DA7"/>
    <w:rsid w:val="00AD0587"/>
    <w:rsid w:val="00AD071B"/>
    <w:rsid w:val="00AD0F09"/>
    <w:rsid w:val="00AD18F3"/>
    <w:rsid w:val="00AD2243"/>
    <w:rsid w:val="00AD23D7"/>
    <w:rsid w:val="00AD2B1E"/>
    <w:rsid w:val="00AD3D2E"/>
    <w:rsid w:val="00AD47A0"/>
    <w:rsid w:val="00AD4A21"/>
    <w:rsid w:val="00AD4E69"/>
    <w:rsid w:val="00AD645A"/>
    <w:rsid w:val="00AD6762"/>
    <w:rsid w:val="00AD6930"/>
    <w:rsid w:val="00AD6AED"/>
    <w:rsid w:val="00AD6FDD"/>
    <w:rsid w:val="00AD7262"/>
    <w:rsid w:val="00AD7B22"/>
    <w:rsid w:val="00AD7D01"/>
    <w:rsid w:val="00AD7F7E"/>
    <w:rsid w:val="00AE09C4"/>
    <w:rsid w:val="00AE1683"/>
    <w:rsid w:val="00AE1B18"/>
    <w:rsid w:val="00AE1E0A"/>
    <w:rsid w:val="00AE1EF9"/>
    <w:rsid w:val="00AE33C8"/>
    <w:rsid w:val="00AE39EB"/>
    <w:rsid w:val="00AE3D84"/>
    <w:rsid w:val="00AE4A93"/>
    <w:rsid w:val="00AE5AC0"/>
    <w:rsid w:val="00AE652D"/>
    <w:rsid w:val="00AE67B3"/>
    <w:rsid w:val="00AE69F6"/>
    <w:rsid w:val="00AE6E96"/>
    <w:rsid w:val="00AE741B"/>
    <w:rsid w:val="00AE75EE"/>
    <w:rsid w:val="00AF0B41"/>
    <w:rsid w:val="00AF19A9"/>
    <w:rsid w:val="00AF225B"/>
    <w:rsid w:val="00AF2474"/>
    <w:rsid w:val="00AF2488"/>
    <w:rsid w:val="00AF2EC1"/>
    <w:rsid w:val="00AF3B5F"/>
    <w:rsid w:val="00AF41FF"/>
    <w:rsid w:val="00AF45A6"/>
    <w:rsid w:val="00AF46FA"/>
    <w:rsid w:val="00AF5003"/>
    <w:rsid w:val="00AF5A91"/>
    <w:rsid w:val="00AF6011"/>
    <w:rsid w:val="00AF71C5"/>
    <w:rsid w:val="00AF7908"/>
    <w:rsid w:val="00B0003C"/>
    <w:rsid w:val="00B004FC"/>
    <w:rsid w:val="00B0053A"/>
    <w:rsid w:val="00B00DB5"/>
    <w:rsid w:val="00B0127C"/>
    <w:rsid w:val="00B01390"/>
    <w:rsid w:val="00B019E8"/>
    <w:rsid w:val="00B01CC6"/>
    <w:rsid w:val="00B02D50"/>
    <w:rsid w:val="00B03356"/>
    <w:rsid w:val="00B04574"/>
    <w:rsid w:val="00B04D7B"/>
    <w:rsid w:val="00B0529A"/>
    <w:rsid w:val="00B054A1"/>
    <w:rsid w:val="00B057E6"/>
    <w:rsid w:val="00B0610C"/>
    <w:rsid w:val="00B064A9"/>
    <w:rsid w:val="00B06586"/>
    <w:rsid w:val="00B06CBB"/>
    <w:rsid w:val="00B07459"/>
    <w:rsid w:val="00B07782"/>
    <w:rsid w:val="00B079BA"/>
    <w:rsid w:val="00B07A50"/>
    <w:rsid w:val="00B108B2"/>
    <w:rsid w:val="00B10969"/>
    <w:rsid w:val="00B10996"/>
    <w:rsid w:val="00B119F7"/>
    <w:rsid w:val="00B11FD2"/>
    <w:rsid w:val="00B12723"/>
    <w:rsid w:val="00B148EF"/>
    <w:rsid w:val="00B14BEA"/>
    <w:rsid w:val="00B152B6"/>
    <w:rsid w:val="00B15415"/>
    <w:rsid w:val="00B15D49"/>
    <w:rsid w:val="00B15DDB"/>
    <w:rsid w:val="00B15E47"/>
    <w:rsid w:val="00B16166"/>
    <w:rsid w:val="00B162B9"/>
    <w:rsid w:val="00B164CC"/>
    <w:rsid w:val="00B16DE3"/>
    <w:rsid w:val="00B171CF"/>
    <w:rsid w:val="00B174F0"/>
    <w:rsid w:val="00B17780"/>
    <w:rsid w:val="00B17DD5"/>
    <w:rsid w:val="00B17FFD"/>
    <w:rsid w:val="00B20B0B"/>
    <w:rsid w:val="00B210BA"/>
    <w:rsid w:val="00B21226"/>
    <w:rsid w:val="00B219B8"/>
    <w:rsid w:val="00B21E34"/>
    <w:rsid w:val="00B21FE6"/>
    <w:rsid w:val="00B22EC8"/>
    <w:rsid w:val="00B23597"/>
    <w:rsid w:val="00B23845"/>
    <w:rsid w:val="00B249F4"/>
    <w:rsid w:val="00B258EB"/>
    <w:rsid w:val="00B25A93"/>
    <w:rsid w:val="00B265E5"/>
    <w:rsid w:val="00B267D9"/>
    <w:rsid w:val="00B2701B"/>
    <w:rsid w:val="00B27775"/>
    <w:rsid w:val="00B27EF1"/>
    <w:rsid w:val="00B30114"/>
    <w:rsid w:val="00B30CA9"/>
    <w:rsid w:val="00B318B9"/>
    <w:rsid w:val="00B32537"/>
    <w:rsid w:val="00B3327F"/>
    <w:rsid w:val="00B338A0"/>
    <w:rsid w:val="00B34CEF"/>
    <w:rsid w:val="00B350DF"/>
    <w:rsid w:val="00B35906"/>
    <w:rsid w:val="00B35A31"/>
    <w:rsid w:val="00B35F95"/>
    <w:rsid w:val="00B36788"/>
    <w:rsid w:val="00B373E5"/>
    <w:rsid w:val="00B378E6"/>
    <w:rsid w:val="00B40000"/>
    <w:rsid w:val="00B40352"/>
    <w:rsid w:val="00B40658"/>
    <w:rsid w:val="00B40AFF"/>
    <w:rsid w:val="00B420D3"/>
    <w:rsid w:val="00B4222C"/>
    <w:rsid w:val="00B423AF"/>
    <w:rsid w:val="00B4272E"/>
    <w:rsid w:val="00B43378"/>
    <w:rsid w:val="00B43942"/>
    <w:rsid w:val="00B440BE"/>
    <w:rsid w:val="00B446B6"/>
    <w:rsid w:val="00B447C2"/>
    <w:rsid w:val="00B44905"/>
    <w:rsid w:val="00B44A59"/>
    <w:rsid w:val="00B44A73"/>
    <w:rsid w:val="00B456E5"/>
    <w:rsid w:val="00B45786"/>
    <w:rsid w:val="00B467A1"/>
    <w:rsid w:val="00B46F56"/>
    <w:rsid w:val="00B47FEE"/>
    <w:rsid w:val="00B503E0"/>
    <w:rsid w:val="00B508E8"/>
    <w:rsid w:val="00B5125B"/>
    <w:rsid w:val="00B51A24"/>
    <w:rsid w:val="00B52398"/>
    <w:rsid w:val="00B523AE"/>
    <w:rsid w:val="00B537F2"/>
    <w:rsid w:val="00B5415B"/>
    <w:rsid w:val="00B54497"/>
    <w:rsid w:val="00B558F8"/>
    <w:rsid w:val="00B55DC0"/>
    <w:rsid w:val="00B56076"/>
    <w:rsid w:val="00B563E7"/>
    <w:rsid w:val="00B56A66"/>
    <w:rsid w:val="00B57BA7"/>
    <w:rsid w:val="00B57E8B"/>
    <w:rsid w:val="00B6038C"/>
    <w:rsid w:val="00B60594"/>
    <w:rsid w:val="00B6240D"/>
    <w:rsid w:val="00B6250B"/>
    <w:rsid w:val="00B62910"/>
    <w:rsid w:val="00B62B46"/>
    <w:rsid w:val="00B6331A"/>
    <w:rsid w:val="00B63BAF"/>
    <w:rsid w:val="00B63DD9"/>
    <w:rsid w:val="00B63F90"/>
    <w:rsid w:val="00B648B7"/>
    <w:rsid w:val="00B650BF"/>
    <w:rsid w:val="00B65B31"/>
    <w:rsid w:val="00B65C73"/>
    <w:rsid w:val="00B66C32"/>
    <w:rsid w:val="00B66DAA"/>
    <w:rsid w:val="00B67118"/>
    <w:rsid w:val="00B70B3A"/>
    <w:rsid w:val="00B72428"/>
    <w:rsid w:val="00B72927"/>
    <w:rsid w:val="00B72C0F"/>
    <w:rsid w:val="00B72F70"/>
    <w:rsid w:val="00B73078"/>
    <w:rsid w:val="00B730FA"/>
    <w:rsid w:val="00B738E3"/>
    <w:rsid w:val="00B74820"/>
    <w:rsid w:val="00B748C2"/>
    <w:rsid w:val="00B74E1D"/>
    <w:rsid w:val="00B75902"/>
    <w:rsid w:val="00B7695B"/>
    <w:rsid w:val="00B76BFD"/>
    <w:rsid w:val="00B773CF"/>
    <w:rsid w:val="00B77C69"/>
    <w:rsid w:val="00B802E7"/>
    <w:rsid w:val="00B80CF4"/>
    <w:rsid w:val="00B81BCE"/>
    <w:rsid w:val="00B8263D"/>
    <w:rsid w:val="00B8389F"/>
    <w:rsid w:val="00B83A9E"/>
    <w:rsid w:val="00B83C9D"/>
    <w:rsid w:val="00B8471C"/>
    <w:rsid w:val="00B847BA"/>
    <w:rsid w:val="00B84FC4"/>
    <w:rsid w:val="00B85F2A"/>
    <w:rsid w:val="00B86AFB"/>
    <w:rsid w:val="00B87421"/>
    <w:rsid w:val="00B90432"/>
    <w:rsid w:val="00B92441"/>
    <w:rsid w:val="00B931E4"/>
    <w:rsid w:val="00B93205"/>
    <w:rsid w:val="00B94099"/>
    <w:rsid w:val="00B943BC"/>
    <w:rsid w:val="00B94E75"/>
    <w:rsid w:val="00B94ED5"/>
    <w:rsid w:val="00B96738"/>
    <w:rsid w:val="00B967AF"/>
    <w:rsid w:val="00B96D41"/>
    <w:rsid w:val="00B97E6B"/>
    <w:rsid w:val="00B97F7C"/>
    <w:rsid w:val="00BA0139"/>
    <w:rsid w:val="00BA03AA"/>
    <w:rsid w:val="00BA05AE"/>
    <w:rsid w:val="00BA0F98"/>
    <w:rsid w:val="00BA1B24"/>
    <w:rsid w:val="00BA231D"/>
    <w:rsid w:val="00BA2CB3"/>
    <w:rsid w:val="00BA3CD4"/>
    <w:rsid w:val="00BA48EE"/>
    <w:rsid w:val="00BA5082"/>
    <w:rsid w:val="00BA5A39"/>
    <w:rsid w:val="00BA5D7D"/>
    <w:rsid w:val="00BA6BDD"/>
    <w:rsid w:val="00BA730C"/>
    <w:rsid w:val="00BA7F6B"/>
    <w:rsid w:val="00BB00F4"/>
    <w:rsid w:val="00BB01C8"/>
    <w:rsid w:val="00BB08DB"/>
    <w:rsid w:val="00BB0BD3"/>
    <w:rsid w:val="00BB1F1D"/>
    <w:rsid w:val="00BB1F5E"/>
    <w:rsid w:val="00BB3263"/>
    <w:rsid w:val="00BB5640"/>
    <w:rsid w:val="00BB5991"/>
    <w:rsid w:val="00BB5DC8"/>
    <w:rsid w:val="00BB6431"/>
    <w:rsid w:val="00BB6DEB"/>
    <w:rsid w:val="00BB7051"/>
    <w:rsid w:val="00BB743D"/>
    <w:rsid w:val="00BB7532"/>
    <w:rsid w:val="00BB7609"/>
    <w:rsid w:val="00BB7ED5"/>
    <w:rsid w:val="00BC05B6"/>
    <w:rsid w:val="00BC14B6"/>
    <w:rsid w:val="00BC20AD"/>
    <w:rsid w:val="00BC24E0"/>
    <w:rsid w:val="00BC31DA"/>
    <w:rsid w:val="00BC3CAC"/>
    <w:rsid w:val="00BC4273"/>
    <w:rsid w:val="00BC4436"/>
    <w:rsid w:val="00BC557A"/>
    <w:rsid w:val="00BC55CD"/>
    <w:rsid w:val="00BC5B4D"/>
    <w:rsid w:val="00BC5DE8"/>
    <w:rsid w:val="00BC60C5"/>
    <w:rsid w:val="00BC615F"/>
    <w:rsid w:val="00BC635D"/>
    <w:rsid w:val="00BC6617"/>
    <w:rsid w:val="00BC661A"/>
    <w:rsid w:val="00BC6AD3"/>
    <w:rsid w:val="00BC6B9C"/>
    <w:rsid w:val="00BC7162"/>
    <w:rsid w:val="00BC73B7"/>
    <w:rsid w:val="00BC78A4"/>
    <w:rsid w:val="00BD02EF"/>
    <w:rsid w:val="00BD0487"/>
    <w:rsid w:val="00BD1619"/>
    <w:rsid w:val="00BD1E1C"/>
    <w:rsid w:val="00BD20BB"/>
    <w:rsid w:val="00BD257C"/>
    <w:rsid w:val="00BD3379"/>
    <w:rsid w:val="00BD3630"/>
    <w:rsid w:val="00BD3F4A"/>
    <w:rsid w:val="00BD40A0"/>
    <w:rsid w:val="00BD4148"/>
    <w:rsid w:val="00BD52FE"/>
    <w:rsid w:val="00BD5976"/>
    <w:rsid w:val="00BD6130"/>
    <w:rsid w:val="00BD6609"/>
    <w:rsid w:val="00BD721D"/>
    <w:rsid w:val="00BD7B92"/>
    <w:rsid w:val="00BD7E9A"/>
    <w:rsid w:val="00BE0AA4"/>
    <w:rsid w:val="00BE123E"/>
    <w:rsid w:val="00BE3B0C"/>
    <w:rsid w:val="00BE3F80"/>
    <w:rsid w:val="00BE4517"/>
    <w:rsid w:val="00BE46C4"/>
    <w:rsid w:val="00BE472F"/>
    <w:rsid w:val="00BE553B"/>
    <w:rsid w:val="00BE5791"/>
    <w:rsid w:val="00BE5916"/>
    <w:rsid w:val="00BE5B3C"/>
    <w:rsid w:val="00BE5D9D"/>
    <w:rsid w:val="00BE68CE"/>
    <w:rsid w:val="00BE73CC"/>
    <w:rsid w:val="00BE7AC9"/>
    <w:rsid w:val="00BF0FB9"/>
    <w:rsid w:val="00BF16C8"/>
    <w:rsid w:val="00BF17B0"/>
    <w:rsid w:val="00BF2126"/>
    <w:rsid w:val="00BF29FF"/>
    <w:rsid w:val="00BF2A66"/>
    <w:rsid w:val="00BF47ED"/>
    <w:rsid w:val="00BF4C2D"/>
    <w:rsid w:val="00BF4CF4"/>
    <w:rsid w:val="00BF4DDB"/>
    <w:rsid w:val="00BF6200"/>
    <w:rsid w:val="00BF6A6E"/>
    <w:rsid w:val="00BF6EA6"/>
    <w:rsid w:val="00BF7212"/>
    <w:rsid w:val="00BF75BE"/>
    <w:rsid w:val="00BF77A7"/>
    <w:rsid w:val="00BF7BA2"/>
    <w:rsid w:val="00C00056"/>
    <w:rsid w:val="00C0022C"/>
    <w:rsid w:val="00C00F41"/>
    <w:rsid w:val="00C01A18"/>
    <w:rsid w:val="00C01AF5"/>
    <w:rsid w:val="00C02489"/>
    <w:rsid w:val="00C034FE"/>
    <w:rsid w:val="00C04742"/>
    <w:rsid w:val="00C04B1A"/>
    <w:rsid w:val="00C05302"/>
    <w:rsid w:val="00C059DC"/>
    <w:rsid w:val="00C05F29"/>
    <w:rsid w:val="00C05FEA"/>
    <w:rsid w:val="00C0628D"/>
    <w:rsid w:val="00C07347"/>
    <w:rsid w:val="00C1057B"/>
    <w:rsid w:val="00C10A78"/>
    <w:rsid w:val="00C11EA1"/>
    <w:rsid w:val="00C121A5"/>
    <w:rsid w:val="00C12617"/>
    <w:rsid w:val="00C12AEE"/>
    <w:rsid w:val="00C13FAE"/>
    <w:rsid w:val="00C14023"/>
    <w:rsid w:val="00C1453E"/>
    <w:rsid w:val="00C14624"/>
    <w:rsid w:val="00C14A95"/>
    <w:rsid w:val="00C158BC"/>
    <w:rsid w:val="00C170AC"/>
    <w:rsid w:val="00C1752C"/>
    <w:rsid w:val="00C1789F"/>
    <w:rsid w:val="00C17B23"/>
    <w:rsid w:val="00C17F4E"/>
    <w:rsid w:val="00C20240"/>
    <w:rsid w:val="00C20308"/>
    <w:rsid w:val="00C2040E"/>
    <w:rsid w:val="00C208CA"/>
    <w:rsid w:val="00C20E37"/>
    <w:rsid w:val="00C215C6"/>
    <w:rsid w:val="00C21762"/>
    <w:rsid w:val="00C22B56"/>
    <w:rsid w:val="00C22CC7"/>
    <w:rsid w:val="00C2321C"/>
    <w:rsid w:val="00C23F61"/>
    <w:rsid w:val="00C23FBC"/>
    <w:rsid w:val="00C247D3"/>
    <w:rsid w:val="00C251D3"/>
    <w:rsid w:val="00C25822"/>
    <w:rsid w:val="00C261D2"/>
    <w:rsid w:val="00C26418"/>
    <w:rsid w:val="00C269E8"/>
    <w:rsid w:val="00C275D1"/>
    <w:rsid w:val="00C2765C"/>
    <w:rsid w:val="00C2769D"/>
    <w:rsid w:val="00C27CBC"/>
    <w:rsid w:val="00C303B0"/>
    <w:rsid w:val="00C3078C"/>
    <w:rsid w:val="00C313CC"/>
    <w:rsid w:val="00C31E59"/>
    <w:rsid w:val="00C32D5F"/>
    <w:rsid w:val="00C34797"/>
    <w:rsid w:val="00C35087"/>
    <w:rsid w:val="00C35160"/>
    <w:rsid w:val="00C3532C"/>
    <w:rsid w:val="00C35757"/>
    <w:rsid w:val="00C36203"/>
    <w:rsid w:val="00C3625B"/>
    <w:rsid w:val="00C3676C"/>
    <w:rsid w:val="00C36F67"/>
    <w:rsid w:val="00C3728E"/>
    <w:rsid w:val="00C376F0"/>
    <w:rsid w:val="00C37B50"/>
    <w:rsid w:val="00C37BB2"/>
    <w:rsid w:val="00C37FCB"/>
    <w:rsid w:val="00C40670"/>
    <w:rsid w:val="00C40CFA"/>
    <w:rsid w:val="00C40EF0"/>
    <w:rsid w:val="00C4117F"/>
    <w:rsid w:val="00C41A97"/>
    <w:rsid w:val="00C41C99"/>
    <w:rsid w:val="00C42AE3"/>
    <w:rsid w:val="00C43F07"/>
    <w:rsid w:val="00C442E7"/>
    <w:rsid w:val="00C4430D"/>
    <w:rsid w:val="00C44BF3"/>
    <w:rsid w:val="00C470AE"/>
    <w:rsid w:val="00C50AD0"/>
    <w:rsid w:val="00C516A9"/>
    <w:rsid w:val="00C51FCA"/>
    <w:rsid w:val="00C52309"/>
    <w:rsid w:val="00C523A8"/>
    <w:rsid w:val="00C52798"/>
    <w:rsid w:val="00C52D84"/>
    <w:rsid w:val="00C5385B"/>
    <w:rsid w:val="00C53AEE"/>
    <w:rsid w:val="00C53BAB"/>
    <w:rsid w:val="00C53D07"/>
    <w:rsid w:val="00C5422A"/>
    <w:rsid w:val="00C54394"/>
    <w:rsid w:val="00C5465C"/>
    <w:rsid w:val="00C55AA4"/>
    <w:rsid w:val="00C56F45"/>
    <w:rsid w:val="00C5703A"/>
    <w:rsid w:val="00C575F9"/>
    <w:rsid w:val="00C57A5F"/>
    <w:rsid w:val="00C60A90"/>
    <w:rsid w:val="00C6154B"/>
    <w:rsid w:val="00C61F7A"/>
    <w:rsid w:val="00C625F7"/>
    <w:rsid w:val="00C6292C"/>
    <w:rsid w:val="00C6297C"/>
    <w:rsid w:val="00C62BB6"/>
    <w:rsid w:val="00C62C5B"/>
    <w:rsid w:val="00C630AD"/>
    <w:rsid w:val="00C6437E"/>
    <w:rsid w:val="00C64445"/>
    <w:rsid w:val="00C65F8B"/>
    <w:rsid w:val="00C66D20"/>
    <w:rsid w:val="00C674A0"/>
    <w:rsid w:val="00C67782"/>
    <w:rsid w:val="00C67AC2"/>
    <w:rsid w:val="00C721BB"/>
    <w:rsid w:val="00C72559"/>
    <w:rsid w:val="00C72934"/>
    <w:rsid w:val="00C72C9F"/>
    <w:rsid w:val="00C730C8"/>
    <w:rsid w:val="00C7381B"/>
    <w:rsid w:val="00C74377"/>
    <w:rsid w:val="00C7443F"/>
    <w:rsid w:val="00C7473E"/>
    <w:rsid w:val="00C75B4B"/>
    <w:rsid w:val="00C75B59"/>
    <w:rsid w:val="00C7654E"/>
    <w:rsid w:val="00C76E1A"/>
    <w:rsid w:val="00C7742B"/>
    <w:rsid w:val="00C77D39"/>
    <w:rsid w:val="00C802E2"/>
    <w:rsid w:val="00C8048C"/>
    <w:rsid w:val="00C804D1"/>
    <w:rsid w:val="00C80655"/>
    <w:rsid w:val="00C816B2"/>
    <w:rsid w:val="00C81ADE"/>
    <w:rsid w:val="00C81B27"/>
    <w:rsid w:val="00C8353D"/>
    <w:rsid w:val="00C840B5"/>
    <w:rsid w:val="00C84C58"/>
    <w:rsid w:val="00C8608C"/>
    <w:rsid w:val="00C86A2D"/>
    <w:rsid w:val="00C86B4F"/>
    <w:rsid w:val="00C872D3"/>
    <w:rsid w:val="00C90036"/>
    <w:rsid w:val="00C90307"/>
    <w:rsid w:val="00C9125D"/>
    <w:rsid w:val="00C9188B"/>
    <w:rsid w:val="00C91EE2"/>
    <w:rsid w:val="00C942A2"/>
    <w:rsid w:val="00C94AAD"/>
    <w:rsid w:val="00C94B57"/>
    <w:rsid w:val="00C94ECF"/>
    <w:rsid w:val="00C952C8"/>
    <w:rsid w:val="00C954ED"/>
    <w:rsid w:val="00C9597C"/>
    <w:rsid w:val="00C9600B"/>
    <w:rsid w:val="00C9673C"/>
    <w:rsid w:val="00C974DD"/>
    <w:rsid w:val="00C9789D"/>
    <w:rsid w:val="00C979BC"/>
    <w:rsid w:val="00C97CAB"/>
    <w:rsid w:val="00C97D45"/>
    <w:rsid w:val="00C97FB1"/>
    <w:rsid w:val="00CA0353"/>
    <w:rsid w:val="00CA0A53"/>
    <w:rsid w:val="00CA10BC"/>
    <w:rsid w:val="00CA157B"/>
    <w:rsid w:val="00CA1E4A"/>
    <w:rsid w:val="00CA2A68"/>
    <w:rsid w:val="00CA3B28"/>
    <w:rsid w:val="00CA408E"/>
    <w:rsid w:val="00CA4334"/>
    <w:rsid w:val="00CA48E1"/>
    <w:rsid w:val="00CA51B6"/>
    <w:rsid w:val="00CA52ED"/>
    <w:rsid w:val="00CA6351"/>
    <w:rsid w:val="00CA68C1"/>
    <w:rsid w:val="00CA749C"/>
    <w:rsid w:val="00CB0A29"/>
    <w:rsid w:val="00CB14A4"/>
    <w:rsid w:val="00CB1DE0"/>
    <w:rsid w:val="00CB1E8B"/>
    <w:rsid w:val="00CB261A"/>
    <w:rsid w:val="00CB2746"/>
    <w:rsid w:val="00CB34A5"/>
    <w:rsid w:val="00CB3D47"/>
    <w:rsid w:val="00CB48DD"/>
    <w:rsid w:val="00CB57F5"/>
    <w:rsid w:val="00CB6E92"/>
    <w:rsid w:val="00CB79BD"/>
    <w:rsid w:val="00CB7CAB"/>
    <w:rsid w:val="00CB7E13"/>
    <w:rsid w:val="00CB7E4A"/>
    <w:rsid w:val="00CC041A"/>
    <w:rsid w:val="00CC05D1"/>
    <w:rsid w:val="00CC0EFD"/>
    <w:rsid w:val="00CC1918"/>
    <w:rsid w:val="00CC2127"/>
    <w:rsid w:val="00CC2C89"/>
    <w:rsid w:val="00CC3152"/>
    <w:rsid w:val="00CC3351"/>
    <w:rsid w:val="00CC346A"/>
    <w:rsid w:val="00CC35C9"/>
    <w:rsid w:val="00CC3807"/>
    <w:rsid w:val="00CC38B1"/>
    <w:rsid w:val="00CC3EA8"/>
    <w:rsid w:val="00CC52FB"/>
    <w:rsid w:val="00CC5EFB"/>
    <w:rsid w:val="00CC65DF"/>
    <w:rsid w:val="00CC727D"/>
    <w:rsid w:val="00CC7B9B"/>
    <w:rsid w:val="00CD00B9"/>
    <w:rsid w:val="00CD0DAE"/>
    <w:rsid w:val="00CD14BA"/>
    <w:rsid w:val="00CD1CBC"/>
    <w:rsid w:val="00CD297C"/>
    <w:rsid w:val="00CD2A4F"/>
    <w:rsid w:val="00CD2CC1"/>
    <w:rsid w:val="00CD319D"/>
    <w:rsid w:val="00CD3ECC"/>
    <w:rsid w:val="00CD42A4"/>
    <w:rsid w:val="00CD4990"/>
    <w:rsid w:val="00CD4D44"/>
    <w:rsid w:val="00CD56AA"/>
    <w:rsid w:val="00CD6630"/>
    <w:rsid w:val="00CD6D88"/>
    <w:rsid w:val="00CD6EB6"/>
    <w:rsid w:val="00CD6F3B"/>
    <w:rsid w:val="00CD721F"/>
    <w:rsid w:val="00CD7B40"/>
    <w:rsid w:val="00CE0066"/>
    <w:rsid w:val="00CE0259"/>
    <w:rsid w:val="00CE0952"/>
    <w:rsid w:val="00CE09C3"/>
    <w:rsid w:val="00CE0B9A"/>
    <w:rsid w:val="00CE0DF5"/>
    <w:rsid w:val="00CE16D3"/>
    <w:rsid w:val="00CE28F4"/>
    <w:rsid w:val="00CE2CCA"/>
    <w:rsid w:val="00CE348B"/>
    <w:rsid w:val="00CE35F2"/>
    <w:rsid w:val="00CE3FE9"/>
    <w:rsid w:val="00CE46C8"/>
    <w:rsid w:val="00CE484E"/>
    <w:rsid w:val="00CE656F"/>
    <w:rsid w:val="00CE671D"/>
    <w:rsid w:val="00CE674E"/>
    <w:rsid w:val="00CE71DC"/>
    <w:rsid w:val="00CF0637"/>
    <w:rsid w:val="00CF0D13"/>
    <w:rsid w:val="00CF0EB8"/>
    <w:rsid w:val="00CF110C"/>
    <w:rsid w:val="00CF1414"/>
    <w:rsid w:val="00CF1E14"/>
    <w:rsid w:val="00CF2167"/>
    <w:rsid w:val="00CF2568"/>
    <w:rsid w:val="00CF3028"/>
    <w:rsid w:val="00CF3056"/>
    <w:rsid w:val="00CF3C4E"/>
    <w:rsid w:val="00CF45B3"/>
    <w:rsid w:val="00CF50E9"/>
    <w:rsid w:val="00CF5580"/>
    <w:rsid w:val="00CF78C4"/>
    <w:rsid w:val="00D005B0"/>
    <w:rsid w:val="00D018DF"/>
    <w:rsid w:val="00D020A4"/>
    <w:rsid w:val="00D0260B"/>
    <w:rsid w:val="00D02A33"/>
    <w:rsid w:val="00D02CDD"/>
    <w:rsid w:val="00D031D5"/>
    <w:rsid w:val="00D05B76"/>
    <w:rsid w:val="00D05C9F"/>
    <w:rsid w:val="00D05DB2"/>
    <w:rsid w:val="00D05DE6"/>
    <w:rsid w:val="00D06A9B"/>
    <w:rsid w:val="00D07352"/>
    <w:rsid w:val="00D0762F"/>
    <w:rsid w:val="00D07BF6"/>
    <w:rsid w:val="00D07F36"/>
    <w:rsid w:val="00D104E9"/>
    <w:rsid w:val="00D10855"/>
    <w:rsid w:val="00D10BE7"/>
    <w:rsid w:val="00D1124A"/>
    <w:rsid w:val="00D11622"/>
    <w:rsid w:val="00D11EA9"/>
    <w:rsid w:val="00D12148"/>
    <w:rsid w:val="00D121BE"/>
    <w:rsid w:val="00D12D07"/>
    <w:rsid w:val="00D12D10"/>
    <w:rsid w:val="00D12ED3"/>
    <w:rsid w:val="00D13E08"/>
    <w:rsid w:val="00D15465"/>
    <w:rsid w:val="00D15E03"/>
    <w:rsid w:val="00D17191"/>
    <w:rsid w:val="00D17348"/>
    <w:rsid w:val="00D179D6"/>
    <w:rsid w:val="00D17D28"/>
    <w:rsid w:val="00D20184"/>
    <w:rsid w:val="00D2046F"/>
    <w:rsid w:val="00D20735"/>
    <w:rsid w:val="00D20A19"/>
    <w:rsid w:val="00D21FDE"/>
    <w:rsid w:val="00D22424"/>
    <w:rsid w:val="00D224FA"/>
    <w:rsid w:val="00D226CC"/>
    <w:rsid w:val="00D22AD3"/>
    <w:rsid w:val="00D23980"/>
    <w:rsid w:val="00D242C8"/>
    <w:rsid w:val="00D245DA"/>
    <w:rsid w:val="00D24E8D"/>
    <w:rsid w:val="00D257DE"/>
    <w:rsid w:val="00D25D32"/>
    <w:rsid w:val="00D26466"/>
    <w:rsid w:val="00D268C9"/>
    <w:rsid w:val="00D27296"/>
    <w:rsid w:val="00D27A3F"/>
    <w:rsid w:val="00D30315"/>
    <w:rsid w:val="00D303C6"/>
    <w:rsid w:val="00D309EC"/>
    <w:rsid w:val="00D30C60"/>
    <w:rsid w:val="00D30EF9"/>
    <w:rsid w:val="00D31990"/>
    <w:rsid w:val="00D31E0B"/>
    <w:rsid w:val="00D324C3"/>
    <w:rsid w:val="00D326A6"/>
    <w:rsid w:val="00D32944"/>
    <w:rsid w:val="00D32AED"/>
    <w:rsid w:val="00D3300B"/>
    <w:rsid w:val="00D332E7"/>
    <w:rsid w:val="00D33975"/>
    <w:rsid w:val="00D339D4"/>
    <w:rsid w:val="00D33A00"/>
    <w:rsid w:val="00D33B14"/>
    <w:rsid w:val="00D34752"/>
    <w:rsid w:val="00D351A5"/>
    <w:rsid w:val="00D35950"/>
    <w:rsid w:val="00D363CF"/>
    <w:rsid w:val="00D36444"/>
    <w:rsid w:val="00D36661"/>
    <w:rsid w:val="00D36ACA"/>
    <w:rsid w:val="00D36C31"/>
    <w:rsid w:val="00D37A45"/>
    <w:rsid w:val="00D402F6"/>
    <w:rsid w:val="00D41840"/>
    <w:rsid w:val="00D419AF"/>
    <w:rsid w:val="00D42666"/>
    <w:rsid w:val="00D42FA8"/>
    <w:rsid w:val="00D43DBC"/>
    <w:rsid w:val="00D43EB8"/>
    <w:rsid w:val="00D447FB"/>
    <w:rsid w:val="00D46A41"/>
    <w:rsid w:val="00D47345"/>
    <w:rsid w:val="00D51150"/>
    <w:rsid w:val="00D524A0"/>
    <w:rsid w:val="00D524A7"/>
    <w:rsid w:val="00D5267B"/>
    <w:rsid w:val="00D5306A"/>
    <w:rsid w:val="00D53183"/>
    <w:rsid w:val="00D53781"/>
    <w:rsid w:val="00D5492F"/>
    <w:rsid w:val="00D55818"/>
    <w:rsid w:val="00D55D2D"/>
    <w:rsid w:val="00D568EA"/>
    <w:rsid w:val="00D56B64"/>
    <w:rsid w:val="00D56B7F"/>
    <w:rsid w:val="00D573C3"/>
    <w:rsid w:val="00D57D25"/>
    <w:rsid w:val="00D6029F"/>
    <w:rsid w:val="00D606EC"/>
    <w:rsid w:val="00D611DE"/>
    <w:rsid w:val="00D623D3"/>
    <w:rsid w:val="00D62A51"/>
    <w:rsid w:val="00D62C33"/>
    <w:rsid w:val="00D635E5"/>
    <w:rsid w:val="00D638E5"/>
    <w:rsid w:val="00D63F96"/>
    <w:rsid w:val="00D644C5"/>
    <w:rsid w:val="00D65241"/>
    <w:rsid w:val="00D654F6"/>
    <w:rsid w:val="00D65D3E"/>
    <w:rsid w:val="00D66580"/>
    <w:rsid w:val="00D668BE"/>
    <w:rsid w:val="00D66CEC"/>
    <w:rsid w:val="00D66FFF"/>
    <w:rsid w:val="00D67F93"/>
    <w:rsid w:val="00D70A14"/>
    <w:rsid w:val="00D70BBA"/>
    <w:rsid w:val="00D71FA9"/>
    <w:rsid w:val="00D72357"/>
    <w:rsid w:val="00D731B9"/>
    <w:rsid w:val="00D73FA8"/>
    <w:rsid w:val="00D74396"/>
    <w:rsid w:val="00D74C4F"/>
    <w:rsid w:val="00D74FC6"/>
    <w:rsid w:val="00D76168"/>
    <w:rsid w:val="00D76407"/>
    <w:rsid w:val="00D76B89"/>
    <w:rsid w:val="00D76D55"/>
    <w:rsid w:val="00D80125"/>
    <w:rsid w:val="00D804C1"/>
    <w:rsid w:val="00D817A0"/>
    <w:rsid w:val="00D82382"/>
    <w:rsid w:val="00D82591"/>
    <w:rsid w:val="00D842B3"/>
    <w:rsid w:val="00D85B67"/>
    <w:rsid w:val="00D85CC0"/>
    <w:rsid w:val="00D86732"/>
    <w:rsid w:val="00D87003"/>
    <w:rsid w:val="00D87231"/>
    <w:rsid w:val="00D874B9"/>
    <w:rsid w:val="00D878E4"/>
    <w:rsid w:val="00D87ADB"/>
    <w:rsid w:val="00D87B2A"/>
    <w:rsid w:val="00D91C14"/>
    <w:rsid w:val="00D91F2B"/>
    <w:rsid w:val="00D922E5"/>
    <w:rsid w:val="00D92724"/>
    <w:rsid w:val="00D92948"/>
    <w:rsid w:val="00D92AEF"/>
    <w:rsid w:val="00D92EEE"/>
    <w:rsid w:val="00D936FB"/>
    <w:rsid w:val="00D9443A"/>
    <w:rsid w:val="00D95AA1"/>
    <w:rsid w:val="00D968C2"/>
    <w:rsid w:val="00D969E3"/>
    <w:rsid w:val="00D96C87"/>
    <w:rsid w:val="00D970D5"/>
    <w:rsid w:val="00D97415"/>
    <w:rsid w:val="00D97C04"/>
    <w:rsid w:val="00D97D99"/>
    <w:rsid w:val="00DA000A"/>
    <w:rsid w:val="00DA0337"/>
    <w:rsid w:val="00DA0748"/>
    <w:rsid w:val="00DA1B82"/>
    <w:rsid w:val="00DA1D94"/>
    <w:rsid w:val="00DA2ACC"/>
    <w:rsid w:val="00DA2B3F"/>
    <w:rsid w:val="00DA2E49"/>
    <w:rsid w:val="00DA3022"/>
    <w:rsid w:val="00DA3294"/>
    <w:rsid w:val="00DA355F"/>
    <w:rsid w:val="00DA37DD"/>
    <w:rsid w:val="00DA5757"/>
    <w:rsid w:val="00DA64F0"/>
    <w:rsid w:val="00DA6BB6"/>
    <w:rsid w:val="00DB0901"/>
    <w:rsid w:val="00DB1569"/>
    <w:rsid w:val="00DB27C5"/>
    <w:rsid w:val="00DB2C8B"/>
    <w:rsid w:val="00DB2F7D"/>
    <w:rsid w:val="00DB301B"/>
    <w:rsid w:val="00DB316F"/>
    <w:rsid w:val="00DB44B4"/>
    <w:rsid w:val="00DB5BCF"/>
    <w:rsid w:val="00DB6016"/>
    <w:rsid w:val="00DB633A"/>
    <w:rsid w:val="00DB66D0"/>
    <w:rsid w:val="00DB6AF4"/>
    <w:rsid w:val="00DB709F"/>
    <w:rsid w:val="00DB7AB8"/>
    <w:rsid w:val="00DC0492"/>
    <w:rsid w:val="00DC067D"/>
    <w:rsid w:val="00DC0ACC"/>
    <w:rsid w:val="00DC144F"/>
    <w:rsid w:val="00DC157B"/>
    <w:rsid w:val="00DC22E3"/>
    <w:rsid w:val="00DC2507"/>
    <w:rsid w:val="00DC2B04"/>
    <w:rsid w:val="00DC3DD8"/>
    <w:rsid w:val="00DC50F6"/>
    <w:rsid w:val="00DC52A5"/>
    <w:rsid w:val="00DC54E8"/>
    <w:rsid w:val="00DC5609"/>
    <w:rsid w:val="00DC5BCB"/>
    <w:rsid w:val="00DC61FF"/>
    <w:rsid w:val="00DC6249"/>
    <w:rsid w:val="00DC67AC"/>
    <w:rsid w:val="00DC6A37"/>
    <w:rsid w:val="00DC6F16"/>
    <w:rsid w:val="00DC6FA4"/>
    <w:rsid w:val="00DC7146"/>
    <w:rsid w:val="00DC72A9"/>
    <w:rsid w:val="00DC77EB"/>
    <w:rsid w:val="00DC7950"/>
    <w:rsid w:val="00DC7F5B"/>
    <w:rsid w:val="00DD0144"/>
    <w:rsid w:val="00DD0496"/>
    <w:rsid w:val="00DD07B5"/>
    <w:rsid w:val="00DD0A7A"/>
    <w:rsid w:val="00DD0E07"/>
    <w:rsid w:val="00DD1EAF"/>
    <w:rsid w:val="00DD2714"/>
    <w:rsid w:val="00DD2737"/>
    <w:rsid w:val="00DD2C1B"/>
    <w:rsid w:val="00DD324D"/>
    <w:rsid w:val="00DD361E"/>
    <w:rsid w:val="00DD3B6F"/>
    <w:rsid w:val="00DD4158"/>
    <w:rsid w:val="00DD4566"/>
    <w:rsid w:val="00DD48E7"/>
    <w:rsid w:val="00DD5388"/>
    <w:rsid w:val="00DD5DDF"/>
    <w:rsid w:val="00DD62EB"/>
    <w:rsid w:val="00DD6D21"/>
    <w:rsid w:val="00DD6FC5"/>
    <w:rsid w:val="00DD784B"/>
    <w:rsid w:val="00DD7B8E"/>
    <w:rsid w:val="00DE054A"/>
    <w:rsid w:val="00DE076E"/>
    <w:rsid w:val="00DE0AA9"/>
    <w:rsid w:val="00DE17A1"/>
    <w:rsid w:val="00DE17B0"/>
    <w:rsid w:val="00DE1DB0"/>
    <w:rsid w:val="00DE1EAC"/>
    <w:rsid w:val="00DE2011"/>
    <w:rsid w:val="00DE216C"/>
    <w:rsid w:val="00DE2994"/>
    <w:rsid w:val="00DE2BF5"/>
    <w:rsid w:val="00DE2D42"/>
    <w:rsid w:val="00DE3597"/>
    <w:rsid w:val="00DE4A0D"/>
    <w:rsid w:val="00DE4ABF"/>
    <w:rsid w:val="00DE60A0"/>
    <w:rsid w:val="00DE630F"/>
    <w:rsid w:val="00DE6BC4"/>
    <w:rsid w:val="00DE6C52"/>
    <w:rsid w:val="00DE77C1"/>
    <w:rsid w:val="00DF0085"/>
    <w:rsid w:val="00DF012B"/>
    <w:rsid w:val="00DF1AD4"/>
    <w:rsid w:val="00DF1AFA"/>
    <w:rsid w:val="00DF1C30"/>
    <w:rsid w:val="00DF2091"/>
    <w:rsid w:val="00DF274A"/>
    <w:rsid w:val="00DF30C8"/>
    <w:rsid w:val="00DF3816"/>
    <w:rsid w:val="00DF4128"/>
    <w:rsid w:val="00DF4B00"/>
    <w:rsid w:val="00DF5613"/>
    <w:rsid w:val="00DF5C2E"/>
    <w:rsid w:val="00DF5CB0"/>
    <w:rsid w:val="00DF5DC3"/>
    <w:rsid w:val="00DF5F0B"/>
    <w:rsid w:val="00DF6001"/>
    <w:rsid w:val="00DF630D"/>
    <w:rsid w:val="00DF74FF"/>
    <w:rsid w:val="00DF759B"/>
    <w:rsid w:val="00DF76BF"/>
    <w:rsid w:val="00DF76EC"/>
    <w:rsid w:val="00DF7B89"/>
    <w:rsid w:val="00E00380"/>
    <w:rsid w:val="00E00682"/>
    <w:rsid w:val="00E01912"/>
    <w:rsid w:val="00E01DFD"/>
    <w:rsid w:val="00E028A0"/>
    <w:rsid w:val="00E029ED"/>
    <w:rsid w:val="00E02CE2"/>
    <w:rsid w:val="00E03298"/>
    <w:rsid w:val="00E03771"/>
    <w:rsid w:val="00E0480D"/>
    <w:rsid w:val="00E04B1D"/>
    <w:rsid w:val="00E06BE5"/>
    <w:rsid w:val="00E06D92"/>
    <w:rsid w:val="00E11359"/>
    <w:rsid w:val="00E12BF5"/>
    <w:rsid w:val="00E13777"/>
    <w:rsid w:val="00E137E2"/>
    <w:rsid w:val="00E14687"/>
    <w:rsid w:val="00E14CB3"/>
    <w:rsid w:val="00E150A9"/>
    <w:rsid w:val="00E154AD"/>
    <w:rsid w:val="00E15908"/>
    <w:rsid w:val="00E15E47"/>
    <w:rsid w:val="00E16168"/>
    <w:rsid w:val="00E161B5"/>
    <w:rsid w:val="00E167B5"/>
    <w:rsid w:val="00E16C3A"/>
    <w:rsid w:val="00E17292"/>
    <w:rsid w:val="00E17B1E"/>
    <w:rsid w:val="00E17ECA"/>
    <w:rsid w:val="00E20A48"/>
    <w:rsid w:val="00E20A73"/>
    <w:rsid w:val="00E20F29"/>
    <w:rsid w:val="00E216EC"/>
    <w:rsid w:val="00E219FA"/>
    <w:rsid w:val="00E21FDE"/>
    <w:rsid w:val="00E2220F"/>
    <w:rsid w:val="00E2273B"/>
    <w:rsid w:val="00E250EE"/>
    <w:rsid w:val="00E25BE9"/>
    <w:rsid w:val="00E268B3"/>
    <w:rsid w:val="00E26B08"/>
    <w:rsid w:val="00E26F0E"/>
    <w:rsid w:val="00E271EE"/>
    <w:rsid w:val="00E27A97"/>
    <w:rsid w:val="00E27F08"/>
    <w:rsid w:val="00E3030F"/>
    <w:rsid w:val="00E309D9"/>
    <w:rsid w:val="00E30DB1"/>
    <w:rsid w:val="00E30FFC"/>
    <w:rsid w:val="00E31BD6"/>
    <w:rsid w:val="00E31C85"/>
    <w:rsid w:val="00E32661"/>
    <w:rsid w:val="00E32974"/>
    <w:rsid w:val="00E32F7A"/>
    <w:rsid w:val="00E33B32"/>
    <w:rsid w:val="00E343BB"/>
    <w:rsid w:val="00E34AEB"/>
    <w:rsid w:val="00E359EE"/>
    <w:rsid w:val="00E362EF"/>
    <w:rsid w:val="00E367F8"/>
    <w:rsid w:val="00E400D4"/>
    <w:rsid w:val="00E4095B"/>
    <w:rsid w:val="00E41262"/>
    <w:rsid w:val="00E41268"/>
    <w:rsid w:val="00E41EB1"/>
    <w:rsid w:val="00E42645"/>
    <w:rsid w:val="00E42798"/>
    <w:rsid w:val="00E42CFB"/>
    <w:rsid w:val="00E43732"/>
    <w:rsid w:val="00E43FBD"/>
    <w:rsid w:val="00E44969"/>
    <w:rsid w:val="00E451A5"/>
    <w:rsid w:val="00E454C8"/>
    <w:rsid w:val="00E457FF"/>
    <w:rsid w:val="00E45C20"/>
    <w:rsid w:val="00E46490"/>
    <w:rsid w:val="00E46CC2"/>
    <w:rsid w:val="00E47ADE"/>
    <w:rsid w:val="00E502F1"/>
    <w:rsid w:val="00E514D6"/>
    <w:rsid w:val="00E51C08"/>
    <w:rsid w:val="00E526B8"/>
    <w:rsid w:val="00E527DC"/>
    <w:rsid w:val="00E52AE1"/>
    <w:rsid w:val="00E53409"/>
    <w:rsid w:val="00E53639"/>
    <w:rsid w:val="00E53DF3"/>
    <w:rsid w:val="00E540D7"/>
    <w:rsid w:val="00E5510B"/>
    <w:rsid w:val="00E556CD"/>
    <w:rsid w:val="00E5571C"/>
    <w:rsid w:val="00E558E9"/>
    <w:rsid w:val="00E559D2"/>
    <w:rsid w:val="00E604FC"/>
    <w:rsid w:val="00E60F8A"/>
    <w:rsid w:val="00E612C8"/>
    <w:rsid w:val="00E62012"/>
    <w:rsid w:val="00E62BE5"/>
    <w:rsid w:val="00E6396D"/>
    <w:rsid w:val="00E63B2D"/>
    <w:rsid w:val="00E63DBB"/>
    <w:rsid w:val="00E63EC1"/>
    <w:rsid w:val="00E63ED8"/>
    <w:rsid w:val="00E64819"/>
    <w:rsid w:val="00E64A37"/>
    <w:rsid w:val="00E65557"/>
    <w:rsid w:val="00E65BA1"/>
    <w:rsid w:val="00E661C9"/>
    <w:rsid w:val="00E6733F"/>
    <w:rsid w:val="00E6772D"/>
    <w:rsid w:val="00E702B7"/>
    <w:rsid w:val="00E70C4B"/>
    <w:rsid w:val="00E70E99"/>
    <w:rsid w:val="00E7177B"/>
    <w:rsid w:val="00E72AB0"/>
    <w:rsid w:val="00E730FB"/>
    <w:rsid w:val="00E733BD"/>
    <w:rsid w:val="00E7362E"/>
    <w:rsid w:val="00E73BFC"/>
    <w:rsid w:val="00E740DA"/>
    <w:rsid w:val="00E74673"/>
    <w:rsid w:val="00E75453"/>
    <w:rsid w:val="00E75884"/>
    <w:rsid w:val="00E75AE4"/>
    <w:rsid w:val="00E75CBF"/>
    <w:rsid w:val="00E76DB1"/>
    <w:rsid w:val="00E772CA"/>
    <w:rsid w:val="00E77575"/>
    <w:rsid w:val="00E775D7"/>
    <w:rsid w:val="00E77D53"/>
    <w:rsid w:val="00E80918"/>
    <w:rsid w:val="00E80CF2"/>
    <w:rsid w:val="00E80E28"/>
    <w:rsid w:val="00E814F7"/>
    <w:rsid w:val="00E81BE3"/>
    <w:rsid w:val="00E81EDE"/>
    <w:rsid w:val="00E820AD"/>
    <w:rsid w:val="00E82256"/>
    <w:rsid w:val="00E82A24"/>
    <w:rsid w:val="00E82CCE"/>
    <w:rsid w:val="00E83472"/>
    <w:rsid w:val="00E83C6C"/>
    <w:rsid w:val="00E83DE6"/>
    <w:rsid w:val="00E8431C"/>
    <w:rsid w:val="00E8692E"/>
    <w:rsid w:val="00E8710F"/>
    <w:rsid w:val="00E8782C"/>
    <w:rsid w:val="00E9019E"/>
    <w:rsid w:val="00E90E97"/>
    <w:rsid w:val="00E914B6"/>
    <w:rsid w:val="00E915D8"/>
    <w:rsid w:val="00E91A62"/>
    <w:rsid w:val="00E91D97"/>
    <w:rsid w:val="00E91DC4"/>
    <w:rsid w:val="00E91EEB"/>
    <w:rsid w:val="00E92E6B"/>
    <w:rsid w:val="00E9468C"/>
    <w:rsid w:val="00E94776"/>
    <w:rsid w:val="00E94CE3"/>
    <w:rsid w:val="00E959E1"/>
    <w:rsid w:val="00E95A76"/>
    <w:rsid w:val="00E95D93"/>
    <w:rsid w:val="00E96464"/>
    <w:rsid w:val="00E97023"/>
    <w:rsid w:val="00EA042B"/>
    <w:rsid w:val="00EA0EB2"/>
    <w:rsid w:val="00EA1302"/>
    <w:rsid w:val="00EA14AB"/>
    <w:rsid w:val="00EA1946"/>
    <w:rsid w:val="00EA1A85"/>
    <w:rsid w:val="00EA1CF1"/>
    <w:rsid w:val="00EA234F"/>
    <w:rsid w:val="00EA2512"/>
    <w:rsid w:val="00EA2A47"/>
    <w:rsid w:val="00EA362D"/>
    <w:rsid w:val="00EA3DF2"/>
    <w:rsid w:val="00EA3F1D"/>
    <w:rsid w:val="00EA41E3"/>
    <w:rsid w:val="00EA4E2D"/>
    <w:rsid w:val="00EA60BD"/>
    <w:rsid w:val="00EA69A1"/>
    <w:rsid w:val="00EB0E27"/>
    <w:rsid w:val="00EB20EB"/>
    <w:rsid w:val="00EB2697"/>
    <w:rsid w:val="00EB2755"/>
    <w:rsid w:val="00EB29E2"/>
    <w:rsid w:val="00EB2A6D"/>
    <w:rsid w:val="00EB2E96"/>
    <w:rsid w:val="00EB3085"/>
    <w:rsid w:val="00EB41D1"/>
    <w:rsid w:val="00EB43B8"/>
    <w:rsid w:val="00EB4508"/>
    <w:rsid w:val="00EB4A30"/>
    <w:rsid w:val="00EB4E42"/>
    <w:rsid w:val="00EB55AB"/>
    <w:rsid w:val="00EB579A"/>
    <w:rsid w:val="00EB5B4F"/>
    <w:rsid w:val="00EB6DDA"/>
    <w:rsid w:val="00EB7CCA"/>
    <w:rsid w:val="00EC0080"/>
    <w:rsid w:val="00EC1D39"/>
    <w:rsid w:val="00EC1F61"/>
    <w:rsid w:val="00EC2493"/>
    <w:rsid w:val="00EC29EC"/>
    <w:rsid w:val="00EC4FFD"/>
    <w:rsid w:val="00EC56ED"/>
    <w:rsid w:val="00EC5860"/>
    <w:rsid w:val="00EC5D5D"/>
    <w:rsid w:val="00EC5F81"/>
    <w:rsid w:val="00EC6F70"/>
    <w:rsid w:val="00EC71F6"/>
    <w:rsid w:val="00EC7D24"/>
    <w:rsid w:val="00ED01E7"/>
    <w:rsid w:val="00ED037C"/>
    <w:rsid w:val="00ED07C5"/>
    <w:rsid w:val="00ED0A6B"/>
    <w:rsid w:val="00ED1044"/>
    <w:rsid w:val="00ED1243"/>
    <w:rsid w:val="00ED19D9"/>
    <w:rsid w:val="00ED1B68"/>
    <w:rsid w:val="00ED2515"/>
    <w:rsid w:val="00ED2E3A"/>
    <w:rsid w:val="00ED30CC"/>
    <w:rsid w:val="00ED3E56"/>
    <w:rsid w:val="00ED41A1"/>
    <w:rsid w:val="00ED4491"/>
    <w:rsid w:val="00ED780D"/>
    <w:rsid w:val="00EE0F37"/>
    <w:rsid w:val="00EE14FC"/>
    <w:rsid w:val="00EE15E8"/>
    <w:rsid w:val="00EE1C20"/>
    <w:rsid w:val="00EE1D04"/>
    <w:rsid w:val="00EE1F9A"/>
    <w:rsid w:val="00EE2BCD"/>
    <w:rsid w:val="00EE3846"/>
    <w:rsid w:val="00EE39F3"/>
    <w:rsid w:val="00EE48D7"/>
    <w:rsid w:val="00EE5902"/>
    <w:rsid w:val="00EE5FDF"/>
    <w:rsid w:val="00EE634B"/>
    <w:rsid w:val="00EE6871"/>
    <w:rsid w:val="00EE7A92"/>
    <w:rsid w:val="00EE7CBE"/>
    <w:rsid w:val="00EF0504"/>
    <w:rsid w:val="00EF1088"/>
    <w:rsid w:val="00EF18E3"/>
    <w:rsid w:val="00EF1ADB"/>
    <w:rsid w:val="00EF23D5"/>
    <w:rsid w:val="00EF2518"/>
    <w:rsid w:val="00EF3025"/>
    <w:rsid w:val="00EF5224"/>
    <w:rsid w:val="00EF5E0A"/>
    <w:rsid w:val="00EF60D3"/>
    <w:rsid w:val="00EF6BCA"/>
    <w:rsid w:val="00EF7DAE"/>
    <w:rsid w:val="00F000F0"/>
    <w:rsid w:val="00F00FD5"/>
    <w:rsid w:val="00F013D2"/>
    <w:rsid w:val="00F022FB"/>
    <w:rsid w:val="00F025B8"/>
    <w:rsid w:val="00F03AB7"/>
    <w:rsid w:val="00F04A95"/>
    <w:rsid w:val="00F05B75"/>
    <w:rsid w:val="00F05DC0"/>
    <w:rsid w:val="00F05E4E"/>
    <w:rsid w:val="00F06747"/>
    <w:rsid w:val="00F10B1B"/>
    <w:rsid w:val="00F11A43"/>
    <w:rsid w:val="00F1234B"/>
    <w:rsid w:val="00F14705"/>
    <w:rsid w:val="00F14A01"/>
    <w:rsid w:val="00F15051"/>
    <w:rsid w:val="00F15BEC"/>
    <w:rsid w:val="00F16425"/>
    <w:rsid w:val="00F1747C"/>
    <w:rsid w:val="00F2021D"/>
    <w:rsid w:val="00F217C3"/>
    <w:rsid w:val="00F219C6"/>
    <w:rsid w:val="00F23086"/>
    <w:rsid w:val="00F2446F"/>
    <w:rsid w:val="00F24B21"/>
    <w:rsid w:val="00F24F68"/>
    <w:rsid w:val="00F25648"/>
    <w:rsid w:val="00F25D18"/>
    <w:rsid w:val="00F26213"/>
    <w:rsid w:val="00F2662C"/>
    <w:rsid w:val="00F277EC"/>
    <w:rsid w:val="00F27CD1"/>
    <w:rsid w:val="00F27E04"/>
    <w:rsid w:val="00F302E7"/>
    <w:rsid w:val="00F30F7B"/>
    <w:rsid w:val="00F3111E"/>
    <w:rsid w:val="00F319BC"/>
    <w:rsid w:val="00F322F5"/>
    <w:rsid w:val="00F331BD"/>
    <w:rsid w:val="00F331CF"/>
    <w:rsid w:val="00F33415"/>
    <w:rsid w:val="00F33B7C"/>
    <w:rsid w:val="00F34380"/>
    <w:rsid w:val="00F350D3"/>
    <w:rsid w:val="00F35614"/>
    <w:rsid w:val="00F37105"/>
    <w:rsid w:val="00F37A21"/>
    <w:rsid w:val="00F37E5B"/>
    <w:rsid w:val="00F40240"/>
    <w:rsid w:val="00F40B1D"/>
    <w:rsid w:val="00F40B20"/>
    <w:rsid w:val="00F40D51"/>
    <w:rsid w:val="00F414C1"/>
    <w:rsid w:val="00F41737"/>
    <w:rsid w:val="00F41BF7"/>
    <w:rsid w:val="00F41D82"/>
    <w:rsid w:val="00F421F3"/>
    <w:rsid w:val="00F42626"/>
    <w:rsid w:val="00F42EE6"/>
    <w:rsid w:val="00F42F01"/>
    <w:rsid w:val="00F433A4"/>
    <w:rsid w:val="00F43906"/>
    <w:rsid w:val="00F43B8A"/>
    <w:rsid w:val="00F44483"/>
    <w:rsid w:val="00F44D3B"/>
    <w:rsid w:val="00F44DEC"/>
    <w:rsid w:val="00F44F4F"/>
    <w:rsid w:val="00F4512B"/>
    <w:rsid w:val="00F45C5A"/>
    <w:rsid w:val="00F45D5C"/>
    <w:rsid w:val="00F46946"/>
    <w:rsid w:val="00F4729A"/>
    <w:rsid w:val="00F47381"/>
    <w:rsid w:val="00F508A2"/>
    <w:rsid w:val="00F50A5C"/>
    <w:rsid w:val="00F51AAA"/>
    <w:rsid w:val="00F51D15"/>
    <w:rsid w:val="00F521EA"/>
    <w:rsid w:val="00F52B74"/>
    <w:rsid w:val="00F52CBC"/>
    <w:rsid w:val="00F52ED4"/>
    <w:rsid w:val="00F53681"/>
    <w:rsid w:val="00F5369F"/>
    <w:rsid w:val="00F54021"/>
    <w:rsid w:val="00F54CA0"/>
    <w:rsid w:val="00F54CBF"/>
    <w:rsid w:val="00F5636E"/>
    <w:rsid w:val="00F56652"/>
    <w:rsid w:val="00F56FD8"/>
    <w:rsid w:val="00F570DA"/>
    <w:rsid w:val="00F57302"/>
    <w:rsid w:val="00F57CF8"/>
    <w:rsid w:val="00F60553"/>
    <w:rsid w:val="00F60BBC"/>
    <w:rsid w:val="00F6119E"/>
    <w:rsid w:val="00F62128"/>
    <w:rsid w:val="00F62765"/>
    <w:rsid w:val="00F62F22"/>
    <w:rsid w:val="00F6388F"/>
    <w:rsid w:val="00F63AE7"/>
    <w:rsid w:val="00F6474C"/>
    <w:rsid w:val="00F64853"/>
    <w:rsid w:val="00F64F98"/>
    <w:rsid w:val="00F656E4"/>
    <w:rsid w:val="00F661FD"/>
    <w:rsid w:val="00F66F3E"/>
    <w:rsid w:val="00F67301"/>
    <w:rsid w:val="00F703D9"/>
    <w:rsid w:val="00F706D5"/>
    <w:rsid w:val="00F70CA6"/>
    <w:rsid w:val="00F71F08"/>
    <w:rsid w:val="00F721C6"/>
    <w:rsid w:val="00F723EE"/>
    <w:rsid w:val="00F72499"/>
    <w:rsid w:val="00F72821"/>
    <w:rsid w:val="00F72F11"/>
    <w:rsid w:val="00F73A3A"/>
    <w:rsid w:val="00F73C61"/>
    <w:rsid w:val="00F74F29"/>
    <w:rsid w:val="00F752F9"/>
    <w:rsid w:val="00F76762"/>
    <w:rsid w:val="00F76854"/>
    <w:rsid w:val="00F7725E"/>
    <w:rsid w:val="00F80CC4"/>
    <w:rsid w:val="00F818A7"/>
    <w:rsid w:val="00F8262E"/>
    <w:rsid w:val="00F83387"/>
    <w:rsid w:val="00F834CA"/>
    <w:rsid w:val="00F844F5"/>
    <w:rsid w:val="00F850AF"/>
    <w:rsid w:val="00F854C4"/>
    <w:rsid w:val="00F856D8"/>
    <w:rsid w:val="00F86A3A"/>
    <w:rsid w:val="00F86A46"/>
    <w:rsid w:val="00F86A70"/>
    <w:rsid w:val="00F8753F"/>
    <w:rsid w:val="00F91E69"/>
    <w:rsid w:val="00F92FEF"/>
    <w:rsid w:val="00F945F8"/>
    <w:rsid w:val="00F95DCB"/>
    <w:rsid w:val="00F96F67"/>
    <w:rsid w:val="00F97022"/>
    <w:rsid w:val="00F9741C"/>
    <w:rsid w:val="00FA03AA"/>
    <w:rsid w:val="00FA1261"/>
    <w:rsid w:val="00FA178B"/>
    <w:rsid w:val="00FA1BE4"/>
    <w:rsid w:val="00FA1F58"/>
    <w:rsid w:val="00FA2864"/>
    <w:rsid w:val="00FA3200"/>
    <w:rsid w:val="00FA4C05"/>
    <w:rsid w:val="00FA4E21"/>
    <w:rsid w:val="00FA55A9"/>
    <w:rsid w:val="00FA5DFA"/>
    <w:rsid w:val="00FA6FC1"/>
    <w:rsid w:val="00FA6FC4"/>
    <w:rsid w:val="00FA71C8"/>
    <w:rsid w:val="00FA7A01"/>
    <w:rsid w:val="00FA7D5F"/>
    <w:rsid w:val="00FA7E60"/>
    <w:rsid w:val="00FB092A"/>
    <w:rsid w:val="00FB0FC8"/>
    <w:rsid w:val="00FB1348"/>
    <w:rsid w:val="00FB2718"/>
    <w:rsid w:val="00FB2C2C"/>
    <w:rsid w:val="00FB31F6"/>
    <w:rsid w:val="00FB359E"/>
    <w:rsid w:val="00FB4131"/>
    <w:rsid w:val="00FB4E59"/>
    <w:rsid w:val="00FB54CA"/>
    <w:rsid w:val="00FB5999"/>
    <w:rsid w:val="00FB65CD"/>
    <w:rsid w:val="00FB6759"/>
    <w:rsid w:val="00FB697E"/>
    <w:rsid w:val="00FB6CEF"/>
    <w:rsid w:val="00FB7C8A"/>
    <w:rsid w:val="00FB7DC8"/>
    <w:rsid w:val="00FC049A"/>
    <w:rsid w:val="00FC08BC"/>
    <w:rsid w:val="00FC08E9"/>
    <w:rsid w:val="00FC09EB"/>
    <w:rsid w:val="00FC1CBD"/>
    <w:rsid w:val="00FC1F6E"/>
    <w:rsid w:val="00FC2362"/>
    <w:rsid w:val="00FC2497"/>
    <w:rsid w:val="00FC24E2"/>
    <w:rsid w:val="00FC293B"/>
    <w:rsid w:val="00FC2C40"/>
    <w:rsid w:val="00FC307D"/>
    <w:rsid w:val="00FC340E"/>
    <w:rsid w:val="00FC4B7E"/>
    <w:rsid w:val="00FC4C43"/>
    <w:rsid w:val="00FC5C13"/>
    <w:rsid w:val="00FC60BB"/>
    <w:rsid w:val="00FC6296"/>
    <w:rsid w:val="00FC6ACE"/>
    <w:rsid w:val="00FC6EEB"/>
    <w:rsid w:val="00FC7A3A"/>
    <w:rsid w:val="00FC7CAC"/>
    <w:rsid w:val="00FD054F"/>
    <w:rsid w:val="00FD064E"/>
    <w:rsid w:val="00FD0B67"/>
    <w:rsid w:val="00FD1ED1"/>
    <w:rsid w:val="00FD24A3"/>
    <w:rsid w:val="00FD33E1"/>
    <w:rsid w:val="00FD439D"/>
    <w:rsid w:val="00FD615B"/>
    <w:rsid w:val="00FD6B9E"/>
    <w:rsid w:val="00FD7091"/>
    <w:rsid w:val="00FD74E9"/>
    <w:rsid w:val="00FD7681"/>
    <w:rsid w:val="00FD794B"/>
    <w:rsid w:val="00FD7CA7"/>
    <w:rsid w:val="00FD7DA6"/>
    <w:rsid w:val="00FD7E1F"/>
    <w:rsid w:val="00FD7FC7"/>
    <w:rsid w:val="00FE0920"/>
    <w:rsid w:val="00FE0E3E"/>
    <w:rsid w:val="00FE0FD6"/>
    <w:rsid w:val="00FE11B9"/>
    <w:rsid w:val="00FE1245"/>
    <w:rsid w:val="00FE2B48"/>
    <w:rsid w:val="00FE359A"/>
    <w:rsid w:val="00FE3A86"/>
    <w:rsid w:val="00FE4990"/>
    <w:rsid w:val="00FE4AB3"/>
    <w:rsid w:val="00FE4C38"/>
    <w:rsid w:val="00FE4F11"/>
    <w:rsid w:val="00FE6399"/>
    <w:rsid w:val="00FE66DD"/>
    <w:rsid w:val="00FE6A25"/>
    <w:rsid w:val="00FE73A7"/>
    <w:rsid w:val="00FE763A"/>
    <w:rsid w:val="00FF017F"/>
    <w:rsid w:val="00FF0904"/>
    <w:rsid w:val="00FF0F9F"/>
    <w:rsid w:val="00FF14D3"/>
    <w:rsid w:val="00FF16A5"/>
    <w:rsid w:val="00FF1A0A"/>
    <w:rsid w:val="00FF25F7"/>
    <w:rsid w:val="00FF2C51"/>
    <w:rsid w:val="00FF2CDE"/>
    <w:rsid w:val="00FF308F"/>
    <w:rsid w:val="00FF30C4"/>
    <w:rsid w:val="00FF4738"/>
    <w:rsid w:val="00FF5697"/>
    <w:rsid w:val="00FF572A"/>
    <w:rsid w:val="00FF6273"/>
    <w:rsid w:val="00FF6AC6"/>
    <w:rsid w:val="00FF73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D835F"/>
  <w15:chartTrackingRefBased/>
  <w15:docId w15:val="{85192483-F825-4B39-BE79-D0005F5C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2A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62A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62A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762A7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762A7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ootnote,Colorful List - Accent 11,List Paragraph2,List Paragraph1,Ha,lp1,Normal1,Párrafo,Numbered Paragraph,Bullets,titulo 3,BOLADEF,BOLA,Párrafo de lista21,Guión,Titulo 8,HOJA,Chulito,Párrafo de lista3,MIBEX B"/>
    <w:basedOn w:val="Normal"/>
    <w:link w:val="PrrafodelistaCar"/>
    <w:uiPriority w:val="34"/>
    <w:qFormat/>
    <w:rsid w:val="00E20A48"/>
    <w:pPr>
      <w:ind w:left="720"/>
      <w:contextualSpacing/>
    </w:pPr>
  </w:style>
  <w:style w:type="paragraph" w:styleId="Textonotapie">
    <w:name w:val="footnote text"/>
    <w:aliases w:val="Ref. de nota al pie1,referencia nota al pie,Fago Fußnotenzeichen,Appel note de bas de page,Footnotes refss,Footnote number,BVI fnr,f,Footnote Text Char Char Char Char Char,Footnote Text Char Char Char Char,FA Fu,Footnote Text Char,FA Fu C"/>
    <w:basedOn w:val="Normal"/>
    <w:link w:val="TextonotapieCar"/>
    <w:uiPriority w:val="99"/>
    <w:unhideWhenUsed/>
    <w:qFormat/>
    <w:rsid w:val="0066107D"/>
    <w:pPr>
      <w:spacing w:after="0" w:line="240" w:lineRule="auto"/>
    </w:pPr>
    <w:rPr>
      <w:sz w:val="20"/>
      <w:szCs w:val="20"/>
    </w:rPr>
  </w:style>
  <w:style w:type="character" w:customStyle="1" w:styleId="TextonotapieCar">
    <w:name w:val="Texto nota pie Car"/>
    <w:aliases w:val="Ref. de nota al pie1 Car,referencia nota al pie Car,Fago Fußnotenzeichen Car,Appel note de bas de page Car,Footnotes refss Car,Footnote number Car,BVI fnr Car,f Car,Footnote Text Char Char Char Char Char Car,FA Fu Car,FA Fu C Car"/>
    <w:basedOn w:val="Fuentedeprrafopredeter"/>
    <w:link w:val="Textonotapie"/>
    <w:uiPriority w:val="99"/>
    <w:qFormat/>
    <w:rsid w:val="0066107D"/>
    <w:rPr>
      <w:sz w:val="20"/>
      <w:szCs w:val="20"/>
    </w:rPr>
  </w:style>
  <w:style w:type="character" w:styleId="Refdenotaalpie">
    <w:name w:val="footnote reference"/>
    <w:aliases w:val="Texto de nota al pie,Nota de pie,Texto nota al pie,Texto nota pie Car2,texto de nota al pi Car1,Ref. de nota al pie 2,Ref1,FC,Ref,de nota al pie,Appel note d,Appel note de,Appel note de bas de p,Appel note de bas de,F,4,4_G,16 Point"/>
    <w:basedOn w:val="Fuentedeprrafopredeter"/>
    <w:link w:val="Piedepagina"/>
    <w:uiPriority w:val="99"/>
    <w:unhideWhenUsed/>
    <w:qFormat/>
    <w:rsid w:val="0066107D"/>
    <w:rPr>
      <w:vertAlign w:val="superscript"/>
    </w:rPr>
  </w:style>
  <w:style w:type="paragraph" w:styleId="Sangradetextonormal">
    <w:name w:val="Body Text Indent"/>
    <w:basedOn w:val="Normal"/>
    <w:link w:val="SangradetextonormalCar"/>
    <w:rsid w:val="00D3300B"/>
    <w:pPr>
      <w:spacing w:after="0" w:line="240" w:lineRule="auto"/>
      <w:jc w:val="both"/>
    </w:pPr>
    <w:rPr>
      <w:rFonts w:ascii="Times New Roman" w:eastAsia="Times New Roman" w:hAnsi="Times New Roman" w:cs="Times New Roman"/>
      <w:sz w:val="28"/>
      <w:szCs w:val="20"/>
      <w:lang w:val="es-ES" w:eastAsia="es-ES"/>
    </w:rPr>
  </w:style>
  <w:style w:type="character" w:customStyle="1" w:styleId="SangradetextonormalCar">
    <w:name w:val="Sangría de texto normal Car"/>
    <w:basedOn w:val="Fuentedeprrafopredeter"/>
    <w:link w:val="Sangradetextonormal"/>
    <w:rsid w:val="00D3300B"/>
    <w:rPr>
      <w:rFonts w:ascii="Times New Roman" w:eastAsia="Times New Roman" w:hAnsi="Times New Roman" w:cs="Times New Roman"/>
      <w:sz w:val="28"/>
      <w:szCs w:val="20"/>
      <w:lang w:val="es-ES" w:eastAsia="es-ES"/>
    </w:rPr>
  </w:style>
  <w:style w:type="paragraph" w:styleId="NormalWeb">
    <w:name w:val="Normal (Web)"/>
    <w:basedOn w:val="Normal"/>
    <w:uiPriority w:val="99"/>
    <w:rsid w:val="00D3300B"/>
    <w:pPr>
      <w:spacing w:before="100" w:after="100" w:line="240" w:lineRule="auto"/>
    </w:pPr>
    <w:rPr>
      <w:rFonts w:ascii="Times New Roman" w:eastAsia="Times New Roman" w:hAnsi="Times New Roman" w:cs="Times New Roman"/>
      <w:sz w:val="24"/>
      <w:szCs w:val="20"/>
      <w:lang w:val="es-ES" w:eastAsia="es-ES"/>
    </w:rPr>
  </w:style>
  <w:style w:type="character" w:styleId="Hipervnculo">
    <w:name w:val="Hyperlink"/>
    <w:basedOn w:val="Fuentedeprrafopredeter"/>
    <w:uiPriority w:val="99"/>
    <w:unhideWhenUsed/>
    <w:rsid w:val="00F86A70"/>
    <w:rPr>
      <w:color w:val="0563C1" w:themeColor="hyperlink"/>
      <w:u w:val="single"/>
    </w:rPr>
  </w:style>
  <w:style w:type="paragraph" w:styleId="Textodeglobo">
    <w:name w:val="Balloon Text"/>
    <w:basedOn w:val="Normal"/>
    <w:link w:val="TextodegloboCar"/>
    <w:uiPriority w:val="99"/>
    <w:semiHidden/>
    <w:unhideWhenUsed/>
    <w:rsid w:val="00372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FEC"/>
    <w:rPr>
      <w:rFonts w:ascii="Segoe UI" w:hAnsi="Segoe UI" w:cs="Segoe UI"/>
      <w:sz w:val="18"/>
      <w:szCs w:val="18"/>
    </w:rPr>
  </w:style>
  <w:style w:type="paragraph" w:styleId="Encabezado">
    <w:name w:val="header"/>
    <w:basedOn w:val="Normal"/>
    <w:link w:val="EncabezadoCar"/>
    <w:uiPriority w:val="99"/>
    <w:unhideWhenUsed/>
    <w:rsid w:val="009D08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0801"/>
  </w:style>
  <w:style w:type="paragraph" w:styleId="Piedepgina">
    <w:name w:val="footer"/>
    <w:basedOn w:val="Normal"/>
    <w:link w:val="PiedepginaCar"/>
    <w:uiPriority w:val="99"/>
    <w:unhideWhenUsed/>
    <w:rsid w:val="009D08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0801"/>
  </w:style>
  <w:style w:type="character" w:styleId="Textoennegrita">
    <w:name w:val="Strong"/>
    <w:basedOn w:val="Fuentedeprrafopredeter"/>
    <w:uiPriority w:val="22"/>
    <w:qFormat/>
    <w:rsid w:val="0096714A"/>
    <w:rPr>
      <w:b/>
      <w:bCs/>
    </w:rPr>
  </w:style>
  <w:style w:type="character" w:customStyle="1" w:styleId="Ttulo1Car">
    <w:name w:val="Título 1 Car"/>
    <w:basedOn w:val="Fuentedeprrafopredeter"/>
    <w:link w:val="Ttulo1"/>
    <w:uiPriority w:val="9"/>
    <w:rsid w:val="00762A7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62A7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62A71"/>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762A71"/>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762A71"/>
    <w:rPr>
      <w:rFonts w:asciiTheme="majorHAnsi" w:eastAsiaTheme="majorEastAsia" w:hAnsiTheme="majorHAnsi" w:cstheme="majorBidi"/>
      <w:color w:val="2E74B5" w:themeColor="accent1" w:themeShade="BF"/>
    </w:rPr>
  </w:style>
  <w:style w:type="paragraph" w:styleId="Lista">
    <w:name w:val="List"/>
    <w:basedOn w:val="Normal"/>
    <w:uiPriority w:val="99"/>
    <w:unhideWhenUsed/>
    <w:rsid w:val="00762A71"/>
    <w:pPr>
      <w:ind w:left="283" w:hanging="283"/>
      <w:contextualSpacing/>
    </w:pPr>
  </w:style>
  <w:style w:type="paragraph" w:styleId="Lista2">
    <w:name w:val="List 2"/>
    <w:basedOn w:val="Normal"/>
    <w:uiPriority w:val="99"/>
    <w:unhideWhenUsed/>
    <w:rsid w:val="00762A71"/>
    <w:pPr>
      <w:ind w:left="566" w:hanging="283"/>
      <w:contextualSpacing/>
    </w:pPr>
  </w:style>
  <w:style w:type="paragraph" w:styleId="Lista3">
    <w:name w:val="List 3"/>
    <w:basedOn w:val="Normal"/>
    <w:uiPriority w:val="99"/>
    <w:unhideWhenUsed/>
    <w:rsid w:val="00762A71"/>
    <w:pPr>
      <w:ind w:left="849" w:hanging="283"/>
      <w:contextualSpacing/>
    </w:pPr>
  </w:style>
  <w:style w:type="paragraph" w:styleId="Continuarlista">
    <w:name w:val="List Continue"/>
    <w:basedOn w:val="Normal"/>
    <w:uiPriority w:val="99"/>
    <w:unhideWhenUsed/>
    <w:rsid w:val="00762A71"/>
    <w:pPr>
      <w:spacing w:after="120"/>
      <w:ind w:left="283"/>
      <w:contextualSpacing/>
    </w:pPr>
  </w:style>
  <w:style w:type="paragraph" w:styleId="Textoindependiente">
    <w:name w:val="Body Text"/>
    <w:basedOn w:val="Normal"/>
    <w:link w:val="TextoindependienteCar"/>
    <w:uiPriority w:val="99"/>
    <w:unhideWhenUsed/>
    <w:rsid w:val="00762A71"/>
    <w:pPr>
      <w:spacing w:after="120"/>
    </w:pPr>
  </w:style>
  <w:style w:type="character" w:customStyle="1" w:styleId="TextoindependienteCar">
    <w:name w:val="Texto independiente Car"/>
    <w:basedOn w:val="Fuentedeprrafopredeter"/>
    <w:link w:val="Textoindependiente"/>
    <w:uiPriority w:val="99"/>
    <w:rsid w:val="00762A71"/>
  </w:style>
  <w:style w:type="paragraph" w:styleId="Textoindependienteprimerasangra2">
    <w:name w:val="Body Text First Indent 2"/>
    <w:basedOn w:val="Sangradetextonormal"/>
    <w:link w:val="Textoindependienteprimerasangra2Car"/>
    <w:uiPriority w:val="99"/>
    <w:unhideWhenUsed/>
    <w:rsid w:val="00762A71"/>
    <w:pPr>
      <w:spacing w:after="160" w:line="259" w:lineRule="auto"/>
      <w:ind w:left="360" w:firstLine="360"/>
      <w:jc w:val="left"/>
    </w:pPr>
    <w:rPr>
      <w:rFonts w:asciiTheme="minorHAnsi" w:eastAsiaTheme="minorHAnsi" w:hAnsiTheme="minorHAnsi" w:cstheme="minorBidi"/>
      <w:sz w:val="22"/>
      <w:szCs w:val="22"/>
      <w:lang w:val="es-CO" w:eastAsia="en-US"/>
    </w:rPr>
  </w:style>
  <w:style w:type="character" w:customStyle="1" w:styleId="Textoindependienteprimerasangra2Car">
    <w:name w:val="Texto independiente primera sangría 2 Car"/>
    <w:basedOn w:val="SangradetextonormalCar"/>
    <w:link w:val="Textoindependienteprimerasangra2"/>
    <w:uiPriority w:val="99"/>
    <w:rsid w:val="00762A71"/>
    <w:rPr>
      <w:rFonts w:ascii="Times New Roman" w:eastAsia="Times New Roman" w:hAnsi="Times New Roman" w:cs="Times New Roman"/>
      <w:sz w:val="28"/>
      <w:szCs w:val="20"/>
      <w:lang w:val="es-ES" w:eastAsia="es-ES"/>
    </w:rPr>
  </w:style>
  <w:style w:type="character" w:customStyle="1" w:styleId="Mencinsinresolver1">
    <w:name w:val="Mención sin resolver1"/>
    <w:basedOn w:val="Fuentedeprrafopredeter"/>
    <w:uiPriority w:val="99"/>
    <w:semiHidden/>
    <w:unhideWhenUsed/>
    <w:rsid w:val="00762A71"/>
    <w:rPr>
      <w:color w:val="605E5C"/>
      <w:shd w:val="clear" w:color="auto" w:fill="E1DFDD"/>
    </w:rPr>
  </w:style>
  <w:style w:type="character" w:styleId="Refdecomentario">
    <w:name w:val="annotation reference"/>
    <w:basedOn w:val="Fuentedeprrafopredeter"/>
    <w:uiPriority w:val="99"/>
    <w:semiHidden/>
    <w:unhideWhenUsed/>
    <w:rsid w:val="0069063B"/>
    <w:rPr>
      <w:sz w:val="18"/>
      <w:szCs w:val="18"/>
    </w:rPr>
  </w:style>
  <w:style w:type="paragraph" w:styleId="Textocomentario">
    <w:name w:val="annotation text"/>
    <w:basedOn w:val="Normal"/>
    <w:link w:val="TextocomentarioCar"/>
    <w:uiPriority w:val="99"/>
    <w:unhideWhenUsed/>
    <w:rsid w:val="0069063B"/>
    <w:pPr>
      <w:spacing w:line="240" w:lineRule="auto"/>
    </w:pPr>
    <w:rPr>
      <w:sz w:val="24"/>
      <w:szCs w:val="24"/>
    </w:rPr>
  </w:style>
  <w:style w:type="character" w:customStyle="1" w:styleId="TextocomentarioCar">
    <w:name w:val="Texto comentario Car"/>
    <w:basedOn w:val="Fuentedeprrafopredeter"/>
    <w:link w:val="Textocomentario"/>
    <w:uiPriority w:val="99"/>
    <w:rsid w:val="0069063B"/>
    <w:rPr>
      <w:sz w:val="24"/>
      <w:szCs w:val="24"/>
    </w:rPr>
  </w:style>
  <w:style w:type="paragraph" w:styleId="Asuntodelcomentario">
    <w:name w:val="annotation subject"/>
    <w:basedOn w:val="Textocomentario"/>
    <w:next w:val="Textocomentario"/>
    <w:link w:val="AsuntodelcomentarioCar"/>
    <w:uiPriority w:val="99"/>
    <w:semiHidden/>
    <w:unhideWhenUsed/>
    <w:rsid w:val="0069063B"/>
    <w:rPr>
      <w:b/>
      <w:bCs/>
      <w:sz w:val="20"/>
      <w:szCs w:val="20"/>
    </w:rPr>
  </w:style>
  <w:style w:type="character" w:customStyle="1" w:styleId="AsuntodelcomentarioCar">
    <w:name w:val="Asunto del comentario Car"/>
    <w:basedOn w:val="TextocomentarioCar"/>
    <w:link w:val="Asuntodelcomentario"/>
    <w:uiPriority w:val="99"/>
    <w:semiHidden/>
    <w:rsid w:val="0069063B"/>
    <w:rPr>
      <w:b/>
      <w:bCs/>
      <w:sz w:val="20"/>
      <w:szCs w:val="20"/>
    </w:rPr>
  </w:style>
  <w:style w:type="paragraph" w:styleId="Revisin">
    <w:name w:val="Revision"/>
    <w:hidden/>
    <w:uiPriority w:val="99"/>
    <w:semiHidden/>
    <w:rsid w:val="003A2963"/>
    <w:pPr>
      <w:spacing w:after="0" w:line="240" w:lineRule="auto"/>
    </w:pPr>
  </w:style>
  <w:style w:type="character" w:customStyle="1" w:styleId="Mencinsinresolver2">
    <w:name w:val="Mención sin resolver2"/>
    <w:basedOn w:val="Fuentedeprrafopredeter"/>
    <w:uiPriority w:val="99"/>
    <w:rsid w:val="00CD7B40"/>
    <w:rPr>
      <w:color w:val="605E5C"/>
      <w:shd w:val="clear" w:color="auto" w:fill="E1DFDD"/>
    </w:rPr>
  </w:style>
  <w:style w:type="character" w:styleId="Hipervnculovisitado">
    <w:name w:val="FollowedHyperlink"/>
    <w:basedOn w:val="Fuentedeprrafopredeter"/>
    <w:uiPriority w:val="99"/>
    <w:semiHidden/>
    <w:unhideWhenUsed/>
    <w:rsid w:val="007B2465"/>
    <w:rPr>
      <w:color w:val="954F72" w:themeColor="followedHyperlink"/>
      <w:u w:val="single"/>
    </w:rPr>
  </w:style>
  <w:style w:type="character" w:customStyle="1" w:styleId="Mencinsinresolver3">
    <w:name w:val="Mención sin resolver3"/>
    <w:basedOn w:val="Fuentedeprrafopredeter"/>
    <w:uiPriority w:val="99"/>
    <w:rsid w:val="00A87EE9"/>
    <w:rPr>
      <w:color w:val="605E5C"/>
      <w:shd w:val="clear" w:color="auto" w:fill="E1DFDD"/>
    </w:rPr>
  </w:style>
  <w:style w:type="paragraph" w:customStyle="1" w:styleId="Piedepagina">
    <w:name w:val="Pie de pagina"/>
    <w:basedOn w:val="Normal"/>
    <w:link w:val="Refdenotaalpie"/>
    <w:rsid w:val="00A06827"/>
    <w:pPr>
      <w:spacing w:line="240" w:lineRule="exact"/>
    </w:pPr>
    <w:rPr>
      <w:vertAlign w:val="superscript"/>
    </w:rPr>
  </w:style>
  <w:style w:type="character" w:customStyle="1" w:styleId="PrrafodelistaCar">
    <w:name w:val="Párrafo de lista Car"/>
    <w:aliases w:val="Footnote Car,Colorful List - Accent 11 Car,List Paragraph2 Car,List Paragraph1 Car,Ha Car,lp1 Car,Normal1 Car,Párrafo Car,Numbered Paragraph Car,Bullets Car,titulo 3 Car,BOLADEF Car,BOLA Car,Párrafo de lista21 Car,Guión Car,HOJA Car"/>
    <w:link w:val="Prrafodelista"/>
    <w:uiPriority w:val="34"/>
    <w:qFormat/>
    <w:locked/>
    <w:rsid w:val="00A06827"/>
  </w:style>
  <w:style w:type="paragraph" w:styleId="Sinespaciado">
    <w:name w:val="No Spacing"/>
    <w:uiPriority w:val="1"/>
    <w:qFormat/>
    <w:rsid w:val="00BF2126"/>
    <w:pPr>
      <w:spacing w:after="0" w:line="240" w:lineRule="auto"/>
    </w:pPr>
  </w:style>
  <w:style w:type="paragraph" w:customStyle="1" w:styleId="4GChar">
    <w:name w:val="4_G Char"/>
    <w:aliases w:val="Appel note de bas de page Char Char Char Char Char Char Char Char Char Char Char Char Char Char Char Char Char Char Char,Appel note de bas de page Char Char Char Char,Appel note de bas de page Char"/>
    <w:basedOn w:val="Normal"/>
    <w:uiPriority w:val="99"/>
    <w:rsid w:val="00F62128"/>
    <w:pPr>
      <w:spacing w:after="0" w:line="240" w:lineRule="auto"/>
      <w:jc w:val="both"/>
    </w:pPr>
    <w:rPr>
      <w:vertAlign w:val="superscript"/>
    </w:rPr>
  </w:style>
  <w:style w:type="table" w:styleId="Tablaconcuadrcula">
    <w:name w:val="Table Grid"/>
    <w:basedOn w:val="Tablanormal"/>
    <w:uiPriority w:val="39"/>
    <w:rsid w:val="00955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89442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894427"/>
    <w:rPr>
      <w:rFonts w:ascii="Segoe UI" w:hAnsi="Segoe UI" w:cs="Segoe UI" w:hint="default"/>
      <w:sz w:val="18"/>
      <w:szCs w:val="18"/>
    </w:rPr>
  </w:style>
  <w:style w:type="character" w:styleId="Nmerodepgina">
    <w:name w:val="page number"/>
    <w:basedOn w:val="Fuentedeprrafopredeter"/>
    <w:uiPriority w:val="99"/>
    <w:semiHidden/>
    <w:unhideWhenUsed/>
    <w:rsid w:val="004F351B"/>
  </w:style>
  <w:style w:type="character" w:customStyle="1" w:styleId="Mencinsinresolver4">
    <w:name w:val="Mención sin resolver4"/>
    <w:basedOn w:val="Fuentedeprrafopredeter"/>
    <w:uiPriority w:val="99"/>
    <w:semiHidden/>
    <w:unhideWhenUsed/>
    <w:rsid w:val="00577B6D"/>
    <w:rPr>
      <w:color w:val="605E5C"/>
      <w:shd w:val="clear" w:color="auto" w:fill="E1DFDD"/>
    </w:rPr>
  </w:style>
  <w:style w:type="character" w:customStyle="1" w:styleId="baj">
    <w:name w:val="b_aj"/>
    <w:basedOn w:val="Fuentedeprrafopredeter"/>
    <w:rsid w:val="00896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216">
      <w:bodyDiv w:val="1"/>
      <w:marLeft w:val="0"/>
      <w:marRight w:val="0"/>
      <w:marTop w:val="0"/>
      <w:marBottom w:val="0"/>
      <w:divBdr>
        <w:top w:val="none" w:sz="0" w:space="0" w:color="auto"/>
        <w:left w:val="none" w:sz="0" w:space="0" w:color="auto"/>
        <w:bottom w:val="none" w:sz="0" w:space="0" w:color="auto"/>
        <w:right w:val="none" w:sz="0" w:space="0" w:color="auto"/>
      </w:divBdr>
    </w:div>
    <w:div w:id="12920952">
      <w:bodyDiv w:val="1"/>
      <w:marLeft w:val="0"/>
      <w:marRight w:val="0"/>
      <w:marTop w:val="0"/>
      <w:marBottom w:val="0"/>
      <w:divBdr>
        <w:top w:val="none" w:sz="0" w:space="0" w:color="auto"/>
        <w:left w:val="none" w:sz="0" w:space="0" w:color="auto"/>
        <w:bottom w:val="none" w:sz="0" w:space="0" w:color="auto"/>
        <w:right w:val="none" w:sz="0" w:space="0" w:color="auto"/>
      </w:divBdr>
    </w:div>
    <w:div w:id="43794545">
      <w:bodyDiv w:val="1"/>
      <w:marLeft w:val="0"/>
      <w:marRight w:val="0"/>
      <w:marTop w:val="0"/>
      <w:marBottom w:val="0"/>
      <w:divBdr>
        <w:top w:val="none" w:sz="0" w:space="0" w:color="auto"/>
        <w:left w:val="none" w:sz="0" w:space="0" w:color="auto"/>
        <w:bottom w:val="none" w:sz="0" w:space="0" w:color="auto"/>
        <w:right w:val="none" w:sz="0" w:space="0" w:color="auto"/>
      </w:divBdr>
    </w:div>
    <w:div w:id="51196745">
      <w:bodyDiv w:val="1"/>
      <w:marLeft w:val="0"/>
      <w:marRight w:val="0"/>
      <w:marTop w:val="0"/>
      <w:marBottom w:val="0"/>
      <w:divBdr>
        <w:top w:val="none" w:sz="0" w:space="0" w:color="auto"/>
        <w:left w:val="none" w:sz="0" w:space="0" w:color="auto"/>
        <w:bottom w:val="none" w:sz="0" w:space="0" w:color="auto"/>
        <w:right w:val="none" w:sz="0" w:space="0" w:color="auto"/>
      </w:divBdr>
    </w:div>
    <w:div w:id="52704063">
      <w:bodyDiv w:val="1"/>
      <w:marLeft w:val="0"/>
      <w:marRight w:val="0"/>
      <w:marTop w:val="0"/>
      <w:marBottom w:val="0"/>
      <w:divBdr>
        <w:top w:val="none" w:sz="0" w:space="0" w:color="auto"/>
        <w:left w:val="none" w:sz="0" w:space="0" w:color="auto"/>
        <w:bottom w:val="none" w:sz="0" w:space="0" w:color="auto"/>
        <w:right w:val="none" w:sz="0" w:space="0" w:color="auto"/>
      </w:divBdr>
    </w:div>
    <w:div w:id="63652087">
      <w:bodyDiv w:val="1"/>
      <w:marLeft w:val="0"/>
      <w:marRight w:val="0"/>
      <w:marTop w:val="0"/>
      <w:marBottom w:val="0"/>
      <w:divBdr>
        <w:top w:val="none" w:sz="0" w:space="0" w:color="auto"/>
        <w:left w:val="none" w:sz="0" w:space="0" w:color="auto"/>
        <w:bottom w:val="none" w:sz="0" w:space="0" w:color="auto"/>
        <w:right w:val="none" w:sz="0" w:space="0" w:color="auto"/>
      </w:divBdr>
    </w:div>
    <w:div w:id="120150052">
      <w:bodyDiv w:val="1"/>
      <w:marLeft w:val="0"/>
      <w:marRight w:val="0"/>
      <w:marTop w:val="0"/>
      <w:marBottom w:val="0"/>
      <w:divBdr>
        <w:top w:val="none" w:sz="0" w:space="0" w:color="auto"/>
        <w:left w:val="none" w:sz="0" w:space="0" w:color="auto"/>
        <w:bottom w:val="none" w:sz="0" w:space="0" w:color="auto"/>
        <w:right w:val="none" w:sz="0" w:space="0" w:color="auto"/>
      </w:divBdr>
    </w:div>
    <w:div w:id="188766820">
      <w:bodyDiv w:val="1"/>
      <w:marLeft w:val="0"/>
      <w:marRight w:val="0"/>
      <w:marTop w:val="0"/>
      <w:marBottom w:val="0"/>
      <w:divBdr>
        <w:top w:val="none" w:sz="0" w:space="0" w:color="auto"/>
        <w:left w:val="none" w:sz="0" w:space="0" w:color="auto"/>
        <w:bottom w:val="none" w:sz="0" w:space="0" w:color="auto"/>
        <w:right w:val="none" w:sz="0" w:space="0" w:color="auto"/>
      </w:divBdr>
    </w:div>
    <w:div w:id="224923466">
      <w:bodyDiv w:val="1"/>
      <w:marLeft w:val="0"/>
      <w:marRight w:val="0"/>
      <w:marTop w:val="0"/>
      <w:marBottom w:val="0"/>
      <w:divBdr>
        <w:top w:val="none" w:sz="0" w:space="0" w:color="auto"/>
        <w:left w:val="none" w:sz="0" w:space="0" w:color="auto"/>
        <w:bottom w:val="none" w:sz="0" w:space="0" w:color="auto"/>
        <w:right w:val="none" w:sz="0" w:space="0" w:color="auto"/>
      </w:divBdr>
    </w:div>
    <w:div w:id="251208913">
      <w:bodyDiv w:val="1"/>
      <w:marLeft w:val="0"/>
      <w:marRight w:val="0"/>
      <w:marTop w:val="0"/>
      <w:marBottom w:val="0"/>
      <w:divBdr>
        <w:top w:val="none" w:sz="0" w:space="0" w:color="auto"/>
        <w:left w:val="none" w:sz="0" w:space="0" w:color="auto"/>
        <w:bottom w:val="none" w:sz="0" w:space="0" w:color="auto"/>
        <w:right w:val="none" w:sz="0" w:space="0" w:color="auto"/>
      </w:divBdr>
    </w:div>
    <w:div w:id="265159607">
      <w:bodyDiv w:val="1"/>
      <w:marLeft w:val="0"/>
      <w:marRight w:val="0"/>
      <w:marTop w:val="0"/>
      <w:marBottom w:val="0"/>
      <w:divBdr>
        <w:top w:val="none" w:sz="0" w:space="0" w:color="auto"/>
        <w:left w:val="none" w:sz="0" w:space="0" w:color="auto"/>
        <w:bottom w:val="none" w:sz="0" w:space="0" w:color="auto"/>
        <w:right w:val="none" w:sz="0" w:space="0" w:color="auto"/>
      </w:divBdr>
    </w:div>
    <w:div w:id="291980020">
      <w:bodyDiv w:val="1"/>
      <w:marLeft w:val="0"/>
      <w:marRight w:val="0"/>
      <w:marTop w:val="0"/>
      <w:marBottom w:val="0"/>
      <w:divBdr>
        <w:top w:val="none" w:sz="0" w:space="0" w:color="auto"/>
        <w:left w:val="none" w:sz="0" w:space="0" w:color="auto"/>
        <w:bottom w:val="none" w:sz="0" w:space="0" w:color="auto"/>
        <w:right w:val="none" w:sz="0" w:space="0" w:color="auto"/>
      </w:divBdr>
    </w:div>
    <w:div w:id="306323490">
      <w:bodyDiv w:val="1"/>
      <w:marLeft w:val="0"/>
      <w:marRight w:val="0"/>
      <w:marTop w:val="0"/>
      <w:marBottom w:val="0"/>
      <w:divBdr>
        <w:top w:val="none" w:sz="0" w:space="0" w:color="auto"/>
        <w:left w:val="none" w:sz="0" w:space="0" w:color="auto"/>
        <w:bottom w:val="none" w:sz="0" w:space="0" w:color="auto"/>
        <w:right w:val="none" w:sz="0" w:space="0" w:color="auto"/>
      </w:divBdr>
    </w:div>
    <w:div w:id="324363000">
      <w:bodyDiv w:val="1"/>
      <w:marLeft w:val="0"/>
      <w:marRight w:val="0"/>
      <w:marTop w:val="0"/>
      <w:marBottom w:val="0"/>
      <w:divBdr>
        <w:top w:val="none" w:sz="0" w:space="0" w:color="auto"/>
        <w:left w:val="none" w:sz="0" w:space="0" w:color="auto"/>
        <w:bottom w:val="none" w:sz="0" w:space="0" w:color="auto"/>
        <w:right w:val="none" w:sz="0" w:space="0" w:color="auto"/>
      </w:divBdr>
    </w:div>
    <w:div w:id="325938635">
      <w:bodyDiv w:val="1"/>
      <w:marLeft w:val="0"/>
      <w:marRight w:val="0"/>
      <w:marTop w:val="0"/>
      <w:marBottom w:val="0"/>
      <w:divBdr>
        <w:top w:val="none" w:sz="0" w:space="0" w:color="auto"/>
        <w:left w:val="none" w:sz="0" w:space="0" w:color="auto"/>
        <w:bottom w:val="none" w:sz="0" w:space="0" w:color="auto"/>
        <w:right w:val="none" w:sz="0" w:space="0" w:color="auto"/>
      </w:divBdr>
    </w:div>
    <w:div w:id="387148413">
      <w:bodyDiv w:val="1"/>
      <w:marLeft w:val="0"/>
      <w:marRight w:val="0"/>
      <w:marTop w:val="0"/>
      <w:marBottom w:val="0"/>
      <w:divBdr>
        <w:top w:val="none" w:sz="0" w:space="0" w:color="auto"/>
        <w:left w:val="none" w:sz="0" w:space="0" w:color="auto"/>
        <w:bottom w:val="none" w:sz="0" w:space="0" w:color="auto"/>
        <w:right w:val="none" w:sz="0" w:space="0" w:color="auto"/>
      </w:divBdr>
    </w:div>
    <w:div w:id="394014636">
      <w:bodyDiv w:val="1"/>
      <w:marLeft w:val="0"/>
      <w:marRight w:val="0"/>
      <w:marTop w:val="0"/>
      <w:marBottom w:val="0"/>
      <w:divBdr>
        <w:top w:val="none" w:sz="0" w:space="0" w:color="auto"/>
        <w:left w:val="none" w:sz="0" w:space="0" w:color="auto"/>
        <w:bottom w:val="none" w:sz="0" w:space="0" w:color="auto"/>
        <w:right w:val="none" w:sz="0" w:space="0" w:color="auto"/>
      </w:divBdr>
    </w:div>
    <w:div w:id="402489031">
      <w:bodyDiv w:val="1"/>
      <w:marLeft w:val="0"/>
      <w:marRight w:val="0"/>
      <w:marTop w:val="0"/>
      <w:marBottom w:val="0"/>
      <w:divBdr>
        <w:top w:val="none" w:sz="0" w:space="0" w:color="auto"/>
        <w:left w:val="none" w:sz="0" w:space="0" w:color="auto"/>
        <w:bottom w:val="none" w:sz="0" w:space="0" w:color="auto"/>
        <w:right w:val="none" w:sz="0" w:space="0" w:color="auto"/>
      </w:divBdr>
    </w:div>
    <w:div w:id="429855949">
      <w:bodyDiv w:val="1"/>
      <w:marLeft w:val="0"/>
      <w:marRight w:val="0"/>
      <w:marTop w:val="0"/>
      <w:marBottom w:val="0"/>
      <w:divBdr>
        <w:top w:val="none" w:sz="0" w:space="0" w:color="auto"/>
        <w:left w:val="none" w:sz="0" w:space="0" w:color="auto"/>
        <w:bottom w:val="none" w:sz="0" w:space="0" w:color="auto"/>
        <w:right w:val="none" w:sz="0" w:space="0" w:color="auto"/>
      </w:divBdr>
    </w:div>
    <w:div w:id="454980395">
      <w:bodyDiv w:val="1"/>
      <w:marLeft w:val="0"/>
      <w:marRight w:val="0"/>
      <w:marTop w:val="0"/>
      <w:marBottom w:val="0"/>
      <w:divBdr>
        <w:top w:val="none" w:sz="0" w:space="0" w:color="auto"/>
        <w:left w:val="none" w:sz="0" w:space="0" w:color="auto"/>
        <w:bottom w:val="none" w:sz="0" w:space="0" w:color="auto"/>
        <w:right w:val="none" w:sz="0" w:space="0" w:color="auto"/>
      </w:divBdr>
    </w:div>
    <w:div w:id="504055257">
      <w:bodyDiv w:val="1"/>
      <w:marLeft w:val="0"/>
      <w:marRight w:val="0"/>
      <w:marTop w:val="0"/>
      <w:marBottom w:val="0"/>
      <w:divBdr>
        <w:top w:val="none" w:sz="0" w:space="0" w:color="auto"/>
        <w:left w:val="none" w:sz="0" w:space="0" w:color="auto"/>
        <w:bottom w:val="none" w:sz="0" w:space="0" w:color="auto"/>
        <w:right w:val="none" w:sz="0" w:space="0" w:color="auto"/>
      </w:divBdr>
    </w:div>
    <w:div w:id="514929689">
      <w:bodyDiv w:val="1"/>
      <w:marLeft w:val="0"/>
      <w:marRight w:val="0"/>
      <w:marTop w:val="0"/>
      <w:marBottom w:val="0"/>
      <w:divBdr>
        <w:top w:val="none" w:sz="0" w:space="0" w:color="auto"/>
        <w:left w:val="none" w:sz="0" w:space="0" w:color="auto"/>
        <w:bottom w:val="none" w:sz="0" w:space="0" w:color="auto"/>
        <w:right w:val="none" w:sz="0" w:space="0" w:color="auto"/>
      </w:divBdr>
    </w:div>
    <w:div w:id="535167153">
      <w:bodyDiv w:val="1"/>
      <w:marLeft w:val="0"/>
      <w:marRight w:val="0"/>
      <w:marTop w:val="0"/>
      <w:marBottom w:val="0"/>
      <w:divBdr>
        <w:top w:val="none" w:sz="0" w:space="0" w:color="auto"/>
        <w:left w:val="none" w:sz="0" w:space="0" w:color="auto"/>
        <w:bottom w:val="none" w:sz="0" w:space="0" w:color="auto"/>
        <w:right w:val="none" w:sz="0" w:space="0" w:color="auto"/>
      </w:divBdr>
    </w:div>
    <w:div w:id="553392626">
      <w:bodyDiv w:val="1"/>
      <w:marLeft w:val="0"/>
      <w:marRight w:val="0"/>
      <w:marTop w:val="0"/>
      <w:marBottom w:val="0"/>
      <w:divBdr>
        <w:top w:val="none" w:sz="0" w:space="0" w:color="auto"/>
        <w:left w:val="none" w:sz="0" w:space="0" w:color="auto"/>
        <w:bottom w:val="none" w:sz="0" w:space="0" w:color="auto"/>
        <w:right w:val="none" w:sz="0" w:space="0" w:color="auto"/>
      </w:divBdr>
    </w:div>
    <w:div w:id="565072551">
      <w:bodyDiv w:val="1"/>
      <w:marLeft w:val="0"/>
      <w:marRight w:val="0"/>
      <w:marTop w:val="0"/>
      <w:marBottom w:val="0"/>
      <w:divBdr>
        <w:top w:val="none" w:sz="0" w:space="0" w:color="auto"/>
        <w:left w:val="none" w:sz="0" w:space="0" w:color="auto"/>
        <w:bottom w:val="none" w:sz="0" w:space="0" w:color="auto"/>
        <w:right w:val="none" w:sz="0" w:space="0" w:color="auto"/>
      </w:divBdr>
    </w:div>
    <w:div w:id="593559708">
      <w:bodyDiv w:val="1"/>
      <w:marLeft w:val="0"/>
      <w:marRight w:val="0"/>
      <w:marTop w:val="0"/>
      <w:marBottom w:val="0"/>
      <w:divBdr>
        <w:top w:val="none" w:sz="0" w:space="0" w:color="auto"/>
        <w:left w:val="none" w:sz="0" w:space="0" w:color="auto"/>
        <w:bottom w:val="none" w:sz="0" w:space="0" w:color="auto"/>
        <w:right w:val="none" w:sz="0" w:space="0" w:color="auto"/>
      </w:divBdr>
    </w:div>
    <w:div w:id="648479300">
      <w:bodyDiv w:val="1"/>
      <w:marLeft w:val="0"/>
      <w:marRight w:val="0"/>
      <w:marTop w:val="0"/>
      <w:marBottom w:val="0"/>
      <w:divBdr>
        <w:top w:val="none" w:sz="0" w:space="0" w:color="auto"/>
        <w:left w:val="none" w:sz="0" w:space="0" w:color="auto"/>
        <w:bottom w:val="none" w:sz="0" w:space="0" w:color="auto"/>
        <w:right w:val="none" w:sz="0" w:space="0" w:color="auto"/>
      </w:divBdr>
    </w:div>
    <w:div w:id="662314762">
      <w:bodyDiv w:val="1"/>
      <w:marLeft w:val="0"/>
      <w:marRight w:val="0"/>
      <w:marTop w:val="0"/>
      <w:marBottom w:val="0"/>
      <w:divBdr>
        <w:top w:val="none" w:sz="0" w:space="0" w:color="auto"/>
        <w:left w:val="none" w:sz="0" w:space="0" w:color="auto"/>
        <w:bottom w:val="none" w:sz="0" w:space="0" w:color="auto"/>
        <w:right w:val="none" w:sz="0" w:space="0" w:color="auto"/>
      </w:divBdr>
    </w:div>
    <w:div w:id="710036423">
      <w:bodyDiv w:val="1"/>
      <w:marLeft w:val="0"/>
      <w:marRight w:val="0"/>
      <w:marTop w:val="0"/>
      <w:marBottom w:val="0"/>
      <w:divBdr>
        <w:top w:val="none" w:sz="0" w:space="0" w:color="auto"/>
        <w:left w:val="none" w:sz="0" w:space="0" w:color="auto"/>
        <w:bottom w:val="none" w:sz="0" w:space="0" w:color="auto"/>
        <w:right w:val="none" w:sz="0" w:space="0" w:color="auto"/>
      </w:divBdr>
    </w:div>
    <w:div w:id="737171749">
      <w:bodyDiv w:val="1"/>
      <w:marLeft w:val="0"/>
      <w:marRight w:val="0"/>
      <w:marTop w:val="0"/>
      <w:marBottom w:val="0"/>
      <w:divBdr>
        <w:top w:val="none" w:sz="0" w:space="0" w:color="auto"/>
        <w:left w:val="none" w:sz="0" w:space="0" w:color="auto"/>
        <w:bottom w:val="none" w:sz="0" w:space="0" w:color="auto"/>
        <w:right w:val="none" w:sz="0" w:space="0" w:color="auto"/>
      </w:divBdr>
    </w:div>
    <w:div w:id="764113824">
      <w:bodyDiv w:val="1"/>
      <w:marLeft w:val="0"/>
      <w:marRight w:val="0"/>
      <w:marTop w:val="0"/>
      <w:marBottom w:val="0"/>
      <w:divBdr>
        <w:top w:val="none" w:sz="0" w:space="0" w:color="auto"/>
        <w:left w:val="none" w:sz="0" w:space="0" w:color="auto"/>
        <w:bottom w:val="none" w:sz="0" w:space="0" w:color="auto"/>
        <w:right w:val="none" w:sz="0" w:space="0" w:color="auto"/>
      </w:divBdr>
    </w:div>
    <w:div w:id="768812016">
      <w:bodyDiv w:val="1"/>
      <w:marLeft w:val="0"/>
      <w:marRight w:val="0"/>
      <w:marTop w:val="0"/>
      <w:marBottom w:val="0"/>
      <w:divBdr>
        <w:top w:val="none" w:sz="0" w:space="0" w:color="auto"/>
        <w:left w:val="none" w:sz="0" w:space="0" w:color="auto"/>
        <w:bottom w:val="none" w:sz="0" w:space="0" w:color="auto"/>
        <w:right w:val="none" w:sz="0" w:space="0" w:color="auto"/>
      </w:divBdr>
    </w:div>
    <w:div w:id="771433220">
      <w:bodyDiv w:val="1"/>
      <w:marLeft w:val="0"/>
      <w:marRight w:val="0"/>
      <w:marTop w:val="0"/>
      <w:marBottom w:val="0"/>
      <w:divBdr>
        <w:top w:val="none" w:sz="0" w:space="0" w:color="auto"/>
        <w:left w:val="none" w:sz="0" w:space="0" w:color="auto"/>
        <w:bottom w:val="none" w:sz="0" w:space="0" w:color="auto"/>
        <w:right w:val="none" w:sz="0" w:space="0" w:color="auto"/>
      </w:divBdr>
    </w:div>
    <w:div w:id="843010870">
      <w:bodyDiv w:val="1"/>
      <w:marLeft w:val="0"/>
      <w:marRight w:val="0"/>
      <w:marTop w:val="0"/>
      <w:marBottom w:val="0"/>
      <w:divBdr>
        <w:top w:val="none" w:sz="0" w:space="0" w:color="auto"/>
        <w:left w:val="none" w:sz="0" w:space="0" w:color="auto"/>
        <w:bottom w:val="none" w:sz="0" w:space="0" w:color="auto"/>
        <w:right w:val="none" w:sz="0" w:space="0" w:color="auto"/>
      </w:divBdr>
    </w:div>
    <w:div w:id="844437161">
      <w:bodyDiv w:val="1"/>
      <w:marLeft w:val="0"/>
      <w:marRight w:val="0"/>
      <w:marTop w:val="0"/>
      <w:marBottom w:val="0"/>
      <w:divBdr>
        <w:top w:val="none" w:sz="0" w:space="0" w:color="auto"/>
        <w:left w:val="none" w:sz="0" w:space="0" w:color="auto"/>
        <w:bottom w:val="none" w:sz="0" w:space="0" w:color="auto"/>
        <w:right w:val="none" w:sz="0" w:space="0" w:color="auto"/>
      </w:divBdr>
    </w:div>
    <w:div w:id="850291194">
      <w:bodyDiv w:val="1"/>
      <w:marLeft w:val="0"/>
      <w:marRight w:val="0"/>
      <w:marTop w:val="0"/>
      <w:marBottom w:val="0"/>
      <w:divBdr>
        <w:top w:val="none" w:sz="0" w:space="0" w:color="auto"/>
        <w:left w:val="none" w:sz="0" w:space="0" w:color="auto"/>
        <w:bottom w:val="none" w:sz="0" w:space="0" w:color="auto"/>
        <w:right w:val="none" w:sz="0" w:space="0" w:color="auto"/>
      </w:divBdr>
    </w:div>
    <w:div w:id="853883857">
      <w:bodyDiv w:val="1"/>
      <w:marLeft w:val="0"/>
      <w:marRight w:val="0"/>
      <w:marTop w:val="0"/>
      <w:marBottom w:val="0"/>
      <w:divBdr>
        <w:top w:val="none" w:sz="0" w:space="0" w:color="auto"/>
        <w:left w:val="none" w:sz="0" w:space="0" w:color="auto"/>
        <w:bottom w:val="none" w:sz="0" w:space="0" w:color="auto"/>
        <w:right w:val="none" w:sz="0" w:space="0" w:color="auto"/>
      </w:divBdr>
    </w:div>
    <w:div w:id="898587971">
      <w:bodyDiv w:val="1"/>
      <w:marLeft w:val="0"/>
      <w:marRight w:val="0"/>
      <w:marTop w:val="0"/>
      <w:marBottom w:val="0"/>
      <w:divBdr>
        <w:top w:val="none" w:sz="0" w:space="0" w:color="auto"/>
        <w:left w:val="none" w:sz="0" w:space="0" w:color="auto"/>
        <w:bottom w:val="none" w:sz="0" w:space="0" w:color="auto"/>
        <w:right w:val="none" w:sz="0" w:space="0" w:color="auto"/>
      </w:divBdr>
    </w:div>
    <w:div w:id="901715111">
      <w:bodyDiv w:val="1"/>
      <w:marLeft w:val="0"/>
      <w:marRight w:val="0"/>
      <w:marTop w:val="0"/>
      <w:marBottom w:val="0"/>
      <w:divBdr>
        <w:top w:val="none" w:sz="0" w:space="0" w:color="auto"/>
        <w:left w:val="none" w:sz="0" w:space="0" w:color="auto"/>
        <w:bottom w:val="none" w:sz="0" w:space="0" w:color="auto"/>
        <w:right w:val="none" w:sz="0" w:space="0" w:color="auto"/>
      </w:divBdr>
    </w:div>
    <w:div w:id="911623432">
      <w:bodyDiv w:val="1"/>
      <w:marLeft w:val="0"/>
      <w:marRight w:val="0"/>
      <w:marTop w:val="0"/>
      <w:marBottom w:val="0"/>
      <w:divBdr>
        <w:top w:val="none" w:sz="0" w:space="0" w:color="auto"/>
        <w:left w:val="none" w:sz="0" w:space="0" w:color="auto"/>
        <w:bottom w:val="none" w:sz="0" w:space="0" w:color="auto"/>
        <w:right w:val="none" w:sz="0" w:space="0" w:color="auto"/>
      </w:divBdr>
    </w:div>
    <w:div w:id="940189505">
      <w:bodyDiv w:val="1"/>
      <w:marLeft w:val="0"/>
      <w:marRight w:val="0"/>
      <w:marTop w:val="0"/>
      <w:marBottom w:val="0"/>
      <w:divBdr>
        <w:top w:val="none" w:sz="0" w:space="0" w:color="auto"/>
        <w:left w:val="none" w:sz="0" w:space="0" w:color="auto"/>
        <w:bottom w:val="none" w:sz="0" w:space="0" w:color="auto"/>
        <w:right w:val="none" w:sz="0" w:space="0" w:color="auto"/>
      </w:divBdr>
    </w:div>
    <w:div w:id="960456048">
      <w:bodyDiv w:val="1"/>
      <w:marLeft w:val="0"/>
      <w:marRight w:val="0"/>
      <w:marTop w:val="0"/>
      <w:marBottom w:val="0"/>
      <w:divBdr>
        <w:top w:val="none" w:sz="0" w:space="0" w:color="auto"/>
        <w:left w:val="none" w:sz="0" w:space="0" w:color="auto"/>
        <w:bottom w:val="none" w:sz="0" w:space="0" w:color="auto"/>
        <w:right w:val="none" w:sz="0" w:space="0" w:color="auto"/>
      </w:divBdr>
    </w:div>
    <w:div w:id="1065222691">
      <w:bodyDiv w:val="1"/>
      <w:marLeft w:val="0"/>
      <w:marRight w:val="0"/>
      <w:marTop w:val="0"/>
      <w:marBottom w:val="0"/>
      <w:divBdr>
        <w:top w:val="none" w:sz="0" w:space="0" w:color="auto"/>
        <w:left w:val="none" w:sz="0" w:space="0" w:color="auto"/>
        <w:bottom w:val="none" w:sz="0" w:space="0" w:color="auto"/>
        <w:right w:val="none" w:sz="0" w:space="0" w:color="auto"/>
      </w:divBdr>
    </w:div>
    <w:div w:id="1072969694">
      <w:bodyDiv w:val="1"/>
      <w:marLeft w:val="0"/>
      <w:marRight w:val="0"/>
      <w:marTop w:val="0"/>
      <w:marBottom w:val="0"/>
      <w:divBdr>
        <w:top w:val="none" w:sz="0" w:space="0" w:color="auto"/>
        <w:left w:val="none" w:sz="0" w:space="0" w:color="auto"/>
        <w:bottom w:val="none" w:sz="0" w:space="0" w:color="auto"/>
        <w:right w:val="none" w:sz="0" w:space="0" w:color="auto"/>
      </w:divBdr>
    </w:div>
    <w:div w:id="1101954203">
      <w:bodyDiv w:val="1"/>
      <w:marLeft w:val="0"/>
      <w:marRight w:val="0"/>
      <w:marTop w:val="0"/>
      <w:marBottom w:val="0"/>
      <w:divBdr>
        <w:top w:val="none" w:sz="0" w:space="0" w:color="auto"/>
        <w:left w:val="none" w:sz="0" w:space="0" w:color="auto"/>
        <w:bottom w:val="none" w:sz="0" w:space="0" w:color="auto"/>
        <w:right w:val="none" w:sz="0" w:space="0" w:color="auto"/>
      </w:divBdr>
    </w:div>
    <w:div w:id="1168907109">
      <w:bodyDiv w:val="1"/>
      <w:marLeft w:val="0"/>
      <w:marRight w:val="0"/>
      <w:marTop w:val="0"/>
      <w:marBottom w:val="0"/>
      <w:divBdr>
        <w:top w:val="none" w:sz="0" w:space="0" w:color="auto"/>
        <w:left w:val="none" w:sz="0" w:space="0" w:color="auto"/>
        <w:bottom w:val="none" w:sz="0" w:space="0" w:color="auto"/>
        <w:right w:val="none" w:sz="0" w:space="0" w:color="auto"/>
      </w:divBdr>
    </w:div>
    <w:div w:id="1182549690">
      <w:bodyDiv w:val="1"/>
      <w:marLeft w:val="0"/>
      <w:marRight w:val="0"/>
      <w:marTop w:val="0"/>
      <w:marBottom w:val="0"/>
      <w:divBdr>
        <w:top w:val="none" w:sz="0" w:space="0" w:color="auto"/>
        <w:left w:val="none" w:sz="0" w:space="0" w:color="auto"/>
        <w:bottom w:val="none" w:sz="0" w:space="0" w:color="auto"/>
        <w:right w:val="none" w:sz="0" w:space="0" w:color="auto"/>
      </w:divBdr>
    </w:div>
    <w:div w:id="1198739548">
      <w:bodyDiv w:val="1"/>
      <w:marLeft w:val="0"/>
      <w:marRight w:val="0"/>
      <w:marTop w:val="0"/>
      <w:marBottom w:val="0"/>
      <w:divBdr>
        <w:top w:val="none" w:sz="0" w:space="0" w:color="auto"/>
        <w:left w:val="none" w:sz="0" w:space="0" w:color="auto"/>
        <w:bottom w:val="none" w:sz="0" w:space="0" w:color="auto"/>
        <w:right w:val="none" w:sz="0" w:space="0" w:color="auto"/>
      </w:divBdr>
    </w:div>
    <w:div w:id="1205171130">
      <w:bodyDiv w:val="1"/>
      <w:marLeft w:val="0"/>
      <w:marRight w:val="0"/>
      <w:marTop w:val="0"/>
      <w:marBottom w:val="0"/>
      <w:divBdr>
        <w:top w:val="none" w:sz="0" w:space="0" w:color="auto"/>
        <w:left w:val="none" w:sz="0" w:space="0" w:color="auto"/>
        <w:bottom w:val="none" w:sz="0" w:space="0" w:color="auto"/>
        <w:right w:val="none" w:sz="0" w:space="0" w:color="auto"/>
      </w:divBdr>
    </w:div>
    <w:div w:id="1215236518">
      <w:bodyDiv w:val="1"/>
      <w:marLeft w:val="0"/>
      <w:marRight w:val="0"/>
      <w:marTop w:val="0"/>
      <w:marBottom w:val="0"/>
      <w:divBdr>
        <w:top w:val="none" w:sz="0" w:space="0" w:color="auto"/>
        <w:left w:val="none" w:sz="0" w:space="0" w:color="auto"/>
        <w:bottom w:val="none" w:sz="0" w:space="0" w:color="auto"/>
        <w:right w:val="none" w:sz="0" w:space="0" w:color="auto"/>
      </w:divBdr>
    </w:div>
    <w:div w:id="1223718428">
      <w:bodyDiv w:val="1"/>
      <w:marLeft w:val="0"/>
      <w:marRight w:val="0"/>
      <w:marTop w:val="0"/>
      <w:marBottom w:val="0"/>
      <w:divBdr>
        <w:top w:val="none" w:sz="0" w:space="0" w:color="auto"/>
        <w:left w:val="none" w:sz="0" w:space="0" w:color="auto"/>
        <w:bottom w:val="none" w:sz="0" w:space="0" w:color="auto"/>
        <w:right w:val="none" w:sz="0" w:space="0" w:color="auto"/>
      </w:divBdr>
    </w:div>
    <w:div w:id="1257592623">
      <w:bodyDiv w:val="1"/>
      <w:marLeft w:val="0"/>
      <w:marRight w:val="0"/>
      <w:marTop w:val="0"/>
      <w:marBottom w:val="0"/>
      <w:divBdr>
        <w:top w:val="none" w:sz="0" w:space="0" w:color="auto"/>
        <w:left w:val="none" w:sz="0" w:space="0" w:color="auto"/>
        <w:bottom w:val="none" w:sz="0" w:space="0" w:color="auto"/>
        <w:right w:val="none" w:sz="0" w:space="0" w:color="auto"/>
      </w:divBdr>
    </w:div>
    <w:div w:id="1295939004">
      <w:bodyDiv w:val="1"/>
      <w:marLeft w:val="0"/>
      <w:marRight w:val="0"/>
      <w:marTop w:val="0"/>
      <w:marBottom w:val="0"/>
      <w:divBdr>
        <w:top w:val="none" w:sz="0" w:space="0" w:color="auto"/>
        <w:left w:val="none" w:sz="0" w:space="0" w:color="auto"/>
        <w:bottom w:val="none" w:sz="0" w:space="0" w:color="auto"/>
        <w:right w:val="none" w:sz="0" w:space="0" w:color="auto"/>
      </w:divBdr>
    </w:div>
    <w:div w:id="1332952071">
      <w:bodyDiv w:val="1"/>
      <w:marLeft w:val="0"/>
      <w:marRight w:val="0"/>
      <w:marTop w:val="0"/>
      <w:marBottom w:val="0"/>
      <w:divBdr>
        <w:top w:val="none" w:sz="0" w:space="0" w:color="auto"/>
        <w:left w:val="none" w:sz="0" w:space="0" w:color="auto"/>
        <w:bottom w:val="none" w:sz="0" w:space="0" w:color="auto"/>
        <w:right w:val="none" w:sz="0" w:space="0" w:color="auto"/>
      </w:divBdr>
    </w:div>
    <w:div w:id="1399018455">
      <w:bodyDiv w:val="1"/>
      <w:marLeft w:val="0"/>
      <w:marRight w:val="0"/>
      <w:marTop w:val="0"/>
      <w:marBottom w:val="0"/>
      <w:divBdr>
        <w:top w:val="none" w:sz="0" w:space="0" w:color="auto"/>
        <w:left w:val="none" w:sz="0" w:space="0" w:color="auto"/>
        <w:bottom w:val="none" w:sz="0" w:space="0" w:color="auto"/>
        <w:right w:val="none" w:sz="0" w:space="0" w:color="auto"/>
      </w:divBdr>
    </w:div>
    <w:div w:id="1408378136">
      <w:bodyDiv w:val="1"/>
      <w:marLeft w:val="0"/>
      <w:marRight w:val="0"/>
      <w:marTop w:val="0"/>
      <w:marBottom w:val="0"/>
      <w:divBdr>
        <w:top w:val="none" w:sz="0" w:space="0" w:color="auto"/>
        <w:left w:val="none" w:sz="0" w:space="0" w:color="auto"/>
        <w:bottom w:val="none" w:sz="0" w:space="0" w:color="auto"/>
        <w:right w:val="none" w:sz="0" w:space="0" w:color="auto"/>
      </w:divBdr>
    </w:div>
    <w:div w:id="1410688149">
      <w:bodyDiv w:val="1"/>
      <w:marLeft w:val="0"/>
      <w:marRight w:val="0"/>
      <w:marTop w:val="0"/>
      <w:marBottom w:val="0"/>
      <w:divBdr>
        <w:top w:val="none" w:sz="0" w:space="0" w:color="auto"/>
        <w:left w:val="none" w:sz="0" w:space="0" w:color="auto"/>
        <w:bottom w:val="none" w:sz="0" w:space="0" w:color="auto"/>
        <w:right w:val="none" w:sz="0" w:space="0" w:color="auto"/>
      </w:divBdr>
    </w:div>
    <w:div w:id="1413352330">
      <w:bodyDiv w:val="1"/>
      <w:marLeft w:val="0"/>
      <w:marRight w:val="0"/>
      <w:marTop w:val="0"/>
      <w:marBottom w:val="0"/>
      <w:divBdr>
        <w:top w:val="none" w:sz="0" w:space="0" w:color="auto"/>
        <w:left w:val="none" w:sz="0" w:space="0" w:color="auto"/>
        <w:bottom w:val="none" w:sz="0" w:space="0" w:color="auto"/>
        <w:right w:val="none" w:sz="0" w:space="0" w:color="auto"/>
      </w:divBdr>
    </w:div>
    <w:div w:id="1437865986">
      <w:bodyDiv w:val="1"/>
      <w:marLeft w:val="0"/>
      <w:marRight w:val="0"/>
      <w:marTop w:val="0"/>
      <w:marBottom w:val="0"/>
      <w:divBdr>
        <w:top w:val="none" w:sz="0" w:space="0" w:color="auto"/>
        <w:left w:val="none" w:sz="0" w:space="0" w:color="auto"/>
        <w:bottom w:val="none" w:sz="0" w:space="0" w:color="auto"/>
        <w:right w:val="none" w:sz="0" w:space="0" w:color="auto"/>
      </w:divBdr>
    </w:div>
    <w:div w:id="1442645594">
      <w:bodyDiv w:val="1"/>
      <w:marLeft w:val="0"/>
      <w:marRight w:val="0"/>
      <w:marTop w:val="0"/>
      <w:marBottom w:val="0"/>
      <w:divBdr>
        <w:top w:val="none" w:sz="0" w:space="0" w:color="auto"/>
        <w:left w:val="none" w:sz="0" w:space="0" w:color="auto"/>
        <w:bottom w:val="none" w:sz="0" w:space="0" w:color="auto"/>
        <w:right w:val="none" w:sz="0" w:space="0" w:color="auto"/>
      </w:divBdr>
    </w:div>
    <w:div w:id="1460567769">
      <w:bodyDiv w:val="1"/>
      <w:marLeft w:val="0"/>
      <w:marRight w:val="0"/>
      <w:marTop w:val="0"/>
      <w:marBottom w:val="0"/>
      <w:divBdr>
        <w:top w:val="none" w:sz="0" w:space="0" w:color="auto"/>
        <w:left w:val="none" w:sz="0" w:space="0" w:color="auto"/>
        <w:bottom w:val="none" w:sz="0" w:space="0" w:color="auto"/>
        <w:right w:val="none" w:sz="0" w:space="0" w:color="auto"/>
      </w:divBdr>
    </w:div>
    <w:div w:id="1468938604">
      <w:bodyDiv w:val="1"/>
      <w:marLeft w:val="0"/>
      <w:marRight w:val="0"/>
      <w:marTop w:val="0"/>
      <w:marBottom w:val="0"/>
      <w:divBdr>
        <w:top w:val="none" w:sz="0" w:space="0" w:color="auto"/>
        <w:left w:val="none" w:sz="0" w:space="0" w:color="auto"/>
        <w:bottom w:val="none" w:sz="0" w:space="0" w:color="auto"/>
        <w:right w:val="none" w:sz="0" w:space="0" w:color="auto"/>
      </w:divBdr>
    </w:div>
    <w:div w:id="1475220037">
      <w:bodyDiv w:val="1"/>
      <w:marLeft w:val="0"/>
      <w:marRight w:val="0"/>
      <w:marTop w:val="0"/>
      <w:marBottom w:val="0"/>
      <w:divBdr>
        <w:top w:val="none" w:sz="0" w:space="0" w:color="auto"/>
        <w:left w:val="none" w:sz="0" w:space="0" w:color="auto"/>
        <w:bottom w:val="none" w:sz="0" w:space="0" w:color="auto"/>
        <w:right w:val="none" w:sz="0" w:space="0" w:color="auto"/>
      </w:divBdr>
    </w:div>
    <w:div w:id="1483618378">
      <w:bodyDiv w:val="1"/>
      <w:marLeft w:val="0"/>
      <w:marRight w:val="0"/>
      <w:marTop w:val="0"/>
      <w:marBottom w:val="0"/>
      <w:divBdr>
        <w:top w:val="none" w:sz="0" w:space="0" w:color="auto"/>
        <w:left w:val="none" w:sz="0" w:space="0" w:color="auto"/>
        <w:bottom w:val="none" w:sz="0" w:space="0" w:color="auto"/>
        <w:right w:val="none" w:sz="0" w:space="0" w:color="auto"/>
      </w:divBdr>
    </w:div>
    <w:div w:id="1508328489">
      <w:bodyDiv w:val="1"/>
      <w:marLeft w:val="0"/>
      <w:marRight w:val="0"/>
      <w:marTop w:val="0"/>
      <w:marBottom w:val="0"/>
      <w:divBdr>
        <w:top w:val="none" w:sz="0" w:space="0" w:color="auto"/>
        <w:left w:val="none" w:sz="0" w:space="0" w:color="auto"/>
        <w:bottom w:val="none" w:sz="0" w:space="0" w:color="auto"/>
        <w:right w:val="none" w:sz="0" w:space="0" w:color="auto"/>
      </w:divBdr>
    </w:div>
    <w:div w:id="1513951496">
      <w:bodyDiv w:val="1"/>
      <w:marLeft w:val="0"/>
      <w:marRight w:val="0"/>
      <w:marTop w:val="0"/>
      <w:marBottom w:val="0"/>
      <w:divBdr>
        <w:top w:val="none" w:sz="0" w:space="0" w:color="auto"/>
        <w:left w:val="none" w:sz="0" w:space="0" w:color="auto"/>
        <w:bottom w:val="none" w:sz="0" w:space="0" w:color="auto"/>
        <w:right w:val="none" w:sz="0" w:space="0" w:color="auto"/>
      </w:divBdr>
    </w:div>
    <w:div w:id="1523590143">
      <w:bodyDiv w:val="1"/>
      <w:marLeft w:val="0"/>
      <w:marRight w:val="0"/>
      <w:marTop w:val="0"/>
      <w:marBottom w:val="0"/>
      <w:divBdr>
        <w:top w:val="none" w:sz="0" w:space="0" w:color="auto"/>
        <w:left w:val="none" w:sz="0" w:space="0" w:color="auto"/>
        <w:bottom w:val="none" w:sz="0" w:space="0" w:color="auto"/>
        <w:right w:val="none" w:sz="0" w:space="0" w:color="auto"/>
      </w:divBdr>
    </w:div>
    <w:div w:id="1543906882">
      <w:bodyDiv w:val="1"/>
      <w:marLeft w:val="0"/>
      <w:marRight w:val="0"/>
      <w:marTop w:val="0"/>
      <w:marBottom w:val="0"/>
      <w:divBdr>
        <w:top w:val="none" w:sz="0" w:space="0" w:color="auto"/>
        <w:left w:val="none" w:sz="0" w:space="0" w:color="auto"/>
        <w:bottom w:val="none" w:sz="0" w:space="0" w:color="auto"/>
        <w:right w:val="none" w:sz="0" w:space="0" w:color="auto"/>
      </w:divBdr>
    </w:div>
    <w:div w:id="1570115446">
      <w:bodyDiv w:val="1"/>
      <w:marLeft w:val="0"/>
      <w:marRight w:val="0"/>
      <w:marTop w:val="0"/>
      <w:marBottom w:val="0"/>
      <w:divBdr>
        <w:top w:val="none" w:sz="0" w:space="0" w:color="auto"/>
        <w:left w:val="none" w:sz="0" w:space="0" w:color="auto"/>
        <w:bottom w:val="none" w:sz="0" w:space="0" w:color="auto"/>
        <w:right w:val="none" w:sz="0" w:space="0" w:color="auto"/>
      </w:divBdr>
    </w:div>
    <w:div w:id="1577208274">
      <w:bodyDiv w:val="1"/>
      <w:marLeft w:val="0"/>
      <w:marRight w:val="0"/>
      <w:marTop w:val="0"/>
      <w:marBottom w:val="0"/>
      <w:divBdr>
        <w:top w:val="none" w:sz="0" w:space="0" w:color="auto"/>
        <w:left w:val="none" w:sz="0" w:space="0" w:color="auto"/>
        <w:bottom w:val="none" w:sz="0" w:space="0" w:color="auto"/>
        <w:right w:val="none" w:sz="0" w:space="0" w:color="auto"/>
      </w:divBdr>
    </w:div>
    <w:div w:id="1604146038">
      <w:bodyDiv w:val="1"/>
      <w:marLeft w:val="0"/>
      <w:marRight w:val="0"/>
      <w:marTop w:val="0"/>
      <w:marBottom w:val="0"/>
      <w:divBdr>
        <w:top w:val="none" w:sz="0" w:space="0" w:color="auto"/>
        <w:left w:val="none" w:sz="0" w:space="0" w:color="auto"/>
        <w:bottom w:val="none" w:sz="0" w:space="0" w:color="auto"/>
        <w:right w:val="none" w:sz="0" w:space="0" w:color="auto"/>
      </w:divBdr>
    </w:div>
    <w:div w:id="1615944657">
      <w:bodyDiv w:val="1"/>
      <w:marLeft w:val="0"/>
      <w:marRight w:val="0"/>
      <w:marTop w:val="0"/>
      <w:marBottom w:val="0"/>
      <w:divBdr>
        <w:top w:val="none" w:sz="0" w:space="0" w:color="auto"/>
        <w:left w:val="none" w:sz="0" w:space="0" w:color="auto"/>
        <w:bottom w:val="none" w:sz="0" w:space="0" w:color="auto"/>
        <w:right w:val="none" w:sz="0" w:space="0" w:color="auto"/>
      </w:divBdr>
    </w:div>
    <w:div w:id="1743603497">
      <w:bodyDiv w:val="1"/>
      <w:marLeft w:val="0"/>
      <w:marRight w:val="0"/>
      <w:marTop w:val="0"/>
      <w:marBottom w:val="0"/>
      <w:divBdr>
        <w:top w:val="none" w:sz="0" w:space="0" w:color="auto"/>
        <w:left w:val="none" w:sz="0" w:space="0" w:color="auto"/>
        <w:bottom w:val="none" w:sz="0" w:space="0" w:color="auto"/>
        <w:right w:val="none" w:sz="0" w:space="0" w:color="auto"/>
      </w:divBdr>
    </w:div>
    <w:div w:id="1764840578">
      <w:bodyDiv w:val="1"/>
      <w:marLeft w:val="0"/>
      <w:marRight w:val="0"/>
      <w:marTop w:val="0"/>
      <w:marBottom w:val="0"/>
      <w:divBdr>
        <w:top w:val="none" w:sz="0" w:space="0" w:color="auto"/>
        <w:left w:val="none" w:sz="0" w:space="0" w:color="auto"/>
        <w:bottom w:val="none" w:sz="0" w:space="0" w:color="auto"/>
        <w:right w:val="none" w:sz="0" w:space="0" w:color="auto"/>
      </w:divBdr>
    </w:div>
    <w:div w:id="1767847605">
      <w:bodyDiv w:val="1"/>
      <w:marLeft w:val="0"/>
      <w:marRight w:val="0"/>
      <w:marTop w:val="0"/>
      <w:marBottom w:val="0"/>
      <w:divBdr>
        <w:top w:val="none" w:sz="0" w:space="0" w:color="auto"/>
        <w:left w:val="none" w:sz="0" w:space="0" w:color="auto"/>
        <w:bottom w:val="none" w:sz="0" w:space="0" w:color="auto"/>
        <w:right w:val="none" w:sz="0" w:space="0" w:color="auto"/>
      </w:divBdr>
    </w:div>
    <w:div w:id="1830175927">
      <w:bodyDiv w:val="1"/>
      <w:marLeft w:val="0"/>
      <w:marRight w:val="0"/>
      <w:marTop w:val="0"/>
      <w:marBottom w:val="0"/>
      <w:divBdr>
        <w:top w:val="none" w:sz="0" w:space="0" w:color="auto"/>
        <w:left w:val="none" w:sz="0" w:space="0" w:color="auto"/>
        <w:bottom w:val="none" w:sz="0" w:space="0" w:color="auto"/>
        <w:right w:val="none" w:sz="0" w:space="0" w:color="auto"/>
      </w:divBdr>
    </w:div>
    <w:div w:id="1835803566">
      <w:bodyDiv w:val="1"/>
      <w:marLeft w:val="0"/>
      <w:marRight w:val="0"/>
      <w:marTop w:val="0"/>
      <w:marBottom w:val="0"/>
      <w:divBdr>
        <w:top w:val="none" w:sz="0" w:space="0" w:color="auto"/>
        <w:left w:val="none" w:sz="0" w:space="0" w:color="auto"/>
        <w:bottom w:val="none" w:sz="0" w:space="0" w:color="auto"/>
        <w:right w:val="none" w:sz="0" w:space="0" w:color="auto"/>
      </w:divBdr>
    </w:div>
    <w:div w:id="1868983998">
      <w:bodyDiv w:val="1"/>
      <w:marLeft w:val="0"/>
      <w:marRight w:val="0"/>
      <w:marTop w:val="0"/>
      <w:marBottom w:val="0"/>
      <w:divBdr>
        <w:top w:val="none" w:sz="0" w:space="0" w:color="auto"/>
        <w:left w:val="none" w:sz="0" w:space="0" w:color="auto"/>
        <w:bottom w:val="none" w:sz="0" w:space="0" w:color="auto"/>
        <w:right w:val="none" w:sz="0" w:space="0" w:color="auto"/>
      </w:divBdr>
    </w:div>
    <w:div w:id="1905217703">
      <w:bodyDiv w:val="1"/>
      <w:marLeft w:val="0"/>
      <w:marRight w:val="0"/>
      <w:marTop w:val="0"/>
      <w:marBottom w:val="0"/>
      <w:divBdr>
        <w:top w:val="none" w:sz="0" w:space="0" w:color="auto"/>
        <w:left w:val="none" w:sz="0" w:space="0" w:color="auto"/>
        <w:bottom w:val="none" w:sz="0" w:space="0" w:color="auto"/>
        <w:right w:val="none" w:sz="0" w:space="0" w:color="auto"/>
      </w:divBdr>
    </w:div>
    <w:div w:id="1925608945">
      <w:bodyDiv w:val="1"/>
      <w:marLeft w:val="0"/>
      <w:marRight w:val="0"/>
      <w:marTop w:val="0"/>
      <w:marBottom w:val="0"/>
      <w:divBdr>
        <w:top w:val="none" w:sz="0" w:space="0" w:color="auto"/>
        <w:left w:val="none" w:sz="0" w:space="0" w:color="auto"/>
        <w:bottom w:val="none" w:sz="0" w:space="0" w:color="auto"/>
        <w:right w:val="none" w:sz="0" w:space="0" w:color="auto"/>
      </w:divBdr>
    </w:div>
    <w:div w:id="1935817475">
      <w:bodyDiv w:val="1"/>
      <w:marLeft w:val="0"/>
      <w:marRight w:val="0"/>
      <w:marTop w:val="0"/>
      <w:marBottom w:val="0"/>
      <w:divBdr>
        <w:top w:val="none" w:sz="0" w:space="0" w:color="auto"/>
        <w:left w:val="none" w:sz="0" w:space="0" w:color="auto"/>
        <w:bottom w:val="none" w:sz="0" w:space="0" w:color="auto"/>
        <w:right w:val="none" w:sz="0" w:space="0" w:color="auto"/>
      </w:divBdr>
    </w:div>
    <w:div w:id="1936405319">
      <w:bodyDiv w:val="1"/>
      <w:marLeft w:val="0"/>
      <w:marRight w:val="0"/>
      <w:marTop w:val="0"/>
      <w:marBottom w:val="0"/>
      <w:divBdr>
        <w:top w:val="none" w:sz="0" w:space="0" w:color="auto"/>
        <w:left w:val="none" w:sz="0" w:space="0" w:color="auto"/>
        <w:bottom w:val="none" w:sz="0" w:space="0" w:color="auto"/>
        <w:right w:val="none" w:sz="0" w:space="0" w:color="auto"/>
      </w:divBdr>
    </w:div>
    <w:div w:id="1943494236">
      <w:bodyDiv w:val="1"/>
      <w:marLeft w:val="0"/>
      <w:marRight w:val="0"/>
      <w:marTop w:val="0"/>
      <w:marBottom w:val="0"/>
      <w:divBdr>
        <w:top w:val="none" w:sz="0" w:space="0" w:color="auto"/>
        <w:left w:val="none" w:sz="0" w:space="0" w:color="auto"/>
        <w:bottom w:val="none" w:sz="0" w:space="0" w:color="auto"/>
        <w:right w:val="none" w:sz="0" w:space="0" w:color="auto"/>
      </w:divBdr>
    </w:div>
    <w:div w:id="1956713382">
      <w:bodyDiv w:val="1"/>
      <w:marLeft w:val="0"/>
      <w:marRight w:val="0"/>
      <w:marTop w:val="0"/>
      <w:marBottom w:val="0"/>
      <w:divBdr>
        <w:top w:val="none" w:sz="0" w:space="0" w:color="auto"/>
        <w:left w:val="none" w:sz="0" w:space="0" w:color="auto"/>
        <w:bottom w:val="none" w:sz="0" w:space="0" w:color="auto"/>
        <w:right w:val="none" w:sz="0" w:space="0" w:color="auto"/>
      </w:divBdr>
    </w:div>
    <w:div w:id="1962804630">
      <w:bodyDiv w:val="1"/>
      <w:marLeft w:val="0"/>
      <w:marRight w:val="0"/>
      <w:marTop w:val="0"/>
      <w:marBottom w:val="0"/>
      <w:divBdr>
        <w:top w:val="none" w:sz="0" w:space="0" w:color="auto"/>
        <w:left w:val="none" w:sz="0" w:space="0" w:color="auto"/>
        <w:bottom w:val="none" w:sz="0" w:space="0" w:color="auto"/>
        <w:right w:val="none" w:sz="0" w:space="0" w:color="auto"/>
      </w:divBdr>
    </w:div>
    <w:div w:id="1996908619">
      <w:bodyDiv w:val="1"/>
      <w:marLeft w:val="0"/>
      <w:marRight w:val="0"/>
      <w:marTop w:val="0"/>
      <w:marBottom w:val="0"/>
      <w:divBdr>
        <w:top w:val="none" w:sz="0" w:space="0" w:color="auto"/>
        <w:left w:val="none" w:sz="0" w:space="0" w:color="auto"/>
        <w:bottom w:val="none" w:sz="0" w:space="0" w:color="auto"/>
        <w:right w:val="none" w:sz="0" w:space="0" w:color="auto"/>
      </w:divBdr>
    </w:div>
    <w:div w:id="1998918086">
      <w:bodyDiv w:val="1"/>
      <w:marLeft w:val="0"/>
      <w:marRight w:val="0"/>
      <w:marTop w:val="0"/>
      <w:marBottom w:val="0"/>
      <w:divBdr>
        <w:top w:val="none" w:sz="0" w:space="0" w:color="auto"/>
        <w:left w:val="none" w:sz="0" w:space="0" w:color="auto"/>
        <w:bottom w:val="none" w:sz="0" w:space="0" w:color="auto"/>
        <w:right w:val="none" w:sz="0" w:space="0" w:color="auto"/>
      </w:divBdr>
    </w:div>
    <w:div w:id="2015302749">
      <w:bodyDiv w:val="1"/>
      <w:marLeft w:val="0"/>
      <w:marRight w:val="0"/>
      <w:marTop w:val="0"/>
      <w:marBottom w:val="0"/>
      <w:divBdr>
        <w:top w:val="none" w:sz="0" w:space="0" w:color="auto"/>
        <w:left w:val="none" w:sz="0" w:space="0" w:color="auto"/>
        <w:bottom w:val="none" w:sz="0" w:space="0" w:color="auto"/>
        <w:right w:val="none" w:sz="0" w:space="0" w:color="auto"/>
      </w:divBdr>
    </w:div>
    <w:div w:id="2040622222">
      <w:bodyDiv w:val="1"/>
      <w:marLeft w:val="0"/>
      <w:marRight w:val="0"/>
      <w:marTop w:val="0"/>
      <w:marBottom w:val="0"/>
      <w:divBdr>
        <w:top w:val="none" w:sz="0" w:space="0" w:color="auto"/>
        <w:left w:val="none" w:sz="0" w:space="0" w:color="auto"/>
        <w:bottom w:val="none" w:sz="0" w:space="0" w:color="auto"/>
        <w:right w:val="none" w:sz="0" w:space="0" w:color="auto"/>
      </w:divBdr>
    </w:div>
    <w:div w:id="2107924143">
      <w:bodyDiv w:val="1"/>
      <w:marLeft w:val="0"/>
      <w:marRight w:val="0"/>
      <w:marTop w:val="0"/>
      <w:marBottom w:val="0"/>
      <w:divBdr>
        <w:top w:val="none" w:sz="0" w:space="0" w:color="auto"/>
        <w:left w:val="none" w:sz="0" w:space="0" w:color="auto"/>
        <w:bottom w:val="none" w:sz="0" w:space="0" w:color="auto"/>
        <w:right w:val="none" w:sz="0" w:space="0" w:color="auto"/>
      </w:divBdr>
    </w:div>
    <w:div w:id="2112125658">
      <w:bodyDiv w:val="1"/>
      <w:marLeft w:val="0"/>
      <w:marRight w:val="0"/>
      <w:marTop w:val="0"/>
      <w:marBottom w:val="0"/>
      <w:divBdr>
        <w:top w:val="none" w:sz="0" w:space="0" w:color="auto"/>
        <w:left w:val="none" w:sz="0" w:space="0" w:color="auto"/>
        <w:bottom w:val="none" w:sz="0" w:space="0" w:color="auto"/>
        <w:right w:val="none" w:sz="0" w:space="0" w:color="auto"/>
      </w:divBdr>
    </w:div>
    <w:div w:id="2113351982">
      <w:bodyDiv w:val="1"/>
      <w:marLeft w:val="0"/>
      <w:marRight w:val="0"/>
      <w:marTop w:val="0"/>
      <w:marBottom w:val="0"/>
      <w:divBdr>
        <w:top w:val="none" w:sz="0" w:space="0" w:color="auto"/>
        <w:left w:val="none" w:sz="0" w:space="0" w:color="auto"/>
        <w:bottom w:val="none" w:sz="0" w:space="0" w:color="auto"/>
        <w:right w:val="none" w:sz="0" w:space="0" w:color="auto"/>
      </w:divBdr>
    </w:div>
    <w:div w:id="212515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C7F7E-EF74-4E56-BFE2-36FA342E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19895</Words>
  <Characters>109424</Characters>
  <Application>Microsoft Office Word</Application>
  <DocSecurity>0</DocSecurity>
  <Lines>911</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Adhonorem Dr, José Fernando e</dc:creator>
  <cp:keywords/>
  <dc:description/>
  <cp:lastModifiedBy>Paulino Jose Solano Camargo</cp:lastModifiedBy>
  <cp:revision>2</cp:revision>
  <cp:lastPrinted>2019-05-29T14:37:00Z</cp:lastPrinted>
  <dcterms:created xsi:type="dcterms:W3CDTF">2025-02-17T16:21:00Z</dcterms:created>
  <dcterms:modified xsi:type="dcterms:W3CDTF">2025-02-17T16:21:00Z</dcterms:modified>
</cp:coreProperties>
</file>