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6046" w14:textId="77777777" w:rsidR="00600EE1" w:rsidRPr="00EA1CDA" w:rsidRDefault="00551339">
      <w:pPr>
        <w:widowControl w:val="0"/>
        <w:tabs>
          <w:tab w:val="center" w:pos="0"/>
          <w:tab w:val="right" w:pos="8504"/>
        </w:tabs>
        <w:jc w:val="center"/>
        <w:rPr>
          <w:b/>
          <w:sz w:val="28"/>
          <w:szCs w:val="28"/>
        </w:rPr>
      </w:pPr>
      <w:bookmarkStart w:id="0" w:name="_wtvgl81cwfhu" w:colFirst="0" w:colLast="0"/>
      <w:bookmarkEnd w:id="0"/>
      <w:r w:rsidRPr="00EA1CDA">
        <w:rPr>
          <w:b/>
          <w:sz w:val="28"/>
          <w:szCs w:val="28"/>
        </w:rPr>
        <w:t>REPÚBLICA DE COLOMBIA</w:t>
      </w:r>
    </w:p>
    <w:p w14:paraId="58B568E5" w14:textId="77777777" w:rsidR="000E0523" w:rsidRPr="00EA1CDA" w:rsidRDefault="000E0523">
      <w:pPr>
        <w:widowControl w:val="0"/>
        <w:tabs>
          <w:tab w:val="center" w:pos="0"/>
          <w:tab w:val="right" w:pos="8504"/>
        </w:tabs>
        <w:jc w:val="center"/>
        <w:rPr>
          <w:b/>
          <w:sz w:val="28"/>
          <w:szCs w:val="28"/>
        </w:rPr>
      </w:pPr>
    </w:p>
    <w:p w14:paraId="6EE66047" w14:textId="77777777" w:rsidR="00600EE1" w:rsidRPr="00EA1CDA" w:rsidRDefault="00551339">
      <w:pPr>
        <w:widowControl w:val="0"/>
        <w:tabs>
          <w:tab w:val="center" w:pos="142"/>
          <w:tab w:val="right" w:pos="8504"/>
        </w:tabs>
        <w:jc w:val="center"/>
        <w:rPr>
          <w:b/>
          <w:sz w:val="28"/>
          <w:szCs w:val="28"/>
        </w:rPr>
      </w:pPr>
      <w:r w:rsidRPr="00EA1CDA">
        <w:rPr>
          <w:b/>
          <w:noProof/>
          <w:sz w:val="28"/>
          <w:szCs w:val="28"/>
          <w:lang w:val="es-CO"/>
        </w:rPr>
        <w:drawing>
          <wp:inline distT="0" distB="0" distL="0" distR="0" wp14:anchorId="6EE66171" wp14:editId="6EE66172">
            <wp:extent cx="792480" cy="7924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2480" cy="792480"/>
                    </a:xfrm>
                    <a:prstGeom prst="rect">
                      <a:avLst/>
                    </a:prstGeom>
                    <a:ln/>
                  </pic:spPr>
                </pic:pic>
              </a:graphicData>
            </a:graphic>
          </wp:inline>
        </w:drawing>
      </w:r>
    </w:p>
    <w:p w14:paraId="274AD145" w14:textId="77777777" w:rsidR="000E0523" w:rsidRPr="00EA1CDA" w:rsidRDefault="000E0523">
      <w:pPr>
        <w:widowControl w:val="0"/>
        <w:tabs>
          <w:tab w:val="center" w:pos="142"/>
          <w:tab w:val="right" w:pos="8504"/>
        </w:tabs>
        <w:jc w:val="center"/>
        <w:rPr>
          <w:b/>
          <w:sz w:val="28"/>
          <w:szCs w:val="28"/>
        </w:rPr>
      </w:pPr>
    </w:p>
    <w:p w14:paraId="6EE66048" w14:textId="77777777" w:rsidR="00600EE1" w:rsidRPr="00EA1CDA" w:rsidRDefault="00551339">
      <w:pPr>
        <w:widowControl w:val="0"/>
        <w:tabs>
          <w:tab w:val="center" w:pos="0"/>
          <w:tab w:val="right" w:pos="8504"/>
        </w:tabs>
        <w:jc w:val="center"/>
        <w:rPr>
          <w:b/>
          <w:sz w:val="28"/>
          <w:szCs w:val="28"/>
        </w:rPr>
      </w:pPr>
      <w:r w:rsidRPr="00EA1CDA">
        <w:rPr>
          <w:b/>
          <w:sz w:val="28"/>
          <w:szCs w:val="28"/>
        </w:rPr>
        <w:t>CORTE CONSTITUCIONAL</w:t>
      </w:r>
    </w:p>
    <w:p w14:paraId="6EE66049" w14:textId="77777777" w:rsidR="00600EE1" w:rsidRPr="00EA1CDA" w:rsidRDefault="00551339">
      <w:pPr>
        <w:widowControl w:val="0"/>
        <w:tabs>
          <w:tab w:val="center" w:pos="0"/>
          <w:tab w:val="right" w:pos="8504"/>
        </w:tabs>
        <w:jc w:val="center"/>
        <w:rPr>
          <w:b/>
          <w:sz w:val="28"/>
          <w:szCs w:val="28"/>
        </w:rPr>
      </w:pPr>
      <w:r w:rsidRPr="00EA1CDA">
        <w:rPr>
          <w:b/>
          <w:sz w:val="28"/>
          <w:szCs w:val="28"/>
        </w:rPr>
        <w:t>Sala Segunda de Revisión</w:t>
      </w:r>
    </w:p>
    <w:p w14:paraId="6EE6604A" w14:textId="77777777" w:rsidR="00600EE1" w:rsidRPr="00EA1CDA" w:rsidRDefault="00600EE1">
      <w:pPr>
        <w:widowControl w:val="0"/>
        <w:tabs>
          <w:tab w:val="center" w:pos="4252"/>
          <w:tab w:val="right" w:pos="8504"/>
        </w:tabs>
        <w:jc w:val="center"/>
        <w:rPr>
          <w:b/>
          <w:sz w:val="28"/>
          <w:szCs w:val="28"/>
        </w:rPr>
      </w:pPr>
    </w:p>
    <w:p w14:paraId="53A9AE91" w14:textId="77777777" w:rsidR="00CA0661" w:rsidRPr="00EA1CDA" w:rsidRDefault="00CA0661">
      <w:pPr>
        <w:widowControl w:val="0"/>
        <w:tabs>
          <w:tab w:val="center" w:pos="4252"/>
          <w:tab w:val="right" w:pos="8504"/>
        </w:tabs>
        <w:jc w:val="center"/>
        <w:rPr>
          <w:b/>
          <w:sz w:val="28"/>
          <w:szCs w:val="28"/>
        </w:rPr>
      </w:pPr>
    </w:p>
    <w:p w14:paraId="6EE6604B" w14:textId="0C800809" w:rsidR="00600EE1" w:rsidRPr="00EA1CDA" w:rsidRDefault="00551339">
      <w:pPr>
        <w:widowControl w:val="0"/>
        <w:jc w:val="center"/>
        <w:rPr>
          <w:b/>
          <w:sz w:val="28"/>
          <w:szCs w:val="28"/>
        </w:rPr>
      </w:pPr>
      <w:r w:rsidRPr="00EA1CDA">
        <w:rPr>
          <w:b/>
          <w:sz w:val="28"/>
          <w:szCs w:val="28"/>
        </w:rPr>
        <w:t>AUTO</w:t>
      </w:r>
      <w:r w:rsidR="00AF5FBB" w:rsidRPr="00EA1CDA">
        <w:rPr>
          <w:b/>
          <w:sz w:val="28"/>
          <w:szCs w:val="28"/>
        </w:rPr>
        <w:t xml:space="preserve"> </w:t>
      </w:r>
      <w:r w:rsidR="00074544">
        <w:rPr>
          <w:b/>
          <w:sz w:val="28"/>
          <w:szCs w:val="28"/>
        </w:rPr>
        <w:t>559</w:t>
      </w:r>
      <w:r w:rsidR="00AF5FBB" w:rsidRPr="00EA1CDA">
        <w:rPr>
          <w:b/>
          <w:sz w:val="28"/>
          <w:szCs w:val="28"/>
        </w:rPr>
        <w:t xml:space="preserve"> DE 2025</w:t>
      </w:r>
    </w:p>
    <w:p w14:paraId="6EE6604C" w14:textId="77777777" w:rsidR="00600EE1" w:rsidRPr="00EA1CDA" w:rsidRDefault="00600EE1">
      <w:pPr>
        <w:widowControl w:val="0"/>
        <w:pBdr>
          <w:top w:val="nil"/>
          <w:left w:val="nil"/>
          <w:bottom w:val="nil"/>
          <w:right w:val="nil"/>
          <w:between w:val="nil"/>
        </w:pBdr>
        <w:ind w:left="3828" w:hanging="30"/>
        <w:jc w:val="both"/>
        <w:rPr>
          <w:b/>
          <w:color w:val="000000"/>
          <w:sz w:val="28"/>
          <w:szCs w:val="28"/>
        </w:rPr>
      </w:pPr>
    </w:p>
    <w:p w14:paraId="201AAB99" w14:textId="77777777" w:rsidR="00254BFD" w:rsidRPr="00EA1CDA" w:rsidRDefault="00254BFD">
      <w:pPr>
        <w:widowControl w:val="0"/>
        <w:pBdr>
          <w:top w:val="nil"/>
          <w:left w:val="nil"/>
          <w:bottom w:val="nil"/>
          <w:right w:val="nil"/>
          <w:between w:val="nil"/>
        </w:pBdr>
        <w:ind w:left="3828" w:hanging="30"/>
        <w:jc w:val="both"/>
        <w:rPr>
          <w:b/>
          <w:color w:val="000000"/>
          <w:sz w:val="28"/>
          <w:szCs w:val="28"/>
        </w:rPr>
      </w:pPr>
    </w:p>
    <w:p w14:paraId="6EE6604D" w14:textId="5364C475" w:rsidR="00600EE1" w:rsidRPr="00EA1CDA" w:rsidRDefault="00551339">
      <w:pPr>
        <w:widowControl w:val="0"/>
        <w:ind w:left="3686" w:right="140"/>
        <w:jc w:val="both"/>
        <w:rPr>
          <w:sz w:val="28"/>
          <w:szCs w:val="28"/>
        </w:rPr>
      </w:pPr>
      <w:r w:rsidRPr="00EA1CDA">
        <w:rPr>
          <w:b/>
          <w:sz w:val="28"/>
          <w:szCs w:val="28"/>
        </w:rPr>
        <w:t>Referencia:</w:t>
      </w:r>
      <w:r w:rsidRPr="00EA1CDA">
        <w:rPr>
          <w:sz w:val="28"/>
          <w:szCs w:val="28"/>
        </w:rPr>
        <w:t xml:space="preserve"> expediente T-10.641.262AC</w:t>
      </w:r>
      <w:r w:rsidRPr="00EA1CDA">
        <w:rPr>
          <w:sz w:val="28"/>
          <w:szCs w:val="28"/>
          <w:vertAlign w:val="superscript"/>
        </w:rPr>
        <w:footnoteReference w:id="2"/>
      </w:r>
      <w:r w:rsidRPr="00EA1CDA">
        <w:rPr>
          <w:sz w:val="28"/>
          <w:szCs w:val="28"/>
        </w:rPr>
        <w:t xml:space="preserve"> </w:t>
      </w:r>
    </w:p>
    <w:p w14:paraId="6EE6604E" w14:textId="77777777" w:rsidR="00600EE1" w:rsidRPr="00EA1CDA" w:rsidRDefault="00600EE1">
      <w:pPr>
        <w:widowControl w:val="0"/>
        <w:tabs>
          <w:tab w:val="left" w:pos="3969"/>
        </w:tabs>
        <w:ind w:left="3686" w:right="140"/>
        <w:jc w:val="both"/>
        <w:rPr>
          <w:sz w:val="28"/>
          <w:szCs w:val="28"/>
        </w:rPr>
      </w:pPr>
    </w:p>
    <w:p w14:paraId="6EE6604F" w14:textId="13516C6F" w:rsidR="00600EE1" w:rsidRPr="00EA1CDA" w:rsidRDefault="00551339">
      <w:pPr>
        <w:widowControl w:val="0"/>
        <w:tabs>
          <w:tab w:val="left" w:pos="3969"/>
        </w:tabs>
        <w:ind w:left="3686" w:right="140"/>
        <w:jc w:val="both"/>
        <w:rPr>
          <w:b/>
          <w:sz w:val="28"/>
          <w:szCs w:val="28"/>
        </w:rPr>
      </w:pPr>
      <w:r w:rsidRPr="00EA1CDA">
        <w:rPr>
          <w:b/>
          <w:sz w:val="28"/>
          <w:szCs w:val="28"/>
        </w:rPr>
        <w:t xml:space="preserve">Asunto: </w:t>
      </w:r>
      <w:r w:rsidR="001F066D" w:rsidRPr="00EA1CDA">
        <w:rPr>
          <w:sz w:val="28"/>
          <w:szCs w:val="28"/>
        </w:rPr>
        <w:t xml:space="preserve">acciones </w:t>
      </w:r>
      <w:r w:rsidRPr="00EA1CDA">
        <w:rPr>
          <w:sz w:val="28"/>
          <w:szCs w:val="28"/>
        </w:rPr>
        <w:t xml:space="preserve">de tutela interpuestas por </w:t>
      </w:r>
      <w:r w:rsidR="00A545C2" w:rsidRPr="00EA1CDA">
        <w:rPr>
          <w:sz w:val="28"/>
          <w:szCs w:val="28"/>
        </w:rPr>
        <w:t>30</w:t>
      </w:r>
      <w:r w:rsidRPr="00EA1CDA">
        <w:rPr>
          <w:sz w:val="28"/>
          <w:szCs w:val="28"/>
        </w:rPr>
        <w:t xml:space="preserve"> accionantes en contra de EPS y otras entidades</w:t>
      </w:r>
    </w:p>
    <w:p w14:paraId="6EE66050" w14:textId="77777777" w:rsidR="00600EE1" w:rsidRPr="00EA1CDA" w:rsidRDefault="00600EE1">
      <w:pPr>
        <w:widowControl w:val="0"/>
        <w:ind w:left="3686"/>
        <w:rPr>
          <w:b/>
          <w:sz w:val="28"/>
          <w:szCs w:val="28"/>
        </w:rPr>
      </w:pPr>
    </w:p>
    <w:p w14:paraId="6EE66051" w14:textId="1F508DED" w:rsidR="00600EE1" w:rsidRPr="00EA1CDA" w:rsidRDefault="00551339">
      <w:pPr>
        <w:widowControl w:val="0"/>
        <w:ind w:left="3686"/>
        <w:jc w:val="both"/>
        <w:rPr>
          <w:b/>
          <w:sz w:val="28"/>
          <w:szCs w:val="28"/>
        </w:rPr>
      </w:pPr>
      <w:bookmarkStart w:id="1" w:name="_ldlnt0xe67yt" w:colFirst="0" w:colLast="0"/>
      <w:bookmarkEnd w:id="1"/>
      <w:r w:rsidRPr="00EA1CDA">
        <w:rPr>
          <w:b/>
          <w:sz w:val="28"/>
          <w:szCs w:val="28"/>
        </w:rPr>
        <w:t>Tema:</w:t>
      </w:r>
      <w:r w:rsidRPr="00EA1CDA">
        <w:rPr>
          <w:sz w:val="28"/>
          <w:szCs w:val="28"/>
        </w:rPr>
        <w:t xml:space="preserve"> medida provisional</w:t>
      </w:r>
      <w:r w:rsidR="00AF5FBB" w:rsidRPr="00EA1CDA">
        <w:rPr>
          <w:sz w:val="28"/>
          <w:szCs w:val="28"/>
        </w:rPr>
        <w:t xml:space="preserve"> </w:t>
      </w:r>
      <w:r w:rsidRPr="00EA1CDA">
        <w:rPr>
          <w:sz w:val="28"/>
          <w:szCs w:val="28"/>
        </w:rPr>
        <w:t>y</w:t>
      </w:r>
      <w:r w:rsidRPr="00EA1CDA">
        <w:rPr>
          <w:b/>
          <w:sz w:val="28"/>
          <w:szCs w:val="28"/>
        </w:rPr>
        <w:t xml:space="preserve"> </w:t>
      </w:r>
      <w:r w:rsidRPr="00EA1CDA">
        <w:rPr>
          <w:sz w:val="28"/>
          <w:szCs w:val="28"/>
        </w:rPr>
        <w:t>suspensión de términos judiciales</w:t>
      </w:r>
    </w:p>
    <w:p w14:paraId="6EE66052" w14:textId="77777777" w:rsidR="00600EE1" w:rsidRPr="00EA1CDA" w:rsidRDefault="00600EE1">
      <w:pPr>
        <w:widowControl w:val="0"/>
        <w:ind w:left="3686"/>
        <w:rPr>
          <w:b/>
          <w:sz w:val="28"/>
          <w:szCs w:val="28"/>
        </w:rPr>
      </w:pPr>
    </w:p>
    <w:p w14:paraId="6EE66053" w14:textId="77777777" w:rsidR="00600EE1" w:rsidRPr="00EA1CDA" w:rsidRDefault="00551339">
      <w:pPr>
        <w:widowControl w:val="0"/>
        <w:ind w:left="3686"/>
        <w:rPr>
          <w:sz w:val="28"/>
          <w:szCs w:val="28"/>
        </w:rPr>
      </w:pPr>
      <w:r w:rsidRPr="00EA1CDA">
        <w:rPr>
          <w:b/>
          <w:sz w:val="28"/>
          <w:szCs w:val="28"/>
        </w:rPr>
        <w:t>Magistrado sustanciador:</w:t>
      </w:r>
    </w:p>
    <w:p w14:paraId="6EE66054" w14:textId="77777777" w:rsidR="00600EE1" w:rsidRPr="00EA1CDA" w:rsidRDefault="00551339">
      <w:pPr>
        <w:widowControl w:val="0"/>
        <w:ind w:left="3686"/>
        <w:rPr>
          <w:sz w:val="28"/>
          <w:szCs w:val="28"/>
        </w:rPr>
      </w:pPr>
      <w:r w:rsidRPr="00EA1CDA">
        <w:rPr>
          <w:sz w:val="28"/>
          <w:szCs w:val="28"/>
        </w:rPr>
        <w:t>Juan Carlos Cortés González</w:t>
      </w:r>
    </w:p>
    <w:p w14:paraId="6EE66055" w14:textId="77777777" w:rsidR="00600EE1" w:rsidRPr="00EA1CDA" w:rsidRDefault="00600EE1">
      <w:pPr>
        <w:widowControl w:val="0"/>
        <w:ind w:left="3828" w:hanging="30"/>
        <w:rPr>
          <w:b/>
          <w:sz w:val="28"/>
          <w:szCs w:val="28"/>
        </w:rPr>
      </w:pPr>
    </w:p>
    <w:p w14:paraId="57C7A33C" w14:textId="77777777" w:rsidR="00254BFD" w:rsidRPr="00EA1CDA" w:rsidRDefault="00254BFD">
      <w:pPr>
        <w:widowControl w:val="0"/>
        <w:ind w:left="3828" w:hanging="30"/>
        <w:rPr>
          <w:b/>
          <w:sz w:val="28"/>
          <w:szCs w:val="28"/>
        </w:rPr>
      </w:pPr>
    </w:p>
    <w:p w14:paraId="6EE66056" w14:textId="146EFC82" w:rsidR="00600EE1" w:rsidRPr="00EA1CDA" w:rsidRDefault="00551339">
      <w:pPr>
        <w:widowControl w:val="0"/>
        <w:pBdr>
          <w:top w:val="nil"/>
          <w:left w:val="nil"/>
          <w:bottom w:val="nil"/>
          <w:right w:val="nil"/>
          <w:between w:val="nil"/>
        </w:pBdr>
        <w:jc w:val="both"/>
        <w:rPr>
          <w:color w:val="000000"/>
          <w:sz w:val="28"/>
          <w:szCs w:val="28"/>
        </w:rPr>
      </w:pPr>
      <w:r w:rsidRPr="00EA1CDA">
        <w:rPr>
          <w:color w:val="000000"/>
          <w:sz w:val="28"/>
          <w:szCs w:val="28"/>
        </w:rPr>
        <w:t xml:space="preserve">Bogotá D. C., </w:t>
      </w:r>
      <w:r w:rsidR="007E47F0">
        <w:rPr>
          <w:color w:val="000000"/>
          <w:sz w:val="28"/>
          <w:szCs w:val="28"/>
        </w:rPr>
        <w:t>veintinueve</w:t>
      </w:r>
      <w:r w:rsidRPr="00EA1CDA">
        <w:rPr>
          <w:color w:val="000000"/>
          <w:sz w:val="28"/>
          <w:szCs w:val="28"/>
        </w:rPr>
        <w:t xml:space="preserve"> (</w:t>
      </w:r>
      <w:r w:rsidR="007E47F0">
        <w:rPr>
          <w:color w:val="000000"/>
          <w:sz w:val="28"/>
          <w:szCs w:val="28"/>
        </w:rPr>
        <w:t>29</w:t>
      </w:r>
      <w:r w:rsidRPr="00EA1CDA">
        <w:rPr>
          <w:color w:val="000000"/>
          <w:sz w:val="28"/>
          <w:szCs w:val="28"/>
        </w:rPr>
        <w:t xml:space="preserve">) de </w:t>
      </w:r>
      <w:r w:rsidR="007E47F0">
        <w:rPr>
          <w:color w:val="000000"/>
          <w:sz w:val="28"/>
          <w:szCs w:val="28"/>
        </w:rPr>
        <w:t>abril</w:t>
      </w:r>
      <w:r w:rsidRPr="00EA1CDA">
        <w:rPr>
          <w:color w:val="000000"/>
          <w:sz w:val="28"/>
          <w:szCs w:val="28"/>
        </w:rPr>
        <w:t xml:space="preserve"> de dos mil veinticinco (2025)</w:t>
      </w:r>
    </w:p>
    <w:p w14:paraId="6EE6605B" w14:textId="77777777" w:rsidR="00600EE1" w:rsidRPr="00EA1CDA" w:rsidRDefault="00600EE1">
      <w:pPr>
        <w:widowControl w:val="0"/>
        <w:jc w:val="both"/>
        <w:rPr>
          <w:sz w:val="28"/>
          <w:szCs w:val="28"/>
        </w:rPr>
      </w:pPr>
    </w:p>
    <w:p w14:paraId="6EE6605C" w14:textId="1FAD8524" w:rsidR="00600EE1" w:rsidRPr="00EA1CDA" w:rsidRDefault="00551339">
      <w:pPr>
        <w:widowControl w:val="0"/>
        <w:jc w:val="both"/>
        <w:rPr>
          <w:sz w:val="28"/>
          <w:szCs w:val="28"/>
        </w:rPr>
      </w:pPr>
      <w:r w:rsidRPr="00EA1CDA">
        <w:rPr>
          <w:sz w:val="28"/>
          <w:szCs w:val="28"/>
        </w:rPr>
        <w:t xml:space="preserve">La Sala Segunda de Revisión de la Corte Constitucional, en ejercicio de sus competencias constitucionales y legales, previstas en los artículos 86 y 241.9 de la Constitución y </w:t>
      </w:r>
      <w:proofErr w:type="gramStart"/>
      <w:r w:rsidRPr="00EA1CDA">
        <w:rPr>
          <w:sz w:val="28"/>
          <w:szCs w:val="28"/>
        </w:rPr>
        <w:t>7</w:t>
      </w:r>
      <w:r w:rsidR="00703CA7" w:rsidRPr="00EA1CDA">
        <w:rPr>
          <w:sz w:val="28"/>
          <w:szCs w:val="28"/>
        </w:rPr>
        <w:t>.</w:t>
      </w:r>
      <w:r w:rsidRPr="00EA1CDA">
        <w:rPr>
          <w:sz w:val="28"/>
          <w:szCs w:val="28"/>
        </w:rPr>
        <w:t>°</w:t>
      </w:r>
      <w:proofErr w:type="gramEnd"/>
      <w:r w:rsidRPr="00EA1CDA">
        <w:rPr>
          <w:sz w:val="28"/>
          <w:szCs w:val="28"/>
        </w:rPr>
        <w:t xml:space="preserve"> del Decreto 2591 de 1991, profiere el presente auto con fundamento en los siguientes</w:t>
      </w:r>
      <w:r w:rsidR="005614E3" w:rsidRPr="00EA1CDA">
        <w:rPr>
          <w:sz w:val="28"/>
          <w:szCs w:val="28"/>
        </w:rPr>
        <w:t>:</w:t>
      </w:r>
    </w:p>
    <w:p w14:paraId="6AA3A4D6" w14:textId="77777777" w:rsidR="005614E3" w:rsidRPr="00EA1CDA" w:rsidRDefault="005614E3">
      <w:pPr>
        <w:widowControl w:val="0"/>
        <w:jc w:val="both"/>
        <w:rPr>
          <w:sz w:val="28"/>
          <w:szCs w:val="28"/>
        </w:rPr>
      </w:pPr>
    </w:p>
    <w:p w14:paraId="7E0A8B31" w14:textId="77777777" w:rsidR="005614E3" w:rsidRPr="00EA1CDA" w:rsidRDefault="005614E3" w:rsidP="005614E3">
      <w:pPr>
        <w:widowControl w:val="0"/>
        <w:jc w:val="both"/>
        <w:rPr>
          <w:bCs/>
          <w:i/>
          <w:iCs/>
          <w:sz w:val="28"/>
          <w:szCs w:val="28"/>
        </w:rPr>
      </w:pPr>
      <w:r w:rsidRPr="00EA1CDA">
        <w:rPr>
          <w:bCs/>
          <w:i/>
          <w:iCs/>
          <w:sz w:val="28"/>
          <w:szCs w:val="28"/>
        </w:rPr>
        <w:t>Aclaración previa</w:t>
      </w:r>
    </w:p>
    <w:p w14:paraId="758AC6E4" w14:textId="77777777" w:rsidR="005614E3" w:rsidRPr="00EA1CDA" w:rsidRDefault="005614E3" w:rsidP="005614E3">
      <w:pPr>
        <w:widowControl w:val="0"/>
        <w:jc w:val="both"/>
        <w:rPr>
          <w:sz w:val="28"/>
          <w:szCs w:val="28"/>
        </w:rPr>
      </w:pPr>
    </w:p>
    <w:p w14:paraId="11838824" w14:textId="10DA98D3" w:rsidR="005614E3" w:rsidRPr="00EA1CDA" w:rsidRDefault="005614E3">
      <w:pPr>
        <w:widowControl w:val="0"/>
        <w:jc w:val="both"/>
        <w:rPr>
          <w:sz w:val="28"/>
          <w:szCs w:val="28"/>
        </w:rPr>
      </w:pPr>
      <w:r w:rsidRPr="00EA1CDA">
        <w:rPr>
          <w:sz w:val="28"/>
          <w:szCs w:val="28"/>
        </w:rPr>
        <w:t>De conformidad con el artículo 62 del Acuerdo 02 de 2015</w:t>
      </w:r>
      <w:r w:rsidRPr="00EA1CDA">
        <w:rPr>
          <w:rStyle w:val="Refdenotaalpie"/>
          <w:sz w:val="28"/>
          <w:szCs w:val="28"/>
        </w:rPr>
        <w:footnoteReference w:id="3"/>
      </w:r>
      <w:r w:rsidRPr="00EA1CDA">
        <w:rPr>
          <w:sz w:val="28"/>
          <w:szCs w:val="28"/>
          <w:vertAlign w:val="superscript"/>
        </w:rPr>
        <w:footnoteReference w:id="4"/>
      </w:r>
      <w:r w:rsidRPr="00EA1CDA">
        <w:rPr>
          <w:sz w:val="28"/>
          <w:szCs w:val="28"/>
        </w:rPr>
        <w:t xml:space="preserve">, los datos personales de quienes accionan serán anonimizados para salvaguardar su derecho a la intimidad. Los </w:t>
      </w:r>
      <w:r w:rsidR="00A545C2" w:rsidRPr="00EA1CDA">
        <w:rPr>
          <w:sz w:val="28"/>
          <w:szCs w:val="28"/>
        </w:rPr>
        <w:t>30</w:t>
      </w:r>
      <w:r w:rsidRPr="00EA1CDA">
        <w:rPr>
          <w:sz w:val="28"/>
          <w:szCs w:val="28"/>
        </w:rPr>
        <w:t xml:space="preserve"> expedientes acumulados aluden de forma central a datos sensibles asociados a la historia clínica de quienes formulan las </w:t>
      </w:r>
      <w:r w:rsidRPr="00EA1CDA">
        <w:rPr>
          <w:sz w:val="28"/>
          <w:szCs w:val="28"/>
        </w:rPr>
        <w:lastRenderedPageBreak/>
        <w:t>acciones. En consecuencia, se registrarán dos versiones de esta providencia: una, con los datos reales de las partes y los lugares en donde ocurrieron los hechos para su trámite formal y, otra, con nombres ficticios. Solo esta última versión podrá publicarse, mientras que la primera permanecerá reservada. Adicionalmente, dado que la situación de la mayoría de los accionantes no concierne directamente a todas las autoridades que serán oficiadas en esta providencia, se ordenará la reserva de la información y, por lo tanto, el deber de estas de guardar la confidencialidad incluso con posterioridad a la finalización del trámite judicial. También se dispondrá el manejo separado de los expedientes por parte de la Secretaría General de esta Corporación, con el fin de asegurar el derecho a la intimidad de cada uno de los accionantes.</w:t>
      </w:r>
    </w:p>
    <w:p w14:paraId="5DB5E5CD" w14:textId="77777777" w:rsidR="00CA21FF" w:rsidRPr="00EA1CDA" w:rsidRDefault="00CA21FF" w:rsidP="00CA21FF">
      <w:pPr>
        <w:widowControl w:val="0"/>
        <w:pBdr>
          <w:top w:val="nil"/>
          <w:left w:val="nil"/>
          <w:bottom w:val="nil"/>
          <w:right w:val="nil"/>
          <w:between w:val="nil"/>
        </w:pBdr>
        <w:ind w:left="284" w:right="140"/>
        <w:rPr>
          <w:b/>
          <w:color w:val="000000"/>
          <w:sz w:val="28"/>
          <w:szCs w:val="28"/>
        </w:rPr>
      </w:pPr>
    </w:p>
    <w:p w14:paraId="263DC4D0" w14:textId="77777777" w:rsidR="00CA21FF" w:rsidRPr="00EA1CDA" w:rsidRDefault="00CA21FF" w:rsidP="00CA21FF">
      <w:pPr>
        <w:widowControl w:val="0"/>
        <w:numPr>
          <w:ilvl w:val="0"/>
          <w:numId w:val="3"/>
        </w:numPr>
        <w:pBdr>
          <w:top w:val="nil"/>
          <w:left w:val="nil"/>
          <w:bottom w:val="nil"/>
          <w:right w:val="nil"/>
          <w:between w:val="nil"/>
        </w:pBdr>
        <w:ind w:left="284" w:right="140" w:hanging="295"/>
        <w:rPr>
          <w:b/>
          <w:color w:val="000000"/>
          <w:sz w:val="28"/>
          <w:szCs w:val="28"/>
        </w:rPr>
      </w:pPr>
      <w:r w:rsidRPr="00EA1CDA">
        <w:rPr>
          <w:b/>
          <w:color w:val="000000"/>
          <w:sz w:val="28"/>
          <w:szCs w:val="28"/>
        </w:rPr>
        <w:t>ANTECEDENTES</w:t>
      </w:r>
    </w:p>
    <w:p w14:paraId="6EE6605F" w14:textId="77777777" w:rsidR="00600EE1" w:rsidRPr="00EA1CDA" w:rsidRDefault="00600EE1">
      <w:pPr>
        <w:widowControl w:val="0"/>
        <w:pBdr>
          <w:top w:val="nil"/>
          <w:left w:val="nil"/>
          <w:bottom w:val="nil"/>
          <w:right w:val="nil"/>
          <w:between w:val="nil"/>
        </w:pBdr>
        <w:tabs>
          <w:tab w:val="left" w:pos="426"/>
        </w:tabs>
        <w:jc w:val="both"/>
        <w:rPr>
          <w:i/>
          <w:color w:val="000000"/>
          <w:sz w:val="28"/>
          <w:szCs w:val="28"/>
        </w:rPr>
      </w:pPr>
    </w:p>
    <w:p w14:paraId="6EE66060" w14:textId="11EA0331" w:rsidR="00600EE1" w:rsidRPr="00EA1CDA" w:rsidRDefault="00551339">
      <w:pPr>
        <w:widowControl w:val="0"/>
        <w:tabs>
          <w:tab w:val="left" w:pos="426"/>
        </w:tabs>
      </w:pPr>
      <w:r w:rsidRPr="00EA1CDA">
        <w:rPr>
          <w:b/>
          <w:sz w:val="28"/>
          <w:szCs w:val="28"/>
        </w:rPr>
        <w:t>1.</w:t>
      </w:r>
      <w:r w:rsidRPr="00EA1CDA">
        <w:t xml:space="preserve"> </w:t>
      </w:r>
      <w:r w:rsidRPr="00EA1CDA">
        <w:rPr>
          <w:b/>
          <w:sz w:val="28"/>
          <w:szCs w:val="28"/>
        </w:rPr>
        <w:t>Hechos</w:t>
      </w:r>
      <w:r w:rsidRPr="00EA1CDA">
        <w:rPr>
          <w:b/>
          <w:i/>
          <w:sz w:val="28"/>
          <w:szCs w:val="28"/>
        </w:rPr>
        <w:t xml:space="preserve">, </w:t>
      </w:r>
      <w:r w:rsidRPr="00EA1CDA">
        <w:rPr>
          <w:b/>
          <w:sz w:val="28"/>
          <w:szCs w:val="28"/>
        </w:rPr>
        <w:t xml:space="preserve">pretensiones y otros </w:t>
      </w:r>
      <w:r w:rsidR="001F066D" w:rsidRPr="00EA1CDA">
        <w:rPr>
          <w:b/>
          <w:sz w:val="28"/>
          <w:szCs w:val="28"/>
        </w:rPr>
        <w:t xml:space="preserve">elementos </w:t>
      </w:r>
      <w:r w:rsidRPr="00EA1CDA">
        <w:rPr>
          <w:b/>
          <w:sz w:val="28"/>
          <w:szCs w:val="28"/>
        </w:rPr>
        <w:t>de las acciones de tutela</w:t>
      </w:r>
    </w:p>
    <w:p w14:paraId="6EE66061" w14:textId="77777777" w:rsidR="00600EE1" w:rsidRPr="00EA1CDA" w:rsidRDefault="00600EE1">
      <w:pPr>
        <w:widowControl w:val="0"/>
        <w:pBdr>
          <w:top w:val="nil"/>
          <w:left w:val="nil"/>
          <w:bottom w:val="nil"/>
          <w:right w:val="nil"/>
          <w:between w:val="nil"/>
        </w:pBdr>
        <w:tabs>
          <w:tab w:val="left" w:pos="426"/>
        </w:tabs>
        <w:jc w:val="both"/>
        <w:rPr>
          <w:color w:val="000000"/>
          <w:sz w:val="28"/>
          <w:szCs w:val="28"/>
        </w:rPr>
      </w:pPr>
    </w:p>
    <w:p w14:paraId="6EE66062" w14:textId="2F1995A8" w:rsidR="00600EE1" w:rsidRPr="00EA1CDA" w:rsidRDefault="00551339">
      <w:pPr>
        <w:widowControl w:val="0"/>
        <w:numPr>
          <w:ilvl w:val="0"/>
          <w:numId w:val="1"/>
        </w:numPr>
        <w:pBdr>
          <w:top w:val="nil"/>
          <w:left w:val="nil"/>
          <w:bottom w:val="nil"/>
          <w:right w:val="nil"/>
          <w:between w:val="nil"/>
        </w:pBdr>
        <w:tabs>
          <w:tab w:val="left" w:pos="426"/>
        </w:tabs>
        <w:jc w:val="both"/>
        <w:rPr>
          <w:color w:val="000000"/>
          <w:sz w:val="28"/>
          <w:szCs w:val="28"/>
        </w:rPr>
      </w:pPr>
      <w:r w:rsidRPr="00EA1CDA">
        <w:rPr>
          <w:i/>
          <w:color w:val="000000"/>
          <w:sz w:val="28"/>
          <w:szCs w:val="28"/>
        </w:rPr>
        <w:t xml:space="preserve">Aproximación general a las acciones de tutela. </w:t>
      </w:r>
      <w:r w:rsidRPr="00EA1CDA">
        <w:rPr>
          <w:color w:val="000000"/>
          <w:sz w:val="28"/>
          <w:szCs w:val="28"/>
        </w:rPr>
        <w:t xml:space="preserve">El despacho asumió el conocimiento de </w:t>
      </w:r>
      <w:r w:rsidR="00A545C2" w:rsidRPr="00EA1CDA">
        <w:rPr>
          <w:color w:val="000000"/>
          <w:sz w:val="28"/>
          <w:szCs w:val="28"/>
        </w:rPr>
        <w:t>30</w:t>
      </w:r>
      <w:r w:rsidRPr="00EA1CDA">
        <w:rPr>
          <w:color w:val="000000"/>
          <w:sz w:val="28"/>
          <w:szCs w:val="28"/>
        </w:rPr>
        <w:t xml:space="preserve"> expedientes acumulados que versan sobre la presunta falta de suministro oportuno de medicamentos en el sistema de seguridad social en salud. A continuación, </w:t>
      </w:r>
      <w:r w:rsidR="001F066D" w:rsidRPr="00EA1CDA">
        <w:rPr>
          <w:color w:val="000000"/>
          <w:sz w:val="28"/>
          <w:szCs w:val="28"/>
        </w:rPr>
        <w:t>se</w:t>
      </w:r>
      <w:r w:rsidRPr="00EA1CDA">
        <w:rPr>
          <w:color w:val="000000"/>
          <w:sz w:val="28"/>
          <w:szCs w:val="28"/>
        </w:rPr>
        <w:t xml:space="preserve"> presentará</w:t>
      </w:r>
      <w:r w:rsidR="0035550F" w:rsidRPr="00EA1CDA">
        <w:rPr>
          <w:color w:val="000000"/>
          <w:sz w:val="28"/>
          <w:szCs w:val="28"/>
        </w:rPr>
        <w:t>n</w:t>
      </w:r>
      <w:r w:rsidRPr="00EA1CDA">
        <w:rPr>
          <w:color w:val="000000"/>
          <w:sz w:val="28"/>
          <w:szCs w:val="28"/>
        </w:rPr>
        <w:t xml:space="preserve"> sus antecedentes en forma general y</w:t>
      </w:r>
      <w:r w:rsidR="001F066D" w:rsidRPr="00EA1CDA">
        <w:rPr>
          <w:color w:val="000000"/>
          <w:sz w:val="28"/>
          <w:szCs w:val="28"/>
        </w:rPr>
        <w:t xml:space="preserve"> se</w:t>
      </w:r>
      <w:r w:rsidRPr="00EA1CDA">
        <w:rPr>
          <w:color w:val="000000"/>
          <w:sz w:val="28"/>
          <w:szCs w:val="28"/>
        </w:rPr>
        <w:t xml:space="preserve"> destacará</w:t>
      </w:r>
      <w:r w:rsidR="001F066D" w:rsidRPr="00EA1CDA">
        <w:rPr>
          <w:color w:val="000000"/>
          <w:sz w:val="28"/>
          <w:szCs w:val="28"/>
        </w:rPr>
        <w:t>n</w:t>
      </w:r>
      <w:r w:rsidRPr="00EA1CDA">
        <w:rPr>
          <w:color w:val="000000"/>
          <w:sz w:val="28"/>
          <w:szCs w:val="28"/>
        </w:rPr>
        <w:t xml:space="preserve"> los aspectos más relevantes de los asuntos que correspondan, para efectos de contextualizar el debate constitucional en curso y las decisiones que se adoptan en esta providencia.</w:t>
      </w:r>
    </w:p>
    <w:p w14:paraId="6EE66063" w14:textId="77777777" w:rsidR="00600EE1" w:rsidRPr="00EA1CDA" w:rsidRDefault="00600EE1">
      <w:pPr>
        <w:widowControl w:val="0"/>
        <w:pBdr>
          <w:top w:val="nil"/>
          <w:left w:val="nil"/>
          <w:bottom w:val="nil"/>
          <w:right w:val="nil"/>
          <w:between w:val="nil"/>
        </w:pBdr>
        <w:jc w:val="both"/>
        <w:rPr>
          <w:i/>
          <w:color w:val="000000"/>
          <w:sz w:val="28"/>
          <w:szCs w:val="28"/>
        </w:rPr>
      </w:pPr>
    </w:p>
    <w:p w14:paraId="6EE66064" w14:textId="4D208189" w:rsidR="00600EE1" w:rsidRPr="00EA1CDA" w:rsidRDefault="00551339">
      <w:pPr>
        <w:widowControl w:val="0"/>
        <w:numPr>
          <w:ilvl w:val="0"/>
          <w:numId w:val="1"/>
        </w:numPr>
        <w:pBdr>
          <w:top w:val="nil"/>
          <w:left w:val="nil"/>
          <w:bottom w:val="nil"/>
          <w:right w:val="nil"/>
          <w:between w:val="nil"/>
        </w:pBdr>
        <w:tabs>
          <w:tab w:val="left" w:pos="426"/>
        </w:tabs>
        <w:jc w:val="both"/>
        <w:rPr>
          <w:color w:val="000000"/>
          <w:sz w:val="28"/>
          <w:szCs w:val="28"/>
        </w:rPr>
      </w:pPr>
      <w:r w:rsidRPr="00EA1CDA">
        <w:rPr>
          <w:i/>
          <w:color w:val="000000"/>
          <w:sz w:val="28"/>
          <w:szCs w:val="28"/>
        </w:rPr>
        <w:t>Hechos</w:t>
      </w:r>
      <w:r w:rsidRPr="00EA1CDA">
        <w:rPr>
          <w:color w:val="000000"/>
          <w:sz w:val="28"/>
          <w:szCs w:val="28"/>
        </w:rPr>
        <w:t>. Los solicitantes</w:t>
      </w:r>
      <w:r w:rsidRPr="00EA1CDA">
        <w:rPr>
          <w:color w:val="000000"/>
          <w:sz w:val="28"/>
          <w:szCs w:val="28"/>
          <w:vertAlign w:val="superscript"/>
        </w:rPr>
        <w:footnoteReference w:id="5"/>
      </w:r>
      <w:r w:rsidRPr="00EA1CDA">
        <w:rPr>
          <w:color w:val="000000"/>
          <w:sz w:val="28"/>
          <w:szCs w:val="28"/>
        </w:rPr>
        <w:t xml:space="preserve"> de amparo informaron que, como parte del tratamiento para su condición de salud, el médico tratante les prescribió ciertos medicamentos. En algunos casos, la orden médica requería entregas recurrentes y periódicas de dichos medicamentos, mientras que en otros se trataba de una única formulación</w:t>
      </w:r>
      <w:r w:rsidR="00EB590B" w:rsidRPr="00EA1CDA">
        <w:rPr>
          <w:rStyle w:val="Refdenotaalpie"/>
          <w:color w:val="000000"/>
          <w:sz w:val="28"/>
          <w:szCs w:val="28"/>
        </w:rPr>
        <w:footnoteReference w:id="6"/>
      </w:r>
      <w:r w:rsidRPr="00EA1CDA">
        <w:rPr>
          <w:color w:val="000000"/>
          <w:sz w:val="28"/>
          <w:szCs w:val="28"/>
        </w:rPr>
        <w:t>. Una vez los accionantes gestionaron el suministro de los medicamentos ante el proveedor farmacéutico dispuesto en cada caso por las EPS accionadas, los dispensadores señalaron que no contaban con los fármacos requeridos, debido a (a) desabastecimiento, (b) falta de disponibilidad en el punto de distribución, o (c) por variaciones en su presentación. Como resultado, en varios casos la entrega de medicamentos quedó pendiente y</w:t>
      </w:r>
      <w:r w:rsidR="001F066D" w:rsidRPr="00EA1CDA">
        <w:rPr>
          <w:color w:val="000000"/>
          <w:sz w:val="28"/>
          <w:szCs w:val="28"/>
        </w:rPr>
        <w:t>,</w:t>
      </w:r>
      <w:r w:rsidRPr="00EA1CDA">
        <w:rPr>
          <w:color w:val="000000"/>
          <w:sz w:val="28"/>
          <w:szCs w:val="28"/>
        </w:rPr>
        <w:t xml:space="preserve"> en otros</w:t>
      </w:r>
      <w:r w:rsidR="001F066D" w:rsidRPr="00EA1CDA">
        <w:rPr>
          <w:color w:val="000000"/>
          <w:sz w:val="28"/>
          <w:szCs w:val="28"/>
        </w:rPr>
        <w:t>,</w:t>
      </w:r>
      <w:r w:rsidRPr="00EA1CDA">
        <w:rPr>
          <w:color w:val="000000"/>
          <w:sz w:val="28"/>
          <w:szCs w:val="28"/>
        </w:rPr>
        <w:t xml:space="preserve"> fue finalmente negada. Para el momento en el que interpusieron la acción de tutela, ninguno de los actores había recibido la medicina prescrita, lo que ocasionó la interrupción de sus tratamientos.</w:t>
      </w:r>
    </w:p>
    <w:p w14:paraId="6EE66065" w14:textId="77777777" w:rsidR="00600EE1" w:rsidRPr="00EA1CDA" w:rsidRDefault="00600EE1">
      <w:pPr>
        <w:widowControl w:val="0"/>
        <w:pBdr>
          <w:top w:val="nil"/>
          <w:left w:val="nil"/>
          <w:bottom w:val="nil"/>
          <w:right w:val="nil"/>
          <w:between w:val="nil"/>
        </w:pBdr>
        <w:jc w:val="both"/>
        <w:rPr>
          <w:color w:val="000000"/>
          <w:sz w:val="28"/>
          <w:szCs w:val="28"/>
        </w:rPr>
      </w:pPr>
    </w:p>
    <w:p w14:paraId="6EE66066" w14:textId="77777777" w:rsidR="00600EE1" w:rsidRPr="00EA1CDA" w:rsidRDefault="00551339">
      <w:pPr>
        <w:widowControl w:val="0"/>
        <w:numPr>
          <w:ilvl w:val="0"/>
          <w:numId w:val="1"/>
        </w:numPr>
        <w:pBdr>
          <w:top w:val="nil"/>
          <w:left w:val="nil"/>
          <w:bottom w:val="nil"/>
          <w:right w:val="nil"/>
          <w:between w:val="nil"/>
        </w:pBdr>
        <w:tabs>
          <w:tab w:val="left" w:pos="426"/>
        </w:tabs>
        <w:jc w:val="both"/>
        <w:rPr>
          <w:color w:val="000000"/>
          <w:sz w:val="28"/>
          <w:szCs w:val="28"/>
        </w:rPr>
      </w:pPr>
      <w:r w:rsidRPr="00EA1CDA">
        <w:rPr>
          <w:color w:val="000000"/>
          <w:sz w:val="28"/>
          <w:szCs w:val="28"/>
        </w:rPr>
        <w:t>Algunos de los accionantes advirtieron sobre la existencia de múltiples acciones de tutela relacionadas con el suministro de medicamentos como los que aquí se reclaman, aunque derivadas de prescripciones médicas anteriores a las que fundamentan las presentes solicitudes de amparo. Señalaron, además, que la EPS correspondiente solo proporciona el medicamento una vez es notificada de los autos admisorios en cada trámite de tutela.</w:t>
      </w:r>
    </w:p>
    <w:p w14:paraId="6EE66067" w14:textId="77777777" w:rsidR="00600EE1" w:rsidRDefault="00600EE1">
      <w:pPr>
        <w:widowControl w:val="0"/>
        <w:pBdr>
          <w:top w:val="nil"/>
          <w:left w:val="nil"/>
          <w:bottom w:val="nil"/>
          <w:right w:val="nil"/>
          <w:between w:val="nil"/>
        </w:pBdr>
        <w:jc w:val="both"/>
        <w:rPr>
          <w:color w:val="000000"/>
          <w:sz w:val="28"/>
          <w:szCs w:val="28"/>
        </w:rPr>
      </w:pPr>
    </w:p>
    <w:p w14:paraId="5F669C71" w14:textId="77777777" w:rsidR="007D2582" w:rsidRPr="00EA1CDA" w:rsidRDefault="007D2582">
      <w:pPr>
        <w:widowControl w:val="0"/>
        <w:pBdr>
          <w:top w:val="nil"/>
          <w:left w:val="nil"/>
          <w:bottom w:val="nil"/>
          <w:right w:val="nil"/>
          <w:between w:val="nil"/>
        </w:pBdr>
        <w:jc w:val="both"/>
        <w:rPr>
          <w:color w:val="000000"/>
          <w:sz w:val="28"/>
          <w:szCs w:val="28"/>
        </w:rPr>
      </w:pPr>
    </w:p>
    <w:p w14:paraId="6EE66068" w14:textId="6D805084" w:rsidR="00600EE1" w:rsidRPr="00EA1CDA" w:rsidRDefault="00551339">
      <w:pPr>
        <w:widowControl w:val="0"/>
        <w:numPr>
          <w:ilvl w:val="0"/>
          <w:numId w:val="1"/>
        </w:numPr>
        <w:pBdr>
          <w:top w:val="nil"/>
          <w:left w:val="nil"/>
          <w:bottom w:val="nil"/>
          <w:right w:val="nil"/>
          <w:between w:val="nil"/>
        </w:pBdr>
        <w:tabs>
          <w:tab w:val="left" w:pos="426"/>
        </w:tabs>
        <w:jc w:val="both"/>
        <w:rPr>
          <w:color w:val="000000"/>
          <w:sz w:val="28"/>
          <w:szCs w:val="28"/>
        </w:rPr>
      </w:pPr>
      <w:r w:rsidRPr="00EA1CDA">
        <w:rPr>
          <w:i/>
          <w:color w:val="000000"/>
          <w:sz w:val="28"/>
          <w:szCs w:val="28"/>
        </w:rPr>
        <w:lastRenderedPageBreak/>
        <w:t>Pretensiones</w:t>
      </w:r>
      <w:r w:rsidRPr="00EA1CDA">
        <w:rPr>
          <w:color w:val="000000"/>
          <w:sz w:val="28"/>
          <w:szCs w:val="28"/>
        </w:rPr>
        <w:t>. Los accionantes acudieron al juez de tutela con el fin de que se ordenara la entrega inmediata de los medicamentos (en un caso en el domicilio del paciente</w:t>
      </w:r>
      <w:r w:rsidRPr="00EA1CDA">
        <w:rPr>
          <w:color w:val="000000"/>
          <w:sz w:val="28"/>
          <w:szCs w:val="28"/>
          <w:vertAlign w:val="superscript"/>
        </w:rPr>
        <w:footnoteReference w:id="7"/>
      </w:r>
      <w:r w:rsidRPr="00EA1CDA">
        <w:rPr>
          <w:color w:val="000000"/>
          <w:sz w:val="28"/>
          <w:szCs w:val="28"/>
        </w:rPr>
        <w:t>), y para que se asegurara su suministro sucesivo bajo las condiciones previstas por el médico tratante y por el periodo en que este lo determinara. También, pidieron canales de comunicación efectiva con las EPS e IPS, que les permitiera</w:t>
      </w:r>
      <w:r w:rsidR="001F066D" w:rsidRPr="00EA1CDA">
        <w:rPr>
          <w:color w:val="000000"/>
          <w:sz w:val="28"/>
          <w:szCs w:val="28"/>
        </w:rPr>
        <w:t>n</w:t>
      </w:r>
      <w:r w:rsidRPr="00EA1CDA">
        <w:rPr>
          <w:color w:val="000000"/>
          <w:sz w:val="28"/>
          <w:szCs w:val="28"/>
        </w:rPr>
        <w:t xml:space="preserve"> identificar el punto de dispensación, la fecha cierta de entrega de los fármacos y la persona encargada de su suministro, para asegurar su entrega continua. Adicionalmente, requirieron la previsión de alternativas como la reformulación oportuna ante el desabastecimiento de ciertos medicamentos, al ser esta una condición para la realización sucesiva y continua</w:t>
      </w:r>
      <w:r w:rsidR="001F066D" w:rsidRPr="00EA1CDA">
        <w:rPr>
          <w:color w:val="000000"/>
          <w:sz w:val="28"/>
          <w:szCs w:val="28"/>
        </w:rPr>
        <w:t xml:space="preserve"> del servicio</w:t>
      </w:r>
      <w:r w:rsidRPr="00EA1CDA">
        <w:rPr>
          <w:color w:val="000000"/>
          <w:sz w:val="28"/>
          <w:szCs w:val="28"/>
        </w:rPr>
        <w:t>, en el caso de quimioterapias</w:t>
      </w:r>
      <w:r w:rsidRPr="00EA1CDA">
        <w:rPr>
          <w:color w:val="000000"/>
          <w:sz w:val="28"/>
          <w:szCs w:val="28"/>
          <w:vertAlign w:val="superscript"/>
        </w:rPr>
        <w:footnoteReference w:id="8"/>
      </w:r>
      <w:r w:rsidRPr="00EA1CDA">
        <w:rPr>
          <w:color w:val="000000"/>
          <w:sz w:val="28"/>
          <w:szCs w:val="28"/>
        </w:rPr>
        <w:t>.</w:t>
      </w:r>
    </w:p>
    <w:p w14:paraId="6EE66069" w14:textId="77777777" w:rsidR="00600EE1" w:rsidRPr="00EA1CDA" w:rsidRDefault="00600EE1">
      <w:pPr>
        <w:widowControl w:val="0"/>
        <w:pBdr>
          <w:top w:val="nil"/>
          <w:left w:val="nil"/>
          <w:bottom w:val="nil"/>
          <w:right w:val="nil"/>
          <w:between w:val="nil"/>
        </w:pBdr>
        <w:jc w:val="both"/>
        <w:rPr>
          <w:color w:val="000000"/>
          <w:sz w:val="28"/>
          <w:szCs w:val="28"/>
        </w:rPr>
      </w:pPr>
    </w:p>
    <w:p w14:paraId="6EE6606A" w14:textId="3FF27B21" w:rsidR="00600EE1" w:rsidRPr="00EA1CDA" w:rsidRDefault="00B65FC4">
      <w:pPr>
        <w:widowControl w:val="0"/>
        <w:numPr>
          <w:ilvl w:val="0"/>
          <w:numId w:val="1"/>
        </w:numPr>
        <w:pBdr>
          <w:top w:val="nil"/>
          <w:left w:val="nil"/>
          <w:bottom w:val="nil"/>
          <w:right w:val="nil"/>
          <w:between w:val="nil"/>
        </w:pBdr>
        <w:tabs>
          <w:tab w:val="left" w:pos="426"/>
        </w:tabs>
        <w:jc w:val="both"/>
        <w:rPr>
          <w:color w:val="000000"/>
          <w:sz w:val="28"/>
          <w:szCs w:val="28"/>
        </w:rPr>
      </w:pPr>
      <w:r w:rsidRPr="00EA1CDA">
        <w:rPr>
          <w:color w:val="000000"/>
          <w:sz w:val="28"/>
          <w:szCs w:val="28"/>
        </w:rPr>
        <w:t>Frente a</w:t>
      </w:r>
      <w:r w:rsidR="00551339" w:rsidRPr="00EA1CDA">
        <w:rPr>
          <w:color w:val="000000"/>
          <w:sz w:val="28"/>
          <w:szCs w:val="28"/>
        </w:rPr>
        <w:t xml:space="preserve"> uno de los medicamentos solicitados para la atención de la epilepsia, el accionante requirió el suministro del fármaco “</w:t>
      </w:r>
      <w:proofErr w:type="spellStart"/>
      <w:r w:rsidR="00551339" w:rsidRPr="00EA1CDA">
        <w:rPr>
          <w:color w:val="000000"/>
          <w:sz w:val="28"/>
          <w:szCs w:val="28"/>
        </w:rPr>
        <w:t>Neviot</w:t>
      </w:r>
      <w:proofErr w:type="spellEnd"/>
      <w:r w:rsidR="00551339" w:rsidRPr="00EA1CDA">
        <w:rPr>
          <w:color w:val="000000"/>
          <w:sz w:val="28"/>
          <w:szCs w:val="28"/>
        </w:rPr>
        <w:t>” según la recomendación de su médico tratante</w:t>
      </w:r>
      <w:r w:rsidR="00551339" w:rsidRPr="00EA1CDA">
        <w:rPr>
          <w:color w:val="000000"/>
          <w:sz w:val="28"/>
          <w:szCs w:val="28"/>
          <w:vertAlign w:val="superscript"/>
        </w:rPr>
        <w:footnoteReference w:id="9"/>
      </w:r>
      <w:r w:rsidR="00551339" w:rsidRPr="00EA1CDA">
        <w:rPr>
          <w:color w:val="000000"/>
          <w:sz w:val="28"/>
          <w:szCs w:val="28"/>
        </w:rPr>
        <w:t xml:space="preserve">, pese a que este producto no ha sido autorizado por el </w:t>
      </w:r>
      <w:r w:rsidR="00E40AD0" w:rsidRPr="00EA1CDA">
        <w:rPr>
          <w:color w:val="000000"/>
          <w:sz w:val="28"/>
          <w:szCs w:val="28"/>
        </w:rPr>
        <w:t>I</w:t>
      </w:r>
      <w:r w:rsidR="00AC7805" w:rsidRPr="00EA1CDA">
        <w:rPr>
          <w:color w:val="000000"/>
          <w:sz w:val="28"/>
          <w:szCs w:val="28"/>
        </w:rPr>
        <w:t>nvima</w:t>
      </w:r>
      <w:r w:rsidR="00551339" w:rsidRPr="00EA1CDA">
        <w:rPr>
          <w:color w:val="000000"/>
          <w:sz w:val="28"/>
          <w:szCs w:val="28"/>
        </w:rPr>
        <w:t xml:space="preserve"> </w:t>
      </w:r>
      <w:r w:rsidR="00566139" w:rsidRPr="00EA1CDA">
        <w:rPr>
          <w:color w:val="000000"/>
          <w:sz w:val="28"/>
          <w:szCs w:val="28"/>
        </w:rPr>
        <w:t>(</w:t>
      </w:r>
      <w:r w:rsidR="00566139" w:rsidRPr="00EA1CDA">
        <w:rPr>
          <w:color w:val="000000"/>
          <w:sz w:val="28"/>
          <w:szCs w:val="28"/>
          <w:lang w:val="es-CO"/>
        </w:rPr>
        <w:t>Instituto Nacional de Vigilancia de Medicamentos y Alimentos</w:t>
      </w:r>
      <w:r w:rsidR="00566139" w:rsidRPr="00EA1CDA">
        <w:rPr>
          <w:color w:val="000000"/>
          <w:sz w:val="28"/>
          <w:szCs w:val="28"/>
        </w:rPr>
        <w:t xml:space="preserve">) </w:t>
      </w:r>
      <w:r w:rsidR="00551339" w:rsidRPr="00EA1CDA">
        <w:rPr>
          <w:color w:val="000000"/>
          <w:sz w:val="28"/>
          <w:szCs w:val="28"/>
        </w:rPr>
        <w:t xml:space="preserve">para esa patología. </w:t>
      </w:r>
    </w:p>
    <w:p w14:paraId="6EE6606B" w14:textId="77777777" w:rsidR="00600EE1" w:rsidRPr="00EA1CDA" w:rsidRDefault="00600EE1">
      <w:pPr>
        <w:widowControl w:val="0"/>
        <w:pBdr>
          <w:top w:val="nil"/>
          <w:left w:val="nil"/>
          <w:bottom w:val="nil"/>
          <w:right w:val="nil"/>
          <w:between w:val="nil"/>
        </w:pBdr>
        <w:jc w:val="both"/>
        <w:rPr>
          <w:color w:val="000000"/>
          <w:sz w:val="28"/>
          <w:szCs w:val="28"/>
        </w:rPr>
      </w:pPr>
    </w:p>
    <w:p w14:paraId="6EE6606C" w14:textId="5F8DBA3D" w:rsidR="00600EE1" w:rsidRPr="00EA1CDA" w:rsidRDefault="00551339">
      <w:pPr>
        <w:widowControl w:val="0"/>
        <w:numPr>
          <w:ilvl w:val="0"/>
          <w:numId w:val="1"/>
        </w:numPr>
        <w:pBdr>
          <w:top w:val="nil"/>
          <w:left w:val="nil"/>
          <w:bottom w:val="nil"/>
          <w:right w:val="nil"/>
          <w:between w:val="nil"/>
        </w:pBdr>
        <w:tabs>
          <w:tab w:val="left" w:pos="426"/>
        </w:tabs>
        <w:jc w:val="both"/>
        <w:rPr>
          <w:color w:val="000000"/>
          <w:sz w:val="28"/>
          <w:szCs w:val="28"/>
        </w:rPr>
      </w:pPr>
      <w:r w:rsidRPr="00EA1CDA">
        <w:rPr>
          <w:color w:val="000000"/>
          <w:sz w:val="28"/>
          <w:szCs w:val="28"/>
        </w:rPr>
        <w:t>En 15 de los asuntos analizados, adicionalmente, se solicitó el tratamiento integral</w:t>
      </w:r>
      <w:r w:rsidRPr="00EA1CDA">
        <w:rPr>
          <w:color w:val="000000"/>
          <w:sz w:val="28"/>
          <w:szCs w:val="28"/>
          <w:vertAlign w:val="superscript"/>
        </w:rPr>
        <w:footnoteReference w:id="10"/>
      </w:r>
      <w:r w:rsidRPr="00EA1CDA">
        <w:rPr>
          <w:color w:val="000000"/>
          <w:sz w:val="28"/>
          <w:szCs w:val="28"/>
        </w:rPr>
        <w:t xml:space="preserve">, con la finalidad de asegurar la entrega sucesiva y oportuna de los medicamentos, así como la garantía de la práctica de otros servicios médicos relacionados con </w:t>
      </w:r>
      <w:r w:rsidR="001F066D" w:rsidRPr="00EA1CDA">
        <w:rPr>
          <w:color w:val="000000"/>
          <w:sz w:val="28"/>
          <w:szCs w:val="28"/>
        </w:rPr>
        <w:t xml:space="preserve">el </w:t>
      </w:r>
      <w:r w:rsidRPr="00EA1CDA">
        <w:rPr>
          <w:color w:val="000000"/>
          <w:sz w:val="28"/>
          <w:szCs w:val="28"/>
        </w:rPr>
        <w:t>tratamiento. También se solicitó la realización efectiva de consultas médicas y, en un caso particular, la asignación de un cuidador permanente</w:t>
      </w:r>
      <w:r w:rsidRPr="00EA1CDA">
        <w:rPr>
          <w:color w:val="000000"/>
          <w:sz w:val="28"/>
          <w:szCs w:val="28"/>
          <w:vertAlign w:val="superscript"/>
        </w:rPr>
        <w:footnoteReference w:id="11"/>
      </w:r>
      <w:r w:rsidRPr="00EA1CDA">
        <w:rPr>
          <w:color w:val="000000"/>
          <w:sz w:val="28"/>
          <w:szCs w:val="28"/>
        </w:rPr>
        <w:t xml:space="preserve">. </w:t>
      </w:r>
    </w:p>
    <w:p w14:paraId="6EE6606D" w14:textId="77777777" w:rsidR="00600EE1" w:rsidRPr="00EA1CDA" w:rsidRDefault="00600EE1">
      <w:pPr>
        <w:widowControl w:val="0"/>
        <w:pBdr>
          <w:top w:val="nil"/>
          <w:left w:val="nil"/>
          <w:bottom w:val="nil"/>
          <w:right w:val="nil"/>
          <w:between w:val="nil"/>
        </w:pBdr>
        <w:jc w:val="both"/>
        <w:rPr>
          <w:color w:val="000000"/>
          <w:sz w:val="28"/>
          <w:szCs w:val="28"/>
        </w:rPr>
      </w:pPr>
    </w:p>
    <w:p w14:paraId="6EE6606E" w14:textId="2138404B" w:rsidR="00600EE1" w:rsidRPr="00EA1CDA" w:rsidRDefault="00551339">
      <w:pPr>
        <w:widowControl w:val="0"/>
        <w:numPr>
          <w:ilvl w:val="0"/>
          <w:numId w:val="1"/>
        </w:numPr>
        <w:pBdr>
          <w:top w:val="nil"/>
          <w:left w:val="nil"/>
          <w:bottom w:val="nil"/>
          <w:right w:val="nil"/>
          <w:between w:val="nil"/>
        </w:pBdr>
        <w:tabs>
          <w:tab w:val="left" w:pos="426"/>
        </w:tabs>
        <w:jc w:val="both"/>
        <w:rPr>
          <w:color w:val="000000"/>
          <w:sz w:val="28"/>
          <w:szCs w:val="28"/>
        </w:rPr>
      </w:pPr>
      <w:r w:rsidRPr="00EA1CDA">
        <w:rPr>
          <w:i/>
          <w:color w:val="000000"/>
          <w:sz w:val="28"/>
          <w:szCs w:val="28"/>
        </w:rPr>
        <w:t>Solicitud de medida provisional durante el trámite de instancia</w:t>
      </w:r>
      <w:r w:rsidRPr="00EA1CDA">
        <w:rPr>
          <w:color w:val="000000"/>
          <w:sz w:val="28"/>
          <w:szCs w:val="28"/>
        </w:rPr>
        <w:t xml:space="preserve">. En cuatro de los </w:t>
      </w:r>
      <w:r w:rsidR="00A545C2" w:rsidRPr="00EA1CDA">
        <w:rPr>
          <w:color w:val="000000"/>
          <w:sz w:val="28"/>
          <w:szCs w:val="28"/>
        </w:rPr>
        <w:t>30</w:t>
      </w:r>
      <w:r w:rsidRPr="00EA1CDA">
        <w:rPr>
          <w:color w:val="000000"/>
          <w:sz w:val="28"/>
          <w:szCs w:val="28"/>
        </w:rPr>
        <w:t xml:space="preserve"> expedientes, los accionantes solicitaron en el escrito de tutela medidas provisionales, con fundamento en la urgencia del suministro </w:t>
      </w:r>
      <w:r w:rsidR="001F066D" w:rsidRPr="00EA1CDA">
        <w:rPr>
          <w:color w:val="000000"/>
          <w:sz w:val="28"/>
          <w:szCs w:val="28"/>
        </w:rPr>
        <w:t xml:space="preserve">de los </w:t>
      </w:r>
      <w:r w:rsidRPr="00EA1CDA">
        <w:rPr>
          <w:color w:val="000000"/>
          <w:sz w:val="28"/>
          <w:szCs w:val="28"/>
        </w:rPr>
        <w:t>medicamento</w:t>
      </w:r>
      <w:r w:rsidR="001F066D" w:rsidRPr="00EA1CDA">
        <w:rPr>
          <w:color w:val="000000"/>
          <w:sz w:val="28"/>
          <w:szCs w:val="28"/>
        </w:rPr>
        <w:t>s</w:t>
      </w:r>
      <w:r w:rsidRPr="00EA1CDA">
        <w:rPr>
          <w:color w:val="000000"/>
          <w:sz w:val="28"/>
          <w:szCs w:val="28"/>
          <w:vertAlign w:val="superscript"/>
        </w:rPr>
        <w:footnoteReference w:id="12"/>
      </w:r>
      <w:r w:rsidRPr="00EA1CDA">
        <w:rPr>
          <w:color w:val="000000"/>
          <w:sz w:val="28"/>
          <w:szCs w:val="28"/>
        </w:rPr>
        <w:t xml:space="preserve">. En particular, requirieron que se ordenara la entrega inmediata y sucesiva de </w:t>
      </w:r>
      <w:r w:rsidR="001F066D" w:rsidRPr="00EA1CDA">
        <w:rPr>
          <w:color w:val="000000"/>
          <w:sz w:val="28"/>
          <w:szCs w:val="28"/>
        </w:rPr>
        <w:t>aquellos</w:t>
      </w:r>
      <w:r w:rsidRPr="00EA1CDA">
        <w:rPr>
          <w:color w:val="000000"/>
          <w:sz w:val="28"/>
          <w:szCs w:val="28"/>
        </w:rPr>
        <w:t xml:space="preserve">. Solo en uno de esos cuatro asuntos la medida provisional fue concedida por los jueces de instancia. </w:t>
      </w:r>
    </w:p>
    <w:p w14:paraId="6EE6606F" w14:textId="77777777" w:rsidR="00600EE1" w:rsidRPr="00EA1CDA" w:rsidRDefault="00600EE1">
      <w:pPr>
        <w:pBdr>
          <w:top w:val="nil"/>
          <w:left w:val="nil"/>
          <w:bottom w:val="nil"/>
          <w:right w:val="nil"/>
          <w:between w:val="nil"/>
        </w:pBdr>
        <w:jc w:val="both"/>
        <w:rPr>
          <w:color w:val="000000"/>
          <w:sz w:val="28"/>
          <w:szCs w:val="28"/>
        </w:rPr>
      </w:pPr>
    </w:p>
    <w:p w14:paraId="6EE66070" w14:textId="77777777" w:rsidR="00600EE1" w:rsidRPr="00EA1CDA" w:rsidRDefault="00551339">
      <w:pPr>
        <w:widowControl w:val="0"/>
        <w:pBdr>
          <w:top w:val="nil"/>
          <w:left w:val="nil"/>
          <w:bottom w:val="nil"/>
          <w:right w:val="nil"/>
          <w:between w:val="nil"/>
        </w:pBdr>
        <w:tabs>
          <w:tab w:val="left" w:pos="426"/>
        </w:tabs>
        <w:jc w:val="both"/>
        <w:rPr>
          <w:color w:val="000000"/>
          <w:sz w:val="28"/>
          <w:szCs w:val="28"/>
        </w:rPr>
      </w:pPr>
      <w:r w:rsidRPr="00EA1CDA">
        <w:rPr>
          <w:b/>
          <w:color w:val="000000"/>
          <w:sz w:val="28"/>
          <w:szCs w:val="28"/>
        </w:rPr>
        <w:t>2. Actuaciones en sede de instancia</w:t>
      </w:r>
    </w:p>
    <w:p w14:paraId="6EE66071" w14:textId="77777777" w:rsidR="00600EE1" w:rsidRPr="00EA1CDA" w:rsidRDefault="00600EE1">
      <w:pPr>
        <w:widowControl w:val="0"/>
        <w:pBdr>
          <w:top w:val="nil"/>
          <w:left w:val="nil"/>
          <w:bottom w:val="nil"/>
          <w:right w:val="nil"/>
          <w:between w:val="nil"/>
        </w:pBdr>
        <w:jc w:val="both"/>
        <w:rPr>
          <w:color w:val="000000"/>
          <w:sz w:val="28"/>
          <w:szCs w:val="28"/>
        </w:rPr>
      </w:pPr>
    </w:p>
    <w:p w14:paraId="3191D1A9" w14:textId="6E43F960" w:rsidR="00224694" w:rsidRPr="007D2582" w:rsidRDefault="00551339" w:rsidP="007D2582">
      <w:pPr>
        <w:widowControl w:val="0"/>
        <w:numPr>
          <w:ilvl w:val="0"/>
          <w:numId w:val="1"/>
        </w:numPr>
        <w:pBdr>
          <w:top w:val="nil"/>
          <w:left w:val="nil"/>
          <w:bottom w:val="nil"/>
          <w:right w:val="nil"/>
          <w:between w:val="nil"/>
        </w:pBdr>
        <w:tabs>
          <w:tab w:val="left" w:pos="426"/>
        </w:tabs>
        <w:jc w:val="both"/>
      </w:pPr>
      <w:r w:rsidRPr="00EA1CDA">
        <w:rPr>
          <w:color w:val="000000"/>
          <w:sz w:val="28"/>
          <w:szCs w:val="28"/>
        </w:rPr>
        <w:t xml:space="preserve">En esta oportunidad se revisan los fallos de primera y segunda instancia, proferidos por los distintos funcionarios judiciales que asumieron su conocimiento. En 18 expedientes se ordenó la entrega inmediata del medicamento, en </w:t>
      </w:r>
      <w:r w:rsidR="00BE10AE" w:rsidRPr="00EA1CDA">
        <w:rPr>
          <w:color w:val="000000"/>
          <w:sz w:val="28"/>
          <w:szCs w:val="28"/>
        </w:rPr>
        <w:t>ocho</w:t>
      </w:r>
      <w:r w:rsidRPr="00EA1CDA">
        <w:rPr>
          <w:color w:val="000000"/>
          <w:sz w:val="28"/>
          <w:szCs w:val="28"/>
        </w:rPr>
        <w:t xml:space="preserve"> hubo un amparo parcial y en </w:t>
      </w:r>
      <w:r w:rsidR="00BE10AE" w:rsidRPr="00EA1CDA">
        <w:rPr>
          <w:color w:val="000000"/>
          <w:sz w:val="28"/>
          <w:szCs w:val="28"/>
        </w:rPr>
        <w:t>cuatro</w:t>
      </w:r>
      <w:r w:rsidRPr="00EA1CDA">
        <w:rPr>
          <w:color w:val="000000"/>
          <w:sz w:val="28"/>
          <w:szCs w:val="28"/>
        </w:rPr>
        <w:t xml:space="preserve"> se negó o declaró improcedente la acción, como se refleja en la siguiente tabla: </w:t>
      </w:r>
    </w:p>
    <w:p w14:paraId="62072839" w14:textId="77777777" w:rsidR="00CA0661" w:rsidRDefault="00CA0661">
      <w:pPr>
        <w:widowControl w:val="0"/>
        <w:pBdr>
          <w:top w:val="nil"/>
          <w:left w:val="nil"/>
          <w:bottom w:val="nil"/>
          <w:right w:val="nil"/>
          <w:between w:val="nil"/>
        </w:pBdr>
        <w:tabs>
          <w:tab w:val="left" w:pos="426"/>
        </w:tabs>
        <w:jc w:val="both"/>
        <w:rPr>
          <w:color w:val="000000"/>
          <w:sz w:val="28"/>
          <w:szCs w:val="28"/>
        </w:rPr>
      </w:pPr>
    </w:p>
    <w:p w14:paraId="0D009AC9" w14:textId="77777777" w:rsidR="007D2582" w:rsidRDefault="007D2582">
      <w:pPr>
        <w:widowControl w:val="0"/>
        <w:pBdr>
          <w:top w:val="nil"/>
          <w:left w:val="nil"/>
          <w:bottom w:val="nil"/>
          <w:right w:val="nil"/>
          <w:between w:val="nil"/>
        </w:pBdr>
        <w:tabs>
          <w:tab w:val="left" w:pos="426"/>
        </w:tabs>
        <w:jc w:val="both"/>
        <w:rPr>
          <w:color w:val="000000"/>
          <w:sz w:val="28"/>
          <w:szCs w:val="28"/>
        </w:rPr>
      </w:pPr>
    </w:p>
    <w:p w14:paraId="12BF216E" w14:textId="02ACE041" w:rsidR="00AE4486" w:rsidRPr="00EA1CDA" w:rsidRDefault="004E4936" w:rsidP="00DA2E6E">
      <w:pPr>
        <w:widowControl w:val="0"/>
        <w:pBdr>
          <w:top w:val="nil"/>
          <w:left w:val="nil"/>
          <w:bottom w:val="nil"/>
          <w:right w:val="nil"/>
          <w:between w:val="nil"/>
        </w:pBdr>
        <w:tabs>
          <w:tab w:val="left" w:pos="426"/>
        </w:tabs>
        <w:jc w:val="center"/>
        <w:rPr>
          <w:i/>
          <w:iCs/>
          <w:color w:val="000000"/>
          <w:sz w:val="22"/>
          <w:szCs w:val="22"/>
        </w:rPr>
      </w:pPr>
      <w:r w:rsidRPr="00EA1CDA">
        <w:rPr>
          <w:color w:val="000000"/>
          <w:sz w:val="22"/>
          <w:szCs w:val="22"/>
        </w:rPr>
        <w:lastRenderedPageBreak/>
        <w:t>Tabla 1.</w:t>
      </w:r>
      <w:r w:rsidRPr="00EA1CDA">
        <w:rPr>
          <w:i/>
          <w:iCs/>
          <w:color w:val="000000"/>
          <w:sz w:val="22"/>
          <w:szCs w:val="22"/>
        </w:rPr>
        <w:t xml:space="preserve"> </w:t>
      </w:r>
      <w:r w:rsidR="00397E1A" w:rsidRPr="00EA1CDA">
        <w:rPr>
          <w:i/>
          <w:iCs/>
          <w:color w:val="000000"/>
          <w:sz w:val="22"/>
          <w:szCs w:val="22"/>
        </w:rPr>
        <w:t>Decisiones de instancia</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7"/>
        <w:gridCol w:w="3921"/>
        <w:gridCol w:w="3360"/>
      </w:tblGrid>
      <w:tr w:rsidR="00600EE1" w:rsidRPr="00EA1CDA" w14:paraId="6EE66077" w14:textId="77777777">
        <w:trPr>
          <w:tblHeader/>
        </w:trPr>
        <w:tc>
          <w:tcPr>
            <w:tcW w:w="1547" w:type="dxa"/>
            <w:vMerge w:val="restart"/>
            <w:shd w:val="clear" w:color="auto" w:fill="8EAADB"/>
            <w:vAlign w:val="center"/>
          </w:tcPr>
          <w:p w14:paraId="6EE66075" w14:textId="77777777" w:rsidR="00600EE1" w:rsidRPr="00EA1CDA" w:rsidRDefault="00551339">
            <w:pPr>
              <w:widowControl w:val="0"/>
              <w:pBdr>
                <w:top w:val="nil"/>
                <w:left w:val="nil"/>
                <w:bottom w:val="nil"/>
                <w:right w:val="nil"/>
                <w:between w:val="nil"/>
              </w:pBdr>
              <w:ind w:right="-108"/>
              <w:jc w:val="center"/>
              <w:rPr>
                <w:b/>
                <w:color w:val="000000"/>
                <w:sz w:val="20"/>
                <w:szCs w:val="20"/>
              </w:rPr>
            </w:pPr>
            <w:r w:rsidRPr="00EA1CDA">
              <w:rPr>
                <w:b/>
                <w:color w:val="000000"/>
                <w:sz w:val="20"/>
                <w:szCs w:val="20"/>
              </w:rPr>
              <w:t>Expediente</w:t>
            </w:r>
          </w:p>
        </w:tc>
        <w:tc>
          <w:tcPr>
            <w:tcW w:w="7281" w:type="dxa"/>
            <w:gridSpan w:val="2"/>
            <w:shd w:val="clear" w:color="auto" w:fill="8EAADB"/>
            <w:vAlign w:val="center"/>
          </w:tcPr>
          <w:p w14:paraId="6EE66076" w14:textId="77777777" w:rsidR="00600EE1" w:rsidRPr="00EA1CDA" w:rsidRDefault="00551339">
            <w:pPr>
              <w:widowControl w:val="0"/>
              <w:pBdr>
                <w:top w:val="nil"/>
                <w:left w:val="nil"/>
                <w:bottom w:val="nil"/>
                <w:right w:val="nil"/>
                <w:between w:val="nil"/>
              </w:pBdr>
              <w:tabs>
                <w:tab w:val="left" w:pos="426"/>
              </w:tabs>
              <w:jc w:val="center"/>
              <w:rPr>
                <w:b/>
                <w:color w:val="000000"/>
                <w:sz w:val="20"/>
                <w:szCs w:val="20"/>
              </w:rPr>
            </w:pPr>
            <w:r w:rsidRPr="00EA1CDA">
              <w:rPr>
                <w:b/>
                <w:color w:val="000000"/>
                <w:sz w:val="20"/>
                <w:szCs w:val="20"/>
              </w:rPr>
              <w:t>Sentencia</w:t>
            </w:r>
          </w:p>
        </w:tc>
      </w:tr>
      <w:tr w:rsidR="00600EE1" w:rsidRPr="00EA1CDA" w14:paraId="6EE6607B" w14:textId="77777777">
        <w:trPr>
          <w:tblHeader/>
        </w:trPr>
        <w:tc>
          <w:tcPr>
            <w:tcW w:w="1547" w:type="dxa"/>
            <w:vMerge/>
            <w:shd w:val="clear" w:color="auto" w:fill="8EAADB"/>
            <w:vAlign w:val="center"/>
          </w:tcPr>
          <w:p w14:paraId="6EE66078" w14:textId="77777777" w:rsidR="00600EE1" w:rsidRPr="00EA1CDA" w:rsidRDefault="00600EE1">
            <w:pPr>
              <w:widowControl w:val="0"/>
              <w:pBdr>
                <w:top w:val="nil"/>
                <w:left w:val="nil"/>
                <w:bottom w:val="nil"/>
                <w:right w:val="nil"/>
                <w:between w:val="nil"/>
              </w:pBdr>
              <w:spacing w:line="276" w:lineRule="auto"/>
              <w:rPr>
                <w:b/>
                <w:color w:val="000000"/>
                <w:sz w:val="20"/>
                <w:szCs w:val="20"/>
              </w:rPr>
            </w:pPr>
          </w:p>
        </w:tc>
        <w:tc>
          <w:tcPr>
            <w:tcW w:w="3921" w:type="dxa"/>
            <w:shd w:val="clear" w:color="auto" w:fill="D9E2F3"/>
            <w:vAlign w:val="center"/>
          </w:tcPr>
          <w:p w14:paraId="6EE66079" w14:textId="77777777" w:rsidR="00600EE1" w:rsidRPr="00EA1CDA" w:rsidRDefault="00551339">
            <w:pPr>
              <w:widowControl w:val="0"/>
              <w:pBdr>
                <w:top w:val="nil"/>
                <w:left w:val="nil"/>
                <w:bottom w:val="nil"/>
                <w:right w:val="nil"/>
                <w:between w:val="nil"/>
              </w:pBdr>
              <w:tabs>
                <w:tab w:val="left" w:pos="426"/>
              </w:tabs>
              <w:jc w:val="center"/>
              <w:rPr>
                <w:b/>
                <w:color w:val="000000"/>
                <w:sz w:val="20"/>
                <w:szCs w:val="20"/>
              </w:rPr>
            </w:pPr>
            <w:r w:rsidRPr="00EA1CDA">
              <w:rPr>
                <w:b/>
                <w:color w:val="000000"/>
                <w:sz w:val="20"/>
                <w:szCs w:val="20"/>
              </w:rPr>
              <w:t>Primera instancia</w:t>
            </w:r>
          </w:p>
        </w:tc>
        <w:tc>
          <w:tcPr>
            <w:tcW w:w="3360" w:type="dxa"/>
            <w:shd w:val="clear" w:color="auto" w:fill="D9E2F3"/>
            <w:vAlign w:val="center"/>
          </w:tcPr>
          <w:p w14:paraId="6EE6607A" w14:textId="77777777" w:rsidR="00600EE1" w:rsidRPr="00EA1CDA" w:rsidRDefault="00551339">
            <w:pPr>
              <w:widowControl w:val="0"/>
              <w:pBdr>
                <w:top w:val="nil"/>
                <w:left w:val="nil"/>
                <w:bottom w:val="nil"/>
                <w:right w:val="nil"/>
                <w:between w:val="nil"/>
              </w:pBdr>
              <w:tabs>
                <w:tab w:val="left" w:pos="426"/>
              </w:tabs>
              <w:jc w:val="center"/>
              <w:rPr>
                <w:b/>
                <w:color w:val="000000"/>
                <w:sz w:val="20"/>
                <w:szCs w:val="20"/>
              </w:rPr>
            </w:pPr>
            <w:r w:rsidRPr="00EA1CDA">
              <w:rPr>
                <w:b/>
                <w:color w:val="000000"/>
                <w:sz w:val="20"/>
                <w:szCs w:val="20"/>
              </w:rPr>
              <w:t>Segunda instancia</w:t>
            </w:r>
            <w:r w:rsidRPr="00EA1CDA">
              <w:rPr>
                <w:b/>
                <w:color w:val="000000"/>
                <w:sz w:val="20"/>
                <w:szCs w:val="20"/>
                <w:vertAlign w:val="superscript"/>
              </w:rPr>
              <w:footnoteReference w:id="13"/>
            </w:r>
          </w:p>
        </w:tc>
      </w:tr>
      <w:tr w:rsidR="00600EE1" w:rsidRPr="00EA1CDA" w14:paraId="6EE6607F" w14:textId="77777777">
        <w:tc>
          <w:tcPr>
            <w:tcW w:w="1547" w:type="dxa"/>
            <w:shd w:val="clear" w:color="auto" w:fill="D9E2F3"/>
            <w:vAlign w:val="center"/>
          </w:tcPr>
          <w:p w14:paraId="6EE6607C"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(1)</w:t>
            </w:r>
            <w:r w:rsidRPr="00EA1CDA">
              <w:rPr>
                <w:color w:val="000000"/>
                <w:sz w:val="20"/>
                <w:szCs w:val="20"/>
              </w:rPr>
              <w:t xml:space="preserve"> T-10.641.262</w:t>
            </w:r>
          </w:p>
        </w:tc>
        <w:tc>
          <w:tcPr>
            <w:tcW w:w="3921" w:type="dxa"/>
          </w:tcPr>
          <w:p w14:paraId="6EE6607D"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w:t>
            </w:r>
            <w:r w:rsidRPr="00EA1CDA">
              <w:rPr>
                <w:color w:val="000000"/>
                <w:sz w:val="20"/>
                <w:szCs w:val="20"/>
              </w:rPr>
              <w:t xml:space="preserve">. Ordena que se entregue el medicamento en el término de las 48 horas. </w:t>
            </w:r>
          </w:p>
        </w:tc>
        <w:tc>
          <w:tcPr>
            <w:tcW w:w="3360" w:type="dxa"/>
            <w:vAlign w:val="center"/>
          </w:tcPr>
          <w:p w14:paraId="6EE6607E"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83" w14:textId="77777777">
        <w:tc>
          <w:tcPr>
            <w:tcW w:w="1547" w:type="dxa"/>
            <w:shd w:val="clear" w:color="auto" w:fill="D9E2F3"/>
            <w:vAlign w:val="center"/>
          </w:tcPr>
          <w:p w14:paraId="6EE66080"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(2)</w:t>
            </w:r>
            <w:r w:rsidRPr="00EA1CDA">
              <w:rPr>
                <w:color w:val="000000"/>
                <w:sz w:val="20"/>
                <w:szCs w:val="20"/>
              </w:rPr>
              <w:t xml:space="preserve"> T-10.771.082</w:t>
            </w:r>
          </w:p>
        </w:tc>
        <w:tc>
          <w:tcPr>
            <w:tcW w:w="3921" w:type="dxa"/>
          </w:tcPr>
          <w:p w14:paraId="6EE66081"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 parcialmente</w:t>
            </w:r>
            <w:r w:rsidRPr="00EA1CDA">
              <w:rPr>
                <w:color w:val="000000"/>
                <w:sz w:val="20"/>
                <w:szCs w:val="20"/>
              </w:rPr>
              <w:t>. Declara hecho superado respecto de dos medicamentos entregados. Además, concede en el sentido de ordenar a las EPS e IPS que “adelanten las gestiones administrativas” para asegurar la entrega inmediata del medicamento pendiente. También concede el tratamiento integral.</w:t>
            </w:r>
          </w:p>
        </w:tc>
        <w:tc>
          <w:tcPr>
            <w:tcW w:w="3360" w:type="dxa"/>
            <w:vAlign w:val="center"/>
          </w:tcPr>
          <w:p w14:paraId="6EE66082"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87" w14:textId="77777777">
        <w:tc>
          <w:tcPr>
            <w:tcW w:w="1547" w:type="dxa"/>
            <w:shd w:val="clear" w:color="auto" w:fill="D9E2F3"/>
            <w:vAlign w:val="center"/>
          </w:tcPr>
          <w:p w14:paraId="6EE66084"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(3)</w:t>
            </w:r>
            <w:r w:rsidRPr="00EA1CDA">
              <w:rPr>
                <w:color w:val="000000"/>
                <w:sz w:val="20"/>
                <w:szCs w:val="20"/>
              </w:rPr>
              <w:t xml:space="preserve"> T-10.773.946</w:t>
            </w:r>
          </w:p>
        </w:tc>
        <w:tc>
          <w:tcPr>
            <w:tcW w:w="3921" w:type="dxa"/>
          </w:tcPr>
          <w:p w14:paraId="6EE66085"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w:t>
            </w:r>
            <w:r w:rsidRPr="00EA1CDA">
              <w:rPr>
                <w:color w:val="000000"/>
                <w:sz w:val="20"/>
                <w:szCs w:val="20"/>
              </w:rPr>
              <w:t>. Ordena la entrega del medicamento en un término de 48 horas y la materialización de terapias por neuropsicología. Además, dispone el tratamiento integral. Desvincula a Colsubsidio y a las demás IPS.</w:t>
            </w:r>
          </w:p>
        </w:tc>
        <w:tc>
          <w:tcPr>
            <w:tcW w:w="3360" w:type="dxa"/>
            <w:vAlign w:val="center"/>
          </w:tcPr>
          <w:p w14:paraId="6EE66086"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8B" w14:textId="77777777">
        <w:tc>
          <w:tcPr>
            <w:tcW w:w="1547" w:type="dxa"/>
            <w:shd w:val="clear" w:color="auto" w:fill="D9E2F3"/>
            <w:vAlign w:val="center"/>
          </w:tcPr>
          <w:p w14:paraId="6EE66088"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(4)</w:t>
            </w:r>
            <w:r w:rsidRPr="00EA1CDA">
              <w:rPr>
                <w:color w:val="000000"/>
                <w:sz w:val="20"/>
                <w:szCs w:val="20"/>
              </w:rPr>
              <w:t xml:space="preserve"> T-10.773.996</w:t>
            </w:r>
          </w:p>
        </w:tc>
        <w:tc>
          <w:tcPr>
            <w:tcW w:w="3921" w:type="dxa"/>
          </w:tcPr>
          <w:p w14:paraId="6EE66089"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w:t>
            </w:r>
            <w:r w:rsidRPr="00EA1CDA">
              <w:rPr>
                <w:color w:val="000000"/>
                <w:sz w:val="20"/>
                <w:szCs w:val="20"/>
              </w:rPr>
              <w:t>. Ordena la entrega de los medicamentos en el término de 48 horas, como las consultas pendientes. Ordena entregar un informe de cumplimiento. No accede la solicitud de tratamiento integral.</w:t>
            </w:r>
          </w:p>
        </w:tc>
        <w:tc>
          <w:tcPr>
            <w:tcW w:w="3360" w:type="dxa"/>
            <w:vAlign w:val="center"/>
          </w:tcPr>
          <w:p w14:paraId="6EE6608A"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8F" w14:textId="77777777">
        <w:tc>
          <w:tcPr>
            <w:tcW w:w="1547" w:type="dxa"/>
            <w:shd w:val="clear" w:color="auto" w:fill="D9E2F3"/>
            <w:vAlign w:val="center"/>
          </w:tcPr>
          <w:p w14:paraId="6EE6608C"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(5)</w:t>
            </w:r>
            <w:r w:rsidRPr="00EA1CDA">
              <w:rPr>
                <w:color w:val="000000"/>
                <w:sz w:val="20"/>
                <w:szCs w:val="20"/>
              </w:rPr>
              <w:t xml:space="preserve"> T-10.774.002</w:t>
            </w:r>
          </w:p>
        </w:tc>
        <w:tc>
          <w:tcPr>
            <w:tcW w:w="3921" w:type="dxa"/>
          </w:tcPr>
          <w:p w14:paraId="6EE6608D"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w:t>
            </w:r>
            <w:r w:rsidRPr="00EA1CDA">
              <w:rPr>
                <w:color w:val="000000"/>
                <w:sz w:val="20"/>
                <w:szCs w:val="20"/>
              </w:rPr>
              <w:t>. Ordena la entrega de los medicamentos en 48 horas, y niega el tratamiento integral.</w:t>
            </w:r>
          </w:p>
        </w:tc>
        <w:tc>
          <w:tcPr>
            <w:tcW w:w="3360" w:type="dxa"/>
            <w:vAlign w:val="center"/>
          </w:tcPr>
          <w:p w14:paraId="6EE6608E"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93" w14:textId="77777777">
        <w:tc>
          <w:tcPr>
            <w:tcW w:w="1547" w:type="dxa"/>
            <w:shd w:val="clear" w:color="auto" w:fill="D9E2F3"/>
            <w:vAlign w:val="center"/>
          </w:tcPr>
          <w:p w14:paraId="6EE66090"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(6)</w:t>
            </w:r>
            <w:r w:rsidRPr="00EA1CDA">
              <w:rPr>
                <w:color w:val="000000"/>
                <w:sz w:val="20"/>
                <w:szCs w:val="20"/>
              </w:rPr>
              <w:t xml:space="preserve"> T-10.781.205</w:t>
            </w:r>
          </w:p>
        </w:tc>
        <w:tc>
          <w:tcPr>
            <w:tcW w:w="3921" w:type="dxa"/>
          </w:tcPr>
          <w:p w14:paraId="6EE66091"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w:t>
            </w:r>
            <w:r w:rsidRPr="00EA1CDA">
              <w:rPr>
                <w:color w:val="000000"/>
                <w:sz w:val="20"/>
                <w:szCs w:val="20"/>
              </w:rPr>
              <w:t>. Ordena la entrega del medicamento en el término de 48 horas y el tratamiento integral. Además, dispone la desvinculación de la ADRES.</w:t>
            </w:r>
          </w:p>
        </w:tc>
        <w:tc>
          <w:tcPr>
            <w:tcW w:w="3360" w:type="dxa"/>
            <w:vAlign w:val="center"/>
          </w:tcPr>
          <w:p w14:paraId="6EE66092"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97" w14:textId="77777777">
        <w:tc>
          <w:tcPr>
            <w:tcW w:w="1547" w:type="dxa"/>
            <w:shd w:val="clear" w:color="auto" w:fill="D9E2F3"/>
            <w:vAlign w:val="center"/>
          </w:tcPr>
          <w:p w14:paraId="6EE66094"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(7)</w:t>
            </w:r>
            <w:r w:rsidRPr="00EA1CDA">
              <w:rPr>
                <w:color w:val="000000"/>
                <w:sz w:val="20"/>
                <w:szCs w:val="20"/>
              </w:rPr>
              <w:t xml:space="preserve"> T-10.781.215</w:t>
            </w:r>
          </w:p>
        </w:tc>
        <w:tc>
          <w:tcPr>
            <w:tcW w:w="3921" w:type="dxa"/>
          </w:tcPr>
          <w:p w14:paraId="6EE66095"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w:t>
            </w:r>
            <w:r w:rsidRPr="00EA1CDA">
              <w:rPr>
                <w:color w:val="000000"/>
                <w:sz w:val="20"/>
                <w:szCs w:val="20"/>
              </w:rPr>
              <w:t>. Ordena la entrega del medicamento durante todo el tiempo previsto por el médico tratante (3 meses). No obstante, no accede al tratamiento integral. Además, desvincula a las personas involucradas, excepto a la EPS condenada.</w:t>
            </w:r>
          </w:p>
        </w:tc>
        <w:tc>
          <w:tcPr>
            <w:tcW w:w="3360" w:type="dxa"/>
            <w:vAlign w:val="center"/>
          </w:tcPr>
          <w:p w14:paraId="6EE66096"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9B" w14:textId="77777777">
        <w:tc>
          <w:tcPr>
            <w:tcW w:w="1547" w:type="dxa"/>
            <w:shd w:val="clear" w:color="auto" w:fill="D9E2F3"/>
            <w:vAlign w:val="center"/>
          </w:tcPr>
          <w:p w14:paraId="6EE66098"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(8)</w:t>
            </w:r>
            <w:r w:rsidRPr="00EA1CDA">
              <w:rPr>
                <w:color w:val="000000"/>
                <w:sz w:val="20"/>
                <w:szCs w:val="20"/>
              </w:rPr>
              <w:t xml:space="preserve"> T-10.781.400</w:t>
            </w:r>
          </w:p>
        </w:tc>
        <w:tc>
          <w:tcPr>
            <w:tcW w:w="3921" w:type="dxa"/>
          </w:tcPr>
          <w:p w14:paraId="6EE66099"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w:t>
            </w:r>
            <w:r w:rsidRPr="00EA1CDA">
              <w:rPr>
                <w:color w:val="000000"/>
                <w:sz w:val="20"/>
                <w:szCs w:val="20"/>
              </w:rPr>
              <w:t xml:space="preserve">. Ordena la entrega de los medicamentos en 48 horas, para que sean inyectados por la IPS destinada para ese efecto. Además, concedió el tratamiento integral. </w:t>
            </w:r>
          </w:p>
        </w:tc>
        <w:tc>
          <w:tcPr>
            <w:tcW w:w="3360" w:type="dxa"/>
          </w:tcPr>
          <w:p w14:paraId="6EE6609A"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Confirma íntegramente.</w:t>
            </w:r>
            <w:r w:rsidRPr="00EA1CDA">
              <w:rPr>
                <w:color w:val="000000"/>
                <w:sz w:val="20"/>
                <w:szCs w:val="20"/>
              </w:rPr>
              <w:t xml:space="preserve"> Al resolver la impugnación de la EPS respecto de la orden de tratamiento integral y de la solicitud de exoneración de la responsabilidad de la EPS en el asunto.</w:t>
            </w:r>
          </w:p>
        </w:tc>
      </w:tr>
      <w:tr w:rsidR="00600EE1" w:rsidRPr="00EA1CDA" w14:paraId="6EE6609F" w14:textId="77777777">
        <w:tc>
          <w:tcPr>
            <w:tcW w:w="1547" w:type="dxa"/>
            <w:shd w:val="clear" w:color="auto" w:fill="D9E2F3"/>
            <w:vAlign w:val="center"/>
          </w:tcPr>
          <w:p w14:paraId="6EE6609C"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(9)</w:t>
            </w:r>
            <w:r w:rsidRPr="00EA1CDA">
              <w:rPr>
                <w:color w:val="000000"/>
                <w:sz w:val="20"/>
                <w:szCs w:val="20"/>
              </w:rPr>
              <w:t xml:space="preserve"> T-10.785.672</w:t>
            </w:r>
          </w:p>
        </w:tc>
        <w:tc>
          <w:tcPr>
            <w:tcW w:w="3921" w:type="dxa"/>
          </w:tcPr>
          <w:p w14:paraId="6EE6609D"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 parcialmente</w:t>
            </w:r>
            <w:r w:rsidRPr="00EA1CDA">
              <w:rPr>
                <w:color w:val="000000"/>
                <w:sz w:val="20"/>
                <w:szCs w:val="20"/>
              </w:rPr>
              <w:t xml:space="preserve">. Ordena la entrega de los medicamentos pendientes. Respecto de los que fueron entregados durante el trámite de tutela, así como de la programación de consultas, declara carencia actual de objeto por hecho superado. </w:t>
            </w:r>
          </w:p>
        </w:tc>
        <w:tc>
          <w:tcPr>
            <w:tcW w:w="3360" w:type="dxa"/>
            <w:vAlign w:val="center"/>
          </w:tcPr>
          <w:p w14:paraId="6EE6609E"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A3" w14:textId="77777777">
        <w:tc>
          <w:tcPr>
            <w:tcW w:w="1547" w:type="dxa"/>
            <w:shd w:val="clear" w:color="auto" w:fill="D9E2F3"/>
            <w:vAlign w:val="center"/>
          </w:tcPr>
          <w:p w14:paraId="6EE660A0"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(10)</w:t>
            </w:r>
            <w:r w:rsidRPr="00EA1CDA">
              <w:rPr>
                <w:color w:val="000000"/>
                <w:sz w:val="20"/>
                <w:szCs w:val="20"/>
              </w:rPr>
              <w:t xml:space="preserve"> T-10.785.910</w:t>
            </w:r>
          </w:p>
        </w:tc>
        <w:tc>
          <w:tcPr>
            <w:tcW w:w="3921" w:type="dxa"/>
          </w:tcPr>
          <w:p w14:paraId="6EE660A1"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Niega</w:t>
            </w:r>
            <w:r w:rsidRPr="00EA1CDA">
              <w:rPr>
                <w:color w:val="000000"/>
                <w:sz w:val="20"/>
                <w:szCs w:val="20"/>
              </w:rPr>
              <w:t xml:space="preserve">. Advirtió carencia actual de objeto por hecho superado. Así mismo negó la solicitud de tratamiento integral. </w:t>
            </w:r>
          </w:p>
        </w:tc>
        <w:tc>
          <w:tcPr>
            <w:tcW w:w="3360" w:type="dxa"/>
            <w:vAlign w:val="center"/>
          </w:tcPr>
          <w:p w14:paraId="6EE660A2"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A7" w14:textId="77777777">
        <w:tc>
          <w:tcPr>
            <w:tcW w:w="1547" w:type="dxa"/>
            <w:shd w:val="clear" w:color="auto" w:fill="D9E2F3"/>
            <w:vAlign w:val="center"/>
          </w:tcPr>
          <w:p w14:paraId="6EE660A4"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(11)</w:t>
            </w:r>
            <w:r w:rsidRPr="00EA1CDA">
              <w:rPr>
                <w:color w:val="000000"/>
                <w:sz w:val="20"/>
                <w:szCs w:val="20"/>
              </w:rPr>
              <w:t xml:space="preserve"> T-10.787.792</w:t>
            </w:r>
          </w:p>
        </w:tc>
        <w:tc>
          <w:tcPr>
            <w:tcW w:w="3921" w:type="dxa"/>
          </w:tcPr>
          <w:p w14:paraId="6EE660A5"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Declara improcedente</w:t>
            </w:r>
            <w:r w:rsidRPr="00EA1CDA">
              <w:rPr>
                <w:color w:val="000000"/>
                <w:sz w:val="20"/>
                <w:szCs w:val="20"/>
              </w:rPr>
              <w:t xml:space="preserve">. Esto, por carencia actual de objeto por hecho superado. </w:t>
            </w:r>
          </w:p>
        </w:tc>
        <w:tc>
          <w:tcPr>
            <w:tcW w:w="3360" w:type="dxa"/>
            <w:vAlign w:val="center"/>
          </w:tcPr>
          <w:p w14:paraId="6EE660A6"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AB" w14:textId="77777777">
        <w:tc>
          <w:tcPr>
            <w:tcW w:w="1547" w:type="dxa"/>
            <w:shd w:val="clear" w:color="auto" w:fill="D9E2F3"/>
            <w:vAlign w:val="center"/>
          </w:tcPr>
          <w:p w14:paraId="6EE660A8"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(12)</w:t>
            </w:r>
            <w:r w:rsidRPr="00EA1CDA">
              <w:rPr>
                <w:color w:val="000000"/>
                <w:sz w:val="20"/>
                <w:szCs w:val="20"/>
              </w:rPr>
              <w:t xml:space="preserve"> T-10.791.762</w:t>
            </w:r>
          </w:p>
        </w:tc>
        <w:tc>
          <w:tcPr>
            <w:tcW w:w="3921" w:type="dxa"/>
          </w:tcPr>
          <w:p w14:paraId="6EE660A9"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w:t>
            </w:r>
            <w:r w:rsidRPr="00EA1CDA">
              <w:rPr>
                <w:color w:val="000000"/>
                <w:sz w:val="20"/>
                <w:szCs w:val="20"/>
              </w:rPr>
              <w:t xml:space="preserve">. Otorgó a la EPS 48 horas para la entrega del medicamento a través de cualquiera de las IPS de su red de prestadores. Además, desvinculó a AUDIFARMA. </w:t>
            </w:r>
          </w:p>
        </w:tc>
        <w:tc>
          <w:tcPr>
            <w:tcW w:w="3360" w:type="dxa"/>
            <w:vAlign w:val="center"/>
          </w:tcPr>
          <w:p w14:paraId="6EE660AA"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AF" w14:textId="77777777">
        <w:tc>
          <w:tcPr>
            <w:tcW w:w="1547" w:type="dxa"/>
            <w:shd w:val="clear" w:color="auto" w:fill="D9E2F3"/>
            <w:vAlign w:val="center"/>
          </w:tcPr>
          <w:p w14:paraId="6EE660AC"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(13)</w:t>
            </w:r>
            <w:r w:rsidRPr="00EA1CDA">
              <w:rPr>
                <w:color w:val="000000"/>
                <w:sz w:val="20"/>
                <w:szCs w:val="20"/>
              </w:rPr>
              <w:t xml:space="preserve"> T-10.790.526</w:t>
            </w:r>
          </w:p>
        </w:tc>
        <w:tc>
          <w:tcPr>
            <w:tcW w:w="3921" w:type="dxa"/>
          </w:tcPr>
          <w:p w14:paraId="6EE660AD"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 parcialmente</w:t>
            </w:r>
            <w:r w:rsidRPr="00EA1CDA">
              <w:rPr>
                <w:color w:val="000000"/>
                <w:sz w:val="20"/>
                <w:szCs w:val="20"/>
              </w:rPr>
              <w:t>. Ordena a la EPS la entrega del medicamento en el término de 48 horas mediante AUDIFARMA u otra IPS, sin lugar a copago o cuota moderadora. Negó la atención integral.</w:t>
            </w:r>
          </w:p>
        </w:tc>
        <w:tc>
          <w:tcPr>
            <w:tcW w:w="3360" w:type="dxa"/>
            <w:vAlign w:val="center"/>
          </w:tcPr>
          <w:p w14:paraId="6EE660AE"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B3" w14:textId="77777777">
        <w:tc>
          <w:tcPr>
            <w:tcW w:w="1547" w:type="dxa"/>
            <w:shd w:val="clear" w:color="auto" w:fill="D9E2F3"/>
            <w:vAlign w:val="center"/>
          </w:tcPr>
          <w:p w14:paraId="6EE660B0"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(14)</w:t>
            </w:r>
            <w:r w:rsidRPr="00EA1CDA">
              <w:rPr>
                <w:color w:val="000000"/>
                <w:sz w:val="20"/>
                <w:szCs w:val="20"/>
              </w:rPr>
              <w:t xml:space="preserve"> T-10.787.409</w:t>
            </w:r>
          </w:p>
        </w:tc>
        <w:tc>
          <w:tcPr>
            <w:tcW w:w="3921" w:type="dxa"/>
          </w:tcPr>
          <w:p w14:paraId="6EE660B1"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 parcialmente</w:t>
            </w:r>
            <w:r w:rsidRPr="00EA1CDA">
              <w:rPr>
                <w:color w:val="000000"/>
                <w:sz w:val="20"/>
                <w:szCs w:val="20"/>
              </w:rPr>
              <w:t xml:space="preserve">. Otorgó a la EPS 48 horas para garantizar la entrega ininterrumpida de los medicamentos. En caso de desabastecimiento, deberá agendar cita médica </w:t>
            </w:r>
            <w:r w:rsidRPr="00EA1CDA">
              <w:rPr>
                <w:color w:val="000000"/>
                <w:sz w:val="20"/>
                <w:szCs w:val="20"/>
              </w:rPr>
              <w:lastRenderedPageBreak/>
              <w:t xml:space="preserve">para efectuar estudio de bioequivalencia. Negó el servicio de cuidador permanente y el tratamiento integral. </w:t>
            </w:r>
          </w:p>
        </w:tc>
        <w:tc>
          <w:tcPr>
            <w:tcW w:w="3360" w:type="dxa"/>
            <w:vAlign w:val="center"/>
          </w:tcPr>
          <w:p w14:paraId="6EE660B2" w14:textId="6B0DC29D"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lastRenderedPageBreak/>
              <w:t>Modificó la sentencia impugnada.</w:t>
            </w:r>
            <w:r w:rsidRPr="00EA1CDA">
              <w:rPr>
                <w:color w:val="000000"/>
                <w:sz w:val="20"/>
                <w:szCs w:val="20"/>
              </w:rPr>
              <w:t xml:space="preserve"> Ordenó a la EPS la entrega ininterrumpida de los medicamentos, para lo cual, de ser necesario deberá </w:t>
            </w:r>
            <w:r w:rsidRPr="00EA1CDA">
              <w:rPr>
                <w:color w:val="000000"/>
                <w:sz w:val="20"/>
                <w:szCs w:val="20"/>
              </w:rPr>
              <w:lastRenderedPageBreak/>
              <w:t xml:space="preserve">solicitarlos al </w:t>
            </w:r>
            <w:r w:rsidR="00AC7805" w:rsidRPr="00EA1CDA">
              <w:rPr>
                <w:color w:val="000000"/>
                <w:sz w:val="20"/>
                <w:szCs w:val="20"/>
              </w:rPr>
              <w:t>Invima</w:t>
            </w:r>
            <w:r w:rsidRPr="00EA1CDA">
              <w:rPr>
                <w:color w:val="000000"/>
                <w:sz w:val="20"/>
                <w:szCs w:val="20"/>
              </w:rPr>
              <w:t xml:space="preserve">. En caso de desabastecimiento, hará el estudio de bioequivalencia. Además, determinará la pertinencia de un insumo y del servicio de cuidador, y proveerá tratamiento integral. </w:t>
            </w:r>
          </w:p>
        </w:tc>
      </w:tr>
      <w:tr w:rsidR="00600EE1" w:rsidRPr="00EA1CDA" w14:paraId="6EE660B7" w14:textId="77777777">
        <w:tc>
          <w:tcPr>
            <w:tcW w:w="1547" w:type="dxa"/>
            <w:shd w:val="clear" w:color="auto" w:fill="D9E2F3"/>
            <w:vAlign w:val="center"/>
          </w:tcPr>
          <w:p w14:paraId="6EE660B4"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lastRenderedPageBreak/>
              <w:t>(15)</w:t>
            </w:r>
            <w:r w:rsidRPr="00EA1CDA">
              <w:rPr>
                <w:color w:val="000000"/>
                <w:sz w:val="20"/>
                <w:szCs w:val="20"/>
              </w:rPr>
              <w:t xml:space="preserve"> T-10.796.422</w:t>
            </w:r>
          </w:p>
        </w:tc>
        <w:tc>
          <w:tcPr>
            <w:tcW w:w="3921" w:type="dxa"/>
          </w:tcPr>
          <w:p w14:paraId="6EE660B5"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w:t>
            </w:r>
            <w:r w:rsidRPr="00EA1CDA">
              <w:rPr>
                <w:color w:val="000000"/>
                <w:sz w:val="20"/>
                <w:szCs w:val="20"/>
              </w:rPr>
              <w:t xml:space="preserve"> Ordenó a la EPS e IPS el suministro del medicamento y el tratamiento integral. </w:t>
            </w:r>
          </w:p>
        </w:tc>
        <w:tc>
          <w:tcPr>
            <w:tcW w:w="3360" w:type="dxa"/>
            <w:vAlign w:val="center"/>
          </w:tcPr>
          <w:p w14:paraId="6EE660B6"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Modificó parcialmente la sentencia impugnada.</w:t>
            </w:r>
            <w:r w:rsidRPr="00EA1CDA">
              <w:rPr>
                <w:color w:val="000000"/>
                <w:sz w:val="20"/>
                <w:szCs w:val="20"/>
              </w:rPr>
              <w:t xml:space="preserve"> Ordenó a la EPS la entrega efectiva del medicamento en 48 horas a través de cualquiera de las instituciones de su red de prestadores. Confirma en lo demás.</w:t>
            </w:r>
          </w:p>
        </w:tc>
      </w:tr>
      <w:tr w:rsidR="00600EE1" w:rsidRPr="00EA1CDA" w14:paraId="6EE660BB" w14:textId="77777777">
        <w:tc>
          <w:tcPr>
            <w:tcW w:w="1547" w:type="dxa"/>
            <w:shd w:val="clear" w:color="auto" w:fill="D9E2F3"/>
            <w:vAlign w:val="center"/>
          </w:tcPr>
          <w:p w14:paraId="6EE660B8"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(16)</w:t>
            </w:r>
            <w:r w:rsidRPr="00EA1CDA">
              <w:rPr>
                <w:color w:val="000000"/>
                <w:sz w:val="20"/>
                <w:szCs w:val="20"/>
              </w:rPr>
              <w:t xml:space="preserve"> T-10.796.578</w:t>
            </w:r>
          </w:p>
        </w:tc>
        <w:tc>
          <w:tcPr>
            <w:tcW w:w="3921" w:type="dxa"/>
          </w:tcPr>
          <w:p w14:paraId="6EE660B9" w14:textId="77777777" w:rsidR="00600EE1" w:rsidRPr="00EA1CDA" w:rsidRDefault="00551339">
            <w:pPr>
              <w:widowControl w:val="0"/>
              <w:tabs>
                <w:tab w:val="left" w:pos="426"/>
              </w:tabs>
              <w:jc w:val="both"/>
              <w:rPr>
                <w:sz w:val="20"/>
                <w:szCs w:val="20"/>
              </w:rPr>
            </w:pPr>
            <w:r w:rsidRPr="00EA1CDA">
              <w:rPr>
                <w:b/>
                <w:sz w:val="20"/>
                <w:szCs w:val="20"/>
              </w:rPr>
              <w:t>Concede.</w:t>
            </w:r>
            <w:r w:rsidRPr="00EA1CDA">
              <w:rPr>
                <w:sz w:val="20"/>
                <w:szCs w:val="20"/>
              </w:rPr>
              <w:t xml:space="preserve"> Ordenó a la EPS y </w:t>
            </w:r>
            <w:proofErr w:type="spellStart"/>
            <w:r w:rsidRPr="00EA1CDA">
              <w:rPr>
                <w:sz w:val="20"/>
                <w:szCs w:val="20"/>
              </w:rPr>
              <w:t>Discolmets</w:t>
            </w:r>
            <w:proofErr w:type="spellEnd"/>
            <w:r w:rsidRPr="00EA1CDA">
              <w:rPr>
                <w:sz w:val="20"/>
                <w:szCs w:val="20"/>
              </w:rPr>
              <w:t xml:space="preserve"> S.A.S. que, en 48 horas, entreguen los medicamentos. </w:t>
            </w:r>
          </w:p>
        </w:tc>
        <w:tc>
          <w:tcPr>
            <w:tcW w:w="3360" w:type="dxa"/>
            <w:vAlign w:val="center"/>
          </w:tcPr>
          <w:p w14:paraId="6EE660BA"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color w:val="000000"/>
                <w:sz w:val="20"/>
                <w:szCs w:val="20"/>
              </w:rPr>
              <w:t>Decisión no impugnada</w:t>
            </w:r>
          </w:p>
        </w:tc>
      </w:tr>
      <w:tr w:rsidR="00600EE1" w:rsidRPr="00EA1CDA" w14:paraId="6EE660BF" w14:textId="77777777">
        <w:tc>
          <w:tcPr>
            <w:tcW w:w="1547" w:type="dxa"/>
            <w:shd w:val="clear" w:color="auto" w:fill="D9E2F3"/>
            <w:vAlign w:val="center"/>
          </w:tcPr>
          <w:p w14:paraId="6EE660BC"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(17)</w:t>
            </w:r>
            <w:r w:rsidRPr="00EA1CDA">
              <w:rPr>
                <w:color w:val="000000"/>
                <w:sz w:val="20"/>
                <w:szCs w:val="20"/>
              </w:rPr>
              <w:t xml:space="preserve"> T-10.796.598</w:t>
            </w:r>
          </w:p>
        </w:tc>
        <w:tc>
          <w:tcPr>
            <w:tcW w:w="3921" w:type="dxa"/>
          </w:tcPr>
          <w:p w14:paraId="6EE660BD"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 xml:space="preserve">Concede. </w:t>
            </w:r>
            <w:r w:rsidRPr="00EA1CDA">
              <w:rPr>
                <w:color w:val="000000"/>
                <w:sz w:val="20"/>
                <w:szCs w:val="20"/>
              </w:rPr>
              <w:t xml:space="preserve">Ordena la entrega del medicamento y el tratamiento integral. </w:t>
            </w:r>
          </w:p>
        </w:tc>
        <w:tc>
          <w:tcPr>
            <w:tcW w:w="3360" w:type="dxa"/>
            <w:vAlign w:val="bottom"/>
          </w:tcPr>
          <w:p w14:paraId="6EE660BE"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Modificó parcialmente la sentencia impugnada.</w:t>
            </w:r>
            <w:r w:rsidRPr="00EA1CDA">
              <w:rPr>
                <w:color w:val="000000"/>
                <w:sz w:val="20"/>
                <w:szCs w:val="20"/>
              </w:rPr>
              <w:t xml:space="preserve"> Ordena a la EPS que en el término de 48 horas garantice el suministro mensual del medicamento y el tratamiento integral. </w:t>
            </w:r>
          </w:p>
        </w:tc>
      </w:tr>
      <w:tr w:rsidR="00600EE1" w:rsidRPr="00EA1CDA" w14:paraId="6EE660C3" w14:textId="77777777">
        <w:tc>
          <w:tcPr>
            <w:tcW w:w="1547" w:type="dxa"/>
            <w:shd w:val="clear" w:color="auto" w:fill="D9E2F3"/>
            <w:vAlign w:val="center"/>
          </w:tcPr>
          <w:p w14:paraId="6EE660C0"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(18)</w:t>
            </w:r>
            <w:r w:rsidRPr="00EA1CDA">
              <w:rPr>
                <w:color w:val="000000"/>
                <w:sz w:val="20"/>
                <w:szCs w:val="20"/>
              </w:rPr>
              <w:t xml:space="preserve"> T-10.800.631</w:t>
            </w:r>
          </w:p>
        </w:tc>
        <w:tc>
          <w:tcPr>
            <w:tcW w:w="3921" w:type="dxa"/>
          </w:tcPr>
          <w:p w14:paraId="6EE660C1"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 xml:space="preserve">Niega. </w:t>
            </w:r>
            <w:r w:rsidRPr="00EA1CDA">
              <w:rPr>
                <w:color w:val="000000"/>
                <w:sz w:val="20"/>
                <w:szCs w:val="20"/>
              </w:rPr>
              <w:t>Declaró la carencia actual de objeto por hecho superado frente a la entrega del medicamento y negó el tratamiento integral, pues una negativa en la entrega de un medicamento no lo sustenta.</w:t>
            </w:r>
          </w:p>
        </w:tc>
        <w:tc>
          <w:tcPr>
            <w:tcW w:w="3360" w:type="dxa"/>
            <w:vAlign w:val="center"/>
          </w:tcPr>
          <w:p w14:paraId="6EE660C2"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C7" w14:textId="77777777">
        <w:tc>
          <w:tcPr>
            <w:tcW w:w="1547" w:type="dxa"/>
            <w:shd w:val="clear" w:color="auto" w:fill="D9E2F3"/>
            <w:vAlign w:val="center"/>
          </w:tcPr>
          <w:p w14:paraId="6EE660C4"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(19)</w:t>
            </w:r>
            <w:r w:rsidRPr="00EA1CDA">
              <w:rPr>
                <w:color w:val="000000"/>
                <w:sz w:val="20"/>
                <w:szCs w:val="20"/>
              </w:rPr>
              <w:t xml:space="preserve"> T-10.800.758</w:t>
            </w:r>
          </w:p>
        </w:tc>
        <w:tc>
          <w:tcPr>
            <w:tcW w:w="3921" w:type="dxa"/>
          </w:tcPr>
          <w:p w14:paraId="6EE660C5"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Concede parcialmente</w:t>
            </w:r>
            <w:r w:rsidRPr="00EA1CDA">
              <w:rPr>
                <w:color w:val="000000"/>
                <w:sz w:val="20"/>
                <w:szCs w:val="20"/>
              </w:rPr>
              <w:t xml:space="preserve">. Declaró el hecho superado frente a la entrega de los medicamentos, concedió el tratamiento integral y se abstuvo de pronunciarse sobre la facultad de recobro. </w:t>
            </w:r>
          </w:p>
        </w:tc>
        <w:tc>
          <w:tcPr>
            <w:tcW w:w="3360" w:type="dxa"/>
            <w:vAlign w:val="center"/>
          </w:tcPr>
          <w:p w14:paraId="6EE660C6"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CB" w14:textId="77777777">
        <w:tc>
          <w:tcPr>
            <w:tcW w:w="1547" w:type="dxa"/>
            <w:shd w:val="clear" w:color="auto" w:fill="D9E2F3"/>
            <w:vAlign w:val="center"/>
          </w:tcPr>
          <w:p w14:paraId="6EE660C8"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(20)</w:t>
            </w:r>
            <w:r w:rsidRPr="00EA1CDA">
              <w:rPr>
                <w:color w:val="000000"/>
                <w:sz w:val="20"/>
                <w:szCs w:val="20"/>
              </w:rPr>
              <w:t xml:space="preserve"> T-10.800.834</w:t>
            </w:r>
          </w:p>
        </w:tc>
        <w:tc>
          <w:tcPr>
            <w:tcW w:w="3921" w:type="dxa"/>
          </w:tcPr>
          <w:p w14:paraId="6EE660C9"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 xml:space="preserve">Concede. </w:t>
            </w:r>
            <w:r w:rsidRPr="00EA1CDA">
              <w:rPr>
                <w:color w:val="000000"/>
                <w:sz w:val="20"/>
                <w:szCs w:val="20"/>
              </w:rPr>
              <w:t>Otorgó a la EPS 48 horas para el suministro del medicamento y para presentar un informe al respecto. Además, desvinculó a Cafam, Secretaría Distrital de Salud, Administradora de los Recursos del Sistema General de Seguridad Social en Salud (Adres) y Bienestar IPS.</w:t>
            </w:r>
          </w:p>
        </w:tc>
        <w:tc>
          <w:tcPr>
            <w:tcW w:w="3360" w:type="dxa"/>
            <w:vAlign w:val="center"/>
          </w:tcPr>
          <w:p w14:paraId="6EE660CA"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CF" w14:textId="77777777">
        <w:tc>
          <w:tcPr>
            <w:tcW w:w="1547" w:type="dxa"/>
            <w:shd w:val="clear" w:color="auto" w:fill="D9E2F3"/>
            <w:vAlign w:val="center"/>
          </w:tcPr>
          <w:p w14:paraId="6EE660CC"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(21)</w:t>
            </w:r>
            <w:r w:rsidRPr="00EA1CDA">
              <w:rPr>
                <w:color w:val="000000"/>
                <w:sz w:val="20"/>
                <w:szCs w:val="20"/>
              </w:rPr>
              <w:t xml:space="preserve"> T-10.803.623</w:t>
            </w:r>
          </w:p>
        </w:tc>
        <w:tc>
          <w:tcPr>
            <w:tcW w:w="3921" w:type="dxa"/>
          </w:tcPr>
          <w:p w14:paraId="6EE660CD"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 xml:space="preserve">Concede. </w:t>
            </w:r>
            <w:r w:rsidRPr="00EA1CDA">
              <w:rPr>
                <w:color w:val="000000"/>
                <w:sz w:val="20"/>
                <w:szCs w:val="20"/>
              </w:rPr>
              <w:t xml:space="preserve">Ordenó a la EPS que en el término de 48 horas garantice la entrega del medicamento reformulado e informe del cumplimiento del fallo. </w:t>
            </w:r>
          </w:p>
        </w:tc>
        <w:tc>
          <w:tcPr>
            <w:tcW w:w="3360" w:type="dxa"/>
            <w:vAlign w:val="center"/>
          </w:tcPr>
          <w:p w14:paraId="6EE660CE"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D3" w14:textId="77777777">
        <w:tc>
          <w:tcPr>
            <w:tcW w:w="1547" w:type="dxa"/>
            <w:shd w:val="clear" w:color="auto" w:fill="D9E2F3"/>
            <w:vAlign w:val="center"/>
          </w:tcPr>
          <w:p w14:paraId="6EE660D0"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(22)</w:t>
            </w:r>
            <w:r w:rsidRPr="00EA1CDA">
              <w:rPr>
                <w:color w:val="000000"/>
                <w:sz w:val="20"/>
                <w:szCs w:val="20"/>
              </w:rPr>
              <w:t xml:space="preserve"> T-10.803.921</w:t>
            </w:r>
          </w:p>
        </w:tc>
        <w:tc>
          <w:tcPr>
            <w:tcW w:w="3921" w:type="dxa"/>
          </w:tcPr>
          <w:p w14:paraId="6EE660D1"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Niega</w:t>
            </w:r>
            <w:r w:rsidRPr="00EA1CDA">
              <w:rPr>
                <w:color w:val="000000"/>
                <w:sz w:val="20"/>
                <w:szCs w:val="20"/>
              </w:rPr>
              <w:t xml:space="preserve">. Declaró hecho superado, pero ordenó a las accionadas no incurrir de nuevo en la omisión que originó la tutela. </w:t>
            </w:r>
          </w:p>
        </w:tc>
        <w:tc>
          <w:tcPr>
            <w:tcW w:w="3360" w:type="dxa"/>
            <w:vAlign w:val="center"/>
          </w:tcPr>
          <w:p w14:paraId="6EE660D2"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D7" w14:textId="77777777">
        <w:tc>
          <w:tcPr>
            <w:tcW w:w="1547" w:type="dxa"/>
            <w:shd w:val="clear" w:color="auto" w:fill="D9E2F3"/>
            <w:vAlign w:val="center"/>
          </w:tcPr>
          <w:p w14:paraId="6EE660D4"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(23)</w:t>
            </w:r>
            <w:r w:rsidRPr="00EA1CDA">
              <w:rPr>
                <w:color w:val="000000"/>
                <w:sz w:val="20"/>
                <w:szCs w:val="20"/>
              </w:rPr>
              <w:t xml:space="preserve"> T-10.810.117</w:t>
            </w:r>
          </w:p>
        </w:tc>
        <w:tc>
          <w:tcPr>
            <w:tcW w:w="3921" w:type="dxa"/>
          </w:tcPr>
          <w:p w14:paraId="6EE660D5"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 xml:space="preserve">Concede parcialmente. </w:t>
            </w:r>
            <w:r w:rsidRPr="00EA1CDA">
              <w:rPr>
                <w:color w:val="000000"/>
                <w:sz w:val="20"/>
                <w:szCs w:val="20"/>
              </w:rPr>
              <w:t xml:space="preserve">Ordenó a la EPS e IPS que en 48 horas suministren los medicamentos, pero negó el tratamiento integral. </w:t>
            </w:r>
          </w:p>
        </w:tc>
        <w:tc>
          <w:tcPr>
            <w:tcW w:w="3360" w:type="dxa"/>
            <w:vAlign w:val="bottom"/>
          </w:tcPr>
          <w:p w14:paraId="6EE660D6"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 xml:space="preserve">Modificó parcialmente la sentencia impugnada. </w:t>
            </w:r>
            <w:r w:rsidRPr="00EA1CDA">
              <w:rPr>
                <w:color w:val="000000"/>
                <w:sz w:val="20"/>
                <w:szCs w:val="20"/>
              </w:rPr>
              <w:t xml:space="preserve">Dirigió las órdenes en exclusiva a la EPS y concedió tratamiento integral. Además, absolvió a la IPS. </w:t>
            </w:r>
          </w:p>
        </w:tc>
      </w:tr>
      <w:tr w:rsidR="00600EE1" w:rsidRPr="00EA1CDA" w14:paraId="6EE660DB" w14:textId="77777777">
        <w:tc>
          <w:tcPr>
            <w:tcW w:w="1547" w:type="dxa"/>
            <w:shd w:val="clear" w:color="auto" w:fill="D9E2F3"/>
            <w:vAlign w:val="center"/>
          </w:tcPr>
          <w:p w14:paraId="6EE660D8"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(24)</w:t>
            </w:r>
            <w:r w:rsidRPr="00EA1CDA">
              <w:rPr>
                <w:color w:val="000000"/>
                <w:sz w:val="20"/>
                <w:szCs w:val="20"/>
              </w:rPr>
              <w:t xml:space="preserve"> T-10.810.192</w:t>
            </w:r>
          </w:p>
        </w:tc>
        <w:tc>
          <w:tcPr>
            <w:tcW w:w="3921" w:type="dxa"/>
          </w:tcPr>
          <w:p w14:paraId="6EE660D9"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 xml:space="preserve">Concede. </w:t>
            </w:r>
            <w:r w:rsidRPr="00EA1CDA">
              <w:rPr>
                <w:color w:val="000000"/>
                <w:sz w:val="20"/>
                <w:szCs w:val="20"/>
              </w:rPr>
              <w:t xml:space="preserve">Ordenó a la EPS la entrega de los medicamentos y el tratamiento integral. </w:t>
            </w:r>
          </w:p>
        </w:tc>
        <w:tc>
          <w:tcPr>
            <w:tcW w:w="3360" w:type="dxa"/>
            <w:vAlign w:val="center"/>
          </w:tcPr>
          <w:p w14:paraId="6EE660DA"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DF" w14:textId="77777777">
        <w:tc>
          <w:tcPr>
            <w:tcW w:w="1547" w:type="dxa"/>
            <w:shd w:val="clear" w:color="auto" w:fill="D9E2F3"/>
            <w:vAlign w:val="center"/>
          </w:tcPr>
          <w:p w14:paraId="6EE660DC"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(25)</w:t>
            </w:r>
            <w:r w:rsidRPr="00EA1CDA">
              <w:rPr>
                <w:color w:val="000000"/>
                <w:sz w:val="20"/>
                <w:szCs w:val="20"/>
              </w:rPr>
              <w:t xml:space="preserve"> T-10.811.379</w:t>
            </w:r>
          </w:p>
        </w:tc>
        <w:tc>
          <w:tcPr>
            <w:tcW w:w="3921" w:type="dxa"/>
          </w:tcPr>
          <w:p w14:paraId="6EE660DD"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 xml:space="preserve">Concede. </w:t>
            </w:r>
            <w:r w:rsidRPr="00EA1CDA">
              <w:rPr>
                <w:color w:val="000000"/>
                <w:sz w:val="20"/>
                <w:szCs w:val="20"/>
              </w:rPr>
              <w:t>Ordenó a la EPS entregar a la actora los medicamentos prescritos.</w:t>
            </w:r>
          </w:p>
        </w:tc>
        <w:tc>
          <w:tcPr>
            <w:tcW w:w="3360" w:type="dxa"/>
            <w:vAlign w:val="center"/>
          </w:tcPr>
          <w:p w14:paraId="6EE660DE"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E3" w14:textId="77777777">
        <w:tc>
          <w:tcPr>
            <w:tcW w:w="1547" w:type="dxa"/>
            <w:shd w:val="clear" w:color="auto" w:fill="D9E2F3"/>
            <w:vAlign w:val="center"/>
          </w:tcPr>
          <w:p w14:paraId="6EE660E0"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(26)</w:t>
            </w:r>
            <w:r w:rsidRPr="00EA1CDA">
              <w:rPr>
                <w:color w:val="000000"/>
                <w:sz w:val="20"/>
                <w:szCs w:val="20"/>
              </w:rPr>
              <w:t xml:space="preserve"> T-10.811.650</w:t>
            </w:r>
          </w:p>
        </w:tc>
        <w:tc>
          <w:tcPr>
            <w:tcW w:w="3921" w:type="dxa"/>
          </w:tcPr>
          <w:p w14:paraId="6EE660E1"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 xml:space="preserve">Concede parcialmente. </w:t>
            </w:r>
            <w:r w:rsidRPr="00EA1CDA">
              <w:rPr>
                <w:color w:val="000000"/>
                <w:sz w:val="20"/>
                <w:szCs w:val="20"/>
              </w:rPr>
              <w:t>Ordenó a la EPS entregar el medicamento y negó la solicitud de tratamiento integral.</w:t>
            </w:r>
          </w:p>
        </w:tc>
        <w:tc>
          <w:tcPr>
            <w:tcW w:w="3360" w:type="dxa"/>
            <w:vAlign w:val="center"/>
          </w:tcPr>
          <w:p w14:paraId="6EE660E2"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E7" w14:textId="77777777">
        <w:tc>
          <w:tcPr>
            <w:tcW w:w="1547" w:type="dxa"/>
            <w:shd w:val="clear" w:color="auto" w:fill="D9E2F3"/>
            <w:vAlign w:val="center"/>
          </w:tcPr>
          <w:p w14:paraId="6EE660E4"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(27)</w:t>
            </w:r>
            <w:r w:rsidRPr="00EA1CDA">
              <w:rPr>
                <w:color w:val="000000"/>
                <w:sz w:val="20"/>
                <w:szCs w:val="20"/>
              </w:rPr>
              <w:t xml:space="preserve"> T-10.811.732</w:t>
            </w:r>
          </w:p>
        </w:tc>
        <w:tc>
          <w:tcPr>
            <w:tcW w:w="3921" w:type="dxa"/>
          </w:tcPr>
          <w:p w14:paraId="6EE660E5"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 xml:space="preserve">Concede parcialmente. </w:t>
            </w:r>
            <w:r w:rsidRPr="00EA1CDA">
              <w:rPr>
                <w:color w:val="000000"/>
                <w:sz w:val="20"/>
                <w:szCs w:val="20"/>
              </w:rPr>
              <w:t>Ordenó a la EPS la entrega del medicamento y desvinculó al Ministerio de Salud y a Cafam. Advirtió que el tratamiento integral no era procedente.</w:t>
            </w:r>
          </w:p>
        </w:tc>
        <w:tc>
          <w:tcPr>
            <w:tcW w:w="3360" w:type="dxa"/>
            <w:vAlign w:val="center"/>
          </w:tcPr>
          <w:p w14:paraId="6EE660E6"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EB" w14:textId="77777777">
        <w:tc>
          <w:tcPr>
            <w:tcW w:w="1547" w:type="dxa"/>
            <w:shd w:val="clear" w:color="auto" w:fill="D9E2F3"/>
            <w:vAlign w:val="center"/>
          </w:tcPr>
          <w:p w14:paraId="6EE660E8"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(28)</w:t>
            </w:r>
            <w:r w:rsidRPr="00EA1CDA">
              <w:rPr>
                <w:color w:val="000000"/>
                <w:sz w:val="20"/>
                <w:szCs w:val="20"/>
              </w:rPr>
              <w:t xml:space="preserve"> T-10.814.534</w:t>
            </w:r>
          </w:p>
        </w:tc>
        <w:tc>
          <w:tcPr>
            <w:tcW w:w="3921" w:type="dxa"/>
          </w:tcPr>
          <w:p w14:paraId="6EE660E9"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 xml:space="preserve">Concede. </w:t>
            </w:r>
            <w:r w:rsidRPr="00EA1CDA">
              <w:rPr>
                <w:color w:val="000000"/>
                <w:sz w:val="20"/>
                <w:szCs w:val="20"/>
              </w:rPr>
              <w:t>Levantó la medida provisional y ordenó a la EPS la entrega del medicamento.</w:t>
            </w:r>
          </w:p>
        </w:tc>
        <w:tc>
          <w:tcPr>
            <w:tcW w:w="3360" w:type="dxa"/>
            <w:vAlign w:val="center"/>
          </w:tcPr>
          <w:p w14:paraId="6EE660EA"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EF" w14:textId="77777777">
        <w:tc>
          <w:tcPr>
            <w:tcW w:w="1547" w:type="dxa"/>
            <w:shd w:val="clear" w:color="auto" w:fill="D9E2F3"/>
            <w:vAlign w:val="center"/>
          </w:tcPr>
          <w:p w14:paraId="6EE660EC"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(29)</w:t>
            </w:r>
            <w:r w:rsidRPr="00EA1CDA">
              <w:rPr>
                <w:color w:val="000000"/>
                <w:sz w:val="20"/>
                <w:szCs w:val="20"/>
              </w:rPr>
              <w:t xml:space="preserve"> T-10.820.873</w:t>
            </w:r>
          </w:p>
        </w:tc>
        <w:tc>
          <w:tcPr>
            <w:tcW w:w="3921" w:type="dxa"/>
          </w:tcPr>
          <w:p w14:paraId="6EE660ED"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 xml:space="preserve">Concede. </w:t>
            </w:r>
            <w:r w:rsidRPr="00EA1CDA">
              <w:rPr>
                <w:color w:val="000000"/>
                <w:sz w:val="20"/>
                <w:szCs w:val="20"/>
              </w:rPr>
              <w:t xml:space="preserve">Ordenó cita con el especialista tratante para determinar una alternativa terapéutica. </w:t>
            </w:r>
          </w:p>
        </w:tc>
        <w:tc>
          <w:tcPr>
            <w:tcW w:w="3360" w:type="dxa"/>
            <w:vAlign w:val="center"/>
          </w:tcPr>
          <w:p w14:paraId="6EE660EE" w14:textId="77777777" w:rsidR="00600EE1" w:rsidRPr="00EA1CDA" w:rsidRDefault="00551339">
            <w:pPr>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t>Decisión no impugnada</w:t>
            </w:r>
          </w:p>
        </w:tc>
      </w:tr>
      <w:tr w:rsidR="00600EE1" w:rsidRPr="00EA1CDA" w14:paraId="6EE660F3" w14:textId="77777777">
        <w:tc>
          <w:tcPr>
            <w:tcW w:w="1547" w:type="dxa"/>
            <w:shd w:val="clear" w:color="auto" w:fill="D9E2F3"/>
            <w:vAlign w:val="center"/>
          </w:tcPr>
          <w:p w14:paraId="6EE660F0" w14:textId="77777777" w:rsidR="00600EE1" w:rsidRPr="00EA1CDA" w:rsidRDefault="00551339">
            <w:pPr>
              <w:widowControl w:val="0"/>
              <w:pBdr>
                <w:top w:val="nil"/>
                <w:left w:val="nil"/>
                <w:bottom w:val="nil"/>
                <w:right w:val="nil"/>
                <w:between w:val="nil"/>
              </w:pBdr>
              <w:ind w:left="-107" w:right="-108"/>
              <w:jc w:val="center"/>
              <w:rPr>
                <w:color w:val="000000"/>
                <w:sz w:val="20"/>
                <w:szCs w:val="20"/>
              </w:rPr>
            </w:pPr>
            <w:r w:rsidRPr="00EA1CDA">
              <w:rPr>
                <w:i/>
                <w:color w:val="000000"/>
                <w:sz w:val="20"/>
                <w:szCs w:val="20"/>
              </w:rPr>
              <w:t>(30)</w:t>
            </w:r>
            <w:r w:rsidRPr="00EA1CDA">
              <w:rPr>
                <w:color w:val="000000"/>
                <w:sz w:val="20"/>
                <w:szCs w:val="20"/>
              </w:rPr>
              <w:t xml:space="preserve"> T-10.821.146</w:t>
            </w:r>
          </w:p>
        </w:tc>
        <w:tc>
          <w:tcPr>
            <w:tcW w:w="3921" w:type="dxa"/>
          </w:tcPr>
          <w:p w14:paraId="6EE660F1" w14:textId="77777777" w:rsidR="00600EE1" w:rsidRPr="00EA1CDA" w:rsidRDefault="00551339">
            <w:pPr>
              <w:widowControl w:val="0"/>
              <w:pBdr>
                <w:top w:val="nil"/>
                <w:left w:val="nil"/>
                <w:bottom w:val="nil"/>
                <w:right w:val="nil"/>
                <w:between w:val="nil"/>
              </w:pBdr>
              <w:tabs>
                <w:tab w:val="left" w:pos="426"/>
              </w:tabs>
              <w:jc w:val="both"/>
              <w:rPr>
                <w:color w:val="000000"/>
                <w:sz w:val="20"/>
                <w:szCs w:val="20"/>
              </w:rPr>
            </w:pPr>
            <w:r w:rsidRPr="00EA1CDA">
              <w:rPr>
                <w:b/>
                <w:color w:val="000000"/>
                <w:sz w:val="20"/>
                <w:szCs w:val="20"/>
              </w:rPr>
              <w:t xml:space="preserve">Concede. </w:t>
            </w:r>
            <w:r w:rsidRPr="00EA1CDA">
              <w:rPr>
                <w:color w:val="000000"/>
                <w:sz w:val="20"/>
                <w:szCs w:val="20"/>
              </w:rPr>
              <w:t xml:space="preserve">Ordenó a la EPS autorizar y agendar </w:t>
            </w:r>
            <w:r w:rsidRPr="00EA1CDA">
              <w:rPr>
                <w:color w:val="000000"/>
                <w:sz w:val="20"/>
                <w:szCs w:val="20"/>
              </w:rPr>
              <w:lastRenderedPageBreak/>
              <w:t xml:space="preserve">de manera continua y sin interrupción los ciclos 3 y 4 de quimioterapia a favor del actor. </w:t>
            </w:r>
          </w:p>
        </w:tc>
        <w:tc>
          <w:tcPr>
            <w:tcW w:w="3360" w:type="dxa"/>
            <w:vAlign w:val="center"/>
          </w:tcPr>
          <w:p w14:paraId="6EE660F2" w14:textId="77777777" w:rsidR="00600EE1" w:rsidRPr="00EA1CDA" w:rsidRDefault="00551339" w:rsidP="00811B29">
            <w:pPr>
              <w:keepNext/>
              <w:widowControl w:val="0"/>
              <w:pBdr>
                <w:top w:val="nil"/>
                <w:left w:val="nil"/>
                <w:bottom w:val="nil"/>
                <w:right w:val="nil"/>
                <w:between w:val="nil"/>
              </w:pBdr>
              <w:tabs>
                <w:tab w:val="left" w:pos="426"/>
              </w:tabs>
              <w:jc w:val="center"/>
              <w:rPr>
                <w:color w:val="000000"/>
                <w:sz w:val="20"/>
                <w:szCs w:val="20"/>
              </w:rPr>
            </w:pPr>
            <w:r w:rsidRPr="00EA1CDA">
              <w:rPr>
                <w:color w:val="000000"/>
                <w:sz w:val="20"/>
                <w:szCs w:val="20"/>
              </w:rPr>
              <w:lastRenderedPageBreak/>
              <w:t>Decisión no impugnada</w:t>
            </w:r>
          </w:p>
        </w:tc>
      </w:tr>
    </w:tbl>
    <w:p w14:paraId="716B83A0" w14:textId="0AE688D1" w:rsidR="00616DBF" w:rsidRPr="00EA1CDA" w:rsidRDefault="00616DBF" w:rsidP="21FD5995">
      <w:pPr>
        <w:widowControl w:val="0"/>
        <w:pBdr>
          <w:top w:val="nil"/>
          <w:left w:val="nil"/>
          <w:bottom w:val="nil"/>
          <w:right w:val="nil"/>
          <w:between w:val="nil"/>
        </w:pBdr>
        <w:tabs>
          <w:tab w:val="left" w:pos="426"/>
        </w:tabs>
        <w:jc w:val="both"/>
        <w:rPr>
          <w:b/>
          <w:bCs/>
          <w:color w:val="000000"/>
          <w:sz w:val="28"/>
          <w:szCs w:val="28"/>
        </w:rPr>
      </w:pPr>
    </w:p>
    <w:p w14:paraId="6EE660F5" w14:textId="13396036" w:rsidR="00600EE1" w:rsidRPr="00EA1CDA" w:rsidRDefault="00551339">
      <w:pPr>
        <w:widowControl w:val="0"/>
        <w:pBdr>
          <w:top w:val="nil"/>
          <w:left w:val="nil"/>
          <w:bottom w:val="nil"/>
          <w:right w:val="nil"/>
          <w:between w:val="nil"/>
        </w:pBdr>
        <w:tabs>
          <w:tab w:val="left" w:pos="426"/>
        </w:tabs>
        <w:jc w:val="both"/>
        <w:rPr>
          <w:b/>
          <w:color w:val="000000"/>
          <w:sz w:val="28"/>
          <w:szCs w:val="28"/>
        </w:rPr>
      </w:pPr>
      <w:r w:rsidRPr="00EA1CDA">
        <w:rPr>
          <w:b/>
          <w:color w:val="000000"/>
          <w:sz w:val="28"/>
          <w:szCs w:val="28"/>
        </w:rPr>
        <w:t>3. Actuaciones en sede de revisión</w:t>
      </w:r>
    </w:p>
    <w:p w14:paraId="6EE660F6" w14:textId="77777777" w:rsidR="00600EE1" w:rsidRPr="00EA1CDA" w:rsidRDefault="00600EE1">
      <w:pPr>
        <w:widowControl w:val="0"/>
        <w:pBdr>
          <w:top w:val="nil"/>
          <w:left w:val="nil"/>
          <w:bottom w:val="nil"/>
          <w:right w:val="nil"/>
          <w:between w:val="nil"/>
        </w:pBdr>
        <w:tabs>
          <w:tab w:val="left" w:pos="426"/>
        </w:tabs>
        <w:jc w:val="both"/>
        <w:rPr>
          <w:i/>
          <w:color w:val="000000"/>
          <w:sz w:val="28"/>
          <w:szCs w:val="28"/>
        </w:rPr>
      </w:pPr>
    </w:p>
    <w:p w14:paraId="6EE660F7" w14:textId="298AD9BC" w:rsidR="00600EE1" w:rsidRPr="00EA1CDA" w:rsidRDefault="00DE7ACB">
      <w:pPr>
        <w:widowControl w:val="0"/>
        <w:numPr>
          <w:ilvl w:val="0"/>
          <w:numId w:val="1"/>
        </w:numPr>
        <w:pBdr>
          <w:top w:val="nil"/>
          <w:left w:val="nil"/>
          <w:bottom w:val="nil"/>
          <w:right w:val="nil"/>
          <w:between w:val="nil"/>
        </w:pBdr>
        <w:tabs>
          <w:tab w:val="left" w:pos="426"/>
        </w:tabs>
        <w:jc w:val="both"/>
        <w:rPr>
          <w:color w:val="000000"/>
          <w:sz w:val="28"/>
          <w:szCs w:val="28"/>
        </w:rPr>
      </w:pPr>
      <w:r w:rsidRPr="00EA1CDA">
        <w:rPr>
          <w:i/>
          <w:color w:val="000000"/>
          <w:sz w:val="28"/>
          <w:szCs w:val="28"/>
        </w:rPr>
        <w:t>Primer auto</w:t>
      </w:r>
      <w:r w:rsidR="00551339" w:rsidRPr="00EA1CDA">
        <w:rPr>
          <w:i/>
          <w:color w:val="000000"/>
          <w:sz w:val="28"/>
          <w:szCs w:val="28"/>
        </w:rPr>
        <w:t xml:space="preserve"> de pruebas. </w:t>
      </w:r>
      <w:r w:rsidR="00551339" w:rsidRPr="00EA1CDA">
        <w:rPr>
          <w:color w:val="000000"/>
          <w:sz w:val="28"/>
          <w:szCs w:val="28"/>
        </w:rPr>
        <w:t xml:space="preserve">Mediante </w:t>
      </w:r>
      <w:r w:rsidR="000C5F95" w:rsidRPr="00EA1CDA">
        <w:rPr>
          <w:color w:val="000000"/>
          <w:sz w:val="28"/>
          <w:szCs w:val="28"/>
        </w:rPr>
        <w:t>A</w:t>
      </w:r>
      <w:r w:rsidR="00551339" w:rsidRPr="00EA1CDA">
        <w:rPr>
          <w:color w:val="000000"/>
          <w:sz w:val="28"/>
          <w:szCs w:val="28"/>
        </w:rPr>
        <w:t xml:space="preserve">uto del 17 de marzo de 2025, el magistrado sustanciador vinculó a terceros con interés, resolvió una solicitud y decretó pruebas de oficio respecto a asuntos estructurales, elementos de juicio comunes a los </w:t>
      </w:r>
      <w:r w:rsidR="00A545C2" w:rsidRPr="00EA1CDA">
        <w:rPr>
          <w:color w:val="000000"/>
          <w:sz w:val="28"/>
          <w:szCs w:val="28"/>
        </w:rPr>
        <w:t>30</w:t>
      </w:r>
      <w:r w:rsidR="00551339" w:rsidRPr="00EA1CDA">
        <w:rPr>
          <w:color w:val="000000"/>
          <w:sz w:val="28"/>
          <w:szCs w:val="28"/>
        </w:rPr>
        <w:t xml:space="preserve"> expedientes y aspectos particulares de algunos de ellos. Esto, con tres objetivos: (a) recaudar información </w:t>
      </w:r>
      <w:r w:rsidR="00B65FC4" w:rsidRPr="00EA1CDA">
        <w:rPr>
          <w:color w:val="000000"/>
          <w:sz w:val="28"/>
          <w:szCs w:val="28"/>
        </w:rPr>
        <w:t>en relación con</w:t>
      </w:r>
      <w:r w:rsidR="00551339" w:rsidRPr="00EA1CDA">
        <w:rPr>
          <w:color w:val="000000"/>
          <w:sz w:val="28"/>
          <w:szCs w:val="28"/>
        </w:rPr>
        <w:t xml:space="preserve"> cada uno de los expedientes, ante vacíos advertidos en los mismos; (b) identificar si la falta de suministro de los medicamentos persiste en la actualidad y sus efectos en cada uno de los casos concretos; y (c) precisar las particularidades y el alcance del fenómeno de desabastecimiento y la falta de disponibilidad de medicamentos en el país, como el rol </w:t>
      </w:r>
      <w:r w:rsidR="00286DE8" w:rsidRPr="00EA1CDA">
        <w:rPr>
          <w:color w:val="000000"/>
          <w:sz w:val="28"/>
          <w:szCs w:val="28"/>
        </w:rPr>
        <w:t>de cada uno de los agentes del sistema para asegurar la</w:t>
      </w:r>
      <w:r w:rsidR="00551339" w:rsidRPr="00EA1CDA">
        <w:rPr>
          <w:color w:val="000000"/>
          <w:sz w:val="28"/>
          <w:szCs w:val="28"/>
        </w:rPr>
        <w:t xml:space="preserve"> garantía del derecho a la salud</w:t>
      </w:r>
      <w:r w:rsidR="00286DE8" w:rsidRPr="00EA1CDA">
        <w:rPr>
          <w:color w:val="000000"/>
          <w:sz w:val="28"/>
          <w:szCs w:val="28"/>
        </w:rPr>
        <w:t xml:space="preserve"> en relación con la cadena de abastecimiento de </w:t>
      </w:r>
      <w:r w:rsidR="00B65FC4" w:rsidRPr="00EA1CDA">
        <w:rPr>
          <w:color w:val="000000"/>
          <w:sz w:val="28"/>
          <w:szCs w:val="28"/>
        </w:rPr>
        <w:t>aquellos</w:t>
      </w:r>
      <w:r w:rsidR="00980CC7" w:rsidRPr="00EA1CDA">
        <w:rPr>
          <w:rStyle w:val="Refdenotaalpie"/>
          <w:color w:val="000000"/>
          <w:sz w:val="28"/>
          <w:szCs w:val="28"/>
        </w:rPr>
        <w:footnoteReference w:id="14"/>
      </w:r>
      <w:r w:rsidR="00551339" w:rsidRPr="00EA1CDA">
        <w:rPr>
          <w:color w:val="000000"/>
          <w:sz w:val="28"/>
          <w:szCs w:val="28"/>
        </w:rPr>
        <w:t xml:space="preserve">. </w:t>
      </w:r>
    </w:p>
    <w:p w14:paraId="6EE660F8" w14:textId="77777777" w:rsidR="00600EE1" w:rsidRPr="00EA1CDA" w:rsidRDefault="00600EE1">
      <w:pPr>
        <w:widowControl w:val="0"/>
        <w:pBdr>
          <w:top w:val="nil"/>
          <w:left w:val="nil"/>
          <w:bottom w:val="nil"/>
          <w:right w:val="nil"/>
          <w:between w:val="nil"/>
        </w:pBdr>
        <w:tabs>
          <w:tab w:val="left" w:pos="426"/>
        </w:tabs>
        <w:jc w:val="both"/>
        <w:rPr>
          <w:color w:val="000000"/>
          <w:sz w:val="28"/>
          <w:szCs w:val="28"/>
        </w:rPr>
      </w:pPr>
    </w:p>
    <w:p w14:paraId="1AAAAFBB" w14:textId="77777777" w:rsidR="00780155" w:rsidRPr="00EA1CDA" w:rsidRDefault="00780155" w:rsidP="00780155">
      <w:pPr>
        <w:widowControl w:val="0"/>
        <w:numPr>
          <w:ilvl w:val="0"/>
          <w:numId w:val="1"/>
        </w:numPr>
        <w:pBdr>
          <w:top w:val="nil"/>
          <w:left w:val="nil"/>
          <w:bottom w:val="nil"/>
          <w:right w:val="nil"/>
          <w:between w:val="nil"/>
        </w:pBdr>
        <w:tabs>
          <w:tab w:val="left" w:pos="426"/>
        </w:tabs>
        <w:jc w:val="both"/>
      </w:pPr>
      <w:bookmarkStart w:id="4" w:name="_412bw4jjp6k9" w:colFirst="0" w:colLast="0"/>
      <w:bookmarkEnd w:id="4"/>
      <w:r w:rsidRPr="00EA1CDA">
        <w:rPr>
          <w:i/>
          <w:color w:val="000000"/>
          <w:sz w:val="28"/>
          <w:szCs w:val="28"/>
        </w:rPr>
        <w:t>Solicitud de medida provisional durante el trámite de revisión</w:t>
      </w:r>
      <w:r w:rsidRPr="00EA1CDA">
        <w:rPr>
          <w:color w:val="000000"/>
          <w:sz w:val="28"/>
          <w:szCs w:val="28"/>
        </w:rPr>
        <w:t xml:space="preserve">. Por otra parte, el 19 de marzo de 2025, la accionante en el expediente </w:t>
      </w:r>
      <w:r w:rsidRPr="00EA1CDA">
        <w:rPr>
          <w:i/>
          <w:color w:val="000000"/>
        </w:rPr>
        <w:t>(1)</w:t>
      </w:r>
      <w:r w:rsidRPr="00EA1CDA">
        <w:rPr>
          <w:color w:val="000000"/>
        </w:rPr>
        <w:t xml:space="preserve"> </w:t>
      </w:r>
      <w:r w:rsidRPr="00EA1CDA">
        <w:rPr>
          <w:color w:val="000000"/>
          <w:sz w:val="28"/>
          <w:szCs w:val="28"/>
        </w:rPr>
        <w:t xml:space="preserve">T-10.641.262 remitió por correo electrónico una solicitud de medida provisional. Con ella se pretende que se ordene a la EPS Salud Total y a la Clínica Los Nogales entregar el medicamento </w:t>
      </w:r>
      <w:proofErr w:type="spellStart"/>
      <w:r w:rsidRPr="00EA1CDA">
        <w:rPr>
          <w:color w:val="000000"/>
          <w:sz w:val="28"/>
          <w:szCs w:val="28"/>
        </w:rPr>
        <w:t>Aubagio</w:t>
      </w:r>
      <w:proofErr w:type="spellEnd"/>
      <w:r w:rsidRPr="00EA1CDA">
        <w:rPr>
          <w:color w:val="000000"/>
          <w:sz w:val="28"/>
          <w:szCs w:val="28"/>
        </w:rPr>
        <w:t xml:space="preserve"> </w:t>
      </w:r>
      <w:proofErr w:type="spellStart"/>
      <w:r w:rsidRPr="00EA1CDA">
        <w:rPr>
          <w:color w:val="000000"/>
          <w:sz w:val="28"/>
          <w:szCs w:val="28"/>
        </w:rPr>
        <w:t>Teriflunomida</w:t>
      </w:r>
      <w:proofErr w:type="spellEnd"/>
      <w:r w:rsidRPr="00EA1CDA">
        <w:rPr>
          <w:color w:val="000000"/>
          <w:sz w:val="28"/>
          <w:szCs w:val="28"/>
        </w:rPr>
        <w:t xml:space="preserve"> 14 mg (caja de 30 tabletas), mes a mes, de manera eficaz, oportuna y domiciliaria. </w:t>
      </w:r>
    </w:p>
    <w:p w14:paraId="21244BAA" w14:textId="77777777" w:rsidR="00780155" w:rsidRPr="00EA1CDA" w:rsidRDefault="00780155" w:rsidP="00780155">
      <w:pPr>
        <w:widowControl w:val="0"/>
        <w:pBdr>
          <w:top w:val="nil"/>
          <w:left w:val="nil"/>
          <w:bottom w:val="nil"/>
          <w:right w:val="nil"/>
          <w:between w:val="nil"/>
        </w:pBdr>
        <w:jc w:val="both"/>
        <w:rPr>
          <w:color w:val="000000"/>
          <w:sz w:val="28"/>
          <w:szCs w:val="28"/>
        </w:rPr>
      </w:pPr>
    </w:p>
    <w:p w14:paraId="08776B1D" w14:textId="77777777" w:rsidR="00780155" w:rsidRPr="00EA1CDA" w:rsidRDefault="00780155" w:rsidP="00780155">
      <w:pPr>
        <w:widowControl w:val="0"/>
        <w:numPr>
          <w:ilvl w:val="0"/>
          <w:numId w:val="1"/>
        </w:numPr>
        <w:pBdr>
          <w:top w:val="nil"/>
          <w:left w:val="nil"/>
          <w:bottom w:val="nil"/>
          <w:right w:val="nil"/>
          <w:between w:val="nil"/>
        </w:pBdr>
        <w:tabs>
          <w:tab w:val="left" w:pos="426"/>
        </w:tabs>
        <w:jc w:val="both"/>
      </w:pPr>
      <w:r w:rsidRPr="00EA1CDA">
        <w:rPr>
          <w:color w:val="000000"/>
          <w:sz w:val="28"/>
          <w:szCs w:val="28"/>
        </w:rPr>
        <w:t xml:space="preserve">Para sustentar su petición, la actora en el indicado expediente refirió que tiene diagnóstico de “esclerosis múltiple”, que es una enfermedad huérfana, crónica y neurodegenerativa. Indicó que para tratar su diagnóstico el médico tratante le ha prescrito continuamente el medicamento </w:t>
      </w:r>
      <w:proofErr w:type="spellStart"/>
      <w:r w:rsidRPr="00EA1CDA">
        <w:rPr>
          <w:color w:val="000000"/>
          <w:sz w:val="28"/>
          <w:szCs w:val="28"/>
        </w:rPr>
        <w:t>Aubagio</w:t>
      </w:r>
      <w:proofErr w:type="spellEnd"/>
      <w:r w:rsidRPr="00EA1CDA">
        <w:rPr>
          <w:color w:val="000000"/>
          <w:sz w:val="28"/>
          <w:szCs w:val="28"/>
        </w:rPr>
        <w:t xml:space="preserve"> </w:t>
      </w:r>
      <w:proofErr w:type="spellStart"/>
      <w:r w:rsidRPr="00EA1CDA">
        <w:rPr>
          <w:color w:val="000000"/>
          <w:sz w:val="28"/>
          <w:szCs w:val="28"/>
        </w:rPr>
        <w:t>Teriflunomida</w:t>
      </w:r>
      <w:proofErr w:type="spellEnd"/>
      <w:r w:rsidRPr="00EA1CDA">
        <w:rPr>
          <w:color w:val="000000"/>
          <w:sz w:val="28"/>
          <w:szCs w:val="28"/>
        </w:rPr>
        <w:t xml:space="preserve"> 14 mg. No obstante, dado que este fármaco no ha sido entregado de manera oportuna y constante por las accionadas, para su obtención ha tenido que interponer ocho acciones de tutela, con sus respectivas solicitudes de medidas provisionales, en los últimos dos años. Adicionalmente, la actora señaló que el médico tratante le prescribió nuevamente el medicamento el 18 de marzo de 2025 por 90 días, debiendo ser entregado el 24 de marzo siguiente, y aportó la orden médica correspondiente</w:t>
      </w:r>
      <w:r w:rsidRPr="00EA1CDA">
        <w:rPr>
          <w:color w:val="000000"/>
          <w:sz w:val="28"/>
          <w:szCs w:val="28"/>
          <w:vertAlign w:val="superscript"/>
        </w:rPr>
        <w:footnoteReference w:id="15"/>
      </w:r>
      <w:r w:rsidRPr="00EA1CDA">
        <w:rPr>
          <w:color w:val="000000"/>
          <w:sz w:val="28"/>
          <w:szCs w:val="28"/>
        </w:rPr>
        <w:t xml:space="preserve">. </w:t>
      </w:r>
    </w:p>
    <w:p w14:paraId="6854ED68" w14:textId="77777777" w:rsidR="00780155" w:rsidRDefault="00780155" w:rsidP="00780155">
      <w:pPr>
        <w:pBdr>
          <w:top w:val="nil"/>
          <w:left w:val="nil"/>
          <w:bottom w:val="nil"/>
          <w:right w:val="nil"/>
          <w:between w:val="nil"/>
        </w:pBdr>
        <w:jc w:val="both"/>
        <w:rPr>
          <w:color w:val="000000"/>
          <w:sz w:val="28"/>
          <w:szCs w:val="28"/>
        </w:rPr>
      </w:pPr>
    </w:p>
    <w:p w14:paraId="2F402820" w14:textId="77777777" w:rsidR="007D2582" w:rsidRPr="00EA1CDA" w:rsidRDefault="007D2582" w:rsidP="00780155">
      <w:pPr>
        <w:pBdr>
          <w:top w:val="nil"/>
          <w:left w:val="nil"/>
          <w:bottom w:val="nil"/>
          <w:right w:val="nil"/>
          <w:between w:val="nil"/>
        </w:pBdr>
        <w:jc w:val="both"/>
        <w:rPr>
          <w:color w:val="000000"/>
          <w:sz w:val="28"/>
          <w:szCs w:val="28"/>
        </w:rPr>
      </w:pPr>
    </w:p>
    <w:p w14:paraId="1D249FA0" w14:textId="77777777" w:rsidR="00780155" w:rsidRPr="00EA1CDA" w:rsidRDefault="00780155" w:rsidP="00780155">
      <w:pPr>
        <w:widowControl w:val="0"/>
        <w:numPr>
          <w:ilvl w:val="0"/>
          <w:numId w:val="1"/>
        </w:numPr>
        <w:pBdr>
          <w:top w:val="nil"/>
          <w:left w:val="nil"/>
          <w:bottom w:val="nil"/>
          <w:right w:val="nil"/>
          <w:between w:val="nil"/>
        </w:pBdr>
        <w:tabs>
          <w:tab w:val="left" w:pos="426"/>
        </w:tabs>
        <w:jc w:val="both"/>
        <w:rPr>
          <w:color w:val="000000"/>
          <w:sz w:val="28"/>
          <w:szCs w:val="28"/>
        </w:rPr>
      </w:pPr>
      <w:r w:rsidRPr="00EA1CDA">
        <w:rPr>
          <w:color w:val="000000"/>
          <w:sz w:val="28"/>
          <w:szCs w:val="28"/>
        </w:rPr>
        <w:t xml:space="preserve">La solicitante de la medida destacó que no solo debe sufrir los efectos de la enfermedad, sino que la omisión de las accionadas la lleva a desplegar trámites judiciales y administrativos continuos, pues “solamente reaccionan a [sus] pretensiones cuando media una autoridad judicial que se los ordena” y, luego de ello, le hacen la inmediata entrega del fármaco. Para la defensa de sus derechos informó que ha interpuesto ocho tutelas. </w:t>
      </w:r>
    </w:p>
    <w:p w14:paraId="210C85BC" w14:textId="77777777" w:rsidR="00780155" w:rsidRPr="00EA1CDA" w:rsidRDefault="00780155" w:rsidP="00780155">
      <w:pPr>
        <w:widowControl w:val="0"/>
        <w:pBdr>
          <w:top w:val="nil"/>
          <w:left w:val="nil"/>
          <w:bottom w:val="nil"/>
          <w:right w:val="nil"/>
          <w:between w:val="nil"/>
        </w:pBdr>
        <w:tabs>
          <w:tab w:val="left" w:pos="426"/>
        </w:tabs>
        <w:jc w:val="both"/>
        <w:rPr>
          <w:color w:val="000000"/>
          <w:sz w:val="28"/>
          <w:szCs w:val="28"/>
        </w:rPr>
      </w:pPr>
    </w:p>
    <w:p w14:paraId="78733125" w14:textId="77777777" w:rsidR="00780155" w:rsidRPr="00EA1CDA" w:rsidRDefault="00780155" w:rsidP="00780155">
      <w:pPr>
        <w:widowControl w:val="0"/>
        <w:numPr>
          <w:ilvl w:val="0"/>
          <w:numId w:val="1"/>
        </w:numPr>
        <w:pBdr>
          <w:top w:val="nil"/>
          <w:left w:val="nil"/>
          <w:bottom w:val="nil"/>
          <w:right w:val="nil"/>
          <w:between w:val="nil"/>
        </w:pBdr>
        <w:tabs>
          <w:tab w:val="left" w:pos="426"/>
        </w:tabs>
        <w:jc w:val="both"/>
      </w:pPr>
      <w:r w:rsidRPr="00EA1CDA">
        <w:rPr>
          <w:color w:val="000000"/>
          <w:sz w:val="28"/>
          <w:szCs w:val="28"/>
        </w:rPr>
        <w:t>En relación con la presente solicitud de medidas provisionales, la accionante refirió que (i) el asunto cumple los criterios fácticos y jurídicos para acreditar un buen derecho, como lo han establecido diferentes jueces de tutela en aquellos ocho trámites constitucionales; y (</w:t>
      </w:r>
      <w:proofErr w:type="spellStart"/>
      <w:r w:rsidRPr="00EA1CDA">
        <w:rPr>
          <w:color w:val="000000"/>
          <w:sz w:val="28"/>
          <w:szCs w:val="28"/>
        </w:rPr>
        <w:t>ii</w:t>
      </w:r>
      <w:proofErr w:type="spellEnd"/>
      <w:r w:rsidRPr="00EA1CDA">
        <w:rPr>
          <w:color w:val="000000"/>
          <w:sz w:val="28"/>
          <w:szCs w:val="28"/>
        </w:rPr>
        <w:t>) existe una grave amenaza para sus derechos que se prolongará hasta el momento en que la Corte Constitucional adopte una decisión, frente a lo cual describió: “volveré a encontrarme en la situación de que mi tratamiento médico esté suspendido arbitrariamente por parte de las accionadas y afrontando las complejas consecuencias físicas y emocionales que de por sí ya implica padecer esclerosis múltiple, tales como: fatiga, disfagia, problemas en el sueño, rigidez muscular, calambres, problemas de visión, episodios de ansiedad, entre otros. Además, de que se desprende el riesgo latente de que el proceso desmielinizante se acelere y con ello se presenten mayores lesiones cerebrales que aumenten los niveles de incapacidad motora, visual y/o sensitiva”</w:t>
      </w:r>
      <w:r w:rsidRPr="00EA1CDA">
        <w:rPr>
          <w:color w:val="000000"/>
          <w:sz w:val="28"/>
          <w:szCs w:val="28"/>
          <w:vertAlign w:val="superscript"/>
        </w:rPr>
        <w:footnoteReference w:id="16"/>
      </w:r>
      <w:r w:rsidRPr="00EA1CDA">
        <w:rPr>
          <w:color w:val="000000"/>
          <w:sz w:val="28"/>
          <w:szCs w:val="28"/>
        </w:rPr>
        <w:t xml:space="preserve">. </w:t>
      </w:r>
    </w:p>
    <w:p w14:paraId="76314CF4" w14:textId="77777777" w:rsidR="00780155" w:rsidRPr="00EA1CDA" w:rsidRDefault="00780155" w:rsidP="00780155">
      <w:pPr>
        <w:widowControl w:val="0"/>
        <w:pBdr>
          <w:top w:val="nil"/>
          <w:left w:val="nil"/>
          <w:bottom w:val="nil"/>
          <w:right w:val="nil"/>
          <w:between w:val="nil"/>
        </w:pBdr>
        <w:jc w:val="both"/>
        <w:rPr>
          <w:color w:val="000000"/>
          <w:sz w:val="28"/>
          <w:szCs w:val="28"/>
        </w:rPr>
      </w:pPr>
    </w:p>
    <w:p w14:paraId="5C6217DD" w14:textId="77777777" w:rsidR="00780155" w:rsidRPr="00EA1CDA" w:rsidRDefault="00780155" w:rsidP="00780155">
      <w:pPr>
        <w:widowControl w:val="0"/>
        <w:numPr>
          <w:ilvl w:val="0"/>
          <w:numId w:val="1"/>
        </w:numPr>
        <w:pBdr>
          <w:top w:val="nil"/>
          <w:left w:val="nil"/>
          <w:bottom w:val="nil"/>
          <w:right w:val="nil"/>
          <w:between w:val="nil"/>
        </w:pBdr>
        <w:tabs>
          <w:tab w:val="left" w:pos="426"/>
        </w:tabs>
        <w:jc w:val="both"/>
      </w:pPr>
      <w:r w:rsidRPr="00EA1CDA">
        <w:rPr>
          <w:color w:val="000000"/>
          <w:sz w:val="28"/>
          <w:szCs w:val="28"/>
        </w:rPr>
        <w:t xml:space="preserve">Finalmente refirió que, a su juicio, la medida provisional que se conceda debe ocuparse de “la totalidad de entregas domiciliarias futuras que </w:t>
      </w:r>
      <w:proofErr w:type="spellStart"/>
      <w:r w:rsidRPr="00EA1CDA">
        <w:rPr>
          <w:color w:val="000000"/>
          <w:sz w:val="28"/>
          <w:szCs w:val="28"/>
        </w:rPr>
        <w:t>requier</w:t>
      </w:r>
      <w:proofErr w:type="spellEnd"/>
      <w:r w:rsidRPr="00EA1CDA">
        <w:rPr>
          <w:color w:val="000000"/>
          <w:sz w:val="28"/>
          <w:szCs w:val="28"/>
        </w:rPr>
        <w:t>[e] del medicamento –al menos desde ahora y hasta el momento en que se cuente con sentencia definitiva– y no de manera puntual en una específica fórmula médica y entrega, como h[a] debido hacerlo a lo largo de las diferentes tutelas que [se ha] visto obligada a promover en defensa de [sus] derechos”</w:t>
      </w:r>
      <w:r w:rsidRPr="00EA1CDA">
        <w:rPr>
          <w:color w:val="000000"/>
          <w:sz w:val="28"/>
          <w:szCs w:val="28"/>
          <w:vertAlign w:val="superscript"/>
        </w:rPr>
        <w:footnoteReference w:id="17"/>
      </w:r>
      <w:r w:rsidRPr="00EA1CDA">
        <w:rPr>
          <w:color w:val="000000"/>
          <w:sz w:val="28"/>
          <w:szCs w:val="28"/>
        </w:rPr>
        <w:t>, para que pueda recibir un tratamiento continuo.</w:t>
      </w:r>
    </w:p>
    <w:p w14:paraId="3A3A506D" w14:textId="77777777" w:rsidR="00780155" w:rsidRPr="00EA1CDA" w:rsidRDefault="00780155" w:rsidP="00780155">
      <w:pPr>
        <w:pBdr>
          <w:top w:val="nil"/>
          <w:left w:val="nil"/>
          <w:bottom w:val="nil"/>
          <w:right w:val="nil"/>
          <w:between w:val="nil"/>
        </w:pBdr>
        <w:jc w:val="both"/>
        <w:rPr>
          <w:color w:val="000000"/>
          <w:sz w:val="28"/>
          <w:szCs w:val="28"/>
        </w:rPr>
      </w:pPr>
    </w:p>
    <w:p w14:paraId="6A2C48F3" w14:textId="77777777" w:rsidR="00780155" w:rsidRPr="00EA1CDA" w:rsidRDefault="00780155" w:rsidP="00780155">
      <w:pPr>
        <w:widowControl w:val="0"/>
        <w:numPr>
          <w:ilvl w:val="0"/>
          <w:numId w:val="1"/>
        </w:numPr>
        <w:pBdr>
          <w:top w:val="nil"/>
          <w:left w:val="nil"/>
          <w:bottom w:val="nil"/>
          <w:right w:val="nil"/>
          <w:between w:val="nil"/>
        </w:pBdr>
        <w:tabs>
          <w:tab w:val="left" w:pos="426"/>
        </w:tabs>
        <w:jc w:val="both"/>
      </w:pPr>
      <w:r w:rsidRPr="00EA1CDA">
        <w:rPr>
          <w:color w:val="000000"/>
          <w:sz w:val="28"/>
          <w:szCs w:val="28"/>
        </w:rPr>
        <w:t xml:space="preserve">El 25 de marzo de 2025, el despacho sustanciador contactó telefónicamente a la tutelante, quien refirió que para ese momento no había recibido aún el fármaco ni había sido contactada por las accionadas para coordinar su entrega. Además, precisó que solicita la entrega domiciliaria del medicamento por cuanto durante los diez años que lleva con el diagnóstico, siempre lo ha recibido de ese modo. </w:t>
      </w:r>
    </w:p>
    <w:p w14:paraId="3FF78CEF" w14:textId="77777777" w:rsidR="00780155" w:rsidRDefault="00780155" w:rsidP="00780155">
      <w:pPr>
        <w:pBdr>
          <w:top w:val="nil"/>
          <w:left w:val="nil"/>
          <w:bottom w:val="nil"/>
          <w:right w:val="nil"/>
          <w:between w:val="nil"/>
        </w:pBdr>
        <w:jc w:val="both"/>
        <w:rPr>
          <w:color w:val="000000"/>
          <w:sz w:val="28"/>
          <w:szCs w:val="28"/>
        </w:rPr>
      </w:pPr>
    </w:p>
    <w:p w14:paraId="7FD00882" w14:textId="77777777" w:rsidR="00907F9F" w:rsidRPr="00EA1CDA" w:rsidRDefault="00907F9F" w:rsidP="00780155">
      <w:pPr>
        <w:pBdr>
          <w:top w:val="nil"/>
          <w:left w:val="nil"/>
          <w:bottom w:val="nil"/>
          <w:right w:val="nil"/>
          <w:between w:val="nil"/>
        </w:pBdr>
        <w:jc w:val="both"/>
        <w:rPr>
          <w:color w:val="000000"/>
          <w:sz w:val="28"/>
          <w:szCs w:val="28"/>
        </w:rPr>
      </w:pPr>
    </w:p>
    <w:p w14:paraId="16E693EE" w14:textId="670A7557" w:rsidR="00780155" w:rsidRDefault="00780155" w:rsidP="00780155">
      <w:pPr>
        <w:widowControl w:val="0"/>
        <w:numPr>
          <w:ilvl w:val="0"/>
          <w:numId w:val="1"/>
        </w:numPr>
        <w:pBdr>
          <w:top w:val="nil"/>
          <w:left w:val="nil"/>
          <w:bottom w:val="nil"/>
          <w:right w:val="nil"/>
          <w:between w:val="nil"/>
        </w:pBdr>
        <w:tabs>
          <w:tab w:val="left" w:pos="426"/>
        </w:tabs>
        <w:jc w:val="both"/>
        <w:rPr>
          <w:color w:val="000000"/>
          <w:sz w:val="28"/>
          <w:szCs w:val="28"/>
        </w:rPr>
      </w:pPr>
      <w:r w:rsidRPr="00EA1CDA">
        <w:rPr>
          <w:color w:val="000000"/>
          <w:sz w:val="28"/>
          <w:szCs w:val="28"/>
        </w:rPr>
        <w:lastRenderedPageBreak/>
        <w:t xml:space="preserve">El mismo 25 de marzo, la accionante remitió a través de correo electrónico la respuesta al cuestionario que se le ordenó responder por medio de </w:t>
      </w:r>
      <w:r w:rsidR="000C5F95" w:rsidRPr="00EA1CDA">
        <w:rPr>
          <w:color w:val="000000"/>
          <w:sz w:val="28"/>
          <w:szCs w:val="28"/>
        </w:rPr>
        <w:t>A</w:t>
      </w:r>
      <w:r w:rsidRPr="00EA1CDA">
        <w:rPr>
          <w:color w:val="000000"/>
          <w:sz w:val="28"/>
          <w:szCs w:val="28"/>
        </w:rPr>
        <w:t xml:space="preserve">uto del 17 de marzo de 2025. </w:t>
      </w:r>
    </w:p>
    <w:p w14:paraId="443CF583" w14:textId="77777777" w:rsidR="005E0CF5" w:rsidRDefault="005E0CF5" w:rsidP="005E0CF5">
      <w:pPr>
        <w:pStyle w:val="Prrafodelista"/>
        <w:rPr>
          <w:color w:val="000000"/>
          <w:sz w:val="28"/>
          <w:szCs w:val="28"/>
        </w:rPr>
      </w:pPr>
    </w:p>
    <w:p w14:paraId="3A17F5C9" w14:textId="4CE60E30" w:rsidR="005E0CF5" w:rsidRPr="00796D42" w:rsidRDefault="00CE3FBA" w:rsidP="00361883">
      <w:pPr>
        <w:widowControl w:val="0"/>
        <w:numPr>
          <w:ilvl w:val="0"/>
          <w:numId w:val="1"/>
        </w:numPr>
        <w:pBdr>
          <w:top w:val="nil"/>
          <w:left w:val="nil"/>
          <w:bottom w:val="nil"/>
          <w:right w:val="nil"/>
          <w:between w:val="nil"/>
        </w:pBdr>
        <w:tabs>
          <w:tab w:val="left" w:pos="426"/>
        </w:tabs>
        <w:jc w:val="both"/>
        <w:rPr>
          <w:color w:val="000000"/>
          <w:sz w:val="28"/>
          <w:szCs w:val="28"/>
          <w:lang w:val="es-CO"/>
        </w:rPr>
      </w:pPr>
      <w:r w:rsidRPr="00796D42">
        <w:rPr>
          <w:color w:val="000000"/>
          <w:sz w:val="28"/>
          <w:szCs w:val="28"/>
        </w:rPr>
        <w:t>E</w:t>
      </w:r>
      <w:r w:rsidR="005E0CF5" w:rsidRPr="00796D42">
        <w:rPr>
          <w:color w:val="000000"/>
          <w:sz w:val="28"/>
          <w:szCs w:val="28"/>
        </w:rPr>
        <w:t>l 2</w:t>
      </w:r>
      <w:r w:rsidR="0008444D" w:rsidRPr="00796D42">
        <w:rPr>
          <w:color w:val="000000"/>
          <w:sz w:val="28"/>
          <w:szCs w:val="28"/>
        </w:rPr>
        <w:t>5</w:t>
      </w:r>
      <w:r w:rsidR="005E0CF5" w:rsidRPr="00796D42">
        <w:rPr>
          <w:color w:val="000000"/>
          <w:sz w:val="28"/>
          <w:szCs w:val="28"/>
        </w:rPr>
        <w:t xml:space="preserve"> de abril de 2025,</w:t>
      </w:r>
      <w:r w:rsidR="0008444D" w:rsidRPr="00796D42">
        <w:rPr>
          <w:color w:val="000000"/>
          <w:sz w:val="28"/>
          <w:szCs w:val="28"/>
        </w:rPr>
        <w:t xml:space="preserve"> la accionante reiteró la </w:t>
      </w:r>
      <w:r w:rsidR="00733509" w:rsidRPr="00796D42">
        <w:rPr>
          <w:color w:val="000000"/>
          <w:sz w:val="28"/>
          <w:szCs w:val="28"/>
        </w:rPr>
        <w:t xml:space="preserve">solicitud de medidas provisionales. </w:t>
      </w:r>
      <w:r w:rsidR="00C23114" w:rsidRPr="00796D42">
        <w:rPr>
          <w:color w:val="000000"/>
          <w:sz w:val="28"/>
          <w:szCs w:val="28"/>
        </w:rPr>
        <w:t>Informó</w:t>
      </w:r>
      <w:r w:rsidR="00733509" w:rsidRPr="00796D42">
        <w:rPr>
          <w:color w:val="000000"/>
          <w:sz w:val="28"/>
          <w:szCs w:val="28"/>
        </w:rPr>
        <w:t xml:space="preserve"> que </w:t>
      </w:r>
      <w:r w:rsidRPr="00796D42">
        <w:rPr>
          <w:color w:val="000000"/>
          <w:sz w:val="28"/>
          <w:szCs w:val="28"/>
        </w:rPr>
        <w:t>recibió una caja del medicamento</w:t>
      </w:r>
      <w:r w:rsidR="00B326C9" w:rsidRPr="00796D42">
        <w:rPr>
          <w:color w:val="000000"/>
          <w:sz w:val="28"/>
          <w:szCs w:val="28"/>
        </w:rPr>
        <w:t xml:space="preserve"> el 29 de marzo de 2025</w:t>
      </w:r>
      <w:r w:rsidR="005C21A9" w:rsidRPr="00796D42">
        <w:rPr>
          <w:color w:val="000000"/>
          <w:sz w:val="28"/>
          <w:szCs w:val="28"/>
        </w:rPr>
        <w:t>, luego de haber interrumpido su tratamiento por seis días</w:t>
      </w:r>
      <w:r w:rsidR="00C23114" w:rsidRPr="00796D42">
        <w:rPr>
          <w:color w:val="000000"/>
          <w:sz w:val="28"/>
          <w:szCs w:val="28"/>
        </w:rPr>
        <w:t xml:space="preserve">. </w:t>
      </w:r>
      <w:r w:rsidR="005B2BF3" w:rsidRPr="00796D42">
        <w:rPr>
          <w:color w:val="000000"/>
          <w:sz w:val="28"/>
          <w:szCs w:val="28"/>
        </w:rPr>
        <w:t>Sin embargo</w:t>
      </w:r>
      <w:r w:rsidR="00C23114" w:rsidRPr="00796D42">
        <w:rPr>
          <w:color w:val="000000"/>
          <w:sz w:val="28"/>
          <w:szCs w:val="28"/>
        </w:rPr>
        <w:t xml:space="preserve">, </w:t>
      </w:r>
      <w:r w:rsidR="00286C1D" w:rsidRPr="00796D42">
        <w:rPr>
          <w:color w:val="000000"/>
          <w:sz w:val="28"/>
          <w:szCs w:val="28"/>
        </w:rPr>
        <w:t xml:space="preserve">refirió </w:t>
      </w:r>
      <w:proofErr w:type="gramStart"/>
      <w:r w:rsidR="00286C1D" w:rsidRPr="00796D42">
        <w:rPr>
          <w:color w:val="000000"/>
          <w:sz w:val="28"/>
          <w:szCs w:val="28"/>
        </w:rPr>
        <w:t>que</w:t>
      </w:r>
      <w:proofErr w:type="gramEnd"/>
      <w:r w:rsidR="00286C1D" w:rsidRPr="00796D42">
        <w:rPr>
          <w:color w:val="000000"/>
          <w:sz w:val="28"/>
          <w:szCs w:val="28"/>
        </w:rPr>
        <w:t xml:space="preserve"> </w:t>
      </w:r>
      <w:r w:rsidR="00361883" w:rsidRPr="00796D42">
        <w:rPr>
          <w:color w:val="000000"/>
          <w:sz w:val="28"/>
          <w:szCs w:val="28"/>
        </w:rPr>
        <w:t xml:space="preserve">pese a que </w:t>
      </w:r>
      <w:r w:rsidR="00361883" w:rsidRPr="00796D42">
        <w:rPr>
          <w:color w:val="000000"/>
          <w:sz w:val="28"/>
          <w:szCs w:val="28"/>
          <w:lang w:val="es-CO"/>
        </w:rPr>
        <w:t>caja del medicamento</w:t>
      </w:r>
      <w:r w:rsidR="00361883" w:rsidRPr="00796D42">
        <w:rPr>
          <w:color w:val="000000"/>
          <w:sz w:val="28"/>
          <w:szCs w:val="28"/>
        </w:rPr>
        <w:t xml:space="preserve"> </w:t>
      </w:r>
      <w:r w:rsidR="00361883" w:rsidRPr="00796D42">
        <w:rPr>
          <w:color w:val="000000"/>
          <w:sz w:val="28"/>
          <w:szCs w:val="28"/>
          <w:lang w:val="es-CO"/>
        </w:rPr>
        <w:t xml:space="preserve">se termina </w:t>
      </w:r>
      <w:r w:rsidR="00B326C9" w:rsidRPr="00796D42">
        <w:rPr>
          <w:color w:val="000000"/>
          <w:sz w:val="28"/>
          <w:szCs w:val="28"/>
          <w:lang w:val="es-CO"/>
        </w:rPr>
        <w:t>el lunes 28 de abril de 2025</w:t>
      </w:r>
      <w:r w:rsidR="0063103A" w:rsidRPr="00796D42">
        <w:rPr>
          <w:color w:val="000000"/>
          <w:sz w:val="28"/>
          <w:szCs w:val="28"/>
          <w:lang w:val="es-CO"/>
        </w:rPr>
        <w:t xml:space="preserve">, </w:t>
      </w:r>
      <w:r w:rsidR="00B326C9" w:rsidRPr="00796D42">
        <w:rPr>
          <w:color w:val="000000"/>
          <w:sz w:val="28"/>
          <w:szCs w:val="28"/>
          <w:lang w:val="es-CO"/>
        </w:rPr>
        <w:t xml:space="preserve">a la fecha la EPS Salud Total </w:t>
      </w:r>
      <w:r w:rsidR="0063103A" w:rsidRPr="00796D42">
        <w:rPr>
          <w:color w:val="000000"/>
          <w:sz w:val="28"/>
          <w:szCs w:val="28"/>
          <w:lang w:val="es-CO"/>
        </w:rPr>
        <w:t xml:space="preserve">no la ha contactado para </w:t>
      </w:r>
      <w:r w:rsidR="005F0E3D" w:rsidRPr="00796D42">
        <w:rPr>
          <w:color w:val="000000"/>
          <w:sz w:val="28"/>
          <w:szCs w:val="28"/>
          <w:lang w:val="es-CO"/>
        </w:rPr>
        <w:t>asegurar la continuidad en la entrega del medicamento</w:t>
      </w:r>
      <w:r w:rsidR="00361883" w:rsidRPr="00796D42">
        <w:rPr>
          <w:color w:val="000000"/>
          <w:sz w:val="28"/>
          <w:szCs w:val="28"/>
          <w:lang w:val="es-CO"/>
        </w:rPr>
        <w:t>. En esa medida solicitó a la Corte Constitucional que “d[é] trámite expedito a la medida provisional solicitada por cuanto continúo enfrentando por parte de la EPS Salud Total la vulneración constante de mis derechos a la salud, integridad personal y vida digna”</w:t>
      </w:r>
      <w:r w:rsidR="00C34763" w:rsidRPr="00796D42">
        <w:rPr>
          <w:rStyle w:val="Refdenotaalpie"/>
          <w:color w:val="000000"/>
          <w:sz w:val="28"/>
          <w:szCs w:val="28"/>
          <w:lang w:val="es-CO"/>
        </w:rPr>
        <w:footnoteReference w:id="18"/>
      </w:r>
      <w:r w:rsidRPr="00796D42">
        <w:rPr>
          <w:color w:val="000000"/>
          <w:sz w:val="28"/>
          <w:szCs w:val="28"/>
          <w:lang w:val="es-CO"/>
        </w:rPr>
        <w:t xml:space="preserve">. </w:t>
      </w:r>
      <w:r w:rsidR="005E0CF5" w:rsidRPr="00796D42">
        <w:rPr>
          <w:color w:val="000000"/>
          <w:sz w:val="28"/>
          <w:szCs w:val="28"/>
        </w:rPr>
        <w:t xml:space="preserve"> </w:t>
      </w:r>
    </w:p>
    <w:p w14:paraId="08846227" w14:textId="77777777" w:rsidR="00780155" w:rsidRPr="00EA1CDA" w:rsidRDefault="00780155" w:rsidP="00780155">
      <w:pPr>
        <w:widowControl w:val="0"/>
        <w:pBdr>
          <w:top w:val="nil"/>
          <w:left w:val="nil"/>
          <w:bottom w:val="nil"/>
          <w:right w:val="nil"/>
          <w:between w:val="nil"/>
        </w:pBdr>
        <w:tabs>
          <w:tab w:val="left" w:pos="426"/>
        </w:tabs>
        <w:jc w:val="both"/>
        <w:rPr>
          <w:color w:val="000000"/>
          <w:sz w:val="28"/>
          <w:szCs w:val="28"/>
        </w:rPr>
      </w:pPr>
    </w:p>
    <w:p w14:paraId="799254BB" w14:textId="3B741A09" w:rsidR="00DE7ACB" w:rsidRPr="00EA1CDA" w:rsidRDefault="00DE7ACB" w:rsidP="00DE7ACB">
      <w:pPr>
        <w:widowControl w:val="0"/>
        <w:numPr>
          <w:ilvl w:val="0"/>
          <w:numId w:val="1"/>
        </w:numPr>
        <w:pBdr>
          <w:top w:val="nil"/>
          <w:left w:val="nil"/>
          <w:bottom w:val="nil"/>
          <w:right w:val="nil"/>
          <w:between w:val="nil"/>
        </w:pBdr>
        <w:tabs>
          <w:tab w:val="left" w:pos="426"/>
        </w:tabs>
        <w:jc w:val="both"/>
        <w:rPr>
          <w:rFonts w:eastAsia="Calibri"/>
          <w:sz w:val="28"/>
          <w:szCs w:val="28"/>
        </w:rPr>
      </w:pPr>
      <w:r w:rsidRPr="00EA1CDA">
        <w:rPr>
          <w:rFonts w:eastAsia="Calibri"/>
          <w:i/>
          <w:sz w:val="28"/>
          <w:szCs w:val="28"/>
        </w:rPr>
        <w:t xml:space="preserve">Segundo auto de pruebas. </w:t>
      </w:r>
      <w:r w:rsidRPr="00EA1CDA">
        <w:rPr>
          <w:rFonts w:eastAsia="Calibri"/>
          <w:sz w:val="28"/>
          <w:szCs w:val="28"/>
        </w:rPr>
        <w:t xml:space="preserve">Teniendo en cuenta la información remitida por la accionante del expediente </w:t>
      </w:r>
      <w:r w:rsidRPr="00EA1CDA">
        <w:rPr>
          <w:i/>
          <w:color w:val="000000"/>
        </w:rPr>
        <w:t>(1)</w:t>
      </w:r>
      <w:r w:rsidRPr="00EA1CDA">
        <w:rPr>
          <w:color w:val="000000"/>
        </w:rPr>
        <w:t xml:space="preserve"> </w:t>
      </w:r>
      <w:r w:rsidRPr="00EA1CDA">
        <w:rPr>
          <w:color w:val="000000"/>
          <w:sz w:val="28"/>
          <w:szCs w:val="28"/>
        </w:rPr>
        <w:t xml:space="preserve">T-10.641.262 </w:t>
      </w:r>
      <w:r w:rsidRPr="00EA1CDA">
        <w:rPr>
          <w:rFonts w:eastAsia="Calibri"/>
          <w:sz w:val="28"/>
          <w:szCs w:val="28"/>
        </w:rPr>
        <w:t>que solicitó la medida provisional reseñada</w:t>
      </w:r>
      <w:r w:rsidR="00087D6C" w:rsidRPr="00EA1CDA">
        <w:rPr>
          <w:rFonts w:eastAsia="Calibri"/>
          <w:sz w:val="28"/>
          <w:szCs w:val="28"/>
        </w:rPr>
        <w:t xml:space="preserve">, </w:t>
      </w:r>
      <w:r w:rsidRPr="00EA1CDA">
        <w:rPr>
          <w:rFonts w:eastAsia="Calibri"/>
          <w:sz w:val="28"/>
          <w:szCs w:val="28"/>
        </w:rPr>
        <w:t xml:space="preserve">así como la declaración de la accionante del expediente </w:t>
      </w:r>
      <w:r w:rsidRPr="00EA1CDA">
        <w:rPr>
          <w:rFonts w:eastAsia="Calibri"/>
          <w:i/>
        </w:rPr>
        <w:t>(8)</w:t>
      </w:r>
      <w:r w:rsidRPr="00EA1CDA">
        <w:rPr>
          <w:rFonts w:eastAsia="Calibri"/>
        </w:rPr>
        <w:t xml:space="preserve"> </w:t>
      </w:r>
      <w:r w:rsidRPr="00EA1CDA">
        <w:rPr>
          <w:rFonts w:eastAsia="Calibri"/>
          <w:sz w:val="28"/>
          <w:szCs w:val="28"/>
        </w:rPr>
        <w:t xml:space="preserve">T-10.781.400 acerca de su traslado de EPS durante el trámite de revisión, el despacho sustanciador profirió un segundo </w:t>
      </w:r>
      <w:r w:rsidR="000C5F95" w:rsidRPr="00EA1CDA">
        <w:rPr>
          <w:rFonts w:eastAsia="Calibri"/>
          <w:sz w:val="28"/>
          <w:szCs w:val="28"/>
        </w:rPr>
        <w:t>A</w:t>
      </w:r>
      <w:r w:rsidRPr="00EA1CDA">
        <w:rPr>
          <w:rFonts w:eastAsia="Calibri"/>
          <w:sz w:val="28"/>
          <w:szCs w:val="28"/>
        </w:rPr>
        <w:t xml:space="preserve">uto de pruebas el 3 de abril de 2025. Mediante este último ordenó oficiar a cada uno de los juzgados referenciados en la solicitud de medida provisional y respecto de los casos de los cuales no se tenía conocimiento anteriormente, para que remitieran el vínculo de consulta de los expedientes de tutela que </w:t>
      </w:r>
      <w:r w:rsidR="0090629E" w:rsidRPr="00EA1CDA">
        <w:rPr>
          <w:rFonts w:eastAsia="Calibri"/>
          <w:sz w:val="28"/>
          <w:szCs w:val="28"/>
        </w:rPr>
        <w:t>hubieran</w:t>
      </w:r>
      <w:r w:rsidRPr="00EA1CDA">
        <w:rPr>
          <w:rFonts w:eastAsia="Calibri"/>
          <w:sz w:val="28"/>
          <w:szCs w:val="28"/>
        </w:rPr>
        <w:t xml:space="preserve"> conocido, por demanda de la accionante contra la EPS Salud Total y para que los mantengan habilitados hasta el momento de la publicación de la sentencia que resuelva el presente asunto. Asimismo, ordenó vincular a la Nueva EPS por el interés que le asiste en el resultado del presente trámite constitucional en lo relacionado con el expediente </w:t>
      </w:r>
      <w:r w:rsidRPr="00EA1CDA">
        <w:rPr>
          <w:rFonts w:eastAsia="Calibri"/>
          <w:i/>
        </w:rPr>
        <w:t>(8)</w:t>
      </w:r>
      <w:r w:rsidRPr="00EA1CDA">
        <w:rPr>
          <w:rFonts w:eastAsia="Calibri"/>
        </w:rPr>
        <w:t xml:space="preserve"> </w:t>
      </w:r>
      <w:r w:rsidRPr="00EA1CDA">
        <w:rPr>
          <w:rFonts w:eastAsia="Calibri"/>
          <w:sz w:val="28"/>
          <w:szCs w:val="28"/>
        </w:rPr>
        <w:t xml:space="preserve">T-10.781.400. </w:t>
      </w:r>
    </w:p>
    <w:p w14:paraId="17CEF4CF" w14:textId="77777777" w:rsidR="00DE7ACB" w:rsidRPr="00EA1CDA" w:rsidRDefault="00DE7ACB" w:rsidP="00DE7ACB">
      <w:pPr>
        <w:pStyle w:val="Prrafodelista"/>
        <w:rPr>
          <w:rFonts w:eastAsia="Calibri"/>
          <w:i/>
          <w:sz w:val="28"/>
          <w:szCs w:val="28"/>
        </w:rPr>
      </w:pPr>
    </w:p>
    <w:p w14:paraId="3792E347" w14:textId="26306842" w:rsidR="00F55EE9" w:rsidRPr="00EA1CDA" w:rsidRDefault="00F55EE9" w:rsidP="00F55EE9">
      <w:pPr>
        <w:widowControl w:val="0"/>
        <w:numPr>
          <w:ilvl w:val="0"/>
          <w:numId w:val="1"/>
        </w:numPr>
        <w:pBdr>
          <w:top w:val="nil"/>
          <w:left w:val="nil"/>
          <w:bottom w:val="nil"/>
          <w:right w:val="nil"/>
          <w:between w:val="nil"/>
        </w:pBdr>
        <w:tabs>
          <w:tab w:val="left" w:pos="426"/>
        </w:tabs>
        <w:jc w:val="both"/>
        <w:rPr>
          <w:rFonts w:eastAsia="Calibri"/>
          <w:sz w:val="28"/>
          <w:szCs w:val="28"/>
        </w:rPr>
      </w:pPr>
      <w:r w:rsidRPr="00EA1CDA">
        <w:rPr>
          <w:rFonts w:eastAsia="Calibri"/>
          <w:i/>
          <w:sz w:val="28"/>
          <w:szCs w:val="28"/>
        </w:rPr>
        <w:t xml:space="preserve">Solicitudes de </w:t>
      </w:r>
      <w:r w:rsidR="002C071F" w:rsidRPr="00EA1CDA">
        <w:rPr>
          <w:rFonts w:eastAsia="Calibri"/>
          <w:i/>
          <w:sz w:val="28"/>
          <w:szCs w:val="28"/>
        </w:rPr>
        <w:t xml:space="preserve">ampliación del </w:t>
      </w:r>
      <w:r w:rsidRPr="00EA1CDA">
        <w:rPr>
          <w:rFonts w:eastAsia="Calibri"/>
          <w:i/>
          <w:sz w:val="28"/>
          <w:szCs w:val="28"/>
        </w:rPr>
        <w:t xml:space="preserve">plazo </w:t>
      </w:r>
      <w:r w:rsidR="00DE7ACB" w:rsidRPr="00EA1CDA">
        <w:rPr>
          <w:rFonts w:eastAsia="Calibri"/>
          <w:i/>
          <w:sz w:val="28"/>
          <w:szCs w:val="28"/>
        </w:rPr>
        <w:t xml:space="preserve">para aportar las pruebas </w:t>
      </w:r>
      <w:r w:rsidRPr="00EA1CDA">
        <w:rPr>
          <w:rFonts w:eastAsia="Calibri"/>
          <w:i/>
          <w:sz w:val="28"/>
          <w:szCs w:val="28"/>
        </w:rPr>
        <w:t xml:space="preserve">recibidas durante el trámite probatorio. </w:t>
      </w:r>
      <w:r w:rsidRPr="00EA1CDA">
        <w:rPr>
          <w:rFonts w:eastAsia="Calibri"/>
          <w:iCs/>
          <w:sz w:val="28"/>
          <w:szCs w:val="28"/>
        </w:rPr>
        <w:t xml:space="preserve">El 26 de marzo de 2025 el Ministerio de Salud y de la Protección Social solicitó mediante correo electrónico ampliar el término de </w:t>
      </w:r>
      <w:r w:rsidR="000D29BA" w:rsidRPr="00EA1CDA">
        <w:rPr>
          <w:rFonts w:eastAsia="Calibri"/>
          <w:iCs/>
          <w:sz w:val="28"/>
          <w:szCs w:val="28"/>
        </w:rPr>
        <w:t>tres</w:t>
      </w:r>
      <w:r w:rsidRPr="00EA1CDA">
        <w:rPr>
          <w:rFonts w:eastAsia="Calibri"/>
          <w:iCs/>
          <w:sz w:val="28"/>
          <w:szCs w:val="28"/>
        </w:rPr>
        <w:t xml:space="preserve"> días</w:t>
      </w:r>
      <w:r w:rsidR="001D2DCE" w:rsidRPr="00EA1CDA">
        <w:rPr>
          <w:rFonts w:eastAsia="Calibri"/>
          <w:iCs/>
          <w:sz w:val="28"/>
          <w:szCs w:val="28"/>
        </w:rPr>
        <w:t>,</w:t>
      </w:r>
      <w:r w:rsidRPr="00EA1CDA">
        <w:rPr>
          <w:rFonts w:eastAsia="Calibri"/>
          <w:iCs/>
          <w:sz w:val="28"/>
          <w:szCs w:val="28"/>
        </w:rPr>
        <w:t xml:space="preserve"> inicialmente otorgado</w:t>
      </w:r>
      <w:r w:rsidR="00DD7E51" w:rsidRPr="00EA1CDA">
        <w:rPr>
          <w:rFonts w:eastAsia="Calibri"/>
          <w:iCs/>
          <w:sz w:val="28"/>
          <w:szCs w:val="28"/>
        </w:rPr>
        <w:t xml:space="preserve"> en el </w:t>
      </w:r>
      <w:r w:rsidR="004A294C" w:rsidRPr="00EA1CDA">
        <w:rPr>
          <w:rFonts w:eastAsia="Calibri"/>
          <w:iCs/>
          <w:sz w:val="28"/>
          <w:szCs w:val="28"/>
        </w:rPr>
        <w:t>A</w:t>
      </w:r>
      <w:r w:rsidR="00DD7E51" w:rsidRPr="00EA1CDA">
        <w:rPr>
          <w:rFonts w:eastAsia="Calibri"/>
          <w:iCs/>
          <w:sz w:val="28"/>
          <w:szCs w:val="28"/>
        </w:rPr>
        <w:t>uto del 17 de marzo de 2025</w:t>
      </w:r>
      <w:r w:rsidRPr="00EA1CDA">
        <w:rPr>
          <w:rFonts w:eastAsia="Calibri"/>
          <w:iCs/>
          <w:sz w:val="28"/>
          <w:szCs w:val="28"/>
        </w:rPr>
        <w:t xml:space="preserve"> para pronunciarse sobre los hechos y pretensiones de cada uno de los 30 expedientes acumulados en el presente trámite</w:t>
      </w:r>
      <w:r w:rsidRPr="00EA1CDA">
        <w:rPr>
          <w:rStyle w:val="Refdenotaalpie"/>
          <w:rFonts w:eastAsia="Calibri"/>
          <w:iCs/>
          <w:sz w:val="28"/>
          <w:szCs w:val="28"/>
        </w:rPr>
        <w:footnoteReference w:id="19"/>
      </w:r>
      <w:r w:rsidRPr="00EA1CDA">
        <w:rPr>
          <w:rFonts w:eastAsia="Calibri"/>
          <w:iCs/>
          <w:sz w:val="28"/>
          <w:szCs w:val="28"/>
        </w:rPr>
        <w:t xml:space="preserve">. Al respecto señaló que </w:t>
      </w:r>
      <w:r w:rsidR="008247DD" w:rsidRPr="00EA1CDA">
        <w:rPr>
          <w:rFonts w:eastAsia="Calibri"/>
          <w:iCs/>
          <w:sz w:val="28"/>
          <w:szCs w:val="28"/>
        </w:rPr>
        <w:t>aquel</w:t>
      </w:r>
      <w:r w:rsidRPr="00EA1CDA">
        <w:rPr>
          <w:rFonts w:eastAsia="Calibri"/>
          <w:iCs/>
          <w:sz w:val="28"/>
          <w:szCs w:val="28"/>
        </w:rPr>
        <w:t xml:space="preserve"> término resultaba </w:t>
      </w:r>
      <w:r w:rsidR="00956081" w:rsidRPr="00EA1CDA">
        <w:rPr>
          <w:rFonts w:eastAsia="Calibri"/>
          <w:iCs/>
          <w:sz w:val="28"/>
          <w:szCs w:val="28"/>
        </w:rPr>
        <w:t>reducido</w:t>
      </w:r>
      <w:r w:rsidRPr="00EA1CDA">
        <w:rPr>
          <w:rFonts w:eastAsia="Calibri"/>
          <w:iCs/>
          <w:sz w:val="28"/>
          <w:szCs w:val="28"/>
        </w:rPr>
        <w:t xml:space="preserve"> para consolidar un concepto técnico </w:t>
      </w:r>
      <w:r w:rsidR="0004595A" w:rsidRPr="00EA1CDA">
        <w:rPr>
          <w:rFonts w:eastAsia="Calibri"/>
          <w:iCs/>
          <w:sz w:val="28"/>
          <w:szCs w:val="28"/>
        </w:rPr>
        <w:t>frente a</w:t>
      </w:r>
      <w:r w:rsidRPr="00EA1CDA">
        <w:rPr>
          <w:rFonts w:eastAsia="Calibri"/>
          <w:iCs/>
          <w:sz w:val="28"/>
          <w:szCs w:val="28"/>
        </w:rPr>
        <w:t xml:space="preserve"> los medicamentos en cuestión </w:t>
      </w:r>
      <w:r w:rsidR="00760BFF" w:rsidRPr="00EA1CDA">
        <w:rPr>
          <w:rFonts w:eastAsia="Calibri"/>
          <w:iCs/>
          <w:sz w:val="28"/>
          <w:szCs w:val="28"/>
        </w:rPr>
        <w:t>y</w:t>
      </w:r>
      <w:r w:rsidR="007C2444" w:rsidRPr="00EA1CDA">
        <w:rPr>
          <w:rFonts w:eastAsia="Calibri"/>
          <w:iCs/>
          <w:sz w:val="28"/>
          <w:szCs w:val="28"/>
        </w:rPr>
        <w:t xml:space="preserve"> para e</w:t>
      </w:r>
      <w:r w:rsidRPr="00EA1CDA">
        <w:rPr>
          <w:rFonts w:eastAsia="Calibri"/>
          <w:iCs/>
          <w:sz w:val="28"/>
          <w:szCs w:val="28"/>
        </w:rPr>
        <w:t xml:space="preserve">l análisis de cada uno de los expedientes. </w:t>
      </w:r>
    </w:p>
    <w:p w14:paraId="1925EF04" w14:textId="77777777" w:rsidR="00F55EE9" w:rsidRPr="00EA1CDA" w:rsidRDefault="00F55EE9" w:rsidP="00F55EE9">
      <w:pPr>
        <w:pStyle w:val="Prrafodelista"/>
        <w:rPr>
          <w:rFonts w:eastAsia="Calibri"/>
          <w:sz w:val="28"/>
          <w:szCs w:val="28"/>
        </w:rPr>
      </w:pPr>
    </w:p>
    <w:p w14:paraId="5F4F2639" w14:textId="57D533CF" w:rsidR="00F55EE9" w:rsidRPr="00EA1CDA" w:rsidRDefault="00F55EE9" w:rsidP="00F55EE9">
      <w:pPr>
        <w:widowControl w:val="0"/>
        <w:numPr>
          <w:ilvl w:val="0"/>
          <w:numId w:val="1"/>
        </w:numPr>
        <w:pBdr>
          <w:top w:val="nil"/>
          <w:left w:val="nil"/>
          <w:bottom w:val="nil"/>
          <w:right w:val="nil"/>
          <w:between w:val="nil"/>
        </w:pBdr>
        <w:tabs>
          <w:tab w:val="left" w:pos="426"/>
        </w:tabs>
        <w:jc w:val="both"/>
        <w:rPr>
          <w:rFonts w:eastAsia="Calibri"/>
          <w:sz w:val="28"/>
          <w:szCs w:val="28"/>
        </w:rPr>
      </w:pPr>
      <w:r w:rsidRPr="00EA1CDA">
        <w:rPr>
          <w:rFonts w:eastAsia="Calibri"/>
          <w:sz w:val="28"/>
          <w:szCs w:val="28"/>
        </w:rPr>
        <w:t>El 2 de abril de 2025, el despacho sustanciador atendió la solicitud del Ministerio de Salud y de la Protección Social concediéndole el plazo</w:t>
      </w:r>
      <w:r w:rsidR="00CA6BF5" w:rsidRPr="00EA1CDA">
        <w:rPr>
          <w:rFonts w:eastAsia="Calibri"/>
          <w:sz w:val="28"/>
          <w:szCs w:val="28"/>
        </w:rPr>
        <w:t xml:space="preserve"> de tres días contados a partir de la comunicación de </w:t>
      </w:r>
      <w:r w:rsidR="00D46CFE" w:rsidRPr="00EA1CDA">
        <w:rPr>
          <w:rFonts w:eastAsia="Calibri"/>
          <w:sz w:val="28"/>
          <w:szCs w:val="28"/>
        </w:rPr>
        <w:t>esa</w:t>
      </w:r>
      <w:r w:rsidR="00CA6BF5" w:rsidRPr="00EA1CDA">
        <w:rPr>
          <w:rFonts w:eastAsia="Calibri"/>
          <w:sz w:val="28"/>
          <w:szCs w:val="28"/>
        </w:rPr>
        <w:t xml:space="preserve"> providencia</w:t>
      </w:r>
      <w:r w:rsidRPr="00EA1CDA">
        <w:rPr>
          <w:rFonts w:eastAsia="Calibri"/>
          <w:sz w:val="28"/>
          <w:szCs w:val="28"/>
        </w:rPr>
        <w:t xml:space="preserve"> para dar cumplimiento al segundo resolutivo del Auto del 17 de marzo de 2025. </w:t>
      </w:r>
    </w:p>
    <w:p w14:paraId="7A7A3444" w14:textId="77777777" w:rsidR="00F55EE9" w:rsidRPr="00EA1CDA" w:rsidRDefault="00F55EE9" w:rsidP="00F55EE9">
      <w:pPr>
        <w:pStyle w:val="Prrafodelista"/>
        <w:rPr>
          <w:rFonts w:eastAsia="Calibri"/>
          <w:sz w:val="28"/>
          <w:szCs w:val="28"/>
        </w:rPr>
      </w:pPr>
    </w:p>
    <w:p w14:paraId="3D34138F" w14:textId="05B60EE5" w:rsidR="00F55EE9" w:rsidRPr="00EA1CDA" w:rsidRDefault="00F55EE9" w:rsidP="00F55EE9">
      <w:pPr>
        <w:widowControl w:val="0"/>
        <w:numPr>
          <w:ilvl w:val="0"/>
          <w:numId w:val="1"/>
        </w:numPr>
        <w:pBdr>
          <w:top w:val="nil"/>
          <w:left w:val="nil"/>
          <w:bottom w:val="nil"/>
          <w:right w:val="nil"/>
          <w:between w:val="nil"/>
        </w:pBdr>
        <w:tabs>
          <w:tab w:val="left" w:pos="426"/>
        </w:tabs>
        <w:jc w:val="both"/>
        <w:rPr>
          <w:rFonts w:eastAsia="Calibri"/>
          <w:sz w:val="28"/>
          <w:szCs w:val="28"/>
        </w:rPr>
      </w:pPr>
      <w:r w:rsidRPr="00EA1CDA">
        <w:rPr>
          <w:color w:val="000000"/>
          <w:sz w:val="28"/>
          <w:szCs w:val="28"/>
        </w:rPr>
        <w:t xml:space="preserve">El 7 de abril de 2025, el Ministerio de Salud y Protección Social y </w:t>
      </w:r>
      <w:proofErr w:type="spellStart"/>
      <w:r w:rsidRPr="00EA1CDA">
        <w:rPr>
          <w:color w:val="000000"/>
          <w:sz w:val="28"/>
          <w:szCs w:val="28"/>
        </w:rPr>
        <w:t>Acemi</w:t>
      </w:r>
      <w:proofErr w:type="spellEnd"/>
      <w:r w:rsidR="00D74815" w:rsidRPr="00EA1CDA">
        <w:rPr>
          <w:color w:val="000000"/>
          <w:sz w:val="28"/>
          <w:szCs w:val="28"/>
        </w:rPr>
        <w:t xml:space="preserve"> (</w:t>
      </w:r>
      <w:r w:rsidRPr="00EA1CDA">
        <w:rPr>
          <w:color w:val="000000"/>
          <w:sz w:val="28"/>
          <w:szCs w:val="28"/>
        </w:rPr>
        <w:t>Asociación Colombiana de Empresas de Medicina Integral</w:t>
      </w:r>
      <w:r w:rsidR="00D74815" w:rsidRPr="00EA1CDA">
        <w:rPr>
          <w:color w:val="000000"/>
          <w:sz w:val="28"/>
          <w:szCs w:val="28"/>
        </w:rPr>
        <w:t>)</w:t>
      </w:r>
      <w:r w:rsidRPr="00EA1CDA">
        <w:rPr>
          <w:color w:val="000000"/>
          <w:sz w:val="28"/>
          <w:szCs w:val="28"/>
        </w:rPr>
        <w:t xml:space="preserve"> </w:t>
      </w:r>
      <w:r w:rsidRPr="00EA1CDA">
        <w:rPr>
          <w:rFonts w:eastAsia="Calibri"/>
          <w:iCs/>
          <w:sz w:val="28"/>
          <w:szCs w:val="28"/>
        </w:rPr>
        <w:t>remitieron</w:t>
      </w:r>
      <w:r w:rsidR="00D90B4B" w:rsidRPr="00EA1CDA">
        <w:rPr>
          <w:rFonts w:eastAsia="Calibri"/>
          <w:iCs/>
          <w:sz w:val="28"/>
          <w:szCs w:val="28"/>
        </w:rPr>
        <w:t>,</w:t>
      </w:r>
      <w:r w:rsidRPr="00EA1CDA">
        <w:rPr>
          <w:rFonts w:eastAsia="Calibri"/>
          <w:iCs/>
          <w:sz w:val="28"/>
          <w:szCs w:val="28"/>
        </w:rPr>
        <w:t xml:space="preserve"> de forma independiente, correos electrónicos mediante los cuales solicitaron la </w:t>
      </w:r>
      <w:r w:rsidRPr="00EA1CDA">
        <w:rPr>
          <w:rFonts w:eastAsia="Calibri"/>
          <w:iCs/>
          <w:sz w:val="28"/>
          <w:szCs w:val="28"/>
        </w:rPr>
        <w:lastRenderedPageBreak/>
        <w:t>ampliación del plazo previsto en los ordinales tercero, cuarto y sexto del Auto del 17 de marzo de 2025. El Ministerio justificó su solicitud en que los mismos equipos técnicos que elaboraron la respuesta al ordinal segundo del referido auto</w:t>
      </w:r>
      <w:r w:rsidR="00CE1B5D" w:rsidRPr="00EA1CDA">
        <w:rPr>
          <w:rFonts w:eastAsia="Calibri"/>
          <w:iCs/>
          <w:sz w:val="28"/>
          <w:szCs w:val="28"/>
        </w:rPr>
        <w:t>,</w:t>
      </w:r>
      <w:r w:rsidRPr="00EA1CDA">
        <w:rPr>
          <w:rFonts w:eastAsia="Calibri"/>
          <w:iCs/>
          <w:sz w:val="28"/>
          <w:szCs w:val="28"/>
        </w:rPr>
        <w:t xml:space="preserve"> </w:t>
      </w:r>
      <w:r w:rsidR="00CE1B5D" w:rsidRPr="00EA1CDA">
        <w:rPr>
          <w:rFonts w:eastAsia="Calibri"/>
          <w:iCs/>
          <w:sz w:val="28"/>
          <w:szCs w:val="28"/>
        </w:rPr>
        <w:t>estaban</w:t>
      </w:r>
      <w:r w:rsidRPr="00EA1CDA">
        <w:rPr>
          <w:rFonts w:eastAsia="Calibri"/>
          <w:iCs/>
          <w:sz w:val="28"/>
          <w:szCs w:val="28"/>
        </w:rPr>
        <w:t xml:space="preserve"> a cargo del análisis correspondiente al ordinal tercero y, dada la complejidad técnica del cuestionario, se requiere un plazo adicional para garantizar una respuesta completa y debidamente sustentada. Por su parte, </w:t>
      </w:r>
      <w:proofErr w:type="spellStart"/>
      <w:r w:rsidRPr="00EA1CDA">
        <w:rPr>
          <w:rFonts w:eastAsia="Calibri"/>
          <w:iCs/>
          <w:sz w:val="28"/>
          <w:szCs w:val="28"/>
        </w:rPr>
        <w:t>Acemi</w:t>
      </w:r>
      <w:proofErr w:type="spellEnd"/>
      <w:r w:rsidRPr="00EA1CDA">
        <w:rPr>
          <w:rFonts w:eastAsia="Calibri"/>
          <w:iCs/>
          <w:sz w:val="28"/>
          <w:szCs w:val="28"/>
        </w:rPr>
        <w:t xml:space="preserve"> fundamentó su petición en la relevancia del tema abordado, así como en el hecho de que, a la fecha, se encontraban en proceso de recopilación de la información suministrada por varias </w:t>
      </w:r>
      <w:r w:rsidR="00D74815" w:rsidRPr="00EA1CDA">
        <w:rPr>
          <w:rFonts w:eastAsia="Calibri"/>
          <w:iCs/>
          <w:sz w:val="28"/>
          <w:szCs w:val="28"/>
        </w:rPr>
        <w:t>entidades promotoras de salud</w:t>
      </w:r>
      <w:r w:rsidRPr="00EA1CDA">
        <w:rPr>
          <w:rFonts w:eastAsia="Calibri"/>
          <w:iCs/>
          <w:sz w:val="28"/>
          <w:szCs w:val="28"/>
        </w:rPr>
        <w:t xml:space="preserve">. </w:t>
      </w:r>
    </w:p>
    <w:p w14:paraId="11DF1C5C" w14:textId="77777777" w:rsidR="00F55EE9" w:rsidRPr="00EA1CDA" w:rsidRDefault="00F55EE9" w:rsidP="00F55EE9">
      <w:pPr>
        <w:pStyle w:val="Prrafodelista"/>
        <w:rPr>
          <w:rFonts w:eastAsia="Calibri"/>
          <w:sz w:val="28"/>
          <w:szCs w:val="28"/>
        </w:rPr>
      </w:pPr>
    </w:p>
    <w:p w14:paraId="374FACDF" w14:textId="13E4865E" w:rsidR="00F55EE9" w:rsidRPr="00EA1CDA" w:rsidRDefault="00F55EE9" w:rsidP="00F55EE9">
      <w:pPr>
        <w:widowControl w:val="0"/>
        <w:numPr>
          <w:ilvl w:val="0"/>
          <w:numId w:val="1"/>
        </w:numPr>
        <w:pBdr>
          <w:top w:val="nil"/>
          <w:left w:val="nil"/>
          <w:bottom w:val="nil"/>
          <w:right w:val="nil"/>
          <w:between w:val="nil"/>
        </w:pBdr>
        <w:tabs>
          <w:tab w:val="left" w:pos="426"/>
        </w:tabs>
        <w:jc w:val="both"/>
        <w:rPr>
          <w:rFonts w:eastAsia="Calibri"/>
          <w:sz w:val="28"/>
          <w:szCs w:val="28"/>
        </w:rPr>
      </w:pPr>
      <w:r w:rsidRPr="00EA1CDA">
        <w:rPr>
          <w:rFonts w:eastAsia="Calibri"/>
          <w:sz w:val="28"/>
          <w:szCs w:val="28"/>
        </w:rPr>
        <w:t xml:space="preserve">El 9 de abril de 2025 el despacho sustanciador otorgó a cada una de las entidades referidas, el término adicional de </w:t>
      </w:r>
      <w:r w:rsidR="00390068" w:rsidRPr="00EA1CDA">
        <w:rPr>
          <w:rFonts w:eastAsia="Calibri"/>
          <w:sz w:val="28"/>
          <w:szCs w:val="28"/>
        </w:rPr>
        <w:t>cinco</w:t>
      </w:r>
      <w:r w:rsidRPr="00EA1CDA">
        <w:rPr>
          <w:rFonts w:eastAsia="Calibri"/>
          <w:sz w:val="28"/>
          <w:szCs w:val="28"/>
        </w:rPr>
        <w:t xml:space="preserve"> días hábiles </w:t>
      </w:r>
      <w:r w:rsidRPr="00EA1CDA">
        <w:rPr>
          <w:color w:val="000000"/>
          <w:sz w:val="28"/>
          <w:szCs w:val="28"/>
        </w:rPr>
        <w:t>para que cumplieran con lo previsto en los resolutivos tercero, cuarto y sexto del Auto del 17 de marzo de 2025.</w:t>
      </w:r>
    </w:p>
    <w:p w14:paraId="385A9AE8" w14:textId="77777777" w:rsidR="004D4660" w:rsidRPr="00EA1CDA" w:rsidRDefault="004D4660" w:rsidP="004D4660">
      <w:pPr>
        <w:pStyle w:val="Prrafodelista"/>
        <w:rPr>
          <w:rFonts w:eastAsia="Calibri"/>
          <w:sz w:val="28"/>
          <w:szCs w:val="28"/>
        </w:rPr>
      </w:pPr>
    </w:p>
    <w:p w14:paraId="0C4E713B" w14:textId="49B05DE8" w:rsidR="004D4660" w:rsidRPr="00EA1CDA" w:rsidRDefault="004D4660" w:rsidP="00F55EE9">
      <w:pPr>
        <w:widowControl w:val="0"/>
        <w:numPr>
          <w:ilvl w:val="0"/>
          <w:numId w:val="1"/>
        </w:numPr>
        <w:pBdr>
          <w:top w:val="nil"/>
          <w:left w:val="nil"/>
          <w:bottom w:val="nil"/>
          <w:right w:val="nil"/>
          <w:between w:val="nil"/>
        </w:pBdr>
        <w:tabs>
          <w:tab w:val="left" w:pos="426"/>
        </w:tabs>
        <w:jc w:val="both"/>
        <w:rPr>
          <w:rFonts w:eastAsia="Calibri"/>
          <w:sz w:val="28"/>
          <w:szCs w:val="28"/>
        </w:rPr>
      </w:pPr>
      <w:r w:rsidRPr="00EA1CDA">
        <w:rPr>
          <w:rFonts w:eastAsia="Calibri"/>
          <w:sz w:val="28"/>
          <w:szCs w:val="28"/>
        </w:rPr>
        <w:t xml:space="preserve">El </w:t>
      </w:r>
      <w:r w:rsidR="00B40CEB" w:rsidRPr="00EA1CDA">
        <w:rPr>
          <w:rFonts w:eastAsia="Calibri"/>
          <w:sz w:val="28"/>
          <w:szCs w:val="28"/>
        </w:rPr>
        <w:t>21 de abril de 2025, Nueva EPS solicitó dos prórrogas distintas para responder a</w:t>
      </w:r>
      <w:r w:rsidR="0028417A" w:rsidRPr="00EA1CDA">
        <w:rPr>
          <w:rFonts w:eastAsia="Calibri"/>
          <w:sz w:val="28"/>
          <w:szCs w:val="28"/>
        </w:rPr>
        <w:t xml:space="preserve"> la solicitud probatoria contenida en el</w:t>
      </w:r>
      <w:r w:rsidR="00B40CEB" w:rsidRPr="00EA1CDA">
        <w:rPr>
          <w:rFonts w:eastAsia="Calibri"/>
          <w:sz w:val="28"/>
          <w:szCs w:val="28"/>
        </w:rPr>
        <w:t xml:space="preserve"> </w:t>
      </w:r>
      <w:r w:rsidR="00F00B13" w:rsidRPr="00EA1CDA">
        <w:rPr>
          <w:rFonts w:eastAsia="Calibri"/>
          <w:sz w:val="28"/>
          <w:szCs w:val="28"/>
        </w:rPr>
        <w:t>A</w:t>
      </w:r>
      <w:r w:rsidR="00B40CEB" w:rsidRPr="00EA1CDA">
        <w:rPr>
          <w:rFonts w:eastAsia="Calibri"/>
          <w:sz w:val="28"/>
          <w:szCs w:val="28"/>
        </w:rPr>
        <w:t xml:space="preserve">uto del 17 de marzo </w:t>
      </w:r>
      <w:r w:rsidR="0028417A" w:rsidRPr="00EA1CDA">
        <w:rPr>
          <w:rFonts w:eastAsia="Calibri"/>
          <w:sz w:val="28"/>
          <w:szCs w:val="28"/>
        </w:rPr>
        <w:t>de 2025</w:t>
      </w:r>
      <w:r w:rsidR="00B40CEB" w:rsidRPr="00EA1CDA">
        <w:rPr>
          <w:rFonts w:eastAsia="Calibri"/>
          <w:sz w:val="28"/>
          <w:szCs w:val="28"/>
        </w:rPr>
        <w:t xml:space="preserve">. </w:t>
      </w:r>
      <w:r w:rsidR="00CF5A7B" w:rsidRPr="00EA1CDA">
        <w:rPr>
          <w:rFonts w:eastAsia="Calibri"/>
          <w:sz w:val="28"/>
          <w:szCs w:val="28"/>
        </w:rPr>
        <w:t>La primera</w:t>
      </w:r>
      <w:r w:rsidR="00B40CEB" w:rsidRPr="00EA1CDA">
        <w:rPr>
          <w:rFonts w:eastAsia="Calibri"/>
          <w:sz w:val="28"/>
          <w:szCs w:val="28"/>
        </w:rPr>
        <w:t xml:space="preserve">, </w:t>
      </w:r>
      <w:r w:rsidR="00A9699A" w:rsidRPr="00EA1CDA">
        <w:rPr>
          <w:rFonts w:eastAsia="Calibri"/>
          <w:sz w:val="28"/>
          <w:szCs w:val="28"/>
        </w:rPr>
        <w:t xml:space="preserve">frente al literal </w:t>
      </w:r>
      <w:r w:rsidR="00A9699A" w:rsidRPr="00EA1CDA">
        <w:rPr>
          <w:rFonts w:eastAsia="Calibri"/>
          <w:i/>
          <w:iCs/>
          <w:sz w:val="28"/>
          <w:szCs w:val="28"/>
        </w:rPr>
        <w:t>e)</w:t>
      </w:r>
      <w:r w:rsidR="00A9699A" w:rsidRPr="00EA1CDA">
        <w:rPr>
          <w:rFonts w:eastAsia="Calibri"/>
          <w:sz w:val="28"/>
          <w:szCs w:val="28"/>
        </w:rPr>
        <w:t xml:space="preserve"> del ordinal cuarto de aquella providencia, </w:t>
      </w:r>
      <w:r w:rsidR="00734B37" w:rsidRPr="00EA1CDA">
        <w:rPr>
          <w:rFonts w:eastAsia="Calibri"/>
          <w:sz w:val="28"/>
          <w:szCs w:val="28"/>
        </w:rPr>
        <w:t xml:space="preserve">en relación con el cual </w:t>
      </w:r>
      <w:r w:rsidR="00A9699A" w:rsidRPr="00EA1CDA">
        <w:rPr>
          <w:rFonts w:eastAsia="Calibri"/>
          <w:sz w:val="28"/>
          <w:szCs w:val="28"/>
        </w:rPr>
        <w:t>requ</w:t>
      </w:r>
      <w:r w:rsidR="00734B37" w:rsidRPr="00EA1CDA">
        <w:rPr>
          <w:rFonts w:eastAsia="Calibri"/>
          <w:sz w:val="28"/>
          <w:szCs w:val="28"/>
        </w:rPr>
        <w:t>i</w:t>
      </w:r>
      <w:r w:rsidR="00A9699A" w:rsidRPr="00EA1CDA">
        <w:rPr>
          <w:rFonts w:eastAsia="Calibri"/>
          <w:sz w:val="28"/>
          <w:szCs w:val="28"/>
        </w:rPr>
        <w:t>r</w:t>
      </w:r>
      <w:r w:rsidR="00734B37" w:rsidRPr="00EA1CDA">
        <w:rPr>
          <w:rFonts w:eastAsia="Calibri"/>
          <w:sz w:val="28"/>
          <w:szCs w:val="28"/>
        </w:rPr>
        <w:t>ió</w:t>
      </w:r>
      <w:r w:rsidR="00A9699A" w:rsidRPr="00EA1CDA">
        <w:rPr>
          <w:rFonts w:eastAsia="Calibri"/>
          <w:sz w:val="28"/>
          <w:szCs w:val="28"/>
        </w:rPr>
        <w:t xml:space="preserve"> un plazo adicional hasta el 24 de abril de 2025</w:t>
      </w:r>
      <w:r w:rsidR="00CC5806" w:rsidRPr="00EA1CDA">
        <w:rPr>
          <w:rFonts w:eastAsia="Calibri"/>
          <w:sz w:val="28"/>
          <w:szCs w:val="28"/>
        </w:rPr>
        <w:t xml:space="preserve"> en vista de que el área encargada se encontraba recaudando la información correspondiente. </w:t>
      </w:r>
      <w:r w:rsidR="00CF5A7B" w:rsidRPr="00EA1CDA">
        <w:rPr>
          <w:rFonts w:eastAsia="Calibri"/>
          <w:sz w:val="28"/>
          <w:szCs w:val="28"/>
        </w:rPr>
        <w:t>La segunda</w:t>
      </w:r>
      <w:r w:rsidR="000E4DC0" w:rsidRPr="00EA1CDA">
        <w:rPr>
          <w:rFonts w:eastAsia="Calibri"/>
          <w:sz w:val="28"/>
          <w:szCs w:val="28"/>
        </w:rPr>
        <w:t xml:space="preserve">, en relación con los expedientes </w:t>
      </w:r>
      <w:r w:rsidR="001D04A4" w:rsidRPr="00EA1CDA">
        <w:rPr>
          <w:rFonts w:eastAsia="Calibri"/>
          <w:i/>
          <w:iCs/>
          <w:sz w:val="28"/>
          <w:szCs w:val="28"/>
        </w:rPr>
        <w:t>(2)</w:t>
      </w:r>
      <w:r w:rsidR="001D04A4" w:rsidRPr="00EA1CDA">
        <w:rPr>
          <w:rFonts w:eastAsia="Calibri"/>
          <w:sz w:val="28"/>
          <w:szCs w:val="28"/>
        </w:rPr>
        <w:t xml:space="preserve"> T-10.771.082, </w:t>
      </w:r>
      <w:r w:rsidR="00CF5A7B" w:rsidRPr="00EA1CDA">
        <w:rPr>
          <w:rFonts w:eastAsia="Calibri"/>
          <w:i/>
          <w:iCs/>
          <w:sz w:val="28"/>
          <w:szCs w:val="28"/>
        </w:rPr>
        <w:t>(3)</w:t>
      </w:r>
      <w:r w:rsidR="00CF5A7B" w:rsidRPr="00EA1CDA">
        <w:rPr>
          <w:rFonts w:eastAsia="Calibri"/>
          <w:sz w:val="28"/>
          <w:szCs w:val="28"/>
        </w:rPr>
        <w:t xml:space="preserve"> T-10.773.946, </w:t>
      </w:r>
      <w:r w:rsidR="00183272" w:rsidRPr="00EA1CDA">
        <w:rPr>
          <w:rFonts w:eastAsia="Calibri"/>
          <w:i/>
          <w:iCs/>
          <w:sz w:val="28"/>
          <w:szCs w:val="28"/>
        </w:rPr>
        <w:t>(6)</w:t>
      </w:r>
      <w:r w:rsidR="00183272" w:rsidRPr="00EA1CDA">
        <w:rPr>
          <w:rFonts w:eastAsia="Calibri"/>
          <w:sz w:val="28"/>
          <w:szCs w:val="28"/>
        </w:rPr>
        <w:t xml:space="preserve"> T-10.781.205, </w:t>
      </w:r>
      <w:r w:rsidR="00183272" w:rsidRPr="00EA1CDA">
        <w:rPr>
          <w:rFonts w:eastAsia="Calibri"/>
          <w:i/>
          <w:iCs/>
          <w:sz w:val="28"/>
          <w:szCs w:val="28"/>
        </w:rPr>
        <w:t>(9)</w:t>
      </w:r>
      <w:r w:rsidR="00183272" w:rsidRPr="00EA1CDA">
        <w:rPr>
          <w:rFonts w:eastAsia="Calibri"/>
          <w:sz w:val="28"/>
          <w:szCs w:val="28"/>
        </w:rPr>
        <w:t xml:space="preserve"> T-10.785.672, </w:t>
      </w:r>
      <w:r w:rsidR="00183272" w:rsidRPr="00EA1CDA">
        <w:rPr>
          <w:rFonts w:eastAsia="Calibri"/>
          <w:i/>
          <w:iCs/>
          <w:sz w:val="28"/>
          <w:szCs w:val="28"/>
        </w:rPr>
        <w:t>(10)</w:t>
      </w:r>
      <w:r w:rsidR="00183272" w:rsidRPr="00EA1CDA">
        <w:rPr>
          <w:rFonts w:eastAsia="Calibri"/>
          <w:sz w:val="28"/>
          <w:szCs w:val="28"/>
        </w:rPr>
        <w:t xml:space="preserve"> T-10.785.910, </w:t>
      </w:r>
      <w:r w:rsidR="00183272" w:rsidRPr="00EA1CDA">
        <w:rPr>
          <w:rFonts w:eastAsia="Calibri"/>
          <w:i/>
          <w:iCs/>
          <w:sz w:val="28"/>
          <w:szCs w:val="28"/>
        </w:rPr>
        <w:t>(11)</w:t>
      </w:r>
      <w:r w:rsidR="00183272" w:rsidRPr="00EA1CDA">
        <w:rPr>
          <w:rFonts w:eastAsia="Calibri"/>
          <w:sz w:val="28"/>
          <w:szCs w:val="28"/>
        </w:rPr>
        <w:t xml:space="preserve"> T-10.787.792,</w:t>
      </w:r>
      <w:r w:rsidR="00183272" w:rsidRPr="00EA1CDA">
        <w:rPr>
          <w:rFonts w:eastAsia="Calibri"/>
          <w:i/>
          <w:iCs/>
          <w:sz w:val="28"/>
          <w:szCs w:val="28"/>
        </w:rPr>
        <w:t xml:space="preserve"> </w:t>
      </w:r>
      <w:r w:rsidR="00A67B77" w:rsidRPr="00EA1CDA">
        <w:rPr>
          <w:rFonts w:eastAsia="Calibri"/>
          <w:i/>
          <w:iCs/>
          <w:sz w:val="28"/>
          <w:szCs w:val="28"/>
        </w:rPr>
        <w:t>(16)</w:t>
      </w:r>
      <w:r w:rsidR="00A67B77" w:rsidRPr="00EA1CDA">
        <w:rPr>
          <w:rFonts w:eastAsia="Calibri"/>
          <w:sz w:val="28"/>
          <w:szCs w:val="28"/>
        </w:rPr>
        <w:t xml:space="preserve"> T-10.796.578, </w:t>
      </w:r>
      <w:r w:rsidR="00CE09E9" w:rsidRPr="00EA1CDA">
        <w:rPr>
          <w:rFonts w:eastAsia="Calibri"/>
          <w:i/>
          <w:iCs/>
          <w:sz w:val="28"/>
          <w:szCs w:val="28"/>
        </w:rPr>
        <w:t>(17)</w:t>
      </w:r>
      <w:r w:rsidR="00CE09E9" w:rsidRPr="00EA1CDA">
        <w:rPr>
          <w:rFonts w:eastAsia="Calibri"/>
          <w:sz w:val="28"/>
          <w:szCs w:val="28"/>
        </w:rPr>
        <w:t xml:space="preserve"> T- 10.796.598, </w:t>
      </w:r>
      <w:r w:rsidR="00AC6730" w:rsidRPr="00EA1CDA">
        <w:rPr>
          <w:rFonts w:eastAsia="Calibri"/>
          <w:i/>
          <w:iCs/>
          <w:sz w:val="28"/>
          <w:szCs w:val="28"/>
        </w:rPr>
        <w:t>(18)</w:t>
      </w:r>
      <w:r w:rsidR="00AC6730" w:rsidRPr="00EA1CDA">
        <w:rPr>
          <w:rFonts w:eastAsia="Calibri"/>
          <w:sz w:val="28"/>
          <w:szCs w:val="28"/>
        </w:rPr>
        <w:t xml:space="preserve"> T-10.800.631, </w:t>
      </w:r>
      <w:r w:rsidR="00421AF6" w:rsidRPr="00EA1CDA">
        <w:rPr>
          <w:rFonts w:eastAsia="Calibri"/>
          <w:i/>
          <w:iCs/>
          <w:sz w:val="28"/>
          <w:szCs w:val="28"/>
        </w:rPr>
        <w:t>(19)</w:t>
      </w:r>
      <w:r w:rsidR="00421AF6" w:rsidRPr="00EA1CDA">
        <w:rPr>
          <w:rFonts w:eastAsia="Calibri"/>
          <w:sz w:val="28"/>
          <w:szCs w:val="28"/>
        </w:rPr>
        <w:t xml:space="preserve"> T-10.800.758</w:t>
      </w:r>
      <w:r w:rsidR="00DF555B" w:rsidRPr="00EA1CDA">
        <w:rPr>
          <w:rFonts w:eastAsia="Calibri"/>
          <w:sz w:val="28"/>
          <w:szCs w:val="28"/>
        </w:rPr>
        <w:t>,</w:t>
      </w:r>
      <w:r w:rsidR="00421AF6" w:rsidRPr="00EA1CDA">
        <w:rPr>
          <w:rFonts w:eastAsia="Calibri"/>
          <w:i/>
          <w:iCs/>
          <w:sz w:val="28"/>
          <w:szCs w:val="28"/>
        </w:rPr>
        <w:t xml:space="preserve"> </w:t>
      </w:r>
      <w:r w:rsidR="00CE09E9" w:rsidRPr="00EA1CDA">
        <w:rPr>
          <w:rFonts w:eastAsia="Calibri"/>
          <w:i/>
          <w:iCs/>
          <w:sz w:val="28"/>
          <w:szCs w:val="28"/>
        </w:rPr>
        <w:t>(20)</w:t>
      </w:r>
      <w:r w:rsidR="00CE09E9" w:rsidRPr="00EA1CDA">
        <w:rPr>
          <w:rFonts w:eastAsia="Calibri"/>
          <w:sz w:val="28"/>
          <w:szCs w:val="28"/>
        </w:rPr>
        <w:t xml:space="preserve"> T-10.800.834, </w:t>
      </w:r>
      <w:r w:rsidR="00CE09E9" w:rsidRPr="00EA1CDA">
        <w:rPr>
          <w:rFonts w:eastAsia="Calibri"/>
          <w:i/>
          <w:iCs/>
          <w:sz w:val="28"/>
          <w:szCs w:val="28"/>
        </w:rPr>
        <w:t>(23)</w:t>
      </w:r>
      <w:r w:rsidR="00CE09E9" w:rsidRPr="00EA1CDA">
        <w:rPr>
          <w:rFonts w:eastAsia="Calibri"/>
          <w:sz w:val="28"/>
          <w:szCs w:val="28"/>
        </w:rPr>
        <w:t xml:space="preserve"> T- 10.810.117, </w:t>
      </w:r>
      <w:r w:rsidR="00CE09E9" w:rsidRPr="00EA1CDA">
        <w:rPr>
          <w:rFonts w:eastAsia="Calibri"/>
          <w:i/>
          <w:iCs/>
          <w:sz w:val="28"/>
          <w:szCs w:val="28"/>
        </w:rPr>
        <w:t>(24)</w:t>
      </w:r>
      <w:r w:rsidR="00CE09E9" w:rsidRPr="00EA1CDA">
        <w:rPr>
          <w:rFonts w:eastAsia="Calibri"/>
          <w:sz w:val="28"/>
          <w:szCs w:val="28"/>
        </w:rPr>
        <w:t xml:space="preserve"> T-10.810.192, </w:t>
      </w:r>
      <w:r w:rsidR="00DF555B" w:rsidRPr="00EA1CDA">
        <w:rPr>
          <w:rFonts w:eastAsia="Calibri"/>
          <w:i/>
          <w:iCs/>
          <w:sz w:val="28"/>
          <w:szCs w:val="28"/>
        </w:rPr>
        <w:t>(26)</w:t>
      </w:r>
      <w:r w:rsidR="00DF555B" w:rsidRPr="00EA1CDA">
        <w:rPr>
          <w:rFonts w:eastAsia="Calibri"/>
          <w:sz w:val="28"/>
          <w:szCs w:val="28"/>
        </w:rPr>
        <w:t xml:space="preserve"> T-10.811.650</w:t>
      </w:r>
      <w:r w:rsidR="00CE09E9" w:rsidRPr="00EA1CDA">
        <w:rPr>
          <w:rFonts w:eastAsia="Calibri"/>
          <w:sz w:val="28"/>
          <w:szCs w:val="28"/>
        </w:rPr>
        <w:t xml:space="preserve"> y</w:t>
      </w:r>
      <w:r w:rsidR="00DF555B" w:rsidRPr="00EA1CDA">
        <w:rPr>
          <w:rFonts w:eastAsia="Calibri"/>
          <w:sz w:val="28"/>
          <w:szCs w:val="28"/>
        </w:rPr>
        <w:t xml:space="preserve"> </w:t>
      </w:r>
      <w:r w:rsidR="00DF555B" w:rsidRPr="00EA1CDA">
        <w:rPr>
          <w:rFonts w:eastAsia="Calibri"/>
          <w:i/>
          <w:iCs/>
          <w:sz w:val="28"/>
          <w:szCs w:val="28"/>
        </w:rPr>
        <w:t>(27)</w:t>
      </w:r>
      <w:r w:rsidR="00DF555B" w:rsidRPr="00EA1CDA">
        <w:rPr>
          <w:rFonts w:eastAsia="Calibri"/>
          <w:sz w:val="28"/>
          <w:szCs w:val="28"/>
        </w:rPr>
        <w:t xml:space="preserve"> T-10.811.732</w:t>
      </w:r>
      <w:r w:rsidR="002F3244" w:rsidRPr="00EA1CDA">
        <w:rPr>
          <w:rFonts w:eastAsia="Calibri"/>
          <w:sz w:val="28"/>
          <w:szCs w:val="28"/>
        </w:rPr>
        <w:t>,</w:t>
      </w:r>
      <w:r w:rsidR="009D6E58" w:rsidRPr="00EA1CDA">
        <w:rPr>
          <w:rFonts w:eastAsia="Calibri"/>
          <w:sz w:val="28"/>
          <w:szCs w:val="28"/>
        </w:rPr>
        <w:t xml:space="preserve"> </w:t>
      </w:r>
      <w:r w:rsidR="00A4166C" w:rsidRPr="00EA1CDA">
        <w:rPr>
          <w:rFonts w:eastAsia="Calibri"/>
          <w:sz w:val="28"/>
          <w:szCs w:val="28"/>
        </w:rPr>
        <w:t xml:space="preserve">para cuya respuesta </w:t>
      </w:r>
      <w:r w:rsidR="002F3244" w:rsidRPr="00EA1CDA">
        <w:rPr>
          <w:rFonts w:eastAsia="Calibri"/>
          <w:sz w:val="28"/>
          <w:szCs w:val="28"/>
        </w:rPr>
        <w:t>pidió</w:t>
      </w:r>
      <w:r w:rsidR="00B85FFD" w:rsidRPr="00EA1CDA">
        <w:rPr>
          <w:rFonts w:eastAsia="Calibri"/>
          <w:sz w:val="28"/>
          <w:szCs w:val="28"/>
        </w:rPr>
        <w:t xml:space="preserve"> </w:t>
      </w:r>
      <w:r w:rsidR="00C21EE4" w:rsidRPr="00EA1CDA">
        <w:rPr>
          <w:rFonts w:eastAsia="Calibri"/>
          <w:sz w:val="28"/>
          <w:szCs w:val="28"/>
        </w:rPr>
        <w:t xml:space="preserve">la remisión de los expedientes electrónicos correspondientes y </w:t>
      </w:r>
      <w:r w:rsidR="00B85FFD" w:rsidRPr="00EA1CDA">
        <w:rPr>
          <w:rFonts w:eastAsia="Calibri"/>
          <w:sz w:val="28"/>
          <w:szCs w:val="28"/>
        </w:rPr>
        <w:t xml:space="preserve">una ampliación </w:t>
      </w:r>
      <w:r w:rsidR="00C21EE4" w:rsidRPr="00EA1CDA">
        <w:rPr>
          <w:rFonts w:eastAsia="Calibri"/>
          <w:sz w:val="28"/>
          <w:szCs w:val="28"/>
        </w:rPr>
        <w:t>en el plazo inicialmente otorgado</w:t>
      </w:r>
      <w:r w:rsidR="0014066A" w:rsidRPr="00EA1CDA">
        <w:rPr>
          <w:rFonts w:eastAsia="Calibri"/>
          <w:sz w:val="28"/>
          <w:szCs w:val="28"/>
        </w:rPr>
        <w:t>. Esta solicitud fue atendida de forma favorable mediante Auto del 23 de abril de 2025</w:t>
      </w:r>
      <w:r w:rsidR="001D04A4" w:rsidRPr="00EA1CDA">
        <w:rPr>
          <w:rFonts w:eastAsia="Calibri"/>
          <w:sz w:val="28"/>
          <w:szCs w:val="28"/>
        </w:rPr>
        <w:t xml:space="preserve">. </w:t>
      </w:r>
    </w:p>
    <w:p w14:paraId="3285FA9F" w14:textId="77777777" w:rsidR="00F55EE9" w:rsidRPr="00EA1CDA" w:rsidRDefault="00F55EE9" w:rsidP="00F55EE9">
      <w:pPr>
        <w:pStyle w:val="Prrafodelista"/>
        <w:rPr>
          <w:rFonts w:eastAsia="Calibri"/>
          <w:sz w:val="28"/>
          <w:szCs w:val="28"/>
        </w:rPr>
      </w:pPr>
    </w:p>
    <w:p w14:paraId="1D19B8E9" w14:textId="271C2E36" w:rsidR="00623595" w:rsidRPr="00EA1CDA" w:rsidRDefault="00132EDB" w:rsidP="00E90C86">
      <w:pPr>
        <w:widowControl w:val="0"/>
        <w:numPr>
          <w:ilvl w:val="0"/>
          <w:numId w:val="1"/>
        </w:numPr>
        <w:pBdr>
          <w:top w:val="nil"/>
          <w:left w:val="nil"/>
          <w:bottom w:val="nil"/>
          <w:right w:val="nil"/>
          <w:between w:val="nil"/>
        </w:pBdr>
        <w:tabs>
          <w:tab w:val="left" w:pos="426"/>
        </w:tabs>
        <w:jc w:val="both"/>
        <w:rPr>
          <w:rFonts w:eastAsia="Calibri"/>
          <w:sz w:val="28"/>
          <w:szCs w:val="28"/>
        </w:rPr>
      </w:pPr>
      <w:r w:rsidRPr="00EA1CDA">
        <w:rPr>
          <w:rFonts w:eastAsia="Calibri"/>
          <w:i/>
          <w:iCs/>
          <w:sz w:val="28"/>
          <w:szCs w:val="28"/>
        </w:rPr>
        <w:t xml:space="preserve">Respuestas </w:t>
      </w:r>
      <w:r w:rsidR="00083545" w:rsidRPr="00EA1CDA">
        <w:rPr>
          <w:rFonts w:eastAsia="Calibri"/>
          <w:i/>
          <w:iCs/>
          <w:sz w:val="28"/>
          <w:szCs w:val="28"/>
        </w:rPr>
        <w:t xml:space="preserve">recibidas </w:t>
      </w:r>
      <w:r w:rsidR="00B13B1B" w:rsidRPr="00EA1CDA">
        <w:rPr>
          <w:rFonts w:eastAsia="Calibri"/>
          <w:i/>
          <w:iCs/>
          <w:sz w:val="28"/>
          <w:szCs w:val="28"/>
        </w:rPr>
        <w:t>durante</w:t>
      </w:r>
      <w:r w:rsidRPr="00EA1CDA">
        <w:rPr>
          <w:rFonts w:eastAsia="Calibri"/>
          <w:i/>
          <w:iCs/>
          <w:sz w:val="28"/>
          <w:szCs w:val="28"/>
        </w:rPr>
        <w:t xml:space="preserve"> el trámite de revisión</w:t>
      </w:r>
      <w:r w:rsidR="00A5113B" w:rsidRPr="00EA1CDA">
        <w:rPr>
          <w:rFonts w:eastAsia="Calibri"/>
          <w:i/>
          <w:iCs/>
          <w:sz w:val="28"/>
          <w:szCs w:val="28"/>
        </w:rPr>
        <w:t xml:space="preserve"> hasta la fecha</w:t>
      </w:r>
      <w:r w:rsidR="00A5113B" w:rsidRPr="00EA1CDA">
        <w:rPr>
          <w:rFonts w:eastAsia="Calibri"/>
          <w:sz w:val="28"/>
          <w:szCs w:val="28"/>
        </w:rPr>
        <w:t>.</w:t>
      </w:r>
      <w:r w:rsidR="002E3DDE" w:rsidRPr="00EA1CDA">
        <w:rPr>
          <w:rFonts w:eastAsia="Calibri"/>
          <w:sz w:val="28"/>
          <w:szCs w:val="28"/>
        </w:rPr>
        <w:t xml:space="preserve"> </w:t>
      </w:r>
      <w:r w:rsidR="0028290E" w:rsidRPr="00EA1CDA">
        <w:rPr>
          <w:rFonts w:eastAsia="Calibri"/>
          <w:sz w:val="28"/>
          <w:szCs w:val="28"/>
        </w:rPr>
        <w:t xml:space="preserve">El </w:t>
      </w:r>
      <w:proofErr w:type="gramStart"/>
      <w:r w:rsidR="0028290E" w:rsidRPr="00EA1CDA">
        <w:rPr>
          <w:rFonts w:eastAsia="Calibri"/>
          <w:sz w:val="28"/>
          <w:szCs w:val="28"/>
        </w:rPr>
        <w:t>1</w:t>
      </w:r>
      <w:r w:rsidR="004F38D2" w:rsidRPr="00EA1CDA">
        <w:rPr>
          <w:rFonts w:eastAsia="Calibri"/>
          <w:sz w:val="28"/>
          <w:szCs w:val="28"/>
        </w:rPr>
        <w:t>.</w:t>
      </w:r>
      <w:r w:rsidR="0028290E" w:rsidRPr="00EA1CDA">
        <w:rPr>
          <w:rFonts w:eastAsia="Calibri"/>
          <w:sz w:val="28"/>
          <w:szCs w:val="28"/>
        </w:rPr>
        <w:t>°</w:t>
      </w:r>
      <w:proofErr w:type="gramEnd"/>
      <w:r w:rsidR="0028290E" w:rsidRPr="00EA1CDA">
        <w:rPr>
          <w:rFonts w:eastAsia="Calibri"/>
          <w:sz w:val="28"/>
          <w:szCs w:val="28"/>
        </w:rPr>
        <w:t xml:space="preserve"> de abril de 2025 e</w:t>
      </w:r>
      <w:r w:rsidR="002E3DDE" w:rsidRPr="00EA1CDA">
        <w:rPr>
          <w:rFonts w:eastAsia="Calibri"/>
          <w:sz w:val="28"/>
          <w:szCs w:val="28"/>
        </w:rPr>
        <w:t>l despacho contactó telefónicamente a los accionantes para validar el estado de entrega de los medicamentos.</w:t>
      </w:r>
      <w:r w:rsidR="00D939A3" w:rsidRPr="00EA1CDA">
        <w:rPr>
          <w:rFonts w:eastAsia="Calibri"/>
          <w:sz w:val="28"/>
          <w:szCs w:val="28"/>
        </w:rPr>
        <w:t xml:space="preserve"> </w:t>
      </w:r>
      <w:r w:rsidR="00B13B1B" w:rsidRPr="00EA1CDA">
        <w:rPr>
          <w:rFonts w:eastAsia="Calibri"/>
          <w:sz w:val="28"/>
          <w:szCs w:val="28"/>
        </w:rPr>
        <w:t xml:space="preserve">Para el </w:t>
      </w:r>
      <w:r w:rsidR="00F55EE9" w:rsidRPr="00EA1CDA">
        <w:rPr>
          <w:rFonts w:eastAsia="Calibri"/>
          <w:sz w:val="28"/>
          <w:szCs w:val="28"/>
        </w:rPr>
        <w:t>21</w:t>
      </w:r>
      <w:r w:rsidR="00B13B1B" w:rsidRPr="00EA1CDA">
        <w:rPr>
          <w:rFonts w:eastAsia="Calibri"/>
          <w:sz w:val="28"/>
          <w:szCs w:val="28"/>
        </w:rPr>
        <w:t xml:space="preserve"> de abril de 2025</w:t>
      </w:r>
      <w:r w:rsidR="0092585F" w:rsidRPr="00EA1CDA">
        <w:rPr>
          <w:rFonts w:eastAsia="Calibri"/>
          <w:sz w:val="28"/>
          <w:szCs w:val="28"/>
        </w:rPr>
        <w:t>, solo</w:t>
      </w:r>
      <w:r w:rsidR="009E1A15" w:rsidRPr="00EA1CDA">
        <w:rPr>
          <w:rFonts w:eastAsia="Calibri"/>
          <w:sz w:val="28"/>
          <w:szCs w:val="28"/>
        </w:rPr>
        <w:t xml:space="preserve"> </w:t>
      </w:r>
      <w:r w:rsidR="00BF7190" w:rsidRPr="00EA1CDA">
        <w:rPr>
          <w:rFonts w:eastAsia="Calibri"/>
          <w:sz w:val="28"/>
          <w:szCs w:val="28"/>
        </w:rPr>
        <w:t>cinco</w:t>
      </w:r>
      <w:r w:rsidR="008D6247" w:rsidRPr="00EA1CDA">
        <w:rPr>
          <w:rStyle w:val="Refdenotaalpie"/>
          <w:rFonts w:eastAsia="Calibri"/>
          <w:sz w:val="28"/>
          <w:szCs w:val="28"/>
        </w:rPr>
        <w:footnoteReference w:id="20"/>
      </w:r>
      <w:r w:rsidR="0092585F" w:rsidRPr="00EA1CDA">
        <w:rPr>
          <w:rFonts w:eastAsia="Calibri"/>
          <w:sz w:val="28"/>
          <w:szCs w:val="28"/>
        </w:rPr>
        <w:t xml:space="preserve"> de los </w:t>
      </w:r>
      <w:r w:rsidR="00BF7190" w:rsidRPr="00EA1CDA">
        <w:rPr>
          <w:rFonts w:eastAsia="Calibri"/>
          <w:sz w:val="28"/>
          <w:szCs w:val="28"/>
        </w:rPr>
        <w:t>30</w:t>
      </w:r>
      <w:r w:rsidR="0092585F" w:rsidRPr="00EA1CDA">
        <w:rPr>
          <w:rFonts w:eastAsia="Calibri"/>
          <w:sz w:val="28"/>
          <w:szCs w:val="28"/>
        </w:rPr>
        <w:t xml:space="preserve"> accionantes resolvieron </w:t>
      </w:r>
      <w:r w:rsidR="00D80723" w:rsidRPr="00EA1CDA">
        <w:rPr>
          <w:rFonts w:eastAsia="Calibri"/>
          <w:sz w:val="28"/>
          <w:szCs w:val="28"/>
        </w:rPr>
        <w:t>el cuestionario planteado en el auto de pruebas</w:t>
      </w:r>
      <w:r w:rsidR="00A124FB" w:rsidRPr="00EA1CDA">
        <w:rPr>
          <w:rFonts w:eastAsia="Calibri"/>
          <w:sz w:val="28"/>
          <w:szCs w:val="28"/>
        </w:rPr>
        <w:t xml:space="preserve">. Adicionalmente, </w:t>
      </w:r>
      <w:r w:rsidR="005115E8" w:rsidRPr="00EA1CDA">
        <w:rPr>
          <w:rFonts w:eastAsia="Calibri"/>
          <w:sz w:val="28"/>
          <w:szCs w:val="28"/>
        </w:rPr>
        <w:t>se</w:t>
      </w:r>
      <w:r w:rsidR="00B0549A" w:rsidRPr="00EA1CDA">
        <w:rPr>
          <w:rFonts w:eastAsia="Calibri"/>
          <w:sz w:val="28"/>
          <w:szCs w:val="28"/>
        </w:rPr>
        <w:t xml:space="preserve"> </w:t>
      </w:r>
      <w:r w:rsidR="009375DD" w:rsidRPr="00EA1CDA">
        <w:rPr>
          <w:rFonts w:eastAsia="Calibri"/>
          <w:sz w:val="28"/>
          <w:szCs w:val="28"/>
        </w:rPr>
        <w:t>recibió</w:t>
      </w:r>
      <w:r w:rsidR="00B0549A" w:rsidRPr="00EA1CDA">
        <w:rPr>
          <w:rFonts w:eastAsia="Calibri"/>
          <w:sz w:val="28"/>
          <w:szCs w:val="28"/>
        </w:rPr>
        <w:t xml:space="preserve"> respuesta </w:t>
      </w:r>
      <w:r w:rsidR="00E842EB" w:rsidRPr="00EA1CDA">
        <w:rPr>
          <w:rFonts w:eastAsia="Calibri"/>
          <w:sz w:val="28"/>
          <w:szCs w:val="28"/>
        </w:rPr>
        <w:t>d</w:t>
      </w:r>
      <w:r w:rsidR="00D54EFB" w:rsidRPr="00EA1CDA">
        <w:rPr>
          <w:rFonts w:eastAsia="Calibri"/>
          <w:sz w:val="28"/>
          <w:szCs w:val="28"/>
        </w:rPr>
        <w:t xml:space="preserve">el </w:t>
      </w:r>
      <w:r w:rsidR="00792709" w:rsidRPr="00EA1CDA">
        <w:rPr>
          <w:rFonts w:eastAsia="Calibri"/>
          <w:sz w:val="28"/>
          <w:szCs w:val="28"/>
          <w:lang w:val="es-CO"/>
        </w:rPr>
        <w:t>Ministerio de Salud y la Protección Social</w:t>
      </w:r>
      <w:r w:rsidR="00792709" w:rsidRPr="00EA1CDA">
        <w:rPr>
          <w:rStyle w:val="Refdenotaalpie"/>
          <w:rFonts w:eastAsia="Calibri"/>
          <w:sz w:val="28"/>
          <w:szCs w:val="28"/>
          <w:lang w:val="es-CO"/>
        </w:rPr>
        <w:footnoteReference w:id="21"/>
      </w:r>
      <w:r w:rsidR="00A93A59" w:rsidRPr="00EA1CDA">
        <w:rPr>
          <w:rFonts w:eastAsia="Calibri"/>
          <w:sz w:val="28"/>
          <w:szCs w:val="28"/>
          <w:lang w:val="es-CO"/>
        </w:rPr>
        <w:t>,</w:t>
      </w:r>
      <w:r w:rsidR="00E842EB" w:rsidRPr="00EA1CDA">
        <w:rPr>
          <w:rFonts w:eastAsia="Calibri"/>
          <w:sz w:val="28"/>
          <w:szCs w:val="28"/>
          <w:lang w:val="es-CO"/>
        </w:rPr>
        <w:t xml:space="preserve"> la</w:t>
      </w:r>
      <w:r w:rsidR="00A93A59" w:rsidRPr="00EA1CDA">
        <w:rPr>
          <w:rFonts w:eastAsia="Calibri"/>
          <w:sz w:val="28"/>
          <w:szCs w:val="28"/>
          <w:lang w:val="es-CO"/>
        </w:rPr>
        <w:t xml:space="preserve"> Superintendencia Nacional de Salud</w:t>
      </w:r>
      <w:r w:rsidR="00A93A59" w:rsidRPr="00EA1CDA">
        <w:rPr>
          <w:rStyle w:val="Refdenotaalpie"/>
          <w:rFonts w:eastAsia="Calibri"/>
          <w:sz w:val="28"/>
          <w:szCs w:val="28"/>
          <w:lang w:val="es-CO"/>
        </w:rPr>
        <w:footnoteReference w:id="22"/>
      </w:r>
      <w:r w:rsidR="00A93A59" w:rsidRPr="00EA1CDA">
        <w:rPr>
          <w:rFonts w:eastAsia="Calibri"/>
          <w:sz w:val="28"/>
          <w:szCs w:val="28"/>
          <w:lang w:val="es-CO"/>
        </w:rPr>
        <w:t xml:space="preserve">, </w:t>
      </w:r>
      <w:r w:rsidR="002F65CC" w:rsidRPr="00EA1CDA">
        <w:rPr>
          <w:rFonts w:eastAsia="Calibri"/>
          <w:sz w:val="28"/>
          <w:szCs w:val="28"/>
          <w:lang w:val="es-CO"/>
        </w:rPr>
        <w:t xml:space="preserve">el </w:t>
      </w:r>
      <w:r w:rsidR="003B43CD" w:rsidRPr="00EA1CDA">
        <w:rPr>
          <w:rFonts w:eastAsia="Calibri"/>
          <w:sz w:val="28"/>
          <w:szCs w:val="28"/>
          <w:lang w:val="es-CO"/>
        </w:rPr>
        <w:t>Invima</w:t>
      </w:r>
      <w:r w:rsidR="00A93A59" w:rsidRPr="00EA1CDA">
        <w:rPr>
          <w:rStyle w:val="Refdenotaalpie"/>
          <w:rFonts w:eastAsia="Calibri"/>
          <w:sz w:val="28"/>
          <w:szCs w:val="28"/>
          <w:lang w:val="es-CO"/>
        </w:rPr>
        <w:footnoteReference w:id="23"/>
      </w:r>
      <w:r w:rsidR="00EC2E49" w:rsidRPr="00EA1CDA">
        <w:rPr>
          <w:rFonts w:eastAsia="Calibri"/>
          <w:sz w:val="28"/>
          <w:szCs w:val="28"/>
          <w:lang w:val="es-CO"/>
        </w:rPr>
        <w:t xml:space="preserve">, </w:t>
      </w:r>
      <w:r w:rsidR="002F65CC" w:rsidRPr="00EA1CDA">
        <w:rPr>
          <w:rFonts w:eastAsia="Calibri"/>
          <w:sz w:val="28"/>
          <w:szCs w:val="28"/>
          <w:lang w:val="es-CO"/>
        </w:rPr>
        <w:t xml:space="preserve">la </w:t>
      </w:r>
      <w:r w:rsidR="00C15670" w:rsidRPr="00EA1CDA">
        <w:rPr>
          <w:rFonts w:eastAsia="Calibri"/>
          <w:sz w:val="28"/>
          <w:szCs w:val="28"/>
          <w:lang w:val="es-CO"/>
        </w:rPr>
        <w:t xml:space="preserve">Procuraduría General de la Nación, </w:t>
      </w:r>
      <w:r w:rsidR="002F65CC" w:rsidRPr="00EA1CDA">
        <w:rPr>
          <w:rFonts w:eastAsia="Calibri"/>
          <w:sz w:val="28"/>
          <w:szCs w:val="28"/>
          <w:lang w:val="es-CO"/>
        </w:rPr>
        <w:t xml:space="preserve">la </w:t>
      </w:r>
      <w:r w:rsidR="000C2391" w:rsidRPr="00EA1CDA">
        <w:rPr>
          <w:color w:val="000000" w:themeColor="text1"/>
          <w:sz w:val="28"/>
          <w:szCs w:val="28"/>
        </w:rPr>
        <w:t xml:space="preserve">Defensoría del Pueblo, </w:t>
      </w:r>
      <w:r w:rsidR="002F65CC" w:rsidRPr="00EA1CDA">
        <w:rPr>
          <w:color w:val="000000" w:themeColor="text1"/>
          <w:sz w:val="28"/>
          <w:szCs w:val="28"/>
        </w:rPr>
        <w:t xml:space="preserve">la </w:t>
      </w:r>
      <w:r w:rsidR="00566139" w:rsidRPr="00EA1CDA">
        <w:rPr>
          <w:rFonts w:eastAsia="Calibri"/>
          <w:sz w:val="28"/>
          <w:szCs w:val="28"/>
          <w:lang w:val="es-CO"/>
        </w:rPr>
        <w:t>CAC (</w:t>
      </w:r>
      <w:r w:rsidR="00EC2E49" w:rsidRPr="00EA1CDA">
        <w:rPr>
          <w:rFonts w:eastAsia="Calibri"/>
          <w:sz w:val="28"/>
          <w:szCs w:val="28"/>
          <w:lang w:val="es-CO"/>
        </w:rPr>
        <w:t>Cuenta de Alto Costo</w:t>
      </w:r>
      <w:r w:rsidR="00566139" w:rsidRPr="00EA1CDA">
        <w:rPr>
          <w:rFonts w:eastAsia="Calibri"/>
          <w:sz w:val="28"/>
          <w:szCs w:val="28"/>
          <w:lang w:val="es-CO"/>
        </w:rPr>
        <w:t>)</w:t>
      </w:r>
      <w:r w:rsidR="00EC2E49" w:rsidRPr="00EA1CDA">
        <w:rPr>
          <w:rFonts w:eastAsia="Calibri"/>
          <w:sz w:val="28"/>
          <w:szCs w:val="28"/>
          <w:lang w:val="es-CO"/>
        </w:rPr>
        <w:t xml:space="preserve">, </w:t>
      </w:r>
      <w:r w:rsidR="00320E11" w:rsidRPr="00EA1CDA">
        <w:rPr>
          <w:rFonts w:eastAsia="Calibri"/>
          <w:sz w:val="28"/>
          <w:szCs w:val="28"/>
        </w:rPr>
        <w:t xml:space="preserve">Salud Total EPS, Compensar EPS, </w:t>
      </w:r>
      <w:r w:rsidR="00654361" w:rsidRPr="00EA1CDA">
        <w:rPr>
          <w:rFonts w:eastAsia="Calibri"/>
          <w:sz w:val="28"/>
          <w:szCs w:val="28"/>
        </w:rPr>
        <w:t xml:space="preserve">el Hospital Universitario San Ignacio, </w:t>
      </w:r>
      <w:r w:rsidR="00320E11" w:rsidRPr="00EA1CDA">
        <w:rPr>
          <w:rFonts w:eastAsia="Calibri"/>
          <w:sz w:val="28"/>
          <w:szCs w:val="28"/>
        </w:rPr>
        <w:t xml:space="preserve">la Farmacia </w:t>
      </w:r>
      <w:proofErr w:type="spellStart"/>
      <w:r w:rsidR="00320E11" w:rsidRPr="00EA1CDA">
        <w:rPr>
          <w:rFonts w:eastAsia="Calibri"/>
          <w:sz w:val="28"/>
          <w:szCs w:val="28"/>
        </w:rPr>
        <w:t>Cohan</w:t>
      </w:r>
      <w:proofErr w:type="spellEnd"/>
      <w:r w:rsidR="00320E11" w:rsidRPr="00EA1CDA">
        <w:rPr>
          <w:rFonts w:eastAsia="Calibri"/>
          <w:sz w:val="28"/>
          <w:szCs w:val="28"/>
        </w:rPr>
        <w:t>, la Clínica Los Nogales</w:t>
      </w:r>
      <w:r w:rsidR="00E90C86" w:rsidRPr="00EA1CDA">
        <w:rPr>
          <w:rFonts w:eastAsia="Calibri"/>
          <w:sz w:val="28"/>
          <w:szCs w:val="28"/>
        </w:rPr>
        <w:t xml:space="preserve">, </w:t>
      </w:r>
      <w:r w:rsidR="00B95C75" w:rsidRPr="00EA1CDA">
        <w:rPr>
          <w:rFonts w:eastAsia="Calibri"/>
          <w:sz w:val="28"/>
          <w:szCs w:val="28"/>
        </w:rPr>
        <w:t xml:space="preserve">algunas asociaciones </w:t>
      </w:r>
      <w:r w:rsidR="00B95C75" w:rsidRPr="00EA1CDA">
        <w:rPr>
          <w:rFonts w:eastAsia="Calibri"/>
          <w:sz w:val="28"/>
          <w:szCs w:val="28"/>
        </w:rPr>
        <w:lastRenderedPageBreak/>
        <w:t>invitadas</w:t>
      </w:r>
      <w:r w:rsidR="0005176E" w:rsidRPr="00EA1CDA">
        <w:rPr>
          <w:rStyle w:val="Refdenotaalpie"/>
          <w:rFonts w:eastAsia="Calibri"/>
          <w:sz w:val="28"/>
          <w:szCs w:val="28"/>
        </w:rPr>
        <w:footnoteReference w:id="24"/>
      </w:r>
      <w:r w:rsidR="00B95C75" w:rsidRPr="00EA1CDA">
        <w:rPr>
          <w:rFonts w:eastAsia="Calibri"/>
          <w:sz w:val="28"/>
          <w:szCs w:val="28"/>
        </w:rPr>
        <w:t xml:space="preserve">, </w:t>
      </w:r>
      <w:r w:rsidR="0005176E" w:rsidRPr="00EA1CDA">
        <w:rPr>
          <w:rFonts w:eastAsia="Calibri"/>
          <w:sz w:val="28"/>
          <w:szCs w:val="28"/>
        </w:rPr>
        <w:t>así</w:t>
      </w:r>
      <w:r w:rsidR="00440E9E" w:rsidRPr="00EA1CDA">
        <w:rPr>
          <w:rFonts w:eastAsia="Calibri"/>
          <w:sz w:val="28"/>
          <w:szCs w:val="28"/>
        </w:rPr>
        <w:t xml:space="preserve"> </w:t>
      </w:r>
      <w:r w:rsidR="00440E9E" w:rsidRPr="00EA1CDA">
        <w:rPr>
          <w:sz w:val="28"/>
          <w:szCs w:val="28"/>
        </w:rPr>
        <w:t xml:space="preserve">como de </w:t>
      </w:r>
      <w:r w:rsidR="00E90C86" w:rsidRPr="00EA1CDA">
        <w:rPr>
          <w:sz w:val="28"/>
          <w:szCs w:val="28"/>
        </w:rPr>
        <w:t xml:space="preserve">algunos </w:t>
      </w:r>
      <w:r w:rsidR="00907F9F" w:rsidRPr="00EA1CDA">
        <w:rPr>
          <w:rFonts w:eastAsia="Calibri"/>
          <w:sz w:val="28"/>
          <w:szCs w:val="28"/>
        </w:rPr>
        <w:t>de los jueces de instancia</w:t>
      </w:r>
      <w:r w:rsidR="00907F9F" w:rsidRPr="00EA1CDA">
        <w:rPr>
          <w:rStyle w:val="Refdenotaalpie"/>
          <w:rFonts w:eastAsia="Calibri"/>
          <w:sz w:val="28"/>
          <w:szCs w:val="28"/>
        </w:rPr>
        <w:footnoteReference w:id="25"/>
      </w:r>
      <w:r w:rsidR="00907F9F">
        <w:rPr>
          <w:rFonts w:eastAsia="Calibri"/>
          <w:sz w:val="28"/>
          <w:szCs w:val="28"/>
        </w:rPr>
        <w:t xml:space="preserve"> y finalmente</w:t>
      </w:r>
      <w:r w:rsidR="007E3371">
        <w:rPr>
          <w:rFonts w:eastAsia="Calibri"/>
          <w:sz w:val="28"/>
          <w:szCs w:val="28"/>
        </w:rPr>
        <w:t>,</w:t>
      </w:r>
      <w:r w:rsidR="00907F9F">
        <w:rPr>
          <w:rFonts w:eastAsia="Calibri"/>
          <w:sz w:val="28"/>
          <w:szCs w:val="28"/>
        </w:rPr>
        <w:t xml:space="preserve"> de algunos </w:t>
      </w:r>
      <w:r w:rsidR="00E90C86" w:rsidRPr="00EA1CDA">
        <w:rPr>
          <w:sz w:val="28"/>
          <w:szCs w:val="28"/>
        </w:rPr>
        <w:t xml:space="preserve">accionados y vinculados </w:t>
      </w:r>
      <w:r w:rsidR="00440E9E" w:rsidRPr="00EA1CDA">
        <w:rPr>
          <w:sz w:val="28"/>
          <w:szCs w:val="28"/>
        </w:rPr>
        <w:t>a</w:t>
      </w:r>
      <w:r w:rsidR="00E90C86" w:rsidRPr="00EA1CDA">
        <w:rPr>
          <w:sz w:val="28"/>
          <w:szCs w:val="28"/>
        </w:rPr>
        <w:t xml:space="preserve"> los expedientes</w:t>
      </w:r>
      <w:r w:rsidR="00440E9E" w:rsidRPr="00EA1CDA">
        <w:rPr>
          <w:sz w:val="28"/>
          <w:szCs w:val="28"/>
        </w:rPr>
        <w:t xml:space="preserve"> </w:t>
      </w:r>
      <w:r w:rsidR="00E32C47" w:rsidRPr="00EA1CDA">
        <w:rPr>
          <w:sz w:val="28"/>
          <w:szCs w:val="28"/>
        </w:rPr>
        <w:t>individualmente</w:t>
      </w:r>
      <w:r w:rsidR="00440E9E" w:rsidRPr="00EA1CDA">
        <w:rPr>
          <w:sz w:val="28"/>
          <w:szCs w:val="28"/>
        </w:rPr>
        <w:t xml:space="preserve"> considerados</w:t>
      </w:r>
      <w:r w:rsidR="00E90C86" w:rsidRPr="00EA1CDA">
        <w:rPr>
          <w:rStyle w:val="Refdenotaalpie"/>
          <w:sz w:val="28"/>
          <w:szCs w:val="28"/>
        </w:rPr>
        <w:footnoteReference w:id="26"/>
      </w:r>
      <w:r w:rsidR="00E90C86" w:rsidRPr="00EA1CDA">
        <w:rPr>
          <w:sz w:val="28"/>
          <w:szCs w:val="28"/>
        </w:rPr>
        <w:t xml:space="preserve">. </w:t>
      </w:r>
    </w:p>
    <w:p w14:paraId="347B3F58" w14:textId="77777777" w:rsidR="00E90C86" w:rsidRPr="00EA1CDA" w:rsidRDefault="00E90C86" w:rsidP="00E90C86">
      <w:pPr>
        <w:pStyle w:val="Prrafodelista"/>
        <w:rPr>
          <w:rFonts w:eastAsia="Calibri"/>
          <w:sz w:val="28"/>
          <w:szCs w:val="28"/>
        </w:rPr>
      </w:pPr>
    </w:p>
    <w:p w14:paraId="412E9E49" w14:textId="7AEC85A2" w:rsidR="00E90C86" w:rsidRPr="00EA1CDA" w:rsidRDefault="0052100B" w:rsidP="00E90C86">
      <w:pPr>
        <w:widowControl w:val="0"/>
        <w:numPr>
          <w:ilvl w:val="0"/>
          <w:numId w:val="1"/>
        </w:numPr>
        <w:pBdr>
          <w:top w:val="nil"/>
          <w:left w:val="nil"/>
          <w:bottom w:val="nil"/>
          <w:right w:val="nil"/>
          <w:between w:val="nil"/>
        </w:pBdr>
        <w:tabs>
          <w:tab w:val="left" w:pos="426"/>
        </w:tabs>
        <w:jc w:val="both"/>
        <w:rPr>
          <w:rFonts w:eastAsia="Calibri"/>
          <w:sz w:val="28"/>
          <w:szCs w:val="28"/>
        </w:rPr>
      </w:pPr>
      <w:r w:rsidRPr="00EA1CDA">
        <w:rPr>
          <w:rFonts w:eastAsia="Calibri"/>
          <w:sz w:val="28"/>
          <w:szCs w:val="28"/>
        </w:rPr>
        <w:t xml:space="preserve">En relación con el </w:t>
      </w:r>
      <w:r w:rsidR="00E90C86" w:rsidRPr="00EA1CDA">
        <w:rPr>
          <w:rFonts w:eastAsia="Calibri"/>
          <w:sz w:val="28"/>
          <w:szCs w:val="28"/>
        </w:rPr>
        <w:t>auto del 3 de abril</w:t>
      </w:r>
      <w:r w:rsidRPr="00EA1CDA">
        <w:rPr>
          <w:rFonts w:eastAsia="Calibri"/>
          <w:sz w:val="28"/>
          <w:szCs w:val="28"/>
        </w:rPr>
        <w:t xml:space="preserve"> de 2025,</w:t>
      </w:r>
      <w:r w:rsidR="00FB7C0A" w:rsidRPr="00EA1CDA">
        <w:rPr>
          <w:rFonts w:eastAsia="Calibri"/>
          <w:sz w:val="28"/>
          <w:szCs w:val="28"/>
        </w:rPr>
        <w:t xml:space="preserve"> adicionalmente,</w:t>
      </w:r>
      <w:r w:rsidRPr="00EA1CDA">
        <w:rPr>
          <w:rFonts w:eastAsia="Calibri"/>
          <w:sz w:val="28"/>
          <w:szCs w:val="28"/>
        </w:rPr>
        <w:t xml:space="preserve"> la Sala obtuvo respuesta de</w:t>
      </w:r>
      <w:r w:rsidR="00230FB2" w:rsidRPr="00EA1CDA">
        <w:rPr>
          <w:rFonts w:eastAsia="Calibri"/>
          <w:sz w:val="28"/>
          <w:szCs w:val="28"/>
        </w:rPr>
        <w:t xml:space="preserve">l Juzgado 004 Civil Municipal de Ejecución Sentencias de Bogotá, </w:t>
      </w:r>
      <w:r w:rsidR="00B863DC" w:rsidRPr="00EA1CDA">
        <w:rPr>
          <w:rFonts w:eastAsia="Calibri"/>
          <w:sz w:val="28"/>
          <w:szCs w:val="28"/>
        </w:rPr>
        <w:t xml:space="preserve">del Juzgado </w:t>
      </w:r>
      <w:r w:rsidR="00CB393E" w:rsidRPr="00EA1CDA">
        <w:rPr>
          <w:rFonts w:eastAsia="Calibri"/>
          <w:sz w:val="28"/>
          <w:szCs w:val="28"/>
        </w:rPr>
        <w:t>0</w:t>
      </w:r>
      <w:r w:rsidR="00B863DC" w:rsidRPr="00EA1CDA">
        <w:rPr>
          <w:rFonts w:eastAsia="Calibri"/>
          <w:sz w:val="28"/>
          <w:szCs w:val="28"/>
        </w:rPr>
        <w:t xml:space="preserve">64 Penal Municipal con funciones de control garantías </w:t>
      </w:r>
      <w:r w:rsidR="00CB393E" w:rsidRPr="00EA1CDA">
        <w:rPr>
          <w:rFonts w:eastAsia="Calibri"/>
          <w:sz w:val="28"/>
          <w:szCs w:val="28"/>
        </w:rPr>
        <w:t>de Bogotá</w:t>
      </w:r>
      <w:r w:rsidR="00735C41" w:rsidRPr="00EA1CDA">
        <w:rPr>
          <w:rFonts w:eastAsia="Calibri"/>
          <w:sz w:val="28"/>
          <w:szCs w:val="28"/>
        </w:rPr>
        <w:t xml:space="preserve"> y del Juzgado </w:t>
      </w:r>
      <w:r w:rsidR="00CB393E" w:rsidRPr="00EA1CDA">
        <w:rPr>
          <w:rFonts w:eastAsia="Calibri"/>
          <w:sz w:val="28"/>
          <w:szCs w:val="28"/>
        </w:rPr>
        <w:t>0</w:t>
      </w:r>
      <w:r w:rsidR="00735C41" w:rsidRPr="00EA1CDA">
        <w:rPr>
          <w:rFonts w:eastAsia="Calibri"/>
          <w:sz w:val="28"/>
          <w:szCs w:val="28"/>
        </w:rPr>
        <w:t>69 de Pequeñas Causas y Competencia Múltiple de Bogotá</w:t>
      </w:r>
      <w:r w:rsidR="00735C41" w:rsidRPr="00EA1CDA">
        <w:rPr>
          <w:rStyle w:val="Refdenotaalpie"/>
          <w:rFonts w:eastAsia="Calibri"/>
          <w:sz w:val="28"/>
          <w:szCs w:val="28"/>
        </w:rPr>
        <w:footnoteReference w:id="27"/>
      </w:r>
      <w:r w:rsidR="00E90C86" w:rsidRPr="00EA1CDA">
        <w:rPr>
          <w:rFonts w:eastAsia="Calibri"/>
          <w:sz w:val="28"/>
          <w:szCs w:val="28"/>
        </w:rPr>
        <w:t xml:space="preserve">. </w:t>
      </w:r>
    </w:p>
    <w:p w14:paraId="6E6DA706" w14:textId="77777777" w:rsidR="00BE3DD5" w:rsidRPr="00EA1CDA" w:rsidRDefault="00BE3DD5">
      <w:pPr>
        <w:widowControl w:val="0"/>
        <w:pBdr>
          <w:top w:val="nil"/>
          <w:left w:val="nil"/>
          <w:bottom w:val="nil"/>
          <w:right w:val="nil"/>
          <w:between w:val="nil"/>
        </w:pBdr>
        <w:jc w:val="both"/>
        <w:rPr>
          <w:color w:val="000000"/>
          <w:sz w:val="28"/>
          <w:szCs w:val="28"/>
        </w:rPr>
      </w:pPr>
    </w:p>
    <w:p w14:paraId="6EE66110" w14:textId="77777777" w:rsidR="00600EE1" w:rsidRPr="00EA1CDA" w:rsidRDefault="00551339" w:rsidP="00745218">
      <w:pPr>
        <w:widowControl w:val="0"/>
        <w:numPr>
          <w:ilvl w:val="0"/>
          <w:numId w:val="3"/>
        </w:numPr>
        <w:pBdr>
          <w:top w:val="nil"/>
          <w:left w:val="nil"/>
          <w:bottom w:val="nil"/>
          <w:right w:val="nil"/>
          <w:between w:val="nil"/>
        </w:pBdr>
        <w:ind w:left="426" w:right="140" w:hanging="437"/>
        <w:rPr>
          <w:b/>
          <w:color w:val="000000"/>
          <w:sz w:val="28"/>
          <w:szCs w:val="28"/>
        </w:rPr>
      </w:pPr>
      <w:r w:rsidRPr="00EA1CDA">
        <w:rPr>
          <w:b/>
          <w:color w:val="000000"/>
          <w:sz w:val="28"/>
          <w:szCs w:val="28"/>
        </w:rPr>
        <w:t>CONSIDERACIONES</w:t>
      </w:r>
    </w:p>
    <w:p w14:paraId="6EE66111" w14:textId="77777777" w:rsidR="00600EE1" w:rsidRPr="00EA1CDA" w:rsidRDefault="00600EE1">
      <w:pPr>
        <w:widowControl w:val="0"/>
        <w:pBdr>
          <w:top w:val="nil"/>
          <w:left w:val="nil"/>
          <w:bottom w:val="nil"/>
          <w:right w:val="nil"/>
          <w:between w:val="nil"/>
        </w:pBdr>
        <w:jc w:val="both"/>
        <w:rPr>
          <w:color w:val="000000"/>
          <w:sz w:val="28"/>
          <w:szCs w:val="28"/>
        </w:rPr>
      </w:pPr>
    </w:p>
    <w:p w14:paraId="49E4993E" w14:textId="2FA89555" w:rsidR="002B17DF" w:rsidRPr="00EA1CDA" w:rsidRDefault="007B2110" w:rsidP="007B2110">
      <w:pPr>
        <w:pStyle w:val="Prrafodelista"/>
        <w:widowControl w:val="0"/>
        <w:numPr>
          <w:ilvl w:val="3"/>
          <w:numId w:val="3"/>
        </w:numPr>
        <w:pBdr>
          <w:top w:val="nil"/>
          <w:left w:val="nil"/>
          <w:bottom w:val="nil"/>
          <w:right w:val="nil"/>
          <w:between w:val="nil"/>
        </w:pBdr>
        <w:tabs>
          <w:tab w:val="left" w:pos="284"/>
        </w:tabs>
        <w:ind w:left="0" w:firstLine="0"/>
        <w:jc w:val="both"/>
        <w:rPr>
          <w:b/>
          <w:bCs/>
          <w:color w:val="000000"/>
          <w:sz w:val="28"/>
          <w:szCs w:val="28"/>
        </w:rPr>
      </w:pPr>
      <w:r w:rsidRPr="00EA1CDA">
        <w:rPr>
          <w:b/>
          <w:bCs/>
          <w:color w:val="000000"/>
          <w:sz w:val="28"/>
          <w:szCs w:val="28"/>
        </w:rPr>
        <w:t>Facultad del juez de tutela para decretar medidas provisionales</w:t>
      </w:r>
    </w:p>
    <w:p w14:paraId="4886A883" w14:textId="77777777" w:rsidR="007B2110" w:rsidRPr="00EA1CDA" w:rsidRDefault="007B2110" w:rsidP="007B2110">
      <w:pPr>
        <w:pStyle w:val="Prrafodelista"/>
        <w:widowControl w:val="0"/>
        <w:pBdr>
          <w:top w:val="nil"/>
          <w:left w:val="nil"/>
          <w:bottom w:val="nil"/>
          <w:right w:val="nil"/>
          <w:between w:val="nil"/>
        </w:pBdr>
        <w:tabs>
          <w:tab w:val="left" w:pos="284"/>
        </w:tabs>
        <w:ind w:left="0"/>
        <w:jc w:val="both"/>
        <w:rPr>
          <w:color w:val="000000"/>
          <w:sz w:val="28"/>
          <w:szCs w:val="28"/>
        </w:rPr>
      </w:pPr>
    </w:p>
    <w:p w14:paraId="6EE66112" w14:textId="0E19AA29" w:rsidR="00600EE1" w:rsidRPr="00EA1CDA" w:rsidRDefault="00551339">
      <w:pPr>
        <w:widowControl w:val="0"/>
        <w:numPr>
          <w:ilvl w:val="0"/>
          <w:numId w:val="1"/>
        </w:numPr>
        <w:pBdr>
          <w:top w:val="nil"/>
          <w:left w:val="nil"/>
          <w:bottom w:val="nil"/>
          <w:right w:val="nil"/>
          <w:between w:val="nil"/>
        </w:pBdr>
        <w:tabs>
          <w:tab w:val="left" w:pos="426"/>
        </w:tabs>
        <w:jc w:val="both"/>
        <w:rPr>
          <w:color w:val="000000"/>
          <w:sz w:val="28"/>
          <w:szCs w:val="28"/>
        </w:rPr>
      </w:pPr>
      <w:r w:rsidRPr="00EA1CDA">
        <w:rPr>
          <w:color w:val="000000"/>
          <w:sz w:val="28"/>
          <w:szCs w:val="28"/>
        </w:rPr>
        <w:t>El artículo 7.º</w:t>
      </w:r>
      <w:r w:rsidRPr="00EA1CDA">
        <w:rPr>
          <w:color w:val="000000"/>
          <w:sz w:val="28"/>
          <w:szCs w:val="28"/>
          <w:vertAlign w:val="superscript"/>
        </w:rPr>
        <w:footnoteReference w:id="28"/>
      </w:r>
      <w:r w:rsidRPr="00EA1CDA">
        <w:rPr>
          <w:color w:val="000000"/>
          <w:sz w:val="28"/>
          <w:szCs w:val="28"/>
        </w:rPr>
        <w:t xml:space="preserve"> del Decreto 2591 de 1991 reconoce al juez de tutela la facultad de decretar, de oficio o a petición de parte, medidas provisionales cuando lo considere necesario y urgente para resguardar los derechos fundamentales, con el propósito de “no hacer ilusorio el efecto de un eventual </w:t>
      </w:r>
      <w:r w:rsidRPr="00EA1CDA">
        <w:rPr>
          <w:color w:val="000000"/>
          <w:sz w:val="28"/>
          <w:szCs w:val="28"/>
        </w:rPr>
        <w:lastRenderedPageBreak/>
        <w:t>fallo”. Estas medidas tienen el objetivo de (i) intervenir transitoriamente para contener la conducta que amenaza o vulnera un derecho, evitando un daño irreparable</w:t>
      </w:r>
      <w:r w:rsidRPr="00EA1CDA">
        <w:rPr>
          <w:color w:val="000000"/>
          <w:sz w:val="28"/>
          <w:szCs w:val="28"/>
          <w:vertAlign w:val="superscript"/>
        </w:rPr>
        <w:footnoteReference w:id="29"/>
      </w:r>
      <w:r w:rsidRPr="00EA1CDA">
        <w:rPr>
          <w:color w:val="000000"/>
          <w:sz w:val="28"/>
          <w:szCs w:val="28"/>
        </w:rPr>
        <w:t xml:space="preserve"> y (</w:t>
      </w:r>
      <w:proofErr w:type="spellStart"/>
      <w:r w:rsidRPr="00EA1CDA">
        <w:rPr>
          <w:color w:val="000000"/>
          <w:sz w:val="28"/>
          <w:szCs w:val="28"/>
        </w:rPr>
        <w:t>ii</w:t>
      </w:r>
      <w:proofErr w:type="spellEnd"/>
      <w:r w:rsidRPr="00EA1CDA">
        <w:rPr>
          <w:color w:val="000000"/>
          <w:sz w:val="28"/>
          <w:szCs w:val="28"/>
        </w:rPr>
        <w:t>)</w:t>
      </w:r>
      <w:r w:rsidRPr="00EA1CDA">
        <w:rPr>
          <w:i/>
          <w:color w:val="000000"/>
          <w:sz w:val="28"/>
          <w:szCs w:val="28"/>
        </w:rPr>
        <w:t xml:space="preserve"> </w:t>
      </w:r>
      <w:r w:rsidRPr="00EA1CDA">
        <w:rPr>
          <w:color w:val="000000"/>
          <w:sz w:val="28"/>
          <w:szCs w:val="28"/>
        </w:rPr>
        <w:t>ordenar las medidas</w:t>
      </w:r>
      <w:r w:rsidRPr="00EA1CDA">
        <w:rPr>
          <w:color w:val="000000"/>
          <w:sz w:val="28"/>
          <w:szCs w:val="28"/>
          <w:vertAlign w:val="superscript"/>
        </w:rPr>
        <w:footnoteReference w:id="30"/>
      </w:r>
      <w:r w:rsidRPr="00EA1CDA">
        <w:rPr>
          <w:color w:val="000000"/>
          <w:sz w:val="28"/>
          <w:szCs w:val="28"/>
        </w:rPr>
        <w:t xml:space="preserve"> para proteger provisionalmente el derecho objeto del trámite constitucional</w:t>
      </w:r>
      <w:r w:rsidRPr="00EA1CDA">
        <w:rPr>
          <w:color w:val="000000"/>
          <w:sz w:val="28"/>
          <w:szCs w:val="28"/>
          <w:vertAlign w:val="superscript"/>
        </w:rPr>
        <w:footnoteReference w:id="31"/>
      </w:r>
      <w:r w:rsidRPr="00EA1CDA">
        <w:rPr>
          <w:color w:val="000000"/>
          <w:sz w:val="28"/>
          <w:szCs w:val="28"/>
        </w:rPr>
        <w:t>. Lo anterior, mientras se adopta el fallo que define la controversia</w:t>
      </w:r>
      <w:r w:rsidRPr="00EA1CDA">
        <w:rPr>
          <w:color w:val="000000"/>
          <w:sz w:val="28"/>
          <w:szCs w:val="28"/>
          <w:vertAlign w:val="superscript"/>
        </w:rPr>
        <w:footnoteReference w:id="32"/>
      </w:r>
      <w:r w:rsidRPr="00EA1CDA">
        <w:rPr>
          <w:color w:val="000000"/>
          <w:sz w:val="28"/>
          <w:szCs w:val="28"/>
        </w:rPr>
        <w:t xml:space="preserve"> y hasta cuando este se dicte</w:t>
      </w:r>
      <w:r w:rsidRPr="00EA1CDA">
        <w:rPr>
          <w:color w:val="000000"/>
          <w:sz w:val="28"/>
          <w:szCs w:val="28"/>
          <w:vertAlign w:val="superscript"/>
        </w:rPr>
        <w:footnoteReference w:id="33"/>
      </w:r>
      <w:r w:rsidRPr="00EA1CDA">
        <w:rPr>
          <w:color w:val="000000"/>
          <w:sz w:val="28"/>
          <w:szCs w:val="28"/>
        </w:rPr>
        <w:t>. En cualquier momento, de forma motivada, el juez puede levantar las medidas decretadas</w:t>
      </w:r>
      <w:r w:rsidRPr="00EA1CDA">
        <w:rPr>
          <w:color w:val="000000"/>
          <w:sz w:val="28"/>
          <w:szCs w:val="28"/>
          <w:vertAlign w:val="superscript"/>
        </w:rPr>
        <w:footnoteReference w:id="34"/>
      </w:r>
      <w:r w:rsidRPr="00EA1CDA">
        <w:rPr>
          <w:color w:val="000000"/>
          <w:sz w:val="28"/>
          <w:szCs w:val="28"/>
        </w:rPr>
        <w:t xml:space="preserve">. </w:t>
      </w:r>
    </w:p>
    <w:p w14:paraId="1997D6A9" w14:textId="77777777" w:rsidR="007D2582" w:rsidRPr="00EA1CDA" w:rsidRDefault="007D2582">
      <w:pPr>
        <w:widowControl w:val="0"/>
        <w:pBdr>
          <w:top w:val="nil"/>
          <w:left w:val="nil"/>
          <w:bottom w:val="nil"/>
          <w:right w:val="nil"/>
          <w:between w:val="nil"/>
        </w:pBdr>
        <w:tabs>
          <w:tab w:val="left" w:pos="426"/>
        </w:tabs>
        <w:jc w:val="both"/>
        <w:rPr>
          <w:color w:val="000000"/>
          <w:sz w:val="28"/>
          <w:szCs w:val="28"/>
        </w:rPr>
      </w:pPr>
    </w:p>
    <w:p w14:paraId="6EE66114" w14:textId="1A2BAEAA" w:rsidR="00600EE1" w:rsidRPr="00EA1CDA" w:rsidRDefault="00551339">
      <w:pPr>
        <w:widowControl w:val="0"/>
        <w:numPr>
          <w:ilvl w:val="0"/>
          <w:numId w:val="1"/>
        </w:numPr>
        <w:pBdr>
          <w:top w:val="nil"/>
          <w:left w:val="nil"/>
          <w:bottom w:val="nil"/>
          <w:right w:val="nil"/>
          <w:between w:val="nil"/>
        </w:pBdr>
        <w:tabs>
          <w:tab w:val="left" w:pos="426"/>
        </w:tabs>
        <w:jc w:val="both"/>
      </w:pPr>
      <w:r w:rsidRPr="00EA1CDA">
        <w:rPr>
          <w:color w:val="000000"/>
          <w:sz w:val="28"/>
          <w:szCs w:val="28"/>
        </w:rPr>
        <w:t xml:space="preserve">El decreto de tales medidas amerita un examen preliminar sobre la gravedad de la situación, con fundamento en los indicios que obren en el expediente. Solo proceden </w:t>
      </w:r>
      <w:r w:rsidR="001F066D" w:rsidRPr="00EA1CDA">
        <w:rPr>
          <w:color w:val="000000"/>
          <w:sz w:val="28"/>
          <w:szCs w:val="28"/>
        </w:rPr>
        <w:t xml:space="preserve">aquellas </w:t>
      </w:r>
      <w:r w:rsidRPr="00EA1CDA">
        <w:rPr>
          <w:color w:val="000000"/>
          <w:sz w:val="28"/>
          <w:szCs w:val="28"/>
        </w:rPr>
        <w:t>cuando (i) exista una apariencia de buen derecho, de modo que la solicitud de amparo tenga aparente vocación de viabilidad, en función de los elementos fácticos y jurídicos del caso; (</w:t>
      </w:r>
      <w:proofErr w:type="spellStart"/>
      <w:r w:rsidRPr="00EA1CDA">
        <w:rPr>
          <w:color w:val="000000"/>
          <w:sz w:val="28"/>
          <w:szCs w:val="28"/>
        </w:rPr>
        <w:t>ii</w:t>
      </w:r>
      <w:proofErr w:type="spellEnd"/>
      <w:r w:rsidRPr="00EA1CDA">
        <w:rPr>
          <w:color w:val="000000"/>
          <w:sz w:val="28"/>
          <w:szCs w:val="28"/>
        </w:rPr>
        <w:t>) se encuentre un riesgo probable de que con el paso del tiempo, durante el trámite de revisión, se afecte de manera considerable la protección del derecho invocado o la salvaguarda del interés público; y (</w:t>
      </w:r>
      <w:proofErr w:type="spellStart"/>
      <w:r w:rsidRPr="00EA1CDA">
        <w:rPr>
          <w:color w:val="000000"/>
          <w:sz w:val="28"/>
          <w:szCs w:val="28"/>
        </w:rPr>
        <w:t>iii</w:t>
      </w:r>
      <w:proofErr w:type="spellEnd"/>
      <w:r w:rsidRPr="00EA1CDA">
        <w:rPr>
          <w:color w:val="000000"/>
          <w:sz w:val="28"/>
          <w:szCs w:val="28"/>
        </w:rPr>
        <w:t>) la medida provisional no genere una afectación desproporcionada a quien deba ser ordenada</w:t>
      </w:r>
      <w:r w:rsidRPr="00EA1CDA">
        <w:rPr>
          <w:color w:val="000000"/>
          <w:sz w:val="28"/>
          <w:szCs w:val="28"/>
          <w:vertAlign w:val="superscript"/>
        </w:rPr>
        <w:footnoteReference w:id="35"/>
      </w:r>
      <w:r w:rsidRPr="00EA1CDA">
        <w:rPr>
          <w:color w:val="000000"/>
          <w:sz w:val="28"/>
          <w:szCs w:val="28"/>
        </w:rPr>
        <w:t xml:space="preserve">. </w:t>
      </w:r>
    </w:p>
    <w:p w14:paraId="6EE66115" w14:textId="77777777" w:rsidR="00600EE1" w:rsidRPr="00EA1CDA" w:rsidRDefault="00600EE1">
      <w:pPr>
        <w:pBdr>
          <w:top w:val="nil"/>
          <w:left w:val="nil"/>
          <w:bottom w:val="nil"/>
          <w:right w:val="nil"/>
          <w:between w:val="nil"/>
        </w:pBdr>
        <w:jc w:val="both"/>
        <w:rPr>
          <w:color w:val="000000"/>
          <w:sz w:val="28"/>
          <w:szCs w:val="28"/>
        </w:rPr>
      </w:pPr>
    </w:p>
    <w:p w14:paraId="6EE66116" w14:textId="77777777" w:rsidR="00600EE1" w:rsidRPr="00EA1CDA" w:rsidRDefault="00551339">
      <w:pPr>
        <w:widowControl w:val="0"/>
        <w:numPr>
          <w:ilvl w:val="0"/>
          <w:numId w:val="1"/>
        </w:numPr>
        <w:pBdr>
          <w:top w:val="nil"/>
          <w:left w:val="nil"/>
          <w:bottom w:val="nil"/>
          <w:right w:val="nil"/>
          <w:between w:val="nil"/>
        </w:pBdr>
        <w:tabs>
          <w:tab w:val="left" w:pos="426"/>
        </w:tabs>
        <w:jc w:val="both"/>
      </w:pPr>
      <w:r w:rsidRPr="00EA1CDA">
        <w:rPr>
          <w:color w:val="000000"/>
          <w:sz w:val="28"/>
          <w:szCs w:val="28"/>
        </w:rPr>
        <w:t>En estas condiciones, la Corte Constitucional ha resaltado que el decreto de medidas provisionales no constituye prejuzgamiento sobre el asunto bajo estudio, ni indicio sobre el sentido de la decisión</w:t>
      </w:r>
      <w:r w:rsidRPr="00EA1CDA">
        <w:rPr>
          <w:color w:val="000000"/>
          <w:sz w:val="28"/>
          <w:szCs w:val="28"/>
          <w:vertAlign w:val="superscript"/>
        </w:rPr>
        <w:footnoteReference w:id="36"/>
      </w:r>
      <w:r w:rsidRPr="00EA1CDA">
        <w:rPr>
          <w:color w:val="000000"/>
          <w:sz w:val="28"/>
          <w:szCs w:val="28"/>
        </w:rPr>
        <w:t>. Su finalidad se limita a prevenir que se materialice la vulneración o un perjuicio irremediable sobre los intereses superiores en debate, hasta el momento en que este tribunal profiera una sentencia.</w:t>
      </w:r>
    </w:p>
    <w:p w14:paraId="0CC021AA" w14:textId="77777777" w:rsidR="00942674" w:rsidRPr="00EA1CDA" w:rsidRDefault="00942674" w:rsidP="00942674">
      <w:pPr>
        <w:pStyle w:val="Prrafodelista"/>
        <w:widowControl w:val="0"/>
        <w:pBdr>
          <w:top w:val="nil"/>
          <w:left w:val="nil"/>
          <w:bottom w:val="nil"/>
          <w:right w:val="nil"/>
          <w:between w:val="nil"/>
        </w:pBdr>
        <w:tabs>
          <w:tab w:val="left" w:pos="284"/>
        </w:tabs>
        <w:ind w:left="0"/>
        <w:jc w:val="both"/>
        <w:rPr>
          <w:b/>
          <w:bCs/>
          <w:iCs/>
          <w:color w:val="000000"/>
          <w:sz w:val="28"/>
          <w:szCs w:val="28"/>
        </w:rPr>
      </w:pPr>
    </w:p>
    <w:p w14:paraId="558C45BA" w14:textId="1DF2F57B" w:rsidR="007B2110" w:rsidRPr="00EA1CDA" w:rsidRDefault="007B2110" w:rsidP="007B2110">
      <w:pPr>
        <w:pStyle w:val="Prrafodelista"/>
        <w:widowControl w:val="0"/>
        <w:numPr>
          <w:ilvl w:val="3"/>
          <w:numId w:val="3"/>
        </w:numPr>
        <w:pBdr>
          <w:top w:val="nil"/>
          <w:left w:val="nil"/>
          <w:bottom w:val="nil"/>
          <w:right w:val="nil"/>
          <w:between w:val="nil"/>
        </w:pBdr>
        <w:tabs>
          <w:tab w:val="left" w:pos="284"/>
        </w:tabs>
        <w:ind w:left="0" w:firstLine="0"/>
        <w:jc w:val="both"/>
        <w:rPr>
          <w:b/>
          <w:bCs/>
          <w:iCs/>
          <w:color w:val="000000"/>
          <w:sz w:val="28"/>
          <w:szCs w:val="28"/>
        </w:rPr>
      </w:pPr>
      <w:r w:rsidRPr="00EA1CDA">
        <w:rPr>
          <w:b/>
          <w:bCs/>
          <w:iCs/>
          <w:color w:val="000000"/>
          <w:sz w:val="28"/>
          <w:szCs w:val="28"/>
        </w:rPr>
        <w:t xml:space="preserve">Facultad de la Corte Constitucional para suspender excepcionalmente los términos </w:t>
      </w:r>
      <w:r w:rsidR="00B65FC4" w:rsidRPr="00EA1CDA">
        <w:rPr>
          <w:b/>
          <w:bCs/>
          <w:iCs/>
          <w:color w:val="000000"/>
          <w:sz w:val="28"/>
          <w:szCs w:val="28"/>
        </w:rPr>
        <w:t xml:space="preserve">judiciales </w:t>
      </w:r>
      <w:r w:rsidRPr="00EA1CDA">
        <w:rPr>
          <w:b/>
          <w:bCs/>
          <w:iCs/>
          <w:color w:val="000000"/>
          <w:sz w:val="28"/>
          <w:szCs w:val="28"/>
        </w:rPr>
        <w:t>en las acciones de tutela</w:t>
      </w:r>
    </w:p>
    <w:p w14:paraId="30B97362" w14:textId="77777777" w:rsidR="007B2110" w:rsidRPr="00EA1CDA" w:rsidRDefault="007B2110">
      <w:pPr>
        <w:widowControl w:val="0"/>
        <w:pBdr>
          <w:top w:val="nil"/>
          <w:left w:val="nil"/>
          <w:bottom w:val="nil"/>
          <w:right w:val="nil"/>
          <w:between w:val="nil"/>
        </w:pBdr>
        <w:tabs>
          <w:tab w:val="left" w:pos="426"/>
        </w:tabs>
        <w:jc w:val="both"/>
        <w:rPr>
          <w:color w:val="000000"/>
          <w:sz w:val="28"/>
          <w:szCs w:val="28"/>
        </w:rPr>
      </w:pPr>
    </w:p>
    <w:p w14:paraId="6EE6611A" w14:textId="7941C91B" w:rsidR="00600EE1" w:rsidRPr="00EA1CDA" w:rsidRDefault="00551339" w:rsidP="007B2110">
      <w:pPr>
        <w:widowControl w:val="0"/>
        <w:numPr>
          <w:ilvl w:val="0"/>
          <w:numId w:val="1"/>
        </w:numPr>
        <w:pBdr>
          <w:top w:val="nil"/>
          <w:left w:val="nil"/>
          <w:bottom w:val="nil"/>
          <w:right w:val="nil"/>
          <w:between w:val="nil"/>
        </w:pBdr>
        <w:tabs>
          <w:tab w:val="left" w:pos="426"/>
        </w:tabs>
        <w:jc w:val="both"/>
        <w:rPr>
          <w:color w:val="000000"/>
          <w:sz w:val="28"/>
          <w:szCs w:val="28"/>
        </w:rPr>
      </w:pPr>
      <w:r w:rsidRPr="00EA1CDA">
        <w:rPr>
          <w:color w:val="000000"/>
          <w:sz w:val="28"/>
          <w:szCs w:val="28"/>
        </w:rPr>
        <w:t>El precitado artículo 64</w:t>
      </w:r>
      <w:r w:rsidR="00A444D8" w:rsidRPr="00EA1CDA">
        <w:rPr>
          <w:color w:val="000000"/>
          <w:sz w:val="28"/>
          <w:szCs w:val="28"/>
        </w:rPr>
        <w:t xml:space="preserve"> del Acuerdo 02 de 2015</w:t>
      </w:r>
      <w:r w:rsidR="00A444D8" w:rsidRPr="00EA1CDA">
        <w:rPr>
          <w:rStyle w:val="Refdenotaalpie"/>
          <w:color w:val="000000"/>
          <w:sz w:val="28"/>
          <w:szCs w:val="28"/>
        </w:rPr>
        <w:footnoteReference w:id="37"/>
      </w:r>
      <w:r w:rsidRPr="00EA1CDA">
        <w:rPr>
          <w:color w:val="000000"/>
          <w:sz w:val="28"/>
          <w:szCs w:val="28"/>
        </w:rPr>
        <w:t xml:space="preserve"> prevé también que, en el evento de decretar pruebas, la Sala de Revisión puede excepcionalmente ordenar que se suspendan los términos del proceso, cuando ello fuere necesario</w:t>
      </w:r>
      <w:r w:rsidR="00B65FC4" w:rsidRPr="00EA1CDA">
        <w:rPr>
          <w:color w:val="000000"/>
          <w:sz w:val="28"/>
          <w:szCs w:val="28"/>
        </w:rPr>
        <w:t>,</w:t>
      </w:r>
      <w:r w:rsidRPr="00EA1CDA">
        <w:rPr>
          <w:color w:val="000000"/>
          <w:sz w:val="28"/>
          <w:szCs w:val="28"/>
        </w:rPr>
        <w:t xml:space="preserve"> y precisa que, en todo caso, la suspensión no se extenderá más allá de tres meses contados a partir del momento en que se alleguen las pruebas, salvo que, por la complejidad del asunto, el interés nacional o la trascendencia del caso, sea conveniente un término mayor, que no podrá exceder de seis meses, el cual deberá ser aprobado por la Sala de Revisión, previa presentación de un informe </w:t>
      </w:r>
      <w:r w:rsidRPr="00EA1CDA">
        <w:rPr>
          <w:color w:val="000000"/>
          <w:sz w:val="28"/>
          <w:szCs w:val="28"/>
        </w:rPr>
        <w:lastRenderedPageBreak/>
        <w:t>por el magistrado ponente.</w:t>
      </w:r>
    </w:p>
    <w:p w14:paraId="613AA664" w14:textId="77777777" w:rsidR="00907F9F" w:rsidRPr="00EA1CDA" w:rsidRDefault="00907F9F">
      <w:pPr>
        <w:widowControl w:val="0"/>
        <w:pBdr>
          <w:top w:val="nil"/>
          <w:left w:val="nil"/>
          <w:bottom w:val="nil"/>
          <w:right w:val="nil"/>
          <w:between w:val="nil"/>
        </w:pBdr>
        <w:tabs>
          <w:tab w:val="left" w:pos="426"/>
          <w:tab w:val="left" w:pos="567"/>
        </w:tabs>
        <w:ind w:right="140"/>
        <w:jc w:val="both"/>
        <w:rPr>
          <w:color w:val="000000"/>
          <w:sz w:val="28"/>
          <w:szCs w:val="28"/>
        </w:rPr>
      </w:pPr>
    </w:p>
    <w:p w14:paraId="2D4E4A11" w14:textId="2B0F712F" w:rsidR="007B2110" w:rsidRPr="00EA1CDA" w:rsidRDefault="007B2110" w:rsidP="007B2110">
      <w:pPr>
        <w:pStyle w:val="Prrafodelista"/>
        <w:widowControl w:val="0"/>
        <w:numPr>
          <w:ilvl w:val="3"/>
          <w:numId w:val="3"/>
        </w:numPr>
        <w:pBdr>
          <w:top w:val="nil"/>
          <w:left w:val="nil"/>
          <w:bottom w:val="nil"/>
          <w:right w:val="nil"/>
          <w:between w:val="nil"/>
        </w:pBdr>
        <w:tabs>
          <w:tab w:val="left" w:pos="284"/>
        </w:tabs>
        <w:ind w:left="0" w:firstLine="0"/>
        <w:jc w:val="both"/>
        <w:rPr>
          <w:b/>
          <w:bCs/>
          <w:color w:val="000000"/>
          <w:sz w:val="28"/>
          <w:szCs w:val="28"/>
        </w:rPr>
      </w:pPr>
      <w:r w:rsidRPr="00EA1CDA">
        <w:rPr>
          <w:b/>
          <w:bCs/>
          <w:color w:val="000000"/>
          <w:sz w:val="28"/>
          <w:szCs w:val="28"/>
        </w:rPr>
        <w:t>Actuaciones procedentes en esta oportunidad</w:t>
      </w:r>
    </w:p>
    <w:p w14:paraId="29BF5C8D" w14:textId="77777777" w:rsidR="007B2110" w:rsidRPr="00EA1CDA" w:rsidRDefault="007B2110">
      <w:pPr>
        <w:widowControl w:val="0"/>
        <w:pBdr>
          <w:top w:val="nil"/>
          <w:left w:val="nil"/>
          <w:bottom w:val="nil"/>
          <w:right w:val="nil"/>
          <w:between w:val="nil"/>
        </w:pBdr>
        <w:tabs>
          <w:tab w:val="left" w:pos="426"/>
          <w:tab w:val="left" w:pos="567"/>
        </w:tabs>
        <w:ind w:right="140"/>
        <w:jc w:val="both"/>
        <w:rPr>
          <w:color w:val="000000"/>
          <w:sz w:val="28"/>
          <w:szCs w:val="28"/>
        </w:rPr>
      </w:pPr>
    </w:p>
    <w:p w14:paraId="6EE6611C" w14:textId="76151FD2" w:rsidR="00600EE1" w:rsidRPr="00EA1CDA" w:rsidRDefault="00551339">
      <w:pPr>
        <w:widowControl w:val="0"/>
        <w:numPr>
          <w:ilvl w:val="0"/>
          <w:numId w:val="1"/>
        </w:numPr>
        <w:pBdr>
          <w:top w:val="nil"/>
          <w:left w:val="nil"/>
          <w:bottom w:val="nil"/>
          <w:right w:val="nil"/>
          <w:between w:val="nil"/>
        </w:pBdr>
        <w:tabs>
          <w:tab w:val="left" w:pos="426"/>
          <w:tab w:val="left" w:pos="567"/>
        </w:tabs>
        <w:ind w:right="140"/>
        <w:jc w:val="both"/>
      </w:pPr>
      <w:r w:rsidRPr="00EA1CDA">
        <w:rPr>
          <w:color w:val="000000"/>
          <w:sz w:val="28"/>
          <w:szCs w:val="28"/>
        </w:rPr>
        <w:t>La Sala Segunda de Revisión procederá a (i)</w:t>
      </w:r>
      <w:r w:rsidRPr="00EA1CDA">
        <w:rPr>
          <w:i/>
          <w:color w:val="000000"/>
          <w:sz w:val="28"/>
          <w:szCs w:val="28"/>
        </w:rPr>
        <w:t xml:space="preserve"> </w:t>
      </w:r>
      <w:r w:rsidR="00B145D8" w:rsidRPr="00EA1CDA">
        <w:rPr>
          <w:color w:val="000000"/>
          <w:sz w:val="28"/>
          <w:szCs w:val="28"/>
        </w:rPr>
        <w:t xml:space="preserve">decretar </w:t>
      </w:r>
      <w:r w:rsidR="00B12211" w:rsidRPr="00EA1CDA">
        <w:rPr>
          <w:color w:val="000000"/>
          <w:sz w:val="28"/>
          <w:szCs w:val="28"/>
        </w:rPr>
        <w:t>medidas provisionales</w:t>
      </w:r>
      <w:r w:rsidR="00FB00BC" w:rsidRPr="00EA1CDA">
        <w:rPr>
          <w:color w:val="000000"/>
          <w:sz w:val="28"/>
          <w:szCs w:val="28"/>
        </w:rPr>
        <w:t xml:space="preserve"> en </w:t>
      </w:r>
      <w:r w:rsidR="001950CA" w:rsidRPr="00EA1CDA">
        <w:rPr>
          <w:color w:val="000000"/>
          <w:sz w:val="28"/>
          <w:szCs w:val="28"/>
        </w:rPr>
        <w:t>el presente asunto</w:t>
      </w:r>
      <w:r w:rsidR="00B12211" w:rsidRPr="00EA1CDA">
        <w:rPr>
          <w:color w:val="000000"/>
          <w:sz w:val="28"/>
          <w:szCs w:val="28"/>
        </w:rPr>
        <w:t xml:space="preserve">, </w:t>
      </w:r>
      <w:r w:rsidR="00155BE9" w:rsidRPr="00EA1CDA">
        <w:rPr>
          <w:color w:val="000000"/>
          <w:sz w:val="28"/>
          <w:szCs w:val="28"/>
        </w:rPr>
        <w:t xml:space="preserve">por </w:t>
      </w:r>
      <w:r w:rsidR="00B12211" w:rsidRPr="00EA1CDA">
        <w:rPr>
          <w:color w:val="000000"/>
          <w:sz w:val="28"/>
          <w:szCs w:val="28"/>
        </w:rPr>
        <w:t>solicitud</w:t>
      </w:r>
      <w:r w:rsidR="00155BE9" w:rsidRPr="00EA1CDA">
        <w:rPr>
          <w:color w:val="000000"/>
          <w:sz w:val="28"/>
          <w:szCs w:val="28"/>
        </w:rPr>
        <w:t xml:space="preserve"> de parte</w:t>
      </w:r>
      <w:r w:rsidR="00B12211" w:rsidRPr="00EA1CDA">
        <w:rPr>
          <w:color w:val="000000"/>
          <w:sz w:val="28"/>
          <w:szCs w:val="28"/>
        </w:rPr>
        <w:t xml:space="preserve"> </w:t>
      </w:r>
      <w:r w:rsidR="00064F52" w:rsidRPr="00EA1CDA">
        <w:rPr>
          <w:color w:val="000000"/>
          <w:sz w:val="28"/>
          <w:szCs w:val="28"/>
        </w:rPr>
        <w:t xml:space="preserve">en </w:t>
      </w:r>
      <w:r w:rsidRPr="00EA1CDA">
        <w:rPr>
          <w:color w:val="000000"/>
          <w:sz w:val="28"/>
          <w:szCs w:val="28"/>
        </w:rPr>
        <w:t xml:space="preserve">el expediente </w:t>
      </w:r>
      <w:r w:rsidRPr="00EA1CDA">
        <w:rPr>
          <w:i/>
          <w:color w:val="000000"/>
        </w:rPr>
        <w:t>(1)</w:t>
      </w:r>
      <w:r w:rsidRPr="00EA1CDA">
        <w:rPr>
          <w:color w:val="000000"/>
        </w:rPr>
        <w:t xml:space="preserve"> </w:t>
      </w:r>
      <w:r w:rsidRPr="00EA1CDA">
        <w:rPr>
          <w:color w:val="000000"/>
          <w:sz w:val="28"/>
          <w:szCs w:val="28"/>
        </w:rPr>
        <w:t>T-10.641.262</w:t>
      </w:r>
      <w:r w:rsidR="00064F52" w:rsidRPr="00EA1CDA">
        <w:rPr>
          <w:color w:val="000000"/>
          <w:sz w:val="28"/>
          <w:szCs w:val="28"/>
        </w:rPr>
        <w:t xml:space="preserve"> </w:t>
      </w:r>
      <w:r w:rsidR="00155BE9" w:rsidRPr="00EA1CDA">
        <w:rPr>
          <w:color w:val="000000"/>
          <w:sz w:val="28"/>
          <w:szCs w:val="28"/>
        </w:rPr>
        <w:t>y de oficio en relación</w:t>
      </w:r>
      <w:r w:rsidR="00064F52" w:rsidRPr="00EA1CDA">
        <w:rPr>
          <w:color w:val="000000"/>
          <w:sz w:val="28"/>
          <w:szCs w:val="28"/>
        </w:rPr>
        <w:t xml:space="preserve"> </w:t>
      </w:r>
      <w:r w:rsidR="00EB5528" w:rsidRPr="00EA1CDA">
        <w:rPr>
          <w:color w:val="000000"/>
          <w:sz w:val="28"/>
          <w:szCs w:val="28"/>
        </w:rPr>
        <w:t xml:space="preserve">con </w:t>
      </w:r>
      <w:r w:rsidR="00064F52" w:rsidRPr="00EA1CDA">
        <w:rPr>
          <w:color w:val="000000"/>
          <w:sz w:val="28"/>
          <w:szCs w:val="28"/>
        </w:rPr>
        <w:t>la</w:t>
      </w:r>
      <w:r w:rsidR="00E960F1" w:rsidRPr="00EA1CDA">
        <w:rPr>
          <w:color w:val="000000"/>
          <w:sz w:val="28"/>
          <w:szCs w:val="28"/>
        </w:rPr>
        <w:t xml:space="preserve">s </w:t>
      </w:r>
      <w:r w:rsidR="00DD0D74" w:rsidRPr="00EA1CDA">
        <w:rPr>
          <w:color w:val="000000"/>
          <w:sz w:val="28"/>
          <w:szCs w:val="28"/>
        </w:rPr>
        <w:t>otras 29</w:t>
      </w:r>
      <w:r w:rsidR="00E960F1" w:rsidRPr="00EA1CDA">
        <w:rPr>
          <w:color w:val="000000"/>
          <w:sz w:val="28"/>
          <w:szCs w:val="28"/>
        </w:rPr>
        <w:t xml:space="preserve"> acciones de tutela acumuladas</w:t>
      </w:r>
      <w:r w:rsidRPr="00EA1CDA">
        <w:rPr>
          <w:color w:val="000000"/>
          <w:sz w:val="28"/>
          <w:szCs w:val="28"/>
        </w:rPr>
        <w:t xml:space="preserve">, </w:t>
      </w:r>
      <w:r w:rsidR="00660C3A" w:rsidRPr="00EA1CDA">
        <w:rPr>
          <w:color w:val="000000"/>
          <w:sz w:val="28"/>
          <w:szCs w:val="28"/>
        </w:rPr>
        <w:t>(</w:t>
      </w:r>
      <w:proofErr w:type="spellStart"/>
      <w:r w:rsidR="00660C3A" w:rsidRPr="00EA1CDA">
        <w:rPr>
          <w:color w:val="000000"/>
          <w:sz w:val="28"/>
          <w:szCs w:val="28"/>
        </w:rPr>
        <w:t>ii</w:t>
      </w:r>
      <w:proofErr w:type="spellEnd"/>
      <w:r w:rsidR="00660C3A" w:rsidRPr="00EA1CDA">
        <w:rPr>
          <w:color w:val="000000"/>
          <w:sz w:val="28"/>
          <w:szCs w:val="28"/>
        </w:rPr>
        <w:t xml:space="preserve">) </w:t>
      </w:r>
      <w:r w:rsidR="00155BE9" w:rsidRPr="00EA1CDA">
        <w:rPr>
          <w:color w:val="000000"/>
          <w:sz w:val="28"/>
          <w:szCs w:val="28"/>
        </w:rPr>
        <w:t xml:space="preserve">establecer medidas para </w:t>
      </w:r>
      <w:r w:rsidR="000E3756" w:rsidRPr="00EA1CDA">
        <w:rPr>
          <w:color w:val="000000"/>
          <w:sz w:val="28"/>
          <w:szCs w:val="28"/>
        </w:rPr>
        <w:t xml:space="preserve">garantizar </w:t>
      </w:r>
      <w:r w:rsidR="002B17DF" w:rsidRPr="00EA1CDA">
        <w:rPr>
          <w:color w:val="000000"/>
          <w:sz w:val="28"/>
          <w:szCs w:val="28"/>
        </w:rPr>
        <w:t xml:space="preserve">su </w:t>
      </w:r>
      <w:r w:rsidR="000E3756" w:rsidRPr="00EA1CDA">
        <w:rPr>
          <w:color w:val="000000"/>
          <w:sz w:val="28"/>
          <w:szCs w:val="28"/>
        </w:rPr>
        <w:t>cumplimiento inmediato y efectivo</w:t>
      </w:r>
      <w:r w:rsidR="002B17DF" w:rsidRPr="00EA1CDA">
        <w:rPr>
          <w:color w:val="000000"/>
          <w:sz w:val="28"/>
          <w:szCs w:val="28"/>
        </w:rPr>
        <w:t xml:space="preserve">, </w:t>
      </w:r>
      <w:r w:rsidR="000E3756" w:rsidRPr="00EA1CDA">
        <w:rPr>
          <w:color w:val="000000"/>
          <w:sz w:val="28"/>
          <w:szCs w:val="28"/>
        </w:rPr>
        <w:t xml:space="preserve">así como para </w:t>
      </w:r>
      <w:r w:rsidR="002B17DF" w:rsidRPr="00EA1CDA">
        <w:rPr>
          <w:color w:val="000000"/>
          <w:sz w:val="28"/>
          <w:szCs w:val="28"/>
        </w:rPr>
        <w:t>su seguimiento</w:t>
      </w:r>
      <w:r w:rsidR="00B65FC4" w:rsidRPr="00EA1CDA">
        <w:rPr>
          <w:color w:val="000000"/>
          <w:sz w:val="28"/>
          <w:szCs w:val="28"/>
        </w:rPr>
        <w:t>,</w:t>
      </w:r>
      <w:r w:rsidR="00857E75" w:rsidRPr="00EA1CDA">
        <w:rPr>
          <w:color w:val="000000"/>
          <w:sz w:val="28"/>
          <w:szCs w:val="28"/>
        </w:rPr>
        <w:t xml:space="preserve"> </w:t>
      </w:r>
      <w:r w:rsidRPr="00EA1CDA">
        <w:rPr>
          <w:color w:val="000000"/>
          <w:sz w:val="28"/>
          <w:szCs w:val="28"/>
        </w:rPr>
        <w:t>(</w:t>
      </w:r>
      <w:proofErr w:type="spellStart"/>
      <w:r w:rsidRPr="00EA1CDA">
        <w:rPr>
          <w:color w:val="000000"/>
          <w:sz w:val="28"/>
          <w:szCs w:val="28"/>
        </w:rPr>
        <w:t>i</w:t>
      </w:r>
      <w:r w:rsidR="00B82098" w:rsidRPr="00EA1CDA">
        <w:rPr>
          <w:color w:val="000000"/>
          <w:sz w:val="28"/>
          <w:szCs w:val="28"/>
        </w:rPr>
        <w:t>i</w:t>
      </w:r>
      <w:r w:rsidR="002B17DF" w:rsidRPr="00EA1CDA">
        <w:rPr>
          <w:color w:val="000000"/>
          <w:sz w:val="28"/>
          <w:szCs w:val="28"/>
        </w:rPr>
        <w:t>i</w:t>
      </w:r>
      <w:proofErr w:type="spellEnd"/>
      <w:r w:rsidRPr="00EA1CDA">
        <w:rPr>
          <w:color w:val="000000"/>
          <w:sz w:val="28"/>
          <w:szCs w:val="28"/>
        </w:rPr>
        <w:t xml:space="preserve">) </w:t>
      </w:r>
      <w:r w:rsidR="00BC0190" w:rsidRPr="00EA1CDA">
        <w:rPr>
          <w:color w:val="000000"/>
          <w:sz w:val="28"/>
          <w:szCs w:val="28"/>
        </w:rPr>
        <w:t xml:space="preserve">suspender los términos judiciales en el expediente </w:t>
      </w:r>
      <w:r w:rsidR="00B65FC4" w:rsidRPr="00EA1CDA">
        <w:rPr>
          <w:color w:val="000000"/>
          <w:sz w:val="28"/>
          <w:szCs w:val="28"/>
        </w:rPr>
        <w:t xml:space="preserve">acumulado </w:t>
      </w:r>
      <w:r w:rsidR="00BC0190" w:rsidRPr="00EA1CDA">
        <w:rPr>
          <w:color w:val="000000"/>
          <w:sz w:val="28"/>
          <w:szCs w:val="28"/>
        </w:rPr>
        <w:t>de la referencia</w:t>
      </w:r>
      <w:r w:rsidR="00624FDA" w:rsidRPr="00EA1CDA">
        <w:rPr>
          <w:color w:val="000000"/>
          <w:sz w:val="28"/>
          <w:szCs w:val="28"/>
        </w:rPr>
        <w:t xml:space="preserve"> y (</w:t>
      </w:r>
      <w:proofErr w:type="spellStart"/>
      <w:r w:rsidR="00624FDA" w:rsidRPr="00EA1CDA">
        <w:rPr>
          <w:color w:val="000000"/>
          <w:sz w:val="28"/>
          <w:szCs w:val="28"/>
        </w:rPr>
        <w:t>i</w:t>
      </w:r>
      <w:r w:rsidR="00254BFD" w:rsidRPr="00EA1CDA">
        <w:rPr>
          <w:color w:val="000000"/>
          <w:sz w:val="28"/>
          <w:szCs w:val="28"/>
        </w:rPr>
        <w:t>v</w:t>
      </w:r>
      <w:proofErr w:type="spellEnd"/>
      <w:r w:rsidR="00624FDA" w:rsidRPr="00EA1CDA">
        <w:rPr>
          <w:color w:val="000000"/>
          <w:sz w:val="28"/>
          <w:szCs w:val="28"/>
        </w:rPr>
        <w:t>) adoptar medidas de articulación judicial para la eficaz protección de los derechos que se aprecian probablemente en riesgo</w:t>
      </w:r>
      <w:r w:rsidR="00BC0190" w:rsidRPr="00EA1CDA">
        <w:rPr>
          <w:color w:val="000000"/>
          <w:sz w:val="28"/>
          <w:szCs w:val="28"/>
        </w:rPr>
        <w:t xml:space="preserve">. </w:t>
      </w:r>
    </w:p>
    <w:p w14:paraId="6EE6611D" w14:textId="77777777" w:rsidR="00600EE1" w:rsidRDefault="00600EE1">
      <w:pPr>
        <w:pBdr>
          <w:top w:val="nil"/>
          <w:left w:val="nil"/>
          <w:bottom w:val="nil"/>
          <w:right w:val="nil"/>
          <w:between w:val="nil"/>
        </w:pBdr>
        <w:jc w:val="both"/>
        <w:rPr>
          <w:color w:val="000000"/>
          <w:sz w:val="28"/>
          <w:szCs w:val="28"/>
        </w:rPr>
      </w:pPr>
    </w:p>
    <w:p w14:paraId="680EF05F" w14:textId="555A1674" w:rsidR="004C066F" w:rsidRPr="00EA1CDA" w:rsidRDefault="004C066F">
      <w:pPr>
        <w:pBdr>
          <w:top w:val="nil"/>
          <w:left w:val="nil"/>
          <w:bottom w:val="nil"/>
          <w:right w:val="nil"/>
          <w:between w:val="nil"/>
        </w:pBdr>
        <w:jc w:val="both"/>
        <w:rPr>
          <w:b/>
          <w:bCs/>
          <w:color w:val="000000"/>
          <w:sz w:val="28"/>
          <w:szCs w:val="28"/>
        </w:rPr>
      </w:pPr>
      <w:r w:rsidRPr="00EA1CDA">
        <w:rPr>
          <w:b/>
          <w:bCs/>
          <w:color w:val="000000"/>
          <w:sz w:val="28"/>
          <w:szCs w:val="28"/>
        </w:rPr>
        <w:t xml:space="preserve">3.1. Análisis </w:t>
      </w:r>
      <w:r w:rsidR="00B65FC4" w:rsidRPr="00EA1CDA">
        <w:rPr>
          <w:b/>
          <w:bCs/>
          <w:color w:val="000000"/>
          <w:sz w:val="28"/>
          <w:szCs w:val="28"/>
        </w:rPr>
        <w:t>sobre</w:t>
      </w:r>
      <w:r w:rsidRPr="00EA1CDA">
        <w:rPr>
          <w:b/>
          <w:bCs/>
          <w:color w:val="000000"/>
          <w:sz w:val="28"/>
          <w:szCs w:val="28"/>
        </w:rPr>
        <w:t xml:space="preserve"> la procedencia de medidas provisionales</w:t>
      </w:r>
    </w:p>
    <w:p w14:paraId="2B32B65C" w14:textId="77777777" w:rsidR="004C066F" w:rsidRPr="00EA1CDA" w:rsidRDefault="004C066F">
      <w:pPr>
        <w:pBdr>
          <w:top w:val="nil"/>
          <w:left w:val="nil"/>
          <w:bottom w:val="nil"/>
          <w:right w:val="nil"/>
          <w:between w:val="nil"/>
        </w:pBdr>
        <w:jc w:val="both"/>
        <w:rPr>
          <w:color w:val="000000"/>
          <w:sz w:val="28"/>
          <w:szCs w:val="28"/>
        </w:rPr>
      </w:pPr>
    </w:p>
    <w:p w14:paraId="6EE6611E" w14:textId="7C845ECF" w:rsidR="00600EE1" w:rsidRPr="00EA1CDA" w:rsidRDefault="00551339">
      <w:pPr>
        <w:widowControl w:val="0"/>
        <w:numPr>
          <w:ilvl w:val="0"/>
          <w:numId w:val="1"/>
        </w:numPr>
        <w:pBdr>
          <w:top w:val="nil"/>
          <w:left w:val="nil"/>
          <w:bottom w:val="nil"/>
          <w:right w:val="nil"/>
          <w:between w:val="nil"/>
        </w:pBdr>
        <w:tabs>
          <w:tab w:val="left" w:pos="426"/>
          <w:tab w:val="left" w:pos="567"/>
        </w:tabs>
        <w:ind w:right="140"/>
        <w:jc w:val="both"/>
        <w:rPr>
          <w:color w:val="000000"/>
          <w:sz w:val="28"/>
          <w:szCs w:val="28"/>
        </w:rPr>
      </w:pPr>
      <w:r w:rsidRPr="00EA1CDA">
        <w:rPr>
          <w:color w:val="000000"/>
          <w:sz w:val="28"/>
          <w:szCs w:val="28"/>
        </w:rPr>
        <w:t xml:space="preserve">Examinada la solicitud de medida provisional </w:t>
      </w:r>
      <w:r w:rsidR="00B65FC4" w:rsidRPr="00EA1CDA">
        <w:rPr>
          <w:color w:val="000000"/>
          <w:sz w:val="28"/>
          <w:szCs w:val="28"/>
        </w:rPr>
        <w:t xml:space="preserve">formulada por </w:t>
      </w:r>
      <w:r w:rsidRPr="00EA1CDA">
        <w:rPr>
          <w:color w:val="000000"/>
          <w:sz w:val="28"/>
          <w:szCs w:val="28"/>
        </w:rPr>
        <w:t xml:space="preserve">la accionante en el expediente </w:t>
      </w:r>
      <w:r w:rsidRPr="00EA1CDA">
        <w:rPr>
          <w:i/>
          <w:color w:val="000000"/>
        </w:rPr>
        <w:t>(1)</w:t>
      </w:r>
      <w:r w:rsidRPr="00EA1CDA">
        <w:rPr>
          <w:color w:val="000000"/>
        </w:rPr>
        <w:t xml:space="preserve"> </w:t>
      </w:r>
      <w:r w:rsidRPr="00EA1CDA">
        <w:rPr>
          <w:color w:val="000000"/>
          <w:sz w:val="28"/>
          <w:szCs w:val="28"/>
        </w:rPr>
        <w:t>T-10.641.262, la Sala Segunda de Revisión de la Corte Constitucional encuentra acreditados los requisitos para el decreto de una medida provisional de protección</w:t>
      </w:r>
      <w:r w:rsidR="00B82098" w:rsidRPr="00EA1CDA">
        <w:rPr>
          <w:color w:val="000000"/>
          <w:sz w:val="28"/>
          <w:szCs w:val="28"/>
        </w:rPr>
        <w:t xml:space="preserve"> </w:t>
      </w:r>
      <w:r w:rsidR="00B65FC4" w:rsidRPr="00EA1CDA">
        <w:rPr>
          <w:color w:val="000000"/>
          <w:sz w:val="28"/>
          <w:szCs w:val="28"/>
        </w:rPr>
        <w:t>para aquella</w:t>
      </w:r>
      <w:r w:rsidRPr="00EA1CDA">
        <w:rPr>
          <w:color w:val="000000"/>
          <w:sz w:val="28"/>
          <w:szCs w:val="28"/>
        </w:rPr>
        <w:t xml:space="preserve">. </w:t>
      </w:r>
      <w:r w:rsidR="00091F77" w:rsidRPr="00EA1CDA">
        <w:rPr>
          <w:color w:val="000000"/>
          <w:sz w:val="28"/>
          <w:szCs w:val="28"/>
        </w:rPr>
        <w:t>También</w:t>
      </w:r>
      <w:r w:rsidR="007B0189" w:rsidRPr="00EA1CDA">
        <w:rPr>
          <w:color w:val="000000"/>
          <w:sz w:val="28"/>
          <w:szCs w:val="28"/>
        </w:rPr>
        <w:t xml:space="preserve"> </w:t>
      </w:r>
      <w:r w:rsidR="00031175" w:rsidRPr="00EA1CDA">
        <w:rPr>
          <w:color w:val="000000"/>
          <w:sz w:val="28"/>
          <w:szCs w:val="28"/>
        </w:rPr>
        <w:t xml:space="preserve">se </w:t>
      </w:r>
      <w:r w:rsidR="007B0189" w:rsidRPr="00EA1CDA">
        <w:rPr>
          <w:color w:val="000000"/>
          <w:sz w:val="28"/>
          <w:szCs w:val="28"/>
        </w:rPr>
        <w:t>advierte</w:t>
      </w:r>
      <w:r w:rsidR="001B16FF" w:rsidRPr="00EA1CDA">
        <w:rPr>
          <w:color w:val="000000"/>
          <w:sz w:val="28"/>
          <w:szCs w:val="28"/>
        </w:rPr>
        <w:t>n</w:t>
      </w:r>
      <w:r w:rsidR="007B0189" w:rsidRPr="00EA1CDA">
        <w:rPr>
          <w:color w:val="000000"/>
          <w:sz w:val="28"/>
          <w:szCs w:val="28"/>
        </w:rPr>
        <w:t xml:space="preserve"> acreditados los requisitos para su procedencia </w:t>
      </w:r>
      <w:r w:rsidR="00B65FC4" w:rsidRPr="00EA1CDA">
        <w:rPr>
          <w:color w:val="000000"/>
          <w:sz w:val="28"/>
          <w:szCs w:val="28"/>
        </w:rPr>
        <w:t xml:space="preserve">de oficio </w:t>
      </w:r>
      <w:r w:rsidR="007B0189" w:rsidRPr="00EA1CDA">
        <w:rPr>
          <w:color w:val="000000"/>
          <w:sz w:val="28"/>
          <w:szCs w:val="28"/>
        </w:rPr>
        <w:t xml:space="preserve">en </w:t>
      </w:r>
      <w:r w:rsidR="00B04489" w:rsidRPr="00EA1CDA">
        <w:rPr>
          <w:color w:val="000000"/>
          <w:sz w:val="28"/>
          <w:szCs w:val="28"/>
        </w:rPr>
        <w:t>las otras 29 acciones de tutela acumuladas</w:t>
      </w:r>
      <w:r w:rsidR="00134A39" w:rsidRPr="00EA1CDA">
        <w:rPr>
          <w:color w:val="000000"/>
          <w:sz w:val="28"/>
          <w:szCs w:val="28"/>
        </w:rPr>
        <w:t xml:space="preserve">. </w:t>
      </w:r>
      <w:r w:rsidRPr="00EA1CDA">
        <w:rPr>
          <w:color w:val="000000"/>
          <w:sz w:val="28"/>
          <w:szCs w:val="28"/>
        </w:rPr>
        <w:t>A continuación, se exponen las razones que sustentan esta conclusión</w:t>
      </w:r>
      <w:r w:rsidR="00B65FC4" w:rsidRPr="00EA1CDA">
        <w:rPr>
          <w:color w:val="000000"/>
          <w:sz w:val="28"/>
          <w:szCs w:val="28"/>
        </w:rPr>
        <w:t>,</w:t>
      </w:r>
      <w:r w:rsidR="00540724" w:rsidRPr="00EA1CDA">
        <w:rPr>
          <w:color w:val="000000"/>
          <w:sz w:val="28"/>
          <w:szCs w:val="28"/>
        </w:rPr>
        <w:t xml:space="preserve"> a partir de los requisitos descritos en el fundamento </w:t>
      </w:r>
      <w:r w:rsidR="00510582" w:rsidRPr="00EA1CDA">
        <w:rPr>
          <w:color w:val="000000"/>
          <w:sz w:val="28"/>
          <w:szCs w:val="28"/>
        </w:rPr>
        <w:t>19 de esta providencia</w:t>
      </w:r>
      <w:r w:rsidRPr="00EA1CDA">
        <w:rPr>
          <w:color w:val="000000"/>
          <w:sz w:val="28"/>
          <w:szCs w:val="28"/>
        </w:rPr>
        <w:t>.</w:t>
      </w:r>
    </w:p>
    <w:p w14:paraId="6EE6611F" w14:textId="77777777" w:rsidR="00600EE1" w:rsidRPr="00EA1CDA" w:rsidRDefault="00600EE1">
      <w:pPr>
        <w:pBdr>
          <w:top w:val="nil"/>
          <w:left w:val="nil"/>
          <w:bottom w:val="nil"/>
          <w:right w:val="nil"/>
          <w:between w:val="nil"/>
        </w:pBdr>
        <w:jc w:val="both"/>
        <w:rPr>
          <w:color w:val="000000"/>
          <w:sz w:val="28"/>
          <w:szCs w:val="28"/>
        </w:rPr>
      </w:pPr>
    </w:p>
    <w:p w14:paraId="2991130A" w14:textId="77777777" w:rsidR="007D5754" w:rsidRPr="00EA1CDA" w:rsidRDefault="00551339" w:rsidP="005E4F86">
      <w:pPr>
        <w:widowControl w:val="0"/>
        <w:numPr>
          <w:ilvl w:val="0"/>
          <w:numId w:val="1"/>
        </w:numPr>
        <w:pBdr>
          <w:top w:val="nil"/>
          <w:left w:val="nil"/>
          <w:bottom w:val="nil"/>
          <w:right w:val="nil"/>
          <w:between w:val="nil"/>
        </w:pBdr>
        <w:tabs>
          <w:tab w:val="left" w:pos="426"/>
          <w:tab w:val="left" w:pos="567"/>
        </w:tabs>
        <w:ind w:right="140"/>
        <w:jc w:val="both"/>
      </w:pPr>
      <w:r w:rsidRPr="00EA1CDA">
        <w:rPr>
          <w:i/>
          <w:color w:val="000000"/>
          <w:sz w:val="28"/>
          <w:szCs w:val="28"/>
        </w:rPr>
        <w:t>Apariencia de buen derecho</w:t>
      </w:r>
      <w:r w:rsidRPr="00EA1CDA">
        <w:rPr>
          <w:color w:val="000000"/>
          <w:sz w:val="28"/>
          <w:szCs w:val="28"/>
        </w:rPr>
        <w:t>. La Sala advierte que la protección constitucional que reclama</w:t>
      </w:r>
      <w:r w:rsidR="003A7992" w:rsidRPr="00EA1CDA">
        <w:rPr>
          <w:color w:val="000000"/>
          <w:sz w:val="28"/>
          <w:szCs w:val="28"/>
        </w:rPr>
        <w:t xml:space="preserve"> cada uno de los tutelantes</w:t>
      </w:r>
      <w:r w:rsidR="005E4F86" w:rsidRPr="00EA1CDA">
        <w:rPr>
          <w:color w:val="000000"/>
          <w:sz w:val="28"/>
          <w:szCs w:val="28"/>
        </w:rPr>
        <w:t xml:space="preserve"> tiene vocación aparente de viabilidad. La </w:t>
      </w:r>
      <w:r w:rsidR="00DC71AE" w:rsidRPr="00EA1CDA">
        <w:rPr>
          <w:color w:val="000000"/>
          <w:sz w:val="28"/>
          <w:szCs w:val="28"/>
        </w:rPr>
        <w:t>jurisprudencia</w:t>
      </w:r>
      <w:r w:rsidR="005E4F86" w:rsidRPr="00EA1CDA">
        <w:rPr>
          <w:color w:val="000000"/>
          <w:sz w:val="28"/>
          <w:szCs w:val="28"/>
        </w:rPr>
        <w:t xml:space="preserve"> ha sido enfática en que “la atención de los usuarios del sistema de seguridad social en salud debe ser integral, esto es, completa, pues de otra manera no sólo se afecta el derecho a la salud, sino que la inobservancia </w:t>
      </w:r>
      <w:proofErr w:type="gramStart"/>
      <w:r w:rsidR="005E4F86" w:rsidRPr="00EA1CDA">
        <w:rPr>
          <w:color w:val="000000"/>
          <w:sz w:val="28"/>
          <w:szCs w:val="28"/>
        </w:rPr>
        <w:t>del mismo</w:t>
      </w:r>
      <w:proofErr w:type="gramEnd"/>
      <w:r w:rsidR="005E4F86" w:rsidRPr="00EA1CDA">
        <w:rPr>
          <w:color w:val="000000"/>
          <w:sz w:val="28"/>
          <w:szCs w:val="28"/>
        </w:rPr>
        <w:t xml:space="preserve"> invade la órbita de protección de otros derechos como la vida en especial la vida digna, entre otros. La prestación del servicio de salud debe efectuarse con el propósito de brindar una respuesta efectiva a las necesidades del usuario. Esto es, con la totalidad de tratamientos, medicamentos y procedimientos disponibles basados en criterios de razonabilidad, oportunidad y eficiencia”</w:t>
      </w:r>
      <w:r w:rsidR="005E4F86" w:rsidRPr="00EA1CDA">
        <w:rPr>
          <w:color w:val="000000"/>
          <w:sz w:val="28"/>
          <w:szCs w:val="28"/>
          <w:vertAlign w:val="superscript"/>
        </w:rPr>
        <w:footnoteReference w:id="38"/>
      </w:r>
      <w:r w:rsidR="005E4F86" w:rsidRPr="00EA1CDA">
        <w:rPr>
          <w:color w:val="000000"/>
          <w:sz w:val="28"/>
          <w:szCs w:val="28"/>
        </w:rPr>
        <w:t xml:space="preserve">. </w:t>
      </w:r>
    </w:p>
    <w:p w14:paraId="7A7D3F02" w14:textId="77777777" w:rsidR="007D5754" w:rsidRPr="00EA1CDA" w:rsidRDefault="007D5754" w:rsidP="007D5754">
      <w:pPr>
        <w:widowControl w:val="0"/>
        <w:pBdr>
          <w:top w:val="nil"/>
          <w:left w:val="nil"/>
          <w:bottom w:val="nil"/>
          <w:right w:val="nil"/>
          <w:between w:val="nil"/>
        </w:pBdr>
        <w:tabs>
          <w:tab w:val="left" w:pos="426"/>
          <w:tab w:val="left" w:pos="567"/>
        </w:tabs>
        <w:ind w:right="140"/>
        <w:jc w:val="both"/>
      </w:pPr>
    </w:p>
    <w:p w14:paraId="6C0B1D01" w14:textId="5EBF2FBE" w:rsidR="005E4F86" w:rsidRPr="00EA1CDA" w:rsidRDefault="0035164D" w:rsidP="005E4F86">
      <w:pPr>
        <w:widowControl w:val="0"/>
        <w:numPr>
          <w:ilvl w:val="0"/>
          <w:numId w:val="1"/>
        </w:numPr>
        <w:pBdr>
          <w:top w:val="nil"/>
          <w:left w:val="nil"/>
          <w:bottom w:val="nil"/>
          <w:right w:val="nil"/>
          <w:between w:val="nil"/>
        </w:pBdr>
        <w:tabs>
          <w:tab w:val="left" w:pos="426"/>
          <w:tab w:val="left" w:pos="567"/>
        </w:tabs>
        <w:ind w:right="140"/>
        <w:jc w:val="both"/>
      </w:pPr>
      <w:r w:rsidRPr="00EA1CDA">
        <w:rPr>
          <w:color w:val="000000"/>
          <w:sz w:val="28"/>
          <w:szCs w:val="28"/>
        </w:rPr>
        <w:t>Asimismo</w:t>
      </w:r>
      <w:r w:rsidR="005A1F35" w:rsidRPr="00EA1CDA">
        <w:rPr>
          <w:color w:val="000000"/>
          <w:sz w:val="28"/>
          <w:szCs w:val="28"/>
        </w:rPr>
        <w:t xml:space="preserve">, el artículo </w:t>
      </w:r>
      <w:proofErr w:type="gramStart"/>
      <w:r w:rsidR="005A1F35" w:rsidRPr="00EA1CDA">
        <w:rPr>
          <w:color w:val="000000"/>
          <w:sz w:val="28"/>
          <w:szCs w:val="28"/>
        </w:rPr>
        <w:t>6</w:t>
      </w:r>
      <w:r w:rsidR="00380FA7" w:rsidRPr="00EA1CDA">
        <w:rPr>
          <w:color w:val="000000"/>
          <w:sz w:val="28"/>
          <w:szCs w:val="28"/>
        </w:rPr>
        <w:t>.°</w:t>
      </w:r>
      <w:proofErr w:type="gramEnd"/>
      <w:r w:rsidR="005A1F35" w:rsidRPr="00EA1CDA">
        <w:rPr>
          <w:color w:val="000000"/>
          <w:sz w:val="28"/>
          <w:szCs w:val="28"/>
        </w:rPr>
        <w:t xml:space="preserve"> </w:t>
      </w:r>
      <w:r w:rsidR="006226BA" w:rsidRPr="00EA1CDA">
        <w:rPr>
          <w:color w:val="000000"/>
          <w:sz w:val="28"/>
          <w:szCs w:val="28"/>
        </w:rPr>
        <w:t xml:space="preserve">de la Ley </w:t>
      </w:r>
      <w:r w:rsidR="00C31E76" w:rsidRPr="00EA1CDA">
        <w:rPr>
          <w:color w:val="000000"/>
          <w:sz w:val="28"/>
          <w:szCs w:val="28"/>
        </w:rPr>
        <w:t>Estatutaria 1751 de 2015</w:t>
      </w:r>
      <w:r w:rsidR="00CE7369" w:rsidRPr="00EA1CDA">
        <w:rPr>
          <w:rStyle w:val="Refdenotaalpie"/>
          <w:color w:val="000000"/>
          <w:sz w:val="28"/>
          <w:szCs w:val="28"/>
        </w:rPr>
        <w:footnoteReference w:id="39"/>
      </w:r>
      <w:r w:rsidR="00C31E76" w:rsidRPr="00EA1CDA">
        <w:rPr>
          <w:color w:val="000000"/>
          <w:sz w:val="28"/>
          <w:szCs w:val="28"/>
        </w:rPr>
        <w:t xml:space="preserve"> </w:t>
      </w:r>
      <w:r w:rsidR="003032C0" w:rsidRPr="00EA1CDA">
        <w:rPr>
          <w:color w:val="000000"/>
          <w:sz w:val="28"/>
          <w:szCs w:val="28"/>
        </w:rPr>
        <w:t>establece el deber</w:t>
      </w:r>
      <w:r w:rsidR="000E0B23" w:rsidRPr="00EA1CDA">
        <w:rPr>
          <w:color w:val="000000"/>
          <w:sz w:val="28"/>
          <w:szCs w:val="28"/>
        </w:rPr>
        <w:t xml:space="preserve"> </w:t>
      </w:r>
      <w:r w:rsidR="00C85397" w:rsidRPr="00EA1CDA">
        <w:rPr>
          <w:color w:val="000000"/>
          <w:sz w:val="28"/>
          <w:szCs w:val="28"/>
        </w:rPr>
        <w:t xml:space="preserve">de </w:t>
      </w:r>
      <w:r w:rsidR="000E0B23" w:rsidRPr="00EA1CDA">
        <w:rPr>
          <w:color w:val="000000"/>
          <w:sz w:val="28"/>
          <w:szCs w:val="28"/>
        </w:rPr>
        <w:t xml:space="preserve">continuidad en la prestación de los servicios de salud </w:t>
      </w:r>
      <w:r w:rsidR="00C31E76" w:rsidRPr="00EA1CDA">
        <w:rPr>
          <w:color w:val="000000"/>
          <w:sz w:val="28"/>
          <w:szCs w:val="28"/>
        </w:rPr>
        <w:t xml:space="preserve">como uno de los principios </w:t>
      </w:r>
      <w:r w:rsidR="005177A7" w:rsidRPr="00EA1CDA">
        <w:rPr>
          <w:color w:val="000000"/>
          <w:sz w:val="28"/>
          <w:szCs w:val="28"/>
        </w:rPr>
        <w:t>y elementos de</w:t>
      </w:r>
      <w:r w:rsidR="00AE5B47" w:rsidRPr="00EA1CDA">
        <w:rPr>
          <w:color w:val="000000"/>
          <w:sz w:val="28"/>
          <w:szCs w:val="28"/>
        </w:rPr>
        <w:t xml:space="preserve"> este</w:t>
      </w:r>
      <w:r w:rsidR="005177A7" w:rsidRPr="00EA1CDA">
        <w:rPr>
          <w:color w:val="000000"/>
          <w:sz w:val="28"/>
          <w:szCs w:val="28"/>
        </w:rPr>
        <w:t xml:space="preserve"> derecho</w:t>
      </w:r>
      <w:r w:rsidR="00355C55" w:rsidRPr="00EA1CDA">
        <w:rPr>
          <w:color w:val="000000"/>
          <w:sz w:val="28"/>
          <w:szCs w:val="28"/>
        </w:rPr>
        <w:t xml:space="preserve"> fundamental</w:t>
      </w:r>
      <w:r w:rsidR="00A23BA1" w:rsidRPr="00EA1CDA">
        <w:rPr>
          <w:color w:val="000000"/>
          <w:sz w:val="28"/>
          <w:szCs w:val="28"/>
        </w:rPr>
        <w:t xml:space="preserve">. </w:t>
      </w:r>
      <w:r w:rsidR="00355C55" w:rsidRPr="00EA1CDA">
        <w:rPr>
          <w:color w:val="000000"/>
          <w:sz w:val="28"/>
          <w:szCs w:val="28"/>
        </w:rPr>
        <w:t>Tal deber</w:t>
      </w:r>
      <w:r w:rsidR="003032C0" w:rsidRPr="00EA1CDA">
        <w:rPr>
          <w:color w:val="000000"/>
          <w:sz w:val="28"/>
          <w:szCs w:val="28"/>
        </w:rPr>
        <w:t xml:space="preserve"> implica que las </w:t>
      </w:r>
      <w:r w:rsidR="003032C0" w:rsidRPr="00EA1CDA">
        <w:rPr>
          <w:color w:val="000000"/>
          <w:sz w:val="28"/>
          <w:szCs w:val="28"/>
          <w:lang w:val="es-CO"/>
        </w:rPr>
        <w:t xml:space="preserve">cuestiones de índole presupuestal o administrativa </w:t>
      </w:r>
      <w:r w:rsidR="00377E5A" w:rsidRPr="00EA1CDA">
        <w:rPr>
          <w:color w:val="000000"/>
          <w:sz w:val="28"/>
          <w:szCs w:val="28"/>
          <w:lang w:val="es-CO"/>
        </w:rPr>
        <w:t xml:space="preserve">no pueden alegarse para justificar la privación </w:t>
      </w:r>
      <w:r w:rsidR="00BC6CF1" w:rsidRPr="00EA1CDA">
        <w:rPr>
          <w:color w:val="000000"/>
          <w:sz w:val="28"/>
          <w:szCs w:val="28"/>
          <w:lang w:val="es-CO"/>
        </w:rPr>
        <w:t xml:space="preserve">o la interrupción </w:t>
      </w:r>
      <w:r w:rsidR="003032C0" w:rsidRPr="00EA1CDA">
        <w:rPr>
          <w:color w:val="000000"/>
          <w:sz w:val="28"/>
          <w:szCs w:val="28"/>
          <w:lang w:val="es-CO"/>
        </w:rPr>
        <w:t>del servicio</w:t>
      </w:r>
      <w:r w:rsidR="00216D3A" w:rsidRPr="00EA1CDA">
        <w:rPr>
          <w:rStyle w:val="Refdenotaalpie"/>
          <w:color w:val="000000"/>
          <w:sz w:val="28"/>
          <w:szCs w:val="28"/>
          <w:lang w:val="es-CO"/>
        </w:rPr>
        <w:footnoteReference w:id="40"/>
      </w:r>
      <w:r w:rsidR="00BC6CF1" w:rsidRPr="00EA1CDA">
        <w:rPr>
          <w:color w:val="000000"/>
          <w:sz w:val="28"/>
          <w:szCs w:val="28"/>
          <w:lang w:val="es-CO"/>
        </w:rPr>
        <w:t xml:space="preserve">, aun en los casos en que </w:t>
      </w:r>
      <w:r w:rsidR="00E22EB6" w:rsidRPr="00EA1CDA">
        <w:rPr>
          <w:color w:val="000000"/>
          <w:sz w:val="28"/>
          <w:szCs w:val="28"/>
          <w:lang w:val="es-CO"/>
        </w:rPr>
        <w:t>la causa no</w:t>
      </w:r>
      <w:r w:rsidR="00373A47" w:rsidRPr="00EA1CDA">
        <w:rPr>
          <w:color w:val="000000"/>
          <w:sz w:val="28"/>
          <w:szCs w:val="28"/>
          <w:lang w:val="es-CO"/>
        </w:rPr>
        <w:t xml:space="preserve"> sea arbitraria e intempestiva</w:t>
      </w:r>
      <w:r w:rsidR="00C04C88" w:rsidRPr="00EA1CDA">
        <w:rPr>
          <w:rStyle w:val="Refdenotaalpie"/>
          <w:color w:val="000000"/>
          <w:sz w:val="28"/>
          <w:szCs w:val="28"/>
          <w:lang w:val="es-CO"/>
        </w:rPr>
        <w:footnoteReference w:id="41"/>
      </w:r>
      <w:r w:rsidR="005177A7" w:rsidRPr="00EA1CDA">
        <w:rPr>
          <w:color w:val="000000"/>
          <w:sz w:val="28"/>
          <w:szCs w:val="28"/>
        </w:rPr>
        <w:t xml:space="preserve">. </w:t>
      </w:r>
    </w:p>
    <w:p w14:paraId="0164B32B" w14:textId="77777777" w:rsidR="005E4F86" w:rsidRPr="00EA1CDA" w:rsidRDefault="005E4F86" w:rsidP="005E4F86">
      <w:pPr>
        <w:pBdr>
          <w:top w:val="nil"/>
          <w:left w:val="nil"/>
          <w:bottom w:val="nil"/>
          <w:right w:val="nil"/>
          <w:between w:val="nil"/>
        </w:pBdr>
        <w:jc w:val="both"/>
        <w:rPr>
          <w:color w:val="000000"/>
          <w:sz w:val="28"/>
          <w:szCs w:val="28"/>
        </w:rPr>
      </w:pPr>
    </w:p>
    <w:p w14:paraId="355A6FDF" w14:textId="08AACBA9" w:rsidR="004D74FD" w:rsidRPr="00EA1CDA" w:rsidRDefault="005E4F86" w:rsidP="001335F5">
      <w:pPr>
        <w:widowControl w:val="0"/>
        <w:numPr>
          <w:ilvl w:val="0"/>
          <w:numId w:val="1"/>
        </w:numPr>
        <w:pBdr>
          <w:top w:val="nil"/>
          <w:left w:val="nil"/>
          <w:bottom w:val="nil"/>
          <w:right w:val="nil"/>
          <w:between w:val="nil"/>
        </w:pBdr>
        <w:tabs>
          <w:tab w:val="left" w:pos="426"/>
          <w:tab w:val="left" w:pos="567"/>
        </w:tabs>
        <w:ind w:right="140"/>
        <w:jc w:val="both"/>
      </w:pPr>
      <w:r w:rsidRPr="00EA1CDA">
        <w:rPr>
          <w:color w:val="000000"/>
          <w:sz w:val="28"/>
          <w:szCs w:val="28"/>
        </w:rPr>
        <w:t xml:space="preserve">Desde ese punto de vista, para la </w:t>
      </w:r>
      <w:r w:rsidR="00DC71AE" w:rsidRPr="00EA1CDA">
        <w:rPr>
          <w:color w:val="000000"/>
          <w:sz w:val="28"/>
          <w:szCs w:val="28"/>
        </w:rPr>
        <w:t>Corte Constitucional</w:t>
      </w:r>
      <w:r w:rsidRPr="00EA1CDA">
        <w:rPr>
          <w:color w:val="000000"/>
          <w:sz w:val="28"/>
          <w:szCs w:val="28"/>
        </w:rPr>
        <w:t xml:space="preserve"> la entrega de los medicamentos asegura los principios </w:t>
      </w:r>
      <w:r w:rsidR="00D13CFC" w:rsidRPr="00EA1CDA">
        <w:rPr>
          <w:color w:val="000000"/>
          <w:sz w:val="28"/>
          <w:szCs w:val="28"/>
        </w:rPr>
        <w:t>de</w:t>
      </w:r>
      <w:r w:rsidRPr="00EA1CDA">
        <w:rPr>
          <w:color w:val="000000"/>
          <w:sz w:val="28"/>
          <w:szCs w:val="28"/>
        </w:rPr>
        <w:t xml:space="preserve"> accesibilidad e integralidad en la prestación de los servicios</w:t>
      </w:r>
      <w:r w:rsidRPr="00EA1CDA">
        <w:rPr>
          <w:color w:val="000000"/>
          <w:sz w:val="28"/>
          <w:szCs w:val="28"/>
          <w:vertAlign w:val="superscript"/>
        </w:rPr>
        <w:footnoteReference w:id="42"/>
      </w:r>
      <w:r w:rsidRPr="00EA1CDA">
        <w:rPr>
          <w:color w:val="000000"/>
          <w:sz w:val="28"/>
          <w:szCs w:val="28"/>
        </w:rPr>
        <w:t xml:space="preserve">. En esa medida, ha </w:t>
      </w:r>
      <w:r w:rsidR="002E3D18" w:rsidRPr="00EA1CDA">
        <w:rPr>
          <w:color w:val="000000"/>
          <w:sz w:val="28"/>
          <w:szCs w:val="28"/>
        </w:rPr>
        <w:t>señalado</w:t>
      </w:r>
      <w:r w:rsidRPr="00EA1CDA">
        <w:rPr>
          <w:color w:val="000000"/>
          <w:sz w:val="28"/>
          <w:szCs w:val="28"/>
        </w:rPr>
        <w:t xml:space="preserve"> </w:t>
      </w:r>
      <w:r w:rsidR="00B65FC4" w:rsidRPr="00EA1CDA">
        <w:rPr>
          <w:color w:val="000000"/>
          <w:sz w:val="28"/>
          <w:szCs w:val="28"/>
        </w:rPr>
        <w:t xml:space="preserve">este tribunal </w:t>
      </w:r>
      <w:r w:rsidRPr="00EA1CDA">
        <w:rPr>
          <w:color w:val="000000"/>
          <w:sz w:val="28"/>
          <w:szCs w:val="28"/>
        </w:rPr>
        <w:t>que “las entidades prestadoras del servicio de salud están obligadas a suministrar los medicamentos a sus usuarios de manera integral, oportuna y continua. Cualquier retraso</w:t>
      </w:r>
      <w:r w:rsidR="00D13CFC" w:rsidRPr="00EA1CDA">
        <w:rPr>
          <w:color w:val="000000"/>
          <w:sz w:val="28"/>
          <w:szCs w:val="28"/>
        </w:rPr>
        <w:t xml:space="preserve">, </w:t>
      </w:r>
      <w:r w:rsidRPr="00EA1CDA">
        <w:rPr>
          <w:color w:val="000000"/>
          <w:sz w:val="28"/>
          <w:szCs w:val="28"/>
        </w:rPr>
        <w:t>[barrera]</w:t>
      </w:r>
      <w:r w:rsidR="00D13CFC" w:rsidRPr="00EA1CDA">
        <w:rPr>
          <w:color w:val="000000"/>
          <w:sz w:val="28"/>
          <w:szCs w:val="28"/>
        </w:rPr>
        <w:t>,</w:t>
      </w:r>
      <w:r w:rsidRPr="00EA1CDA">
        <w:rPr>
          <w:color w:val="000000"/>
          <w:sz w:val="28"/>
          <w:szCs w:val="28"/>
        </w:rPr>
        <w:t xml:space="preserve"> o falta de entrega desconoce el derecho a la salud”</w:t>
      </w:r>
      <w:r w:rsidRPr="00EA1CDA">
        <w:rPr>
          <w:color w:val="000000"/>
          <w:sz w:val="28"/>
          <w:szCs w:val="28"/>
          <w:vertAlign w:val="superscript"/>
        </w:rPr>
        <w:footnoteReference w:id="43"/>
      </w:r>
      <w:r w:rsidRPr="00EA1CDA">
        <w:rPr>
          <w:color w:val="000000"/>
          <w:sz w:val="28"/>
          <w:szCs w:val="28"/>
        </w:rPr>
        <w:t>.</w:t>
      </w:r>
      <w:r w:rsidR="00527200" w:rsidRPr="00EA1CDA">
        <w:rPr>
          <w:color w:val="000000"/>
          <w:sz w:val="28"/>
          <w:szCs w:val="28"/>
        </w:rPr>
        <w:t xml:space="preserve"> </w:t>
      </w:r>
      <w:r w:rsidR="001B7C8E" w:rsidRPr="00EA1CDA">
        <w:rPr>
          <w:color w:val="000000"/>
          <w:sz w:val="28"/>
          <w:szCs w:val="28"/>
        </w:rPr>
        <w:t xml:space="preserve">Esta situación cobra mayor relevancia cuando se trata </w:t>
      </w:r>
      <w:r w:rsidR="00FA25A3" w:rsidRPr="00EA1CDA">
        <w:rPr>
          <w:color w:val="000000"/>
          <w:sz w:val="28"/>
          <w:szCs w:val="28"/>
        </w:rPr>
        <w:t xml:space="preserve">de sujetos de especial </w:t>
      </w:r>
      <w:r w:rsidR="00A66B27" w:rsidRPr="00EA1CDA">
        <w:rPr>
          <w:color w:val="000000"/>
          <w:sz w:val="28"/>
          <w:szCs w:val="28"/>
        </w:rPr>
        <w:t>protección</w:t>
      </w:r>
      <w:r w:rsidR="00FA25A3" w:rsidRPr="00EA1CDA">
        <w:rPr>
          <w:color w:val="000000"/>
          <w:sz w:val="28"/>
          <w:szCs w:val="28"/>
        </w:rPr>
        <w:t xml:space="preserve"> constitucional</w:t>
      </w:r>
      <w:r w:rsidR="002D3968" w:rsidRPr="00EA1CDA">
        <w:rPr>
          <w:color w:val="000000"/>
          <w:sz w:val="28"/>
          <w:szCs w:val="28"/>
        </w:rPr>
        <w:t xml:space="preserve"> o personas que se encuentran en </w:t>
      </w:r>
      <w:r w:rsidR="00672A24" w:rsidRPr="00EA1CDA">
        <w:rPr>
          <w:color w:val="000000"/>
          <w:sz w:val="28"/>
          <w:szCs w:val="28"/>
        </w:rPr>
        <w:t>graves condiciones</w:t>
      </w:r>
      <w:r w:rsidR="002D3968" w:rsidRPr="00EA1CDA">
        <w:rPr>
          <w:color w:val="000000"/>
          <w:sz w:val="28"/>
          <w:szCs w:val="28"/>
        </w:rPr>
        <w:t xml:space="preserve"> de salud</w:t>
      </w:r>
      <w:r w:rsidR="00FA25A3" w:rsidRPr="00EA1CDA">
        <w:rPr>
          <w:color w:val="000000"/>
          <w:sz w:val="28"/>
          <w:szCs w:val="28"/>
        </w:rPr>
        <w:t xml:space="preserve">, como ocurre en los casos </w:t>
      </w:r>
      <w:r w:rsidR="0079315D" w:rsidRPr="00EA1CDA">
        <w:rPr>
          <w:color w:val="000000"/>
          <w:sz w:val="28"/>
          <w:szCs w:val="28"/>
        </w:rPr>
        <w:t>bajo revisión</w:t>
      </w:r>
      <w:r w:rsidR="00FA25A3" w:rsidRPr="00EA1CDA">
        <w:rPr>
          <w:color w:val="000000"/>
          <w:sz w:val="28"/>
          <w:szCs w:val="28"/>
        </w:rPr>
        <w:t>,</w:t>
      </w:r>
      <w:r w:rsidR="0079315D" w:rsidRPr="00EA1CDA">
        <w:rPr>
          <w:color w:val="000000"/>
          <w:sz w:val="28"/>
          <w:szCs w:val="28"/>
        </w:rPr>
        <w:t xml:space="preserve"> pues </w:t>
      </w:r>
      <w:r w:rsidR="00033912" w:rsidRPr="00EA1CDA">
        <w:rPr>
          <w:color w:val="000000"/>
          <w:sz w:val="28"/>
          <w:szCs w:val="28"/>
        </w:rPr>
        <w:t xml:space="preserve">esta Corporación ha reconocido </w:t>
      </w:r>
      <w:r w:rsidR="00A7664D" w:rsidRPr="00EA1CDA">
        <w:rPr>
          <w:color w:val="000000"/>
          <w:sz w:val="28"/>
          <w:szCs w:val="28"/>
        </w:rPr>
        <w:t xml:space="preserve">el </w:t>
      </w:r>
      <w:r w:rsidR="003D1FA1" w:rsidRPr="00EA1CDA">
        <w:rPr>
          <w:color w:val="000000"/>
          <w:sz w:val="28"/>
          <w:szCs w:val="28"/>
        </w:rPr>
        <w:t>tratamiento</w:t>
      </w:r>
      <w:r w:rsidR="00A7664D" w:rsidRPr="00EA1CDA">
        <w:rPr>
          <w:color w:val="000000"/>
          <w:sz w:val="28"/>
          <w:szCs w:val="28"/>
        </w:rPr>
        <w:t xml:space="preserve"> integra</w:t>
      </w:r>
      <w:r w:rsidR="00041B7A" w:rsidRPr="00EA1CDA">
        <w:rPr>
          <w:color w:val="000000"/>
          <w:sz w:val="28"/>
          <w:szCs w:val="28"/>
        </w:rPr>
        <w:t>l</w:t>
      </w:r>
      <w:r w:rsidR="00A7664D" w:rsidRPr="00EA1CDA">
        <w:rPr>
          <w:color w:val="000000"/>
          <w:sz w:val="28"/>
          <w:szCs w:val="28"/>
        </w:rPr>
        <w:t xml:space="preserve"> de los mismos </w:t>
      </w:r>
      <w:r w:rsidR="00041B7A" w:rsidRPr="00EA1CDA">
        <w:rPr>
          <w:color w:val="000000"/>
          <w:sz w:val="28"/>
          <w:szCs w:val="28"/>
        </w:rPr>
        <w:t xml:space="preserve">“a) </w:t>
      </w:r>
      <w:r w:rsidR="00FA2885" w:rsidRPr="00EA1CDA">
        <w:rPr>
          <w:color w:val="000000"/>
          <w:sz w:val="28"/>
          <w:szCs w:val="28"/>
        </w:rPr>
        <w:t xml:space="preserve">si </w:t>
      </w:r>
      <w:r w:rsidR="00041B7A" w:rsidRPr="00EA1CDA">
        <w:rPr>
          <w:color w:val="000000"/>
          <w:sz w:val="28"/>
          <w:szCs w:val="28"/>
        </w:rPr>
        <w:t>la EPS fue negligente en el cumplimiento de sus deberes</w:t>
      </w:r>
      <w:r w:rsidR="00A81935" w:rsidRPr="00EA1CDA">
        <w:rPr>
          <w:color w:val="000000"/>
          <w:sz w:val="28"/>
          <w:szCs w:val="28"/>
        </w:rPr>
        <w:t xml:space="preserve"> [y]</w:t>
      </w:r>
      <w:r w:rsidR="00041B7A" w:rsidRPr="00EA1CDA">
        <w:rPr>
          <w:color w:val="000000"/>
          <w:sz w:val="28"/>
          <w:szCs w:val="28"/>
        </w:rPr>
        <w:t xml:space="preserve"> b) </w:t>
      </w:r>
      <w:r w:rsidR="00A81935" w:rsidRPr="00EA1CDA">
        <w:rPr>
          <w:color w:val="000000"/>
          <w:sz w:val="28"/>
          <w:szCs w:val="28"/>
        </w:rPr>
        <w:t>s</w:t>
      </w:r>
      <w:r w:rsidR="00041B7A" w:rsidRPr="00EA1CDA">
        <w:rPr>
          <w:color w:val="000000"/>
          <w:sz w:val="28"/>
          <w:szCs w:val="28"/>
        </w:rPr>
        <w:t>i existen prescripciones médicas que especifiquen tanto el diagnóstico del paciente, como los servicios o tecnologías en salud que requier</w:t>
      </w:r>
      <w:r w:rsidR="00A81935" w:rsidRPr="00EA1CDA">
        <w:rPr>
          <w:color w:val="000000"/>
          <w:sz w:val="28"/>
          <w:szCs w:val="28"/>
        </w:rPr>
        <w:t>e”</w:t>
      </w:r>
      <w:r w:rsidR="004D74FD" w:rsidRPr="00EA1CDA">
        <w:rPr>
          <w:rStyle w:val="Refdenotaalpie"/>
          <w:color w:val="000000"/>
          <w:sz w:val="28"/>
          <w:szCs w:val="28"/>
        </w:rPr>
        <w:footnoteReference w:id="44"/>
      </w:r>
      <w:r w:rsidR="00A81935" w:rsidRPr="00EA1CDA">
        <w:rPr>
          <w:color w:val="000000"/>
          <w:sz w:val="28"/>
          <w:szCs w:val="28"/>
        </w:rPr>
        <w:t>.</w:t>
      </w:r>
      <w:r w:rsidR="00041B7A" w:rsidRPr="00EA1CDA">
        <w:rPr>
          <w:color w:val="000000"/>
          <w:sz w:val="28"/>
          <w:szCs w:val="28"/>
        </w:rPr>
        <w:t xml:space="preserve"> </w:t>
      </w:r>
    </w:p>
    <w:p w14:paraId="53614859" w14:textId="77777777" w:rsidR="004D74FD" w:rsidRPr="00EA1CDA" w:rsidRDefault="004D74FD" w:rsidP="004D74FD">
      <w:pPr>
        <w:widowControl w:val="0"/>
        <w:pBdr>
          <w:top w:val="nil"/>
          <w:left w:val="nil"/>
          <w:bottom w:val="nil"/>
          <w:right w:val="nil"/>
          <w:between w:val="nil"/>
        </w:pBdr>
        <w:tabs>
          <w:tab w:val="left" w:pos="426"/>
          <w:tab w:val="left" w:pos="567"/>
        </w:tabs>
        <w:ind w:right="140"/>
        <w:jc w:val="both"/>
      </w:pPr>
    </w:p>
    <w:p w14:paraId="64A9F61A" w14:textId="6982A0D7" w:rsidR="00311EE9" w:rsidRPr="00EA1CDA" w:rsidRDefault="005E4F86" w:rsidP="001335F5">
      <w:pPr>
        <w:widowControl w:val="0"/>
        <w:numPr>
          <w:ilvl w:val="0"/>
          <w:numId w:val="1"/>
        </w:numPr>
        <w:pBdr>
          <w:top w:val="nil"/>
          <w:left w:val="nil"/>
          <w:bottom w:val="nil"/>
          <w:right w:val="nil"/>
          <w:between w:val="nil"/>
        </w:pBdr>
        <w:tabs>
          <w:tab w:val="left" w:pos="426"/>
          <w:tab w:val="left" w:pos="567"/>
        </w:tabs>
        <w:ind w:right="140"/>
        <w:jc w:val="both"/>
      </w:pPr>
      <w:r w:rsidRPr="00EA1CDA">
        <w:rPr>
          <w:color w:val="000000"/>
          <w:sz w:val="28"/>
          <w:szCs w:val="28"/>
        </w:rPr>
        <w:t xml:space="preserve">En esa medida, la omisión de la EPS en la entrega continua, efectiva y oportuna de los medicamentos, en principio, constituye una vulneración del derecho a la salud, que hace viable su protección transitoria a través de una </w:t>
      </w:r>
      <w:r w:rsidRPr="00EA1CDA">
        <w:rPr>
          <w:sz w:val="28"/>
          <w:szCs w:val="28"/>
        </w:rPr>
        <w:t xml:space="preserve">medida provisional. </w:t>
      </w:r>
      <w:r w:rsidR="00B65FC4" w:rsidRPr="00EA1CDA">
        <w:rPr>
          <w:sz w:val="28"/>
          <w:szCs w:val="28"/>
        </w:rPr>
        <w:t xml:space="preserve">El fundamento de esta </w:t>
      </w:r>
      <w:r w:rsidR="00AA61ED" w:rsidRPr="00EA1CDA">
        <w:rPr>
          <w:sz w:val="28"/>
          <w:szCs w:val="28"/>
        </w:rPr>
        <w:t>conclusión</w:t>
      </w:r>
      <w:r w:rsidR="008E6077" w:rsidRPr="00EA1CDA">
        <w:rPr>
          <w:sz w:val="28"/>
          <w:szCs w:val="28"/>
        </w:rPr>
        <w:t xml:space="preserve"> </w:t>
      </w:r>
      <w:r w:rsidR="00B65FC4" w:rsidRPr="00EA1CDA">
        <w:rPr>
          <w:sz w:val="28"/>
          <w:szCs w:val="28"/>
        </w:rPr>
        <w:t>se evidencia</w:t>
      </w:r>
      <w:r w:rsidR="008E6077" w:rsidRPr="00EA1CDA">
        <w:rPr>
          <w:sz w:val="28"/>
          <w:szCs w:val="28"/>
        </w:rPr>
        <w:t xml:space="preserve"> en el Anexo único </w:t>
      </w:r>
      <w:r w:rsidR="00B65FC4" w:rsidRPr="00EA1CDA">
        <w:rPr>
          <w:sz w:val="28"/>
          <w:szCs w:val="28"/>
        </w:rPr>
        <w:t>del presente auto</w:t>
      </w:r>
      <w:r w:rsidR="00C53ABF" w:rsidRPr="00EA1CDA">
        <w:rPr>
          <w:sz w:val="28"/>
          <w:szCs w:val="28"/>
        </w:rPr>
        <w:t xml:space="preserve"> y</w:t>
      </w:r>
      <w:r w:rsidR="00B65FC4" w:rsidRPr="00EA1CDA">
        <w:rPr>
          <w:sz w:val="28"/>
          <w:szCs w:val="28"/>
        </w:rPr>
        <w:t>, al efecto,</w:t>
      </w:r>
      <w:r w:rsidR="00C53ABF" w:rsidRPr="00EA1CDA">
        <w:rPr>
          <w:sz w:val="28"/>
          <w:szCs w:val="28"/>
        </w:rPr>
        <w:t xml:space="preserve"> los casos concretos se </w:t>
      </w:r>
      <w:r w:rsidR="00B6673F" w:rsidRPr="00EA1CDA">
        <w:rPr>
          <w:sz w:val="28"/>
          <w:szCs w:val="28"/>
        </w:rPr>
        <w:t>analizan</w:t>
      </w:r>
      <w:r w:rsidR="00C53ABF" w:rsidRPr="00EA1CDA">
        <w:rPr>
          <w:sz w:val="28"/>
          <w:szCs w:val="28"/>
        </w:rPr>
        <w:t xml:space="preserve"> en </w:t>
      </w:r>
      <w:r w:rsidR="00A2339E" w:rsidRPr="00EA1CDA">
        <w:rPr>
          <w:sz w:val="28"/>
          <w:szCs w:val="28"/>
        </w:rPr>
        <w:t xml:space="preserve">tres </w:t>
      </w:r>
      <w:r w:rsidR="00B6673F" w:rsidRPr="00EA1CDA">
        <w:rPr>
          <w:sz w:val="28"/>
          <w:szCs w:val="28"/>
        </w:rPr>
        <w:t>grupos</w:t>
      </w:r>
      <w:r w:rsidR="00C53ABF" w:rsidRPr="00EA1CDA">
        <w:rPr>
          <w:sz w:val="28"/>
          <w:szCs w:val="28"/>
        </w:rPr>
        <w:t xml:space="preserve">. </w:t>
      </w:r>
    </w:p>
    <w:p w14:paraId="67531EEE" w14:textId="77777777" w:rsidR="00311EE9" w:rsidRPr="00EA1CDA" w:rsidRDefault="00311EE9" w:rsidP="008129B1">
      <w:pPr>
        <w:pStyle w:val="Prrafodelista"/>
        <w:rPr>
          <w:sz w:val="28"/>
          <w:szCs w:val="28"/>
        </w:rPr>
      </w:pPr>
    </w:p>
    <w:p w14:paraId="75BD5C18" w14:textId="081AE9AA" w:rsidR="00BC197D" w:rsidRPr="00EA1CDA" w:rsidRDefault="00086981" w:rsidP="00BC197D">
      <w:pPr>
        <w:widowControl w:val="0"/>
        <w:numPr>
          <w:ilvl w:val="0"/>
          <w:numId w:val="1"/>
        </w:numPr>
        <w:pBdr>
          <w:top w:val="nil"/>
          <w:left w:val="nil"/>
          <w:bottom w:val="nil"/>
          <w:right w:val="nil"/>
          <w:between w:val="nil"/>
        </w:pBdr>
        <w:tabs>
          <w:tab w:val="left" w:pos="426"/>
          <w:tab w:val="left" w:pos="567"/>
        </w:tabs>
        <w:ind w:right="140"/>
        <w:jc w:val="both"/>
        <w:rPr>
          <w:sz w:val="28"/>
          <w:szCs w:val="28"/>
        </w:rPr>
      </w:pPr>
      <w:r w:rsidRPr="00EA1CDA">
        <w:rPr>
          <w:i/>
          <w:iCs/>
          <w:sz w:val="28"/>
          <w:szCs w:val="28"/>
        </w:rPr>
        <w:t>Primer grupo</w:t>
      </w:r>
      <w:r w:rsidR="00C53ABF" w:rsidRPr="00EA1CDA">
        <w:rPr>
          <w:i/>
          <w:iCs/>
          <w:sz w:val="28"/>
          <w:szCs w:val="28"/>
        </w:rPr>
        <w:t>.</w:t>
      </w:r>
      <w:r w:rsidR="00C53ABF" w:rsidRPr="00EA1CDA">
        <w:rPr>
          <w:sz w:val="28"/>
          <w:szCs w:val="28"/>
        </w:rPr>
        <w:t xml:space="preserve"> </w:t>
      </w:r>
      <w:r w:rsidR="00311EE9" w:rsidRPr="00EA1CDA">
        <w:rPr>
          <w:sz w:val="28"/>
          <w:szCs w:val="28"/>
        </w:rPr>
        <w:t>E</w:t>
      </w:r>
      <w:r w:rsidR="00D72815" w:rsidRPr="00EA1CDA">
        <w:rPr>
          <w:sz w:val="28"/>
          <w:szCs w:val="28"/>
        </w:rPr>
        <w:t xml:space="preserve">n </w:t>
      </w:r>
      <w:r w:rsidR="003B5582" w:rsidRPr="00EA1CDA">
        <w:rPr>
          <w:sz w:val="28"/>
          <w:szCs w:val="28"/>
        </w:rPr>
        <w:t>11</w:t>
      </w:r>
      <w:r w:rsidR="00BC197D" w:rsidRPr="00EA1CDA">
        <w:rPr>
          <w:sz w:val="28"/>
          <w:szCs w:val="28"/>
        </w:rPr>
        <w:t xml:space="preserve"> de </w:t>
      </w:r>
      <w:r w:rsidR="00D72815" w:rsidRPr="00EA1CDA">
        <w:rPr>
          <w:sz w:val="28"/>
          <w:szCs w:val="28"/>
        </w:rPr>
        <w:t xml:space="preserve">los </w:t>
      </w:r>
      <w:r w:rsidR="009C6DB0" w:rsidRPr="00EA1CDA">
        <w:rPr>
          <w:sz w:val="28"/>
          <w:szCs w:val="28"/>
        </w:rPr>
        <w:t>30</w:t>
      </w:r>
      <w:r w:rsidR="006B7BC1" w:rsidRPr="00EA1CDA">
        <w:rPr>
          <w:sz w:val="28"/>
          <w:szCs w:val="28"/>
        </w:rPr>
        <w:t xml:space="preserve"> expedientes</w:t>
      </w:r>
      <w:r w:rsidR="00FB4F9C" w:rsidRPr="00EA1CDA">
        <w:rPr>
          <w:rStyle w:val="Refdenotaalpie"/>
          <w:sz w:val="28"/>
          <w:szCs w:val="28"/>
        </w:rPr>
        <w:footnoteReference w:id="45"/>
      </w:r>
      <w:r w:rsidR="006B7BC1" w:rsidRPr="00EA1CDA">
        <w:rPr>
          <w:sz w:val="28"/>
          <w:szCs w:val="28"/>
        </w:rPr>
        <w:t xml:space="preserve">, </w:t>
      </w:r>
      <w:r w:rsidR="00EC6C31" w:rsidRPr="00EA1CDA">
        <w:rPr>
          <w:sz w:val="28"/>
          <w:szCs w:val="28"/>
        </w:rPr>
        <w:t xml:space="preserve">los médicos tratantes </w:t>
      </w:r>
      <w:r w:rsidR="00AF2492" w:rsidRPr="00EA1CDA">
        <w:rPr>
          <w:sz w:val="28"/>
          <w:szCs w:val="28"/>
        </w:rPr>
        <w:t>han prescrito a los accionantes los fármacos indicados en las órdenes médicas para el tratamiento de sus diagnósticos. H</w:t>
      </w:r>
      <w:r w:rsidR="007B253A" w:rsidRPr="00EA1CDA">
        <w:rPr>
          <w:sz w:val="28"/>
          <w:szCs w:val="28"/>
        </w:rPr>
        <w:t>ay indicios de que el medicamento ha sido formulado nuevamente por el médico tratante</w:t>
      </w:r>
      <w:r w:rsidR="00F054AF" w:rsidRPr="00EA1CDA">
        <w:rPr>
          <w:sz w:val="28"/>
          <w:szCs w:val="28"/>
        </w:rPr>
        <w:t xml:space="preserve">, sin que la EPS y la gestora farmacéutica del caso hayan acreditado </w:t>
      </w:r>
      <w:r w:rsidR="00CD7A12" w:rsidRPr="00EA1CDA">
        <w:rPr>
          <w:sz w:val="28"/>
          <w:szCs w:val="28"/>
        </w:rPr>
        <w:t>su</w:t>
      </w:r>
      <w:r w:rsidR="00F054AF" w:rsidRPr="00EA1CDA">
        <w:rPr>
          <w:sz w:val="28"/>
          <w:szCs w:val="28"/>
        </w:rPr>
        <w:t xml:space="preserve"> entrega efectiva. En estas condiciones, en p</w:t>
      </w:r>
      <w:r w:rsidR="0048793F" w:rsidRPr="00EA1CDA">
        <w:rPr>
          <w:sz w:val="28"/>
          <w:szCs w:val="28"/>
        </w:rPr>
        <w:t xml:space="preserve">rincipio, la Sala advierte una posible omisión en la entrega de cada uno de los medicamentos, </w:t>
      </w:r>
      <w:r w:rsidR="00CB7915" w:rsidRPr="00EA1CDA">
        <w:rPr>
          <w:sz w:val="28"/>
          <w:szCs w:val="28"/>
        </w:rPr>
        <w:t xml:space="preserve">por lo que existe apariencia de buen derecho en relación con </w:t>
      </w:r>
      <w:r w:rsidR="003652EF" w:rsidRPr="00EA1CDA">
        <w:rPr>
          <w:sz w:val="28"/>
          <w:szCs w:val="28"/>
        </w:rPr>
        <w:t>estos</w:t>
      </w:r>
      <w:r w:rsidR="00B65FC4" w:rsidRPr="00EA1CDA">
        <w:rPr>
          <w:sz w:val="28"/>
          <w:szCs w:val="28"/>
        </w:rPr>
        <w:t xml:space="preserve"> eventos</w:t>
      </w:r>
      <w:r w:rsidR="00CB7915" w:rsidRPr="00EA1CDA">
        <w:rPr>
          <w:sz w:val="28"/>
          <w:szCs w:val="28"/>
        </w:rPr>
        <w:t>.</w:t>
      </w:r>
    </w:p>
    <w:p w14:paraId="2DA7B8FE" w14:textId="77777777" w:rsidR="0016535C" w:rsidRPr="00EA1CDA" w:rsidRDefault="0016535C" w:rsidP="0061561B">
      <w:pPr>
        <w:pStyle w:val="Prrafodelista"/>
        <w:rPr>
          <w:sz w:val="28"/>
          <w:szCs w:val="28"/>
        </w:rPr>
      </w:pPr>
    </w:p>
    <w:p w14:paraId="37C5785F" w14:textId="718DBB43" w:rsidR="0016535C" w:rsidRPr="00EA1CDA" w:rsidRDefault="00EA2B53" w:rsidP="00BC197D">
      <w:pPr>
        <w:widowControl w:val="0"/>
        <w:numPr>
          <w:ilvl w:val="0"/>
          <w:numId w:val="1"/>
        </w:numPr>
        <w:pBdr>
          <w:top w:val="nil"/>
          <w:left w:val="nil"/>
          <w:bottom w:val="nil"/>
          <w:right w:val="nil"/>
          <w:between w:val="nil"/>
        </w:pBdr>
        <w:tabs>
          <w:tab w:val="left" w:pos="426"/>
          <w:tab w:val="left" w:pos="567"/>
        </w:tabs>
        <w:ind w:right="140"/>
        <w:jc w:val="both"/>
        <w:rPr>
          <w:sz w:val="28"/>
          <w:szCs w:val="28"/>
        </w:rPr>
      </w:pPr>
      <w:r w:rsidRPr="00EA1CDA">
        <w:rPr>
          <w:i/>
          <w:iCs/>
          <w:sz w:val="28"/>
          <w:szCs w:val="28"/>
        </w:rPr>
        <w:t>Segundo grupo</w:t>
      </w:r>
      <w:r w:rsidR="00C53ABF" w:rsidRPr="00EA1CDA">
        <w:rPr>
          <w:i/>
          <w:iCs/>
          <w:sz w:val="28"/>
          <w:szCs w:val="28"/>
        </w:rPr>
        <w:t xml:space="preserve">. </w:t>
      </w:r>
      <w:r w:rsidR="0016535C" w:rsidRPr="00EA1CDA">
        <w:rPr>
          <w:sz w:val="28"/>
          <w:szCs w:val="28"/>
        </w:rPr>
        <w:t xml:space="preserve">En </w:t>
      </w:r>
      <w:r w:rsidR="003B5582" w:rsidRPr="00EA1CDA">
        <w:rPr>
          <w:sz w:val="28"/>
          <w:szCs w:val="28"/>
        </w:rPr>
        <w:t>1</w:t>
      </w:r>
      <w:r w:rsidR="00D2224D" w:rsidRPr="00EA1CDA">
        <w:rPr>
          <w:sz w:val="28"/>
          <w:szCs w:val="28"/>
        </w:rPr>
        <w:t>1</w:t>
      </w:r>
      <w:r w:rsidR="0016535C" w:rsidRPr="00EA1CDA">
        <w:rPr>
          <w:sz w:val="28"/>
          <w:szCs w:val="28"/>
        </w:rPr>
        <w:t xml:space="preserve"> expediente</w:t>
      </w:r>
      <w:r w:rsidR="000E0A85" w:rsidRPr="00EA1CDA">
        <w:rPr>
          <w:sz w:val="28"/>
          <w:szCs w:val="28"/>
        </w:rPr>
        <w:t>s</w:t>
      </w:r>
      <w:r w:rsidR="004503D5" w:rsidRPr="00EA1CDA">
        <w:rPr>
          <w:rStyle w:val="Refdenotaalpie"/>
          <w:sz w:val="28"/>
          <w:szCs w:val="28"/>
        </w:rPr>
        <w:footnoteReference w:id="46"/>
      </w:r>
      <w:r w:rsidR="0016535C" w:rsidRPr="00EA1CDA">
        <w:rPr>
          <w:sz w:val="28"/>
          <w:szCs w:val="28"/>
        </w:rPr>
        <w:t xml:space="preserve">, pese a que la parte accionante contaba con orden médica para </w:t>
      </w:r>
      <w:r w:rsidR="009B5138" w:rsidRPr="00EA1CDA">
        <w:rPr>
          <w:sz w:val="28"/>
          <w:szCs w:val="28"/>
        </w:rPr>
        <w:t xml:space="preserve">cuando </w:t>
      </w:r>
      <w:r w:rsidR="00B65FC4" w:rsidRPr="00EA1CDA">
        <w:rPr>
          <w:sz w:val="28"/>
          <w:szCs w:val="28"/>
        </w:rPr>
        <w:t xml:space="preserve">se </w:t>
      </w:r>
      <w:r w:rsidR="009B5138" w:rsidRPr="00EA1CDA">
        <w:rPr>
          <w:sz w:val="28"/>
          <w:szCs w:val="28"/>
        </w:rPr>
        <w:t>formuló</w:t>
      </w:r>
      <w:r w:rsidR="000E0A85" w:rsidRPr="00EA1CDA">
        <w:rPr>
          <w:sz w:val="28"/>
          <w:szCs w:val="28"/>
        </w:rPr>
        <w:t xml:space="preserve"> </w:t>
      </w:r>
      <w:r w:rsidR="009B5138" w:rsidRPr="00EA1CDA">
        <w:rPr>
          <w:sz w:val="28"/>
          <w:szCs w:val="28"/>
        </w:rPr>
        <w:t>la solicitud de amparo</w:t>
      </w:r>
      <w:r w:rsidR="000E0A85" w:rsidRPr="00EA1CDA">
        <w:rPr>
          <w:sz w:val="28"/>
          <w:szCs w:val="28"/>
        </w:rPr>
        <w:t>, en la actualidad</w:t>
      </w:r>
      <w:r w:rsidR="009B5138" w:rsidRPr="00EA1CDA">
        <w:rPr>
          <w:sz w:val="28"/>
          <w:szCs w:val="28"/>
        </w:rPr>
        <w:t>,</w:t>
      </w:r>
      <w:r w:rsidR="000E0A85" w:rsidRPr="00EA1CDA">
        <w:rPr>
          <w:sz w:val="28"/>
          <w:szCs w:val="28"/>
        </w:rPr>
        <w:t xml:space="preserve"> con la información recaudada hasta el momento</w:t>
      </w:r>
      <w:r w:rsidRPr="00EA1CDA">
        <w:rPr>
          <w:sz w:val="28"/>
          <w:szCs w:val="28"/>
        </w:rPr>
        <w:t>,</w:t>
      </w:r>
      <w:r w:rsidR="000E0A85" w:rsidRPr="00EA1CDA">
        <w:rPr>
          <w:sz w:val="28"/>
          <w:szCs w:val="28"/>
        </w:rPr>
        <w:t xml:space="preserve"> no es posible concluir que su tratamiento </w:t>
      </w:r>
      <w:r w:rsidR="00EA16F3" w:rsidRPr="00EA1CDA">
        <w:rPr>
          <w:sz w:val="28"/>
          <w:szCs w:val="28"/>
        </w:rPr>
        <w:t xml:space="preserve">continuó con </w:t>
      </w:r>
      <w:r w:rsidR="00224F02" w:rsidRPr="00EA1CDA">
        <w:rPr>
          <w:sz w:val="28"/>
          <w:szCs w:val="28"/>
        </w:rPr>
        <w:t xml:space="preserve">la prescripción del mismo </w:t>
      </w:r>
      <w:r w:rsidR="005855C6" w:rsidRPr="00EA1CDA">
        <w:rPr>
          <w:sz w:val="28"/>
          <w:szCs w:val="28"/>
        </w:rPr>
        <w:t>fármaco</w:t>
      </w:r>
      <w:r w:rsidR="00224F02" w:rsidRPr="00EA1CDA">
        <w:rPr>
          <w:sz w:val="28"/>
          <w:szCs w:val="28"/>
        </w:rPr>
        <w:t>, como tampoco si la E</w:t>
      </w:r>
      <w:r w:rsidR="00C26F50" w:rsidRPr="00EA1CDA">
        <w:rPr>
          <w:sz w:val="28"/>
          <w:szCs w:val="28"/>
        </w:rPr>
        <w:t>PS</w:t>
      </w:r>
      <w:r w:rsidR="00E3274E" w:rsidRPr="00EA1CDA">
        <w:rPr>
          <w:sz w:val="28"/>
          <w:szCs w:val="28"/>
        </w:rPr>
        <w:t xml:space="preserve"> lo suministró en su momento o</w:t>
      </w:r>
      <w:r w:rsidR="00C26F50" w:rsidRPr="00EA1CDA">
        <w:rPr>
          <w:sz w:val="28"/>
          <w:szCs w:val="28"/>
        </w:rPr>
        <w:t xml:space="preserve"> </w:t>
      </w:r>
      <w:r w:rsidR="00B65237" w:rsidRPr="00EA1CDA">
        <w:rPr>
          <w:sz w:val="28"/>
          <w:szCs w:val="28"/>
        </w:rPr>
        <w:t xml:space="preserve">continuó su </w:t>
      </w:r>
      <w:r w:rsidR="00B65237" w:rsidRPr="00EA1CDA">
        <w:rPr>
          <w:sz w:val="28"/>
          <w:szCs w:val="28"/>
        </w:rPr>
        <w:lastRenderedPageBreak/>
        <w:t>suministro</w:t>
      </w:r>
      <w:r w:rsidR="00C26F50" w:rsidRPr="00EA1CDA">
        <w:rPr>
          <w:sz w:val="28"/>
          <w:szCs w:val="28"/>
        </w:rPr>
        <w:t xml:space="preserve">. </w:t>
      </w:r>
      <w:r w:rsidR="0021042A" w:rsidRPr="00EA1CDA">
        <w:rPr>
          <w:sz w:val="28"/>
          <w:szCs w:val="28"/>
        </w:rPr>
        <w:t xml:space="preserve">No </w:t>
      </w:r>
      <w:r w:rsidR="00CD5E7A" w:rsidRPr="00EA1CDA">
        <w:rPr>
          <w:sz w:val="28"/>
          <w:szCs w:val="28"/>
        </w:rPr>
        <w:t>fue posible establecer</w:t>
      </w:r>
      <w:r w:rsidR="00373DB1" w:rsidRPr="00EA1CDA">
        <w:rPr>
          <w:sz w:val="28"/>
          <w:szCs w:val="28"/>
        </w:rPr>
        <w:t xml:space="preserve">lo </w:t>
      </w:r>
      <w:r w:rsidR="009C6DB0" w:rsidRPr="00EA1CDA">
        <w:rPr>
          <w:sz w:val="28"/>
          <w:szCs w:val="28"/>
        </w:rPr>
        <w:t>en respuesta a lo solicitado en el auto de pruebas</w:t>
      </w:r>
      <w:r w:rsidR="00B65FC4" w:rsidRPr="00EA1CDA">
        <w:rPr>
          <w:sz w:val="28"/>
          <w:szCs w:val="28"/>
        </w:rPr>
        <w:t>,</w:t>
      </w:r>
      <w:r w:rsidR="009C6DB0" w:rsidRPr="00EA1CDA">
        <w:rPr>
          <w:sz w:val="28"/>
          <w:szCs w:val="28"/>
        </w:rPr>
        <w:t xml:space="preserve"> </w:t>
      </w:r>
      <w:r w:rsidR="00373DB1" w:rsidRPr="00EA1CDA">
        <w:rPr>
          <w:sz w:val="28"/>
          <w:szCs w:val="28"/>
        </w:rPr>
        <w:t>ni a</w:t>
      </w:r>
      <w:r w:rsidR="00B65FC4" w:rsidRPr="00EA1CDA">
        <w:rPr>
          <w:sz w:val="28"/>
          <w:szCs w:val="28"/>
        </w:rPr>
        <w:t>ú</w:t>
      </w:r>
      <w:r w:rsidR="00373DB1" w:rsidRPr="00EA1CDA">
        <w:rPr>
          <w:sz w:val="28"/>
          <w:szCs w:val="28"/>
        </w:rPr>
        <w:t xml:space="preserve">n mediante </w:t>
      </w:r>
      <w:r w:rsidR="00CD5E7A" w:rsidRPr="00EA1CDA">
        <w:rPr>
          <w:sz w:val="28"/>
          <w:szCs w:val="28"/>
        </w:rPr>
        <w:t xml:space="preserve">comunicación telefónica </w:t>
      </w:r>
      <w:r w:rsidR="00B65FC4" w:rsidRPr="00EA1CDA">
        <w:rPr>
          <w:sz w:val="28"/>
          <w:szCs w:val="28"/>
        </w:rPr>
        <w:t>frente a</w:t>
      </w:r>
      <w:r w:rsidR="00CD5E7A" w:rsidRPr="00EA1CDA">
        <w:rPr>
          <w:sz w:val="28"/>
          <w:szCs w:val="28"/>
        </w:rPr>
        <w:t xml:space="preserve"> los números aportados como datos de </w:t>
      </w:r>
      <w:r w:rsidR="00C742BD" w:rsidRPr="00EA1CDA">
        <w:rPr>
          <w:sz w:val="28"/>
          <w:szCs w:val="28"/>
        </w:rPr>
        <w:t>contacto</w:t>
      </w:r>
      <w:r w:rsidR="00CB3358" w:rsidRPr="00EA1CDA">
        <w:rPr>
          <w:sz w:val="28"/>
          <w:szCs w:val="28"/>
        </w:rPr>
        <w:t xml:space="preserve"> por los accionantes</w:t>
      </w:r>
      <w:r w:rsidR="00CD5E7A" w:rsidRPr="00EA1CDA">
        <w:rPr>
          <w:sz w:val="28"/>
          <w:szCs w:val="28"/>
        </w:rPr>
        <w:t xml:space="preserve">. </w:t>
      </w:r>
      <w:r w:rsidR="00210AF6" w:rsidRPr="00EA1CDA">
        <w:rPr>
          <w:sz w:val="28"/>
          <w:szCs w:val="28"/>
        </w:rPr>
        <w:t xml:space="preserve">Además, en ninguno de esos casos hay informes de cumplimiento o documentos equivalentes que permitan inferir que los fármacos fueron entregados. </w:t>
      </w:r>
      <w:r w:rsidR="00B14F0D" w:rsidRPr="00EA1CDA">
        <w:rPr>
          <w:sz w:val="28"/>
          <w:szCs w:val="28"/>
        </w:rPr>
        <w:t>Así las cosas</w:t>
      </w:r>
      <w:r w:rsidR="00CD5E7A" w:rsidRPr="00EA1CDA">
        <w:rPr>
          <w:sz w:val="28"/>
          <w:szCs w:val="28"/>
        </w:rPr>
        <w:t xml:space="preserve">, </w:t>
      </w:r>
      <w:r w:rsidR="00EB49E8" w:rsidRPr="00EA1CDA">
        <w:rPr>
          <w:sz w:val="28"/>
          <w:szCs w:val="28"/>
        </w:rPr>
        <w:t xml:space="preserve">la Sala </w:t>
      </w:r>
      <w:r w:rsidR="00B5322D" w:rsidRPr="00EA1CDA">
        <w:rPr>
          <w:sz w:val="28"/>
          <w:szCs w:val="28"/>
        </w:rPr>
        <w:t xml:space="preserve">evidencia que </w:t>
      </w:r>
      <w:r w:rsidR="00B14F0D" w:rsidRPr="00EA1CDA">
        <w:rPr>
          <w:sz w:val="28"/>
          <w:szCs w:val="28"/>
        </w:rPr>
        <w:t>al existir</w:t>
      </w:r>
      <w:r w:rsidR="00193921" w:rsidRPr="00EA1CDA">
        <w:rPr>
          <w:sz w:val="28"/>
          <w:szCs w:val="28"/>
        </w:rPr>
        <w:t xml:space="preserve"> una orden médica inicial </w:t>
      </w:r>
      <w:r w:rsidR="00EB49E8" w:rsidRPr="00EA1CDA">
        <w:rPr>
          <w:sz w:val="28"/>
          <w:szCs w:val="28"/>
        </w:rPr>
        <w:t xml:space="preserve">que da cuenta de la pertinencia del medicamento </w:t>
      </w:r>
      <w:r w:rsidR="004503D5" w:rsidRPr="00EA1CDA">
        <w:rPr>
          <w:sz w:val="28"/>
          <w:szCs w:val="28"/>
        </w:rPr>
        <w:t xml:space="preserve">en cada caso </w:t>
      </w:r>
      <w:r w:rsidR="00186997" w:rsidRPr="00EA1CDA">
        <w:rPr>
          <w:sz w:val="28"/>
          <w:szCs w:val="28"/>
        </w:rPr>
        <w:t>y al no contar con demostración de su suministro efectivo</w:t>
      </w:r>
      <w:r w:rsidR="00CE03CC" w:rsidRPr="00EA1CDA">
        <w:rPr>
          <w:sz w:val="28"/>
          <w:szCs w:val="28"/>
        </w:rPr>
        <w:t xml:space="preserve">, </w:t>
      </w:r>
      <w:r w:rsidR="00B65FC4" w:rsidRPr="00EA1CDA">
        <w:rPr>
          <w:sz w:val="28"/>
          <w:szCs w:val="28"/>
        </w:rPr>
        <w:t xml:space="preserve">se acredita la </w:t>
      </w:r>
      <w:r w:rsidR="00AA61ED" w:rsidRPr="00EA1CDA">
        <w:rPr>
          <w:sz w:val="28"/>
          <w:szCs w:val="28"/>
        </w:rPr>
        <w:t>apariencia de buen derecho</w:t>
      </w:r>
      <w:r w:rsidR="00B65FC4" w:rsidRPr="00EA1CDA">
        <w:rPr>
          <w:sz w:val="28"/>
          <w:szCs w:val="28"/>
        </w:rPr>
        <w:t xml:space="preserve"> frente a la cobertura del sistema de salud en casos altamente sensibles</w:t>
      </w:r>
      <w:r w:rsidR="00AA61ED" w:rsidRPr="00EA1CDA">
        <w:rPr>
          <w:sz w:val="28"/>
          <w:szCs w:val="28"/>
        </w:rPr>
        <w:t xml:space="preserve">. </w:t>
      </w:r>
      <w:r w:rsidR="00C37161" w:rsidRPr="00EA1CDA">
        <w:rPr>
          <w:sz w:val="28"/>
          <w:szCs w:val="28"/>
        </w:rPr>
        <w:t xml:space="preserve"> </w:t>
      </w:r>
    </w:p>
    <w:p w14:paraId="7C830930" w14:textId="77777777" w:rsidR="00BC197D" w:rsidRPr="00EA1CDA" w:rsidRDefault="00BC197D" w:rsidP="0061561B">
      <w:pPr>
        <w:pStyle w:val="Prrafodelista"/>
        <w:rPr>
          <w:color w:val="FF0000"/>
          <w:sz w:val="28"/>
          <w:szCs w:val="28"/>
        </w:rPr>
      </w:pPr>
    </w:p>
    <w:p w14:paraId="79885C4B" w14:textId="436E2A46" w:rsidR="004130B9" w:rsidRPr="00EA1CDA" w:rsidRDefault="001754F3" w:rsidP="00FE54BF">
      <w:pPr>
        <w:widowControl w:val="0"/>
        <w:numPr>
          <w:ilvl w:val="0"/>
          <w:numId w:val="1"/>
        </w:numPr>
        <w:pBdr>
          <w:top w:val="nil"/>
          <w:left w:val="nil"/>
          <w:bottom w:val="nil"/>
          <w:right w:val="nil"/>
          <w:between w:val="nil"/>
        </w:pBdr>
        <w:tabs>
          <w:tab w:val="left" w:pos="426"/>
          <w:tab w:val="left" w:pos="567"/>
        </w:tabs>
        <w:ind w:right="140"/>
        <w:jc w:val="both"/>
        <w:rPr>
          <w:sz w:val="28"/>
          <w:szCs w:val="28"/>
        </w:rPr>
      </w:pPr>
      <w:r w:rsidRPr="00EA1CDA">
        <w:rPr>
          <w:i/>
          <w:iCs/>
          <w:sz w:val="28"/>
          <w:szCs w:val="28"/>
        </w:rPr>
        <w:t>Tercer grupo</w:t>
      </w:r>
      <w:r w:rsidR="00A850F1" w:rsidRPr="00EA1CDA">
        <w:rPr>
          <w:i/>
          <w:iCs/>
          <w:sz w:val="28"/>
          <w:szCs w:val="28"/>
        </w:rPr>
        <w:t xml:space="preserve">. </w:t>
      </w:r>
      <w:r w:rsidR="009C2C76" w:rsidRPr="00EA1CDA">
        <w:rPr>
          <w:sz w:val="28"/>
          <w:szCs w:val="28"/>
        </w:rPr>
        <w:t xml:space="preserve">En </w:t>
      </w:r>
      <w:r w:rsidR="000E041F" w:rsidRPr="00EA1CDA">
        <w:rPr>
          <w:sz w:val="28"/>
          <w:szCs w:val="28"/>
        </w:rPr>
        <w:t>ocho</w:t>
      </w:r>
      <w:r w:rsidR="009C2C76" w:rsidRPr="00EA1CDA">
        <w:rPr>
          <w:sz w:val="28"/>
          <w:szCs w:val="28"/>
        </w:rPr>
        <w:t xml:space="preserve"> expedientes</w:t>
      </w:r>
      <w:r w:rsidR="00A52CAD" w:rsidRPr="00EA1CDA">
        <w:rPr>
          <w:rStyle w:val="Refdenotaalpie"/>
          <w:sz w:val="28"/>
          <w:szCs w:val="28"/>
        </w:rPr>
        <w:footnoteReference w:id="47"/>
      </w:r>
      <w:r w:rsidR="009C2C76" w:rsidRPr="00EA1CDA">
        <w:rPr>
          <w:sz w:val="28"/>
          <w:szCs w:val="28"/>
        </w:rPr>
        <w:t xml:space="preserve"> el medicamento fue entregado </w:t>
      </w:r>
      <w:r w:rsidR="0007399A" w:rsidRPr="00EA1CDA">
        <w:rPr>
          <w:sz w:val="28"/>
          <w:szCs w:val="28"/>
        </w:rPr>
        <w:t>luego de la interposición de la acción de tutela</w:t>
      </w:r>
      <w:r w:rsidR="00627FF8" w:rsidRPr="00EA1CDA">
        <w:rPr>
          <w:sz w:val="28"/>
          <w:szCs w:val="28"/>
        </w:rPr>
        <w:t xml:space="preserve"> </w:t>
      </w:r>
      <w:r w:rsidR="00B73B25" w:rsidRPr="00EA1CDA">
        <w:rPr>
          <w:sz w:val="28"/>
          <w:szCs w:val="28"/>
        </w:rPr>
        <w:t>o</w:t>
      </w:r>
      <w:r w:rsidR="00627FF8" w:rsidRPr="00EA1CDA">
        <w:rPr>
          <w:sz w:val="28"/>
          <w:szCs w:val="28"/>
        </w:rPr>
        <w:t xml:space="preserve"> la parte accionante </w:t>
      </w:r>
      <w:r w:rsidR="00900D9E" w:rsidRPr="00EA1CDA">
        <w:rPr>
          <w:sz w:val="28"/>
          <w:szCs w:val="28"/>
        </w:rPr>
        <w:t>ha recibido</w:t>
      </w:r>
      <w:r w:rsidR="00627FF8" w:rsidRPr="00EA1CDA">
        <w:rPr>
          <w:sz w:val="28"/>
          <w:szCs w:val="28"/>
        </w:rPr>
        <w:t xml:space="preserve"> el fármaco. No obstante, </w:t>
      </w:r>
      <w:r w:rsidR="002B1184" w:rsidRPr="00EA1CDA">
        <w:rPr>
          <w:sz w:val="28"/>
          <w:szCs w:val="28"/>
        </w:rPr>
        <w:t>los pacientes tienen derecho a la garantía de</w:t>
      </w:r>
      <w:r w:rsidR="00F45B6E" w:rsidRPr="00EA1CDA">
        <w:rPr>
          <w:sz w:val="28"/>
          <w:szCs w:val="28"/>
        </w:rPr>
        <w:t xml:space="preserve">l suministro continuo </w:t>
      </w:r>
      <w:r w:rsidR="00312964" w:rsidRPr="00EA1CDA">
        <w:rPr>
          <w:sz w:val="28"/>
          <w:szCs w:val="28"/>
        </w:rPr>
        <w:t>de los medicamentos</w:t>
      </w:r>
      <w:r w:rsidR="00456C46" w:rsidRPr="00EA1CDA">
        <w:rPr>
          <w:sz w:val="28"/>
          <w:szCs w:val="28"/>
        </w:rPr>
        <w:t xml:space="preserve"> mientras se dicta el fallo que resuelva </w:t>
      </w:r>
      <w:r w:rsidR="009D2BAF" w:rsidRPr="00EA1CDA">
        <w:rPr>
          <w:sz w:val="28"/>
          <w:szCs w:val="28"/>
        </w:rPr>
        <w:t>el</w:t>
      </w:r>
      <w:r w:rsidR="00456C46" w:rsidRPr="00EA1CDA">
        <w:rPr>
          <w:sz w:val="28"/>
          <w:szCs w:val="28"/>
        </w:rPr>
        <w:t xml:space="preserve"> presente asunto</w:t>
      </w:r>
      <w:r w:rsidR="00F45B6E" w:rsidRPr="00EA1CDA">
        <w:rPr>
          <w:sz w:val="28"/>
          <w:szCs w:val="28"/>
        </w:rPr>
        <w:t>. Lo anterior,</w:t>
      </w:r>
      <w:r w:rsidR="006C3941" w:rsidRPr="00EA1CDA">
        <w:rPr>
          <w:sz w:val="28"/>
          <w:szCs w:val="28"/>
        </w:rPr>
        <w:t xml:space="preserve"> </w:t>
      </w:r>
      <w:r w:rsidR="00312964" w:rsidRPr="00EA1CDA">
        <w:rPr>
          <w:sz w:val="28"/>
          <w:szCs w:val="28"/>
        </w:rPr>
        <w:t xml:space="preserve">toda vez que la EPS inicialmente </w:t>
      </w:r>
      <w:r w:rsidR="000E58EA" w:rsidRPr="00EA1CDA">
        <w:rPr>
          <w:sz w:val="28"/>
          <w:szCs w:val="28"/>
        </w:rPr>
        <w:t xml:space="preserve">no cumplió con su deber de </w:t>
      </w:r>
      <w:r w:rsidR="00A52CAD" w:rsidRPr="00EA1CDA">
        <w:rPr>
          <w:sz w:val="28"/>
          <w:szCs w:val="28"/>
        </w:rPr>
        <w:t>asegurar el tratamiento para los accionantes de forma continua</w:t>
      </w:r>
      <w:r w:rsidR="00727991" w:rsidRPr="00EA1CDA">
        <w:rPr>
          <w:sz w:val="28"/>
          <w:szCs w:val="28"/>
        </w:rPr>
        <w:t xml:space="preserve"> o con sujeción a la orden del médico tratante</w:t>
      </w:r>
      <w:r w:rsidR="001C146C" w:rsidRPr="00EA1CDA">
        <w:rPr>
          <w:rStyle w:val="Refdenotaalpie"/>
          <w:sz w:val="28"/>
          <w:szCs w:val="28"/>
        </w:rPr>
        <w:footnoteReference w:id="48"/>
      </w:r>
      <w:r w:rsidR="006C3941" w:rsidRPr="00EA1CDA">
        <w:rPr>
          <w:sz w:val="28"/>
          <w:szCs w:val="28"/>
        </w:rPr>
        <w:t xml:space="preserve"> y los pacientes debieron recurrir a las acciones de tutela para </w:t>
      </w:r>
      <w:r w:rsidR="00A2339E" w:rsidRPr="00EA1CDA">
        <w:rPr>
          <w:sz w:val="28"/>
          <w:szCs w:val="28"/>
        </w:rPr>
        <w:t xml:space="preserve">enfrentar </w:t>
      </w:r>
      <w:r w:rsidR="006C3941" w:rsidRPr="00EA1CDA">
        <w:rPr>
          <w:sz w:val="28"/>
          <w:szCs w:val="28"/>
        </w:rPr>
        <w:t>este in</w:t>
      </w:r>
      <w:r w:rsidR="0040052F" w:rsidRPr="00EA1CDA">
        <w:rPr>
          <w:sz w:val="28"/>
          <w:szCs w:val="28"/>
        </w:rPr>
        <w:t>c</w:t>
      </w:r>
      <w:r w:rsidR="006C3941" w:rsidRPr="00EA1CDA">
        <w:rPr>
          <w:sz w:val="28"/>
          <w:szCs w:val="28"/>
        </w:rPr>
        <w:t>umplimiento</w:t>
      </w:r>
      <w:r w:rsidR="000E58EA" w:rsidRPr="00EA1CDA">
        <w:rPr>
          <w:sz w:val="28"/>
          <w:szCs w:val="28"/>
        </w:rPr>
        <w:t xml:space="preserve">. </w:t>
      </w:r>
    </w:p>
    <w:p w14:paraId="7F49B50F" w14:textId="77777777" w:rsidR="004130B9" w:rsidRPr="00EA1CDA" w:rsidRDefault="004130B9" w:rsidP="004130B9">
      <w:pPr>
        <w:pStyle w:val="Prrafodelista"/>
        <w:rPr>
          <w:sz w:val="28"/>
          <w:szCs w:val="28"/>
        </w:rPr>
      </w:pPr>
    </w:p>
    <w:p w14:paraId="5AB35E66" w14:textId="61E5F50D" w:rsidR="00617068" w:rsidRPr="00EA1CDA" w:rsidRDefault="00551339">
      <w:pPr>
        <w:widowControl w:val="0"/>
        <w:numPr>
          <w:ilvl w:val="0"/>
          <w:numId w:val="1"/>
        </w:numPr>
        <w:pBdr>
          <w:top w:val="nil"/>
          <w:left w:val="nil"/>
          <w:bottom w:val="nil"/>
          <w:right w:val="nil"/>
          <w:between w:val="nil"/>
        </w:pBdr>
        <w:tabs>
          <w:tab w:val="left" w:pos="426"/>
          <w:tab w:val="left" w:pos="567"/>
        </w:tabs>
        <w:ind w:right="140"/>
        <w:jc w:val="both"/>
      </w:pPr>
      <w:r w:rsidRPr="00EA1CDA">
        <w:rPr>
          <w:i/>
          <w:color w:val="000000"/>
          <w:sz w:val="28"/>
          <w:szCs w:val="28"/>
        </w:rPr>
        <w:t>Riesgo</w:t>
      </w:r>
      <w:r w:rsidR="006C230D" w:rsidRPr="00EA1CDA">
        <w:rPr>
          <w:i/>
          <w:color w:val="000000"/>
          <w:sz w:val="28"/>
          <w:szCs w:val="28"/>
        </w:rPr>
        <w:t>s</w:t>
      </w:r>
      <w:r w:rsidRPr="00EA1CDA">
        <w:rPr>
          <w:i/>
          <w:color w:val="000000"/>
          <w:sz w:val="28"/>
          <w:szCs w:val="28"/>
        </w:rPr>
        <w:t xml:space="preserve"> para los derechos de la</w:t>
      </w:r>
      <w:r w:rsidR="00A2339E" w:rsidRPr="00EA1CDA">
        <w:rPr>
          <w:i/>
          <w:color w:val="000000"/>
          <w:sz w:val="28"/>
          <w:szCs w:val="28"/>
        </w:rPr>
        <w:t>s</w:t>
      </w:r>
      <w:r w:rsidRPr="00EA1CDA">
        <w:rPr>
          <w:i/>
          <w:color w:val="000000"/>
          <w:sz w:val="28"/>
          <w:szCs w:val="28"/>
        </w:rPr>
        <w:t xml:space="preserve"> </w:t>
      </w:r>
      <w:r w:rsidR="00B6580D" w:rsidRPr="00EA1CDA">
        <w:rPr>
          <w:i/>
          <w:color w:val="000000"/>
          <w:sz w:val="28"/>
          <w:szCs w:val="28"/>
        </w:rPr>
        <w:t>parte</w:t>
      </w:r>
      <w:r w:rsidR="00A2339E" w:rsidRPr="00EA1CDA">
        <w:rPr>
          <w:i/>
          <w:color w:val="000000"/>
          <w:sz w:val="28"/>
          <w:szCs w:val="28"/>
        </w:rPr>
        <w:t>s</w:t>
      </w:r>
      <w:r w:rsidR="00B6580D" w:rsidRPr="00EA1CDA">
        <w:rPr>
          <w:i/>
          <w:color w:val="000000"/>
          <w:sz w:val="28"/>
          <w:szCs w:val="28"/>
        </w:rPr>
        <w:t xml:space="preserve"> </w:t>
      </w:r>
      <w:r w:rsidRPr="00EA1CDA">
        <w:rPr>
          <w:i/>
          <w:color w:val="000000"/>
          <w:sz w:val="28"/>
          <w:szCs w:val="28"/>
        </w:rPr>
        <w:t>accionante</w:t>
      </w:r>
      <w:r w:rsidR="00A2339E" w:rsidRPr="00EA1CDA">
        <w:rPr>
          <w:i/>
          <w:color w:val="000000"/>
          <w:sz w:val="28"/>
          <w:szCs w:val="28"/>
        </w:rPr>
        <w:t>s</w:t>
      </w:r>
      <w:r w:rsidRPr="00EA1CDA">
        <w:rPr>
          <w:i/>
          <w:color w:val="000000"/>
          <w:sz w:val="28"/>
          <w:szCs w:val="28"/>
        </w:rPr>
        <w:t xml:space="preserve"> ante el tiempo que puede tomar el trámite de revisión</w:t>
      </w:r>
      <w:r w:rsidRPr="00EA1CDA">
        <w:rPr>
          <w:color w:val="000000"/>
          <w:sz w:val="28"/>
          <w:szCs w:val="28"/>
        </w:rPr>
        <w:t>. Existe</w:t>
      </w:r>
      <w:r w:rsidR="006C230D" w:rsidRPr="00EA1CDA">
        <w:rPr>
          <w:color w:val="000000"/>
          <w:sz w:val="28"/>
          <w:szCs w:val="28"/>
        </w:rPr>
        <w:t>n</w:t>
      </w:r>
      <w:r w:rsidRPr="00EA1CDA">
        <w:rPr>
          <w:color w:val="000000"/>
          <w:sz w:val="28"/>
          <w:szCs w:val="28"/>
        </w:rPr>
        <w:t xml:space="preserve"> riesgo</w:t>
      </w:r>
      <w:r w:rsidR="006C230D" w:rsidRPr="00EA1CDA">
        <w:rPr>
          <w:color w:val="000000"/>
          <w:sz w:val="28"/>
          <w:szCs w:val="28"/>
        </w:rPr>
        <w:t>s</w:t>
      </w:r>
      <w:r w:rsidRPr="00EA1CDA">
        <w:rPr>
          <w:color w:val="000000"/>
          <w:sz w:val="28"/>
          <w:szCs w:val="28"/>
        </w:rPr>
        <w:t xml:space="preserve"> </w:t>
      </w:r>
      <w:r w:rsidR="003B2415" w:rsidRPr="00EA1CDA">
        <w:rPr>
          <w:color w:val="000000"/>
          <w:sz w:val="28"/>
          <w:szCs w:val="28"/>
        </w:rPr>
        <w:t>sobre los</w:t>
      </w:r>
      <w:r w:rsidRPr="00EA1CDA">
        <w:rPr>
          <w:color w:val="000000"/>
          <w:sz w:val="28"/>
          <w:szCs w:val="28"/>
        </w:rPr>
        <w:t xml:space="preserve"> derecho</w:t>
      </w:r>
      <w:r w:rsidR="003B2415" w:rsidRPr="00EA1CDA">
        <w:rPr>
          <w:color w:val="000000"/>
          <w:sz w:val="28"/>
          <w:szCs w:val="28"/>
        </w:rPr>
        <w:t>s</w:t>
      </w:r>
      <w:r w:rsidRPr="00EA1CDA">
        <w:rPr>
          <w:color w:val="000000"/>
          <w:sz w:val="28"/>
          <w:szCs w:val="28"/>
        </w:rPr>
        <w:t xml:space="preserve"> </w:t>
      </w:r>
      <w:r w:rsidR="006903F6" w:rsidRPr="00EA1CDA">
        <w:rPr>
          <w:color w:val="000000"/>
          <w:sz w:val="28"/>
          <w:szCs w:val="28"/>
        </w:rPr>
        <w:t>a la vida,</w:t>
      </w:r>
      <w:r w:rsidR="003B2415" w:rsidRPr="00EA1CDA">
        <w:rPr>
          <w:color w:val="000000"/>
          <w:sz w:val="28"/>
          <w:szCs w:val="28"/>
        </w:rPr>
        <w:t xml:space="preserve"> a</w:t>
      </w:r>
      <w:r w:rsidR="006903F6" w:rsidRPr="00EA1CDA">
        <w:rPr>
          <w:color w:val="000000"/>
          <w:sz w:val="28"/>
          <w:szCs w:val="28"/>
        </w:rPr>
        <w:t xml:space="preserve"> la vida digna, </w:t>
      </w:r>
      <w:r w:rsidR="003B2415" w:rsidRPr="00EA1CDA">
        <w:rPr>
          <w:color w:val="000000"/>
          <w:sz w:val="28"/>
          <w:szCs w:val="28"/>
        </w:rPr>
        <w:t xml:space="preserve">a </w:t>
      </w:r>
      <w:r w:rsidR="006903F6" w:rsidRPr="00EA1CDA">
        <w:rPr>
          <w:color w:val="000000"/>
          <w:sz w:val="28"/>
          <w:szCs w:val="28"/>
        </w:rPr>
        <w:t xml:space="preserve">la integridad personal y </w:t>
      </w:r>
      <w:r w:rsidR="003B2415" w:rsidRPr="00EA1CDA">
        <w:rPr>
          <w:color w:val="000000"/>
          <w:sz w:val="28"/>
          <w:szCs w:val="28"/>
        </w:rPr>
        <w:t xml:space="preserve">a </w:t>
      </w:r>
      <w:r w:rsidR="006903F6" w:rsidRPr="00EA1CDA">
        <w:rPr>
          <w:color w:val="000000"/>
          <w:sz w:val="28"/>
          <w:szCs w:val="28"/>
        </w:rPr>
        <w:t xml:space="preserve">la salud </w:t>
      </w:r>
      <w:r w:rsidR="00BA79A9" w:rsidRPr="00EA1CDA">
        <w:rPr>
          <w:color w:val="000000"/>
          <w:sz w:val="28"/>
          <w:szCs w:val="28"/>
        </w:rPr>
        <w:t>de los</w:t>
      </w:r>
      <w:r w:rsidR="00DA6EAE" w:rsidRPr="00EA1CDA">
        <w:rPr>
          <w:color w:val="000000"/>
          <w:sz w:val="28"/>
          <w:szCs w:val="28"/>
        </w:rPr>
        <w:t xml:space="preserve"> </w:t>
      </w:r>
      <w:r w:rsidR="00941CD0" w:rsidRPr="00EA1CDA">
        <w:rPr>
          <w:color w:val="000000"/>
          <w:sz w:val="28"/>
          <w:szCs w:val="28"/>
        </w:rPr>
        <w:t>30</w:t>
      </w:r>
      <w:r w:rsidR="00DA6EAE" w:rsidRPr="00EA1CDA">
        <w:rPr>
          <w:color w:val="000000"/>
          <w:sz w:val="28"/>
          <w:szCs w:val="28"/>
        </w:rPr>
        <w:t xml:space="preserve"> </w:t>
      </w:r>
      <w:r w:rsidR="00BA79A9" w:rsidRPr="00EA1CDA">
        <w:rPr>
          <w:color w:val="000000"/>
          <w:sz w:val="28"/>
          <w:szCs w:val="28"/>
        </w:rPr>
        <w:t>accionantes</w:t>
      </w:r>
      <w:r w:rsidR="00DA6EAE" w:rsidRPr="00EA1CDA">
        <w:rPr>
          <w:color w:val="000000"/>
          <w:sz w:val="28"/>
          <w:szCs w:val="28"/>
        </w:rPr>
        <w:t xml:space="preserve"> </w:t>
      </w:r>
      <w:r w:rsidR="00BA79A9" w:rsidRPr="00EA1CDA">
        <w:rPr>
          <w:color w:val="000000"/>
          <w:sz w:val="28"/>
          <w:szCs w:val="28"/>
        </w:rPr>
        <w:t>que acreditan</w:t>
      </w:r>
      <w:r w:rsidR="00DA6EAE" w:rsidRPr="00EA1CDA">
        <w:rPr>
          <w:color w:val="000000"/>
          <w:sz w:val="28"/>
          <w:szCs w:val="28"/>
        </w:rPr>
        <w:t xml:space="preserve"> apariencia de buen derecho</w:t>
      </w:r>
      <w:r w:rsidR="00A2339E" w:rsidRPr="00EA1CDA">
        <w:rPr>
          <w:color w:val="000000"/>
          <w:sz w:val="28"/>
          <w:szCs w:val="28"/>
        </w:rPr>
        <w:t xml:space="preserve"> en la formulación de las acciones de tutela</w:t>
      </w:r>
      <w:r w:rsidR="00617068" w:rsidRPr="00EA1CDA">
        <w:rPr>
          <w:color w:val="000000"/>
          <w:sz w:val="28"/>
          <w:szCs w:val="28"/>
        </w:rPr>
        <w:t>. Tales riesgos surgen como consecuencia de: (i) el diagnóstico que presentan los accionantes, unos con enfermedades huérfanas, crónicas, catastróficas y degenerativas; (</w:t>
      </w:r>
      <w:proofErr w:type="spellStart"/>
      <w:r w:rsidR="00617068" w:rsidRPr="00EA1CDA">
        <w:rPr>
          <w:color w:val="000000"/>
          <w:sz w:val="28"/>
          <w:szCs w:val="28"/>
        </w:rPr>
        <w:t>ii</w:t>
      </w:r>
      <w:proofErr w:type="spellEnd"/>
      <w:r w:rsidR="00617068" w:rsidRPr="00EA1CDA">
        <w:rPr>
          <w:color w:val="000000"/>
          <w:sz w:val="28"/>
          <w:szCs w:val="28"/>
        </w:rPr>
        <w:t>) los desafíos que suponen en su vida cotidiana esos padecimientos; y (</w:t>
      </w:r>
      <w:proofErr w:type="spellStart"/>
      <w:r w:rsidR="00617068" w:rsidRPr="00EA1CDA">
        <w:rPr>
          <w:color w:val="000000"/>
          <w:sz w:val="28"/>
          <w:szCs w:val="28"/>
        </w:rPr>
        <w:t>iii</w:t>
      </w:r>
      <w:proofErr w:type="spellEnd"/>
      <w:r w:rsidR="00617068" w:rsidRPr="00EA1CDA">
        <w:rPr>
          <w:color w:val="000000"/>
          <w:sz w:val="28"/>
          <w:szCs w:val="28"/>
        </w:rPr>
        <w:t>) el hecho de que la ingesta de los diferentes fármacos, en su mayoría, no debe ser suspendida</w:t>
      </w:r>
      <w:r w:rsidR="00C55144" w:rsidRPr="00EA1CDA">
        <w:rPr>
          <w:color w:val="000000"/>
          <w:sz w:val="28"/>
          <w:szCs w:val="28"/>
        </w:rPr>
        <w:t xml:space="preserve"> ni reiniciada</w:t>
      </w:r>
      <w:r w:rsidR="00617068" w:rsidRPr="00EA1CDA">
        <w:rPr>
          <w:color w:val="000000"/>
          <w:sz w:val="28"/>
          <w:szCs w:val="28"/>
        </w:rPr>
        <w:t xml:space="preserve"> sin supervisión médica, según la literatura especializada. </w:t>
      </w:r>
      <w:r w:rsidR="009E147A" w:rsidRPr="00EA1CDA">
        <w:rPr>
          <w:color w:val="000000"/>
          <w:sz w:val="28"/>
          <w:szCs w:val="28"/>
        </w:rPr>
        <w:t xml:space="preserve">Estos riesgos implican que el tiempo que </w:t>
      </w:r>
      <w:r w:rsidR="00A2339E" w:rsidRPr="00EA1CDA">
        <w:rPr>
          <w:color w:val="000000"/>
          <w:sz w:val="28"/>
          <w:szCs w:val="28"/>
        </w:rPr>
        <w:t xml:space="preserve">tarde </w:t>
      </w:r>
      <w:r w:rsidR="009E147A" w:rsidRPr="00EA1CDA">
        <w:rPr>
          <w:color w:val="000000"/>
          <w:sz w:val="28"/>
          <w:szCs w:val="28"/>
        </w:rPr>
        <w:t xml:space="preserve">la adopción de una decisión de fondo en este asunto </w:t>
      </w:r>
      <w:proofErr w:type="gramStart"/>
      <w:r w:rsidR="009E147A" w:rsidRPr="00EA1CDA">
        <w:rPr>
          <w:color w:val="000000"/>
          <w:sz w:val="28"/>
          <w:szCs w:val="28"/>
        </w:rPr>
        <w:t>acumulado,</w:t>
      </w:r>
      <w:proofErr w:type="gramEnd"/>
      <w:r w:rsidR="009E147A" w:rsidRPr="00EA1CDA">
        <w:rPr>
          <w:color w:val="000000"/>
          <w:sz w:val="28"/>
          <w:szCs w:val="28"/>
        </w:rPr>
        <w:t xml:space="preserve"> constituy</w:t>
      </w:r>
      <w:r w:rsidR="00A2339E" w:rsidRPr="00EA1CDA">
        <w:rPr>
          <w:color w:val="000000"/>
          <w:sz w:val="28"/>
          <w:szCs w:val="28"/>
        </w:rPr>
        <w:t>e</w:t>
      </w:r>
      <w:r w:rsidR="009E147A" w:rsidRPr="00EA1CDA">
        <w:rPr>
          <w:color w:val="000000"/>
          <w:sz w:val="28"/>
          <w:szCs w:val="28"/>
        </w:rPr>
        <w:t xml:space="preserve"> una amenaza para los accionantes, </w:t>
      </w:r>
      <w:r w:rsidR="00A2339E" w:rsidRPr="00EA1CDA">
        <w:rPr>
          <w:color w:val="000000"/>
          <w:sz w:val="28"/>
          <w:szCs w:val="28"/>
        </w:rPr>
        <w:t xml:space="preserve">varios </w:t>
      </w:r>
      <w:r w:rsidR="009E147A" w:rsidRPr="00EA1CDA">
        <w:rPr>
          <w:color w:val="000000"/>
          <w:sz w:val="28"/>
          <w:szCs w:val="28"/>
        </w:rPr>
        <w:t>de ellos sujetos de especial protección constituci</w:t>
      </w:r>
      <w:r w:rsidR="00724836" w:rsidRPr="00EA1CDA">
        <w:rPr>
          <w:color w:val="000000"/>
          <w:sz w:val="28"/>
          <w:szCs w:val="28"/>
        </w:rPr>
        <w:t>onal por su edad</w:t>
      </w:r>
      <w:r w:rsidR="005B781F" w:rsidRPr="00EA1CDA">
        <w:rPr>
          <w:color w:val="000000"/>
          <w:sz w:val="28"/>
          <w:szCs w:val="28"/>
        </w:rPr>
        <w:t xml:space="preserve">, </w:t>
      </w:r>
      <w:r w:rsidR="00031E5A" w:rsidRPr="00EA1CDA">
        <w:rPr>
          <w:color w:val="000000"/>
          <w:sz w:val="28"/>
          <w:szCs w:val="28"/>
        </w:rPr>
        <w:t xml:space="preserve">su diversidad funcional, </w:t>
      </w:r>
      <w:r w:rsidR="005B781F" w:rsidRPr="00EA1CDA">
        <w:rPr>
          <w:color w:val="000000"/>
          <w:sz w:val="28"/>
          <w:szCs w:val="28"/>
        </w:rPr>
        <w:t xml:space="preserve">su condición de </w:t>
      </w:r>
      <w:r w:rsidR="00872BB7" w:rsidRPr="00EA1CDA">
        <w:rPr>
          <w:color w:val="000000"/>
          <w:sz w:val="28"/>
          <w:szCs w:val="28"/>
        </w:rPr>
        <w:t>cabeza de familia</w:t>
      </w:r>
      <w:r w:rsidR="00220CBA" w:rsidRPr="00EA1CDA">
        <w:rPr>
          <w:color w:val="000000"/>
          <w:sz w:val="28"/>
          <w:szCs w:val="28"/>
        </w:rPr>
        <w:t>, su condición socioeconómica</w:t>
      </w:r>
      <w:r w:rsidR="00724836" w:rsidRPr="00EA1CDA">
        <w:rPr>
          <w:color w:val="000000"/>
          <w:sz w:val="28"/>
          <w:szCs w:val="28"/>
        </w:rPr>
        <w:t xml:space="preserve"> o su diagnóstico</w:t>
      </w:r>
      <w:r w:rsidR="00A2339E" w:rsidRPr="00EA1CDA">
        <w:rPr>
          <w:color w:val="000000"/>
          <w:sz w:val="28"/>
          <w:szCs w:val="28"/>
        </w:rPr>
        <w:t xml:space="preserve"> y todos titulares del derecho fundamental de acceso a los servicios de salud</w:t>
      </w:r>
      <w:r w:rsidR="00724836" w:rsidRPr="00EA1CDA">
        <w:rPr>
          <w:color w:val="000000"/>
          <w:sz w:val="28"/>
          <w:szCs w:val="28"/>
        </w:rPr>
        <w:t xml:space="preserve">. </w:t>
      </w:r>
      <w:r w:rsidR="00092404" w:rsidRPr="00EA1CDA">
        <w:rPr>
          <w:color w:val="000000"/>
          <w:sz w:val="28"/>
          <w:szCs w:val="28"/>
        </w:rPr>
        <w:t xml:space="preserve">En el </w:t>
      </w:r>
      <w:r w:rsidR="00254BFD" w:rsidRPr="00EA1CDA">
        <w:rPr>
          <w:color w:val="000000"/>
          <w:sz w:val="28"/>
          <w:szCs w:val="28"/>
        </w:rPr>
        <w:t>A</w:t>
      </w:r>
      <w:r w:rsidR="00092404" w:rsidRPr="00EA1CDA">
        <w:rPr>
          <w:color w:val="000000"/>
          <w:sz w:val="28"/>
          <w:szCs w:val="28"/>
        </w:rPr>
        <w:t xml:space="preserve">nexo único de esta providencia se expone en detalle el análisis de los riesgos </w:t>
      </w:r>
      <w:r w:rsidR="000A55AD" w:rsidRPr="00EA1CDA">
        <w:rPr>
          <w:color w:val="000000"/>
          <w:sz w:val="28"/>
          <w:szCs w:val="28"/>
        </w:rPr>
        <w:t xml:space="preserve">que el transcurso del proceso </w:t>
      </w:r>
      <w:r w:rsidR="00A2339E" w:rsidRPr="00EA1CDA">
        <w:rPr>
          <w:color w:val="000000"/>
          <w:sz w:val="28"/>
          <w:szCs w:val="28"/>
        </w:rPr>
        <w:t xml:space="preserve">de revisión </w:t>
      </w:r>
      <w:r w:rsidR="000A55AD" w:rsidRPr="00EA1CDA">
        <w:rPr>
          <w:color w:val="000000"/>
          <w:sz w:val="28"/>
          <w:szCs w:val="28"/>
        </w:rPr>
        <w:t xml:space="preserve">suscita para cada uno de los </w:t>
      </w:r>
      <w:r w:rsidR="00A2339E" w:rsidRPr="00EA1CDA">
        <w:rPr>
          <w:color w:val="000000"/>
          <w:sz w:val="28"/>
          <w:szCs w:val="28"/>
        </w:rPr>
        <w:t>demandantes</w:t>
      </w:r>
      <w:r w:rsidR="000A55AD" w:rsidRPr="00EA1CDA">
        <w:rPr>
          <w:color w:val="000000"/>
          <w:sz w:val="28"/>
          <w:szCs w:val="28"/>
        </w:rPr>
        <w:t>.</w:t>
      </w:r>
    </w:p>
    <w:p w14:paraId="7A547AF5" w14:textId="77777777" w:rsidR="004E5509" w:rsidRPr="00EA1CDA" w:rsidRDefault="004E5509" w:rsidP="00724836"/>
    <w:p w14:paraId="3B3051D1" w14:textId="10435B83" w:rsidR="00F705B7" w:rsidRPr="00EA1CDA" w:rsidRDefault="00551339">
      <w:pPr>
        <w:widowControl w:val="0"/>
        <w:numPr>
          <w:ilvl w:val="0"/>
          <w:numId w:val="1"/>
        </w:numPr>
        <w:pBdr>
          <w:top w:val="nil"/>
          <w:left w:val="nil"/>
          <w:bottom w:val="nil"/>
          <w:right w:val="nil"/>
          <w:between w:val="nil"/>
        </w:pBdr>
        <w:tabs>
          <w:tab w:val="left" w:pos="426"/>
        </w:tabs>
        <w:ind w:right="140"/>
        <w:jc w:val="both"/>
        <w:rPr>
          <w:color w:val="000000"/>
          <w:sz w:val="28"/>
          <w:szCs w:val="28"/>
        </w:rPr>
      </w:pPr>
      <w:r w:rsidRPr="00EA1CDA">
        <w:rPr>
          <w:i/>
          <w:color w:val="000000"/>
          <w:sz w:val="28"/>
          <w:szCs w:val="28"/>
        </w:rPr>
        <w:t>Inexistencia de una carga desproporcionada para la</w:t>
      </w:r>
      <w:r w:rsidR="007E7809" w:rsidRPr="00EA1CDA">
        <w:rPr>
          <w:i/>
          <w:color w:val="000000"/>
          <w:sz w:val="28"/>
          <w:szCs w:val="28"/>
        </w:rPr>
        <w:t>s</w:t>
      </w:r>
      <w:r w:rsidRPr="00EA1CDA">
        <w:rPr>
          <w:i/>
          <w:color w:val="000000"/>
          <w:sz w:val="28"/>
          <w:szCs w:val="28"/>
        </w:rPr>
        <w:t xml:space="preserve"> EPS</w:t>
      </w:r>
      <w:r w:rsidR="00BF15F6" w:rsidRPr="00EA1CDA">
        <w:rPr>
          <w:i/>
          <w:color w:val="000000"/>
          <w:sz w:val="28"/>
          <w:szCs w:val="28"/>
        </w:rPr>
        <w:t xml:space="preserve">, </w:t>
      </w:r>
      <w:r w:rsidR="00761779" w:rsidRPr="00EA1CDA">
        <w:rPr>
          <w:i/>
          <w:color w:val="000000"/>
          <w:sz w:val="28"/>
          <w:szCs w:val="28"/>
        </w:rPr>
        <w:t>IPS</w:t>
      </w:r>
      <w:r w:rsidR="00BF15F6" w:rsidRPr="00EA1CDA">
        <w:rPr>
          <w:i/>
          <w:color w:val="000000"/>
          <w:sz w:val="28"/>
          <w:szCs w:val="28"/>
        </w:rPr>
        <w:t xml:space="preserve"> y gestoras farmacéuticas</w:t>
      </w:r>
      <w:r w:rsidRPr="00EA1CDA">
        <w:rPr>
          <w:color w:val="000000"/>
          <w:sz w:val="28"/>
          <w:szCs w:val="28"/>
        </w:rPr>
        <w:t>. La</w:t>
      </w:r>
      <w:r w:rsidR="007D0ADB" w:rsidRPr="00EA1CDA">
        <w:rPr>
          <w:color w:val="000000"/>
          <w:sz w:val="28"/>
          <w:szCs w:val="28"/>
        </w:rPr>
        <w:t xml:space="preserve"> </w:t>
      </w:r>
      <w:r w:rsidRPr="00EA1CDA">
        <w:rPr>
          <w:color w:val="000000"/>
          <w:sz w:val="28"/>
          <w:szCs w:val="28"/>
        </w:rPr>
        <w:t>medida</w:t>
      </w:r>
      <w:r w:rsidR="007D0ADB" w:rsidRPr="00EA1CDA">
        <w:rPr>
          <w:color w:val="000000"/>
          <w:sz w:val="28"/>
          <w:szCs w:val="28"/>
        </w:rPr>
        <w:t xml:space="preserve"> </w:t>
      </w:r>
      <w:r w:rsidRPr="00EA1CDA">
        <w:rPr>
          <w:color w:val="000000"/>
          <w:sz w:val="28"/>
          <w:szCs w:val="28"/>
        </w:rPr>
        <w:t xml:space="preserve">provisional no genera un daño desproporcionado para </w:t>
      </w:r>
      <w:r w:rsidR="000D6181" w:rsidRPr="00EA1CDA">
        <w:rPr>
          <w:color w:val="000000"/>
          <w:sz w:val="28"/>
          <w:szCs w:val="28"/>
        </w:rPr>
        <w:t xml:space="preserve">las EPS, IPS y gestoras farmacéuticas </w:t>
      </w:r>
      <w:r w:rsidRPr="00EA1CDA">
        <w:rPr>
          <w:color w:val="000000"/>
          <w:sz w:val="28"/>
          <w:szCs w:val="28"/>
        </w:rPr>
        <w:t>accionadas</w:t>
      </w:r>
      <w:r w:rsidR="00FA407D" w:rsidRPr="00EA1CDA">
        <w:rPr>
          <w:color w:val="000000"/>
          <w:sz w:val="28"/>
          <w:szCs w:val="28"/>
        </w:rPr>
        <w:t>,</w:t>
      </w:r>
      <w:r w:rsidRPr="00EA1CDA">
        <w:rPr>
          <w:color w:val="000000"/>
          <w:sz w:val="28"/>
          <w:szCs w:val="28"/>
        </w:rPr>
        <w:t xml:space="preserve"> en la medida en que </w:t>
      </w:r>
      <w:r w:rsidR="00077489" w:rsidRPr="00EA1CDA">
        <w:rPr>
          <w:color w:val="000000"/>
          <w:sz w:val="28"/>
          <w:szCs w:val="28"/>
        </w:rPr>
        <w:lastRenderedPageBreak/>
        <w:t xml:space="preserve">ellas no </w:t>
      </w:r>
      <w:r w:rsidRPr="00EA1CDA">
        <w:rPr>
          <w:color w:val="000000"/>
          <w:sz w:val="28"/>
          <w:szCs w:val="28"/>
        </w:rPr>
        <w:t>está</w:t>
      </w:r>
      <w:r w:rsidR="00077489" w:rsidRPr="00EA1CDA">
        <w:rPr>
          <w:color w:val="000000"/>
          <w:sz w:val="28"/>
          <w:szCs w:val="28"/>
        </w:rPr>
        <w:t>n</w:t>
      </w:r>
      <w:r w:rsidRPr="00EA1CDA">
        <w:rPr>
          <w:color w:val="000000"/>
          <w:sz w:val="28"/>
          <w:szCs w:val="28"/>
        </w:rPr>
        <w:t xml:space="preserve"> en imposibilidad material de hacer la entrega </w:t>
      </w:r>
      <w:r w:rsidR="002E349E" w:rsidRPr="00EA1CDA">
        <w:rPr>
          <w:color w:val="000000"/>
          <w:sz w:val="28"/>
          <w:szCs w:val="28"/>
        </w:rPr>
        <w:t xml:space="preserve">de los medicamentos. </w:t>
      </w:r>
      <w:r w:rsidR="00BD6AC0" w:rsidRPr="00EA1CDA">
        <w:rPr>
          <w:color w:val="000000"/>
          <w:sz w:val="28"/>
          <w:szCs w:val="28"/>
        </w:rPr>
        <w:t xml:space="preserve">Ninguna </w:t>
      </w:r>
      <w:r w:rsidR="00FA407D" w:rsidRPr="00EA1CDA">
        <w:rPr>
          <w:color w:val="000000"/>
          <w:sz w:val="28"/>
          <w:szCs w:val="28"/>
        </w:rPr>
        <w:t>alegó esta circunstancia</w:t>
      </w:r>
      <w:r w:rsidR="00AC601A" w:rsidRPr="00EA1CDA">
        <w:rPr>
          <w:color w:val="000000"/>
          <w:sz w:val="28"/>
          <w:szCs w:val="28"/>
        </w:rPr>
        <w:t>, y n</w:t>
      </w:r>
      <w:r w:rsidR="00627D8E" w:rsidRPr="00EA1CDA">
        <w:rPr>
          <w:color w:val="000000"/>
          <w:sz w:val="28"/>
          <w:szCs w:val="28"/>
        </w:rPr>
        <w:t xml:space="preserve">inguno de los medicamentos requeridos tiene una anotación oficial sobre su desabastecimiento por parte del Invima. </w:t>
      </w:r>
      <w:r w:rsidR="00E22C2C" w:rsidRPr="00EA1CDA">
        <w:rPr>
          <w:color w:val="000000"/>
          <w:sz w:val="28"/>
          <w:szCs w:val="28"/>
        </w:rPr>
        <w:t xml:space="preserve">De tal suerte, hay existencias de dichos fármacos en el país. </w:t>
      </w:r>
      <w:r w:rsidR="00A65927" w:rsidRPr="00EA1CDA">
        <w:rPr>
          <w:color w:val="000000"/>
          <w:sz w:val="28"/>
          <w:szCs w:val="28"/>
        </w:rPr>
        <w:t>E</w:t>
      </w:r>
      <w:r w:rsidR="002E3828" w:rsidRPr="00EA1CDA">
        <w:rPr>
          <w:color w:val="000000"/>
          <w:sz w:val="28"/>
          <w:szCs w:val="28"/>
        </w:rPr>
        <w:t xml:space="preserve">n algunos casos </w:t>
      </w:r>
      <w:r w:rsidR="00A2339E" w:rsidRPr="00EA1CDA">
        <w:rPr>
          <w:color w:val="000000"/>
          <w:sz w:val="28"/>
          <w:szCs w:val="28"/>
        </w:rPr>
        <w:t xml:space="preserve">se presenta </w:t>
      </w:r>
      <w:r w:rsidR="002E3828" w:rsidRPr="00EA1CDA">
        <w:rPr>
          <w:color w:val="000000"/>
          <w:sz w:val="28"/>
          <w:szCs w:val="28"/>
        </w:rPr>
        <w:t xml:space="preserve">riesgo de desabastecimiento, o </w:t>
      </w:r>
      <w:r w:rsidR="00A65927" w:rsidRPr="00EA1CDA">
        <w:rPr>
          <w:color w:val="000000"/>
          <w:sz w:val="28"/>
          <w:szCs w:val="28"/>
        </w:rPr>
        <w:t>los medicamentos están sometidos a monitorización permanente</w:t>
      </w:r>
      <w:r w:rsidR="00724232" w:rsidRPr="00EA1CDA">
        <w:rPr>
          <w:rStyle w:val="Refdenotaalpie"/>
          <w:color w:val="000000"/>
          <w:sz w:val="28"/>
          <w:szCs w:val="28"/>
        </w:rPr>
        <w:footnoteReference w:id="49"/>
      </w:r>
      <w:r w:rsidR="00A65927" w:rsidRPr="00EA1CDA">
        <w:rPr>
          <w:color w:val="000000"/>
          <w:sz w:val="28"/>
          <w:szCs w:val="28"/>
        </w:rPr>
        <w:t>. En estos eventos particulares</w:t>
      </w:r>
      <w:r w:rsidR="003A034D" w:rsidRPr="00EA1CDA">
        <w:rPr>
          <w:color w:val="000000"/>
          <w:sz w:val="28"/>
          <w:szCs w:val="28"/>
        </w:rPr>
        <w:t xml:space="preserve">, </w:t>
      </w:r>
      <w:r w:rsidR="00251DFA" w:rsidRPr="00EA1CDA">
        <w:rPr>
          <w:color w:val="000000"/>
          <w:sz w:val="28"/>
          <w:szCs w:val="28"/>
        </w:rPr>
        <w:t>se adoptará también una medida para enfrentar la situación</w:t>
      </w:r>
      <w:r w:rsidR="00A2339E" w:rsidRPr="00EA1CDA">
        <w:rPr>
          <w:color w:val="000000"/>
          <w:sz w:val="28"/>
          <w:szCs w:val="28"/>
        </w:rPr>
        <w:t xml:space="preserve"> específica</w:t>
      </w:r>
      <w:r w:rsidR="00251DFA" w:rsidRPr="00EA1CDA">
        <w:rPr>
          <w:color w:val="000000"/>
          <w:sz w:val="28"/>
          <w:szCs w:val="28"/>
        </w:rPr>
        <w:t>, en el evento en que se efectúe una declaratoria de desabastecimiento.</w:t>
      </w:r>
      <w:r w:rsidR="00ED1B15" w:rsidRPr="00EA1CDA">
        <w:rPr>
          <w:color w:val="000000"/>
          <w:sz w:val="28"/>
          <w:szCs w:val="28"/>
        </w:rPr>
        <w:t xml:space="preserve"> La Sala aclara que </w:t>
      </w:r>
      <w:r w:rsidR="0003037E" w:rsidRPr="00EA1CDA">
        <w:rPr>
          <w:color w:val="000000"/>
          <w:sz w:val="28"/>
          <w:szCs w:val="28"/>
        </w:rPr>
        <w:t xml:space="preserve">dichas anotaciones no implican, </w:t>
      </w:r>
      <w:r w:rsidR="00302FA1" w:rsidRPr="00EA1CDA">
        <w:rPr>
          <w:color w:val="000000"/>
          <w:sz w:val="28"/>
          <w:szCs w:val="28"/>
        </w:rPr>
        <w:t>en manera alguna</w:t>
      </w:r>
      <w:r w:rsidR="0003037E" w:rsidRPr="00EA1CDA">
        <w:rPr>
          <w:color w:val="000000"/>
          <w:sz w:val="28"/>
          <w:szCs w:val="28"/>
        </w:rPr>
        <w:t>, una habilitación para la interrupción de</w:t>
      </w:r>
      <w:r w:rsidR="00302FA1" w:rsidRPr="00EA1CDA">
        <w:rPr>
          <w:color w:val="000000"/>
          <w:sz w:val="28"/>
          <w:szCs w:val="28"/>
        </w:rPr>
        <w:t>l suministro de</w:t>
      </w:r>
      <w:r w:rsidR="0003037E" w:rsidRPr="00EA1CDA">
        <w:rPr>
          <w:color w:val="000000"/>
          <w:sz w:val="28"/>
          <w:szCs w:val="28"/>
        </w:rPr>
        <w:t xml:space="preserve"> los medicament</w:t>
      </w:r>
      <w:r w:rsidR="00AC3FC3" w:rsidRPr="00EA1CDA">
        <w:rPr>
          <w:color w:val="000000"/>
          <w:sz w:val="28"/>
          <w:szCs w:val="28"/>
        </w:rPr>
        <w:t>o</w:t>
      </w:r>
      <w:r w:rsidR="0003037E" w:rsidRPr="00EA1CDA">
        <w:rPr>
          <w:color w:val="000000"/>
          <w:sz w:val="28"/>
          <w:szCs w:val="28"/>
        </w:rPr>
        <w:t>s</w:t>
      </w:r>
      <w:r w:rsidR="00AE40B4" w:rsidRPr="00EA1CDA">
        <w:rPr>
          <w:color w:val="000000"/>
          <w:sz w:val="28"/>
          <w:szCs w:val="28"/>
        </w:rPr>
        <w:t xml:space="preserve">, </w:t>
      </w:r>
      <w:r w:rsidR="00A2339E" w:rsidRPr="00EA1CDA">
        <w:rPr>
          <w:color w:val="000000"/>
          <w:sz w:val="28"/>
          <w:szCs w:val="28"/>
        </w:rPr>
        <w:t xml:space="preserve">lo </w:t>
      </w:r>
      <w:r w:rsidR="00302FA1" w:rsidRPr="00EA1CDA">
        <w:rPr>
          <w:color w:val="000000"/>
          <w:sz w:val="28"/>
          <w:szCs w:val="28"/>
        </w:rPr>
        <w:t xml:space="preserve">cual </w:t>
      </w:r>
      <w:r w:rsidR="00AE40B4" w:rsidRPr="00EA1CDA">
        <w:rPr>
          <w:color w:val="000000"/>
          <w:sz w:val="28"/>
          <w:szCs w:val="28"/>
        </w:rPr>
        <w:t xml:space="preserve">debe ser </w:t>
      </w:r>
      <w:r w:rsidR="00A2339E" w:rsidRPr="00EA1CDA">
        <w:rPr>
          <w:color w:val="000000"/>
          <w:sz w:val="28"/>
          <w:szCs w:val="28"/>
        </w:rPr>
        <w:t xml:space="preserve">adecuadamente </w:t>
      </w:r>
      <w:r w:rsidR="00AE40B4" w:rsidRPr="00EA1CDA">
        <w:rPr>
          <w:color w:val="000000"/>
          <w:sz w:val="28"/>
          <w:szCs w:val="28"/>
        </w:rPr>
        <w:t>planificado</w:t>
      </w:r>
      <w:r w:rsidR="00A2339E" w:rsidRPr="00EA1CDA">
        <w:rPr>
          <w:color w:val="000000"/>
          <w:sz w:val="28"/>
          <w:szCs w:val="28"/>
        </w:rPr>
        <w:t xml:space="preserve"> por las autoridades responsables</w:t>
      </w:r>
      <w:r w:rsidR="0003037E" w:rsidRPr="00EA1CDA">
        <w:rPr>
          <w:color w:val="000000"/>
          <w:sz w:val="28"/>
          <w:szCs w:val="28"/>
        </w:rPr>
        <w:t>. Aun en los eventos en los que el fármaco esté desabastecido, la EPS tiene el deber de asegurar la reformulación</w:t>
      </w:r>
      <w:r w:rsidR="00212219" w:rsidRPr="00EA1CDA">
        <w:rPr>
          <w:color w:val="000000"/>
          <w:sz w:val="28"/>
          <w:szCs w:val="28"/>
        </w:rPr>
        <w:t xml:space="preserve"> </w:t>
      </w:r>
      <w:r w:rsidR="0003037E" w:rsidRPr="00EA1CDA">
        <w:rPr>
          <w:color w:val="000000"/>
          <w:sz w:val="28"/>
          <w:szCs w:val="28"/>
        </w:rPr>
        <w:t xml:space="preserve">y </w:t>
      </w:r>
      <w:r w:rsidR="00212219" w:rsidRPr="00EA1CDA">
        <w:rPr>
          <w:color w:val="000000"/>
          <w:sz w:val="28"/>
          <w:szCs w:val="28"/>
        </w:rPr>
        <w:t>la entrega efectiva d</w:t>
      </w:r>
      <w:r w:rsidR="0003037E" w:rsidRPr="00EA1CDA">
        <w:rPr>
          <w:color w:val="000000"/>
          <w:sz w:val="28"/>
          <w:szCs w:val="28"/>
        </w:rPr>
        <w:t>el fármaco sustituto</w:t>
      </w:r>
      <w:r w:rsidR="00402218" w:rsidRPr="00EA1CDA">
        <w:rPr>
          <w:color w:val="000000"/>
          <w:sz w:val="28"/>
          <w:szCs w:val="28"/>
        </w:rPr>
        <w:t xml:space="preserve"> que establezca el médico tratante </w:t>
      </w:r>
      <w:r w:rsidR="0003037E" w:rsidRPr="00EA1CDA">
        <w:rPr>
          <w:color w:val="000000"/>
          <w:sz w:val="28"/>
          <w:szCs w:val="28"/>
        </w:rPr>
        <w:t>a través de su red de prestación de servicios, con el fin de que el afiliado acceda</w:t>
      </w:r>
      <w:r w:rsidR="00AC3FC3" w:rsidRPr="00EA1CDA">
        <w:rPr>
          <w:color w:val="000000"/>
          <w:sz w:val="28"/>
          <w:szCs w:val="28"/>
        </w:rPr>
        <w:t xml:space="preserve"> a su tratamiento de manera continua</w:t>
      </w:r>
      <w:r w:rsidR="0003037E" w:rsidRPr="00EA1CDA">
        <w:rPr>
          <w:color w:val="000000"/>
          <w:sz w:val="28"/>
          <w:szCs w:val="28"/>
        </w:rPr>
        <w:t xml:space="preserve">. </w:t>
      </w:r>
      <w:r w:rsidR="00A65927" w:rsidRPr="00EA1CDA">
        <w:rPr>
          <w:color w:val="000000"/>
          <w:sz w:val="28"/>
          <w:szCs w:val="28"/>
        </w:rPr>
        <w:t xml:space="preserve"> </w:t>
      </w:r>
    </w:p>
    <w:p w14:paraId="6EE66133" w14:textId="77777777" w:rsidR="00600EE1" w:rsidRPr="00EA1CDA" w:rsidRDefault="00551339">
      <w:pPr>
        <w:widowControl w:val="0"/>
        <w:pBdr>
          <w:top w:val="nil"/>
          <w:left w:val="nil"/>
          <w:bottom w:val="nil"/>
          <w:right w:val="nil"/>
          <w:between w:val="nil"/>
        </w:pBdr>
        <w:tabs>
          <w:tab w:val="left" w:pos="426"/>
        </w:tabs>
        <w:ind w:right="140"/>
        <w:jc w:val="both"/>
        <w:rPr>
          <w:color w:val="000000"/>
          <w:sz w:val="28"/>
          <w:szCs w:val="28"/>
        </w:rPr>
      </w:pPr>
      <w:r w:rsidRPr="00EA1CDA">
        <w:rPr>
          <w:color w:val="000000"/>
          <w:sz w:val="28"/>
          <w:szCs w:val="28"/>
        </w:rPr>
        <w:t xml:space="preserve"> </w:t>
      </w:r>
    </w:p>
    <w:p w14:paraId="4F5A07E4" w14:textId="48BF1411" w:rsidR="00D271C6" w:rsidRPr="00EA1CDA" w:rsidRDefault="00551339">
      <w:pPr>
        <w:widowControl w:val="0"/>
        <w:numPr>
          <w:ilvl w:val="0"/>
          <w:numId w:val="1"/>
        </w:numPr>
        <w:pBdr>
          <w:top w:val="nil"/>
          <w:left w:val="nil"/>
          <w:bottom w:val="nil"/>
          <w:right w:val="nil"/>
          <w:between w:val="nil"/>
        </w:pBdr>
        <w:tabs>
          <w:tab w:val="left" w:pos="426"/>
        </w:tabs>
        <w:ind w:right="140"/>
        <w:jc w:val="both"/>
        <w:rPr>
          <w:color w:val="000000"/>
          <w:sz w:val="28"/>
          <w:szCs w:val="28"/>
        </w:rPr>
      </w:pPr>
      <w:r w:rsidRPr="00EA1CDA">
        <w:rPr>
          <w:i/>
          <w:color w:val="000000"/>
          <w:sz w:val="28"/>
          <w:szCs w:val="28"/>
        </w:rPr>
        <w:t>Medidas provisionales a decretar</w:t>
      </w:r>
      <w:r w:rsidRPr="00EA1CDA">
        <w:rPr>
          <w:color w:val="000000"/>
          <w:sz w:val="28"/>
          <w:szCs w:val="28"/>
        </w:rPr>
        <w:t xml:space="preserve">. Ante la procedencia de la adopción de medidas transitorias para la protección de los derechos de </w:t>
      </w:r>
      <w:r w:rsidR="00D271C6" w:rsidRPr="00EA1CDA">
        <w:rPr>
          <w:color w:val="000000"/>
          <w:sz w:val="28"/>
          <w:szCs w:val="28"/>
        </w:rPr>
        <w:t>los</w:t>
      </w:r>
      <w:r w:rsidRPr="00EA1CDA">
        <w:rPr>
          <w:color w:val="000000"/>
          <w:sz w:val="28"/>
          <w:szCs w:val="28"/>
        </w:rPr>
        <w:t xml:space="preserve"> accionante</w:t>
      </w:r>
      <w:r w:rsidR="00D271C6" w:rsidRPr="00EA1CDA">
        <w:rPr>
          <w:color w:val="000000"/>
          <w:sz w:val="28"/>
          <w:szCs w:val="28"/>
        </w:rPr>
        <w:t>s</w:t>
      </w:r>
      <w:r w:rsidRPr="00EA1CDA">
        <w:rPr>
          <w:color w:val="000000"/>
          <w:sz w:val="28"/>
          <w:szCs w:val="28"/>
        </w:rPr>
        <w:t xml:space="preserve">, la Sala Segunda de Revisión dispondrá </w:t>
      </w:r>
      <w:r w:rsidR="00CC12B0" w:rsidRPr="00EA1CDA">
        <w:rPr>
          <w:color w:val="000000"/>
          <w:sz w:val="28"/>
          <w:szCs w:val="28"/>
        </w:rPr>
        <w:t xml:space="preserve">las siguientes </w:t>
      </w:r>
      <w:r w:rsidR="00D271C6" w:rsidRPr="00EA1CDA">
        <w:rPr>
          <w:color w:val="000000"/>
          <w:sz w:val="28"/>
          <w:szCs w:val="28"/>
        </w:rPr>
        <w:t xml:space="preserve">medidas provisionales: </w:t>
      </w:r>
    </w:p>
    <w:p w14:paraId="6FDADE78" w14:textId="77777777" w:rsidR="00D271C6" w:rsidRPr="00EA1CDA" w:rsidRDefault="00D271C6" w:rsidP="00D271C6">
      <w:pPr>
        <w:pStyle w:val="Prrafodelista"/>
        <w:rPr>
          <w:color w:val="000000"/>
          <w:sz w:val="28"/>
          <w:szCs w:val="28"/>
        </w:rPr>
      </w:pPr>
    </w:p>
    <w:p w14:paraId="42F5EEE7" w14:textId="6C23564D" w:rsidR="00D271C6" w:rsidRPr="00EA1CDA" w:rsidRDefault="00D271C6">
      <w:pPr>
        <w:widowControl w:val="0"/>
        <w:numPr>
          <w:ilvl w:val="0"/>
          <w:numId w:val="1"/>
        </w:numPr>
        <w:pBdr>
          <w:top w:val="nil"/>
          <w:left w:val="nil"/>
          <w:bottom w:val="nil"/>
          <w:right w:val="nil"/>
          <w:between w:val="nil"/>
        </w:pBdr>
        <w:tabs>
          <w:tab w:val="left" w:pos="426"/>
        </w:tabs>
        <w:ind w:right="140"/>
        <w:jc w:val="both"/>
        <w:rPr>
          <w:color w:val="000000"/>
          <w:sz w:val="28"/>
          <w:szCs w:val="28"/>
        </w:rPr>
      </w:pPr>
      <w:r w:rsidRPr="00EA1CDA">
        <w:rPr>
          <w:i/>
          <w:iCs/>
          <w:color w:val="000000"/>
          <w:sz w:val="28"/>
          <w:szCs w:val="28"/>
        </w:rPr>
        <w:t>Primero</w:t>
      </w:r>
      <w:r w:rsidR="009C65B9" w:rsidRPr="00EA1CDA">
        <w:rPr>
          <w:color w:val="000000"/>
          <w:sz w:val="28"/>
          <w:szCs w:val="28"/>
        </w:rPr>
        <w:t>. La Sala</w:t>
      </w:r>
      <w:r w:rsidRPr="00EA1CDA">
        <w:rPr>
          <w:color w:val="000000"/>
          <w:sz w:val="28"/>
          <w:szCs w:val="28"/>
        </w:rPr>
        <w:t xml:space="preserve"> ordenará a </w:t>
      </w:r>
      <w:r w:rsidR="009C65B9" w:rsidRPr="00EA1CDA">
        <w:rPr>
          <w:color w:val="000000"/>
          <w:sz w:val="28"/>
          <w:szCs w:val="28"/>
        </w:rPr>
        <w:t xml:space="preserve">las EPS, IPS y gestoras farmacéuticas </w:t>
      </w:r>
      <w:r w:rsidRPr="00EA1CDA">
        <w:rPr>
          <w:color w:val="000000"/>
          <w:sz w:val="28"/>
          <w:szCs w:val="28"/>
        </w:rPr>
        <w:t>correspondiente</w:t>
      </w:r>
      <w:r w:rsidR="009C65B9" w:rsidRPr="00EA1CDA">
        <w:rPr>
          <w:color w:val="000000"/>
          <w:sz w:val="28"/>
          <w:szCs w:val="28"/>
        </w:rPr>
        <w:t>s</w:t>
      </w:r>
      <w:r w:rsidRPr="00EA1CDA">
        <w:rPr>
          <w:color w:val="000000"/>
          <w:sz w:val="28"/>
          <w:szCs w:val="28"/>
        </w:rPr>
        <w:t xml:space="preserve"> que, en el término </w:t>
      </w:r>
      <w:r w:rsidR="00A2339E" w:rsidRPr="00EA1CDA">
        <w:rPr>
          <w:color w:val="000000"/>
          <w:sz w:val="28"/>
          <w:szCs w:val="28"/>
        </w:rPr>
        <w:t xml:space="preserve">máximo </w:t>
      </w:r>
      <w:r w:rsidRPr="00EA1CDA">
        <w:rPr>
          <w:color w:val="000000"/>
          <w:sz w:val="28"/>
          <w:szCs w:val="28"/>
        </w:rPr>
        <w:t xml:space="preserve">de </w:t>
      </w:r>
      <w:r w:rsidR="00324CCC" w:rsidRPr="00EA1CDA">
        <w:rPr>
          <w:color w:val="000000"/>
          <w:sz w:val="28"/>
          <w:szCs w:val="28"/>
        </w:rPr>
        <w:t>cuarenta y ocho (</w:t>
      </w:r>
      <w:r w:rsidR="00985255" w:rsidRPr="00EA1CDA">
        <w:rPr>
          <w:color w:val="000000"/>
          <w:sz w:val="28"/>
          <w:szCs w:val="28"/>
        </w:rPr>
        <w:t>48</w:t>
      </w:r>
      <w:r w:rsidR="00324CCC" w:rsidRPr="00EA1CDA">
        <w:rPr>
          <w:color w:val="000000"/>
          <w:sz w:val="28"/>
          <w:szCs w:val="28"/>
        </w:rPr>
        <w:t>)</w:t>
      </w:r>
      <w:r w:rsidRPr="00EA1CDA">
        <w:rPr>
          <w:color w:val="000000"/>
          <w:sz w:val="28"/>
          <w:szCs w:val="28"/>
        </w:rPr>
        <w:t xml:space="preserve"> horas, entreguen el medicamento a los accionantes conforme a la prescripción médica</w:t>
      </w:r>
      <w:r w:rsidR="00AA6DC5" w:rsidRPr="00EA1CDA">
        <w:rPr>
          <w:color w:val="000000"/>
          <w:sz w:val="28"/>
          <w:szCs w:val="28"/>
        </w:rPr>
        <w:t xml:space="preserve"> que se encuentre vigente </w:t>
      </w:r>
      <w:r w:rsidR="00A2339E" w:rsidRPr="00EA1CDA">
        <w:rPr>
          <w:color w:val="000000"/>
          <w:sz w:val="28"/>
          <w:szCs w:val="28"/>
        </w:rPr>
        <w:t xml:space="preserve">y que esté </w:t>
      </w:r>
      <w:r w:rsidR="00AA6DC5" w:rsidRPr="00EA1CDA">
        <w:rPr>
          <w:color w:val="000000"/>
          <w:sz w:val="28"/>
          <w:szCs w:val="28"/>
        </w:rPr>
        <w:t>pendiente de entrega,</w:t>
      </w:r>
      <w:r w:rsidR="00A2339E" w:rsidRPr="00EA1CDA">
        <w:rPr>
          <w:color w:val="000000"/>
          <w:sz w:val="28"/>
          <w:szCs w:val="28"/>
        </w:rPr>
        <w:t xml:space="preserve"> o que haya perdido vigencia por razón de la demora en el suministro del medicamento</w:t>
      </w:r>
      <w:r w:rsidR="00AA6DC5" w:rsidRPr="00EA1CDA">
        <w:rPr>
          <w:color w:val="000000"/>
          <w:sz w:val="28"/>
          <w:szCs w:val="28"/>
        </w:rPr>
        <w:t xml:space="preserve"> y que originó la presente acción de tutela</w:t>
      </w:r>
      <w:r w:rsidRPr="00EA1CDA">
        <w:rPr>
          <w:color w:val="000000"/>
          <w:sz w:val="28"/>
          <w:szCs w:val="28"/>
        </w:rPr>
        <w:t xml:space="preserve">. Esta entrega deberá efectuarse en </w:t>
      </w:r>
      <w:r w:rsidR="00AC43DD" w:rsidRPr="00EA1CDA">
        <w:rPr>
          <w:color w:val="000000"/>
          <w:sz w:val="28"/>
          <w:szCs w:val="28"/>
        </w:rPr>
        <w:t>el lugar</w:t>
      </w:r>
      <w:r w:rsidRPr="00EA1CDA">
        <w:rPr>
          <w:color w:val="000000"/>
          <w:sz w:val="28"/>
          <w:szCs w:val="28"/>
        </w:rPr>
        <w:t xml:space="preserve"> en que se ha hecho hasta el momento, es decir, en el domicilio de la </w:t>
      </w:r>
      <w:r w:rsidR="00CF1046" w:rsidRPr="00EA1CDA">
        <w:rPr>
          <w:color w:val="000000"/>
          <w:sz w:val="28"/>
          <w:szCs w:val="28"/>
        </w:rPr>
        <w:t xml:space="preserve">parte </w:t>
      </w:r>
      <w:r w:rsidRPr="00EA1CDA">
        <w:rPr>
          <w:color w:val="000000"/>
          <w:sz w:val="28"/>
          <w:szCs w:val="28"/>
        </w:rPr>
        <w:t>tutelante</w:t>
      </w:r>
      <w:r w:rsidR="005675F2" w:rsidRPr="00EA1CDA">
        <w:rPr>
          <w:color w:val="000000"/>
          <w:sz w:val="28"/>
          <w:szCs w:val="28"/>
        </w:rPr>
        <w:t xml:space="preserve"> o en el punto de dispensación </w:t>
      </w:r>
      <w:r w:rsidR="00CF1046" w:rsidRPr="00EA1CDA">
        <w:rPr>
          <w:color w:val="000000"/>
          <w:sz w:val="28"/>
          <w:szCs w:val="28"/>
        </w:rPr>
        <w:t xml:space="preserve">al que usualmente acude el </w:t>
      </w:r>
      <w:r w:rsidR="00A2339E" w:rsidRPr="00EA1CDA">
        <w:rPr>
          <w:color w:val="000000"/>
          <w:sz w:val="28"/>
          <w:szCs w:val="28"/>
        </w:rPr>
        <w:t>afiliado</w:t>
      </w:r>
      <w:r w:rsidRPr="00EA1CDA">
        <w:rPr>
          <w:color w:val="000000"/>
          <w:sz w:val="28"/>
          <w:szCs w:val="28"/>
        </w:rPr>
        <w:t>. Además, ordenará que</w:t>
      </w:r>
      <w:r w:rsidR="001F7356" w:rsidRPr="00EA1CDA">
        <w:rPr>
          <w:color w:val="000000"/>
          <w:sz w:val="28"/>
          <w:szCs w:val="28"/>
        </w:rPr>
        <w:t>,</w:t>
      </w:r>
      <w:r w:rsidRPr="00EA1CDA">
        <w:rPr>
          <w:color w:val="000000"/>
          <w:sz w:val="28"/>
          <w:szCs w:val="28"/>
        </w:rPr>
        <w:t xml:space="preserve"> en el evento de que el médico tratante prescriba nuevamente el suministro del fármaco, este sea entregado máximo</w:t>
      </w:r>
      <w:r w:rsidR="00720B27" w:rsidRPr="00EA1CDA">
        <w:rPr>
          <w:color w:val="000000"/>
          <w:sz w:val="28"/>
          <w:szCs w:val="28"/>
        </w:rPr>
        <w:t xml:space="preserve"> setenta y dos</w:t>
      </w:r>
      <w:r w:rsidRPr="00EA1CDA">
        <w:rPr>
          <w:color w:val="000000"/>
          <w:sz w:val="28"/>
          <w:szCs w:val="28"/>
        </w:rPr>
        <w:t xml:space="preserve"> </w:t>
      </w:r>
      <w:r w:rsidR="00720B27" w:rsidRPr="00EA1CDA">
        <w:rPr>
          <w:color w:val="000000"/>
          <w:sz w:val="28"/>
          <w:szCs w:val="28"/>
        </w:rPr>
        <w:t>(</w:t>
      </w:r>
      <w:r w:rsidR="00370B20" w:rsidRPr="00EA1CDA">
        <w:rPr>
          <w:color w:val="000000"/>
          <w:sz w:val="28"/>
          <w:szCs w:val="28"/>
        </w:rPr>
        <w:t>72</w:t>
      </w:r>
      <w:r w:rsidR="00720B27" w:rsidRPr="00EA1CDA">
        <w:rPr>
          <w:color w:val="000000"/>
          <w:sz w:val="28"/>
          <w:szCs w:val="28"/>
        </w:rPr>
        <w:t>)</w:t>
      </w:r>
      <w:r w:rsidR="00370B20" w:rsidRPr="00EA1CDA">
        <w:rPr>
          <w:color w:val="000000"/>
          <w:sz w:val="28"/>
          <w:szCs w:val="28"/>
        </w:rPr>
        <w:t xml:space="preserve"> horas</w:t>
      </w:r>
      <w:r w:rsidR="00BB1A12" w:rsidRPr="00EA1CDA">
        <w:rPr>
          <w:color w:val="000000"/>
          <w:sz w:val="28"/>
          <w:szCs w:val="28"/>
        </w:rPr>
        <w:t xml:space="preserve"> antes</w:t>
      </w:r>
      <w:r w:rsidRPr="00EA1CDA">
        <w:rPr>
          <w:color w:val="000000"/>
          <w:sz w:val="28"/>
          <w:szCs w:val="28"/>
        </w:rPr>
        <w:t xml:space="preserve"> de que la </w:t>
      </w:r>
      <w:r w:rsidR="00E05F05" w:rsidRPr="00EA1CDA">
        <w:rPr>
          <w:color w:val="000000"/>
          <w:sz w:val="28"/>
          <w:szCs w:val="28"/>
        </w:rPr>
        <w:t>formulación que se entregó anteriormente se agote</w:t>
      </w:r>
      <w:r w:rsidR="009D1AA9" w:rsidRPr="00EA1CDA">
        <w:rPr>
          <w:color w:val="000000"/>
          <w:sz w:val="28"/>
          <w:szCs w:val="28"/>
        </w:rPr>
        <w:t xml:space="preserve"> y, al momento de efectuar la entrega del medicamento</w:t>
      </w:r>
      <w:r w:rsidR="001F7356" w:rsidRPr="00EA1CDA">
        <w:rPr>
          <w:color w:val="000000"/>
          <w:sz w:val="28"/>
          <w:szCs w:val="28"/>
        </w:rPr>
        <w:t>,</w:t>
      </w:r>
      <w:r w:rsidR="009D1AA9" w:rsidRPr="00EA1CDA">
        <w:rPr>
          <w:color w:val="000000"/>
          <w:sz w:val="28"/>
          <w:szCs w:val="28"/>
        </w:rPr>
        <w:t xml:space="preserve"> también se programe </w:t>
      </w:r>
      <w:r w:rsidR="005E12DB" w:rsidRPr="00EA1CDA">
        <w:rPr>
          <w:color w:val="000000"/>
          <w:sz w:val="28"/>
          <w:szCs w:val="28"/>
        </w:rPr>
        <w:t>y se fije la fecha cierta de la siguiente entrega</w:t>
      </w:r>
      <w:r w:rsidR="006E76FA" w:rsidRPr="00EA1CDA">
        <w:rPr>
          <w:rStyle w:val="Refdenotaalpie"/>
          <w:color w:val="000000"/>
          <w:sz w:val="28"/>
          <w:szCs w:val="28"/>
        </w:rPr>
        <w:footnoteReference w:id="50"/>
      </w:r>
      <w:r w:rsidR="00CF699A" w:rsidRPr="00EA1CDA">
        <w:rPr>
          <w:color w:val="000000"/>
          <w:sz w:val="28"/>
          <w:szCs w:val="28"/>
        </w:rPr>
        <w:t xml:space="preserve">. </w:t>
      </w:r>
      <w:r w:rsidR="00BA7753" w:rsidRPr="00EA1CDA">
        <w:rPr>
          <w:color w:val="000000"/>
          <w:sz w:val="28"/>
          <w:szCs w:val="28"/>
        </w:rPr>
        <w:t xml:space="preserve">De lo anterior, deberá presentarse un informe </w:t>
      </w:r>
      <w:r w:rsidR="00A2339E" w:rsidRPr="00EA1CDA">
        <w:rPr>
          <w:color w:val="000000"/>
          <w:sz w:val="28"/>
          <w:szCs w:val="28"/>
        </w:rPr>
        <w:t xml:space="preserve">ante la Defensoría del Pueblo </w:t>
      </w:r>
      <w:r w:rsidR="00BA7753" w:rsidRPr="00EA1CDA">
        <w:rPr>
          <w:color w:val="000000"/>
          <w:sz w:val="28"/>
          <w:szCs w:val="28"/>
        </w:rPr>
        <w:t>y la orden deberá ser cumplida de manera coordinada</w:t>
      </w:r>
      <w:r w:rsidR="00415C9E" w:rsidRPr="00EA1CDA">
        <w:rPr>
          <w:color w:val="000000"/>
          <w:sz w:val="28"/>
          <w:szCs w:val="28"/>
        </w:rPr>
        <w:t xml:space="preserve"> entre la EPS, </w:t>
      </w:r>
      <w:r w:rsidR="00A2339E" w:rsidRPr="00EA1CDA">
        <w:rPr>
          <w:color w:val="000000"/>
          <w:sz w:val="28"/>
          <w:szCs w:val="28"/>
        </w:rPr>
        <w:t xml:space="preserve">la </w:t>
      </w:r>
      <w:r w:rsidR="00415C9E" w:rsidRPr="00EA1CDA">
        <w:rPr>
          <w:color w:val="000000"/>
          <w:sz w:val="28"/>
          <w:szCs w:val="28"/>
        </w:rPr>
        <w:t xml:space="preserve">IPS y </w:t>
      </w:r>
      <w:r w:rsidR="00A2339E" w:rsidRPr="00EA1CDA">
        <w:rPr>
          <w:color w:val="000000"/>
          <w:sz w:val="28"/>
          <w:szCs w:val="28"/>
        </w:rPr>
        <w:t xml:space="preserve">el </w:t>
      </w:r>
      <w:r w:rsidR="00415C9E" w:rsidRPr="00EA1CDA">
        <w:rPr>
          <w:color w:val="000000"/>
          <w:sz w:val="28"/>
          <w:szCs w:val="28"/>
        </w:rPr>
        <w:t>gestor farmacéutico correspondiente.</w:t>
      </w:r>
    </w:p>
    <w:p w14:paraId="4BED9908" w14:textId="77777777" w:rsidR="00D271C6" w:rsidRPr="00EA1CDA" w:rsidRDefault="00D271C6" w:rsidP="00D271C6">
      <w:pPr>
        <w:pStyle w:val="Prrafodelista"/>
        <w:rPr>
          <w:color w:val="000000"/>
          <w:sz w:val="28"/>
          <w:szCs w:val="28"/>
        </w:rPr>
      </w:pPr>
    </w:p>
    <w:p w14:paraId="6EE66136" w14:textId="2F7DEC4F" w:rsidR="00600EE1" w:rsidRPr="00EA1CDA" w:rsidRDefault="008816E0" w:rsidP="00D850A2">
      <w:pPr>
        <w:widowControl w:val="0"/>
        <w:numPr>
          <w:ilvl w:val="0"/>
          <w:numId w:val="1"/>
        </w:numPr>
        <w:pBdr>
          <w:top w:val="nil"/>
          <w:left w:val="nil"/>
          <w:bottom w:val="nil"/>
          <w:right w:val="nil"/>
          <w:between w:val="nil"/>
        </w:pBdr>
        <w:tabs>
          <w:tab w:val="left" w:pos="426"/>
        </w:tabs>
        <w:ind w:right="140"/>
        <w:jc w:val="both"/>
        <w:rPr>
          <w:color w:val="000000"/>
          <w:sz w:val="28"/>
          <w:szCs w:val="28"/>
        </w:rPr>
      </w:pPr>
      <w:r w:rsidRPr="00EA1CDA">
        <w:rPr>
          <w:i/>
          <w:iCs/>
          <w:color w:val="000000"/>
          <w:sz w:val="28"/>
          <w:szCs w:val="28"/>
        </w:rPr>
        <w:t>Segundo</w:t>
      </w:r>
      <w:r w:rsidR="00CF699A" w:rsidRPr="00EA1CDA">
        <w:rPr>
          <w:color w:val="000000"/>
          <w:sz w:val="28"/>
          <w:szCs w:val="28"/>
        </w:rPr>
        <w:t>.</w:t>
      </w:r>
      <w:r w:rsidRPr="00EA1CDA">
        <w:rPr>
          <w:color w:val="000000"/>
          <w:sz w:val="28"/>
          <w:szCs w:val="28"/>
        </w:rPr>
        <w:t xml:space="preserve"> </w:t>
      </w:r>
      <w:r w:rsidR="00415C9E" w:rsidRPr="00EA1CDA">
        <w:rPr>
          <w:color w:val="000000"/>
          <w:sz w:val="28"/>
          <w:szCs w:val="28"/>
        </w:rPr>
        <w:t>Respecto de</w:t>
      </w:r>
      <w:r w:rsidRPr="00EA1CDA">
        <w:rPr>
          <w:color w:val="000000"/>
          <w:sz w:val="28"/>
          <w:szCs w:val="28"/>
        </w:rPr>
        <w:t xml:space="preserve"> los casos en los cuales no es claro </w:t>
      </w:r>
      <w:r w:rsidR="008B7AE0" w:rsidRPr="00EA1CDA">
        <w:rPr>
          <w:color w:val="000000"/>
          <w:sz w:val="28"/>
          <w:szCs w:val="28"/>
        </w:rPr>
        <w:t>si la prescripción del medicamento continuó</w:t>
      </w:r>
      <w:r w:rsidR="001D22A8" w:rsidRPr="00EA1CDA">
        <w:rPr>
          <w:color w:val="000000"/>
          <w:sz w:val="28"/>
          <w:szCs w:val="28"/>
        </w:rPr>
        <w:t xml:space="preserve"> y si la EPS </w:t>
      </w:r>
      <w:r w:rsidR="00F64F87" w:rsidRPr="00EA1CDA">
        <w:rPr>
          <w:color w:val="000000"/>
          <w:sz w:val="28"/>
          <w:szCs w:val="28"/>
        </w:rPr>
        <w:t>lo suministró o suministra efectivamente</w:t>
      </w:r>
      <w:r w:rsidR="00551339" w:rsidRPr="00EA1CDA">
        <w:rPr>
          <w:color w:val="000000"/>
          <w:sz w:val="28"/>
          <w:szCs w:val="28"/>
        </w:rPr>
        <w:t>, se</w:t>
      </w:r>
      <w:r w:rsidR="001D22A8" w:rsidRPr="00EA1CDA">
        <w:rPr>
          <w:color w:val="000000"/>
          <w:sz w:val="28"/>
          <w:szCs w:val="28"/>
        </w:rPr>
        <w:t xml:space="preserve"> ordenará que esta</w:t>
      </w:r>
      <w:r w:rsidR="00572693" w:rsidRPr="00EA1CDA">
        <w:rPr>
          <w:color w:val="000000"/>
          <w:sz w:val="28"/>
          <w:szCs w:val="28"/>
        </w:rPr>
        <w:t xml:space="preserve">, en el término </w:t>
      </w:r>
      <w:r w:rsidR="00A2339E" w:rsidRPr="00EA1CDA">
        <w:rPr>
          <w:color w:val="000000"/>
          <w:sz w:val="28"/>
          <w:szCs w:val="28"/>
        </w:rPr>
        <w:t xml:space="preserve">máximo </w:t>
      </w:r>
      <w:r w:rsidR="00572693" w:rsidRPr="00EA1CDA">
        <w:rPr>
          <w:color w:val="000000"/>
          <w:sz w:val="28"/>
          <w:szCs w:val="28"/>
        </w:rPr>
        <w:t>de</w:t>
      </w:r>
      <w:r w:rsidR="00814278" w:rsidRPr="00EA1CDA">
        <w:rPr>
          <w:color w:val="000000"/>
          <w:sz w:val="28"/>
          <w:szCs w:val="28"/>
        </w:rPr>
        <w:t xml:space="preserve"> cuarenta y ocho</w:t>
      </w:r>
      <w:r w:rsidR="00572693" w:rsidRPr="00EA1CDA">
        <w:rPr>
          <w:color w:val="000000"/>
          <w:sz w:val="28"/>
          <w:szCs w:val="28"/>
        </w:rPr>
        <w:t xml:space="preserve"> </w:t>
      </w:r>
      <w:r w:rsidR="0083492D" w:rsidRPr="00EA1CDA">
        <w:rPr>
          <w:color w:val="000000"/>
          <w:sz w:val="28"/>
          <w:szCs w:val="28"/>
        </w:rPr>
        <w:t>48</w:t>
      </w:r>
      <w:r w:rsidR="00572693" w:rsidRPr="00EA1CDA">
        <w:rPr>
          <w:color w:val="000000"/>
          <w:sz w:val="28"/>
          <w:szCs w:val="28"/>
        </w:rPr>
        <w:t xml:space="preserve"> horas, </w:t>
      </w:r>
      <w:r w:rsidR="00CD2206" w:rsidRPr="00EA1CDA">
        <w:rPr>
          <w:color w:val="000000"/>
          <w:sz w:val="28"/>
          <w:szCs w:val="28"/>
        </w:rPr>
        <w:t xml:space="preserve">si </w:t>
      </w:r>
      <w:r w:rsidR="008B3176" w:rsidRPr="00EA1CDA">
        <w:rPr>
          <w:color w:val="000000"/>
          <w:sz w:val="28"/>
          <w:szCs w:val="28"/>
        </w:rPr>
        <w:t>aún</w:t>
      </w:r>
      <w:r w:rsidR="00CD2206" w:rsidRPr="00EA1CDA">
        <w:rPr>
          <w:color w:val="000000"/>
          <w:sz w:val="28"/>
          <w:szCs w:val="28"/>
        </w:rPr>
        <w:t xml:space="preserve"> no lo hubiese hecho, </w:t>
      </w:r>
      <w:r w:rsidR="00572693" w:rsidRPr="00EA1CDA">
        <w:rPr>
          <w:color w:val="000000"/>
          <w:sz w:val="28"/>
          <w:szCs w:val="28"/>
        </w:rPr>
        <w:t>entregue el medicamento a los accionantes conforme a la prescripción médica vigente para el tratamiento del diagnóstico</w:t>
      </w:r>
      <w:r w:rsidR="00A2339E" w:rsidRPr="00EA1CDA">
        <w:rPr>
          <w:color w:val="000000"/>
          <w:sz w:val="28"/>
          <w:szCs w:val="28"/>
        </w:rPr>
        <w:t xml:space="preserve"> o igualmente cuando la prescripción haya perdido vigencia por </w:t>
      </w:r>
      <w:r w:rsidR="00A2339E" w:rsidRPr="00EA1CDA">
        <w:rPr>
          <w:color w:val="000000"/>
          <w:sz w:val="28"/>
          <w:szCs w:val="28"/>
        </w:rPr>
        <w:lastRenderedPageBreak/>
        <w:t>razón de la demora en el suministro correspondiente</w:t>
      </w:r>
      <w:r w:rsidR="00572693" w:rsidRPr="00EA1CDA">
        <w:rPr>
          <w:color w:val="000000"/>
          <w:sz w:val="28"/>
          <w:szCs w:val="28"/>
        </w:rPr>
        <w:t xml:space="preserve">. Esta entrega deberá efectuarse en la forma en que se ha hecho hasta el momento, es decir, en el domicilio de la parte tutelante o en el punto de dispensación al que usualmente acude el </w:t>
      </w:r>
      <w:r w:rsidR="00A2339E" w:rsidRPr="00EA1CDA">
        <w:rPr>
          <w:color w:val="000000"/>
          <w:sz w:val="28"/>
          <w:szCs w:val="28"/>
        </w:rPr>
        <w:t>afiliado</w:t>
      </w:r>
      <w:r w:rsidR="00572693" w:rsidRPr="00EA1CDA">
        <w:rPr>
          <w:color w:val="000000"/>
          <w:sz w:val="28"/>
          <w:szCs w:val="28"/>
        </w:rPr>
        <w:t xml:space="preserve">. </w:t>
      </w:r>
      <w:r w:rsidR="00681809" w:rsidRPr="00EA1CDA">
        <w:rPr>
          <w:color w:val="000000"/>
          <w:sz w:val="28"/>
          <w:szCs w:val="28"/>
        </w:rPr>
        <w:t xml:space="preserve">Además, ordenará que, en el evento de que el médico tratante prescriba nuevamente el suministro del fármaco, este sea entregado </w:t>
      </w:r>
      <w:r w:rsidR="00352F9C" w:rsidRPr="00EA1CDA">
        <w:rPr>
          <w:color w:val="000000"/>
          <w:sz w:val="28"/>
          <w:szCs w:val="28"/>
        </w:rPr>
        <w:t xml:space="preserve">máximo </w:t>
      </w:r>
      <w:r w:rsidR="00814278" w:rsidRPr="00EA1CDA">
        <w:rPr>
          <w:color w:val="000000"/>
          <w:sz w:val="28"/>
          <w:szCs w:val="28"/>
        </w:rPr>
        <w:t xml:space="preserve">setenta y dos (72) horas </w:t>
      </w:r>
      <w:r w:rsidR="00531CA9" w:rsidRPr="00EA1CDA">
        <w:rPr>
          <w:color w:val="000000"/>
          <w:sz w:val="28"/>
          <w:szCs w:val="28"/>
        </w:rPr>
        <w:t>antes</w:t>
      </w:r>
      <w:r w:rsidR="00352F9C" w:rsidRPr="00EA1CDA">
        <w:rPr>
          <w:color w:val="000000"/>
          <w:sz w:val="28"/>
          <w:szCs w:val="28"/>
        </w:rPr>
        <w:t xml:space="preserve"> </w:t>
      </w:r>
      <w:r w:rsidR="00681809" w:rsidRPr="00EA1CDA">
        <w:rPr>
          <w:color w:val="000000"/>
          <w:sz w:val="28"/>
          <w:szCs w:val="28"/>
        </w:rPr>
        <w:t>de que la formulación que se entregó anteriormente se agote y, al momento de efectuar la entrega del medicamento, también se programe y se fije la fecha cierta de la siguiente entrega</w:t>
      </w:r>
      <w:r w:rsidR="001365AB" w:rsidRPr="00EA1CDA">
        <w:rPr>
          <w:rStyle w:val="Refdenotaalpie"/>
          <w:color w:val="000000"/>
          <w:sz w:val="28"/>
          <w:szCs w:val="28"/>
        </w:rPr>
        <w:footnoteReference w:id="51"/>
      </w:r>
      <w:r w:rsidR="00572693" w:rsidRPr="00EA1CDA">
        <w:rPr>
          <w:color w:val="000000"/>
          <w:sz w:val="28"/>
          <w:szCs w:val="28"/>
        </w:rPr>
        <w:t>.</w:t>
      </w:r>
      <w:r w:rsidR="00D850A2" w:rsidRPr="00EA1CDA">
        <w:rPr>
          <w:color w:val="000000"/>
          <w:sz w:val="28"/>
          <w:szCs w:val="28"/>
        </w:rPr>
        <w:t xml:space="preserve"> De lo anterior, deberá presentarse un informe </w:t>
      </w:r>
      <w:r w:rsidR="00A2339E" w:rsidRPr="00EA1CDA">
        <w:rPr>
          <w:color w:val="000000"/>
          <w:sz w:val="28"/>
          <w:szCs w:val="28"/>
        </w:rPr>
        <w:t xml:space="preserve">ante la Defensoría del Pueblo </w:t>
      </w:r>
      <w:r w:rsidR="00D850A2" w:rsidRPr="00EA1CDA">
        <w:rPr>
          <w:color w:val="000000"/>
          <w:sz w:val="28"/>
          <w:szCs w:val="28"/>
        </w:rPr>
        <w:t>y la orden deberá ser cumplida de manera coordinada</w:t>
      </w:r>
      <w:r w:rsidR="00681809" w:rsidRPr="00EA1CDA">
        <w:rPr>
          <w:color w:val="000000"/>
          <w:sz w:val="28"/>
          <w:szCs w:val="28"/>
        </w:rPr>
        <w:t xml:space="preserve"> entre la EPS, </w:t>
      </w:r>
      <w:r w:rsidR="00A2339E" w:rsidRPr="00EA1CDA">
        <w:rPr>
          <w:color w:val="000000"/>
          <w:sz w:val="28"/>
          <w:szCs w:val="28"/>
        </w:rPr>
        <w:t xml:space="preserve">la </w:t>
      </w:r>
      <w:r w:rsidR="00681809" w:rsidRPr="00EA1CDA">
        <w:rPr>
          <w:color w:val="000000"/>
          <w:sz w:val="28"/>
          <w:szCs w:val="28"/>
        </w:rPr>
        <w:t xml:space="preserve">IPS y </w:t>
      </w:r>
      <w:r w:rsidR="00A2339E" w:rsidRPr="00EA1CDA">
        <w:rPr>
          <w:color w:val="000000"/>
          <w:sz w:val="28"/>
          <w:szCs w:val="28"/>
        </w:rPr>
        <w:t xml:space="preserve">el </w:t>
      </w:r>
      <w:r w:rsidR="00681809" w:rsidRPr="00EA1CDA">
        <w:rPr>
          <w:color w:val="000000"/>
          <w:sz w:val="28"/>
          <w:szCs w:val="28"/>
        </w:rPr>
        <w:t>gestor farmacéutico correspondiente.</w:t>
      </w:r>
    </w:p>
    <w:p w14:paraId="73F93524" w14:textId="77777777" w:rsidR="001A2603" w:rsidRPr="00EA1CDA" w:rsidRDefault="001A2603" w:rsidP="001A2603">
      <w:pPr>
        <w:widowControl w:val="0"/>
        <w:pBdr>
          <w:top w:val="nil"/>
          <w:left w:val="nil"/>
          <w:bottom w:val="nil"/>
          <w:right w:val="nil"/>
          <w:between w:val="nil"/>
        </w:pBdr>
        <w:tabs>
          <w:tab w:val="left" w:pos="426"/>
        </w:tabs>
        <w:ind w:right="140"/>
        <w:jc w:val="both"/>
        <w:rPr>
          <w:color w:val="000000"/>
          <w:sz w:val="28"/>
          <w:szCs w:val="28"/>
        </w:rPr>
      </w:pPr>
    </w:p>
    <w:p w14:paraId="3DC22743" w14:textId="04FF743D" w:rsidR="009E5B1E" w:rsidRPr="00EA1CDA" w:rsidRDefault="001A2603" w:rsidP="21FD5995">
      <w:pPr>
        <w:widowControl w:val="0"/>
        <w:numPr>
          <w:ilvl w:val="0"/>
          <w:numId w:val="1"/>
        </w:numPr>
        <w:pBdr>
          <w:top w:val="nil"/>
          <w:left w:val="nil"/>
          <w:bottom w:val="nil"/>
          <w:right w:val="nil"/>
          <w:between w:val="nil"/>
        </w:pBdr>
        <w:tabs>
          <w:tab w:val="left" w:pos="426"/>
        </w:tabs>
        <w:ind w:right="140"/>
        <w:jc w:val="both"/>
        <w:rPr>
          <w:color w:val="000000"/>
          <w:sz w:val="28"/>
          <w:szCs w:val="28"/>
        </w:rPr>
      </w:pPr>
      <w:r w:rsidRPr="00EA1CDA">
        <w:rPr>
          <w:i/>
          <w:iCs/>
          <w:color w:val="000000"/>
          <w:sz w:val="28"/>
          <w:szCs w:val="28"/>
        </w:rPr>
        <w:t>Tercero</w:t>
      </w:r>
      <w:r w:rsidR="009C3AEF" w:rsidRPr="00EA1CDA">
        <w:rPr>
          <w:color w:val="000000"/>
          <w:sz w:val="28"/>
          <w:szCs w:val="28"/>
        </w:rPr>
        <w:t>.</w:t>
      </w:r>
      <w:r w:rsidR="009E5B1E" w:rsidRPr="00EA1CDA">
        <w:rPr>
          <w:color w:val="000000"/>
          <w:sz w:val="28"/>
          <w:szCs w:val="28"/>
        </w:rPr>
        <w:t xml:space="preserve"> </w:t>
      </w:r>
      <w:r w:rsidR="009C3AEF" w:rsidRPr="00EA1CDA">
        <w:rPr>
          <w:color w:val="000000"/>
          <w:sz w:val="28"/>
          <w:szCs w:val="28"/>
        </w:rPr>
        <w:t>E</w:t>
      </w:r>
      <w:r w:rsidR="009E5B1E" w:rsidRPr="00EA1CDA">
        <w:rPr>
          <w:color w:val="000000"/>
          <w:sz w:val="28"/>
          <w:szCs w:val="28"/>
        </w:rPr>
        <w:t xml:space="preserve">n los eventos en los </w:t>
      </w:r>
      <w:r w:rsidR="7F1715AA" w:rsidRPr="00EA1CDA">
        <w:rPr>
          <w:color w:val="000000"/>
          <w:sz w:val="28"/>
          <w:szCs w:val="28"/>
        </w:rPr>
        <w:t>que,</w:t>
      </w:r>
      <w:r w:rsidR="009E5B1E" w:rsidRPr="00EA1CDA">
        <w:rPr>
          <w:color w:val="000000"/>
          <w:sz w:val="28"/>
          <w:szCs w:val="28"/>
        </w:rPr>
        <w:t xml:space="preserve"> aunque hubo entrega del </w:t>
      </w:r>
      <w:r w:rsidR="00000DA0" w:rsidRPr="00EA1CDA">
        <w:rPr>
          <w:color w:val="000000"/>
          <w:sz w:val="28"/>
          <w:szCs w:val="28"/>
        </w:rPr>
        <w:t>fár</w:t>
      </w:r>
      <w:r w:rsidR="00B921BC" w:rsidRPr="00EA1CDA">
        <w:rPr>
          <w:color w:val="000000"/>
          <w:sz w:val="28"/>
          <w:szCs w:val="28"/>
        </w:rPr>
        <w:t>ma</w:t>
      </w:r>
      <w:r w:rsidR="00000DA0" w:rsidRPr="00EA1CDA">
        <w:rPr>
          <w:color w:val="000000"/>
          <w:sz w:val="28"/>
          <w:szCs w:val="28"/>
        </w:rPr>
        <w:t xml:space="preserve">co en el </w:t>
      </w:r>
      <w:r w:rsidR="00E7412F" w:rsidRPr="00EA1CDA">
        <w:rPr>
          <w:color w:val="000000"/>
          <w:sz w:val="28"/>
          <w:szCs w:val="28"/>
        </w:rPr>
        <w:t>desarrollo</w:t>
      </w:r>
      <w:r w:rsidR="00000DA0" w:rsidRPr="00EA1CDA">
        <w:rPr>
          <w:color w:val="000000"/>
          <w:sz w:val="28"/>
          <w:szCs w:val="28"/>
        </w:rPr>
        <w:t xml:space="preserve"> de un </w:t>
      </w:r>
      <w:r w:rsidR="009E5B1E" w:rsidRPr="00EA1CDA">
        <w:rPr>
          <w:color w:val="000000"/>
          <w:sz w:val="28"/>
          <w:szCs w:val="28"/>
        </w:rPr>
        <w:t>tratamiento</w:t>
      </w:r>
      <w:r w:rsidR="00000DA0" w:rsidRPr="00EA1CDA">
        <w:rPr>
          <w:color w:val="000000"/>
          <w:sz w:val="28"/>
          <w:szCs w:val="28"/>
        </w:rPr>
        <w:t xml:space="preserve"> médico</w:t>
      </w:r>
      <w:r w:rsidR="009E5B1E" w:rsidRPr="00EA1CDA">
        <w:rPr>
          <w:color w:val="000000"/>
          <w:sz w:val="28"/>
          <w:szCs w:val="28"/>
        </w:rPr>
        <w:t xml:space="preserve"> continuo</w:t>
      </w:r>
      <w:r w:rsidR="00000DA0" w:rsidRPr="00EA1CDA">
        <w:rPr>
          <w:color w:val="000000"/>
          <w:sz w:val="28"/>
          <w:szCs w:val="28"/>
        </w:rPr>
        <w:t xml:space="preserve"> y </w:t>
      </w:r>
      <w:r w:rsidR="00B921BC" w:rsidRPr="00EA1CDA">
        <w:rPr>
          <w:color w:val="000000"/>
          <w:sz w:val="28"/>
          <w:szCs w:val="28"/>
        </w:rPr>
        <w:t xml:space="preserve">hay </w:t>
      </w:r>
      <w:r w:rsidR="00BF5796" w:rsidRPr="00EA1CDA">
        <w:rPr>
          <w:color w:val="000000"/>
          <w:sz w:val="28"/>
          <w:szCs w:val="28"/>
        </w:rPr>
        <w:t>evidencia</w:t>
      </w:r>
      <w:r w:rsidR="00B921BC" w:rsidRPr="00EA1CDA">
        <w:rPr>
          <w:color w:val="000000"/>
          <w:sz w:val="28"/>
          <w:szCs w:val="28"/>
        </w:rPr>
        <w:t xml:space="preserve"> de su entrega actual por parte de las EPS, IPS y gestoras farmacéuticas</w:t>
      </w:r>
      <w:r w:rsidR="009E5B1E" w:rsidRPr="00EA1CDA">
        <w:rPr>
          <w:color w:val="000000"/>
          <w:sz w:val="28"/>
          <w:szCs w:val="28"/>
        </w:rPr>
        <w:t xml:space="preserve">, se ordenará la continuidad en la entrega </w:t>
      </w:r>
      <w:proofErr w:type="gramStart"/>
      <w:r w:rsidR="009E5B1E" w:rsidRPr="00EA1CDA">
        <w:rPr>
          <w:color w:val="000000"/>
          <w:sz w:val="28"/>
          <w:szCs w:val="28"/>
        </w:rPr>
        <w:t xml:space="preserve">del </w:t>
      </w:r>
      <w:r w:rsidR="00DA0F01" w:rsidRPr="00EA1CDA">
        <w:rPr>
          <w:color w:val="000000"/>
          <w:sz w:val="28"/>
          <w:szCs w:val="28"/>
        </w:rPr>
        <w:t>mismo</w:t>
      </w:r>
      <w:proofErr w:type="gramEnd"/>
      <w:r w:rsidR="009E5B1E" w:rsidRPr="00EA1CDA">
        <w:rPr>
          <w:color w:val="000000"/>
          <w:sz w:val="28"/>
          <w:szCs w:val="28"/>
        </w:rPr>
        <w:t xml:space="preserve">. En esos </w:t>
      </w:r>
      <w:r w:rsidR="00C6783E" w:rsidRPr="00EA1CDA">
        <w:rPr>
          <w:color w:val="000000"/>
          <w:sz w:val="28"/>
          <w:szCs w:val="28"/>
        </w:rPr>
        <w:t>casos</w:t>
      </w:r>
      <w:r w:rsidR="009E5B1E" w:rsidRPr="00EA1CDA">
        <w:rPr>
          <w:color w:val="000000"/>
          <w:sz w:val="28"/>
          <w:szCs w:val="28"/>
        </w:rPr>
        <w:t xml:space="preserve">, la Sala </w:t>
      </w:r>
      <w:r w:rsidR="00A60C82" w:rsidRPr="00EA1CDA">
        <w:rPr>
          <w:color w:val="000000"/>
          <w:sz w:val="28"/>
          <w:szCs w:val="28"/>
        </w:rPr>
        <w:t xml:space="preserve">ordenará que en el evento de que el médico tratante prescriba nuevamente el suministro del fármaco, este sea entregado </w:t>
      </w:r>
      <w:r w:rsidR="00585E02" w:rsidRPr="00EA1CDA">
        <w:rPr>
          <w:color w:val="000000"/>
          <w:sz w:val="28"/>
          <w:szCs w:val="28"/>
        </w:rPr>
        <w:t xml:space="preserve">máximo </w:t>
      </w:r>
      <w:r w:rsidR="00814278" w:rsidRPr="00EA1CDA">
        <w:rPr>
          <w:color w:val="000000"/>
          <w:sz w:val="28"/>
          <w:szCs w:val="28"/>
        </w:rPr>
        <w:t xml:space="preserve">setenta y dos (72) horas </w:t>
      </w:r>
      <w:r w:rsidR="00D94064" w:rsidRPr="00EA1CDA">
        <w:rPr>
          <w:color w:val="000000"/>
          <w:sz w:val="28"/>
          <w:szCs w:val="28"/>
        </w:rPr>
        <w:t xml:space="preserve">antes </w:t>
      </w:r>
      <w:r w:rsidR="00A60C82" w:rsidRPr="00EA1CDA">
        <w:rPr>
          <w:color w:val="000000"/>
          <w:sz w:val="28"/>
          <w:szCs w:val="28"/>
        </w:rPr>
        <w:t>de que la formulación que se entregó anteriormente se agote y, al momento de efectuar la entrega del medicamento, también se programe y se fije la fecha cierta de la siguiente entrega</w:t>
      </w:r>
      <w:r w:rsidR="00F465F8" w:rsidRPr="00EA1CDA">
        <w:rPr>
          <w:rStyle w:val="Refdenotaalpie"/>
          <w:color w:val="000000"/>
          <w:sz w:val="28"/>
          <w:szCs w:val="28"/>
        </w:rPr>
        <w:footnoteReference w:id="52"/>
      </w:r>
      <w:r w:rsidR="009E5B1E" w:rsidRPr="00EA1CDA">
        <w:rPr>
          <w:color w:val="000000"/>
          <w:sz w:val="28"/>
          <w:szCs w:val="28"/>
        </w:rPr>
        <w:t>.</w:t>
      </w:r>
      <w:r w:rsidR="004A0F48" w:rsidRPr="00EA1CDA">
        <w:rPr>
          <w:color w:val="000000"/>
          <w:sz w:val="28"/>
          <w:szCs w:val="28"/>
        </w:rPr>
        <w:t xml:space="preserve"> De lo anterior, deberá presentarse un informe</w:t>
      </w:r>
      <w:r w:rsidR="00A2339E" w:rsidRPr="00EA1CDA">
        <w:rPr>
          <w:color w:val="000000"/>
          <w:sz w:val="28"/>
          <w:szCs w:val="28"/>
        </w:rPr>
        <w:t xml:space="preserve"> ante la Defensoría del Pueblo</w:t>
      </w:r>
      <w:r w:rsidR="004A0F48" w:rsidRPr="00EA1CDA">
        <w:rPr>
          <w:color w:val="000000"/>
          <w:sz w:val="28"/>
          <w:szCs w:val="28"/>
        </w:rPr>
        <w:t xml:space="preserve"> y la orden deberá ser cumplida de manera coordinada</w:t>
      </w:r>
      <w:r w:rsidR="00A60C82" w:rsidRPr="00EA1CDA">
        <w:rPr>
          <w:color w:val="000000"/>
          <w:sz w:val="28"/>
          <w:szCs w:val="28"/>
        </w:rPr>
        <w:t xml:space="preserve"> entre la EPS, </w:t>
      </w:r>
      <w:r w:rsidR="00A2339E" w:rsidRPr="00EA1CDA">
        <w:rPr>
          <w:color w:val="000000"/>
          <w:sz w:val="28"/>
          <w:szCs w:val="28"/>
        </w:rPr>
        <w:t xml:space="preserve">la </w:t>
      </w:r>
      <w:r w:rsidR="00A60C82" w:rsidRPr="00EA1CDA">
        <w:rPr>
          <w:color w:val="000000"/>
          <w:sz w:val="28"/>
          <w:szCs w:val="28"/>
        </w:rPr>
        <w:t>IPS y</w:t>
      </w:r>
      <w:r w:rsidR="00A2339E" w:rsidRPr="00EA1CDA">
        <w:rPr>
          <w:color w:val="000000"/>
          <w:sz w:val="28"/>
          <w:szCs w:val="28"/>
        </w:rPr>
        <w:t xml:space="preserve"> el</w:t>
      </w:r>
      <w:r w:rsidR="00A60C82" w:rsidRPr="00EA1CDA">
        <w:rPr>
          <w:color w:val="000000"/>
          <w:sz w:val="28"/>
          <w:szCs w:val="28"/>
        </w:rPr>
        <w:t xml:space="preserve"> gestor farmacéutico correspondiente.</w:t>
      </w:r>
    </w:p>
    <w:p w14:paraId="63582A73" w14:textId="77777777" w:rsidR="00172CE3" w:rsidRPr="00EA1CDA" w:rsidRDefault="00172CE3" w:rsidP="00172CE3">
      <w:pPr>
        <w:pStyle w:val="Prrafodelista"/>
        <w:rPr>
          <w:color w:val="000000"/>
          <w:sz w:val="28"/>
          <w:szCs w:val="28"/>
        </w:rPr>
      </w:pPr>
    </w:p>
    <w:p w14:paraId="06D63912" w14:textId="440056C8" w:rsidR="00172CE3" w:rsidRPr="00EA1CDA" w:rsidRDefault="00172CE3" w:rsidP="004A0F48">
      <w:pPr>
        <w:widowControl w:val="0"/>
        <w:numPr>
          <w:ilvl w:val="0"/>
          <w:numId w:val="1"/>
        </w:numPr>
        <w:pBdr>
          <w:top w:val="nil"/>
          <w:left w:val="nil"/>
          <w:bottom w:val="nil"/>
          <w:right w:val="nil"/>
          <w:between w:val="nil"/>
        </w:pBdr>
        <w:tabs>
          <w:tab w:val="left" w:pos="426"/>
        </w:tabs>
        <w:ind w:right="140"/>
        <w:jc w:val="both"/>
        <w:rPr>
          <w:color w:val="000000"/>
          <w:sz w:val="28"/>
          <w:szCs w:val="28"/>
        </w:rPr>
      </w:pPr>
      <w:r w:rsidRPr="00EA1CDA">
        <w:rPr>
          <w:i/>
          <w:iCs/>
          <w:sz w:val="28"/>
          <w:szCs w:val="28"/>
        </w:rPr>
        <w:t>Cuart</w:t>
      </w:r>
      <w:r w:rsidR="00134756" w:rsidRPr="00EA1CDA">
        <w:rPr>
          <w:i/>
          <w:iCs/>
          <w:sz w:val="28"/>
          <w:szCs w:val="28"/>
        </w:rPr>
        <w:t>o</w:t>
      </w:r>
      <w:r w:rsidRPr="00EA1CDA">
        <w:rPr>
          <w:i/>
          <w:iCs/>
          <w:sz w:val="28"/>
          <w:szCs w:val="28"/>
        </w:rPr>
        <w:t xml:space="preserve">. </w:t>
      </w:r>
      <w:r w:rsidRPr="00EA1CDA">
        <w:rPr>
          <w:sz w:val="28"/>
          <w:szCs w:val="28"/>
        </w:rPr>
        <w:t xml:space="preserve">En el expediente </w:t>
      </w:r>
      <w:r w:rsidRPr="00EA1CDA">
        <w:rPr>
          <w:i/>
          <w:sz w:val="28"/>
          <w:szCs w:val="28"/>
        </w:rPr>
        <w:t>(8)</w:t>
      </w:r>
      <w:r w:rsidRPr="00EA1CDA">
        <w:rPr>
          <w:sz w:val="28"/>
          <w:szCs w:val="28"/>
        </w:rPr>
        <w:t xml:space="preserve"> T-10.781.400,</w:t>
      </w:r>
      <w:r w:rsidR="00DA387B" w:rsidRPr="00EA1CDA">
        <w:rPr>
          <w:sz w:val="28"/>
          <w:szCs w:val="28"/>
        </w:rPr>
        <w:t xml:space="preserve"> </w:t>
      </w:r>
      <w:r w:rsidR="00825B16" w:rsidRPr="00EA1CDA">
        <w:rPr>
          <w:sz w:val="28"/>
          <w:szCs w:val="28"/>
        </w:rPr>
        <w:t>la medida provisional consistirá en que ante el cambio de EPS</w:t>
      </w:r>
      <w:r w:rsidR="004F3F31" w:rsidRPr="00EA1CDA">
        <w:rPr>
          <w:sz w:val="28"/>
          <w:szCs w:val="28"/>
        </w:rPr>
        <w:t xml:space="preserve"> de la accionante</w:t>
      </w:r>
      <w:r w:rsidR="00E823DA" w:rsidRPr="00EA1CDA">
        <w:rPr>
          <w:rStyle w:val="Refdenotaalpie"/>
          <w:sz w:val="28"/>
          <w:szCs w:val="28"/>
        </w:rPr>
        <w:footnoteReference w:id="53"/>
      </w:r>
      <w:r w:rsidR="00825B16" w:rsidRPr="00EA1CDA">
        <w:rPr>
          <w:sz w:val="28"/>
          <w:szCs w:val="28"/>
        </w:rPr>
        <w:t xml:space="preserve">, en el evento en que Nueva EPS o EMSSANAR no </w:t>
      </w:r>
      <w:r w:rsidR="004F3F31" w:rsidRPr="00EA1CDA">
        <w:rPr>
          <w:sz w:val="28"/>
          <w:szCs w:val="28"/>
        </w:rPr>
        <w:t xml:space="preserve">le </w:t>
      </w:r>
      <w:r w:rsidR="00825B16" w:rsidRPr="00EA1CDA">
        <w:rPr>
          <w:sz w:val="28"/>
          <w:szCs w:val="28"/>
        </w:rPr>
        <w:t>hayan entregado</w:t>
      </w:r>
      <w:r w:rsidR="004F3F31" w:rsidRPr="00EA1CDA">
        <w:rPr>
          <w:sz w:val="28"/>
          <w:szCs w:val="28"/>
        </w:rPr>
        <w:t xml:space="preserve"> </w:t>
      </w:r>
      <w:r w:rsidR="00E823DA" w:rsidRPr="00EA1CDA">
        <w:rPr>
          <w:sz w:val="28"/>
          <w:szCs w:val="28"/>
        </w:rPr>
        <w:t xml:space="preserve">el medicamento que requiere, </w:t>
      </w:r>
      <w:r w:rsidR="00EF3C4F" w:rsidRPr="00EA1CDA">
        <w:rPr>
          <w:sz w:val="28"/>
          <w:szCs w:val="28"/>
        </w:rPr>
        <w:t xml:space="preserve">(a) la Nueva EPS deberá suministrarlo en el término </w:t>
      </w:r>
      <w:r w:rsidR="00624FDA" w:rsidRPr="00EA1CDA">
        <w:rPr>
          <w:sz w:val="28"/>
          <w:szCs w:val="28"/>
        </w:rPr>
        <w:t xml:space="preserve">máximo </w:t>
      </w:r>
      <w:r w:rsidR="00EF3C4F" w:rsidRPr="00EA1CDA">
        <w:rPr>
          <w:sz w:val="28"/>
          <w:szCs w:val="28"/>
        </w:rPr>
        <w:t xml:space="preserve">de las cuarenta y ocho (48) horas siguientes a la notificación de esta providencia; y (b) en caso de que no se halle orden médica vigente a favor de la tutelante para su tratamiento, la Nueva EPS deberá valorarla </w:t>
      </w:r>
      <w:r w:rsidR="001347E5" w:rsidRPr="00EA1CDA">
        <w:rPr>
          <w:sz w:val="28"/>
          <w:szCs w:val="28"/>
          <w:lang w:val="es-CO"/>
        </w:rPr>
        <w:t>para determinar el tratamiento a seguir o los fármacos a suministrar</w:t>
      </w:r>
      <w:r w:rsidR="001347E5" w:rsidRPr="00EA1CDA">
        <w:rPr>
          <w:sz w:val="28"/>
          <w:szCs w:val="28"/>
        </w:rPr>
        <w:t xml:space="preserve"> </w:t>
      </w:r>
      <w:r w:rsidR="00EF3C4F" w:rsidRPr="00EA1CDA">
        <w:rPr>
          <w:sz w:val="28"/>
          <w:szCs w:val="28"/>
        </w:rPr>
        <w:t>en el término</w:t>
      </w:r>
      <w:r w:rsidR="00857A02" w:rsidRPr="00EA1CDA">
        <w:rPr>
          <w:sz w:val="28"/>
          <w:szCs w:val="28"/>
        </w:rPr>
        <w:t xml:space="preserve"> máximo</w:t>
      </w:r>
      <w:r w:rsidR="00EF3C4F" w:rsidRPr="00EA1CDA">
        <w:rPr>
          <w:sz w:val="28"/>
          <w:szCs w:val="28"/>
        </w:rPr>
        <w:t xml:space="preserve"> de las cuarenta y ocho (48) horas siguientes a la notificación de esta providencia. De ser el caso, una vez emitida la prescripción</w:t>
      </w:r>
      <w:r w:rsidR="00624FDA" w:rsidRPr="00EA1CDA">
        <w:rPr>
          <w:sz w:val="28"/>
          <w:szCs w:val="28"/>
        </w:rPr>
        <w:t xml:space="preserve"> correspondiente</w:t>
      </w:r>
      <w:r w:rsidR="00EF3C4F" w:rsidRPr="00EA1CDA">
        <w:rPr>
          <w:sz w:val="28"/>
          <w:szCs w:val="28"/>
        </w:rPr>
        <w:t>, entregará el</w:t>
      </w:r>
      <w:r w:rsidR="007F76CD" w:rsidRPr="00EA1CDA">
        <w:rPr>
          <w:sz w:val="28"/>
          <w:szCs w:val="28"/>
        </w:rPr>
        <w:t xml:space="preserve"> </w:t>
      </w:r>
      <w:r w:rsidR="00EF3C4F" w:rsidRPr="00EA1CDA">
        <w:rPr>
          <w:sz w:val="28"/>
          <w:szCs w:val="28"/>
        </w:rPr>
        <w:t xml:space="preserve">(los) medicamento(s) de que se trate en el término </w:t>
      </w:r>
      <w:r w:rsidR="00624FDA" w:rsidRPr="00EA1CDA">
        <w:rPr>
          <w:sz w:val="28"/>
          <w:szCs w:val="28"/>
        </w:rPr>
        <w:t xml:space="preserve">máximo </w:t>
      </w:r>
      <w:r w:rsidR="00EF3C4F" w:rsidRPr="00EA1CDA">
        <w:rPr>
          <w:sz w:val="28"/>
          <w:szCs w:val="28"/>
        </w:rPr>
        <w:t xml:space="preserve">de las cuarenta y ocho (48) horas siguientes. </w:t>
      </w:r>
      <w:r w:rsidR="00EF3C4F" w:rsidRPr="00EA1CDA">
        <w:rPr>
          <w:color w:val="000000"/>
          <w:sz w:val="28"/>
          <w:szCs w:val="28"/>
        </w:rPr>
        <w:t>De lo anterior, deberá presentarse un informe</w:t>
      </w:r>
      <w:r w:rsidR="00624FDA" w:rsidRPr="00EA1CDA">
        <w:rPr>
          <w:color w:val="000000"/>
          <w:sz w:val="28"/>
          <w:szCs w:val="28"/>
        </w:rPr>
        <w:t xml:space="preserve"> ante la Defensoría del Pueblo</w:t>
      </w:r>
      <w:r w:rsidR="00EF3C4F" w:rsidRPr="00EA1CDA">
        <w:rPr>
          <w:color w:val="000000"/>
          <w:sz w:val="28"/>
          <w:szCs w:val="28"/>
        </w:rPr>
        <w:t xml:space="preserve">. </w:t>
      </w:r>
    </w:p>
    <w:p w14:paraId="56C553C0" w14:textId="015BDC78" w:rsidR="00CB0BC6" w:rsidRPr="00EA1CDA" w:rsidRDefault="00CB0BC6" w:rsidP="00CB0BC6">
      <w:pPr>
        <w:pStyle w:val="Prrafodelista"/>
        <w:rPr>
          <w:color w:val="000000"/>
          <w:sz w:val="28"/>
          <w:szCs w:val="28"/>
        </w:rPr>
      </w:pPr>
    </w:p>
    <w:p w14:paraId="2A4C938D" w14:textId="57B28FD2" w:rsidR="00CB0BC6" w:rsidRPr="00EA1CDA" w:rsidRDefault="00DA387B">
      <w:pPr>
        <w:widowControl w:val="0"/>
        <w:numPr>
          <w:ilvl w:val="0"/>
          <w:numId w:val="1"/>
        </w:numPr>
        <w:pBdr>
          <w:top w:val="nil"/>
          <w:left w:val="nil"/>
          <w:bottom w:val="nil"/>
          <w:right w:val="nil"/>
          <w:between w:val="nil"/>
        </w:pBdr>
        <w:tabs>
          <w:tab w:val="left" w:pos="426"/>
        </w:tabs>
        <w:ind w:right="140"/>
        <w:jc w:val="both"/>
        <w:rPr>
          <w:color w:val="000000"/>
          <w:sz w:val="28"/>
          <w:szCs w:val="28"/>
        </w:rPr>
      </w:pPr>
      <w:r w:rsidRPr="00EA1CDA">
        <w:rPr>
          <w:i/>
          <w:iCs/>
          <w:color w:val="000000"/>
          <w:sz w:val="28"/>
          <w:szCs w:val="28"/>
        </w:rPr>
        <w:t>Quinto</w:t>
      </w:r>
      <w:r w:rsidR="00EF3C22" w:rsidRPr="00EA1CDA">
        <w:rPr>
          <w:color w:val="000000"/>
          <w:sz w:val="28"/>
          <w:szCs w:val="28"/>
        </w:rPr>
        <w:t>.</w:t>
      </w:r>
      <w:r w:rsidR="000D5110" w:rsidRPr="00EA1CDA">
        <w:rPr>
          <w:color w:val="000000"/>
          <w:sz w:val="28"/>
          <w:szCs w:val="28"/>
        </w:rPr>
        <w:t xml:space="preserve"> </w:t>
      </w:r>
      <w:r w:rsidR="00EF3C22" w:rsidRPr="00EA1CDA">
        <w:rPr>
          <w:color w:val="000000"/>
          <w:sz w:val="28"/>
          <w:szCs w:val="28"/>
        </w:rPr>
        <w:t>E</w:t>
      </w:r>
      <w:r w:rsidR="00392217" w:rsidRPr="00EA1CDA">
        <w:rPr>
          <w:color w:val="000000"/>
          <w:sz w:val="28"/>
          <w:szCs w:val="28"/>
        </w:rPr>
        <w:t xml:space="preserve">n aquellos asuntos en los </w:t>
      </w:r>
      <w:proofErr w:type="gramStart"/>
      <w:r w:rsidR="00392217" w:rsidRPr="00EA1CDA">
        <w:rPr>
          <w:color w:val="000000"/>
          <w:sz w:val="28"/>
          <w:szCs w:val="28"/>
        </w:rPr>
        <w:t>que</w:t>
      </w:r>
      <w:proofErr w:type="gramEnd"/>
      <w:r w:rsidR="00E456D7" w:rsidRPr="00EA1CDA">
        <w:rPr>
          <w:color w:val="000000"/>
          <w:sz w:val="28"/>
          <w:szCs w:val="28"/>
        </w:rPr>
        <w:t xml:space="preserve"> </w:t>
      </w:r>
      <w:r w:rsidR="00691088" w:rsidRPr="00EA1CDA">
        <w:rPr>
          <w:color w:val="000000"/>
          <w:sz w:val="28"/>
          <w:szCs w:val="28"/>
        </w:rPr>
        <w:t>durante</w:t>
      </w:r>
      <w:r w:rsidR="003B579E" w:rsidRPr="00EA1CDA">
        <w:rPr>
          <w:color w:val="000000"/>
          <w:sz w:val="28"/>
          <w:szCs w:val="28"/>
        </w:rPr>
        <w:t xml:space="preserve"> la ejecución de </w:t>
      </w:r>
      <w:r w:rsidR="00691088" w:rsidRPr="00EA1CDA">
        <w:rPr>
          <w:color w:val="000000"/>
          <w:sz w:val="28"/>
          <w:szCs w:val="28"/>
        </w:rPr>
        <w:t>las</w:t>
      </w:r>
      <w:r w:rsidR="003B579E" w:rsidRPr="00EA1CDA">
        <w:rPr>
          <w:color w:val="000000"/>
          <w:sz w:val="28"/>
          <w:szCs w:val="28"/>
        </w:rPr>
        <w:t xml:space="preserve"> medidas provisionales</w:t>
      </w:r>
      <w:r w:rsidR="00691088" w:rsidRPr="00EA1CDA">
        <w:rPr>
          <w:color w:val="000000"/>
          <w:sz w:val="28"/>
          <w:szCs w:val="28"/>
        </w:rPr>
        <w:t xml:space="preserve"> previstas en este auto</w:t>
      </w:r>
      <w:r w:rsidR="003B579E" w:rsidRPr="00EA1CDA">
        <w:rPr>
          <w:color w:val="000000"/>
          <w:sz w:val="28"/>
          <w:szCs w:val="28"/>
        </w:rPr>
        <w:t xml:space="preserve">, </w:t>
      </w:r>
      <w:r w:rsidR="00F465F8" w:rsidRPr="00EA1CDA">
        <w:rPr>
          <w:color w:val="000000"/>
          <w:sz w:val="28"/>
          <w:szCs w:val="28"/>
        </w:rPr>
        <w:t xml:space="preserve">el Invima advierta </w:t>
      </w:r>
      <w:r w:rsidR="00381B87" w:rsidRPr="00EA1CDA">
        <w:rPr>
          <w:color w:val="000000"/>
          <w:sz w:val="28"/>
          <w:szCs w:val="28"/>
        </w:rPr>
        <w:t xml:space="preserve">que </w:t>
      </w:r>
      <w:r w:rsidR="003B579E" w:rsidRPr="00EA1CDA">
        <w:rPr>
          <w:color w:val="000000"/>
          <w:sz w:val="28"/>
          <w:szCs w:val="28"/>
        </w:rPr>
        <w:t>alguno</w:t>
      </w:r>
      <w:r w:rsidR="00381B87" w:rsidRPr="00EA1CDA">
        <w:rPr>
          <w:color w:val="000000"/>
          <w:sz w:val="28"/>
          <w:szCs w:val="28"/>
        </w:rPr>
        <w:t xml:space="preserve"> de los medicamentos ordenados en cada uno de los asuntos de tutela acumulados </w:t>
      </w:r>
      <w:r w:rsidR="00EF56FC" w:rsidRPr="00EA1CDA">
        <w:rPr>
          <w:color w:val="000000"/>
          <w:sz w:val="28"/>
          <w:szCs w:val="28"/>
        </w:rPr>
        <w:t xml:space="preserve">está </w:t>
      </w:r>
      <w:r w:rsidR="00E456D7" w:rsidRPr="00EA1CDA">
        <w:rPr>
          <w:color w:val="000000"/>
          <w:sz w:val="28"/>
          <w:szCs w:val="28"/>
        </w:rPr>
        <w:t>desabastecido</w:t>
      </w:r>
      <w:r w:rsidR="00EF56FC" w:rsidRPr="00EA1CDA">
        <w:rPr>
          <w:color w:val="000000"/>
          <w:sz w:val="28"/>
          <w:szCs w:val="28"/>
        </w:rPr>
        <w:t xml:space="preserve">, </w:t>
      </w:r>
      <w:r w:rsidR="00270DEF" w:rsidRPr="00EA1CDA">
        <w:rPr>
          <w:color w:val="000000"/>
          <w:sz w:val="28"/>
          <w:szCs w:val="28"/>
        </w:rPr>
        <w:t xml:space="preserve">la EPS </w:t>
      </w:r>
      <w:r w:rsidR="006C3211" w:rsidRPr="00EA1CDA">
        <w:rPr>
          <w:color w:val="000000"/>
          <w:sz w:val="28"/>
          <w:szCs w:val="28"/>
        </w:rPr>
        <w:t xml:space="preserve">deberá </w:t>
      </w:r>
      <w:r w:rsidR="00105839" w:rsidRPr="00EA1CDA">
        <w:rPr>
          <w:color w:val="000000"/>
          <w:sz w:val="28"/>
          <w:szCs w:val="28"/>
        </w:rPr>
        <w:t xml:space="preserve">asegurar la valoración médica de la parte </w:t>
      </w:r>
      <w:r w:rsidR="00105839" w:rsidRPr="00EA1CDA">
        <w:rPr>
          <w:color w:val="000000"/>
          <w:sz w:val="28"/>
          <w:szCs w:val="28"/>
        </w:rPr>
        <w:lastRenderedPageBreak/>
        <w:t>accionante para identificar las bioequivalencias</w:t>
      </w:r>
      <w:r w:rsidR="0043027F" w:rsidRPr="00EA1CDA">
        <w:rPr>
          <w:rStyle w:val="Refdenotaalpie"/>
          <w:color w:val="000000"/>
          <w:sz w:val="28"/>
          <w:szCs w:val="28"/>
        </w:rPr>
        <w:footnoteReference w:id="54"/>
      </w:r>
      <w:r w:rsidR="00105839" w:rsidRPr="00EA1CDA">
        <w:rPr>
          <w:color w:val="000000"/>
          <w:sz w:val="28"/>
          <w:szCs w:val="28"/>
        </w:rPr>
        <w:t xml:space="preserve"> necesarias para </w:t>
      </w:r>
      <w:r w:rsidR="00066754" w:rsidRPr="00EA1CDA">
        <w:rPr>
          <w:color w:val="000000"/>
          <w:sz w:val="28"/>
          <w:szCs w:val="28"/>
        </w:rPr>
        <w:t>evitar la interrupción</w:t>
      </w:r>
      <w:r w:rsidR="00105839" w:rsidRPr="00EA1CDA">
        <w:rPr>
          <w:color w:val="000000"/>
          <w:sz w:val="28"/>
          <w:szCs w:val="28"/>
        </w:rPr>
        <w:t xml:space="preserve"> del tratamiento</w:t>
      </w:r>
      <w:r w:rsidR="003C0A07" w:rsidRPr="00EA1CDA">
        <w:rPr>
          <w:color w:val="000000"/>
          <w:sz w:val="28"/>
          <w:szCs w:val="28"/>
        </w:rPr>
        <w:t xml:space="preserve">. </w:t>
      </w:r>
      <w:r w:rsidR="004149A6" w:rsidRPr="00EA1CDA">
        <w:rPr>
          <w:color w:val="000000"/>
          <w:sz w:val="28"/>
          <w:szCs w:val="28"/>
        </w:rPr>
        <w:t xml:space="preserve">Esta valoración debe efectuarse </w:t>
      </w:r>
      <w:r w:rsidR="00373104" w:rsidRPr="00EA1CDA">
        <w:rPr>
          <w:color w:val="000000"/>
          <w:sz w:val="28"/>
          <w:szCs w:val="28"/>
        </w:rPr>
        <w:t>mínimo cinco (5)</w:t>
      </w:r>
      <w:r w:rsidR="00B111A0" w:rsidRPr="00EA1CDA">
        <w:rPr>
          <w:sz w:val="28"/>
          <w:szCs w:val="28"/>
        </w:rPr>
        <w:t xml:space="preserve"> días </w:t>
      </w:r>
      <w:r w:rsidR="00871876" w:rsidRPr="00EA1CDA">
        <w:rPr>
          <w:color w:val="000000"/>
          <w:sz w:val="28"/>
          <w:szCs w:val="28"/>
        </w:rPr>
        <w:t xml:space="preserve">antes de que la </w:t>
      </w:r>
      <w:r w:rsidR="00E05F05" w:rsidRPr="00EA1CDA">
        <w:rPr>
          <w:color w:val="000000"/>
          <w:sz w:val="28"/>
          <w:szCs w:val="28"/>
        </w:rPr>
        <w:t>formulación que se entregó anteriormente se agote</w:t>
      </w:r>
      <w:r w:rsidR="00871876" w:rsidRPr="00EA1CDA">
        <w:rPr>
          <w:color w:val="000000"/>
          <w:sz w:val="28"/>
          <w:szCs w:val="28"/>
        </w:rPr>
        <w:t>, para garan</w:t>
      </w:r>
      <w:r w:rsidR="00435BC1" w:rsidRPr="00EA1CDA">
        <w:rPr>
          <w:color w:val="000000"/>
          <w:sz w:val="28"/>
          <w:szCs w:val="28"/>
        </w:rPr>
        <w:t xml:space="preserve">tizar la entrega del medicamento </w:t>
      </w:r>
      <w:r w:rsidR="00C65FA1" w:rsidRPr="00EA1CDA">
        <w:rPr>
          <w:color w:val="000000"/>
          <w:sz w:val="28"/>
          <w:szCs w:val="28"/>
        </w:rPr>
        <w:t>dentro de las</w:t>
      </w:r>
      <w:r w:rsidR="00435BC1" w:rsidRPr="00EA1CDA">
        <w:rPr>
          <w:color w:val="000000"/>
          <w:sz w:val="28"/>
          <w:szCs w:val="28"/>
        </w:rPr>
        <w:t xml:space="preserve"> </w:t>
      </w:r>
      <w:r w:rsidR="008C6762" w:rsidRPr="00EA1CDA">
        <w:rPr>
          <w:sz w:val="28"/>
          <w:szCs w:val="28"/>
        </w:rPr>
        <w:t xml:space="preserve">cuarenta y ocho (48) </w:t>
      </w:r>
      <w:r w:rsidR="00E05F05" w:rsidRPr="00EA1CDA">
        <w:rPr>
          <w:color w:val="000000"/>
          <w:sz w:val="28"/>
          <w:szCs w:val="28"/>
        </w:rPr>
        <w:t xml:space="preserve">horas </w:t>
      </w:r>
      <w:r w:rsidR="00C65FA1" w:rsidRPr="00EA1CDA">
        <w:rPr>
          <w:color w:val="000000"/>
          <w:sz w:val="28"/>
          <w:szCs w:val="28"/>
        </w:rPr>
        <w:t xml:space="preserve">siguientes a la </w:t>
      </w:r>
      <w:r w:rsidR="008C6762" w:rsidRPr="00EA1CDA">
        <w:rPr>
          <w:color w:val="000000"/>
          <w:sz w:val="28"/>
          <w:szCs w:val="28"/>
        </w:rPr>
        <w:t>prescripción</w:t>
      </w:r>
      <w:r w:rsidR="00435BC1" w:rsidRPr="00EA1CDA">
        <w:rPr>
          <w:color w:val="000000"/>
          <w:sz w:val="28"/>
          <w:szCs w:val="28"/>
        </w:rPr>
        <w:t xml:space="preserve">. </w:t>
      </w:r>
    </w:p>
    <w:p w14:paraId="362ACA51" w14:textId="77777777" w:rsidR="005E2649" w:rsidRPr="00EA1CDA" w:rsidRDefault="005E2649">
      <w:pPr>
        <w:pBdr>
          <w:top w:val="nil"/>
          <w:left w:val="nil"/>
          <w:bottom w:val="nil"/>
          <w:right w:val="nil"/>
          <w:between w:val="nil"/>
        </w:pBdr>
        <w:jc w:val="both"/>
        <w:rPr>
          <w:color w:val="000000"/>
          <w:sz w:val="28"/>
          <w:szCs w:val="28"/>
        </w:rPr>
      </w:pPr>
    </w:p>
    <w:p w14:paraId="7FE8DA15" w14:textId="3896E188" w:rsidR="00414C1D" w:rsidRPr="00EA1CDA" w:rsidRDefault="00EF117B" w:rsidP="00414C1D">
      <w:pPr>
        <w:widowControl w:val="0"/>
        <w:numPr>
          <w:ilvl w:val="0"/>
          <w:numId w:val="1"/>
        </w:numPr>
        <w:pBdr>
          <w:top w:val="nil"/>
          <w:left w:val="nil"/>
          <w:bottom w:val="nil"/>
          <w:right w:val="nil"/>
          <w:between w:val="nil"/>
        </w:pBdr>
        <w:tabs>
          <w:tab w:val="left" w:pos="426"/>
          <w:tab w:val="left" w:pos="567"/>
        </w:tabs>
        <w:ind w:right="140"/>
        <w:jc w:val="both"/>
        <w:rPr>
          <w:color w:val="000000"/>
          <w:sz w:val="28"/>
          <w:szCs w:val="28"/>
        </w:rPr>
      </w:pPr>
      <w:r w:rsidRPr="00EA1CDA">
        <w:rPr>
          <w:i/>
          <w:iCs/>
          <w:color w:val="000000" w:themeColor="text1"/>
          <w:sz w:val="28"/>
          <w:szCs w:val="28"/>
        </w:rPr>
        <w:t>Mecanismo</w:t>
      </w:r>
      <w:r w:rsidR="00A84882" w:rsidRPr="00EA1CDA">
        <w:rPr>
          <w:i/>
          <w:iCs/>
          <w:color w:val="000000" w:themeColor="text1"/>
          <w:sz w:val="28"/>
          <w:szCs w:val="28"/>
        </w:rPr>
        <w:t>s</w:t>
      </w:r>
      <w:r w:rsidRPr="00EA1CDA">
        <w:rPr>
          <w:i/>
          <w:iCs/>
          <w:color w:val="000000" w:themeColor="text1"/>
          <w:sz w:val="28"/>
          <w:szCs w:val="28"/>
        </w:rPr>
        <w:t xml:space="preserve"> de seguimiento al cumplimiento de estas medidas</w:t>
      </w:r>
      <w:r w:rsidRPr="00EA1CDA">
        <w:rPr>
          <w:color w:val="000000" w:themeColor="text1"/>
          <w:sz w:val="28"/>
          <w:szCs w:val="28"/>
        </w:rPr>
        <w:t xml:space="preserve">. </w:t>
      </w:r>
      <w:r w:rsidR="00551339" w:rsidRPr="00EA1CDA">
        <w:rPr>
          <w:color w:val="000000" w:themeColor="text1"/>
          <w:sz w:val="28"/>
          <w:szCs w:val="28"/>
        </w:rPr>
        <w:t xml:space="preserve">Con el propósito de asegurar el cumplimiento de </w:t>
      </w:r>
      <w:r w:rsidR="00BF27A8" w:rsidRPr="00EA1CDA">
        <w:rPr>
          <w:color w:val="000000" w:themeColor="text1"/>
          <w:sz w:val="28"/>
          <w:szCs w:val="28"/>
        </w:rPr>
        <w:t>las medidas provisionales adoptadas</w:t>
      </w:r>
      <w:r w:rsidR="00551339" w:rsidRPr="00EA1CDA">
        <w:rPr>
          <w:color w:val="000000" w:themeColor="text1"/>
          <w:sz w:val="28"/>
          <w:szCs w:val="28"/>
        </w:rPr>
        <w:t xml:space="preserve">, la Sala </w:t>
      </w:r>
      <w:r w:rsidR="00C42B6B" w:rsidRPr="00EA1CDA">
        <w:rPr>
          <w:color w:val="000000" w:themeColor="text1"/>
          <w:sz w:val="28"/>
          <w:szCs w:val="28"/>
        </w:rPr>
        <w:t xml:space="preserve">ordenará el concurso de </w:t>
      </w:r>
      <w:r w:rsidR="00551339" w:rsidRPr="00EA1CDA">
        <w:rPr>
          <w:color w:val="000000" w:themeColor="text1"/>
          <w:sz w:val="28"/>
          <w:szCs w:val="28"/>
        </w:rPr>
        <w:t>la Procuraduría General de la Nación</w:t>
      </w:r>
      <w:r w:rsidR="00E0557A" w:rsidRPr="00EA1CDA">
        <w:rPr>
          <w:rStyle w:val="Refdenotaalpie"/>
          <w:color w:val="000000" w:themeColor="text1"/>
          <w:sz w:val="28"/>
          <w:szCs w:val="28"/>
        </w:rPr>
        <w:footnoteReference w:id="55"/>
      </w:r>
      <w:r w:rsidR="001F10BE" w:rsidRPr="00EA1CDA">
        <w:rPr>
          <w:color w:val="000000" w:themeColor="text1"/>
          <w:sz w:val="28"/>
          <w:szCs w:val="28"/>
        </w:rPr>
        <w:t xml:space="preserve">, </w:t>
      </w:r>
      <w:r w:rsidR="00624FDA" w:rsidRPr="00EA1CDA">
        <w:rPr>
          <w:color w:val="000000" w:themeColor="text1"/>
          <w:sz w:val="28"/>
          <w:szCs w:val="28"/>
        </w:rPr>
        <w:t xml:space="preserve">de </w:t>
      </w:r>
      <w:r w:rsidR="001251C4" w:rsidRPr="00EA1CDA">
        <w:rPr>
          <w:color w:val="000000" w:themeColor="text1"/>
          <w:sz w:val="28"/>
          <w:szCs w:val="28"/>
        </w:rPr>
        <w:t>la Defensoría del Pueblo</w:t>
      </w:r>
      <w:r w:rsidR="00D43164" w:rsidRPr="00EA1CDA">
        <w:rPr>
          <w:rStyle w:val="Refdenotaalpie"/>
          <w:color w:val="000000" w:themeColor="text1"/>
          <w:sz w:val="28"/>
          <w:szCs w:val="28"/>
        </w:rPr>
        <w:footnoteReference w:id="56"/>
      </w:r>
      <w:r w:rsidR="001F10BE" w:rsidRPr="00EA1CDA">
        <w:rPr>
          <w:color w:val="000000" w:themeColor="text1"/>
          <w:sz w:val="28"/>
          <w:szCs w:val="28"/>
        </w:rPr>
        <w:t xml:space="preserve"> y de </w:t>
      </w:r>
      <w:r w:rsidR="00A35116" w:rsidRPr="00EA1CDA">
        <w:rPr>
          <w:color w:val="000000" w:themeColor="text1"/>
          <w:sz w:val="28"/>
          <w:szCs w:val="28"/>
        </w:rPr>
        <w:t xml:space="preserve">la </w:t>
      </w:r>
      <w:r w:rsidR="00A35116" w:rsidRPr="00EA1CDA">
        <w:rPr>
          <w:color w:val="000000" w:themeColor="text1"/>
          <w:sz w:val="28"/>
          <w:szCs w:val="28"/>
          <w:lang w:val="es-CO"/>
        </w:rPr>
        <w:t>Superintendencia Nacional de Salud</w:t>
      </w:r>
      <w:r w:rsidR="00A35116" w:rsidRPr="00EA1CDA">
        <w:rPr>
          <w:rStyle w:val="Refdenotaalpie"/>
          <w:color w:val="000000" w:themeColor="text1"/>
          <w:sz w:val="28"/>
          <w:szCs w:val="28"/>
          <w:lang w:val="es-CO"/>
        </w:rPr>
        <w:footnoteReference w:id="57"/>
      </w:r>
      <w:r w:rsidR="00551339" w:rsidRPr="00EA1CDA">
        <w:rPr>
          <w:color w:val="000000" w:themeColor="text1"/>
          <w:sz w:val="28"/>
          <w:szCs w:val="28"/>
        </w:rPr>
        <w:t>.</w:t>
      </w:r>
      <w:r w:rsidR="05CB6CF7" w:rsidRPr="00EA1CDA">
        <w:rPr>
          <w:color w:val="000000" w:themeColor="text1"/>
          <w:sz w:val="28"/>
          <w:szCs w:val="28"/>
        </w:rPr>
        <w:t xml:space="preserve"> </w:t>
      </w:r>
      <w:r w:rsidR="00A84681" w:rsidRPr="00EA1CDA">
        <w:rPr>
          <w:color w:val="000000" w:themeColor="text1"/>
          <w:sz w:val="28"/>
          <w:szCs w:val="28"/>
        </w:rPr>
        <w:t xml:space="preserve">En concreto, </w:t>
      </w:r>
      <w:r w:rsidR="006A38DE" w:rsidRPr="00EA1CDA">
        <w:rPr>
          <w:color w:val="000000" w:themeColor="text1"/>
          <w:sz w:val="28"/>
          <w:szCs w:val="28"/>
        </w:rPr>
        <w:t>dichos</w:t>
      </w:r>
      <w:r w:rsidR="790C9A36" w:rsidRPr="00EA1CDA">
        <w:rPr>
          <w:color w:val="000000" w:themeColor="text1"/>
          <w:sz w:val="28"/>
          <w:szCs w:val="28"/>
        </w:rPr>
        <w:t xml:space="preserve"> órganos </w:t>
      </w:r>
      <w:r w:rsidR="00A84681" w:rsidRPr="00EA1CDA">
        <w:rPr>
          <w:color w:val="000000" w:themeColor="text1"/>
          <w:sz w:val="28"/>
          <w:szCs w:val="28"/>
        </w:rPr>
        <w:t xml:space="preserve">deberán </w:t>
      </w:r>
      <w:r w:rsidR="7EFDC3D2" w:rsidRPr="00EA1CDA">
        <w:rPr>
          <w:color w:val="000000" w:themeColor="text1"/>
          <w:sz w:val="28"/>
          <w:szCs w:val="28"/>
        </w:rPr>
        <w:t xml:space="preserve">realizar </w:t>
      </w:r>
      <w:r w:rsidR="790C9A36" w:rsidRPr="00EA1CDA">
        <w:rPr>
          <w:color w:val="000000" w:themeColor="text1"/>
          <w:sz w:val="28"/>
          <w:szCs w:val="28"/>
        </w:rPr>
        <w:t>el seguimient</w:t>
      </w:r>
      <w:r w:rsidR="00843652" w:rsidRPr="00EA1CDA">
        <w:rPr>
          <w:color w:val="000000" w:themeColor="text1"/>
          <w:sz w:val="28"/>
          <w:szCs w:val="28"/>
        </w:rPr>
        <w:t>o</w:t>
      </w:r>
      <w:r w:rsidR="00EA7C19" w:rsidRPr="00EA1CDA">
        <w:rPr>
          <w:color w:val="000000" w:themeColor="text1"/>
          <w:sz w:val="28"/>
          <w:szCs w:val="28"/>
        </w:rPr>
        <w:t xml:space="preserve"> y velar por </w:t>
      </w:r>
      <w:r w:rsidR="00AC1837" w:rsidRPr="00EA1CDA">
        <w:rPr>
          <w:color w:val="000000" w:themeColor="text1"/>
          <w:sz w:val="28"/>
          <w:szCs w:val="28"/>
        </w:rPr>
        <w:t>el</w:t>
      </w:r>
      <w:r w:rsidR="790C9A36" w:rsidRPr="00EA1CDA">
        <w:rPr>
          <w:color w:val="000000" w:themeColor="text1"/>
          <w:sz w:val="28"/>
          <w:szCs w:val="28"/>
        </w:rPr>
        <w:t xml:space="preserve"> cumplimiento de las </w:t>
      </w:r>
      <w:r w:rsidR="00AC1837" w:rsidRPr="00EA1CDA">
        <w:rPr>
          <w:color w:val="000000" w:themeColor="text1"/>
          <w:sz w:val="28"/>
          <w:szCs w:val="28"/>
        </w:rPr>
        <w:t xml:space="preserve">órdenes </w:t>
      </w:r>
      <w:r w:rsidR="005F6696" w:rsidRPr="00EA1CDA">
        <w:rPr>
          <w:color w:val="000000" w:themeColor="text1"/>
          <w:sz w:val="28"/>
          <w:szCs w:val="28"/>
        </w:rPr>
        <w:t>decretadas en esta providencia</w:t>
      </w:r>
      <w:r w:rsidR="00624FDA" w:rsidRPr="00EA1CDA">
        <w:rPr>
          <w:color w:val="000000" w:themeColor="text1"/>
          <w:sz w:val="28"/>
          <w:szCs w:val="28"/>
        </w:rPr>
        <w:t>, conforme</w:t>
      </w:r>
      <w:r w:rsidR="00857A02" w:rsidRPr="00EA1CDA">
        <w:rPr>
          <w:color w:val="000000" w:themeColor="text1"/>
          <w:sz w:val="28"/>
          <w:szCs w:val="28"/>
        </w:rPr>
        <w:t xml:space="preserve"> a</w:t>
      </w:r>
      <w:r w:rsidR="00624FDA" w:rsidRPr="00EA1CDA">
        <w:rPr>
          <w:color w:val="000000" w:themeColor="text1"/>
          <w:sz w:val="28"/>
          <w:szCs w:val="28"/>
        </w:rPr>
        <w:t xml:space="preserve"> </w:t>
      </w:r>
      <w:r w:rsidR="00C156C6" w:rsidRPr="00EA1CDA">
        <w:rPr>
          <w:color w:val="000000" w:themeColor="text1"/>
          <w:sz w:val="28"/>
          <w:szCs w:val="28"/>
        </w:rPr>
        <w:t>las circunstancias identificadas en su anexo</w:t>
      </w:r>
      <w:r w:rsidR="31730643" w:rsidRPr="00EA1CDA">
        <w:rPr>
          <w:color w:val="000000" w:themeColor="text1"/>
          <w:sz w:val="28"/>
          <w:szCs w:val="28"/>
        </w:rPr>
        <w:t xml:space="preserve">. Para ello </w:t>
      </w:r>
      <w:r w:rsidR="005F6696" w:rsidRPr="00EA1CDA">
        <w:rPr>
          <w:color w:val="000000" w:themeColor="text1"/>
          <w:sz w:val="28"/>
          <w:szCs w:val="28"/>
        </w:rPr>
        <w:t>ordenará</w:t>
      </w:r>
      <w:r w:rsidR="31730643" w:rsidRPr="00EA1CDA">
        <w:rPr>
          <w:color w:val="000000" w:themeColor="text1"/>
          <w:sz w:val="28"/>
          <w:szCs w:val="28"/>
        </w:rPr>
        <w:t xml:space="preserve"> </w:t>
      </w:r>
      <w:r w:rsidR="43806970" w:rsidRPr="00EA1CDA">
        <w:rPr>
          <w:color w:val="000000" w:themeColor="text1"/>
          <w:sz w:val="28"/>
          <w:szCs w:val="28"/>
        </w:rPr>
        <w:t xml:space="preserve">(i) </w:t>
      </w:r>
      <w:r w:rsidR="31730643" w:rsidRPr="00EA1CDA">
        <w:rPr>
          <w:color w:val="000000" w:themeColor="text1"/>
          <w:sz w:val="28"/>
          <w:szCs w:val="28"/>
        </w:rPr>
        <w:t xml:space="preserve">a la </w:t>
      </w:r>
      <w:r w:rsidR="6654D01F" w:rsidRPr="00EA1CDA">
        <w:rPr>
          <w:color w:val="000000" w:themeColor="text1"/>
          <w:sz w:val="28"/>
          <w:szCs w:val="28"/>
        </w:rPr>
        <w:t>Proc</w:t>
      </w:r>
      <w:r w:rsidR="28738305" w:rsidRPr="00EA1CDA">
        <w:rPr>
          <w:color w:val="000000" w:themeColor="text1"/>
          <w:sz w:val="28"/>
          <w:szCs w:val="28"/>
        </w:rPr>
        <w:t>uraduría General de la Nación que</w:t>
      </w:r>
      <w:r w:rsidR="000073CF" w:rsidRPr="00EA1CDA">
        <w:rPr>
          <w:color w:val="000000" w:themeColor="text1"/>
          <w:sz w:val="28"/>
          <w:szCs w:val="28"/>
        </w:rPr>
        <w:t xml:space="preserve"> </w:t>
      </w:r>
      <w:r w:rsidR="005F6696" w:rsidRPr="00EA1CDA">
        <w:rPr>
          <w:color w:val="000000" w:themeColor="text1"/>
          <w:sz w:val="28"/>
          <w:szCs w:val="28"/>
        </w:rPr>
        <w:t>verifique el cumplimiento de las órdenes del presente auto</w:t>
      </w:r>
      <w:r w:rsidR="00DE71C4" w:rsidRPr="00EA1CDA">
        <w:rPr>
          <w:color w:val="000000" w:themeColor="text1"/>
          <w:sz w:val="28"/>
          <w:szCs w:val="28"/>
        </w:rPr>
        <w:t xml:space="preserve"> por parte de </w:t>
      </w:r>
      <w:r w:rsidR="0067182E" w:rsidRPr="00EA1CDA">
        <w:rPr>
          <w:color w:val="000000" w:themeColor="text1"/>
          <w:sz w:val="28"/>
          <w:szCs w:val="28"/>
        </w:rPr>
        <w:t>las EPS, IPS y gestoras farmacéuticas concernidas</w:t>
      </w:r>
      <w:r w:rsidR="00DE71C4" w:rsidRPr="00EA1CDA">
        <w:rPr>
          <w:color w:val="000000" w:themeColor="text1"/>
          <w:sz w:val="28"/>
          <w:szCs w:val="28"/>
        </w:rPr>
        <w:t xml:space="preserve"> </w:t>
      </w:r>
      <w:r w:rsidR="6E1014E9" w:rsidRPr="00EA1CDA">
        <w:rPr>
          <w:color w:val="000000" w:themeColor="text1"/>
          <w:sz w:val="28"/>
          <w:szCs w:val="28"/>
        </w:rPr>
        <w:t xml:space="preserve">y </w:t>
      </w:r>
      <w:r w:rsidR="00624FDA" w:rsidRPr="00EA1CDA">
        <w:rPr>
          <w:color w:val="000000" w:themeColor="text1"/>
          <w:sz w:val="28"/>
          <w:szCs w:val="28"/>
        </w:rPr>
        <w:t xml:space="preserve">que </w:t>
      </w:r>
      <w:r w:rsidR="6E1014E9" w:rsidRPr="00EA1CDA">
        <w:rPr>
          <w:color w:val="000000" w:themeColor="text1"/>
          <w:sz w:val="28"/>
          <w:szCs w:val="28"/>
        </w:rPr>
        <w:t xml:space="preserve">rinda informe </w:t>
      </w:r>
      <w:r w:rsidR="00401D23" w:rsidRPr="00EA1CDA">
        <w:rPr>
          <w:color w:val="000000" w:themeColor="text1"/>
          <w:sz w:val="28"/>
          <w:szCs w:val="28"/>
        </w:rPr>
        <w:t>periódico</w:t>
      </w:r>
      <w:r w:rsidR="00232E5A" w:rsidRPr="00EA1CDA">
        <w:rPr>
          <w:color w:val="000000" w:themeColor="text1"/>
          <w:sz w:val="28"/>
          <w:szCs w:val="28"/>
        </w:rPr>
        <w:t xml:space="preserve"> </w:t>
      </w:r>
      <w:r w:rsidR="00DD486D" w:rsidRPr="00EA1CDA">
        <w:rPr>
          <w:color w:val="000000" w:themeColor="text1"/>
          <w:sz w:val="28"/>
          <w:szCs w:val="28"/>
        </w:rPr>
        <w:t>mensual</w:t>
      </w:r>
      <w:r w:rsidR="00B266D7" w:rsidRPr="00EA1CDA">
        <w:rPr>
          <w:color w:val="000000" w:themeColor="text1"/>
          <w:sz w:val="28"/>
          <w:szCs w:val="28"/>
        </w:rPr>
        <w:t xml:space="preserve"> </w:t>
      </w:r>
      <w:r w:rsidR="6E1014E9" w:rsidRPr="00EA1CDA">
        <w:rPr>
          <w:color w:val="000000" w:themeColor="text1"/>
          <w:sz w:val="28"/>
          <w:szCs w:val="28"/>
        </w:rPr>
        <w:t>sobre su cumplimiento a esta Sala</w:t>
      </w:r>
      <w:r w:rsidR="00232E5A" w:rsidRPr="00EA1CDA">
        <w:rPr>
          <w:color w:val="000000" w:themeColor="text1"/>
          <w:sz w:val="28"/>
          <w:szCs w:val="28"/>
        </w:rPr>
        <w:t xml:space="preserve"> de Revisión</w:t>
      </w:r>
      <w:r w:rsidR="006F1908" w:rsidRPr="00EA1CDA">
        <w:rPr>
          <w:color w:val="000000" w:themeColor="text1"/>
          <w:sz w:val="28"/>
          <w:szCs w:val="28"/>
        </w:rPr>
        <w:t xml:space="preserve">; </w:t>
      </w:r>
      <w:r w:rsidR="45126C00" w:rsidRPr="00EA1CDA">
        <w:rPr>
          <w:color w:val="000000" w:themeColor="text1"/>
          <w:sz w:val="28"/>
          <w:szCs w:val="28"/>
        </w:rPr>
        <w:t>(</w:t>
      </w:r>
      <w:proofErr w:type="spellStart"/>
      <w:r w:rsidR="45126C00" w:rsidRPr="00EA1CDA">
        <w:rPr>
          <w:color w:val="000000" w:themeColor="text1"/>
          <w:sz w:val="28"/>
          <w:szCs w:val="28"/>
        </w:rPr>
        <w:t>ii</w:t>
      </w:r>
      <w:proofErr w:type="spellEnd"/>
      <w:r w:rsidR="45126C00" w:rsidRPr="00EA1CDA">
        <w:rPr>
          <w:color w:val="000000" w:themeColor="text1"/>
          <w:sz w:val="28"/>
          <w:szCs w:val="28"/>
        </w:rPr>
        <w:t xml:space="preserve">) </w:t>
      </w:r>
      <w:r w:rsidR="00C62498" w:rsidRPr="00EA1CDA">
        <w:rPr>
          <w:color w:val="000000" w:themeColor="text1"/>
          <w:sz w:val="28"/>
          <w:szCs w:val="28"/>
        </w:rPr>
        <w:t xml:space="preserve">a </w:t>
      </w:r>
      <w:r w:rsidR="45126C00" w:rsidRPr="00EA1CDA">
        <w:rPr>
          <w:color w:val="000000" w:themeColor="text1"/>
          <w:sz w:val="28"/>
          <w:szCs w:val="28"/>
        </w:rPr>
        <w:t xml:space="preserve">la Defensoría del Pueblo </w:t>
      </w:r>
      <w:r w:rsidR="5A3F2E8A" w:rsidRPr="00EA1CDA">
        <w:rPr>
          <w:color w:val="000000" w:themeColor="text1"/>
          <w:sz w:val="28"/>
          <w:szCs w:val="28"/>
        </w:rPr>
        <w:t>que,</w:t>
      </w:r>
      <w:r w:rsidR="45126C00" w:rsidRPr="00EA1CDA">
        <w:rPr>
          <w:color w:val="000000" w:themeColor="text1"/>
          <w:sz w:val="28"/>
          <w:szCs w:val="28"/>
        </w:rPr>
        <w:t xml:space="preserve"> </w:t>
      </w:r>
      <w:r w:rsidR="65DA70DA" w:rsidRPr="00EA1CDA">
        <w:rPr>
          <w:color w:val="000000" w:themeColor="text1"/>
          <w:sz w:val="28"/>
          <w:szCs w:val="28"/>
        </w:rPr>
        <w:t>en cumplimiento de s</w:t>
      </w:r>
      <w:r w:rsidR="3F4FA842" w:rsidRPr="00EA1CDA">
        <w:rPr>
          <w:color w:val="000000" w:themeColor="text1"/>
          <w:sz w:val="28"/>
          <w:szCs w:val="28"/>
        </w:rPr>
        <w:t xml:space="preserve">u labor </w:t>
      </w:r>
      <w:r w:rsidR="1DD23DB6" w:rsidRPr="00EA1CDA">
        <w:rPr>
          <w:color w:val="000000" w:themeColor="text1"/>
          <w:sz w:val="28"/>
          <w:szCs w:val="28"/>
        </w:rPr>
        <w:t xml:space="preserve">de </w:t>
      </w:r>
      <w:r w:rsidR="00043A4A" w:rsidRPr="00EA1CDA">
        <w:rPr>
          <w:color w:val="000000" w:themeColor="text1"/>
          <w:sz w:val="28"/>
          <w:szCs w:val="28"/>
        </w:rPr>
        <w:t xml:space="preserve">promoción, </w:t>
      </w:r>
      <w:r w:rsidR="3AAF4E4E" w:rsidRPr="00EA1CDA">
        <w:rPr>
          <w:color w:val="000000" w:themeColor="text1"/>
          <w:sz w:val="28"/>
          <w:szCs w:val="28"/>
        </w:rPr>
        <w:t xml:space="preserve">protección y garantía de los derechos humanos, </w:t>
      </w:r>
      <w:r w:rsidR="00DE71C4" w:rsidRPr="00EA1CDA">
        <w:rPr>
          <w:color w:val="000000" w:themeColor="text1"/>
          <w:sz w:val="28"/>
          <w:szCs w:val="28"/>
        </w:rPr>
        <w:t>acompañe</w:t>
      </w:r>
      <w:r w:rsidR="1DD23DB6" w:rsidRPr="00EA1CDA">
        <w:rPr>
          <w:color w:val="000000" w:themeColor="text1"/>
          <w:sz w:val="28"/>
          <w:szCs w:val="28"/>
        </w:rPr>
        <w:t xml:space="preserve"> a los </w:t>
      </w:r>
      <w:r w:rsidR="00B11006" w:rsidRPr="00EA1CDA">
        <w:rPr>
          <w:color w:val="000000" w:themeColor="text1"/>
          <w:sz w:val="28"/>
          <w:szCs w:val="28"/>
        </w:rPr>
        <w:t>accionantes</w:t>
      </w:r>
      <w:r w:rsidR="00607D76" w:rsidRPr="00EA1CDA">
        <w:rPr>
          <w:color w:val="000000" w:themeColor="text1"/>
          <w:sz w:val="28"/>
          <w:szCs w:val="28"/>
        </w:rPr>
        <w:t xml:space="preserve"> durante el trámite de revisión</w:t>
      </w:r>
      <w:r w:rsidR="00B11006" w:rsidRPr="00EA1CDA">
        <w:rPr>
          <w:color w:val="000000" w:themeColor="text1"/>
          <w:sz w:val="28"/>
          <w:szCs w:val="28"/>
        </w:rPr>
        <w:t xml:space="preserve"> </w:t>
      </w:r>
      <w:r w:rsidR="004E655D" w:rsidRPr="00EA1CDA">
        <w:rPr>
          <w:color w:val="000000" w:themeColor="text1"/>
          <w:sz w:val="28"/>
          <w:szCs w:val="28"/>
        </w:rPr>
        <w:t xml:space="preserve">y refiera a esta </w:t>
      </w:r>
      <w:r w:rsidR="00D30939" w:rsidRPr="00EA1CDA">
        <w:rPr>
          <w:color w:val="000000" w:themeColor="text1"/>
          <w:sz w:val="28"/>
          <w:szCs w:val="28"/>
        </w:rPr>
        <w:t>C</w:t>
      </w:r>
      <w:r w:rsidR="004E655D" w:rsidRPr="00EA1CDA">
        <w:rPr>
          <w:color w:val="000000" w:themeColor="text1"/>
          <w:sz w:val="28"/>
          <w:szCs w:val="28"/>
        </w:rPr>
        <w:t xml:space="preserve">orporación cualquier </w:t>
      </w:r>
      <w:r w:rsidR="00393210" w:rsidRPr="00EA1CDA">
        <w:rPr>
          <w:color w:val="000000" w:themeColor="text1"/>
          <w:sz w:val="28"/>
          <w:szCs w:val="28"/>
        </w:rPr>
        <w:t>incumplimiento</w:t>
      </w:r>
      <w:r w:rsidR="004E655D" w:rsidRPr="00EA1CDA">
        <w:rPr>
          <w:color w:val="000000" w:themeColor="text1"/>
          <w:sz w:val="28"/>
          <w:szCs w:val="28"/>
        </w:rPr>
        <w:t xml:space="preserve"> o evolución </w:t>
      </w:r>
      <w:r w:rsidR="00D16033" w:rsidRPr="00EA1CDA">
        <w:rPr>
          <w:color w:val="000000" w:themeColor="text1"/>
          <w:sz w:val="28"/>
          <w:szCs w:val="28"/>
        </w:rPr>
        <w:t>de</w:t>
      </w:r>
      <w:r w:rsidR="00AC6364" w:rsidRPr="00EA1CDA">
        <w:rPr>
          <w:color w:val="000000" w:themeColor="text1"/>
          <w:sz w:val="28"/>
          <w:szCs w:val="28"/>
        </w:rPr>
        <w:t xml:space="preserve"> </w:t>
      </w:r>
      <w:r w:rsidR="004E655D" w:rsidRPr="00EA1CDA">
        <w:rPr>
          <w:color w:val="000000" w:themeColor="text1"/>
          <w:sz w:val="28"/>
          <w:szCs w:val="28"/>
        </w:rPr>
        <w:t>los hechos de cada caso concreto</w:t>
      </w:r>
      <w:r w:rsidR="058EB133" w:rsidRPr="00EA1CDA">
        <w:rPr>
          <w:color w:val="000000" w:themeColor="text1"/>
          <w:sz w:val="28"/>
          <w:szCs w:val="28"/>
        </w:rPr>
        <w:t>,</w:t>
      </w:r>
      <w:r w:rsidR="2500DDE8" w:rsidRPr="00EA1CDA">
        <w:rPr>
          <w:color w:val="000000" w:themeColor="text1"/>
          <w:sz w:val="28"/>
          <w:szCs w:val="28"/>
        </w:rPr>
        <w:t xml:space="preserve"> </w:t>
      </w:r>
      <w:r w:rsidR="0D39F056" w:rsidRPr="00EA1CDA">
        <w:rPr>
          <w:color w:val="000000" w:themeColor="text1"/>
          <w:sz w:val="28"/>
          <w:szCs w:val="28"/>
        </w:rPr>
        <w:t>y presente el correspondiente informe de cumplimiento</w:t>
      </w:r>
      <w:r w:rsidR="00AC6364" w:rsidRPr="00EA1CDA">
        <w:rPr>
          <w:color w:val="000000" w:themeColor="text1"/>
          <w:sz w:val="28"/>
          <w:szCs w:val="28"/>
        </w:rPr>
        <w:t xml:space="preserve"> de forma mensual</w:t>
      </w:r>
      <w:r w:rsidR="617E42A6" w:rsidRPr="00EA1CDA">
        <w:rPr>
          <w:color w:val="000000" w:themeColor="text1"/>
          <w:sz w:val="28"/>
          <w:szCs w:val="28"/>
        </w:rPr>
        <w:t xml:space="preserve">. </w:t>
      </w:r>
      <w:r w:rsidR="00D16033" w:rsidRPr="00EA1CDA">
        <w:rPr>
          <w:color w:val="000000" w:themeColor="text1"/>
          <w:sz w:val="28"/>
          <w:szCs w:val="28"/>
        </w:rPr>
        <w:t xml:space="preserve">Para ello deberá establecer contacto directo </w:t>
      </w:r>
      <w:r w:rsidR="00921DA4" w:rsidRPr="00EA1CDA">
        <w:rPr>
          <w:color w:val="000000" w:themeColor="text1"/>
          <w:sz w:val="28"/>
          <w:szCs w:val="28"/>
        </w:rPr>
        <w:t xml:space="preserve">y permanente </w:t>
      </w:r>
      <w:r w:rsidR="00D16033" w:rsidRPr="00EA1CDA">
        <w:rPr>
          <w:color w:val="000000" w:themeColor="text1"/>
          <w:sz w:val="28"/>
          <w:szCs w:val="28"/>
        </w:rPr>
        <w:t>con los accionantes</w:t>
      </w:r>
      <w:r w:rsidR="00921DA4" w:rsidRPr="00EA1CDA">
        <w:rPr>
          <w:color w:val="000000" w:themeColor="text1"/>
          <w:sz w:val="28"/>
          <w:szCs w:val="28"/>
        </w:rPr>
        <w:t xml:space="preserve">, o </w:t>
      </w:r>
      <w:r w:rsidR="009D6D5F" w:rsidRPr="00EA1CDA">
        <w:rPr>
          <w:color w:val="000000" w:themeColor="text1"/>
          <w:sz w:val="28"/>
          <w:szCs w:val="28"/>
        </w:rPr>
        <w:t xml:space="preserve">con </w:t>
      </w:r>
      <w:r w:rsidR="00921DA4" w:rsidRPr="00EA1CDA">
        <w:rPr>
          <w:color w:val="000000" w:themeColor="text1"/>
          <w:sz w:val="28"/>
          <w:szCs w:val="28"/>
        </w:rPr>
        <w:t>quienes los representen o agencien</w:t>
      </w:r>
      <w:r w:rsidR="00B70F1C" w:rsidRPr="00EA1CDA">
        <w:rPr>
          <w:color w:val="000000" w:themeColor="text1"/>
          <w:sz w:val="28"/>
          <w:szCs w:val="28"/>
        </w:rPr>
        <w:t xml:space="preserve">; </w:t>
      </w:r>
      <w:r w:rsidR="00414C1D" w:rsidRPr="00EA1CDA">
        <w:rPr>
          <w:color w:val="000000" w:themeColor="text1"/>
          <w:sz w:val="28"/>
          <w:szCs w:val="28"/>
        </w:rPr>
        <w:t>y (</w:t>
      </w:r>
      <w:proofErr w:type="spellStart"/>
      <w:r w:rsidR="00414C1D" w:rsidRPr="00EA1CDA">
        <w:rPr>
          <w:color w:val="000000" w:themeColor="text1"/>
          <w:sz w:val="28"/>
          <w:szCs w:val="28"/>
        </w:rPr>
        <w:t>iii</w:t>
      </w:r>
      <w:proofErr w:type="spellEnd"/>
      <w:r w:rsidR="00414C1D" w:rsidRPr="00EA1CDA">
        <w:rPr>
          <w:color w:val="000000" w:themeColor="text1"/>
          <w:sz w:val="28"/>
          <w:szCs w:val="28"/>
        </w:rPr>
        <w:t>) a la Superintendencia Nacional de Salud que, en el marco de sus funciones de inspección, vigilancia y control, supervise de manera urgente el cumplimiento de las órdenes contenidas en esta providencia, en lo relacionado con la entrega de medicamentos. Asimismo, deberá habilitar canales de seguimiento que garanticen la efectiva ejecución de dichas órdenes, con el fin de asegurar que los accionantes reciban los medicamentos prescritos por sus médicos tratantes, mientras se profiere una decisión definitiva</w:t>
      </w:r>
      <w:r w:rsidR="00A24203" w:rsidRPr="00EA1CDA">
        <w:rPr>
          <w:color w:val="000000" w:themeColor="text1"/>
          <w:sz w:val="28"/>
          <w:szCs w:val="28"/>
        </w:rPr>
        <w:t xml:space="preserve"> en el asunto de la referencia</w:t>
      </w:r>
      <w:r w:rsidR="00414C1D" w:rsidRPr="00EA1CDA">
        <w:rPr>
          <w:color w:val="000000" w:themeColor="text1"/>
          <w:sz w:val="28"/>
          <w:szCs w:val="28"/>
        </w:rPr>
        <w:t>. Sobre lo anterior, deberá remitir a esta Sala de Revisión un informe mensual periódico.</w:t>
      </w:r>
    </w:p>
    <w:p w14:paraId="6A66AEE9" w14:textId="23036685" w:rsidR="009D6D5F" w:rsidRPr="00EA1CDA" w:rsidRDefault="009D6D5F" w:rsidP="00414C1D">
      <w:pPr>
        <w:widowControl w:val="0"/>
        <w:pBdr>
          <w:top w:val="nil"/>
          <w:left w:val="nil"/>
          <w:bottom w:val="nil"/>
          <w:right w:val="nil"/>
          <w:between w:val="nil"/>
        </w:pBdr>
        <w:tabs>
          <w:tab w:val="left" w:pos="426"/>
          <w:tab w:val="left" w:pos="567"/>
        </w:tabs>
        <w:ind w:right="140"/>
        <w:jc w:val="both"/>
        <w:rPr>
          <w:color w:val="000000"/>
          <w:sz w:val="28"/>
          <w:szCs w:val="28"/>
        </w:rPr>
      </w:pPr>
    </w:p>
    <w:p w14:paraId="1A3EB4D1" w14:textId="52932DB9" w:rsidR="006E22E7" w:rsidRPr="00EA1CDA" w:rsidRDefault="006E22E7" w:rsidP="006E22E7">
      <w:pPr>
        <w:pBdr>
          <w:top w:val="nil"/>
          <w:left w:val="nil"/>
          <w:bottom w:val="nil"/>
          <w:right w:val="nil"/>
          <w:between w:val="nil"/>
        </w:pBdr>
        <w:jc w:val="both"/>
        <w:rPr>
          <w:b/>
          <w:bCs/>
          <w:color w:val="000000"/>
          <w:sz w:val="28"/>
          <w:szCs w:val="28"/>
        </w:rPr>
      </w:pPr>
      <w:r w:rsidRPr="00EA1CDA">
        <w:rPr>
          <w:b/>
          <w:bCs/>
          <w:color w:val="000000"/>
          <w:sz w:val="28"/>
          <w:szCs w:val="28"/>
        </w:rPr>
        <w:t>3.</w:t>
      </w:r>
      <w:r w:rsidR="00616DBF" w:rsidRPr="00EA1CDA">
        <w:rPr>
          <w:b/>
          <w:bCs/>
          <w:color w:val="000000"/>
          <w:sz w:val="28"/>
          <w:szCs w:val="28"/>
        </w:rPr>
        <w:t>2</w:t>
      </w:r>
      <w:r w:rsidRPr="00EA1CDA">
        <w:rPr>
          <w:b/>
          <w:bCs/>
          <w:color w:val="000000"/>
          <w:sz w:val="28"/>
          <w:szCs w:val="28"/>
        </w:rPr>
        <w:t>. Suspensión de los términos judiciales</w:t>
      </w:r>
    </w:p>
    <w:p w14:paraId="3D44FA2F" w14:textId="77777777" w:rsidR="006E22E7" w:rsidRPr="00EA1CDA" w:rsidRDefault="006E22E7">
      <w:pPr>
        <w:pBdr>
          <w:top w:val="nil"/>
          <w:left w:val="nil"/>
          <w:bottom w:val="nil"/>
          <w:right w:val="nil"/>
          <w:between w:val="nil"/>
        </w:pBdr>
        <w:jc w:val="both"/>
        <w:rPr>
          <w:color w:val="000000"/>
          <w:sz w:val="28"/>
          <w:szCs w:val="28"/>
        </w:rPr>
      </w:pPr>
    </w:p>
    <w:p w14:paraId="6EE6613E" w14:textId="01AA6AC1" w:rsidR="00600EE1" w:rsidRPr="00EA1CDA" w:rsidRDefault="00551339">
      <w:pPr>
        <w:widowControl w:val="0"/>
        <w:numPr>
          <w:ilvl w:val="0"/>
          <w:numId w:val="1"/>
        </w:numPr>
        <w:pBdr>
          <w:top w:val="nil"/>
          <w:left w:val="nil"/>
          <w:bottom w:val="nil"/>
          <w:right w:val="nil"/>
          <w:between w:val="nil"/>
        </w:pBdr>
        <w:tabs>
          <w:tab w:val="left" w:pos="426"/>
          <w:tab w:val="left" w:pos="567"/>
        </w:tabs>
        <w:ind w:right="140"/>
        <w:jc w:val="both"/>
      </w:pPr>
      <w:r w:rsidRPr="00EA1CDA">
        <w:rPr>
          <w:color w:val="000000"/>
          <w:sz w:val="28"/>
          <w:szCs w:val="28"/>
        </w:rPr>
        <w:t xml:space="preserve">La Sala Segunda de Revisión considera que en el expediente de la referencia se configuran los presupuestos para proceder a la suspensión excepcional de los términos judiciales. En primer lugar, la documentación que existe en los expedientes digitales evidencia que se trata de un asunto complejo por la naturaleza de las afectaciones al derecho fundamental a la salud, a la </w:t>
      </w:r>
      <w:r w:rsidRPr="00EA1CDA">
        <w:rPr>
          <w:color w:val="000000"/>
          <w:sz w:val="28"/>
          <w:szCs w:val="28"/>
        </w:rPr>
        <w:lastRenderedPageBreak/>
        <w:t>vida y a la dignidad humana de los accionantes. Por otra parte, los hechos relatados por los actores sugieren la existencia de asuntos estructurales en el sistema general de seguridad social en salud que ameritan revisar con detenimiento las acciones,</w:t>
      </w:r>
      <w:r w:rsidR="00624FDA" w:rsidRPr="00EA1CDA">
        <w:rPr>
          <w:color w:val="000000"/>
          <w:sz w:val="28"/>
          <w:szCs w:val="28"/>
        </w:rPr>
        <w:t xml:space="preserve"> así como sus</w:t>
      </w:r>
      <w:r w:rsidRPr="00EA1CDA">
        <w:rPr>
          <w:color w:val="000000"/>
          <w:sz w:val="28"/>
          <w:szCs w:val="28"/>
        </w:rPr>
        <w:t xml:space="preserve"> causas y </w:t>
      </w:r>
      <w:r w:rsidR="00624FDA" w:rsidRPr="00EA1CDA">
        <w:rPr>
          <w:color w:val="000000"/>
          <w:sz w:val="28"/>
          <w:szCs w:val="28"/>
        </w:rPr>
        <w:t xml:space="preserve">las </w:t>
      </w:r>
      <w:r w:rsidRPr="00EA1CDA">
        <w:rPr>
          <w:color w:val="000000"/>
          <w:sz w:val="28"/>
          <w:szCs w:val="28"/>
        </w:rPr>
        <w:t>circunstancias que pued</w:t>
      </w:r>
      <w:r w:rsidR="00624FDA" w:rsidRPr="00EA1CDA">
        <w:rPr>
          <w:color w:val="000000"/>
          <w:sz w:val="28"/>
          <w:szCs w:val="28"/>
        </w:rPr>
        <w:t>a</w:t>
      </w:r>
      <w:r w:rsidRPr="00EA1CDA">
        <w:rPr>
          <w:color w:val="000000"/>
          <w:sz w:val="28"/>
          <w:szCs w:val="28"/>
        </w:rPr>
        <w:t>n estar incidiendo en la posible vulneración de los derechos fundamentales no sólo de los accionantes en el presente asunto, sino en general de los usuarios del sistema, de conformidad con las decisiones de la Corte Constitucional en materia de salud</w:t>
      </w:r>
      <w:r w:rsidRPr="00EA1CDA">
        <w:rPr>
          <w:color w:val="000000"/>
          <w:sz w:val="28"/>
          <w:szCs w:val="28"/>
          <w:vertAlign w:val="superscript"/>
        </w:rPr>
        <w:footnoteReference w:id="58"/>
      </w:r>
      <w:r w:rsidRPr="00EA1CDA">
        <w:rPr>
          <w:color w:val="000000"/>
          <w:sz w:val="28"/>
          <w:szCs w:val="28"/>
        </w:rPr>
        <w:t xml:space="preserve">. </w:t>
      </w:r>
    </w:p>
    <w:p w14:paraId="55556342" w14:textId="77777777" w:rsidR="007D2582" w:rsidRPr="00EA1CDA" w:rsidRDefault="007D2582">
      <w:pPr>
        <w:widowControl w:val="0"/>
        <w:pBdr>
          <w:top w:val="nil"/>
          <w:left w:val="nil"/>
          <w:bottom w:val="nil"/>
          <w:right w:val="nil"/>
          <w:between w:val="nil"/>
        </w:pBdr>
        <w:jc w:val="both"/>
        <w:rPr>
          <w:color w:val="000000"/>
          <w:sz w:val="28"/>
          <w:szCs w:val="28"/>
        </w:rPr>
      </w:pPr>
    </w:p>
    <w:p w14:paraId="6EE66140" w14:textId="49BFFDDA" w:rsidR="00600EE1" w:rsidRPr="00EA1CDA" w:rsidRDefault="00551339">
      <w:pPr>
        <w:widowControl w:val="0"/>
        <w:numPr>
          <w:ilvl w:val="0"/>
          <w:numId w:val="1"/>
        </w:numPr>
        <w:pBdr>
          <w:top w:val="nil"/>
          <w:left w:val="nil"/>
          <w:bottom w:val="nil"/>
          <w:right w:val="nil"/>
          <w:between w:val="nil"/>
        </w:pBdr>
        <w:tabs>
          <w:tab w:val="left" w:pos="426"/>
          <w:tab w:val="left" w:pos="567"/>
        </w:tabs>
        <w:ind w:right="140"/>
        <w:jc w:val="both"/>
      </w:pPr>
      <w:r w:rsidRPr="00EA1CDA">
        <w:rPr>
          <w:color w:val="000000"/>
          <w:sz w:val="28"/>
          <w:szCs w:val="28"/>
        </w:rPr>
        <w:t xml:space="preserve">Adicionalmente, el decreto de pruebas </w:t>
      </w:r>
      <w:r w:rsidR="00624FDA" w:rsidRPr="00EA1CDA">
        <w:rPr>
          <w:color w:val="000000"/>
          <w:sz w:val="28"/>
          <w:szCs w:val="28"/>
        </w:rPr>
        <w:t xml:space="preserve">efectuado </w:t>
      </w:r>
      <w:r w:rsidRPr="00EA1CDA">
        <w:rPr>
          <w:color w:val="000000"/>
          <w:sz w:val="28"/>
          <w:szCs w:val="28"/>
        </w:rPr>
        <w:t xml:space="preserve">hasta el momento en el caso </w:t>
      </w:r>
      <w:r w:rsidR="00624FDA" w:rsidRPr="00EA1CDA">
        <w:rPr>
          <w:color w:val="000000"/>
          <w:sz w:val="28"/>
          <w:szCs w:val="28"/>
        </w:rPr>
        <w:t xml:space="preserve">acumulado </w:t>
      </w:r>
      <w:r w:rsidRPr="00EA1CDA">
        <w:rPr>
          <w:color w:val="000000"/>
          <w:sz w:val="28"/>
          <w:szCs w:val="28"/>
        </w:rPr>
        <w:t>bajo estudio implica un recaudo de información de especial volumen</w:t>
      </w:r>
      <w:r w:rsidR="00624FDA" w:rsidRPr="00EA1CDA">
        <w:rPr>
          <w:color w:val="000000"/>
          <w:sz w:val="28"/>
          <w:szCs w:val="28"/>
        </w:rPr>
        <w:t xml:space="preserve"> y complejidad</w:t>
      </w:r>
      <w:r w:rsidRPr="00EA1CDA">
        <w:rPr>
          <w:color w:val="000000"/>
          <w:sz w:val="28"/>
          <w:szCs w:val="28"/>
        </w:rPr>
        <w:t xml:space="preserve">, que demanda su </w:t>
      </w:r>
      <w:r w:rsidR="00897A31" w:rsidRPr="00EA1CDA">
        <w:rPr>
          <w:color w:val="000000"/>
          <w:sz w:val="28"/>
          <w:szCs w:val="28"/>
        </w:rPr>
        <w:t>recopilación</w:t>
      </w:r>
      <w:r w:rsidR="00077489" w:rsidRPr="00EA1CDA">
        <w:rPr>
          <w:color w:val="000000"/>
          <w:sz w:val="28"/>
          <w:szCs w:val="28"/>
        </w:rPr>
        <w:t xml:space="preserve"> y </w:t>
      </w:r>
      <w:r w:rsidRPr="00EA1CDA">
        <w:rPr>
          <w:color w:val="000000"/>
          <w:sz w:val="28"/>
          <w:szCs w:val="28"/>
        </w:rPr>
        <w:t xml:space="preserve">detallado análisis, además de la sistematización, medición y comparación de los datos. </w:t>
      </w:r>
      <w:r w:rsidR="00257E57" w:rsidRPr="00EA1CDA">
        <w:rPr>
          <w:color w:val="000000"/>
          <w:sz w:val="28"/>
          <w:szCs w:val="28"/>
        </w:rPr>
        <w:t xml:space="preserve">Al respecto, cabe resaltar que para el </w:t>
      </w:r>
      <w:r w:rsidR="00CD0C4F" w:rsidRPr="00EA1CDA">
        <w:rPr>
          <w:color w:val="000000"/>
          <w:sz w:val="28"/>
          <w:szCs w:val="28"/>
        </w:rPr>
        <w:t>2</w:t>
      </w:r>
      <w:r w:rsidR="00257E57" w:rsidRPr="00EA1CDA">
        <w:rPr>
          <w:color w:val="000000"/>
          <w:sz w:val="28"/>
          <w:szCs w:val="28"/>
        </w:rPr>
        <w:t xml:space="preserve">1 de abril de </w:t>
      </w:r>
      <w:r w:rsidR="0026276B" w:rsidRPr="00EA1CDA">
        <w:rPr>
          <w:color w:val="000000"/>
          <w:sz w:val="28"/>
          <w:szCs w:val="28"/>
        </w:rPr>
        <w:t>202</w:t>
      </w:r>
      <w:r w:rsidR="003309BD" w:rsidRPr="00EA1CDA">
        <w:rPr>
          <w:color w:val="000000"/>
          <w:sz w:val="28"/>
          <w:szCs w:val="28"/>
        </w:rPr>
        <w:t>5</w:t>
      </w:r>
      <w:r w:rsidR="0026276B" w:rsidRPr="00EA1CDA">
        <w:rPr>
          <w:color w:val="000000"/>
          <w:sz w:val="28"/>
          <w:szCs w:val="28"/>
        </w:rPr>
        <w:t xml:space="preserve"> </w:t>
      </w:r>
      <w:r w:rsidR="00A96532" w:rsidRPr="00EA1CDA">
        <w:rPr>
          <w:color w:val="000000"/>
          <w:sz w:val="28"/>
          <w:szCs w:val="28"/>
        </w:rPr>
        <w:t>no se había</w:t>
      </w:r>
      <w:r w:rsidR="003E18C7" w:rsidRPr="00EA1CDA">
        <w:rPr>
          <w:color w:val="000000"/>
          <w:sz w:val="28"/>
          <w:szCs w:val="28"/>
        </w:rPr>
        <w:t xml:space="preserve"> </w:t>
      </w:r>
      <w:r w:rsidR="00A96532" w:rsidRPr="00EA1CDA">
        <w:rPr>
          <w:color w:val="000000"/>
          <w:sz w:val="28"/>
          <w:szCs w:val="28"/>
        </w:rPr>
        <w:t>allegado</w:t>
      </w:r>
      <w:r w:rsidR="003E18C7" w:rsidRPr="00EA1CDA">
        <w:rPr>
          <w:color w:val="000000"/>
          <w:sz w:val="28"/>
          <w:szCs w:val="28"/>
        </w:rPr>
        <w:t xml:space="preserve"> todo el material probatorio </w:t>
      </w:r>
      <w:r w:rsidR="00F91FEA" w:rsidRPr="00EA1CDA">
        <w:rPr>
          <w:color w:val="000000"/>
          <w:sz w:val="28"/>
          <w:szCs w:val="28"/>
        </w:rPr>
        <w:t>requerido</w:t>
      </w:r>
      <w:r w:rsidR="003309BD" w:rsidRPr="00EA1CDA">
        <w:rPr>
          <w:color w:val="000000"/>
          <w:sz w:val="28"/>
          <w:szCs w:val="28"/>
        </w:rPr>
        <w:t xml:space="preserve"> en </w:t>
      </w:r>
      <w:r w:rsidR="00CD0C4F" w:rsidRPr="00EA1CDA">
        <w:rPr>
          <w:color w:val="000000"/>
          <w:sz w:val="28"/>
          <w:szCs w:val="28"/>
        </w:rPr>
        <w:t>los autos</w:t>
      </w:r>
      <w:r w:rsidR="003309BD" w:rsidRPr="00EA1CDA">
        <w:rPr>
          <w:color w:val="000000"/>
          <w:sz w:val="28"/>
          <w:szCs w:val="28"/>
        </w:rPr>
        <w:t xml:space="preserve"> del 17 de marzo</w:t>
      </w:r>
      <w:r w:rsidR="00CD0C4F" w:rsidRPr="00EA1CDA">
        <w:rPr>
          <w:color w:val="000000"/>
          <w:sz w:val="28"/>
          <w:szCs w:val="28"/>
        </w:rPr>
        <w:t xml:space="preserve"> y 3 de abril</w:t>
      </w:r>
      <w:r w:rsidR="003309BD" w:rsidRPr="00EA1CDA">
        <w:rPr>
          <w:color w:val="000000"/>
          <w:sz w:val="28"/>
          <w:szCs w:val="28"/>
        </w:rPr>
        <w:t xml:space="preserve"> de 2</w:t>
      </w:r>
      <w:r w:rsidR="00116282" w:rsidRPr="00EA1CDA">
        <w:rPr>
          <w:color w:val="000000"/>
          <w:sz w:val="28"/>
          <w:szCs w:val="28"/>
        </w:rPr>
        <w:t>025</w:t>
      </w:r>
      <w:r w:rsidR="00B96F38" w:rsidRPr="00EA1CDA">
        <w:rPr>
          <w:color w:val="000000"/>
          <w:sz w:val="28"/>
          <w:szCs w:val="28"/>
        </w:rPr>
        <w:t xml:space="preserve"> </w:t>
      </w:r>
      <w:r w:rsidR="00040F49" w:rsidRPr="00EA1CDA">
        <w:rPr>
          <w:color w:val="000000"/>
          <w:sz w:val="28"/>
          <w:szCs w:val="28"/>
        </w:rPr>
        <w:t>y que</w:t>
      </w:r>
      <w:r w:rsidR="00776450" w:rsidRPr="00EA1CDA">
        <w:rPr>
          <w:color w:val="000000"/>
          <w:sz w:val="28"/>
          <w:szCs w:val="28"/>
        </w:rPr>
        <w:t xml:space="preserve"> </w:t>
      </w:r>
      <w:r w:rsidR="00116282" w:rsidRPr="00EA1CDA">
        <w:rPr>
          <w:color w:val="000000"/>
          <w:sz w:val="28"/>
          <w:szCs w:val="28"/>
        </w:rPr>
        <w:t xml:space="preserve">algunas </w:t>
      </w:r>
      <w:r w:rsidR="00732759" w:rsidRPr="00EA1CDA">
        <w:rPr>
          <w:color w:val="000000"/>
          <w:sz w:val="28"/>
          <w:szCs w:val="28"/>
        </w:rPr>
        <w:t xml:space="preserve">de las </w:t>
      </w:r>
      <w:r w:rsidR="00116282" w:rsidRPr="00EA1CDA">
        <w:rPr>
          <w:color w:val="000000"/>
          <w:sz w:val="28"/>
          <w:szCs w:val="28"/>
        </w:rPr>
        <w:t>entidades</w:t>
      </w:r>
      <w:r w:rsidR="00732759" w:rsidRPr="00EA1CDA">
        <w:rPr>
          <w:color w:val="000000"/>
          <w:sz w:val="28"/>
          <w:szCs w:val="28"/>
        </w:rPr>
        <w:t xml:space="preserve"> oficiadas</w:t>
      </w:r>
      <w:r w:rsidR="00116282" w:rsidRPr="00EA1CDA">
        <w:rPr>
          <w:color w:val="000000"/>
          <w:sz w:val="28"/>
          <w:szCs w:val="28"/>
        </w:rPr>
        <w:t xml:space="preserve"> </w:t>
      </w:r>
      <w:r w:rsidR="00D76C09" w:rsidRPr="00EA1CDA">
        <w:rPr>
          <w:color w:val="000000"/>
          <w:sz w:val="28"/>
          <w:szCs w:val="28"/>
        </w:rPr>
        <w:t xml:space="preserve">solicitaron ampliación de los términos </w:t>
      </w:r>
      <w:r w:rsidR="00FB07D6" w:rsidRPr="00EA1CDA">
        <w:rPr>
          <w:color w:val="000000"/>
          <w:sz w:val="28"/>
          <w:szCs w:val="28"/>
        </w:rPr>
        <w:t xml:space="preserve">de las </w:t>
      </w:r>
      <w:r w:rsidR="00AB5DFC" w:rsidRPr="00EA1CDA">
        <w:rPr>
          <w:color w:val="000000"/>
          <w:sz w:val="28"/>
          <w:szCs w:val="28"/>
        </w:rPr>
        <w:t>ó</w:t>
      </w:r>
      <w:r w:rsidR="00FB07D6" w:rsidRPr="00EA1CDA">
        <w:rPr>
          <w:color w:val="000000"/>
          <w:sz w:val="28"/>
          <w:szCs w:val="28"/>
        </w:rPr>
        <w:t xml:space="preserve">rdenes </w:t>
      </w:r>
      <w:r w:rsidR="004D0291" w:rsidRPr="00EA1CDA">
        <w:rPr>
          <w:color w:val="000000"/>
          <w:sz w:val="28"/>
          <w:szCs w:val="28"/>
        </w:rPr>
        <w:t>allí dispuestas.</w:t>
      </w:r>
      <w:r w:rsidR="00776450" w:rsidRPr="00EA1CDA">
        <w:rPr>
          <w:color w:val="000000"/>
          <w:sz w:val="28"/>
          <w:szCs w:val="28"/>
        </w:rPr>
        <w:t xml:space="preserve"> </w:t>
      </w:r>
      <w:r w:rsidR="00A8322E" w:rsidRPr="00EA1CDA">
        <w:rPr>
          <w:color w:val="000000"/>
          <w:sz w:val="28"/>
          <w:szCs w:val="28"/>
        </w:rPr>
        <w:t>Por lo tanto</w:t>
      </w:r>
      <w:r w:rsidRPr="00EA1CDA">
        <w:rPr>
          <w:color w:val="000000"/>
          <w:sz w:val="28"/>
          <w:szCs w:val="28"/>
        </w:rPr>
        <w:t>, es necesario garantizar respecto de las pruebas decretadas</w:t>
      </w:r>
      <w:r w:rsidR="00624FDA" w:rsidRPr="00EA1CDA">
        <w:rPr>
          <w:color w:val="000000"/>
          <w:sz w:val="28"/>
          <w:szCs w:val="28"/>
        </w:rPr>
        <w:t xml:space="preserve"> y recaudadas</w:t>
      </w:r>
      <w:r w:rsidRPr="00EA1CDA">
        <w:rPr>
          <w:color w:val="000000"/>
          <w:sz w:val="28"/>
          <w:szCs w:val="28"/>
        </w:rPr>
        <w:t>, el derecho de contradicción de las partes</w:t>
      </w:r>
      <w:r w:rsidR="002F642B" w:rsidRPr="00EA1CDA">
        <w:rPr>
          <w:color w:val="000000"/>
          <w:sz w:val="28"/>
          <w:szCs w:val="28"/>
        </w:rPr>
        <w:t xml:space="preserve"> y, </w:t>
      </w:r>
      <w:r w:rsidRPr="00EA1CDA">
        <w:rPr>
          <w:color w:val="000000"/>
          <w:sz w:val="28"/>
          <w:szCs w:val="28"/>
        </w:rPr>
        <w:t xml:space="preserve">la oportunidad en la recepción y recaudo de la información. </w:t>
      </w:r>
    </w:p>
    <w:p w14:paraId="3FAE8DD7" w14:textId="77777777" w:rsidR="007D2582" w:rsidRPr="00EA1CDA" w:rsidRDefault="007D2582">
      <w:pPr>
        <w:widowControl w:val="0"/>
        <w:pBdr>
          <w:top w:val="nil"/>
          <w:left w:val="nil"/>
          <w:bottom w:val="nil"/>
          <w:right w:val="nil"/>
          <w:between w:val="nil"/>
        </w:pBdr>
        <w:tabs>
          <w:tab w:val="left" w:pos="426"/>
          <w:tab w:val="left" w:pos="567"/>
        </w:tabs>
        <w:ind w:right="140"/>
        <w:jc w:val="both"/>
        <w:rPr>
          <w:color w:val="000000"/>
          <w:sz w:val="28"/>
          <w:szCs w:val="28"/>
        </w:rPr>
      </w:pPr>
    </w:p>
    <w:p w14:paraId="15DCB3E7" w14:textId="6315FFA1" w:rsidR="00FC77DF" w:rsidRPr="00EA1CDA" w:rsidRDefault="00551339" w:rsidP="00EF76EE">
      <w:pPr>
        <w:widowControl w:val="0"/>
        <w:numPr>
          <w:ilvl w:val="0"/>
          <w:numId w:val="1"/>
        </w:numPr>
        <w:pBdr>
          <w:top w:val="nil"/>
          <w:left w:val="nil"/>
          <w:bottom w:val="nil"/>
          <w:right w:val="nil"/>
          <w:between w:val="nil"/>
        </w:pBdr>
        <w:tabs>
          <w:tab w:val="left" w:pos="426"/>
          <w:tab w:val="left" w:pos="567"/>
        </w:tabs>
        <w:ind w:right="140"/>
        <w:jc w:val="both"/>
        <w:rPr>
          <w:iCs/>
          <w:color w:val="000000"/>
          <w:sz w:val="28"/>
          <w:szCs w:val="28"/>
          <w:lang w:eastAsia="en-US"/>
        </w:rPr>
      </w:pPr>
      <w:r w:rsidRPr="00EA1CDA">
        <w:rPr>
          <w:color w:val="000000" w:themeColor="text1"/>
          <w:sz w:val="28"/>
          <w:szCs w:val="28"/>
        </w:rPr>
        <w:t xml:space="preserve">En consecuencia, la Sala Segunda de Revisión </w:t>
      </w:r>
      <w:r w:rsidR="00974689" w:rsidRPr="00EA1CDA">
        <w:rPr>
          <w:color w:val="000000" w:themeColor="text1"/>
          <w:sz w:val="28"/>
          <w:szCs w:val="28"/>
        </w:rPr>
        <w:t>insistirá</w:t>
      </w:r>
      <w:r w:rsidR="005B3EE6" w:rsidRPr="00EA1CDA">
        <w:rPr>
          <w:color w:val="000000" w:themeColor="text1"/>
          <w:sz w:val="28"/>
          <w:szCs w:val="28"/>
          <w:lang w:val="es-CO"/>
        </w:rPr>
        <w:t xml:space="preserve"> en </w:t>
      </w:r>
      <w:r w:rsidR="005B30A8" w:rsidRPr="00EA1CDA">
        <w:rPr>
          <w:color w:val="000000" w:themeColor="text1"/>
          <w:sz w:val="28"/>
          <w:szCs w:val="28"/>
          <w:lang w:val="es-CO"/>
        </w:rPr>
        <w:t xml:space="preserve">la </w:t>
      </w:r>
      <w:r w:rsidR="2C674953" w:rsidRPr="00EA1CDA">
        <w:rPr>
          <w:color w:val="000000" w:themeColor="text1"/>
          <w:sz w:val="28"/>
          <w:szCs w:val="28"/>
          <w:lang w:val="es-CO"/>
        </w:rPr>
        <w:t>necesidad de que sean remitidas</w:t>
      </w:r>
      <w:r w:rsidR="00974689" w:rsidRPr="00EA1CDA">
        <w:rPr>
          <w:color w:val="000000" w:themeColor="text1"/>
          <w:sz w:val="28"/>
          <w:szCs w:val="28"/>
          <w:lang w:val="es-CO"/>
        </w:rPr>
        <w:t xml:space="preserve"> </w:t>
      </w:r>
      <w:r w:rsidR="005B3EE6" w:rsidRPr="00EA1CDA">
        <w:rPr>
          <w:color w:val="000000" w:themeColor="text1"/>
          <w:sz w:val="28"/>
          <w:szCs w:val="28"/>
          <w:lang w:val="es-CO"/>
        </w:rPr>
        <w:t xml:space="preserve">las pruebas previamente decretadas </w:t>
      </w:r>
      <w:r w:rsidR="005B30A8" w:rsidRPr="00EA1CDA">
        <w:rPr>
          <w:color w:val="000000" w:themeColor="text1"/>
          <w:sz w:val="28"/>
          <w:szCs w:val="28"/>
          <w:lang w:val="es-CO"/>
        </w:rPr>
        <w:t>que</w:t>
      </w:r>
      <w:r w:rsidR="005B3EE6" w:rsidRPr="00EA1CDA">
        <w:rPr>
          <w:color w:val="000000" w:themeColor="text1"/>
          <w:sz w:val="28"/>
          <w:szCs w:val="28"/>
          <w:lang w:val="es-CO"/>
        </w:rPr>
        <w:t xml:space="preserve"> aún no se haya</w:t>
      </w:r>
      <w:r w:rsidR="005B30A8" w:rsidRPr="00EA1CDA">
        <w:rPr>
          <w:color w:val="000000" w:themeColor="text1"/>
          <w:sz w:val="28"/>
          <w:szCs w:val="28"/>
          <w:lang w:val="es-CO"/>
        </w:rPr>
        <w:t>n</w:t>
      </w:r>
      <w:r w:rsidR="005B3EE6" w:rsidRPr="00EA1CDA">
        <w:rPr>
          <w:color w:val="000000" w:themeColor="text1"/>
          <w:sz w:val="28"/>
          <w:szCs w:val="28"/>
          <w:lang w:val="es-CO"/>
        </w:rPr>
        <w:t xml:space="preserve"> </w:t>
      </w:r>
      <w:r w:rsidR="005B30A8" w:rsidRPr="00EA1CDA">
        <w:rPr>
          <w:color w:val="000000" w:themeColor="text1"/>
          <w:sz w:val="28"/>
          <w:szCs w:val="28"/>
          <w:lang w:val="es-CO"/>
        </w:rPr>
        <w:t>allegado a esta Corporación</w:t>
      </w:r>
      <w:r w:rsidR="002C2FED" w:rsidRPr="00EA1CDA">
        <w:rPr>
          <w:rStyle w:val="Refdenotaalpie"/>
          <w:color w:val="000000" w:themeColor="text1"/>
          <w:sz w:val="28"/>
          <w:szCs w:val="28"/>
          <w:lang w:val="es-CO"/>
        </w:rPr>
        <w:footnoteReference w:id="59"/>
      </w:r>
      <w:r w:rsidR="001D5B11" w:rsidRPr="00EA1CDA">
        <w:rPr>
          <w:color w:val="000000" w:themeColor="text1"/>
          <w:sz w:val="28"/>
          <w:szCs w:val="28"/>
          <w:lang w:val="es-CO"/>
        </w:rPr>
        <w:t xml:space="preserve"> y, conforme a ello, </w:t>
      </w:r>
      <w:r w:rsidRPr="00EA1CDA">
        <w:rPr>
          <w:color w:val="000000" w:themeColor="text1"/>
          <w:sz w:val="28"/>
          <w:szCs w:val="28"/>
        </w:rPr>
        <w:t>ordenará la suspensión de términos en el expediente de la referencia por tres meses. Ello, con el propósito de acopiar de la mejor manera posible los medios de prueba necesarios, previamente a la adopción de la decisión que corresponda</w:t>
      </w:r>
      <w:r w:rsidR="00D23070" w:rsidRPr="00EA1CDA">
        <w:rPr>
          <w:color w:val="000000" w:themeColor="text1"/>
          <w:sz w:val="28"/>
          <w:szCs w:val="28"/>
        </w:rPr>
        <w:t>.</w:t>
      </w:r>
      <w:r w:rsidRPr="00EA1CDA">
        <w:rPr>
          <w:color w:val="000000" w:themeColor="text1"/>
          <w:sz w:val="28"/>
          <w:szCs w:val="28"/>
        </w:rPr>
        <w:t xml:space="preserve"> </w:t>
      </w:r>
    </w:p>
    <w:p w14:paraId="2CD84C36" w14:textId="77777777" w:rsidR="00320DEE" w:rsidRDefault="00320DEE" w:rsidP="00FC77DF">
      <w:pPr>
        <w:pStyle w:val="Prrafodelista"/>
        <w:rPr>
          <w:color w:val="000000" w:themeColor="text1"/>
          <w:sz w:val="28"/>
          <w:szCs w:val="28"/>
        </w:rPr>
      </w:pPr>
    </w:p>
    <w:p w14:paraId="085B774C" w14:textId="7BFC3726" w:rsidR="003260B7" w:rsidRPr="00EA1CDA" w:rsidRDefault="00940A59" w:rsidP="00EF76EE">
      <w:pPr>
        <w:widowControl w:val="0"/>
        <w:numPr>
          <w:ilvl w:val="0"/>
          <w:numId w:val="1"/>
        </w:numPr>
        <w:pBdr>
          <w:top w:val="nil"/>
          <w:left w:val="nil"/>
          <w:bottom w:val="nil"/>
          <w:right w:val="nil"/>
          <w:between w:val="nil"/>
        </w:pBdr>
        <w:tabs>
          <w:tab w:val="left" w:pos="426"/>
          <w:tab w:val="left" w:pos="567"/>
        </w:tabs>
        <w:ind w:right="140"/>
        <w:jc w:val="both"/>
        <w:rPr>
          <w:iCs/>
          <w:color w:val="000000"/>
          <w:sz w:val="28"/>
          <w:szCs w:val="28"/>
          <w:lang w:eastAsia="en-US"/>
        </w:rPr>
      </w:pPr>
      <w:r w:rsidRPr="00EA1CDA">
        <w:rPr>
          <w:color w:val="000000" w:themeColor="text1"/>
          <w:sz w:val="28"/>
          <w:szCs w:val="28"/>
        </w:rPr>
        <w:t xml:space="preserve">De igual </w:t>
      </w:r>
      <w:r w:rsidR="00FE1198" w:rsidRPr="00EA1CDA">
        <w:rPr>
          <w:color w:val="000000" w:themeColor="text1"/>
          <w:sz w:val="28"/>
          <w:szCs w:val="28"/>
        </w:rPr>
        <w:t>forma</w:t>
      </w:r>
      <w:r w:rsidR="008E4E95" w:rsidRPr="00EA1CDA">
        <w:rPr>
          <w:color w:val="000000" w:themeColor="text1"/>
          <w:sz w:val="28"/>
          <w:szCs w:val="28"/>
        </w:rPr>
        <w:t xml:space="preserve">, la Sala </w:t>
      </w:r>
      <w:r w:rsidRPr="00EA1CDA">
        <w:rPr>
          <w:color w:val="000000" w:themeColor="text1"/>
          <w:sz w:val="28"/>
          <w:szCs w:val="28"/>
        </w:rPr>
        <w:t xml:space="preserve">recordará </w:t>
      </w:r>
      <w:r w:rsidR="00EF76EE" w:rsidRPr="00EA1CDA">
        <w:rPr>
          <w:iCs/>
          <w:color w:val="000000"/>
          <w:sz w:val="28"/>
          <w:szCs w:val="28"/>
          <w:lang w:eastAsia="en-US"/>
        </w:rPr>
        <w:t xml:space="preserve">que el juez dispone de poderes correccionales respecto de los empleados públicos y particulares que, sin justa </w:t>
      </w:r>
      <w:r w:rsidR="00EF76EE" w:rsidRPr="00EA1CDA">
        <w:rPr>
          <w:iCs/>
          <w:color w:val="000000"/>
          <w:sz w:val="28"/>
          <w:szCs w:val="28"/>
          <w:lang w:eastAsia="en-US"/>
        </w:rPr>
        <w:lastRenderedPageBreak/>
        <w:t>causa, incumplan las órdenes que se les imparta</w:t>
      </w:r>
      <w:r w:rsidR="0055193A" w:rsidRPr="00EA1CDA">
        <w:rPr>
          <w:iCs/>
          <w:color w:val="000000"/>
          <w:sz w:val="28"/>
          <w:szCs w:val="28"/>
          <w:lang w:eastAsia="en-US"/>
        </w:rPr>
        <w:t>n</w:t>
      </w:r>
      <w:r w:rsidR="00EF76EE" w:rsidRPr="00EA1CDA">
        <w:rPr>
          <w:iCs/>
          <w:color w:val="000000"/>
          <w:sz w:val="28"/>
          <w:szCs w:val="28"/>
          <w:lang w:eastAsia="en-US"/>
        </w:rPr>
        <w:t xml:space="preserve"> o demoren su ejecución</w:t>
      </w:r>
      <w:r w:rsidR="004F5F26" w:rsidRPr="00EA1CDA">
        <w:rPr>
          <w:iCs/>
          <w:color w:val="000000"/>
          <w:sz w:val="28"/>
          <w:szCs w:val="28"/>
          <w:vertAlign w:val="superscript"/>
          <w:lang w:eastAsia="en-US"/>
        </w:rPr>
        <w:footnoteReference w:id="60"/>
      </w:r>
      <w:r w:rsidR="0055193A" w:rsidRPr="00EA1CDA">
        <w:rPr>
          <w:iCs/>
          <w:color w:val="000000"/>
          <w:sz w:val="28"/>
          <w:szCs w:val="28"/>
          <w:lang w:eastAsia="en-US"/>
        </w:rPr>
        <w:t xml:space="preserve">, y que la abstención </w:t>
      </w:r>
      <w:r w:rsidR="004F5F26" w:rsidRPr="00EA1CDA">
        <w:rPr>
          <w:iCs/>
          <w:color w:val="000000"/>
          <w:sz w:val="28"/>
          <w:szCs w:val="28"/>
          <w:lang w:eastAsia="en-US"/>
        </w:rPr>
        <w:t xml:space="preserve">en la respuesta a los requerimientos de la Corte </w:t>
      </w:r>
      <w:r w:rsidR="002A3C8C" w:rsidRPr="00EA1CDA">
        <w:rPr>
          <w:iCs/>
          <w:color w:val="000000"/>
          <w:sz w:val="28"/>
          <w:szCs w:val="28"/>
          <w:lang w:eastAsia="en-US"/>
        </w:rPr>
        <w:t xml:space="preserve">Constitucional </w:t>
      </w:r>
      <w:r w:rsidR="004F5F26" w:rsidRPr="00EA1CDA">
        <w:rPr>
          <w:iCs/>
          <w:color w:val="000000"/>
          <w:sz w:val="28"/>
          <w:szCs w:val="28"/>
          <w:lang w:eastAsia="en-US"/>
        </w:rPr>
        <w:t>constituye causal de mala conducta</w:t>
      </w:r>
      <w:r w:rsidR="004F5F26" w:rsidRPr="00EA1CDA">
        <w:rPr>
          <w:rStyle w:val="Refdenotaalpie"/>
          <w:iCs/>
          <w:color w:val="000000"/>
          <w:sz w:val="28"/>
          <w:szCs w:val="28"/>
          <w:lang w:eastAsia="en-US"/>
        </w:rPr>
        <w:footnoteReference w:id="61"/>
      </w:r>
      <w:r w:rsidR="00EF76EE" w:rsidRPr="00EA1CDA">
        <w:rPr>
          <w:iCs/>
          <w:color w:val="000000"/>
          <w:sz w:val="28"/>
          <w:szCs w:val="28"/>
          <w:lang w:eastAsia="en-US"/>
        </w:rPr>
        <w:t>.</w:t>
      </w:r>
    </w:p>
    <w:p w14:paraId="78FF692E" w14:textId="77777777" w:rsidR="00FC77DF" w:rsidRPr="00EA1CDA" w:rsidRDefault="00FC77DF" w:rsidP="00857A02">
      <w:pPr>
        <w:pStyle w:val="Prrafodelista"/>
      </w:pPr>
    </w:p>
    <w:p w14:paraId="2508F463" w14:textId="2A93B56E" w:rsidR="003260B7" w:rsidRPr="00EA1CDA" w:rsidRDefault="00616DBF" w:rsidP="00616DBF">
      <w:pPr>
        <w:widowControl w:val="0"/>
        <w:pBdr>
          <w:top w:val="nil"/>
          <w:left w:val="nil"/>
          <w:bottom w:val="nil"/>
          <w:right w:val="nil"/>
          <w:between w:val="nil"/>
        </w:pBdr>
        <w:tabs>
          <w:tab w:val="left" w:pos="426"/>
          <w:tab w:val="left" w:pos="567"/>
        </w:tabs>
        <w:ind w:right="140"/>
        <w:jc w:val="both"/>
        <w:rPr>
          <w:b/>
          <w:bCs/>
          <w:sz w:val="28"/>
          <w:szCs w:val="28"/>
        </w:rPr>
      </w:pPr>
      <w:r w:rsidRPr="00EA1CDA">
        <w:rPr>
          <w:b/>
          <w:bCs/>
          <w:sz w:val="28"/>
          <w:szCs w:val="28"/>
        </w:rPr>
        <w:t xml:space="preserve">3.3. </w:t>
      </w:r>
      <w:r w:rsidR="003260B7" w:rsidRPr="00EA1CDA">
        <w:rPr>
          <w:b/>
          <w:bCs/>
          <w:sz w:val="28"/>
          <w:szCs w:val="28"/>
        </w:rPr>
        <w:t>Articulación judicial para la eficacia de los derechos en posible riesgo</w:t>
      </w:r>
    </w:p>
    <w:p w14:paraId="54C91138" w14:textId="77777777" w:rsidR="00154351" w:rsidRPr="00EA1CDA" w:rsidRDefault="00154351" w:rsidP="00154351">
      <w:pPr>
        <w:pStyle w:val="Prrafodelista"/>
      </w:pPr>
    </w:p>
    <w:p w14:paraId="1E950702" w14:textId="7F0B78D6" w:rsidR="003260B7" w:rsidRPr="00EA1CDA" w:rsidRDefault="003260B7">
      <w:pPr>
        <w:widowControl w:val="0"/>
        <w:numPr>
          <w:ilvl w:val="0"/>
          <w:numId w:val="1"/>
        </w:numPr>
        <w:pBdr>
          <w:top w:val="nil"/>
          <w:left w:val="nil"/>
          <w:bottom w:val="nil"/>
          <w:right w:val="nil"/>
          <w:between w:val="nil"/>
        </w:pBdr>
        <w:tabs>
          <w:tab w:val="left" w:pos="426"/>
          <w:tab w:val="left" w:pos="567"/>
        </w:tabs>
        <w:ind w:right="140"/>
        <w:jc w:val="both"/>
        <w:rPr>
          <w:color w:val="000000"/>
          <w:sz w:val="28"/>
          <w:szCs w:val="28"/>
        </w:rPr>
      </w:pPr>
      <w:r w:rsidRPr="00EA1CDA">
        <w:rPr>
          <w:color w:val="000000"/>
          <w:sz w:val="28"/>
          <w:szCs w:val="28"/>
        </w:rPr>
        <w:t>La Sala Segunda de Revisión evidencia que el caso acumulado bajo su revisión tiene una relación esencial con el objeto y las actividades que corresponden a la Sala Especial de Seguimiento para el cumplimiento de la Sentencia T-760 de 2008 de la Corte Constitucional. Por esta razón, considera pertinente y necesario que se articulen las acciones de estas instancias al interior del tribunal constitucional para garantizar un análisis integral de las situaciones que evidencian las acciones de tutela bajo revisión.</w:t>
      </w:r>
    </w:p>
    <w:p w14:paraId="7627A31F" w14:textId="77777777" w:rsidR="003260B7" w:rsidRPr="00EA1CDA" w:rsidRDefault="003260B7" w:rsidP="00857A02">
      <w:pPr>
        <w:widowControl w:val="0"/>
        <w:pBdr>
          <w:top w:val="nil"/>
          <w:left w:val="nil"/>
          <w:bottom w:val="nil"/>
          <w:right w:val="nil"/>
          <w:between w:val="nil"/>
        </w:pBdr>
        <w:tabs>
          <w:tab w:val="left" w:pos="426"/>
          <w:tab w:val="left" w:pos="567"/>
        </w:tabs>
        <w:ind w:right="140"/>
        <w:jc w:val="both"/>
        <w:rPr>
          <w:color w:val="000000"/>
          <w:sz w:val="28"/>
          <w:szCs w:val="28"/>
        </w:rPr>
      </w:pPr>
    </w:p>
    <w:p w14:paraId="35F701E8" w14:textId="12FB4F85" w:rsidR="003260B7" w:rsidRPr="00EA1CDA" w:rsidRDefault="003260B7">
      <w:pPr>
        <w:widowControl w:val="0"/>
        <w:numPr>
          <w:ilvl w:val="0"/>
          <w:numId w:val="1"/>
        </w:numPr>
        <w:pBdr>
          <w:top w:val="nil"/>
          <w:left w:val="nil"/>
          <w:bottom w:val="nil"/>
          <w:right w:val="nil"/>
          <w:between w:val="nil"/>
        </w:pBdr>
        <w:tabs>
          <w:tab w:val="left" w:pos="426"/>
          <w:tab w:val="left" w:pos="567"/>
        </w:tabs>
        <w:ind w:right="140"/>
        <w:jc w:val="both"/>
        <w:rPr>
          <w:color w:val="000000"/>
          <w:sz w:val="28"/>
          <w:szCs w:val="28"/>
        </w:rPr>
      </w:pPr>
      <w:r w:rsidRPr="00EA1CDA">
        <w:rPr>
          <w:color w:val="000000"/>
          <w:sz w:val="28"/>
          <w:szCs w:val="28"/>
        </w:rPr>
        <w:t xml:space="preserve">En particular, anticipa esta Sala que los casos objeto de tutela que ahora se revisan evidencian circunstancias que preliminarmente </w:t>
      </w:r>
      <w:r w:rsidR="00857A02" w:rsidRPr="00EA1CDA">
        <w:rPr>
          <w:color w:val="000000"/>
          <w:sz w:val="28"/>
          <w:szCs w:val="28"/>
        </w:rPr>
        <w:t>estarían</w:t>
      </w:r>
      <w:r w:rsidRPr="00EA1CDA">
        <w:rPr>
          <w:color w:val="000000"/>
          <w:sz w:val="28"/>
          <w:szCs w:val="28"/>
        </w:rPr>
        <w:t xml:space="preserve"> relacionadas con fallas o dificultades estructurales del sistema de seguridad social en salud, que esta Corte ha evidenciado y buscado superar desde tiempo atrás, en especial por medio de las decisiones adoptadas a través de la Sala Especial de Seguimiento referida. </w:t>
      </w:r>
    </w:p>
    <w:p w14:paraId="6010FABE" w14:textId="77777777" w:rsidR="003260B7" w:rsidRPr="00EA1CDA" w:rsidRDefault="003260B7" w:rsidP="00857A02">
      <w:pPr>
        <w:pStyle w:val="Prrafodelista"/>
        <w:rPr>
          <w:color w:val="000000"/>
          <w:sz w:val="28"/>
          <w:szCs w:val="28"/>
        </w:rPr>
      </w:pPr>
    </w:p>
    <w:p w14:paraId="2D5C9B93" w14:textId="6EE424C1" w:rsidR="00154351" w:rsidRPr="00EA1CDA" w:rsidRDefault="003260B7">
      <w:pPr>
        <w:widowControl w:val="0"/>
        <w:numPr>
          <w:ilvl w:val="0"/>
          <w:numId w:val="1"/>
        </w:numPr>
        <w:pBdr>
          <w:top w:val="nil"/>
          <w:left w:val="nil"/>
          <w:bottom w:val="nil"/>
          <w:right w:val="nil"/>
          <w:between w:val="nil"/>
        </w:pBdr>
        <w:tabs>
          <w:tab w:val="left" w:pos="426"/>
          <w:tab w:val="left" w:pos="567"/>
        </w:tabs>
        <w:ind w:right="140"/>
        <w:jc w:val="both"/>
        <w:rPr>
          <w:color w:val="000000"/>
          <w:sz w:val="28"/>
          <w:szCs w:val="28"/>
        </w:rPr>
      </w:pPr>
      <w:r w:rsidRPr="00EA1CDA">
        <w:rPr>
          <w:color w:val="000000"/>
          <w:sz w:val="28"/>
          <w:szCs w:val="28"/>
        </w:rPr>
        <w:t>Por lo anterior</w:t>
      </w:r>
      <w:r w:rsidR="00154351" w:rsidRPr="00EA1CDA">
        <w:rPr>
          <w:color w:val="000000"/>
          <w:sz w:val="28"/>
          <w:szCs w:val="28"/>
        </w:rPr>
        <w:t>, la Sala Segunda de Revisión</w:t>
      </w:r>
      <w:r w:rsidR="00B50795" w:rsidRPr="00EA1CDA">
        <w:rPr>
          <w:color w:val="000000"/>
          <w:sz w:val="28"/>
          <w:szCs w:val="28"/>
        </w:rPr>
        <w:t xml:space="preserve"> advierte</w:t>
      </w:r>
      <w:r w:rsidRPr="00EA1CDA">
        <w:rPr>
          <w:color w:val="000000"/>
          <w:sz w:val="28"/>
          <w:szCs w:val="28"/>
        </w:rPr>
        <w:t xml:space="preserve"> en esta etapa del proceso</w:t>
      </w:r>
      <w:r w:rsidR="00B50795" w:rsidRPr="00EA1CDA">
        <w:rPr>
          <w:color w:val="000000"/>
          <w:sz w:val="28"/>
          <w:szCs w:val="28"/>
        </w:rPr>
        <w:t xml:space="preserve"> la necesidad de </w:t>
      </w:r>
      <w:r w:rsidR="00662BB6" w:rsidRPr="00EA1CDA">
        <w:rPr>
          <w:color w:val="000000"/>
          <w:sz w:val="28"/>
          <w:szCs w:val="28"/>
        </w:rPr>
        <w:t xml:space="preserve">una actuación articulada con las competencias a cargo de la Sala Especial de Seguimiento a la Sentencia T-760 de 2008. </w:t>
      </w:r>
      <w:r w:rsidRPr="00EA1CDA">
        <w:rPr>
          <w:color w:val="000000"/>
          <w:sz w:val="28"/>
          <w:szCs w:val="28"/>
        </w:rPr>
        <w:t>Para ello</w:t>
      </w:r>
      <w:r w:rsidR="00662BB6" w:rsidRPr="00EA1CDA">
        <w:rPr>
          <w:color w:val="000000"/>
          <w:sz w:val="28"/>
          <w:szCs w:val="28"/>
        </w:rPr>
        <w:t>, orden</w:t>
      </w:r>
      <w:r w:rsidR="0005145C" w:rsidRPr="00EA1CDA">
        <w:rPr>
          <w:color w:val="000000"/>
          <w:sz w:val="28"/>
          <w:szCs w:val="28"/>
        </w:rPr>
        <w:t>a</w:t>
      </w:r>
      <w:r w:rsidR="00662BB6" w:rsidRPr="00EA1CDA">
        <w:rPr>
          <w:color w:val="000000"/>
          <w:sz w:val="28"/>
          <w:szCs w:val="28"/>
        </w:rPr>
        <w:t xml:space="preserve">rá remitir a dicha Sala </w:t>
      </w:r>
      <w:r w:rsidRPr="00EA1CDA">
        <w:rPr>
          <w:color w:val="000000"/>
          <w:sz w:val="28"/>
          <w:szCs w:val="28"/>
        </w:rPr>
        <w:t>el presente auto,</w:t>
      </w:r>
      <w:r w:rsidR="00662BB6" w:rsidRPr="00EA1CDA">
        <w:rPr>
          <w:color w:val="000000"/>
          <w:sz w:val="28"/>
          <w:szCs w:val="28"/>
        </w:rPr>
        <w:t xml:space="preserve"> </w:t>
      </w:r>
      <w:r w:rsidR="00AB6195" w:rsidRPr="00EA1CDA">
        <w:rPr>
          <w:color w:val="000000"/>
          <w:sz w:val="28"/>
          <w:szCs w:val="28"/>
        </w:rPr>
        <w:t xml:space="preserve">para </w:t>
      </w:r>
      <w:r w:rsidR="001001CD" w:rsidRPr="00EA1CDA">
        <w:rPr>
          <w:color w:val="000000"/>
          <w:sz w:val="28"/>
          <w:szCs w:val="28"/>
        </w:rPr>
        <w:t>su conocimiento y demás fines pertinentes.</w:t>
      </w:r>
      <w:r w:rsidRPr="00EA1CDA">
        <w:rPr>
          <w:color w:val="000000"/>
          <w:sz w:val="28"/>
          <w:szCs w:val="28"/>
        </w:rPr>
        <w:t xml:space="preserve"> Igualmente dispondrá que el despacho sustanciador adopte las medidas probatorias y de coordinación que se requieran para establecer un diálogo permanente con aquella instancia.</w:t>
      </w:r>
      <w:r w:rsidR="001001CD" w:rsidRPr="00EA1CDA">
        <w:rPr>
          <w:color w:val="000000"/>
          <w:sz w:val="28"/>
          <w:szCs w:val="28"/>
        </w:rPr>
        <w:t xml:space="preserve"> </w:t>
      </w:r>
      <w:r w:rsidR="00AB6195" w:rsidRPr="00EA1CDA">
        <w:rPr>
          <w:color w:val="000000"/>
          <w:sz w:val="28"/>
          <w:szCs w:val="28"/>
        </w:rPr>
        <w:t xml:space="preserve"> </w:t>
      </w:r>
    </w:p>
    <w:p w14:paraId="3E0AF03F" w14:textId="77777777" w:rsidR="009E47F1" w:rsidRPr="00EA1CDA" w:rsidRDefault="009E47F1">
      <w:pPr>
        <w:widowControl w:val="0"/>
        <w:pBdr>
          <w:top w:val="nil"/>
          <w:left w:val="nil"/>
          <w:bottom w:val="nil"/>
          <w:right w:val="nil"/>
          <w:between w:val="nil"/>
        </w:pBdr>
        <w:tabs>
          <w:tab w:val="left" w:pos="567"/>
        </w:tabs>
        <w:jc w:val="both"/>
        <w:rPr>
          <w:color w:val="000000"/>
          <w:sz w:val="28"/>
          <w:szCs w:val="28"/>
        </w:rPr>
      </w:pPr>
    </w:p>
    <w:p w14:paraId="6EE66144" w14:textId="77777777" w:rsidR="00600EE1" w:rsidRPr="00EA1CDA" w:rsidRDefault="00551339">
      <w:pPr>
        <w:widowControl w:val="0"/>
        <w:numPr>
          <w:ilvl w:val="0"/>
          <w:numId w:val="3"/>
        </w:numPr>
        <w:pBdr>
          <w:top w:val="nil"/>
          <w:left w:val="nil"/>
          <w:bottom w:val="nil"/>
          <w:right w:val="nil"/>
          <w:between w:val="nil"/>
        </w:pBdr>
        <w:ind w:left="567" w:right="140" w:hanging="578"/>
        <w:rPr>
          <w:b/>
          <w:color w:val="000000"/>
          <w:sz w:val="28"/>
          <w:szCs w:val="28"/>
        </w:rPr>
      </w:pPr>
      <w:r w:rsidRPr="00EA1CDA">
        <w:rPr>
          <w:b/>
          <w:color w:val="000000"/>
          <w:sz w:val="28"/>
          <w:szCs w:val="28"/>
        </w:rPr>
        <w:t>DECISIÓN</w:t>
      </w:r>
    </w:p>
    <w:p w14:paraId="6EE66145" w14:textId="77777777" w:rsidR="00600EE1" w:rsidRPr="00EA1CDA" w:rsidRDefault="00600EE1">
      <w:pPr>
        <w:widowControl w:val="0"/>
        <w:pBdr>
          <w:top w:val="nil"/>
          <w:left w:val="nil"/>
          <w:bottom w:val="nil"/>
          <w:right w:val="nil"/>
          <w:between w:val="nil"/>
        </w:pBdr>
        <w:tabs>
          <w:tab w:val="left" w:pos="284"/>
          <w:tab w:val="right" w:pos="8789"/>
        </w:tabs>
        <w:ind w:right="51"/>
        <w:jc w:val="both"/>
        <w:rPr>
          <w:color w:val="000000"/>
        </w:rPr>
      </w:pPr>
    </w:p>
    <w:p w14:paraId="6EE66146" w14:textId="77777777" w:rsidR="00600EE1" w:rsidRPr="00EA1CDA" w:rsidRDefault="00551339">
      <w:pPr>
        <w:widowControl w:val="0"/>
        <w:pBdr>
          <w:top w:val="nil"/>
          <w:left w:val="nil"/>
          <w:bottom w:val="nil"/>
          <w:right w:val="nil"/>
          <w:between w:val="nil"/>
        </w:pBdr>
        <w:tabs>
          <w:tab w:val="left" w:pos="284"/>
          <w:tab w:val="right" w:pos="8789"/>
        </w:tabs>
        <w:ind w:right="51"/>
        <w:jc w:val="both"/>
        <w:rPr>
          <w:color w:val="000000"/>
          <w:sz w:val="28"/>
          <w:szCs w:val="28"/>
        </w:rPr>
      </w:pPr>
      <w:r w:rsidRPr="00EA1CDA">
        <w:rPr>
          <w:color w:val="000000"/>
          <w:sz w:val="28"/>
          <w:szCs w:val="28"/>
        </w:rPr>
        <w:t>En mérito de lo expuesto, la Sala Segunda de Revisión de la Corte Constitucional,</w:t>
      </w:r>
    </w:p>
    <w:p w14:paraId="6EE66147" w14:textId="77777777" w:rsidR="00600EE1" w:rsidRPr="00EA1CDA" w:rsidRDefault="00600EE1">
      <w:pPr>
        <w:widowControl w:val="0"/>
        <w:pBdr>
          <w:top w:val="nil"/>
          <w:left w:val="nil"/>
          <w:bottom w:val="nil"/>
          <w:right w:val="nil"/>
          <w:between w:val="nil"/>
        </w:pBdr>
        <w:tabs>
          <w:tab w:val="left" w:pos="284"/>
        </w:tabs>
        <w:ind w:right="49"/>
        <w:jc w:val="both"/>
        <w:rPr>
          <w:color w:val="000000"/>
          <w:sz w:val="28"/>
          <w:szCs w:val="28"/>
        </w:rPr>
      </w:pPr>
    </w:p>
    <w:p w14:paraId="6EE66148" w14:textId="5BC135C2" w:rsidR="00600EE1" w:rsidRPr="00EA1CDA" w:rsidRDefault="00551339">
      <w:pPr>
        <w:widowControl w:val="0"/>
        <w:ind w:right="51"/>
        <w:jc w:val="center"/>
        <w:rPr>
          <w:b/>
          <w:sz w:val="28"/>
          <w:szCs w:val="28"/>
        </w:rPr>
      </w:pPr>
      <w:r w:rsidRPr="00EA1CDA">
        <w:rPr>
          <w:b/>
          <w:sz w:val="28"/>
          <w:szCs w:val="28"/>
        </w:rPr>
        <w:t>RESUELVE</w:t>
      </w:r>
    </w:p>
    <w:p w14:paraId="6EE6614B" w14:textId="7895BE30" w:rsidR="00600EE1" w:rsidRPr="00EA1CDA" w:rsidRDefault="00600EE1" w:rsidP="00326A8A">
      <w:pPr>
        <w:widowControl w:val="0"/>
        <w:pBdr>
          <w:top w:val="nil"/>
          <w:left w:val="nil"/>
          <w:bottom w:val="nil"/>
          <w:right w:val="nil"/>
          <w:between w:val="nil"/>
        </w:pBdr>
        <w:tabs>
          <w:tab w:val="left" w:pos="8080"/>
        </w:tabs>
        <w:ind w:right="51"/>
        <w:jc w:val="both"/>
        <w:rPr>
          <w:color w:val="000000"/>
          <w:sz w:val="28"/>
          <w:szCs w:val="28"/>
        </w:rPr>
      </w:pPr>
    </w:p>
    <w:p w14:paraId="5F22F132" w14:textId="0A873FC6" w:rsidR="0055699A" w:rsidRPr="00EA1CDA" w:rsidRDefault="00551339" w:rsidP="0040108A">
      <w:pPr>
        <w:pStyle w:val="Prrafodelista"/>
        <w:numPr>
          <w:ilvl w:val="0"/>
          <w:numId w:val="5"/>
        </w:numPr>
        <w:pBdr>
          <w:top w:val="nil"/>
          <w:left w:val="nil"/>
          <w:bottom w:val="nil"/>
          <w:right w:val="nil"/>
          <w:between w:val="nil"/>
        </w:pBdr>
        <w:tabs>
          <w:tab w:val="left" w:pos="0"/>
        </w:tabs>
        <w:jc w:val="both"/>
      </w:pPr>
      <w:bookmarkStart w:id="7" w:name="_1etbrvfwlz39" w:colFirst="0" w:colLast="0"/>
      <w:bookmarkEnd w:id="7"/>
      <w:r w:rsidRPr="00EA1CDA">
        <w:rPr>
          <w:b/>
          <w:color w:val="000000"/>
          <w:sz w:val="28"/>
          <w:szCs w:val="28"/>
        </w:rPr>
        <w:t>ORDENAR</w:t>
      </w:r>
      <w:r w:rsidR="00193DA6" w:rsidRPr="00EA1CDA">
        <w:rPr>
          <w:b/>
          <w:color w:val="000000"/>
          <w:sz w:val="28"/>
          <w:szCs w:val="28"/>
        </w:rPr>
        <w:t xml:space="preserve"> </w:t>
      </w:r>
      <w:r w:rsidR="00193DA6" w:rsidRPr="00EA1CDA">
        <w:rPr>
          <w:bCs/>
          <w:color w:val="000000"/>
          <w:sz w:val="28"/>
          <w:szCs w:val="28"/>
        </w:rPr>
        <w:t>como medida provisional</w:t>
      </w:r>
      <w:r w:rsidRPr="00EA1CDA">
        <w:rPr>
          <w:color w:val="000000"/>
          <w:sz w:val="28"/>
          <w:szCs w:val="28"/>
        </w:rPr>
        <w:t xml:space="preserve"> a </w:t>
      </w:r>
      <w:r w:rsidR="00193DA6" w:rsidRPr="00EA1CDA">
        <w:rPr>
          <w:color w:val="000000"/>
          <w:sz w:val="28"/>
          <w:szCs w:val="28"/>
        </w:rPr>
        <w:t xml:space="preserve">las </w:t>
      </w:r>
      <w:r w:rsidR="00C04D5D" w:rsidRPr="00EA1CDA">
        <w:rPr>
          <w:color w:val="000000"/>
          <w:sz w:val="28"/>
          <w:szCs w:val="28"/>
        </w:rPr>
        <w:t xml:space="preserve">EPS, IPS </w:t>
      </w:r>
      <w:r w:rsidR="0037670F" w:rsidRPr="00EA1CDA">
        <w:rPr>
          <w:color w:val="000000"/>
          <w:sz w:val="28"/>
          <w:szCs w:val="28"/>
        </w:rPr>
        <w:t>y</w:t>
      </w:r>
      <w:r w:rsidR="00C04D5D" w:rsidRPr="00EA1CDA">
        <w:rPr>
          <w:color w:val="000000"/>
          <w:sz w:val="28"/>
          <w:szCs w:val="28"/>
        </w:rPr>
        <w:t xml:space="preserve"> gestores farmacéuticos</w:t>
      </w:r>
      <w:r w:rsidR="00145E9F" w:rsidRPr="00EA1CDA">
        <w:rPr>
          <w:color w:val="000000"/>
          <w:sz w:val="28"/>
          <w:szCs w:val="28"/>
        </w:rPr>
        <w:t xml:space="preserve"> relacionados en la</w:t>
      </w:r>
      <w:r w:rsidR="00AB1767" w:rsidRPr="00EA1CDA">
        <w:rPr>
          <w:color w:val="000000"/>
          <w:sz w:val="28"/>
          <w:szCs w:val="28"/>
        </w:rPr>
        <w:t xml:space="preserve"> </w:t>
      </w:r>
      <w:r w:rsidR="006921E9" w:rsidRPr="00EA1CDA">
        <w:rPr>
          <w:color w:val="000000"/>
          <w:sz w:val="28"/>
          <w:szCs w:val="28"/>
        </w:rPr>
        <w:t xml:space="preserve">Tabla </w:t>
      </w:r>
      <w:r w:rsidR="0061607C" w:rsidRPr="00EA1CDA">
        <w:rPr>
          <w:color w:val="000000"/>
          <w:sz w:val="28"/>
          <w:szCs w:val="28"/>
        </w:rPr>
        <w:t>2</w:t>
      </w:r>
      <w:r w:rsidR="00E451F1" w:rsidRPr="00EA1CDA">
        <w:rPr>
          <w:color w:val="000000"/>
          <w:sz w:val="28"/>
          <w:szCs w:val="28"/>
        </w:rPr>
        <w:t xml:space="preserve"> que se encuentra a continuación, que</w:t>
      </w:r>
      <w:r w:rsidR="00874A2B" w:rsidRPr="00EA1CDA">
        <w:rPr>
          <w:color w:val="000000"/>
          <w:sz w:val="28"/>
          <w:szCs w:val="28"/>
        </w:rPr>
        <w:t xml:space="preserve"> </w:t>
      </w:r>
      <w:r w:rsidRPr="00EA1CDA">
        <w:rPr>
          <w:color w:val="000000"/>
          <w:sz w:val="28"/>
          <w:szCs w:val="28"/>
        </w:rPr>
        <w:t xml:space="preserve">en el término </w:t>
      </w:r>
      <w:r w:rsidR="003260B7" w:rsidRPr="00EA1CDA">
        <w:rPr>
          <w:color w:val="000000"/>
          <w:sz w:val="28"/>
          <w:szCs w:val="28"/>
        </w:rPr>
        <w:t xml:space="preserve">máximo </w:t>
      </w:r>
      <w:r w:rsidRPr="00EA1CDA">
        <w:rPr>
          <w:color w:val="000000"/>
          <w:sz w:val="28"/>
          <w:szCs w:val="28"/>
        </w:rPr>
        <w:t xml:space="preserve">de las </w:t>
      </w:r>
      <w:r w:rsidR="0037670F" w:rsidRPr="00EA1CDA">
        <w:rPr>
          <w:color w:val="000000"/>
          <w:sz w:val="28"/>
          <w:szCs w:val="28"/>
        </w:rPr>
        <w:t>cuarenta y ocho</w:t>
      </w:r>
      <w:r w:rsidRPr="00EA1CDA">
        <w:rPr>
          <w:color w:val="000000"/>
          <w:sz w:val="28"/>
          <w:szCs w:val="28"/>
        </w:rPr>
        <w:t xml:space="preserve"> (</w:t>
      </w:r>
      <w:r w:rsidR="0037670F" w:rsidRPr="00EA1CDA">
        <w:rPr>
          <w:color w:val="000000"/>
          <w:sz w:val="28"/>
          <w:szCs w:val="28"/>
        </w:rPr>
        <w:t>48</w:t>
      </w:r>
      <w:r w:rsidRPr="00EA1CDA">
        <w:rPr>
          <w:color w:val="000000"/>
          <w:sz w:val="28"/>
          <w:szCs w:val="28"/>
        </w:rPr>
        <w:t xml:space="preserve">) horas siguientes a la </w:t>
      </w:r>
      <w:r w:rsidRPr="00EA1CDA">
        <w:rPr>
          <w:color w:val="000000"/>
          <w:sz w:val="28"/>
          <w:szCs w:val="28"/>
        </w:rPr>
        <w:lastRenderedPageBreak/>
        <w:t xml:space="preserve">notificación de esta </w:t>
      </w:r>
      <w:r w:rsidR="0037670F" w:rsidRPr="00EA1CDA">
        <w:rPr>
          <w:color w:val="000000"/>
          <w:sz w:val="28"/>
          <w:szCs w:val="28"/>
        </w:rPr>
        <w:t>providencia</w:t>
      </w:r>
      <w:r w:rsidR="007B3DE9" w:rsidRPr="00EA1CDA">
        <w:rPr>
          <w:color w:val="000000"/>
          <w:sz w:val="28"/>
          <w:szCs w:val="28"/>
        </w:rPr>
        <w:t>,</w:t>
      </w:r>
      <w:r w:rsidRPr="00EA1CDA">
        <w:rPr>
          <w:color w:val="000000"/>
          <w:sz w:val="28"/>
          <w:szCs w:val="28"/>
        </w:rPr>
        <w:t xml:space="preserve"> </w:t>
      </w:r>
      <w:r w:rsidR="00874A2B" w:rsidRPr="00EA1CDA">
        <w:rPr>
          <w:b/>
          <w:bCs/>
          <w:color w:val="000000"/>
          <w:sz w:val="28"/>
          <w:szCs w:val="28"/>
        </w:rPr>
        <w:t>ENTREGUEN</w:t>
      </w:r>
      <w:r w:rsidR="001168F8" w:rsidRPr="00EA1CDA">
        <w:rPr>
          <w:color w:val="000000"/>
          <w:sz w:val="28"/>
          <w:szCs w:val="28"/>
        </w:rPr>
        <w:t xml:space="preserve"> </w:t>
      </w:r>
      <w:r w:rsidR="0055699A" w:rsidRPr="00EA1CDA">
        <w:rPr>
          <w:color w:val="000000"/>
          <w:sz w:val="28"/>
          <w:szCs w:val="28"/>
        </w:rPr>
        <w:t>el</w:t>
      </w:r>
      <w:r w:rsidR="00E451F1" w:rsidRPr="00EA1CDA">
        <w:rPr>
          <w:color w:val="000000"/>
          <w:sz w:val="28"/>
          <w:szCs w:val="28"/>
        </w:rPr>
        <w:t xml:space="preserve"> </w:t>
      </w:r>
      <w:r w:rsidR="00874A2B" w:rsidRPr="00EA1CDA">
        <w:rPr>
          <w:color w:val="000000"/>
          <w:sz w:val="28"/>
          <w:szCs w:val="28"/>
        </w:rPr>
        <w:t>(los)</w:t>
      </w:r>
      <w:r w:rsidR="0055699A" w:rsidRPr="00EA1CDA">
        <w:rPr>
          <w:color w:val="000000"/>
          <w:sz w:val="28"/>
          <w:szCs w:val="28"/>
        </w:rPr>
        <w:t xml:space="preserve"> medicamento</w:t>
      </w:r>
      <w:r w:rsidR="00874A2B" w:rsidRPr="00EA1CDA">
        <w:rPr>
          <w:color w:val="000000"/>
          <w:sz w:val="28"/>
          <w:szCs w:val="28"/>
        </w:rPr>
        <w:t>(s)</w:t>
      </w:r>
      <w:r w:rsidR="0055699A" w:rsidRPr="00EA1CDA">
        <w:rPr>
          <w:color w:val="000000"/>
          <w:sz w:val="28"/>
          <w:szCs w:val="28"/>
        </w:rPr>
        <w:t xml:space="preserve"> a </w:t>
      </w:r>
      <w:r w:rsidR="00F92D11" w:rsidRPr="00EA1CDA">
        <w:rPr>
          <w:color w:val="000000"/>
          <w:sz w:val="28"/>
          <w:szCs w:val="28"/>
        </w:rPr>
        <w:t xml:space="preserve">la parte </w:t>
      </w:r>
      <w:r w:rsidR="00874A2B" w:rsidRPr="00EA1CDA">
        <w:rPr>
          <w:color w:val="000000"/>
          <w:sz w:val="28"/>
          <w:szCs w:val="28"/>
        </w:rPr>
        <w:t>accionante</w:t>
      </w:r>
      <w:r w:rsidR="0055699A" w:rsidRPr="00EA1CDA">
        <w:rPr>
          <w:color w:val="000000"/>
          <w:sz w:val="28"/>
          <w:szCs w:val="28"/>
        </w:rPr>
        <w:t xml:space="preserve"> </w:t>
      </w:r>
      <w:r w:rsidR="003260B7" w:rsidRPr="00EA1CDA">
        <w:rPr>
          <w:color w:val="000000"/>
          <w:sz w:val="28"/>
          <w:szCs w:val="28"/>
        </w:rPr>
        <w:t xml:space="preserve">correspondiente, </w:t>
      </w:r>
      <w:r w:rsidR="0055699A" w:rsidRPr="00EA1CDA">
        <w:rPr>
          <w:color w:val="000000"/>
          <w:sz w:val="28"/>
          <w:szCs w:val="28"/>
        </w:rPr>
        <w:t xml:space="preserve">conforme a la prescripción médica vigente </w:t>
      </w:r>
      <w:r w:rsidR="003260B7" w:rsidRPr="00EA1CDA">
        <w:rPr>
          <w:color w:val="000000"/>
          <w:sz w:val="28"/>
          <w:szCs w:val="28"/>
        </w:rPr>
        <w:t>o sin vigencia por mora en el suministro, pendiente de entrega</w:t>
      </w:r>
      <w:r w:rsidR="0055699A" w:rsidRPr="00EA1CDA">
        <w:rPr>
          <w:color w:val="000000"/>
          <w:sz w:val="28"/>
          <w:szCs w:val="28"/>
        </w:rPr>
        <w:t xml:space="preserve">, y que originó </w:t>
      </w:r>
      <w:r w:rsidR="00B476B1" w:rsidRPr="00EA1CDA">
        <w:rPr>
          <w:color w:val="000000"/>
          <w:sz w:val="28"/>
          <w:szCs w:val="28"/>
        </w:rPr>
        <w:t>cada una de las acciones de tu</w:t>
      </w:r>
      <w:r w:rsidR="0055699A" w:rsidRPr="00EA1CDA">
        <w:rPr>
          <w:color w:val="000000"/>
          <w:sz w:val="28"/>
          <w:szCs w:val="28"/>
        </w:rPr>
        <w:t>tela</w:t>
      </w:r>
      <w:r w:rsidR="003260B7" w:rsidRPr="00EA1CDA">
        <w:rPr>
          <w:color w:val="000000"/>
          <w:sz w:val="28"/>
          <w:szCs w:val="28"/>
        </w:rPr>
        <w:t xml:space="preserve"> bajo revisión</w:t>
      </w:r>
      <w:r w:rsidR="005C43E1" w:rsidRPr="00EA1CDA">
        <w:rPr>
          <w:color w:val="000000"/>
          <w:sz w:val="28"/>
          <w:szCs w:val="28"/>
        </w:rPr>
        <w:t>, según corresponda</w:t>
      </w:r>
      <w:r w:rsidR="00D10DB2" w:rsidRPr="00EA1CDA">
        <w:rPr>
          <w:color w:val="000000"/>
          <w:sz w:val="28"/>
          <w:szCs w:val="28"/>
        </w:rPr>
        <w:t xml:space="preserve"> conforme al Anexo</w:t>
      </w:r>
      <w:r w:rsidR="00EA0109" w:rsidRPr="00EA1CDA">
        <w:rPr>
          <w:color w:val="000000"/>
          <w:sz w:val="28"/>
          <w:szCs w:val="28"/>
        </w:rPr>
        <w:t xml:space="preserve"> único </w:t>
      </w:r>
      <w:r w:rsidR="0022248B" w:rsidRPr="00EA1CDA">
        <w:rPr>
          <w:color w:val="000000"/>
          <w:sz w:val="28"/>
          <w:szCs w:val="28"/>
        </w:rPr>
        <w:t>de</w:t>
      </w:r>
      <w:r w:rsidR="00EA0109" w:rsidRPr="00EA1CDA">
        <w:rPr>
          <w:color w:val="000000"/>
          <w:sz w:val="28"/>
          <w:szCs w:val="28"/>
        </w:rPr>
        <w:t xml:space="preserve"> esta providencia</w:t>
      </w:r>
      <w:r w:rsidR="00E64C2A" w:rsidRPr="00EA1CDA">
        <w:rPr>
          <w:color w:val="000000"/>
          <w:sz w:val="28"/>
          <w:szCs w:val="28"/>
        </w:rPr>
        <w:t xml:space="preserve"> y la historia clínica</w:t>
      </w:r>
      <w:r w:rsidR="00C67DF0" w:rsidRPr="00EA1CDA">
        <w:rPr>
          <w:color w:val="000000"/>
          <w:sz w:val="28"/>
          <w:szCs w:val="28"/>
        </w:rPr>
        <w:t xml:space="preserve"> </w:t>
      </w:r>
      <w:r w:rsidR="003260B7" w:rsidRPr="00EA1CDA">
        <w:rPr>
          <w:color w:val="000000"/>
          <w:sz w:val="28"/>
          <w:szCs w:val="28"/>
        </w:rPr>
        <w:t>del caso</w:t>
      </w:r>
      <w:r w:rsidR="0055699A" w:rsidRPr="00EA1CDA">
        <w:rPr>
          <w:color w:val="000000"/>
          <w:sz w:val="28"/>
          <w:szCs w:val="28"/>
        </w:rPr>
        <w:t xml:space="preserve">. Esta entrega deberá efectuarse en </w:t>
      </w:r>
      <w:r w:rsidR="00AC43DD" w:rsidRPr="00EA1CDA">
        <w:rPr>
          <w:color w:val="000000"/>
          <w:sz w:val="28"/>
          <w:szCs w:val="28"/>
        </w:rPr>
        <w:t>el lugar</w:t>
      </w:r>
      <w:r w:rsidR="0055699A" w:rsidRPr="00EA1CDA">
        <w:rPr>
          <w:color w:val="000000"/>
          <w:sz w:val="28"/>
          <w:szCs w:val="28"/>
        </w:rPr>
        <w:t xml:space="preserve"> en que se ha hecho hasta el momento, es decir, en el domicilio de la parte tutelante o en el punto de dispensación al que usualmente acude el </w:t>
      </w:r>
      <w:r w:rsidR="003260B7" w:rsidRPr="00EA1CDA">
        <w:rPr>
          <w:color w:val="000000"/>
          <w:sz w:val="28"/>
          <w:szCs w:val="28"/>
        </w:rPr>
        <w:t>afiliado</w:t>
      </w:r>
      <w:r w:rsidR="0055699A" w:rsidRPr="00EA1CDA">
        <w:rPr>
          <w:color w:val="000000"/>
          <w:sz w:val="28"/>
          <w:szCs w:val="28"/>
        </w:rPr>
        <w:t>.</w:t>
      </w:r>
      <w:r w:rsidR="00555FB3" w:rsidRPr="00EA1CDA">
        <w:rPr>
          <w:color w:val="000000"/>
          <w:sz w:val="28"/>
          <w:szCs w:val="28"/>
        </w:rPr>
        <w:t xml:space="preserve"> </w:t>
      </w:r>
      <w:r w:rsidR="00FA3680" w:rsidRPr="00EA1CDA">
        <w:rPr>
          <w:color w:val="000000"/>
          <w:sz w:val="28"/>
          <w:szCs w:val="28"/>
        </w:rPr>
        <w:t>E</w:t>
      </w:r>
      <w:r w:rsidR="0055699A" w:rsidRPr="00EA1CDA">
        <w:rPr>
          <w:color w:val="000000"/>
          <w:sz w:val="28"/>
          <w:szCs w:val="28"/>
        </w:rPr>
        <w:t xml:space="preserve">n el evento de que el médico tratante prescriba nuevamente el suministro del fármaco, este </w:t>
      </w:r>
      <w:r w:rsidR="00F8197C" w:rsidRPr="00EA1CDA">
        <w:rPr>
          <w:color w:val="000000"/>
          <w:sz w:val="28"/>
          <w:szCs w:val="28"/>
        </w:rPr>
        <w:t>será</w:t>
      </w:r>
      <w:r w:rsidR="0055699A" w:rsidRPr="00EA1CDA">
        <w:rPr>
          <w:color w:val="000000"/>
          <w:sz w:val="28"/>
          <w:szCs w:val="28"/>
        </w:rPr>
        <w:t xml:space="preserve"> entregado </w:t>
      </w:r>
      <w:r w:rsidR="00D107B1" w:rsidRPr="00EA1CDA">
        <w:rPr>
          <w:color w:val="000000"/>
          <w:sz w:val="28"/>
          <w:szCs w:val="28"/>
        </w:rPr>
        <w:t xml:space="preserve">máximo </w:t>
      </w:r>
      <w:r w:rsidR="00814278" w:rsidRPr="00EA1CDA">
        <w:rPr>
          <w:color w:val="000000"/>
          <w:sz w:val="28"/>
          <w:szCs w:val="28"/>
        </w:rPr>
        <w:t>setenta y dos (72)</w:t>
      </w:r>
      <w:r w:rsidR="00531CA9" w:rsidRPr="00EA1CDA">
        <w:rPr>
          <w:color w:val="000000"/>
          <w:sz w:val="28"/>
          <w:szCs w:val="28"/>
        </w:rPr>
        <w:t xml:space="preserve"> horas antes </w:t>
      </w:r>
      <w:r w:rsidR="0055699A" w:rsidRPr="00EA1CDA">
        <w:rPr>
          <w:color w:val="000000"/>
          <w:sz w:val="28"/>
          <w:szCs w:val="28"/>
        </w:rPr>
        <w:t xml:space="preserve">de que la </w:t>
      </w:r>
      <w:r w:rsidR="007926B3" w:rsidRPr="00EA1CDA">
        <w:rPr>
          <w:color w:val="000000"/>
          <w:sz w:val="28"/>
          <w:szCs w:val="28"/>
        </w:rPr>
        <w:t>formulación que se entregó anteriormente se agote</w:t>
      </w:r>
      <w:r w:rsidR="00760234" w:rsidRPr="00EA1CDA">
        <w:rPr>
          <w:color w:val="000000"/>
          <w:sz w:val="28"/>
          <w:szCs w:val="28"/>
        </w:rPr>
        <w:t xml:space="preserve"> y, </w:t>
      </w:r>
      <w:r w:rsidR="00280F5B" w:rsidRPr="00EA1CDA">
        <w:rPr>
          <w:color w:val="000000"/>
          <w:sz w:val="28"/>
          <w:szCs w:val="28"/>
        </w:rPr>
        <w:t xml:space="preserve">al momento de efectuar la entrega del medicamento, también </w:t>
      </w:r>
      <w:r w:rsidR="00760234" w:rsidRPr="00EA1CDA">
        <w:rPr>
          <w:color w:val="000000"/>
          <w:sz w:val="28"/>
          <w:szCs w:val="28"/>
        </w:rPr>
        <w:t>debe programarse y fijarse</w:t>
      </w:r>
      <w:r w:rsidR="00280F5B" w:rsidRPr="00EA1CDA">
        <w:rPr>
          <w:color w:val="000000"/>
          <w:sz w:val="28"/>
          <w:szCs w:val="28"/>
        </w:rPr>
        <w:t xml:space="preserve"> la fecha cierta de la siguiente entrega</w:t>
      </w:r>
      <w:r w:rsidR="006C6A28" w:rsidRPr="00EA1CDA">
        <w:rPr>
          <w:color w:val="000000"/>
          <w:sz w:val="28"/>
          <w:szCs w:val="28"/>
        </w:rPr>
        <w:t>. Sobre el cumplimiento de esta orden, la</w:t>
      </w:r>
      <w:r w:rsidR="00D053F4" w:rsidRPr="00EA1CDA">
        <w:rPr>
          <w:color w:val="000000"/>
          <w:sz w:val="28"/>
          <w:szCs w:val="28"/>
        </w:rPr>
        <w:t>s</w:t>
      </w:r>
      <w:r w:rsidR="006C6A28" w:rsidRPr="00EA1CDA">
        <w:rPr>
          <w:color w:val="000000"/>
          <w:sz w:val="28"/>
          <w:szCs w:val="28"/>
        </w:rPr>
        <w:t xml:space="preserve"> </w:t>
      </w:r>
      <w:r w:rsidR="00D053F4" w:rsidRPr="00EA1CDA">
        <w:rPr>
          <w:color w:val="000000"/>
          <w:sz w:val="28"/>
          <w:szCs w:val="28"/>
        </w:rPr>
        <w:t>EPS, IPS y gestores farmacéuticos</w:t>
      </w:r>
      <w:r w:rsidR="003260B7" w:rsidRPr="00EA1CDA">
        <w:rPr>
          <w:color w:val="000000"/>
          <w:sz w:val="28"/>
          <w:szCs w:val="28"/>
        </w:rPr>
        <w:t>, individual o integradamente,</w:t>
      </w:r>
      <w:r w:rsidR="00D053F4" w:rsidRPr="00EA1CDA">
        <w:rPr>
          <w:color w:val="000000"/>
          <w:sz w:val="28"/>
          <w:szCs w:val="28"/>
        </w:rPr>
        <w:t xml:space="preserve"> </w:t>
      </w:r>
      <w:r w:rsidR="00AF3CFD" w:rsidRPr="00EA1CDA">
        <w:rPr>
          <w:color w:val="000000"/>
          <w:sz w:val="28"/>
          <w:szCs w:val="28"/>
        </w:rPr>
        <w:t xml:space="preserve">deberán </w:t>
      </w:r>
      <w:r w:rsidR="00027528" w:rsidRPr="00EA1CDA">
        <w:rPr>
          <w:b/>
          <w:bCs/>
          <w:color w:val="000000"/>
          <w:sz w:val="28"/>
          <w:szCs w:val="28"/>
        </w:rPr>
        <w:t>ENVIAR</w:t>
      </w:r>
      <w:r w:rsidR="00027528" w:rsidRPr="00EA1CDA">
        <w:rPr>
          <w:color w:val="000000"/>
          <w:sz w:val="28"/>
          <w:szCs w:val="28"/>
        </w:rPr>
        <w:t xml:space="preserve"> </w:t>
      </w:r>
      <w:r w:rsidR="006C6A28" w:rsidRPr="00EA1CDA">
        <w:rPr>
          <w:color w:val="000000"/>
          <w:sz w:val="28"/>
          <w:szCs w:val="28"/>
        </w:rPr>
        <w:t xml:space="preserve">un informe a </w:t>
      </w:r>
      <w:r w:rsidR="003260B7" w:rsidRPr="00EA1CDA">
        <w:rPr>
          <w:color w:val="000000"/>
          <w:sz w:val="28"/>
          <w:szCs w:val="28"/>
        </w:rPr>
        <w:t>la Defensoría del Pueblo tan pronto se ejecute y</w:t>
      </w:r>
      <w:r w:rsidR="00070EFF" w:rsidRPr="00EA1CDA">
        <w:rPr>
          <w:color w:val="000000"/>
          <w:sz w:val="28"/>
          <w:szCs w:val="28"/>
        </w:rPr>
        <w:t xml:space="preserve"> </w:t>
      </w:r>
      <w:r w:rsidR="003260B7" w:rsidRPr="00EA1CDA">
        <w:rPr>
          <w:color w:val="000000"/>
          <w:sz w:val="28"/>
          <w:szCs w:val="28"/>
        </w:rPr>
        <w:t xml:space="preserve">dentro </w:t>
      </w:r>
      <w:r w:rsidR="00CB72B4" w:rsidRPr="00EA1CDA">
        <w:rPr>
          <w:color w:val="000000"/>
          <w:sz w:val="28"/>
          <w:szCs w:val="28"/>
        </w:rPr>
        <w:t xml:space="preserve">los primeros </w:t>
      </w:r>
      <w:r w:rsidR="00A710D9" w:rsidRPr="00EA1CDA">
        <w:rPr>
          <w:color w:val="000000"/>
          <w:sz w:val="28"/>
          <w:szCs w:val="28"/>
        </w:rPr>
        <w:t xml:space="preserve">cinco días de cada mes y </w:t>
      </w:r>
      <w:r w:rsidR="008C59E9" w:rsidRPr="00EA1CDA">
        <w:rPr>
          <w:color w:val="000000"/>
          <w:sz w:val="28"/>
          <w:szCs w:val="28"/>
        </w:rPr>
        <w:t>mientras esta medida provisional se encuentre vigente</w:t>
      </w:r>
      <w:r w:rsidR="00A710D9" w:rsidRPr="00EA1CDA">
        <w:rPr>
          <w:color w:val="000000"/>
          <w:sz w:val="28"/>
          <w:szCs w:val="28"/>
        </w:rPr>
        <w:t xml:space="preserve">, </w:t>
      </w:r>
      <w:r w:rsidR="00070EFF" w:rsidRPr="00EA1CDA">
        <w:rPr>
          <w:color w:val="000000"/>
          <w:sz w:val="28"/>
          <w:szCs w:val="28"/>
        </w:rPr>
        <w:t xml:space="preserve">en el que acrediten </w:t>
      </w:r>
      <w:r w:rsidR="006C6A28" w:rsidRPr="00EA1CDA">
        <w:rPr>
          <w:color w:val="000000"/>
          <w:sz w:val="28"/>
          <w:szCs w:val="28"/>
        </w:rPr>
        <w:t xml:space="preserve">la entrega material del medicamento y haber informado la fecha cierta de su próxima entrega a la </w:t>
      </w:r>
      <w:r w:rsidR="004E2751" w:rsidRPr="00EA1CDA">
        <w:rPr>
          <w:color w:val="000000"/>
          <w:sz w:val="28"/>
          <w:szCs w:val="28"/>
        </w:rPr>
        <w:t xml:space="preserve">parte </w:t>
      </w:r>
      <w:r w:rsidR="006C6A28" w:rsidRPr="00EA1CDA">
        <w:rPr>
          <w:color w:val="000000"/>
          <w:sz w:val="28"/>
          <w:szCs w:val="28"/>
        </w:rPr>
        <w:t>accionante</w:t>
      </w:r>
      <w:r w:rsidR="00D54413" w:rsidRPr="00EA1CDA">
        <w:rPr>
          <w:color w:val="000000"/>
          <w:sz w:val="28"/>
          <w:szCs w:val="28"/>
        </w:rPr>
        <w:t xml:space="preserve">. El cumplimiento de esta orden deberá efectuarse </w:t>
      </w:r>
      <w:r w:rsidR="00EE6BE8" w:rsidRPr="00EA1CDA">
        <w:rPr>
          <w:color w:val="000000"/>
          <w:sz w:val="28"/>
          <w:szCs w:val="28"/>
        </w:rPr>
        <w:t>de manera coordinada</w:t>
      </w:r>
      <w:r w:rsidR="00B87678" w:rsidRPr="00EA1CDA">
        <w:rPr>
          <w:color w:val="000000"/>
          <w:sz w:val="28"/>
          <w:szCs w:val="28"/>
        </w:rPr>
        <w:t xml:space="preserve"> entre la EPS, </w:t>
      </w:r>
      <w:r w:rsidR="003260B7" w:rsidRPr="00EA1CDA">
        <w:rPr>
          <w:color w:val="000000"/>
          <w:sz w:val="28"/>
          <w:szCs w:val="28"/>
        </w:rPr>
        <w:t xml:space="preserve">la </w:t>
      </w:r>
      <w:r w:rsidR="00B87678" w:rsidRPr="00EA1CDA">
        <w:rPr>
          <w:color w:val="000000"/>
          <w:sz w:val="28"/>
          <w:szCs w:val="28"/>
        </w:rPr>
        <w:t>IPS y</w:t>
      </w:r>
      <w:r w:rsidR="003260B7" w:rsidRPr="00EA1CDA">
        <w:rPr>
          <w:color w:val="000000"/>
          <w:sz w:val="28"/>
          <w:szCs w:val="28"/>
        </w:rPr>
        <w:t xml:space="preserve"> el</w:t>
      </w:r>
      <w:r w:rsidR="00B87678" w:rsidRPr="00EA1CDA">
        <w:rPr>
          <w:color w:val="000000"/>
          <w:sz w:val="28"/>
          <w:szCs w:val="28"/>
        </w:rPr>
        <w:t xml:space="preserve"> gestor farmacéutico correspondiente</w:t>
      </w:r>
      <w:r w:rsidR="00A54BF9" w:rsidRPr="00EA1CDA">
        <w:rPr>
          <w:color w:val="000000"/>
          <w:sz w:val="28"/>
          <w:szCs w:val="28"/>
        </w:rPr>
        <w:t>,</w:t>
      </w:r>
      <w:r w:rsidR="00EE6BE8" w:rsidRPr="00EA1CDA">
        <w:rPr>
          <w:color w:val="000000"/>
          <w:sz w:val="28"/>
          <w:szCs w:val="28"/>
        </w:rPr>
        <w:t xml:space="preserve"> </w:t>
      </w:r>
      <w:r w:rsidR="00406B17" w:rsidRPr="00EA1CDA">
        <w:rPr>
          <w:color w:val="000000"/>
          <w:sz w:val="28"/>
          <w:szCs w:val="28"/>
        </w:rPr>
        <w:t xml:space="preserve">sin dejar de advertir que </w:t>
      </w:r>
      <w:r w:rsidR="00D35693" w:rsidRPr="00EA1CDA">
        <w:rPr>
          <w:color w:val="000000"/>
          <w:sz w:val="28"/>
          <w:szCs w:val="28"/>
        </w:rPr>
        <w:t xml:space="preserve">la garantía de la entrega del medicamento </w:t>
      </w:r>
      <w:r w:rsidR="00066A0F" w:rsidRPr="00EA1CDA">
        <w:rPr>
          <w:color w:val="000000"/>
          <w:sz w:val="28"/>
          <w:szCs w:val="28"/>
        </w:rPr>
        <w:t xml:space="preserve">es </w:t>
      </w:r>
      <w:r w:rsidR="00D053F4" w:rsidRPr="00EA1CDA">
        <w:rPr>
          <w:color w:val="000000"/>
          <w:sz w:val="28"/>
          <w:szCs w:val="28"/>
        </w:rPr>
        <w:t>responsabilidad</w:t>
      </w:r>
      <w:r w:rsidR="00066A0F" w:rsidRPr="00EA1CDA">
        <w:rPr>
          <w:color w:val="000000"/>
          <w:sz w:val="28"/>
          <w:szCs w:val="28"/>
        </w:rPr>
        <w:t xml:space="preserve"> de la </w:t>
      </w:r>
      <w:r w:rsidR="000071AF" w:rsidRPr="00EA1CDA">
        <w:rPr>
          <w:color w:val="000000"/>
          <w:sz w:val="28"/>
          <w:szCs w:val="28"/>
        </w:rPr>
        <w:t xml:space="preserve">EPS. </w:t>
      </w:r>
    </w:p>
    <w:p w14:paraId="5F072945" w14:textId="77777777" w:rsidR="00616DBF" w:rsidRPr="00EA1CDA" w:rsidRDefault="00616DBF" w:rsidP="00616DBF">
      <w:pPr>
        <w:rPr>
          <w:color w:val="000000"/>
          <w:sz w:val="28"/>
          <w:szCs w:val="28"/>
        </w:rPr>
      </w:pPr>
    </w:p>
    <w:p w14:paraId="18130FE6" w14:textId="531A7E00" w:rsidR="009475E3" w:rsidRPr="00EA1CDA" w:rsidRDefault="009475E3" w:rsidP="009475E3">
      <w:pPr>
        <w:pStyle w:val="Prrafodelista"/>
        <w:jc w:val="center"/>
        <w:rPr>
          <w:color w:val="000000"/>
          <w:sz w:val="22"/>
          <w:szCs w:val="22"/>
        </w:rPr>
      </w:pPr>
      <w:r w:rsidRPr="00EA1CDA">
        <w:rPr>
          <w:color w:val="000000"/>
          <w:sz w:val="22"/>
          <w:szCs w:val="22"/>
        </w:rPr>
        <w:t xml:space="preserve">Tabla 2. </w:t>
      </w:r>
      <w:r w:rsidRPr="00EA1CDA">
        <w:rPr>
          <w:i/>
          <w:iCs/>
          <w:color w:val="000000"/>
          <w:sz w:val="22"/>
          <w:szCs w:val="22"/>
        </w:rPr>
        <w:t>Destinatarios de la orden primera</w:t>
      </w:r>
    </w:p>
    <w:tbl>
      <w:tblPr>
        <w:tblStyle w:val="Tablaconcuadrcula"/>
        <w:tblW w:w="0" w:type="auto"/>
        <w:tblLook w:val="04A0" w:firstRow="1" w:lastRow="0" w:firstColumn="1" w:lastColumn="0" w:noHBand="0" w:noVBand="1"/>
      </w:tblPr>
      <w:tblGrid>
        <w:gridCol w:w="1696"/>
        <w:gridCol w:w="2552"/>
        <w:gridCol w:w="283"/>
        <w:gridCol w:w="1701"/>
        <w:gridCol w:w="2596"/>
      </w:tblGrid>
      <w:tr w:rsidR="00B67E30" w:rsidRPr="00EA1CDA" w14:paraId="1771042B" w14:textId="77777777" w:rsidTr="0040108A">
        <w:tc>
          <w:tcPr>
            <w:tcW w:w="1696" w:type="dxa"/>
            <w:shd w:val="clear" w:color="auto" w:fill="95B3D7" w:themeFill="accent1" w:themeFillTint="99"/>
            <w:vAlign w:val="center"/>
          </w:tcPr>
          <w:p w14:paraId="214529C6" w14:textId="77777777" w:rsidR="00B67E30" w:rsidRPr="00EA1CDA" w:rsidRDefault="00B67E30" w:rsidP="0040108A">
            <w:pPr>
              <w:pStyle w:val="Prrafodelista"/>
              <w:tabs>
                <w:tab w:val="left" w:pos="0"/>
              </w:tabs>
              <w:ind w:left="0"/>
              <w:jc w:val="center"/>
              <w:rPr>
                <w:rFonts w:ascii="Times New Roman" w:hAnsi="Times New Roman" w:cs="Times New Roman"/>
                <w:b/>
                <w:sz w:val="20"/>
                <w:szCs w:val="20"/>
              </w:rPr>
            </w:pPr>
            <w:r w:rsidRPr="00EA1CDA">
              <w:rPr>
                <w:rFonts w:ascii="Times New Roman" w:hAnsi="Times New Roman" w:cs="Times New Roman"/>
                <w:b/>
                <w:sz w:val="20"/>
                <w:szCs w:val="20"/>
              </w:rPr>
              <w:t>Expediente</w:t>
            </w:r>
          </w:p>
        </w:tc>
        <w:tc>
          <w:tcPr>
            <w:tcW w:w="2552" w:type="dxa"/>
            <w:tcBorders>
              <w:right w:val="single" w:sz="4" w:space="0" w:color="auto"/>
            </w:tcBorders>
            <w:shd w:val="clear" w:color="auto" w:fill="95B3D7" w:themeFill="accent1" w:themeFillTint="99"/>
            <w:vAlign w:val="center"/>
          </w:tcPr>
          <w:p w14:paraId="7560448D" w14:textId="77777777" w:rsidR="00B67E30" w:rsidRPr="00EA1CDA" w:rsidRDefault="00B67E30" w:rsidP="0040108A">
            <w:pPr>
              <w:widowControl w:val="0"/>
              <w:pBdr>
                <w:top w:val="nil"/>
                <w:left w:val="nil"/>
                <w:bottom w:val="nil"/>
                <w:right w:val="nil"/>
                <w:between w:val="nil"/>
              </w:pBdr>
              <w:tabs>
                <w:tab w:val="left" w:pos="851"/>
                <w:tab w:val="left" w:pos="1560"/>
              </w:tabs>
              <w:ind w:right="-62"/>
              <w:jc w:val="center"/>
              <w:rPr>
                <w:rFonts w:ascii="Times New Roman" w:hAnsi="Times New Roman" w:cs="Times New Roman"/>
                <w:b/>
                <w:bCs/>
                <w:color w:val="000000"/>
                <w:sz w:val="20"/>
                <w:szCs w:val="20"/>
              </w:rPr>
            </w:pPr>
            <w:r w:rsidRPr="00EA1CDA">
              <w:rPr>
                <w:rFonts w:ascii="Times New Roman" w:hAnsi="Times New Roman" w:cs="Times New Roman"/>
                <w:b/>
                <w:bCs/>
                <w:color w:val="000000"/>
                <w:sz w:val="20"/>
                <w:szCs w:val="20"/>
              </w:rPr>
              <w:t>EPS, IPS o</w:t>
            </w:r>
          </w:p>
          <w:p w14:paraId="0932DB33" w14:textId="77777777" w:rsidR="00B67E30" w:rsidRPr="00EA1CDA" w:rsidRDefault="00B67E30" w:rsidP="0040108A">
            <w:pPr>
              <w:widowControl w:val="0"/>
              <w:pBdr>
                <w:top w:val="nil"/>
                <w:left w:val="nil"/>
                <w:bottom w:val="nil"/>
                <w:right w:val="nil"/>
                <w:between w:val="nil"/>
              </w:pBdr>
              <w:tabs>
                <w:tab w:val="left" w:pos="851"/>
                <w:tab w:val="left" w:pos="1560"/>
              </w:tabs>
              <w:ind w:right="-62"/>
              <w:jc w:val="center"/>
              <w:rPr>
                <w:rFonts w:ascii="Times New Roman" w:hAnsi="Times New Roman" w:cs="Times New Roman"/>
                <w:b/>
                <w:bCs/>
                <w:color w:val="000000"/>
                <w:sz w:val="20"/>
                <w:szCs w:val="20"/>
              </w:rPr>
            </w:pPr>
            <w:r w:rsidRPr="00EA1CDA">
              <w:rPr>
                <w:rFonts w:ascii="Times New Roman" w:hAnsi="Times New Roman" w:cs="Times New Roman"/>
                <w:b/>
                <w:bCs/>
                <w:color w:val="000000"/>
                <w:sz w:val="20"/>
                <w:szCs w:val="20"/>
              </w:rPr>
              <w:t>gestor farmacéutico</w:t>
            </w:r>
          </w:p>
          <w:p w14:paraId="7F0FDE4F" w14:textId="77777777" w:rsidR="00B67E30" w:rsidRPr="00EA1CDA" w:rsidRDefault="00B67E30" w:rsidP="0040108A">
            <w:pPr>
              <w:pStyle w:val="Prrafodelista"/>
              <w:tabs>
                <w:tab w:val="left" w:pos="0"/>
              </w:tabs>
              <w:ind w:left="0"/>
              <w:jc w:val="center"/>
              <w:rPr>
                <w:rFonts w:ascii="Times New Roman" w:hAnsi="Times New Roman" w:cs="Times New Roman"/>
                <w:b/>
                <w:sz w:val="20"/>
                <w:szCs w:val="20"/>
              </w:rPr>
            </w:pPr>
            <w:r w:rsidRPr="00EA1CDA">
              <w:rPr>
                <w:rFonts w:ascii="Times New Roman" w:hAnsi="Times New Roman" w:cs="Times New Roman"/>
                <w:b/>
                <w:bCs/>
                <w:color w:val="000000"/>
                <w:sz w:val="20"/>
                <w:szCs w:val="20"/>
              </w:rPr>
              <w:t>(</w:t>
            </w:r>
            <w:r w:rsidRPr="00EA1CDA">
              <w:rPr>
                <w:rFonts w:ascii="Times New Roman" w:hAnsi="Times New Roman" w:cs="Times New Roman"/>
                <w:b/>
                <w:bCs/>
                <w:color w:val="000000"/>
                <w:sz w:val="16"/>
                <w:szCs w:val="16"/>
              </w:rPr>
              <w:t>Destinatario de la orden)</w:t>
            </w:r>
          </w:p>
        </w:tc>
        <w:tc>
          <w:tcPr>
            <w:tcW w:w="283" w:type="dxa"/>
            <w:tcBorders>
              <w:top w:val="nil"/>
              <w:left w:val="single" w:sz="4" w:space="0" w:color="auto"/>
              <w:bottom w:val="nil"/>
              <w:right w:val="single" w:sz="4" w:space="0" w:color="auto"/>
            </w:tcBorders>
            <w:shd w:val="clear" w:color="auto" w:fill="auto"/>
            <w:vAlign w:val="center"/>
          </w:tcPr>
          <w:p w14:paraId="1ED0720A" w14:textId="77777777" w:rsidR="00B67E30" w:rsidRPr="00EA1CDA" w:rsidRDefault="00B67E30" w:rsidP="0040108A">
            <w:pPr>
              <w:pStyle w:val="Prrafodelista"/>
              <w:tabs>
                <w:tab w:val="left" w:pos="0"/>
              </w:tabs>
              <w:ind w:left="0"/>
              <w:jc w:val="center"/>
              <w:rPr>
                <w:rFonts w:ascii="Times New Roman" w:hAnsi="Times New Roman" w:cs="Times New Roman"/>
                <w:b/>
                <w:sz w:val="20"/>
                <w:szCs w:val="20"/>
              </w:rPr>
            </w:pPr>
          </w:p>
        </w:tc>
        <w:tc>
          <w:tcPr>
            <w:tcW w:w="1701" w:type="dxa"/>
            <w:tcBorders>
              <w:left w:val="single" w:sz="4" w:space="0" w:color="auto"/>
            </w:tcBorders>
            <w:shd w:val="clear" w:color="auto" w:fill="95B3D7" w:themeFill="accent1" w:themeFillTint="99"/>
            <w:vAlign w:val="center"/>
          </w:tcPr>
          <w:p w14:paraId="3DB3AE7E" w14:textId="77777777" w:rsidR="00B67E30" w:rsidRPr="00EA1CDA" w:rsidRDefault="00B67E30" w:rsidP="0040108A">
            <w:pPr>
              <w:pStyle w:val="Prrafodelista"/>
              <w:tabs>
                <w:tab w:val="left" w:pos="0"/>
              </w:tabs>
              <w:ind w:left="0"/>
              <w:jc w:val="center"/>
              <w:rPr>
                <w:rFonts w:ascii="Times New Roman" w:hAnsi="Times New Roman" w:cs="Times New Roman"/>
                <w:b/>
                <w:sz w:val="20"/>
                <w:szCs w:val="20"/>
              </w:rPr>
            </w:pPr>
            <w:r w:rsidRPr="00EA1CDA">
              <w:rPr>
                <w:rFonts w:ascii="Times New Roman" w:hAnsi="Times New Roman" w:cs="Times New Roman"/>
                <w:b/>
                <w:sz w:val="20"/>
                <w:szCs w:val="20"/>
              </w:rPr>
              <w:t>Expediente</w:t>
            </w:r>
          </w:p>
        </w:tc>
        <w:tc>
          <w:tcPr>
            <w:tcW w:w="2596" w:type="dxa"/>
            <w:shd w:val="clear" w:color="auto" w:fill="95B3D7" w:themeFill="accent1" w:themeFillTint="99"/>
            <w:vAlign w:val="center"/>
          </w:tcPr>
          <w:p w14:paraId="3139EED7" w14:textId="77777777" w:rsidR="00B67E30" w:rsidRPr="00EA1CDA" w:rsidRDefault="00B67E30" w:rsidP="0040108A">
            <w:pPr>
              <w:widowControl w:val="0"/>
              <w:pBdr>
                <w:top w:val="nil"/>
                <w:left w:val="nil"/>
                <w:bottom w:val="nil"/>
                <w:right w:val="nil"/>
                <w:between w:val="nil"/>
              </w:pBdr>
              <w:tabs>
                <w:tab w:val="left" w:pos="851"/>
                <w:tab w:val="left" w:pos="1560"/>
              </w:tabs>
              <w:ind w:right="-62"/>
              <w:jc w:val="center"/>
              <w:rPr>
                <w:rFonts w:ascii="Times New Roman" w:hAnsi="Times New Roman" w:cs="Times New Roman"/>
                <w:b/>
                <w:bCs/>
                <w:color w:val="000000"/>
                <w:sz w:val="20"/>
                <w:szCs w:val="20"/>
              </w:rPr>
            </w:pPr>
            <w:r w:rsidRPr="00EA1CDA">
              <w:rPr>
                <w:rFonts w:ascii="Times New Roman" w:hAnsi="Times New Roman" w:cs="Times New Roman"/>
                <w:b/>
                <w:bCs/>
                <w:color w:val="000000"/>
                <w:sz w:val="20"/>
                <w:szCs w:val="20"/>
              </w:rPr>
              <w:t>EPS, IPS o</w:t>
            </w:r>
          </w:p>
          <w:p w14:paraId="168C8A7F" w14:textId="77777777" w:rsidR="00B67E30" w:rsidRPr="00EA1CDA" w:rsidRDefault="00B67E30" w:rsidP="0040108A">
            <w:pPr>
              <w:widowControl w:val="0"/>
              <w:pBdr>
                <w:top w:val="nil"/>
                <w:left w:val="nil"/>
                <w:bottom w:val="nil"/>
                <w:right w:val="nil"/>
                <w:between w:val="nil"/>
              </w:pBdr>
              <w:tabs>
                <w:tab w:val="left" w:pos="851"/>
                <w:tab w:val="left" w:pos="1560"/>
              </w:tabs>
              <w:ind w:right="-62"/>
              <w:jc w:val="center"/>
              <w:rPr>
                <w:rFonts w:ascii="Times New Roman" w:hAnsi="Times New Roman" w:cs="Times New Roman"/>
                <w:b/>
                <w:bCs/>
                <w:color w:val="000000"/>
                <w:sz w:val="20"/>
                <w:szCs w:val="20"/>
              </w:rPr>
            </w:pPr>
            <w:r w:rsidRPr="00EA1CDA">
              <w:rPr>
                <w:rFonts w:ascii="Times New Roman" w:hAnsi="Times New Roman" w:cs="Times New Roman"/>
                <w:b/>
                <w:bCs/>
                <w:color w:val="000000"/>
                <w:sz w:val="20"/>
                <w:szCs w:val="20"/>
              </w:rPr>
              <w:t>gestor farmacéutico</w:t>
            </w:r>
          </w:p>
          <w:p w14:paraId="28A9DC31" w14:textId="77777777" w:rsidR="00B67E30" w:rsidRPr="00EA1CDA" w:rsidRDefault="00B67E30" w:rsidP="0040108A">
            <w:pPr>
              <w:pStyle w:val="Prrafodelista"/>
              <w:tabs>
                <w:tab w:val="left" w:pos="0"/>
              </w:tabs>
              <w:ind w:left="0"/>
              <w:jc w:val="center"/>
              <w:rPr>
                <w:rFonts w:ascii="Times New Roman" w:hAnsi="Times New Roman" w:cs="Times New Roman"/>
                <w:b/>
                <w:sz w:val="20"/>
                <w:szCs w:val="20"/>
              </w:rPr>
            </w:pPr>
            <w:r w:rsidRPr="00EA1CDA">
              <w:rPr>
                <w:rFonts w:ascii="Times New Roman" w:hAnsi="Times New Roman" w:cs="Times New Roman"/>
                <w:b/>
                <w:bCs/>
                <w:color w:val="000000"/>
                <w:sz w:val="20"/>
                <w:szCs w:val="20"/>
              </w:rPr>
              <w:t>(</w:t>
            </w:r>
            <w:r w:rsidRPr="00EA1CDA">
              <w:rPr>
                <w:rFonts w:ascii="Times New Roman" w:hAnsi="Times New Roman" w:cs="Times New Roman"/>
                <w:b/>
                <w:bCs/>
                <w:color w:val="000000"/>
                <w:sz w:val="16"/>
                <w:szCs w:val="16"/>
              </w:rPr>
              <w:t>Destinatario de la orden)</w:t>
            </w:r>
          </w:p>
        </w:tc>
      </w:tr>
      <w:tr w:rsidR="00B67E30" w:rsidRPr="00EA1CDA" w14:paraId="7C98F8BE" w14:textId="77777777" w:rsidTr="0040108A">
        <w:tc>
          <w:tcPr>
            <w:tcW w:w="1696" w:type="dxa"/>
          </w:tcPr>
          <w:p w14:paraId="65B99A38" w14:textId="77777777" w:rsidR="00B67E30" w:rsidRPr="00EA1CDA" w:rsidRDefault="00B67E30" w:rsidP="0040108A">
            <w:pPr>
              <w:pStyle w:val="Prrafodelista"/>
              <w:tabs>
                <w:tab w:val="left" w:pos="0"/>
              </w:tabs>
              <w:ind w:left="0"/>
              <w:jc w:val="center"/>
              <w:rPr>
                <w:rFonts w:ascii="Times New Roman" w:hAnsi="Times New Roman" w:cs="Times New Roman"/>
                <w:sz w:val="20"/>
                <w:szCs w:val="20"/>
              </w:rPr>
            </w:pPr>
            <w:r w:rsidRPr="00EA1CDA">
              <w:rPr>
                <w:rFonts w:ascii="Times New Roman" w:hAnsi="Times New Roman" w:cs="Times New Roman"/>
                <w:i/>
                <w:sz w:val="20"/>
                <w:szCs w:val="20"/>
              </w:rPr>
              <w:t>(1)</w:t>
            </w:r>
            <w:r w:rsidRPr="00EA1CDA">
              <w:rPr>
                <w:rFonts w:ascii="Times New Roman" w:hAnsi="Times New Roman" w:cs="Times New Roman"/>
                <w:sz w:val="20"/>
                <w:szCs w:val="20"/>
              </w:rPr>
              <w:t xml:space="preserve"> T-10.641.262</w:t>
            </w:r>
          </w:p>
        </w:tc>
        <w:tc>
          <w:tcPr>
            <w:tcW w:w="2552" w:type="dxa"/>
            <w:tcBorders>
              <w:right w:val="single" w:sz="4" w:space="0" w:color="auto"/>
            </w:tcBorders>
          </w:tcPr>
          <w:p w14:paraId="1C5E43D1" w14:textId="13D5891C" w:rsidR="00B67E30" w:rsidRPr="00EA1CDA" w:rsidRDefault="00B67E30" w:rsidP="0040108A">
            <w:pPr>
              <w:pStyle w:val="Prrafodelista"/>
              <w:tabs>
                <w:tab w:val="left" w:pos="0"/>
              </w:tabs>
              <w:ind w:left="0"/>
              <w:jc w:val="both"/>
              <w:rPr>
                <w:rFonts w:ascii="Times New Roman" w:hAnsi="Times New Roman" w:cs="Times New Roman"/>
                <w:sz w:val="20"/>
                <w:szCs w:val="20"/>
              </w:rPr>
            </w:pPr>
            <w:r w:rsidRPr="00EA1CDA">
              <w:rPr>
                <w:rStyle w:val="normaltextrun"/>
                <w:rFonts w:ascii="Times New Roman" w:hAnsi="Times New Roman" w:cs="Times New Roman"/>
                <w:sz w:val="20"/>
                <w:szCs w:val="20"/>
                <w:bdr w:val="none" w:sz="0" w:space="0" w:color="auto" w:frame="1"/>
              </w:rPr>
              <w:t>Salud Total EPS</w:t>
            </w:r>
            <w:r w:rsidR="00B91540" w:rsidRPr="00EA1CDA">
              <w:rPr>
                <w:rStyle w:val="normaltextrun"/>
                <w:rFonts w:ascii="Times New Roman" w:hAnsi="Times New Roman" w:cs="Times New Roman"/>
                <w:sz w:val="20"/>
                <w:szCs w:val="20"/>
                <w:bdr w:val="none" w:sz="0" w:space="0" w:color="auto" w:frame="1"/>
              </w:rPr>
              <w:t>,</w:t>
            </w:r>
            <w:r w:rsidRPr="00EA1CDA">
              <w:rPr>
                <w:rStyle w:val="normaltextrun"/>
                <w:rFonts w:ascii="Times New Roman" w:hAnsi="Times New Roman" w:cs="Times New Roman"/>
                <w:sz w:val="20"/>
                <w:szCs w:val="20"/>
                <w:bdr w:val="none" w:sz="0" w:space="0" w:color="auto" w:frame="1"/>
              </w:rPr>
              <w:t xml:space="preserve"> </w:t>
            </w:r>
            <w:r w:rsidRPr="00EA1CDA">
              <w:rPr>
                <w:rStyle w:val="normaltextrun"/>
                <w:rFonts w:ascii="Times New Roman" w:hAnsi="Times New Roman" w:cs="Times New Roman"/>
                <w:sz w:val="20"/>
                <w:szCs w:val="20"/>
                <w:shd w:val="clear" w:color="auto" w:fill="FFFFFF"/>
              </w:rPr>
              <w:t>Clínica Los Nogales</w:t>
            </w:r>
            <w:r w:rsidRPr="00EA1CDA">
              <w:rPr>
                <w:rStyle w:val="eop"/>
                <w:rFonts w:ascii="Times New Roman" w:hAnsi="Times New Roman" w:cs="Times New Roman"/>
                <w:sz w:val="20"/>
                <w:szCs w:val="20"/>
                <w:shd w:val="clear" w:color="auto" w:fill="FFFFFF"/>
              </w:rPr>
              <w:t> </w:t>
            </w:r>
            <w:r w:rsidR="00B91540" w:rsidRPr="00EA1CDA">
              <w:rPr>
                <w:rStyle w:val="eop"/>
                <w:rFonts w:ascii="Times New Roman" w:hAnsi="Times New Roman" w:cs="Times New Roman"/>
                <w:sz w:val="20"/>
                <w:szCs w:val="20"/>
                <w:shd w:val="clear" w:color="auto" w:fill="FFFFFF"/>
              </w:rPr>
              <w:t>y</w:t>
            </w:r>
            <w:r w:rsidR="00B91540" w:rsidRPr="00EA1CDA">
              <w:rPr>
                <w:rStyle w:val="eop"/>
                <w:sz w:val="20"/>
                <w:szCs w:val="20"/>
                <w:shd w:val="clear" w:color="auto" w:fill="FFFFFF"/>
              </w:rPr>
              <w:t xml:space="preserve"> </w:t>
            </w:r>
            <w:proofErr w:type="spellStart"/>
            <w:r w:rsidR="006025EE" w:rsidRPr="00EA1CDA">
              <w:rPr>
                <w:rStyle w:val="eop"/>
                <w:sz w:val="20"/>
                <w:szCs w:val="20"/>
                <w:shd w:val="clear" w:color="auto" w:fill="FFFFFF"/>
              </w:rPr>
              <w:t>Optimal</w:t>
            </w:r>
            <w:proofErr w:type="spellEnd"/>
            <w:r w:rsidR="006025EE" w:rsidRPr="00EA1CDA">
              <w:rPr>
                <w:rStyle w:val="eop"/>
                <w:sz w:val="20"/>
                <w:szCs w:val="20"/>
                <w:shd w:val="clear" w:color="auto" w:fill="FFFFFF"/>
              </w:rPr>
              <w:t xml:space="preserve"> </w:t>
            </w:r>
            <w:proofErr w:type="spellStart"/>
            <w:r w:rsidR="006025EE" w:rsidRPr="00EA1CDA">
              <w:rPr>
                <w:rStyle w:val="eop"/>
                <w:sz w:val="20"/>
                <w:szCs w:val="20"/>
                <w:shd w:val="clear" w:color="auto" w:fill="FFFFFF"/>
              </w:rPr>
              <w:t>Therapies</w:t>
            </w:r>
            <w:proofErr w:type="spellEnd"/>
          </w:p>
        </w:tc>
        <w:tc>
          <w:tcPr>
            <w:tcW w:w="283" w:type="dxa"/>
            <w:tcBorders>
              <w:top w:val="nil"/>
              <w:left w:val="single" w:sz="4" w:space="0" w:color="auto"/>
              <w:bottom w:val="nil"/>
              <w:right w:val="single" w:sz="4" w:space="0" w:color="auto"/>
            </w:tcBorders>
          </w:tcPr>
          <w:p w14:paraId="675C6ADC"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p>
        </w:tc>
        <w:tc>
          <w:tcPr>
            <w:tcW w:w="1701" w:type="dxa"/>
            <w:tcBorders>
              <w:left w:val="single" w:sz="4" w:space="0" w:color="auto"/>
            </w:tcBorders>
          </w:tcPr>
          <w:p w14:paraId="5F7C7421" w14:textId="77777777" w:rsidR="00B67E30" w:rsidRPr="00EA1CDA" w:rsidRDefault="00B67E30" w:rsidP="0040108A">
            <w:pPr>
              <w:pStyle w:val="Prrafodelista"/>
              <w:ind w:left="-107" w:right="-108"/>
              <w:jc w:val="center"/>
              <w:rPr>
                <w:rFonts w:ascii="Times New Roman" w:hAnsi="Times New Roman" w:cs="Times New Roman"/>
                <w:sz w:val="20"/>
                <w:szCs w:val="20"/>
              </w:rPr>
            </w:pPr>
            <w:r w:rsidRPr="00EA1CDA">
              <w:rPr>
                <w:rFonts w:ascii="Times New Roman" w:hAnsi="Times New Roman" w:cs="Times New Roman"/>
                <w:i/>
                <w:sz w:val="20"/>
                <w:szCs w:val="20"/>
              </w:rPr>
              <w:t>(23)</w:t>
            </w:r>
            <w:r w:rsidRPr="00EA1CDA">
              <w:rPr>
                <w:rFonts w:ascii="Times New Roman" w:hAnsi="Times New Roman" w:cs="Times New Roman"/>
                <w:sz w:val="20"/>
                <w:szCs w:val="20"/>
              </w:rPr>
              <w:t xml:space="preserve"> T- 10.810.117</w:t>
            </w:r>
          </w:p>
        </w:tc>
        <w:tc>
          <w:tcPr>
            <w:tcW w:w="2596" w:type="dxa"/>
          </w:tcPr>
          <w:p w14:paraId="447FF9A5"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r w:rsidRPr="00EA1CDA">
              <w:rPr>
                <w:rFonts w:ascii="Times New Roman" w:hAnsi="Times New Roman" w:cs="Times New Roman"/>
                <w:sz w:val="20"/>
                <w:szCs w:val="20"/>
              </w:rPr>
              <w:t>Nueva EPS y Cafam</w:t>
            </w:r>
          </w:p>
        </w:tc>
      </w:tr>
      <w:tr w:rsidR="00B67E30" w:rsidRPr="00EA1CDA" w14:paraId="17039682" w14:textId="77777777" w:rsidTr="0040108A">
        <w:tc>
          <w:tcPr>
            <w:tcW w:w="1696" w:type="dxa"/>
          </w:tcPr>
          <w:p w14:paraId="138B8E02" w14:textId="77777777" w:rsidR="00B67E30" w:rsidRPr="00EA1CDA" w:rsidRDefault="00B67E30" w:rsidP="0040108A">
            <w:pPr>
              <w:pStyle w:val="Prrafodelista"/>
              <w:tabs>
                <w:tab w:val="left" w:pos="0"/>
              </w:tabs>
              <w:ind w:left="0"/>
              <w:jc w:val="center"/>
              <w:rPr>
                <w:rFonts w:ascii="Times New Roman" w:hAnsi="Times New Roman" w:cs="Times New Roman"/>
                <w:sz w:val="20"/>
                <w:szCs w:val="20"/>
              </w:rPr>
            </w:pPr>
            <w:r w:rsidRPr="00EA1CDA">
              <w:rPr>
                <w:rFonts w:ascii="Times New Roman" w:hAnsi="Times New Roman" w:cs="Times New Roman"/>
                <w:i/>
                <w:sz w:val="20"/>
                <w:szCs w:val="20"/>
              </w:rPr>
              <w:t>(2)</w:t>
            </w:r>
            <w:r w:rsidRPr="00EA1CDA">
              <w:rPr>
                <w:rFonts w:ascii="Times New Roman" w:hAnsi="Times New Roman" w:cs="Times New Roman"/>
                <w:sz w:val="20"/>
                <w:szCs w:val="20"/>
              </w:rPr>
              <w:t xml:space="preserve"> T-10.771.082</w:t>
            </w:r>
          </w:p>
        </w:tc>
        <w:tc>
          <w:tcPr>
            <w:tcW w:w="2552" w:type="dxa"/>
            <w:tcBorders>
              <w:right w:val="single" w:sz="4" w:space="0" w:color="auto"/>
            </w:tcBorders>
          </w:tcPr>
          <w:p w14:paraId="6BD3954D"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r w:rsidRPr="00EA1CDA">
              <w:rPr>
                <w:rFonts w:ascii="Times New Roman" w:hAnsi="Times New Roman" w:cs="Times New Roman"/>
                <w:sz w:val="20"/>
                <w:szCs w:val="20"/>
              </w:rPr>
              <w:t>Nueva EPS y Cafam</w:t>
            </w:r>
          </w:p>
        </w:tc>
        <w:tc>
          <w:tcPr>
            <w:tcW w:w="283" w:type="dxa"/>
            <w:tcBorders>
              <w:top w:val="nil"/>
              <w:left w:val="single" w:sz="4" w:space="0" w:color="auto"/>
              <w:bottom w:val="nil"/>
              <w:right w:val="single" w:sz="4" w:space="0" w:color="auto"/>
            </w:tcBorders>
          </w:tcPr>
          <w:p w14:paraId="2F139C1E"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p>
        </w:tc>
        <w:tc>
          <w:tcPr>
            <w:tcW w:w="1701" w:type="dxa"/>
            <w:tcBorders>
              <w:left w:val="single" w:sz="4" w:space="0" w:color="auto"/>
            </w:tcBorders>
          </w:tcPr>
          <w:p w14:paraId="1E58E92B" w14:textId="77777777" w:rsidR="00B67E30" w:rsidRPr="00EA1CDA" w:rsidRDefault="00B67E30" w:rsidP="0040108A">
            <w:pPr>
              <w:pStyle w:val="Prrafodelista"/>
              <w:ind w:left="-107" w:right="-108"/>
              <w:jc w:val="center"/>
              <w:rPr>
                <w:rFonts w:ascii="Times New Roman" w:hAnsi="Times New Roman" w:cs="Times New Roman"/>
                <w:sz w:val="20"/>
                <w:szCs w:val="20"/>
              </w:rPr>
            </w:pPr>
            <w:r w:rsidRPr="00EA1CDA">
              <w:rPr>
                <w:rFonts w:ascii="Times New Roman" w:hAnsi="Times New Roman" w:cs="Times New Roman"/>
                <w:i/>
                <w:sz w:val="20"/>
                <w:szCs w:val="20"/>
              </w:rPr>
              <w:t>(24)</w:t>
            </w:r>
            <w:r w:rsidRPr="00EA1CDA">
              <w:rPr>
                <w:rFonts w:ascii="Times New Roman" w:hAnsi="Times New Roman" w:cs="Times New Roman"/>
                <w:sz w:val="20"/>
                <w:szCs w:val="20"/>
              </w:rPr>
              <w:t xml:space="preserve"> T-10.810.192</w:t>
            </w:r>
          </w:p>
        </w:tc>
        <w:tc>
          <w:tcPr>
            <w:tcW w:w="2596" w:type="dxa"/>
          </w:tcPr>
          <w:p w14:paraId="53F5C7EC"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r w:rsidRPr="00EA1CDA">
              <w:rPr>
                <w:rFonts w:ascii="Times New Roman" w:hAnsi="Times New Roman" w:cs="Times New Roman"/>
                <w:sz w:val="20"/>
                <w:szCs w:val="20"/>
              </w:rPr>
              <w:t>Nueva EPS y Cafam</w:t>
            </w:r>
          </w:p>
        </w:tc>
      </w:tr>
      <w:tr w:rsidR="00B67E30" w:rsidRPr="00EA1CDA" w14:paraId="2682F1A2" w14:textId="77777777" w:rsidTr="0040108A">
        <w:tc>
          <w:tcPr>
            <w:tcW w:w="1696" w:type="dxa"/>
          </w:tcPr>
          <w:p w14:paraId="7FB1B0AC" w14:textId="77777777" w:rsidR="00B67E30" w:rsidRPr="00EA1CDA" w:rsidRDefault="00B67E30" w:rsidP="0040108A">
            <w:pPr>
              <w:pStyle w:val="Prrafodelista"/>
              <w:tabs>
                <w:tab w:val="left" w:pos="0"/>
              </w:tabs>
              <w:ind w:left="0"/>
              <w:jc w:val="center"/>
              <w:rPr>
                <w:rFonts w:ascii="Times New Roman" w:hAnsi="Times New Roman" w:cs="Times New Roman"/>
                <w:sz w:val="20"/>
                <w:szCs w:val="20"/>
              </w:rPr>
            </w:pPr>
            <w:r w:rsidRPr="00EA1CDA">
              <w:rPr>
                <w:rFonts w:ascii="Times New Roman" w:hAnsi="Times New Roman" w:cs="Times New Roman"/>
                <w:i/>
                <w:sz w:val="20"/>
                <w:szCs w:val="20"/>
              </w:rPr>
              <w:t>(6)</w:t>
            </w:r>
            <w:r w:rsidRPr="00EA1CDA">
              <w:rPr>
                <w:rFonts w:ascii="Times New Roman" w:hAnsi="Times New Roman" w:cs="Times New Roman"/>
                <w:sz w:val="20"/>
                <w:szCs w:val="20"/>
              </w:rPr>
              <w:t xml:space="preserve"> T-10.781.205</w:t>
            </w:r>
          </w:p>
        </w:tc>
        <w:tc>
          <w:tcPr>
            <w:tcW w:w="2552" w:type="dxa"/>
            <w:tcBorders>
              <w:right w:val="single" w:sz="4" w:space="0" w:color="auto"/>
            </w:tcBorders>
          </w:tcPr>
          <w:p w14:paraId="5ED3A035"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r w:rsidRPr="00EA1CDA">
              <w:rPr>
                <w:rStyle w:val="normaltextrun"/>
                <w:rFonts w:ascii="Times New Roman" w:hAnsi="Times New Roman" w:cs="Times New Roman"/>
                <w:sz w:val="20"/>
                <w:szCs w:val="20"/>
                <w:shd w:val="clear" w:color="auto" w:fill="FFFFFF"/>
              </w:rPr>
              <w:t>Nueva EPS </w:t>
            </w:r>
            <w:r w:rsidRPr="00EA1CDA">
              <w:rPr>
                <w:rStyle w:val="eop"/>
                <w:rFonts w:ascii="Times New Roman" w:hAnsi="Times New Roman" w:cs="Times New Roman"/>
                <w:sz w:val="20"/>
                <w:szCs w:val="20"/>
                <w:shd w:val="clear" w:color="auto" w:fill="FFFFFF"/>
              </w:rPr>
              <w:t> </w:t>
            </w:r>
          </w:p>
        </w:tc>
        <w:tc>
          <w:tcPr>
            <w:tcW w:w="283" w:type="dxa"/>
            <w:tcBorders>
              <w:top w:val="nil"/>
              <w:left w:val="single" w:sz="4" w:space="0" w:color="auto"/>
              <w:bottom w:val="nil"/>
              <w:right w:val="single" w:sz="4" w:space="0" w:color="auto"/>
            </w:tcBorders>
          </w:tcPr>
          <w:p w14:paraId="77B5F67B"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p>
        </w:tc>
        <w:tc>
          <w:tcPr>
            <w:tcW w:w="1701" w:type="dxa"/>
            <w:tcBorders>
              <w:left w:val="single" w:sz="4" w:space="0" w:color="auto"/>
            </w:tcBorders>
          </w:tcPr>
          <w:p w14:paraId="1ABDB5BC" w14:textId="77777777" w:rsidR="00B67E30" w:rsidRPr="00EA1CDA" w:rsidRDefault="00B67E30" w:rsidP="0040108A">
            <w:pPr>
              <w:pStyle w:val="Prrafodelista"/>
              <w:ind w:left="-107" w:right="-108"/>
              <w:jc w:val="center"/>
              <w:rPr>
                <w:rFonts w:ascii="Times New Roman" w:hAnsi="Times New Roman" w:cs="Times New Roman"/>
                <w:sz w:val="20"/>
                <w:szCs w:val="20"/>
              </w:rPr>
            </w:pPr>
            <w:r w:rsidRPr="00EA1CDA">
              <w:rPr>
                <w:rFonts w:ascii="Times New Roman" w:hAnsi="Times New Roman" w:cs="Times New Roman"/>
                <w:i/>
                <w:sz w:val="20"/>
                <w:szCs w:val="20"/>
              </w:rPr>
              <w:t>(27)</w:t>
            </w:r>
            <w:r w:rsidRPr="00EA1CDA">
              <w:rPr>
                <w:rFonts w:ascii="Times New Roman" w:hAnsi="Times New Roman" w:cs="Times New Roman"/>
                <w:sz w:val="20"/>
                <w:szCs w:val="20"/>
              </w:rPr>
              <w:t xml:space="preserve"> T-10.811.732</w:t>
            </w:r>
          </w:p>
        </w:tc>
        <w:tc>
          <w:tcPr>
            <w:tcW w:w="2596" w:type="dxa"/>
          </w:tcPr>
          <w:p w14:paraId="7AF1BA3F"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r w:rsidRPr="00EA1CDA">
              <w:rPr>
                <w:rFonts w:ascii="Times New Roman" w:hAnsi="Times New Roman" w:cs="Times New Roman"/>
                <w:sz w:val="20"/>
                <w:szCs w:val="20"/>
              </w:rPr>
              <w:t>Nueva EPS y Cafam</w:t>
            </w:r>
          </w:p>
        </w:tc>
      </w:tr>
      <w:tr w:rsidR="00B67E30" w:rsidRPr="00EA1CDA" w14:paraId="5AFDA751" w14:textId="77777777" w:rsidTr="0040108A">
        <w:tc>
          <w:tcPr>
            <w:tcW w:w="1696" w:type="dxa"/>
          </w:tcPr>
          <w:p w14:paraId="087C9950" w14:textId="77777777" w:rsidR="00B67E30" w:rsidRPr="00EA1CDA" w:rsidRDefault="00B67E30" w:rsidP="0040108A">
            <w:pPr>
              <w:pStyle w:val="Prrafodelista"/>
              <w:tabs>
                <w:tab w:val="left" w:pos="0"/>
              </w:tabs>
              <w:ind w:left="0"/>
              <w:jc w:val="center"/>
              <w:rPr>
                <w:rFonts w:ascii="Times New Roman" w:hAnsi="Times New Roman" w:cs="Times New Roman"/>
                <w:sz w:val="20"/>
                <w:szCs w:val="20"/>
              </w:rPr>
            </w:pPr>
            <w:r w:rsidRPr="00EA1CDA">
              <w:rPr>
                <w:rFonts w:ascii="Times New Roman" w:hAnsi="Times New Roman" w:cs="Times New Roman"/>
                <w:i/>
                <w:sz w:val="20"/>
                <w:szCs w:val="20"/>
              </w:rPr>
              <w:t>(11)</w:t>
            </w:r>
            <w:r w:rsidRPr="00EA1CDA">
              <w:rPr>
                <w:rFonts w:ascii="Times New Roman" w:hAnsi="Times New Roman" w:cs="Times New Roman"/>
                <w:sz w:val="20"/>
                <w:szCs w:val="20"/>
              </w:rPr>
              <w:t xml:space="preserve"> T-10.787.792</w:t>
            </w:r>
          </w:p>
        </w:tc>
        <w:tc>
          <w:tcPr>
            <w:tcW w:w="2552" w:type="dxa"/>
            <w:tcBorders>
              <w:right w:val="single" w:sz="4" w:space="0" w:color="auto"/>
            </w:tcBorders>
          </w:tcPr>
          <w:p w14:paraId="2F125427"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r w:rsidRPr="00EA1CDA">
              <w:rPr>
                <w:rFonts w:ascii="Times New Roman" w:hAnsi="Times New Roman" w:cs="Times New Roman"/>
                <w:sz w:val="20"/>
                <w:szCs w:val="20"/>
              </w:rPr>
              <w:t>Nueva EPS y Cafam</w:t>
            </w:r>
          </w:p>
        </w:tc>
        <w:tc>
          <w:tcPr>
            <w:tcW w:w="283" w:type="dxa"/>
            <w:tcBorders>
              <w:top w:val="nil"/>
              <w:left w:val="single" w:sz="4" w:space="0" w:color="auto"/>
              <w:bottom w:val="nil"/>
              <w:right w:val="single" w:sz="4" w:space="0" w:color="auto"/>
            </w:tcBorders>
          </w:tcPr>
          <w:p w14:paraId="6D331795"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p>
        </w:tc>
        <w:tc>
          <w:tcPr>
            <w:tcW w:w="1701" w:type="dxa"/>
            <w:tcBorders>
              <w:left w:val="single" w:sz="4" w:space="0" w:color="auto"/>
            </w:tcBorders>
          </w:tcPr>
          <w:p w14:paraId="5C1CB0E7" w14:textId="77777777" w:rsidR="00B67E30" w:rsidRPr="00EA1CDA" w:rsidRDefault="00B67E30" w:rsidP="0040108A">
            <w:pPr>
              <w:pStyle w:val="Prrafodelista"/>
              <w:ind w:left="-107" w:right="-108"/>
              <w:jc w:val="center"/>
              <w:rPr>
                <w:rFonts w:ascii="Times New Roman" w:hAnsi="Times New Roman" w:cs="Times New Roman"/>
                <w:sz w:val="20"/>
                <w:szCs w:val="20"/>
              </w:rPr>
            </w:pPr>
            <w:r w:rsidRPr="00EA1CDA">
              <w:rPr>
                <w:rFonts w:ascii="Times New Roman" w:hAnsi="Times New Roman" w:cs="Times New Roman"/>
                <w:i/>
                <w:sz w:val="20"/>
                <w:szCs w:val="20"/>
              </w:rPr>
              <w:t>(29)</w:t>
            </w:r>
            <w:r w:rsidRPr="00EA1CDA">
              <w:rPr>
                <w:rFonts w:ascii="Times New Roman" w:hAnsi="Times New Roman" w:cs="Times New Roman"/>
                <w:sz w:val="20"/>
                <w:szCs w:val="20"/>
              </w:rPr>
              <w:t xml:space="preserve"> T- 10.820.873</w:t>
            </w:r>
          </w:p>
        </w:tc>
        <w:tc>
          <w:tcPr>
            <w:tcW w:w="2596" w:type="dxa"/>
          </w:tcPr>
          <w:p w14:paraId="53BB7ED6"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r w:rsidRPr="00EA1CDA">
              <w:rPr>
                <w:rFonts w:ascii="Times New Roman" w:hAnsi="Times New Roman" w:cs="Times New Roman"/>
                <w:sz w:val="20"/>
                <w:szCs w:val="20"/>
              </w:rPr>
              <w:t xml:space="preserve">MEDI Sinú IPS, MUTUAL SER EPS y Distribuciones </w:t>
            </w:r>
            <w:proofErr w:type="spellStart"/>
            <w:r w:rsidRPr="00EA1CDA">
              <w:rPr>
                <w:rFonts w:ascii="Times New Roman" w:hAnsi="Times New Roman" w:cs="Times New Roman"/>
                <w:sz w:val="20"/>
                <w:szCs w:val="20"/>
              </w:rPr>
              <w:t>Pharmaser</w:t>
            </w:r>
            <w:proofErr w:type="spellEnd"/>
            <w:r w:rsidRPr="00EA1CDA">
              <w:rPr>
                <w:rFonts w:ascii="Times New Roman" w:hAnsi="Times New Roman" w:cs="Times New Roman"/>
                <w:sz w:val="20"/>
                <w:szCs w:val="20"/>
              </w:rPr>
              <w:t xml:space="preserve"> Ltda. </w:t>
            </w:r>
          </w:p>
        </w:tc>
      </w:tr>
      <w:tr w:rsidR="00B67E30" w:rsidRPr="00EA1CDA" w14:paraId="3D770487" w14:textId="77777777" w:rsidTr="0040108A">
        <w:tc>
          <w:tcPr>
            <w:tcW w:w="1696" w:type="dxa"/>
          </w:tcPr>
          <w:p w14:paraId="5008A485" w14:textId="77777777" w:rsidR="00B67E30" w:rsidRPr="00EA1CDA" w:rsidRDefault="00B67E30" w:rsidP="0040108A">
            <w:pPr>
              <w:pStyle w:val="Prrafodelista"/>
              <w:tabs>
                <w:tab w:val="left" w:pos="0"/>
              </w:tabs>
              <w:ind w:left="0"/>
              <w:jc w:val="center"/>
              <w:rPr>
                <w:rFonts w:ascii="Times New Roman" w:hAnsi="Times New Roman" w:cs="Times New Roman"/>
                <w:sz w:val="20"/>
                <w:szCs w:val="20"/>
              </w:rPr>
            </w:pPr>
            <w:r w:rsidRPr="00EA1CDA">
              <w:rPr>
                <w:rFonts w:ascii="Times New Roman" w:hAnsi="Times New Roman" w:cs="Times New Roman"/>
                <w:i/>
                <w:sz w:val="20"/>
                <w:szCs w:val="20"/>
              </w:rPr>
              <w:t>(13)</w:t>
            </w:r>
            <w:r w:rsidRPr="00EA1CDA">
              <w:rPr>
                <w:rFonts w:ascii="Times New Roman" w:hAnsi="Times New Roman" w:cs="Times New Roman"/>
                <w:sz w:val="20"/>
                <w:szCs w:val="20"/>
              </w:rPr>
              <w:t xml:space="preserve"> T-10.790.526</w:t>
            </w:r>
          </w:p>
        </w:tc>
        <w:tc>
          <w:tcPr>
            <w:tcW w:w="2552" w:type="dxa"/>
            <w:tcBorders>
              <w:right w:val="single" w:sz="4" w:space="0" w:color="auto"/>
            </w:tcBorders>
          </w:tcPr>
          <w:p w14:paraId="769C50D7"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r w:rsidRPr="00EA1CDA">
              <w:rPr>
                <w:rFonts w:ascii="Times New Roman" w:hAnsi="Times New Roman" w:cs="Times New Roman"/>
                <w:sz w:val="20"/>
                <w:szCs w:val="20"/>
              </w:rPr>
              <w:t>Nueva EPS y Audifarma</w:t>
            </w:r>
          </w:p>
        </w:tc>
        <w:tc>
          <w:tcPr>
            <w:tcW w:w="283" w:type="dxa"/>
            <w:tcBorders>
              <w:top w:val="nil"/>
              <w:left w:val="single" w:sz="4" w:space="0" w:color="auto"/>
              <w:bottom w:val="nil"/>
              <w:right w:val="single" w:sz="4" w:space="0" w:color="auto"/>
            </w:tcBorders>
          </w:tcPr>
          <w:p w14:paraId="65D62FBB"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p>
        </w:tc>
        <w:tc>
          <w:tcPr>
            <w:tcW w:w="1701" w:type="dxa"/>
            <w:tcBorders>
              <w:left w:val="single" w:sz="4" w:space="0" w:color="auto"/>
              <w:bottom w:val="single" w:sz="4" w:space="0" w:color="auto"/>
            </w:tcBorders>
          </w:tcPr>
          <w:p w14:paraId="64F1FADD" w14:textId="77777777" w:rsidR="00B67E30" w:rsidRPr="00EA1CDA" w:rsidRDefault="00B67E30" w:rsidP="0040108A">
            <w:pPr>
              <w:pStyle w:val="Prrafodelista"/>
              <w:ind w:left="-107" w:right="-108"/>
              <w:jc w:val="center"/>
              <w:rPr>
                <w:rFonts w:ascii="Times New Roman" w:hAnsi="Times New Roman" w:cs="Times New Roman"/>
                <w:sz w:val="20"/>
                <w:szCs w:val="20"/>
              </w:rPr>
            </w:pPr>
            <w:r w:rsidRPr="00EA1CDA">
              <w:rPr>
                <w:rFonts w:ascii="Times New Roman" w:hAnsi="Times New Roman" w:cs="Times New Roman"/>
                <w:i/>
                <w:sz w:val="20"/>
                <w:szCs w:val="20"/>
              </w:rPr>
              <w:t>(30)</w:t>
            </w:r>
            <w:r w:rsidRPr="00EA1CDA">
              <w:rPr>
                <w:rFonts w:ascii="Times New Roman" w:hAnsi="Times New Roman" w:cs="Times New Roman"/>
                <w:sz w:val="20"/>
                <w:szCs w:val="20"/>
              </w:rPr>
              <w:t xml:space="preserve"> T-10.821.146</w:t>
            </w:r>
          </w:p>
        </w:tc>
        <w:tc>
          <w:tcPr>
            <w:tcW w:w="2596" w:type="dxa"/>
            <w:tcBorders>
              <w:bottom w:val="single" w:sz="4" w:space="0" w:color="auto"/>
            </w:tcBorders>
          </w:tcPr>
          <w:p w14:paraId="3231D9A3"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r w:rsidRPr="00EA1CDA">
              <w:rPr>
                <w:rFonts w:ascii="Times New Roman" w:hAnsi="Times New Roman" w:cs="Times New Roman"/>
                <w:sz w:val="20"/>
                <w:szCs w:val="20"/>
              </w:rPr>
              <w:t xml:space="preserve">Compensar EPS y </w:t>
            </w:r>
            <w:proofErr w:type="spellStart"/>
            <w:r w:rsidRPr="00EA1CDA">
              <w:rPr>
                <w:rFonts w:ascii="Times New Roman" w:hAnsi="Times New Roman" w:cs="Times New Roman"/>
                <w:sz w:val="20"/>
                <w:szCs w:val="20"/>
              </w:rPr>
              <w:t>Asisfarma</w:t>
            </w:r>
            <w:proofErr w:type="spellEnd"/>
          </w:p>
        </w:tc>
      </w:tr>
      <w:tr w:rsidR="00B67E30" w:rsidRPr="00EA1CDA" w14:paraId="139F490C" w14:textId="77777777" w:rsidTr="0040108A">
        <w:tc>
          <w:tcPr>
            <w:tcW w:w="1696" w:type="dxa"/>
          </w:tcPr>
          <w:p w14:paraId="19F57F5E" w14:textId="77777777" w:rsidR="00B67E30" w:rsidRPr="00EA1CDA" w:rsidRDefault="00B67E30" w:rsidP="0040108A">
            <w:pPr>
              <w:pStyle w:val="Prrafodelista"/>
              <w:tabs>
                <w:tab w:val="left" w:pos="0"/>
              </w:tabs>
              <w:ind w:left="0"/>
              <w:jc w:val="center"/>
              <w:rPr>
                <w:rFonts w:ascii="Times New Roman" w:hAnsi="Times New Roman" w:cs="Times New Roman"/>
                <w:i/>
                <w:sz w:val="20"/>
                <w:szCs w:val="20"/>
              </w:rPr>
            </w:pPr>
            <w:r w:rsidRPr="00EA1CDA">
              <w:rPr>
                <w:rFonts w:ascii="Times New Roman" w:hAnsi="Times New Roman" w:cs="Times New Roman"/>
                <w:i/>
                <w:sz w:val="20"/>
                <w:szCs w:val="20"/>
              </w:rPr>
              <w:t>(15)</w:t>
            </w:r>
            <w:r w:rsidRPr="00EA1CDA">
              <w:rPr>
                <w:rFonts w:ascii="Times New Roman" w:hAnsi="Times New Roman" w:cs="Times New Roman"/>
                <w:sz w:val="20"/>
                <w:szCs w:val="20"/>
              </w:rPr>
              <w:t xml:space="preserve"> T-10.796.422</w:t>
            </w:r>
          </w:p>
        </w:tc>
        <w:tc>
          <w:tcPr>
            <w:tcW w:w="2552" w:type="dxa"/>
            <w:tcBorders>
              <w:right w:val="single" w:sz="4" w:space="0" w:color="auto"/>
            </w:tcBorders>
          </w:tcPr>
          <w:p w14:paraId="7A240832"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r w:rsidRPr="00EA1CDA">
              <w:rPr>
                <w:rFonts w:ascii="Times New Roman" w:hAnsi="Times New Roman" w:cs="Times New Roman"/>
                <w:sz w:val="20"/>
                <w:szCs w:val="20"/>
              </w:rPr>
              <w:t xml:space="preserve">Sura EPS, </w:t>
            </w:r>
            <w:r w:rsidRPr="00EA1CDA">
              <w:rPr>
                <w:rStyle w:val="normaltextrun"/>
                <w:rFonts w:ascii="Times New Roman" w:hAnsi="Times New Roman" w:cs="Times New Roman"/>
                <w:sz w:val="20"/>
                <w:szCs w:val="20"/>
                <w:shd w:val="clear" w:color="auto" w:fill="FFFFFF"/>
              </w:rPr>
              <w:t>Medicarte IPS</w:t>
            </w:r>
            <w:r w:rsidRPr="00EA1CDA">
              <w:rPr>
                <w:rStyle w:val="eop"/>
                <w:rFonts w:ascii="Times New Roman" w:hAnsi="Times New Roman" w:cs="Times New Roman"/>
                <w:sz w:val="20"/>
                <w:szCs w:val="20"/>
                <w:shd w:val="clear" w:color="auto" w:fill="FFFFFF"/>
              </w:rPr>
              <w:t xml:space="preserve"> y </w:t>
            </w:r>
            <w:r w:rsidRPr="00EA1CDA">
              <w:rPr>
                <w:rStyle w:val="normaltextrun"/>
                <w:rFonts w:ascii="Times New Roman" w:hAnsi="Times New Roman" w:cs="Times New Roman"/>
                <w:sz w:val="20"/>
                <w:szCs w:val="20"/>
                <w:shd w:val="clear" w:color="auto" w:fill="FFFFFF"/>
              </w:rPr>
              <w:t>Audifarma</w:t>
            </w:r>
          </w:p>
        </w:tc>
        <w:tc>
          <w:tcPr>
            <w:tcW w:w="283" w:type="dxa"/>
            <w:tcBorders>
              <w:top w:val="nil"/>
              <w:left w:val="single" w:sz="4" w:space="0" w:color="auto"/>
              <w:bottom w:val="nil"/>
              <w:right w:val="nil"/>
            </w:tcBorders>
          </w:tcPr>
          <w:p w14:paraId="535B5834" w14:textId="77777777" w:rsidR="00B67E30" w:rsidRPr="00EA1CDA" w:rsidRDefault="00B67E30" w:rsidP="0040108A">
            <w:pPr>
              <w:pStyle w:val="Prrafodelista"/>
              <w:tabs>
                <w:tab w:val="left" w:pos="0"/>
              </w:tabs>
              <w:ind w:left="0"/>
              <w:jc w:val="both"/>
              <w:rPr>
                <w:rFonts w:ascii="Times New Roman" w:hAnsi="Times New Roman" w:cs="Times New Roman"/>
                <w:sz w:val="20"/>
                <w:szCs w:val="20"/>
              </w:rPr>
            </w:pPr>
          </w:p>
        </w:tc>
        <w:tc>
          <w:tcPr>
            <w:tcW w:w="1701" w:type="dxa"/>
            <w:tcBorders>
              <w:left w:val="nil"/>
              <w:bottom w:val="nil"/>
              <w:right w:val="nil"/>
            </w:tcBorders>
          </w:tcPr>
          <w:p w14:paraId="7253AE69" w14:textId="77777777" w:rsidR="00B67E30" w:rsidRPr="00EA1CDA" w:rsidRDefault="00B67E30" w:rsidP="0040108A">
            <w:pPr>
              <w:pStyle w:val="Prrafodelista"/>
              <w:ind w:left="-107" w:right="-108"/>
              <w:jc w:val="center"/>
              <w:rPr>
                <w:rFonts w:ascii="Times New Roman" w:hAnsi="Times New Roman" w:cs="Times New Roman"/>
                <w:sz w:val="20"/>
                <w:szCs w:val="20"/>
              </w:rPr>
            </w:pPr>
          </w:p>
        </w:tc>
        <w:tc>
          <w:tcPr>
            <w:tcW w:w="2596" w:type="dxa"/>
            <w:tcBorders>
              <w:left w:val="nil"/>
              <w:bottom w:val="nil"/>
              <w:right w:val="nil"/>
            </w:tcBorders>
          </w:tcPr>
          <w:p w14:paraId="0F56E516" w14:textId="77777777" w:rsidR="00B67E30" w:rsidRPr="00EA1CDA" w:rsidRDefault="00B67E30" w:rsidP="00F710F3">
            <w:pPr>
              <w:pStyle w:val="Prrafodelista"/>
              <w:keepNext/>
              <w:tabs>
                <w:tab w:val="left" w:pos="0"/>
              </w:tabs>
              <w:ind w:left="0"/>
              <w:jc w:val="both"/>
              <w:rPr>
                <w:rFonts w:ascii="Times New Roman" w:hAnsi="Times New Roman" w:cs="Times New Roman"/>
                <w:sz w:val="20"/>
                <w:szCs w:val="20"/>
              </w:rPr>
            </w:pPr>
          </w:p>
        </w:tc>
      </w:tr>
    </w:tbl>
    <w:p w14:paraId="573AE94D" w14:textId="77777777" w:rsidR="00B67E30" w:rsidRPr="00EA1CDA" w:rsidRDefault="00B67E30" w:rsidP="0055699A">
      <w:pPr>
        <w:pStyle w:val="Prrafodelista"/>
        <w:rPr>
          <w:color w:val="000000"/>
          <w:sz w:val="28"/>
          <w:szCs w:val="28"/>
        </w:rPr>
      </w:pPr>
    </w:p>
    <w:p w14:paraId="69E4A995" w14:textId="6AB34469" w:rsidR="00665EF9" w:rsidRPr="00EA1CDA" w:rsidRDefault="00665EF9" w:rsidP="00665EF9">
      <w:pPr>
        <w:pStyle w:val="Prrafodelista"/>
        <w:numPr>
          <w:ilvl w:val="0"/>
          <w:numId w:val="5"/>
        </w:numPr>
        <w:pBdr>
          <w:top w:val="nil"/>
          <w:left w:val="nil"/>
          <w:bottom w:val="nil"/>
          <w:right w:val="nil"/>
          <w:between w:val="nil"/>
        </w:pBdr>
        <w:tabs>
          <w:tab w:val="left" w:pos="0"/>
        </w:tabs>
        <w:jc w:val="both"/>
      </w:pPr>
      <w:r w:rsidRPr="00EA1CDA">
        <w:rPr>
          <w:b/>
          <w:color w:val="000000"/>
          <w:sz w:val="28"/>
          <w:szCs w:val="28"/>
        </w:rPr>
        <w:t>ORDENAR</w:t>
      </w:r>
      <w:r w:rsidRPr="00EA1CDA">
        <w:rPr>
          <w:color w:val="000000"/>
          <w:sz w:val="28"/>
          <w:szCs w:val="28"/>
        </w:rPr>
        <w:t xml:space="preserve"> </w:t>
      </w:r>
      <w:r w:rsidR="00343AC3" w:rsidRPr="00EA1CDA">
        <w:rPr>
          <w:color w:val="000000"/>
          <w:sz w:val="28"/>
          <w:szCs w:val="28"/>
        </w:rPr>
        <w:t xml:space="preserve">como medida provisional </w:t>
      </w:r>
      <w:r w:rsidRPr="00EA1CDA">
        <w:rPr>
          <w:color w:val="000000"/>
          <w:sz w:val="28"/>
          <w:szCs w:val="28"/>
        </w:rPr>
        <w:t xml:space="preserve">a las EPS, IPS y gestores farmacéuticos relacionados en la Tabla </w:t>
      </w:r>
      <w:r w:rsidR="00A61A64" w:rsidRPr="00EA1CDA">
        <w:rPr>
          <w:color w:val="000000"/>
          <w:sz w:val="28"/>
          <w:szCs w:val="28"/>
        </w:rPr>
        <w:t>3</w:t>
      </w:r>
      <w:r w:rsidR="00343AC3" w:rsidRPr="00EA1CDA">
        <w:rPr>
          <w:color w:val="000000"/>
          <w:sz w:val="28"/>
          <w:szCs w:val="28"/>
        </w:rPr>
        <w:t xml:space="preserve"> que se encuentra a continuación, </w:t>
      </w:r>
      <w:r w:rsidR="001A3D81" w:rsidRPr="00EA1CDA">
        <w:rPr>
          <w:color w:val="000000"/>
          <w:sz w:val="28"/>
          <w:szCs w:val="28"/>
        </w:rPr>
        <w:t>que en</w:t>
      </w:r>
      <w:r w:rsidRPr="00EA1CDA">
        <w:rPr>
          <w:color w:val="000000"/>
          <w:sz w:val="28"/>
          <w:szCs w:val="28"/>
        </w:rPr>
        <w:t xml:space="preserve"> el término </w:t>
      </w:r>
      <w:r w:rsidR="003260B7" w:rsidRPr="00EA1CDA">
        <w:rPr>
          <w:color w:val="000000"/>
          <w:sz w:val="28"/>
          <w:szCs w:val="28"/>
        </w:rPr>
        <w:t xml:space="preserve">máximo </w:t>
      </w:r>
      <w:r w:rsidRPr="00EA1CDA">
        <w:rPr>
          <w:color w:val="000000"/>
          <w:sz w:val="28"/>
          <w:szCs w:val="28"/>
        </w:rPr>
        <w:t xml:space="preserve">de las cuarenta y ocho (48) horas siguientes a la notificación de esta providencia, </w:t>
      </w:r>
      <w:r w:rsidR="004155C4" w:rsidRPr="00EA1CDA">
        <w:rPr>
          <w:i/>
          <w:iCs/>
          <w:color w:val="000000"/>
          <w:sz w:val="28"/>
          <w:szCs w:val="28"/>
        </w:rPr>
        <w:t xml:space="preserve">si </w:t>
      </w:r>
      <w:r w:rsidR="007426BE" w:rsidRPr="00EA1CDA">
        <w:rPr>
          <w:i/>
          <w:iCs/>
          <w:color w:val="000000"/>
          <w:sz w:val="28"/>
          <w:szCs w:val="28"/>
        </w:rPr>
        <w:t>aún</w:t>
      </w:r>
      <w:r w:rsidR="004155C4" w:rsidRPr="00EA1CDA">
        <w:rPr>
          <w:i/>
          <w:iCs/>
          <w:color w:val="000000"/>
          <w:sz w:val="28"/>
          <w:szCs w:val="28"/>
        </w:rPr>
        <w:t xml:space="preserve"> no lo hubiesen hecho</w:t>
      </w:r>
      <w:r w:rsidR="004155C4" w:rsidRPr="00EA1CDA">
        <w:rPr>
          <w:color w:val="000000"/>
          <w:sz w:val="28"/>
          <w:szCs w:val="28"/>
        </w:rPr>
        <w:t xml:space="preserve">, </w:t>
      </w:r>
      <w:r w:rsidRPr="00EA1CDA">
        <w:rPr>
          <w:b/>
          <w:bCs/>
          <w:color w:val="000000"/>
          <w:sz w:val="28"/>
          <w:szCs w:val="28"/>
        </w:rPr>
        <w:t>ENTREGUEN</w:t>
      </w:r>
      <w:r w:rsidRPr="00EA1CDA">
        <w:rPr>
          <w:color w:val="000000"/>
          <w:sz w:val="28"/>
          <w:szCs w:val="28"/>
        </w:rPr>
        <w:t xml:space="preserve"> el</w:t>
      </w:r>
      <w:r w:rsidR="00343AC3" w:rsidRPr="00EA1CDA">
        <w:rPr>
          <w:color w:val="000000"/>
          <w:sz w:val="28"/>
          <w:szCs w:val="28"/>
        </w:rPr>
        <w:t xml:space="preserve"> </w:t>
      </w:r>
      <w:r w:rsidRPr="00EA1CDA">
        <w:rPr>
          <w:color w:val="000000"/>
          <w:sz w:val="28"/>
          <w:szCs w:val="28"/>
        </w:rPr>
        <w:t>(los) medicamento</w:t>
      </w:r>
      <w:r w:rsidR="00343AC3" w:rsidRPr="00EA1CDA">
        <w:rPr>
          <w:color w:val="000000"/>
          <w:sz w:val="28"/>
          <w:szCs w:val="28"/>
        </w:rPr>
        <w:t xml:space="preserve"> </w:t>
      </w:r>
      <w:r w:rsidRPr="00EA1CDA">
        <w:rPr>
          <w:color w:val="000000"/>
          <w:sz w:val="28"/>
          <w:szCs w:val="28"/>
        </w:rPr>
        <w:t xml:space="preserve">(s) a la parte accionante conforme </w:t>
      </w:r>
      <w:r w:rsidR="005F4C79" w:rsidRPr="00EA1CDA">
        <w:rPr>
          <w:color w:val="000000"/>
          <w:sz w:val="28"/>
          <w:szCs w:val="28"/>
        </w:rPr>
        <w:t>a la prescripción médica vigente o sin vigencia por mora en el suministro, pendiente de entrega</w:t>
      </w:r>
      <w:r w:rsidRPr="00EA1CDA">
        <w:rPr>
          <w:color w:val="000000"/>
          <w:sz w:val="28"/>
          <w:szCs w:val="28"/>
        </w:rPr>
        <w:t xml:space="preserve">, según corresponda conforme al Anexo único de esta providencia y la historia clínica </w:t>
      </w:r>
      <w:r w:rsidR="003260B7" w:rsidRPr="00EA1CDA">
        <w:rPr>
          <w:color w:val="000000"/>
          <w:sz w:val="28"/>
          <w:szCs w:val="28"/>
        </w:rPr>
        <w:t>del caso</w:t>
      </w:r>
      <w:r w:rsidRPr="00EA1CDA">
        <w:rPr>
          <w:color w:val="000000"/>
          <w:sz w:val="28"/>
          <w:szCs w:val="28"/>
        </w:rPr>
        <w:t xml:space="preserve">. </w:t>
      </w:r>
      <w:r w:rsidR="00957FC1" w:rsidRPr="00EA1CDA">
        <w:rPr>
          <w:sz w:val="28"/>
          <w:szCs w:val="28"/>
        </w:rPr>
        <w:t xml:space="preserve">Esta entrega deberá efectuarse en </w:t>
      </w:r>
      <w:r w:rsidR="00EC31F3" w:rsidRPr="00EA1CDA">
        <w:rPr>
          <w:sz w:val="28"/>
          <w:szCs w:val="28"/>
        </w:rPr>
        <w:t>el lugar</w:t>
      </w:r>
      <w:r w:rsidR="00957FC1" w:rsidRPr="00EA1CDA">
        <w:rPr>
          <w:sz w:val="28"/>
          <w:szCs w:val="28"/>
        </w:rPr>
        <w:t xml:space="preserve"> en que se ha hecho hasta el momento, es decir, en el domicilio de la parte tutelante o en el punto de dispensación al que usualmente acude el usuario. </w:t>
      </w:r>
      <w:r w:rsidR="00D121C6" w:rsidRPr="00EA1CDA">
        <w:rPr>
          <w:sz w:val="28"/>
          <w:szCs w:val="28"/>
        </w:rPr>
        <w:t>E</w:t>
      </w:r>
      <w:r w:rsidR="00957FC1" w:rsidRPr="00EA1CDA">
        <w:rPr>
          <w:sz w:val="28"/>
          <w:szCs w:val="28"/>
        </w:rPr>
        <w:t xml:space="preserve">n el evento de que el médico tratante prescriba nuevamente el suministro del fármaco, </w:t>
      </w:r>
      <w:r w:rsidR="00A85DE7" w:rsidRPr="00EA1CDA">
        <w:rPr>
          <w:color w:val="000000"/>
          <w:sz w:val="28"/>
          <w:szCs w:val="28"/>
        </w:rPr>
        <w:t xml:space="preserve">este será entregado máximo </w:t>
      </w:r>
      <w:r w:rsidR="00814278" w:rsidRPr="00EA1CDA">
        <w:rPr>
          <w:color w:val="000000"/>
          <w:sz w:val="28"/>
          <w:szCs w:val="28"/>
        </w:rPr>
        <w:t xml:space="preserve">setenta y dos (72) horas </w:t>
      </w:r>
      <w:r w:rsidR="00531CA9" w:rsidRPr="00EA1CDA">
        <w:rPr>
          <w:color w:val="000000"/>
          <w:sz w:val="28"/>
          <w:szCs w:val="28"/>
        </w:rPr>
        <w:t xml:space="preserve">antes </w:t>
      </w:r>
      <w:r w:rsidR="00A85DE7" w:rsidRPr="00EA1CDA">
        <w:rPr>
          <w:color w:val="000000"/>
          <w:sz w:val="28"/>
          <w:szCs w:val="28"/>
        </w:rPr>
        <w:t>de que la formulación que se entregó anteriormente se agote y, al momento de efectuar la entrega del medicamento, también debe programarse y fijarse la fecha cierta de la siguiente entrega</w:t>
      </w:r>
      <w:r w:rsidRPr="00EA1CDA">
        <w:rPr>
          <w:sz w:val="28"/>
          <w:szCs w:val="28"/>
        </w:rPr>
        <w:t xml:space="preserve">. </w:t>
      </w:r>
      <w:r w:rsidRPr="00EA1CDA">
        <w:rPr>
          <w:color w:val="000000"/>
          <w:sz w:val="28"/>
          <w:szCs w:val="28"/>
        </w:rPr>
        <w:t xml:space="preserve">Sobre el cumplimiento de esta orden, las EPS, </w:t>
      </w:r>
      <w:r w:rsidR="003260B7" w:rsidRPr="00EA1CDA">
        <w:rPr>
          <w:color w:val="000000"/>
          <w:sz w:val="28"/>
          <w:szCs w:val="28"/>
        </w:rPr>
        <w:t xml:space="preserve">las </w:t>
      </w:r>
      <w:r w:rsidRPr="00EA1CDA">
        <w:rPr>
          <w:color w:val="000000"/>
          <w:sz w:val="28"/>
          <w:szCs w:val="28"/>
        </w:rPr>
        <w:t>IPS y</w:t>
      </w:r>
      <w:r w:rsidR="003260B7" w:rsidRPr="00EA1CDA">
        <w:rPr>
          <w:color w:val="000000"/>
          <w:sz w:val="28"/>
          <w:szCs w:val="28"/>
        </w:rPr>
        <w:t xml:space="preserve"> los</w:t>
      </w:r>
      <w:r w:rsidRPr="00EA1CDA">
        <w:rPr>
          <w:color w:val="000000"/>
          <w:sz w:val="28"/>
          <w:szCs w:val="28"/>
        </w:rPr>
        <w:t xml:space="preserve"> gestores farmacéuticos</w:t>
      </w:r>
      <w:r w:rsidR="003260B7" w:rsidRPr="00EA1CDA">
        <w:rPr>
          <w:color w:val="000000"/>
          <w:sz w:val="28"/>
          <w:szCs w:val="28"/>
        </w:rPr>
        <w:t>, individual o integradamente,</w:t>
      </w:r>
      <w:r w:rsidRPr="00EA1CDA">
        <w:rPr>
          <w:color w:val="000000"/>
          <w:sz w:val="28"/>
          <w:szCs w:val="28"/>
        </w:rPr>
        <w:t xml:space="preserve"> deberán </w:t>
      </w:r>
      <w:r w:rsidRPr="00EA1CDA">
        <w:rPr>
          <w:b/>
          <w:bCs/>
          <w:color w:val="000000"/>
          <w:sz w:val="28"/>
          <w:szCs w:val="28"/>
        </w:rPr>
        <w:t>ENVIAR</w:t>
      </w:r>
      <w:r w:rsidRPr="00EA1CDA">
        <w:rPr>
          <w:color w:val="000000"/>
          <w:sz w:val="28"/>
          <w:szCs w:val="28"/>
        </w:rPr>
        <w:t xml:space="preserve"> un informe a </w:t>
      </w:r>
      <w:r w:rsidR="003260B7" w:rsidRPr="00EA1CDA">
        <w:rPr>
          <w:color w:val="000000"/>
          <w:sz w:val="28"/>
          <w:szCs w:val="28"/>
        </w:rPr>
        <w:t xml:space="preserve">la Defensoría del </w:t>
      </w:r>
      <w:r w:rsidR="003260B7" w:rsidRPr="00EA1CDA">
        <w:rPr>
          <w:color w:val="000000"/>
          <w:sz w:val="28"/>
          <w:szCs w:val="28"/>
        </w:rPr>
        <w:lastRenderedPageBreak/>
        <w:t>Pueblo</w:t>
      </w:r>
      <w:r w:rsidRPr="00EA1CDA">
        <w:rPr>
          <w:color w:val="000000"/>
          <w:sz w:val="28"/>
          <w:szCs w:val="28"/>
        </w:rPr>
        <w:t xml:space="preserve">, </w:t>
      </w:r>
      <w:r w:rsidR="003260B7" w:rsidRPr="00EA1CDA">
        <w:rPr>
          <w:color w:val="000000"/>
          <w:sz w:val="28"/>
          <w:szCs w:val="28"/>
        </w:rPr>
        <w:t xml:space="preserve">tan pronto se ejecute y dentro de </w:t>
      </w:r>
      <w:r w:rsidR="008C59E9" w:rsidRPr="00EA1CDA">
        <w:rPr>
          <w:color w:val="000000"/>
          <w:sz w:val="28"/>
          <w:szCs w:val="28"/>
        </w:rPr>
        <w:t xml:space="preserve">los primeros cinco días de cada mes y mientras esta medida provisional se encuentre vigente, </w:t>
      </w:r>
      <w:r w:rsidRPr="00EA1CDA">
        <w:rPr>
          <w:color w:val="000000"/>
          <w:sz w:val="28"/>
          <w:szCs w:val="28"/>
        </w:rPr>
        <w:t>en el que acrediten la entrega material del medicamento y haber informado la fecha cierta de su próxima entrega a la parte accionante. El cumplimiento de esta orden deberá efectuarse de manera coordinada</w:t>
      </w:r>
      <w:r w:rsidR="00583814" w:rsidRPr="00EA1CDA">
        <w:rPr>
          <w:color w:val="000000"/>
          <w:sz w:val="28"/>
          <w:szCs w:val="28"/>
        </w:rPr>
        <w:t xml:space="preserve"> entre la EPS, </w:t>
      </w:r>
      <w:r w:rsidR="003260B7" w:rsidRPr="00EA1CDA">
        <w:rPr>
          <w:color w:val="000000"/>
          <w:sz w:val="28"/>
          <w:szCs w:val="28"/>
        </w:rPr>
        <w:t xml:space="preserve">la </w:t>
      </w:r>
      <w:r w:rsidR="00583814" w:rsidRPr="00EA1CDA">
        <w:rPr>
          <w:color w:val="000000"/>
          <w:sz w:val="28"/>
          <w:szCs w:val="28"/>
        </w:rPr>
        <w:t>IPS y</w:t>
      </w:r>
      <w:r w:rsidR="003260B7" w:rsidRPr="00EA1CDA">
        <w:rPr>
          <w:color w:val="000000"/>
          <w:sz w:val="28"/>
          <w:szCs w:val="28"/>
        </w:rPr>
        <w:t xml:space="preserve"> el</w:t>
      </w:r>
      <w:r w:rsidR="00583814" w:rsidRPr="00EA1CDA">
        <w:rPr>
          <w:color w:val="000000"/>
          <w:sz w:val="28"/>
          <w:szCs w:val="28"/>
        </w:rPr>
        <w:t xml:space="preserve"> gestor farmacéutico correspondiente</w:t>
      </w:r>
      <w:r w:rsidRPr="00EA1CDA">
        <w:rPr>
          <w:color w:val="000000"/>
          <w:sz w:val="28"/>
          <w:szCs w:val="28"/>
        </w:rPr>
        <w:t xml:space="preserve">, sin dejar de advertir que la garantía de la entrega del medicamento es responsabilidad de la EPS. </w:t>
      </w:r>
    </w:p>
    <w:p w14:paraId="3FFB6966" w14:textId="77777777" w:rsidR="00164F5A" w:rsidRPr="00EA1CDA" w:rsidRDefault="00164F5A" w:rsidP="00164F5A">
      <w:pPr>
        <w:widowControl w:val="0"/>
        <w:pBdr>
          <w:top w:val="nil"/>
          <w:left w:val="nil"/>
          <w:bottom w:val="nil"/>
          <w:right w:val="nil"/>
          <w:between w:val="nil"/>
        </w:pBdr>
        <w:tabs>
          <w:tab w:val="left" w:pos="0"/>
          <w:tab w:val="left" w:pos="851"/>
          <w:tab w:val="left" w:pos="1560"/>
        </w:tabs>
        <w:ind w:right="51"/>
        <w:jc w:val="both"/>
        <w:rPr>
          <w:color w:val="000000"/>
          <w:sz w:val="28"/>
          <w:szCs w:val="28"/>
        </w:rPr>
      </w:pPr>
    </w:p>
    <w:p w14:paraId="545528D1" w14:textId="28568576" w:rsidR="00583814" w:rsidRPr="00EA1CDA" w:rsidRDefault="00583814" w:rsidP="00583814">
      <w:pPr>
        <w:widowControl w:val="0"/>
        <w:pBdr>
          <w:top w:val="nil"/>
          <w:left w:val="nil"/>
          <w:bottom w:val="nil"/>
          <w:right w:val="nil"/>
          <w:between w:val="nil"/>
        </w:pBdr>
        <w:tabs>
          <w:tab w:val="left" w:pos="0"/>
          <w:tab w:val="left" w:pos="851"/>
          <w:tab w:val="left" w:pos="1560"/>
        </w:tabs>
        <w:ind w:right="51"/>
        <w:jc w:val="center"/>
        <w:rPr>
          <w:color w:val="000000"/>
          <w:sz w:val="22"/>
          <w:szCs w:val="22"/>
        </w:rPr>
      </w:pPr>
      <w:r w:rsidRPr="00EA1CDA">
        <w:rPr>
          <w:color w:val="000000"/>
          <w:sz w:val="22"/>
          <w:szCs w:val="22"/>
        </w:rPr>
        <w:t xml:space="preserve">Tabla 3. </w:t>
      </w:r>
      <w:r w:rsidRPr="00EA1CDA">
        <w:rPr>
          <w:i/>
          <w:iCs/>
          <w:color w:val="000000"/>
          <w:sz w:val="22"/>
          <w:szCs w:val="22"/>
        </w:rPr>
        <w:t>Destinatarios de la orden segunda</w:t>
      </w:r>
    </w:p>
    <w:tbl>
      <w:tblPr>
        <w:tblStyle w:val="Tablaconcuadrcula"/>
        <w:tblW w:w="0" w:type="auto"/>
        <w:tblLook w:val="04A0" w:firstRow="1" w:lastRow="0" w:firstColumn="1" w:lastColumn="0" w:noHBand="0" w:noVBand="1"/>
      </w:tblPr>
      <w:tblGrid>
        <w:gridCol w:w="1555"/>
        <w:gridCol w:w="2917"/>
        <w:gridCol w:w="236"/>
        <w:gridCol w:w="1669"/>
        <w:gridCol w:w="2451"/>
      </w:tblGrid>
      <w:tr w:rsidR="00665EF9" w:rsidRPr="00EA1CDA" w14:paraId="6C8C0457" w14:textId="77777777" w:rsidTr="00665EF9">
        <w:trPr>
          <w:tblHeader/>
        </w:trPr>
        <w:tc>
          <w:tcPr>
            <w:tcW w:w="1555" w:type="dxa"/>
            <w:shd w:val="clear" w:color="auto" w:fill="95B3D7" w:themeFill="accent1" w:themeFillTint="99"/>
            <w:vAlign w:val="center"/>
          </w:tcPr>
          <w:p w14:paraId="2B073C0F" w14:textId="77777777" w:rsidR="00DE44F4" w:rsidRPr="00EA1CDA" w:rsidRDefault="00DE44F4" w:rsidP="00DE44F4">
            <w:pPr>
              <w:widowControl w:val="0"/>
              <w:pBdr>
                <w:top w:val="nil"/>
                <w:left w:val="nil"/>
                <w:bottom w:val="nil"/>
                <w:right w:val="nil"/>
                <w:between w:val="nil"/>
              </w:pBdr>
              <w:tabs>
                <w:tab w:val="left" w:pos="0"/>
                <w:tab w:val="left" w:pos="851"/>
                <w:tab w:val="left" w:pos="1560"/>
              </w:tabs>
              <w:ind w:right="51"/>
              <w:jc w:val="center"/>
              <w:rPr>
                <w:rFonts w:ascii="Times New Roman" w:hAnsi="Times New Roman" w:cs="Times New Roman"/>
                <w:b/>
                <w:bCs/>
                <w:color w:val="000000"/>
                <w:sz w:val="20"/>
                <w:szCs w:val="20"/>
              </w:rPr>
            </w:pPr>
            <w:r w:rsidRPr="00EA1CDA">
              <w:rPr>
                <w:rFonts w:ascii="Times New Roman" w:hAnsi="Times New Roman" w:cs="Times New Roman"/>
                <w:b/>
                <w:bCs/>
                <w:color w:val="000000"/>
                <w:sz w:val="20"/>
                <w:szCs w:val="20"/>
              </w:rPr>
              <w:t>Expediente</w:t>
            </w:r>
          </w:p>
        </w:tc>
        <w:tc>
          <w:tcPr>
            <w:tcW w:w="2917" w:type="dxa"/>
            <w:tcBorders>
              <w:right w:val="single" w:sz="4" w:space="0" w:color="auto"/>
            </w:tcBorders>
            <w:shd w:val="clear" w:color="auto" w:fill="95B3D7" w:themeFill="accent1" w:themeFillTint="99"/>
            <w:vAlign w:val="center"/>
          </w:tcPr>
          <w:p w14:paraId="4F97C24C" w14:textId="77777777" w:rsidR="00DE44F4" w:rsidRPr="00EA1CDA" w:rsidRDefault="00DE44F4" w:rsidP="00DE44F4">
            <w:pPr>
              <w:widowControl w:val="0"/>
              <w:pBdr>
                <w:top w:val="nil"/>
                <w:left w:val="nil"/>
                <w:bottom w:val="nil"/>
                <w:right w:val="nil"/>
                <w:between w:val="nil"/>
              </w:pBdr>
              <w:tabs>
                <w:tab w:val="left" w:pos="851"/>
                <w:tab w:val="left" w:pos="1560"/>
              </w:tabs>
              <w:ind w:right="-62"/>
              <w:jc w:val="center"/>
              <w:rPr>
                <w:rFonts w:ascii="Times New Roman" w:hAnsi="Times New Roman" w:cs="Times New Roman"/>
                <w:b/>
                <w:bCs/>
                <w:color w:val="000000"/>
                <w:sz w:val="20"/>
                <w:szCs w:val="20"/>
              </w:rPr>
            </w:pPr>
            <w:r w:rsidRPr="00EA1CDA">
              <w:rPr>
                <w:rFonts w:ascii="Times New Roman" w:hAnsi="Times New Roman" w:cs="Times New Roman"/>
                <w:b/>
                <w:bCs/>
                <w:color w:val="000000"/>
                <w:sz w:val="20"/>
                <w:szCs w:val="20"/>
              </w:rPr>
              <w:t>EPS, IPS o</w:t>
            </w:r>
          </w:p>
          <w:p w14:paraId="60A5403B" w14:textId="77777777" w:rsidR="00DE44F4" w:rsidRPr="00EA1CDA" w:rsidRDefault="00DE44F4" w:rsidP="00DE44F4">
            <w:pPr>
              <w:widowControl w:val="0"/>
              <w:pBdr>
                <w:top w:val="nil"/>
                <w:left w:val="nil"/>
                <w:bottom w:val="nil"/>
                <w:right w:val="nil"/>
                <w:between w:val="nil"/>
              </w:pBdr>
              <w:tabs>
                <w:tab w:val="left" w:pos="851"/>
                <w:tab w:val="left" w:pos="1560"/>
              </w:tabs>
              <w:ind w:right="-62"/>
              <w:jc w:val="center"/>
              <w:rPr>
                <w:rFonts w:ascii="Times New Roman" w:hAnsi="Times New Roman" w:cs="Times New Roman"/>
                <w:b/>
                <w:bCs/>
                <w:color w:val="000000"/>
                <w:sz w:val="20"/>
                <w:szCs w:val="20"/>
              </w:rPr>
            </w:pPr>
            <w:r w:rsidRPr="00EA1CDA">
              <w:rPr>
                <w:rFonts w:ascii="Times New Roman" w:hAnsi="Times New Roman" w:cs="Times New Roman"/>
                <w:b/>
                <w:bCs/>
                <w:color w:val="000000"/>
                <w:sz w:val="20"/>
                <w:szCs w:val="20"/>
              </w:rPr>
              <w:t>gestor farmacéutico</w:t>
            </w:r>
          </w:p>
          <w:p w14:paraId="0C05B5F4" w14:textId="5805F17D" w:rsidR="00DE44F4" w:rsidRPr="00EA1CDA" w:rsidRDefault="00DE44F4" w:rsidP="00DE44F4">
            <w:pPr>
              <w:widowControl w:val="0"/>
              <w:pBdr>
                <w:top w:val="nil"/>
                <w:left w:val="nil"/>
                <w:bottom w:val="nil"/>
                <w:right w:val="nil"/>
                <w:between w:val="nil"/>
              </w:pBdr>
              <w:tabs>
                <w:tab w:val="left" w:pos="851"/>
                <w:tab w:val="left" w:pos="1560"/>
              </w:tabs>
              <w:ind w:right="-62"/>
              <w:jc w:val="center"/>
              <w:rPr>
                <w:rFonts w:ascii="Times New Roman" w:hAnsi="Times New Roman" w:cs="Times New Roman"/>
                <w:b/>
                <w:bCs/>
                <w:color w:val="000000"/>
                <w:sz w:val="20"/>
                <w:szCs w:val="20"/>
              </w:rPr>
            </w:pPr>
            <w:r w:rsidRPr="00EA1CDA">
              <w:rPr>
                <w:rFonts w:ascii="Times New Roman" w:hAnsi="Times New Roman" w:cs="Times New Roman"/>
                <w:b/>
                <w:bCs/>
                <w:color w:val="000000"/>
                <w:sz w:val="20"/>
                <w:szCs w:val="20"/>
              </w:rPr>
              <w:t>(</w:t>
            </w:r>
            <w:r w:rsidRPr="00EA1CDA">
              <w:rPr>
                <w:rFonts w:ascii="Times New Roman" w:hAnsi="Times New Roman" w:cs="Times New Roman"/>
                <w:b/>
                <w:bCs/>
                <w:color w:val="000000"/>
                <w:sz w:val="16"/>
                <w:szCs w:val="16"/>
              </w:rPr>
              <w:t>Destinatario de la orden)</w:t>
            </w:r>
          </w:p>
        </w:tc>
        <w:tc>
          <w:tcPr>
            <w:tcW w:w="236" w:type="dxa"/>
            <w:tcBorders>
              <w:top w:val="nil"/>
              <w:left w:val="single" w:sz="4" w:space="0" w:color="auto"/>
              <w:bottom w:val="nil"/>
              <w:right w:val="single" w:sz="4" w:space="0" w:color="auto"/>
            </w:tcBorders>
            <w:shd w:val="clear" w:color="auto" w:fill="auto"/>
            <w:vAlign w:val="center"/>
          </w:tcPr>
          <w:p w14:paraId="52220B09" w14:textId="77777777" w:rsidR="00DE44F4" w:rsidRPr="00EA1CDA" w:rsidRDefault="00DE44F4" w:rsidP="00DE44F4">
            <w:pPr>
              <w:widowControl w:val="0"/>
              <w:pBdr>
                <w:top w:val="nil"/>
                <w:left w:val="nil"/>
                <w:bottom w:val="nil"/>
                <w:right w:val="nil"/>
                <w:between w:val="nil"/>
              </w:pBdr>
              <w:tabs>
                <w:tab w:val="left" w:pos="0"/>
                <w:tab w:val="left" w:pos="851"/>
                <w:tab w:val="left" w:pos="1560"/>
              </w:tabs>
              <w:ind w:right="51"/>
              <w:jc w:val="center"/>
              <w:rPr>
                <w:rFonts w:ascii="Times New Roman" w:hAnsi="Times New Roman" w:cs="Times New Roman"/>
                <w:b/>
                <w:bCs/>
                <w:color w:val="000000"/>
                <w:sz w:val="20"/>
                <w:szCs w:val="20"/>
              </w:rPr>
            </w:pPr>
          </w:p>
        </w:tc>
        <w:tc>
          <w:tcPr>
            <w:tcW w:w="1669" w:type="dxa"/>
            <w:tcBorders>
              <w:left w:val="single" w:sz="4" w:space="0" w:color="auto"/>
            </w:tcBorders>
            <w:shd w:val="clear" w:color="auto" w:fill="95B3D7" w:themeFill="accent1" w:themeFillTint="99"/>
            <w:vAlign w:val="center"/>
          </w:tcPr>
          <w:p w14:paraId="7F0E375A" w14:textId="77777777" w:rsidR="00DE44F4" w:rsidRPr="00EA1CDA" w:rsidRDefault="00DE44F4" w:rsidP="00DE44F4">
            <w:pPr>
              <w:widowControl w:val="0"/>
              <w:pBdr>
                <w:top w:val="nil"/>
                <w:left w:val="nil"/>
                <w:bottom w:val="nil"/>
                <w:right w:val="nil"/>
                <w:between w:val="nil"/>
              </w:pBdr>
              <w:tabs>
                <w:tab w:val="left" w:pos="0"/>
                <w:tab w:val="left" w:pos="851"/>
                <w:tab w:val="left" w:pos="1560"/>
              </w:tabs>
              <w:ind w:right="51"/>
              <w:jc w:val="center"/>
              <w:rPr>
                <w:rFonts w:ascii="Times New Roman" w:hAnsi="Times New Roman" w:cs="Times New Roman"/>
                <w:b/>
                <w:bCs/>
                <w:color w:val="000000"/>
                <w:sz w:val="20"/>
                <w:szCs w:val="20"/>
              </w:rPr>
            </w:pPr>
            <w:r w:rsidRPr="00EA1CDA">
              <w:rPr>
                <w:rFonts w:ascii="Times New Roman" w:hAnsi="Times New Roman" w:cs="Times New Roman"/>
                <w:b/>
                <w:bCs/>
                <w:color w:val="000000"/>
                <w:sz w:val="20"/>
                <w:szCs w:val="20"/>
              </w:rPr>
              <w:t>Expediente</w:t>
            </w:r>
          </w:p>
        </w:tc>
        <w:tc>
          <w:tcPr>
            <w:tcW w:w="2451" w:type="dxa"/>
            <w:shd w:val="clear" w:color="auto" w:fill="95B3D7" w:themeFill="accent1" w:themeFillTint="99"/>
            <w:vAlign w:val="center"/>
          </w:tcPr>
          <w:p w14:paraId="5F6E64CA" w14:textId="77777777" w:rsidR="00DE44F4" w:rsidRPr="00EA1CDA" w:rsidRDefault="00DE44F4" w:rsidP="00DE44F4">
            <w:pPr>
              <w:widowControl w:val="0"/>
              <w:pBdr>
                <w:top w:val="nil"/>
                <w:left w:val="nil"/>
                <w:bottom w:val="nil"/>
                <w:right w:val="nil"/>
                <w:between w:val="nil"/>
              </w:pBdr>
              <w:tabs>
                <w:tab w:val="left" w:pos="851"/>
                <w:tab w:val="left" w:pos="1560"/>
              </w:tabs>
              <w:ind w:right="-62"/>
              <w:jc w:val="center"/>
              <w:rPr>
                <w:rFonts w:ascii="Times New Roman" w:hAnsi="Times New Roman" w:cs="Times New Roman"/>
                <w:b/>
                <w:bCs/>
                <w:color w:val="000000"/>
                <w:sz w:val="20"/>
                <w:szCs w:val="20"/>
              </w:rPr>
            </w:pPr>
            <w:r w:rsidRPr="00EA1CDA">
              <w:rPr>
                <w:rFonts w:ascii="Times New Roman" w:hAnsi="Times New Roman" w:cs="Times New Roman"/>
                <w:b/>
                <w:bCs/>
                <w:color w:val="000000"/>
                <w:sz w:val="20"/>
                <w:szCs w:val="20"/>
              </w:rPr>
              <w:t>EPS, IPS o</w:t>
            </w:r>
          </w:p>
          <w:p w14:paraId="6F671BFC" w14:textId="77777777" w:rsidR="00DE44F4" w:rsidRPr="00EA1CDA" w:rsidRDefault="00DE44F4" w:rsidP="00DE44F4">
            <w:pPr>
              <w:widowControl w:val="0"/>
              <w:pBdr>
                <w:top w:val="nil"/>
                <w:left w:val="nil"/>
                <w:bottom w:val="nil"/>
                <w:right w:val="nil"/>
                <w:between w:val="nil"/>
              </w:pBdr>
              <w:tabs>
                <w:tab w:val="left" w:pos="851"/>
                <w:tab w:val="left" w:pos="1560"/>
              </w:tabs>
              <w:ind w:right="-62"/>
              <w:jc w:val="center"/>
              <w:rPr>
                <w:rFonts w:ascii="Times New Roman" w:hAnsi="Times New Roman" w:cs="Times New Roman"/>
                <w:b/>
                <w:bCs/>
                <w:color w:val="000000"/>
                <w:sz w:val="20"/>
                <w:szCs w:val="20"/>
              </w:rPr>
            </w:pPr>
            <w:r w:rsidRPr="00EA1CDA">
              <w:rPr>
                <w:rFonts w:ascii="Times New Roman" w:hAnsi="Times New Roman" w:cs="Times New Roman"/>
                <w:b/>
                <w:bCs/>
                <w:color w:val="000000"/>
                <w:sz w:val="20"/>
                <w:szCs w:val="20"/>
              </w:rPr>
              <w:t>gestor farmacéutico</w:t>
            </w:r>
          </w:p>
          <w:p w14:paraId="291D8535" w14:textId="61A9851C" w:rsidR="00DE44F4" w:rsidRPr="00EA1CDA" w:rsidRDefault="00DE44F4" w:rsidP="00DE44F4">
            <w:pPr>
              <w:widowControl w:val="0"/>
              <w:pBdr>
                <w:top w:val="nil"/>
                <w:left w:val="nil"/>
                <w:bottom w:val="nil"/>
                <w:right w:val="nil"/>
                <w:between w:val="nil"/>
              </w:pBdr>
              <w:tabs>
                <w:tab w:val="left" w:pos="0"/>
                <w:tab w:val="left" w:pos="851"/>
                <w:tab w:val="left" w:pos="1560"/>
              </w:tabs>
              <w:ind w:right="51"/>
              <w:jc w:val="center"/>
              <w:rPr>
                <w:rFonts w:ascii="Times New Roman" w:hAnsi="Times New Roman" w:cs="Times New Roman"/>
                <w:b/>
                <w:bCs/>
                <w:color w:val="000000"/>
                <w:sz w:val="20"/>
                <w:szCs w:val="20"/>
              </w:rPr>
            </w:pPr>
            <w:r w:rsidRPr="00EA1CDA">
              <w:rPr>
                <w:rFonts w:ascii="Times New Roman" w:hAnsi="Times New Roman" w:cs="Times New Roman"/>
                <w:b/>
                <w:bCs/>
                <w:color w:val="000000"/>
                <w:sz w:val="20"/>
                <w:szCs w:val="20"/>
              </w:rPr>
              <w:t>(</w:t>
            </w:r>
            <w:r w:rsidRPr="00EA1CDA">
              <w:rPr>
                <w:rFonts w:ascii="Times New Roman" w:hAnsi="Times New Roman" w:cs="Times New Roman"/>
                <w:b/>
                <w:bCs/>
                <w:color w:val="000000"/>
                <w:sz w:val="16"/>
                <w:szCs w:val="16"/>
              </w:rPr>
              <w:t>Destinatario de la orden)</w:t>
            </w:r>
          </w:p>
        </w:tc>
      </w:tr>
      <w:tr w:rsidR="00D62018" w:rsidRPr="00EA1CDA" w14:paraId="72BC2CFE" w14:textId="77777777" w:rsidTr="00665EF9">
        <w:tc>
          <w:tcPr>
            <w:tcW w:w="1555" w:type="dxa"/>
          </w:tcPr>
          <w:p w14:paraId="528F5F63" w14:textId="2F7F31AD" w:rsidR="00164F5A" w:rsidRPr="00EA1CDA" w:rsidRDefault="00584C37" w:rsidP="00665EF9">
            <w:pPr>
              <w:widowControl w:val="0"/>
              <w:pBdr>
                <w:top w:val="nil"/>
                <w:left w:val="nil"/>
                <w:bottom w:val="nil"/>
                <w:right w:val="nil"/>
                <w:between w:val="nil"/>
              </w:pBdr>
              <w:tabs>
                <w:tab w:val="left" w:pos="0"/>
                <w:tab w:val="left" w:pos="851"/>
                <w:tab w:val="left" w:pos="1560"/>
              </w:tabs>
              <w:ind w:right="-111"/>
              <w:jc w:val="both"/>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(3)</w:t>
            </w:r>
            <w:r w:rsidRPr="00EA1CDA">
              <w:rPr>
                <w:rFonts w:ascii="Times New Roman" w:hAnsi="Times New Roman" w:cs="Times New Roman"/>
                <w:color w:val="000000"/>
                <w:sz w:val="20"/>
                <w:szCs w:val="20"/>
              </w:rPr>
              <w:t xml:space="preserve"> T-10.773.946</w:t>
            </w:r>
          </w:p>
        </w:tc>
        <w:tc>
          <w:tcPr>
            <w:tcW w:w="2917" w:type="dxa"/>
            <w:tcBorders>
              <w:right w:val="single" w:sz="4" w:space="0" w:color="auto"/>
            </w:tcBorders>
          </w:tcPr>
          <w:p w14:paraId="614B3473" w14:textId="0573D73F" w:rsidR="00164F5A" w:rsidRPr="00EA1CDA" w:rsidRDefault="00797AE5" w:rsidP="00164F5A">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rPr>
            </w:pPr>
            <w:r w:rsidRPr="00EA1CDA">
              <w:rPr>
                <w:rFonts w:ascii="Times New Roman" w:hAnsi="Times New Roman" w:cs="Times New Roman"/>
                <w:color w:val="000000"/>
                <w:sz w:val="20"/>
                <w:szCs w:val="20"/>
              </w:rPr>
              <w:t xml:space="preserve">Nueva EPS, </w:t>
            </w:r>
            <w:r w:rsidR="00F405F6" w:rsidRPr="00EA1CDA">
              <w:rPr>
                <w:rFonts w:ascii="Times New Roman" w:hAnsi="Times New Roman" w:cs="Times New Roman"/>
                <w:color w:val="000000"/>
                <w:sz w:val="20"/>
                <w:szCs w:val="20"/>
              </w:rPr>
              <w:t xml:space="preserve">Colsubsidio, </w:t>
            </w:r>
            <w:r w:rsidR="00266A15" w:rsidRPr="00EA1CDA">
              <w:rPr>
                <w:rFonts w:ascii="Times New Roman" w:hAnsi="Times New Roman" w:cs="Times New Roman"/>
                <w:color w:val="000000"/>
                <w:sz w:val="20"/>
                <w:szCs w:val="20"/>
              </w:rPr>
              <w:t xml:space="preserve">Fundación </w:t>
            </w:r>
            <w:r w:rsidR="00F3153A" w:rsidRPr="00EA1CDA">
              <w:rPr>
                <w:rFonts w:ascii="Times New Roman" w:hAnsi="Times New Roman" w:cs="Times New Roman"/>
                <w:color w:val="000000"/>
                <w:sz w:val="20"/>
                <w:szCs w:val="20"/>
              </w:rPr>
              <w:t>Diversidad</w:t>
            </w:r>
            <w:r w:rsidR="00F3153A" w:rsidRPr="00EA1CDA">
              <w:rPr>
                <w:color w:val="000000"/>
                <w:sz w:val="20"/>
                <w:szCs w:val="20"/>
              </w:rPr>
              <w:t xml:space="preserve"> y Fundación Médica de Rionegro</w:t>
            </w:r>
          </w:p>
        </w:tc>
        <w:tc>
          <w:tcPr>
            <w:tcW w:w="236" w:type="dxa"/>
            <w:tcBorders>
              <w:top w:val="nil"/>
              <w:left w:val="single" w:sz="4" w:space="0" w:color="auto"/>
              <w:bottom w:val="nil"/>
              <w:right w:val="single" w:sz="4" w:space="0" w:color="auto"/>
            </w:tcBorders>
          </w:tcPr>
          <w:p w14:paraId="1D2817AA" w14:textId="77777777" w:rsidR="00164F5A" w:rsidRPr="00EA1CDA" w:rsidRDefault="00164F5A" w:rsidP="00164F5A">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rPr>
            </w:pPr>
          </w:p>
        </w:tc>
        <w:tc>
          <w:tcPr>
            <w:tcW w:w="1669" w:type="dxa"/>
            <w:tcBorders>
              <w:left w:val="single" w:sz="4" w:space="0" w:color="auto"/>
            </w:tcBorders>
          </w:tcPr>
          <w:p w14:paraId="2620A036" w14:textId="079823D1" w:rsidR="00164F5A" w:rsidRPr="00EA1CDA" w:rsidRDefault="00521534" w:rsidP="00665EF9">
            <w:pPr>
              <w:widowControl w:val="0"/>
              <w:pBdr>
                <w:top w:val="nil"/>
                <w:left w:val="nil"/>
                <w:bottom w:val="nil"/>
                <w:right w:val="nil"/>
                <w:between w:val="nil"/>
              </w:pBdr>
              <w:tabs>
                <w:tab w:val="left" w:pos="851"/>
              </w:tabs>
              <w:ind w:right="-102"/>
              <w:jc w:val="both"/>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(14)</w:t>
            </w:r>
            <w:r w:rsidRPr="00EA1CDA">
              <w:rPr>
                <w:rFonts w:ascii="Times New Roman" w:hAnsi="Times New Roman" w:cs="Times New Roman"/>
                <w:color w:val="000000"/>
                <w:sz w:val="20"/>
                <w:szCs w:val="20"/>
              </w:rPr>
              <w:t xml:space="preserve"> T-10.787.409</w:t>
            </w:r>
          </w:p>
        </w:tc>
        <w:tc>
          <w:tcPr>
            <w:tcW w:w="2451" w:type="dxa"/>
          </w:tcPr>
          <w:p w14:paraId="4CAF0E16" w14:textId="1323BADC" w:rsidR="00164F5A" w:rsidRPr="00EA1CDA" w:rsidRDefault="00B6152C" w:rsidP="00164F5A">
            <w:pPr>
              <w:widowControl w:val="0"/>
              <w:pBdr>
                <w:top w:val="nil"/>
                <w:left w:val="nil"/>
                <w:bottom w:val="nil"/>
                <w:right w:val="nil"/>
                <w:between w:val="nil"/>
              </w:pBdr>
              <w:tabs>
                <w:tab w:val="left" w:pos="0"/>
                <w:tab w:val="left" w:pos="851"/>
                <w:tab w:val="left" w:pos="1560"/>
              </w:tabs>
              <w:ind w:right="51"/>
              <w:jc w:val="both"/>
              <w:rPr>
                <w:color w:val="000000"/>
                <w:sz w:val="20"/>
                <w:szCs w:val="20"/>
                <w:lang w:val="es-CO"/>
              </w:rPr>
            </w:pPr>
            <w:r w:rsidRPr="00EA1CDA">
              <w:rPr>
                <w:color w:val="000000"/>
                <w:sz w:val="20"/>
                <w:szCs w:val="20"/>
                <w:lang w:val="es-CO"/>
              </w:rPr>
              <w:t>Compensar EPS </w:t>
            </w:r>
            <w:r w:rsidRPr="00EA1CDA">
              <w:rPr>
                <w:rFonts w:ascii="Times New Roman" w:hAnsi="Times New Roman" w:cs="Times New Roman"/>
                <w:color w:val="000000"/>
                <w:sz w:val="20"/>
                <w:szCs w:val="20"/>
              </w:rPr>
              <w:t>y Audifarma </w:t>
            </w:r>
          </w:p>
        </w:tc>
      </w:tr>
      <w:tr w:rsidR="00D62018" w:rsidRPr="00EA1CDA" w14:paraId="706E5176" w14:textId="77777777" w:rsidTr="00665EF9">
        <w:tc>
          <w:tcPr>
            <w:tcW w:w="1555" w:type="dxa"/>
          </w:tcPr>
          <w:p w14:paraId="381705A8" w14:textId="787CDE85" w:rsidR="00164F5A" w:rsidRPr="00EA1CDA" w:rsidRDefault="00584C37" w:rsidP="00665EF9">
            <w:pPr>
              <w:widowControl w:val="0"/>
              <w:pBdr>
                <w:top w:val="nil"/>
                <w:left w:val="nil"/>
                <w:bottom w:val="nil"/>
                <w:right w:val="nil"/>
                <w:between w:val="nil"/>
              </w:pBdr>
              <w:tabs>
                <w:tab w:val="left" w:pos="0"/>
                <w:tab w:val="left" w:pos="851"/>
                <w:tab w:val="left" w:pos="1560"/>
              </w:tabs>
              <w:ind w:right="-111"/>
              <w:jc w:val="both"/>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(4)</w:t>
            </w:r>
            <w:r w:rsidRPr="00EA1CDA">
              <w:rPr>
                <w:rFonts w:ascii="Times New Roman" w:hAnsi="Times New Roman" w:cs="Times New Roman"/>
                <w:color w:val="000000"/>
                <w:sz w:val="20"/>
                <w:szCs w:val="20"/>
              </w:rPr>
              <w:t xml:space="preserve"> T-10.773.996</w:t>
            </w:r>
          </w:p>
        </w:tc>
        <w:tc>
          <w:tcPr>
            <w:tcW w:w="2917" w:type="dxa"/>
            <w:tcBorders>
              <w:right w:val="single" w:sz="4" w:space="0" w:color="auto"/>
            </w:tcBorders>
          </w:tcPr>
          <w:p w14:paraId="6640E1C2" w14:textId="3F65DAD9" w:rsidR="00164F5A" w:rsidRPr="00EA1CDA" w:rsidRDefault="003C4370" w:rsidP="00164F5A">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rPr>
            </w:pPr>
            <w:r w:rsidRPr="00EA1CDA">
              <w:rPr>
                <w:rFonts w:ascii="Times New Roman" w:hAnsi="Times New Roman" w:cs="Times New Roman"/>
                <w:color w:val="000000"/>
                <w:sz w:val="20"/>
                <w:szCs w:val="20"/>
              </w:rPr>
              <w:t>Savia Salud</w:t>
            </w:r>
            <w:r w:rsidR="009C7E11" w:rsidRPr="00EA1CDA">
              <w:rPr>
                <w:rFonts w:ascii="Times New Roman" w:hAnsi="Times New Roman" w:cs="Times New Roman"/>
                <w:color w:val="000000"/>
                <w:sz w:val="20"/>
                <w:szCs w:val="20"/>
              </w:rPr>
              <w:t xml:space="preserve"> EPS-S</w:t>
            </w:r>
          </w:p>
        </w:tc>
        <w:tc>
          <w:tcPr>
            <w:tcW w:w="236" w:type="dxa"/>
            <w:tcBorders>
              <w:top w:val="nil"/>
              <w:left w:val="single" w:sz="4" w:space="0" w:color="auto"/>
              <w:bottom w:val="nil"/>
              <w:right w:val="single" w:sz="4" w:space="0" w:color="auto"/>
            </w:tcBorders>
          </w:tcPr>
          <w:p w14:paraId="6221C69C" w14:textId="77777777" w:rsidR="00164F5A" w:rsidRPr="00EA1CDA" w:rsidRDefault="00164F5A" w:rsidP="00164F5A">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rPr>
            </w:pPr>
          </w:p>
        </w:tc>
        <w:tc>
          <w:tcPr>
            <w:tcW w:w="1669" w:type="dxa"/>
            <w:tcBorders>
              <w:left w:val="single" w:sz="4" w:space="0" w:color="auto"/>
            </w:tcBorders>
          </w:tcPr>
          <w:p w14:paraId="44CD4788" w14:textId="2920B49B" w:rsidR="00164F5A" w:rsidRPr="00EA1CDA" w:rsidRDefault="00521534" w:rsidP="00665EF9">
            <w:pPr>
              <w:widowControl w:val="0"/>
              <w:pBdr>
                <w:top w:val="nil"/>
                <w:left w:val="nil"/>
                <w:bottom w:val="nil"/>
                <w:right w:val="nil"/>
                <w:between w:val="nil"/>
              </w:pBdr>
              <w:tabs>
                <w:tab w:val="left" w:pos="851"/>
              </w:tabs>
              <w:ind w:right="-102"/>
              <w:jc w:val="both"/>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(16)</w:t>
            </w:r>
            <w:r w:rsidRPr="00EA1CDA">
              <w:rPr>
                <w:rFonts w:ascii="Times New Roman" w:hAnsi="Times New Roman" w:cs="Times New Roman"/>
                <w:color w:val="000000"/>
                <w:sz w:val="20"/>
                <w:szCs w:val="20"/>
              </w:rPr>
              <w:t xml:space="preserve"> T-10.796.578</w:t>
            </w:r>
          </w:p>
        </w:tc>
        <w:tc>
          <w:tcPr>
            <w:tcW w:w="2451" w:type="dxa"/>
          </w:tcPr>
          <w:p w14:paraId="123E05B9" w14:textId="06EF2E0B" w:rsidR="00164F5A" w:rsidRPr="00EA1CDA" w:rsidRDefault="003F1068" w:rsidP="00164F5A">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rPr>
            </w:pPr>
            <w:r w:rsidRPr="00EA1CDA">
              <w:rPr>
                <w:rFonts w:ascii="Times New Roman" w:hAnsi="Times New Roman" w:cs="Times New Roman"/>
                <w:color w:val="000000"/>
                <w:sz w:val="20"/>
                <w:szCs w:val="20"/>
              </w:rPr>
              <w:t xml:space="preserve">Nueva EPS y </w:t>
            </w:r>
            <w:proofErr w:type="spellStart"/>
            <w:r w:rsidR="00F2113E" w:rsidRPr="00EA1CDA">
              <w:rPr>
                <w:rFonts w:ascii="Times New Roman" w:hAnsi="Times New Roman" w:cs="Times New Roman"/>
                <w:color w:val="000000"/>
                <w:sz w:val="20"/>
                <w:szCs w:val="20"/>
              </w:rPr>
              <w:t>Discolmets</w:t>
            </w:r>
            <w:proofErr w:type="spellEnd"/>
            <w:r w:rsidR="00F2113E" w:rsidRPr="00EA1CDA">
              <w:rPr>
                <w:rFonts w:ascii="Times New Roman" w:hAnsi="Times New Roman" w:cs="Times New Roman"/>
                <w:color w:val="000000"/>
                <w:sz w:val="20"/>
                <w:szCs w:val="20"/>
              </w:rPr>
              <w:t xml:space="preserve">   </w:t>
            </w:r>
          </w:p>
        </w:tc>
      </w:tr>
      <w:tr w:rsidR="00D62018" w:rsidRPr="00EA1CDA" w14:paraId="334815DA" w14:textId="77777777" w:rsidTr="00665EF9">
        <w:tc>
          <w:tcPr>
            <w:tcW w:w="1555" w:type="dxa"/>
          </w:tcPr>
          <w:p w14:paraId="5338121A" w14:textId="3C3156F9" w:rsidR="00164F5A" w:rsidRPr="00EA1CDA" w:rsidRDefault="00584C37" w:rsidP="00665EF9">
            <w:pPr>
              <w:widowControl w:val="0"/>
              <w:pBdr>
                <w:top w:val="nil"/>
                <w:left w:val="nil"/>
                <w:bottom w:val="nil"/>
                <w:right w:val="nil"/>
                <w:between w:val="nil"/>
              </w:pBdr>
              <w:tabs>
                <w:tab w:val="left" w:pos="0"/>
                <w:tab w:val="left" w:pos="851"/>
                <w:tab w:val="left" w:pos="1560"/>
              </w:tabs>
              <w:ind w:right="-111"/>
              <w:jc w:val="both"/>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(5)</w:t>
            </w:r>
            <w:r w:rsidRPr="00EA1CDA">
              <w:rPr>
                <w:rFonts w:ascii="Times New Roman" w:hAnsi="Times New Roman" w:cs="Times New Roman"/>
                <w:color w:val="000000"/>
                <w:sz w:val="20"/>
                <w:szCs w:val="20"/>
              </w:rPr>
              <w:t xml:space="preserve"> T-10.774.002</w:t>
            </w:r>
          </w:p>
        </w:tc>
        <w:tc>
          <w:tcPr>
            <w:tcW w:w="2917" w:type="dxa"/>
            <w:tcBorders>
              <w:right w:val="single" w:sz="4" w:space="0" w:color="auto"/>
            </w:tcBorders>
          </w:tcPr>
          <w:p w14:paraId="291B6190" w14:textId="55D05ED9" w:rsidR="00164F5A" w:rsidRPr="00EA1CDA" w:rsidRDefault="00285227" w:rsidP="00164F5A">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rPr>
            </w:pPr>
            <w:r w:rsidRPr="00EA1CDA">
              <w:rPr>
                <w:rFonts w:ascii="Times New Roman" w:hAnsi="Times New Roman" w:cs="Times New Roman"/>
                <w:color w:val="000000"/>
                <w:sz w:val="20"/>
                <w:szCs w:val="20"/>
              </w:rPr>
              <w:t>Savia Salud </w:t>
            </w:r>
            <w:r w:rsidR="009C7E11" w:rsidRPr="00EA1CDA">
              <w:rPr>
                <w:rFonts w:ascii="Times New Roman" w:hAnsi="Times New Roman" w:cs="Times New Roman"/>
                <w:color w:val="000000"/>
                <w:sz w:val="20"/>
                <w:szCs w:val="20"/>
              </w:rPr>
              <w:t>EPS-S</w:t>
            </w:r>
          </w:p>
        </w:tc>
        <w:tc>
          <w:tcPr>
            <w:tcW w:w="236" w:type="dxa"/>
            <w:tcBorders>
              <w:top w:val="nil"/>
              <w:left w:val="single" w:sz="4" w:space="0" w:color="auto"/>
              <w:bottom w:val="nil"/>
              <w:right w:val="single" w:sz="4" w:space="0" w:color="auto"/>
            </w:tcBorders>
          </w:tcPr>
          <w:p w14:paraId="1A7A9D4B" w14:textId="77777777" w:rsidR="00164F5A" w:rsidRPr="00EA1CDA" w:rsidRDefault="00164F5A" w:rsidP="00164F5A">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rPr>
            </w:pPr>
          </w:p>
        </w:tc>
        <w:tc>
          <w:tcPr>
            <w:tcW w:w="1669" w:type="dxa"/>
            <w:tcBorders>
              <w:left w:val="single" w:sz="4" w:space="0" w:color="auto"/>
            </w:tcBorders>
          </w:tcPr>
          <w:p w14:paraId="6CF100C3" w14:textId="3B5EF8A7" w:rsidR="00164F5A" w:rsidRPr="00EA1CDA" w:rsidRDefault="00521534" w:rsidP="00665EF9">
            <w:pPr>
              <w:widowControl w:val="0"/>
              <w:pBdr>
                <w:top w:val="nil"/>
                <w:left w:val="nil"/>
                <w:bottom w:val="nil"/>
                <w:right w:val="nil"/>
                <w:between w:val="nil"/>
              </w:pBdr>
              <w:tabs>
                <w:tab w:val="left" w:pos="851"/>
              </w:tabs>
              <w:ind w:right="-102"/>
              <w:jc w:val="both"/>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(17)</w:t>
            </w:r>
            <w:r w:rsidRPr="00EA1CDA">
              <w:rPr>
                <w:rFonts w:ascii="Times New Roman" w:hAnsi="Times New Roman" w:cs="Times New Roman"/>
                <w:color w:val="000000"/>
                <w:sz w:val="20"/>
                <w:szCs w:val="20"/>
              </w:rPr>
              <w:t xml:space="preserve"> T- 10.796.598</w:t>
            </w:r>
          </w:p>
        </w:tc>
        <w:tc>
          <w:tcPr>
            <w:tcW w:w="2451" w:type="dxa"/>
          </w:tcPr>
          <w:p w14:paraId="74B733B8" w14:textId="32A8B063" w:rsidR="00164F5A" w:rsidRPr="00EA1CDA" w:rsidRDefault="00AA1887" w:rsidP="00164F5A">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rPr>
            </w:pPr>
            <w:r w:rsidRPr="00EA1CDA">
              <w:rPr>
                <w:rFonts w:ascii="Times New Roman" w:hAnsi="Times New Roman" w:cs="Times New Roman"/>
                <w:color w:val="000000"/>
                <w:sz w:val="20"/>
                <w:szCs w:val="20"/>
              </w:rPr>
              <w:t>Nueva EPS</w:t>
            </w:r>
          </w:p>
        </w:tc>
      </w:tr>
      <w:tr w:rsidR="00D62018" w:rsidRPr="00EA1CDA" w14:paraId="3DB82E28" w14:textId="77777777" w:rsidTr="00665EF9">
        <w:tc>
          <w:tcPr>
            <w:tcW w:w="1555" w:type="dxa"/>
          </w:tcPr>
          <w:p w14:paraId="6F7B1759" w14:textId="7B0F5781" w:rsidR="00164F5A" w:rsidRPr="00EA1CDA" w:rsidRDefault="00584C37" w:rsidP="00665EF9">
            <w:pPr>
              <w:widowControl w:val="0"/>
              <w:pBdr>
                <w:top w:val="nil"/>
                <w:left w:val="nil"/>
                <w:bottom w:val="nil"/>
                <w:right w:val="nil"/>
                <w:between w:val="nil"/>
              </w:pBdr>
              <w:tabs>
                <w:tab w:val="left" w:pos="0"/>
                <w:tab w:val="left" w:pos="851"/>
                <w:tab w:val="left" w:pos="1560"/>
              </w:tabs>
              <w:ind w:right="-111"/>
              <w:jc w:val="both"/>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(9)</w:t>
            </w:r>
            <w:r w:rsidRPr="00EA1CDA">
              <w:rPr>
                <w:rFonts w:ascii="Times New Roman" w:hAnsi="Times New Roman" w:cs="Times New Roman"/>
                <w:color w:val="000000"/>
                <w:sz w:val="20"/>
                <w:szCs w:val="20"/>
              </w:rPr>
              <w:t xml:space="preserve"> T-10.785.672</w:t>
            </w:r>
          </w:p>
        </w:tc>
        <w:tc>
          <w:tcPr>
            <w:tcW w:w="2917" w:type="dxa"/>
            <w:tcBorders>
              <w:right w:val="single" w:sz="4" w:space="0" w:color="auto"/>
            </w:tcBorders>
          </w:tcPr>
          <w:p w14:paraId="603B924A" w14:textId="385C333F" w:rsidR="00164F5A" w:rsidRPr="00EA1CDA" w:rsidRDefault="00226BD5" w:rsidP="00164F5A">
            <w:pPr>
              <w:widowControl w:val="0"/>
              <w:pBdr>
                <w:top w:val="nil"/>
                <w:left w:val="nil"/>
                <w:bottom w:val="nil"/>
                <w:right w:val="nil"/>
                <w:between w:val="nil"/>
              </w:pBdr>
              <w:tabs>
                <w:tab w:val="left" w:pos="0"/>
                <w:tab w:val="left" w:pos="851"/>
                <w:tab w:val="left" w:pos="1560"/>
              </w:tabs>
              <w:ind w:right="51"/>
              <w:jc w:val="both"/>
              <w:rPr>
                <w:color w:val="000000"/>
                <w:sz w:val="20"/>
                <w:szCs w:val="20"/>
                <w:lang w:val="es-CO"/>
              </w:rPr>
            </w:pPr>
            <w:r w:rsidRPr="00EA1CDA">
              <w:rPr>
                <w:rFonts w:ascii="Times New Roman" w:hAnsi="Times New Roman" w:cs="Times New Roman"/>
                <w:color w:val="000000"/>
                <w:sz w:val="20"/>
                <w:szCs w:val="20"/>
              </w:rPr>
              <w:t>Nueva EPS</w:t>
            </w:r>
            <w:r w:rsidR="0032305E" w:rsidRPr="00EA1CDA">
              <w:rPr>
                <w:rFonts w:ascii="Times New Roman" w:hAnsi="Times New Roman" w:cs="Times New Roman"/>
                <w:color w:val="000000"/>
                <w:sz w:val="20"/>
                <w:szCs w:val="20"/>
              </w:rPr>
              <w:t xml:space="preserve"> y</w:t>
            </w:r>
            <w:r w:rsidR="009F069C" w:rsidRPr="00EA1CDA">
              <w:rPr>
                <w:rFonts w:ascii="Times New Roman" w:hAnsi="Times New Roman" w:cs="Times New Roman"/>
                <w:color w:val="000000"/>
                <w:sz w:val="20"/>
                <w:szCs w:val="20"/>
              </w:rPr>
              <w:t xml:space="preserve"> </w:t>
            </w:r>
            <w:r w:rsidR="009F069C" w:rsidRPr="00EA1CDA">
              <w:rPr>
                <w:color w:val="000000"/>
                <w:sz w:val="20"/>
                <w:szCs w:val="20"/>
                <w:lang w:val="es-CO"/>
              </w:rPr>
              <w:t>F</w:t>
            </w:r>
            <w:r w:rsidR="00F40814" w:rsidRPr="00EA1CDA">
              <w:rPr>
                <w:color w:val="000000"/>
                <w:sz w:val="20"/>
                <w:szCs w:val="20"/>
                <w:lang w:val="es-CO"/>
              </w:rPr>
              <w:t>armacia</w:t>
            </w:r>
            <w:r w:rsidR="009F069C" w:rsidRPr="00EA1CDA">
              <w:rPr>
                <w:color w:val="000000"/>
                <w:sz w:val="20"/>
                <w:szCs w:val="20"/>
                <w:lang w:val="es-CO"/>
              </w:rPr>
              <w:t xml:space="preserve"> COHAN</w:t>
            </w:r>
          </w:p>
        </w:tc>
        <w:tc>
          <w:tcPr>
            <w:tcW w:w="236" w:type="dxa"/>
            <w:tcBorders>
              <w:top w:val="nil"/>
              <w:left w:val="single" w:sz="4" w:space="0" w:color="auto"/>
              <w:bottom w:val="nil"/>
              <w:right w:val="single" w:sz="4" w:space="0" w:color="auto"/>
            </w:tcBorders>
          </w:tcPr>
          <w:p w14:paraId="6867FC85" w14:textId="77777777" w:rsidR="00164F5A" w:rsidRPr="00EA1CDA" w:rsidRDefault="00164F5A" w:rsidP="00164F5A">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rPr>
            </w:pPr>
          </w:p>
        </w:tc>
        <w:tc>
          <w:tcPr>
            <w:tcW w:w="1669" w:type="dxa"/>
            <w:tcBorders>
              <w:left w:val="single" w:sz="4" w:space="0" w:color="auto"/>
            </w:tcBorders>
          </w:tcPr>
          <w:p w14:paraId="784F59C6" w14:textId="49F35FFE" w:rsidR="00164F5A" w:rsidRPr="00EA1CDA" w:rsidRDefault="00521534" w:rsidP="00665EF9">
            <w:pPr>
              <w:widowControl w:val="0"/>
              <w:pBdr>
                <w:top w:val="nil"/>
                <w:left w:val="nil"/>
                <w:bottom w:val="nil"/>
                <w:right w:val="nil"/>
                <w:between w:val="nil"/>
              </w:pBdr>
              <w:tabs>
                <w:tab w:val="left" w:pos="851"/>
              </w:tabs>
              <w:ind w:right="-102"/>
              <w:jc w:val="both"/>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(19)</w:t>
            </w:r>
            <w:r w:rsidRPr="00EA1CDA">
              <w:rPr>
                <w:rFonts w:ascii="Times New Roman" w:hAnsi="Times New Roman" w:cs="Times New Roman"/>
                <w:color w:val="000000"/>
                <w:sz w:val="20"/>
                <w:szCs w:val="20"/>
              </w:rPr>
              <w:t xml:space="preserve"> T-10.800.758</w:t>
            </w:r>
          </w:p>
        </w:tc>
        <w:tc>
          <w:tcPr>
            <w:tcW w:w="2451" w:type="dxa"/>
          </w:tcPr>
          <w:p w14:paraId="1733EA82" w14:textId="11439E23" w:rsidR="00164F5A" w:rsidRPr="00EA1CDA" w:rsidRDefault="008E0F09" w:rsidP="00164F5A">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rPr>
            </w:pPr>
            <w:r w:rsidRPr="00EA1CDA">
              <w:rPr>
                <w:rFonts w:ascii="Times New Roman" w:hAnsi="Times New Roman" w:cs="Times New Roman"/>
                <w:sz w:val="20"/>
                <w:szCs w:val="20"/>
              </w:rPr>
              <w:t>Nueva EPS y Cafam</w:t>
            </w:r>
          </w:p>
        </w:tc>
      </w:tr>
      <w:tr w:rsidR="00D62018" w:rsidRPr="00EA1CDA" w14:paraId="1BB1585B" w14:textId="77777777" w:rsidTr="00665EF9">
        <w:tc>
          <w:tcPr>
            <w:tcW w:w="1555" w:type="dxa"/>
          </w:tcPr>
          <w:p w14:paraId="5DCF7F75" w14:textId="180F0DA1" w:rsidR="00164F5A" w:rsidRPr="00EA1CDA" w:rsidRDefault="00584C37" w:rsidP="00665EF9">
            <w:pPr>
              <w:widowControl w:val="0"/>
              <w:pBdr>
                <w:top w:val="nil"/>
                <w:left w:val="nil"/>
                <w:bottom w:val="nil"/>
                <w:right w:val="nil"/>
                <w:between w:val="nil"/>
              </w:pBdr>
              <w:tabs>
                <w:tab w:val="left" w:pos="851"/>
                <w:tab w:val="left" w:pos="1449"/>
              </w:tabs>
              <w:ind w:left="-111" w:right="-111"/>
              <w:jc w:val="both"/>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(12)</w:t>
            </w:r>
            <w:r w:rsidRPr="00EA1CDA">
              <w:rPr>
                <w:rFonts w:ascii="Times New Roman" w:hAnsi="Times New Roman" w:cs="Times New Roman"/>
                <w:color w:val="000000"/>
                <w:sz w:val="20"/>
                <w:szCs w:val="20"/>
              </w:rPr>
              <w:t xml:space="preserve"> T-10.791.762</w:t>
            </w:r>
          </w:p>
        </w:tc>
        <w:tc>
          <w:tcPr>
            <w:tcW w:w="2917" w:type="dxa"/>
            <w:tcBorders>
              <w:right w:val="single" w:sz="4" w:space="0" w:color="auto"/>
            </w:tcBorders>
          </w:tcPr>
          <w:p w14:paraId="7C599DEB" w14:textId="5D8D78FD" w:rsidR="00164F5A" w:rsidRPr="00EA1CDA" w:rsidRDefault="004871CA" w:rsidP="00164F5A">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rPr>
            </w:pPr>
            <w:r w:rsidRPr="00EA1CDA">
              <w:rPr>
                <w:rFonts w:ascii="Times New Roman" w:hAnsi="Times New Roman" w:cs="Times New Roman"/>
                <w:color w:val="000000"/>
                <w:sz w:val="20"/>
                <w:szCs w:val="20"/>
              </w:rPr>
              <w:t>Sanitas EPS y Audifarma </w:t>
            </w:r>
          </w:p>
        </w:tc>
        <w:tc>
          <w:tcPr>
            <w:tcW w:w="236" w:type="dxa"/>
            <w:tcBorders>
              <w:top w:val="nil"/>
              <w:left w:val="single" w:sz="4" w:space="0" w:color="auto"/>
              <w:bottom w:val="nil"/>
              <w:right w:val="single" w:sz="4" w:space="0" w:color="auto"/>
            </w:tcBorders>
          </w:tcPr>
          <w:p w14:paraId="150C283A" w14:textId="77777777" w:rsidR="00164F5A" w:rsidRPr="00EA1CDA" w:rsidRDefault="00164F5A" w:rsidP="00164F5A">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rPr>
            </w:pPr>
          </w:p>
        </w:tc>
        <w:tc>
          <w:tcPr>
            <w:tcW w:w="1669" w:type="dxa"/>
            <w:tcBorders>
              <w:left w:val="single" w:sz="4" w:space="0" w:color="auto"/>
            </w:tcBorders>
          </w:tcPr>
          <w:p w14:paraId="0E6FE342" w14:textId="7EA5D716" w:rsidR="00164F5A" w:rsidRPr="00EA1CDA" w:rsidRDefault="00521534" w:rsidP="00665EF9">
            <w:pPr>
              <w:widowControl w:val="0"/>
              <w:pBdr>
                <w:top w:val="nil"/>
                <w:left w:val="nil"/>
                <w:bottom w:val="nil"/>
                <w:right w:val="nil"/>
                <w:between w:val="nil"/>
              </w:pBdr>
              <w:tabs>
                <w:tab w:val="left" w:pos="851"/>
              </w:tabs>
              <w:ind w:right="-102"/>
              <w:jc w:val="both"/>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(20)</w:t>
            </w:r>
            <w:r w:rsidRPr="00EA1CDA">
              <w:rPr>
                <w:rFonts w:ascii="Times New Roman" w:hAnsi="Times New Roman" w:cs="Times New Roman"/>
                <w:color w:val="000000"/>
                <w:sz w:val="20"/>
                <w:szCs w:val="20"/>
              </w:rPr>
              <w:t xml:space="preserve"> T-10.800.834</w:t>
            </w:r>
          </w:p>
        </w:tc>
        <w:tc>
          <w:tcPr>
            <w:tcW w:w="2451" w:type="dxa"/>
          </w:tcPr>
          <w:p w14:paraId="756E1891" w14:textId="2B9C85BF" w:rsidR="00164F5A" w:rsidRPr="00EA1CDA" w:rsidRDefault="00657672" w:rsidP="00D850A2">
            <w:pPr>
              <w:keepNext/>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rPr>
            </w:pPr>
            <w:r w:rsidRPr="00EA1CDA">
              <w:rPr>
                <w:rFonts w:ascii="Times New Roman" w:hAnsi="Times New Roman" w:cs="Times New Roman"/>
                <w:sz w:val="20"/>
                <w:szCs w:val="20"/>
              </w:rPr>
              <w:t>Nueva EPS</w:t>
            </w:r>
          </w:p>
        </w:tc>
      </w:tr>
    </w:tbl>
    <w:p w14:paraId="00466753" w14:textId="77777777" w:rsidR="00AC2951" w:rsidRPr="00EA1CDA" w:rsidRDefault="00AC2951" w:rsidP="00AC2951">
      <w:pPr>
        <w:pStyle w:val="Prrafodelista"/>
        <w:pBdr>
          <w:top w:val="nil"/>
          <w:left w:val="nil"/>
          <w:bottom w:val="nil"/>
          <w:right w:val="nil"/>
          <w:between w:val="nil"/>
        </w:pBdr>
        <w:tabs>
          <w:tab w:val="left" w:pos="0"/>
        </w:tabs>
        <w:ind w:left="0"/>
        <w:jc w:val="both"/>
      </w:pPr>
    </w:p>
    <w:p w14:paraId="23C7CDA2" w14:textId="7C2B0B5C" w:rsidR="00BA7753" w:rsidRPr="00EA1CDA" w:rsidRDefault="00BA7753" w:rsidP="00BA7753">
      <w:pPr>
        <w:pStyle w:val="Prrafodelista"/>
        <w:numPr>
          <w:ilvl w:val="0"/>
          <w:numId w:val="5"/>
        </w:numPr>
        <w:pBdr>
          <w:top w:val="nil"/>
          <w:left w:val="nil"/>
          <w:bottom w:val="nil"/>
          <w:right w:val="nil"/>
          <w:between w:val="nil"/>
        </w:pBdr>
        <w:tabs>
          <w:tab w:val="left" w:pos="0"/>
        </w:tabs>
        <w:jc w:val="both"/>
      </w:pPr>
      <w:r w:rsidRPr="00EA1CDA">
        <w:rPr>
          <w:b/>
          <w:color w:val="000000"/>
          <w:sz w:val="28"/>
          <w:szCs w:val="28"/>
        </w:rPr>
        <w:t>ORDENAR</w:t>
      </w:r>
      <w:r w:rsidRPr="00EA1CDA">
        <w:rPr>
          <w:color w:val="000000"/>
          <w:sz w:val="28"/>
          <w:szCs w:val="28"/>
        </w:rPr>
        <w:t xml:space="preserve"> a las EPS, IPS y gestores farmacéuticos relacionados en la Tabla </w:t>
      </w:r>
      <w:r w:rsidR="00001843" w:rsidRPr="00EA1CDA">
        <w:rPr>
          <w:color w:val="000000"/>
          <w:sz w:val="28"/>
          <w:szCs w:val="28"/>
        </w:rPr>
        <w:t>4</w:t>
      </w:r>
      <w:r w:rsidRPr="00EA1CDA">
        <w:rPr>
          <w:color w:val="000000"/>
          <w:sz w:val="28"/>
          <w:szCs w:val="28"/>
        </w:rPr>
        <w:t xml:space="preserve"> </w:t>
      </w:r>
      <w:r w:rsidR="001A3D81" w:rsidRPr="00EA1CDA">
        <w:rPr>
          <w:color w:val="000000"/>
          <w:sz w:val="28"/>
          <w:szCs w:val="28"/>
        </w:rPr>
        <w:t xml:space="preserve">que se encuentra a continuación </w:t>
      </w:r>
      <w:r w:rsidR="00E672A5" w:rsidRPr="00EA1CDA">
        <w:rPr>
          <w:color w:val="000000"/>
          <w:sz w:val="28"/>
          <w:szCs w:val="28"/>
        </w:rPr>
        <w:t xml:space="preserve"> </w:t>
      </w:r>
      <w:r w:rsidRPr="00EA1CDA">
        <w:rPr>
          <w:color w:val="000000"/>
          <w:sz w:val="28"/>
          <w:szCs w:val="28"/>
        </w:rPr>
        <w:t xml:space="preserve">que, </w:t>
      </w:r>
      <w:r w:rsidR="00F54E74" w:rsidRPr="00EA1CDA">
        <w:rPr>
          <w:color w:val="000000"/>
          <w:sz w:val="28"/>
          <w:szCs w:val="28"/>
        </w:rPr>
        <w:t>e</w:t>
      </w:r>
      <w:r w:rsidR="00F54E74" w:rsidRPr="00EA1CDA">
        <w:rPr>
          <w:sz w:val="28"/>
          <w:szCs w:val="28"/>
        </w:rPr>
        <w:t xml:space="preserve">n el evento de que el médico tratante prescriba nuevamente el suministro del </w:t>
      </w:r>
      <w:r w:rsidR="003260B7" w:rsidRPr="00EA1CDA">
        <w:rPr>
          <w:sz w:val="28"/>
          <w:szCs w:val="28"/>
        </w:rPr>
        <w:t>medicamento</w:t>
      </w:r>
      <w:r w:rsidR="00F54E74" w:rsidRPr="00EA1CDA">
        <w:rPr>
          <w:sz w:val="28"/>
          <w:szCs w:val="28"/>
        </w:rPr>
        <w:t xml:space="preserve">, </w:t>
      </w:r>
      <w:r w:rsidRPr="00EA1CDA">
        <w:rPr>
          <w:b/>
          <w:bCs/>
          <w:color w:val="000000"/>
          <w:sz w:val="28"/>
          <w:szCs w:val="28"/>
        </w:rPr>
        <w:t>ENTREGUEN</w:t>
      </w:r>
      <w:r w:rsidRPr="00EA1CDA">
        <w:rPr>
          <w:color w:val="000000"/>
          <w:sz w:val="28"/>
          <w:szCs w:val="28"/>
        </w:rPr>
        <w:t xml:space="preserve"> el</w:t>
      </w:r>
      <w:r w:rsidR="00E672A5" w:rsidRPr="00EA1CDA">
        <w:rPr>
          <w:color w:val="000000"/>
          <w:sz w:val="28"/>
          <w:szCs w:val="28"/>
        </w:rPr>
        <w:t xml:space="preserve"> (</w:t>
      </w:r>
      <w:r w:rsidRPr="00EA1CDA">
        <w:rPr>
          <w:color w:val="000000"/>
          <w:sz w:val="28"/>
          <w:szCs w:val="28"/>
        </w:rPr>
        <w:t>los) medicamento</w:t>
      </w:r>
      <w:r w:rsidR="00E672A5" w:rsidRPr="00EA1CDA">
        <w:rPr>
          <w:color w:val="000000"/>
          <w:sz w:val="28"/>
          <w:szCs w:val="28"/>
        </w:rPr>
        <w:t xml:space="preserve"> </w:t>
      </w:r>
      <w:r w:rsidRPr="00EA1CDA">
        <w:rPr>
          <w:color w:val="000000"/>
          <w:sz w:val="28"/>
          <w:szCs w:val="28"/>
        </w:rPr>
        <w:t xml:space="preserve">(s) a la parte accionante conforme a la prescripción médica </w:t>
      </w:r>
      <w:r w:rsidR="002A3F9C" w:rsidRPr="00EA1CDA">
        <w:rPr>
          <w:color w:val="000000"/>
          <w:sz w:val="28"/>
          <w:szCs w:val="28"/>
        </w:rPr>
        <w:t xml:space="preserve">que corresponda, </w:t>
      </w:r>
      <w:r w:rsidRPr="00EA1CDA">
        <w:rPr>
          <w:sz w:val="28"/>
          <w:szCs w:val="28"/>
        </w:rPr>
        <w:t>máximo</w:t>
      </w:r>
      <w:r w:rsidR="00AF33C3" w:rsidRPr="00EA1CDA">
        <w:rPr>
          <w:sz w:val="28"/>
          <w:szCs w:val="28"/>
        </w:rPr>
        <w:t xml:space="preserve"> </w:t>
      </w:r>
      <w:r w:rsidR="00814278" w:rsidRPr="00EA1CDA">
        <w:rPr>
          <w:color w:val="000000"/>
          <w:sz w:val="28"/>
          <w:szCs w:val="28"/>
        </w:rPr>
        <w:t xml:space="preserve">setenta y dos (72) horas </w:t>
      </w:r>
      <w:r w:rsidR="00D94064" w:rsidRPr="00EA1CDA">
        <w:rPr>
          <w:color w:val="000000"/>
          <w:sz w:val="28"/>
          <w:szCs w:val="28"/>
        </w:rPr>
        <w:t xml:space="preserve">antes </w:t>
      </w:r>
      <w:r w:rsidRPr="00EA1CDA">
        <w:rPr>
          <w:sz w:val="28"/>
          <w:szCs w:val="28"/>
        </w:rPr>
        <w:t xml:space="preserve">de que la </w:t>
      </w:r>
      <w:r w:rsidR="007926B3" w:rsidRPr="00EA1CDA">
        <w:rPr>
          <w:sz w:val="28"/>
          <w:szCs w:val="28"/>
        </w:rPr>
        <w:t>formulación que se entregó anteriormente se agote</w:t>
      </w:r>
      <w:r w:rsidRPr="00EA1CDA">
        <w:rPr>
          <w:sz w:val="28"/>
          <w:szCs w:val="28"/>
        </w:rPr>
        <w:t xml:space="preserve">, </w:t>
      </w:r>
      <w:r w:rsidR="00242E41" w:rsidRPr="00EA1CDA">
        <w:rPr>
          <w:color w:val="000000"/>
          <w:sz w:val="28"/>
          <w:szCs w:val="28"/>
        </w:rPr>
        <w:t>y, al momento de efectuar la entrega del medicamento, también debe programarse y fijarse la fecha cierta de la siguiente entrega</w:t>
      </w:r>
      <w:r w:rsidRPr="00EA1CDA">
        <w:rPr>
          <w:sz w:val="28"/>
          <w:szCs w:val="28"/>
        </w:rPr>
        <w:t xml:space="preserve">. </w:t>
      </w:r>
      <w:r w:rsidRPr="00EA1CDA">
        <w:rPr>
          <w:color w:val="000000"/>
          <w:sz w:val="28"/>
          <w:szCs w:val="28"/>
        </w:rPr>
        <w:t xml:space="preserve">Sobre el cumplimiento de esta orden, las EPS, </w:t>
      </w:r>
      <w:r w:rsidR="003260B7" w:rsidRPr="00EA1CDA">
        <w:rPr>
          <w:color w:val="000000"/>
          <w:sz w:val="28"/>
          <w:szCs w:val="28"/>
        </w:rPr>
        <w:t xml:space="preserve">las </w:t>
      </w:r>
      <w:r w:rsidRPr="00EA1CDA">
        <w:rPr>
          <w:color w:val="000000"/>
          <w:sz w:val="28"/>
          <w:szCs w:val="28"/>
        </w:rPr>
        <w:t xml:space="preserve">IPS y </w:t>
      </w:r>
      <w:r w:rsidR="003260B7" w:rsidRPr="00EA1CDA">
        <w:rPr>
          <w:color w:val="000000"/>
          <w:sz w:val="28"/>
          <w:szCs w:val="28"/>
        </w:rPr>
        <w:t xml:space="preserve">los </w:t>
      </w:r>
      <w:r w:rsidRPr="00EA1CDA">
        <w:rPr>
          <w:color w:val="000000"/>
          <w:sz w:val="28"/>
          <w:szCs w:val="28"/>
        </w:rPr>
        <w:t>gestores farmacéuticos</w:t>
      </w:r>
      <w:r w:rsidR="003260B7" w:rsidRPr="00EA1CDA">
        <w:rPr>
          <w:color w:val="000000"/>
          <w:sz w:val="28"/>
          <w:szCs w:val="28"/>
        </w:rPr>
        <w:t>, individual o integradamente,</w:t>
      </w:r>
      <w:r w:rsidRPr="00EA1CDA">
        <w:rPr>
          <w:color w:val="000000"/>
          <w:sz w:val="28"/>
          <w:szCs w:val="28"/>
        </w:rPr>
        <w:t xml:space="preserve"> deberán </w:t>
      </w:r>
      <w:r w:rsidRPr="00EA1CDA">
        <w:rPr>
          <w:b/>
          <w:bCs/>
          <w:color w:val="000000"/>
          <w:sz w:val="28"/>
          <w:szCs w:val="28"/>
        </w:rPr>
        <w:t>ENVIAR</w:t>
      </w:r>
      <w:r w:rsidRPr="00EA1CDA">
        <w:rPr>
          <w:color w:val="000000"/>
          <w:sz w:val="28"/>
          <w:szCs w:val="28"/>
        </w:rPr>
        <w:t xml:space="preserve"> un informe a </w:t>
      </w:r>
      <w:r w:rsidR="003260B7" w:rsidRPr="00EA1CDA">
        <w:rPr>
          <w:color w:val="000000"/>
          <w:sz w:val="28"/>
          <w:szCs w:val="28"/>
        </w:rPr>
        <w:t>la Defensoría del Pueblo, tan pronto se ejecute y</w:t>
      </w:r>
      <w:r w:rsidR="008C59E9" w:rsidRPr="00EA1CDA">
        <w:rPr>
          <w:color w:val="000000"/>
          <w:sz w:val="28"/>
          <w:szCs w:val="28"/>
        </w:rPr>
        <w:t xml:space="preserve"> </w:t>
      </w:r>
      <w:r w:rsidR="003260B7" w:rsidRPr="00EA1CDA">
        <w:rPr>
          <w:color w:val="000000"/>
          <w:sz w:val="28"/>
          <w:szCs w:val="28"/>
        </w:rPr>
        <w:t xml:space="preserve">dentro </w:t>
      </w:r>
      <w:r w:rsidR="008C59E9" w:rsidRPr="00EA1CDA">
        <w:rPr>
          <w:color w:val="000000"/>
          <w:sz w:val="28"/>
          <w:szCs w:val="28"/>
        </w:rPr>
        <w:t xml:space="preserve">los primeros cinco días de cada mes y mientras esta medida provisional se encuentre vigente, </w:t>
      </w:r>
      <w:r w:rsidRPr="00EA1CDA">
        <w:rPr>
          <w:color w:val="000000"/>
          <w:sz w:val="28"/>
          <w:szCs w:val="28"/>
        </w:rPr>
        <w:t>en el que acrediten la entrega material del medicamento y haber informado la fecha cierta de su próxima entrega a la parte accionante. El cumplimiento de esta orden deberá efectuarse de manera coordinada</w:t>
      </w:r>
      <w:r w:rsidR="003123D9" w:rsidRPr="00EA1CDA">
        <w:rPr>
          <w:color w:val="000000"/>
          <w:sz w:val="28"/>
          <w:szCs w:val="28"/>
        </w:rPr>
        <w:t xml:space="preserve"> entre la EPS, </w:t>
      </w:r>
      <w:r w:rsidR="003260B7" w:rsidRPr="00EA1CDA">
        <w:rPr>
          <w:color w:val="000000"/>
          <w:sz w:val="28"/>
          <w:szCs w:val="28"/>
        </w:rPr>
        <w:t xml:space="preserve">la </w:t>
      </w:r>
      <w:r w:rsidR="003123D9" w:rsidRPr="00EA1CDA">
        <w:rPr>
          <w:color w:val="000000"/>
          <w:sz w:val="28"/>
          <w:szCs w:val="28"/>
        </w:rPr>
        <w:t>IPS y</w:t>
      </w:r>
      <w:r w:rsidR="003260B7" w:rsidRPr="00EA1CDA">
        <w:rPr>
          <w:color w:val="000000"/>
          <w:sz w:val="28"/>
          <w:szCs w:val="28"/>
        </w:rPr>
        <w:t xml:space="preserve"> el</w:t>
      </w:r>
      <w:r w:rsidR="003123D9" w:rsidRPr="00EA1CDA">
        <w:rPr>
          <w:color w:val="000000"/>
          <w:sz w:val="28"/>
          <w:szCs w:val="28"/>
        </w:rPr>
        <w:t xml:space="preserve"> gestor farmacéutico correspondiente</w:t>
      </w:r>
      <w:r w:rsidRPr="00EA1CDA">
        <w:rPr>
          <w:color w:val="000000"/>
          <w:sz w:val="28"/>
          <w:szCs w:val="28"/>
        </w:rPr>
        <w:t xml:space="preserve">, sin dejar de advertir que la garantía de la entrega del medicamento es responsabilidad de la EPS. </w:t>
      </w:r>
    </w:p>
    <w:p w14:paraId="42CC3E8A" w14:textId="77777777" w:rsidR="00074544" w:rsidRPr="00EA1CDA" w:rsidRDefault="00074544" w:rsidP="00F779C5">
      <w:pPr>
        <w:widowControl w:val="0"/>
        <w:pBdr>
          <w:top w:val="nil"/>
          <w:left w:val="nil"/>
          <w:bottom w:val="nil"/>
          <w:right w:val="nil"/>
          <w:between w:val="nil"/>
        </w:pBdr>
        <w:tabs>
          <w:tab w:val="left" w:pos="0"/>
          <w:tab w:val="left" w:pos="851"/>
          <w:tab w:val="left" w:pos="1560"/>
        </w:tabs>
        <w:ind w:right="51"/>
        <w:jc w:val="both"/>
        <w:rPr>
          <w:color w:val="000000"/>
          <w:sz w:val="28"/>
          <w:szCs w:val="28"/>
        </w:rPr>
      </w:pPr>
    </w:p>
    <w:p w14:paraId="019B340E" w14:textId="3C1D1995" w:rsidR="00E2572F" w:rsidRPr="00EA1CDA" w:rsidRDefault="00E2572F" w:rsidP="00E2572F">
      <w:pPr>
        <w:widowControl w:val="0"/>
        <w:pBdr>
          <w:top w:val="nil"/>
          <w:left w:val="nil"/>
          <w:bottom w:val="nil"/>
          <w:right w:val="nil"/>
          <w:between w:val="nil"/>
        </w:pBdr>
        <w:tabs>
          <w:tab w:val="left" w:pos="0"/>
          <w:tab w:val="left" w:pos="851"/>
          <w:tab w:val="left" w:pos="1560"/>
        </w:tabs>
        <w:ind w:right="51"/>
        <w:jc w:val="center"/>
        <w:rPr>
          <w:color w:val="000000"/>
          <w:sz w:val="22"/>
          <w:szCs w:val="22"/>
        </w:rPr>
      </w:pPr>
      <w:r w:rsidRPr="00EA1CDA">
        <w:rPr>
          <w:color w:val="000000"/>
          <w:sz w:val="22"/>
          <w:szCs w:val="22"/>
        </w:rPr>
        <w:t xml:space="preserve">Tabla 4. </w:t>
      </w:r>
      <w:r w:rsidRPr="00EA1CDA">
        <w:rPr>
          <w:i/>
          <w:iCs/>
          <w:color w:val="000000"/>
          <w:sz w:val="22"/>
          <w:szCs w:val="22"/>
        </w:rPr>
        <w:t>Destinatarios de la orden tercera</w:t>
      </w:r>
    </w:p>
    <w:tbl>
      <w:tblPr>
        <w:tblStyle w:val="Tablaconcuadrcula"/>
        <w:tblW w:w="0" w:type="auto"/>
        <w:tblLook w:val="04A0" w:firstRow="1" w:lastRow="0" w:firstColumn="1" w:lastColumn="0" w:noHBand="0" w:noVBand="1"/>
      </w:tblPr>
      <w:tblGrid>
        <w:gridCol w:w="1555"/>
        <w:gridCol w:w="2551"/>
        <w:gridCol w:w="284"/>
        <w:gridCol w:w="1559"/>
        <w:gridCol w:w="2879"/>
      </w:tblGrid>
      <w:tr w:rsidR="00D62018" w:rsidRPr="00EA1CDA" w14:paraId="706C2441" w14:textId="77777777" w:rsidTr="007D5A50">
        <w:trPr>
          <w:tblHeader/>
        </w:trPr>
        <w:tc>
          <w:tcPr>
            <w:tcW w:w="1555" w:type="dxa"/>
            <w:shd w:val="clear" w:color="auto" w:fill="95B3D7" w:themeFill="accent1" w:themeFillTint="99"/>
            <w:vAlign w:val="center"/>
          </w:tcPr>
          <w:p w14:paraId="5F6B8833" w14:textId="77777777" w:rsidR="00DE44F4" w:rsidRPr="00EA1CDA" w:rsidRDefault="00DE44F4" w:rsidP="00DE44F4">
            <w:pPr>
              <w:widowControl w:val="0"/>
              <w:pBdr>
                <w:top w:val="nil"/>
                <w:left w:val="nil"/>
                <w:bottom w:val="nil"/>
                <w:right w:val="nil"/>
                <w:between w:val="nil"/>
              </w:pBdr>
              <w:tabs>
                <w:tab w:val="left" w:pos="0"/>
                <w:tab w:val="left" w:pos="851"/>
                <w:tab w:val="left" w:pos="1560"/>
              </w:tabs>
              <w:ind w:right="51"/>
              <w:jc w:val="center"/>
              <w:rPr>
                <w:rFonts w:ascii="Times New Roman" w:hAnsi="Times New Roman" w:cs="Times New Roman"/>
                <w:b/>
                <w:bCs/>
                <w:color w:val="000000"/>
                <w:sz w:val="20"/>
                <w:szCs w:val="20"/>
                <w:lang w:eastAsia="es-CO"/>
              </w:rPr>
            </w:pPr>
            <w:r w:rsidRPr="00EA1CDA">
              <w:rPr>
                <w:rFonts w:ascii="Times New Roman" w:hAnsi="Times New Roman" w:cs="Times New Roman"/>
                <w:b/>
                <w:bCs/>
                <w:color w:val="000000"/>
                <w:sz w:val="20"/>
                <w:szCs w:val="20"/>
                <w:lang w:eastAsia="es-CO"/>
              </w:rPr>
              <w:t>Expediente</w:t>
            </w:r>
          </w:p>
        </w:tc>
        <w:tc>
          <w:tcPr>
            <w:tcW w:w="2551" w:type="dxa"/>
            <w:tcBorders>
              <w:right w:val="single" w:sz="4" w:space="0" w:color="auto"/>
            </w:tcBorders>
            <w:shd w:val="clear" w:color="auto" w:fill="95B3D7" w:themeFill="accent1" w:themeFillTint="99"/>
            <w:vAlign w:val="center"/>
          </w:tcPr>
          <w:p w14:paraId="3B54E4CB" w14:textId="77777777" w:rsidR="00DE44F4" w:rsidRPr="00EA1CDA" w:rsidRDefault="00DE44F4" w:rsidP="00DE44F4">
            <w:pPr>
              <w:widowControl w:val="0"/>
              <w:pBdr>
                <w:top w:val="nil"/>
                <w:left w:val="nil"/>
                <w:bottom w:val="nil"/>
                <w:right w:val="nil"/>
                <w:between w:val="nil"/>
              </w:pBdr>
              <w:tabs>
                <w:tab w:val="left" w:pos="851"/>
                <w:tab w:val="left" w:pos="1560"/>
              </w:tabs>
              <w:ind w:right="-62"/>
              <w:jc w:val="center"/>
              <w:rPr>
                <w:rFonts w:ascii="Times New Roman" w:hAnsi="Times New Roman" w:cs="Times New Roman"/>
                <w:b/>
                <w:color w:val="000000"/>
                <w:sz w:val="20"/>
                <w:szCs w:val="20"/>
                <w:lang w:eastAsia="es-CO"/>
              </w:rPr>
            </w:pPr>
            <w:r w:rsidRPr="00EA1CDA">
              <w:rPr>
                <w:rFonts w:ascii="Times New Roman" w:hAnsi="Times New Roman" w:cs="Times New Roman"/>
                <w:b/>
                <w:color w:val="000000"/>
                <w:sz w:val="20"/>
                <w:szCs w:val="20"/>
                <w:lang w:eastAsia="es-CO"/>
              </w:rPr>
              <w:t>EPS, IPS o</w:t>
            </w:r>
          </w:p>
          <w:p w14:paraId="4A1CA34E" w14:textId="77777777" w:rsidR="00DE44F4" w:rsidRPr="00EA1CDA" w:rsidRDefault="00DE44F4" w:rsidP="00DE44F4">
            <w:pPr>
              <w:widowControl w:val="0"/>
              <w:pBdr>
                <w:top w:val="nil"/>
                <w:left w:val="nil"/>
                <w:bottom w:val="nil"/>
                <w:right w:val="nil"/>
                <w:between w:val="nil"/>
              </w:pBdr>
              <w:tabs>
                <w:tab w:val="left" w:pos="851"/>
                <w:tab w:val="left" w:pos="1560"/>
              </w:tabs>
              <w:ind w:right="-62"/>
              <w:jc w:val="center"/>
              <w:rPr>
                <w:rFonts w:ascii="Times New Roman" w:hAnsi="Times New Roman" w:cs="Times New Roman"/>
                <w:b/>
                <w:bCs/>
                <w:color w:val="000000"/>
                <w:sz w:val="20"/>
                <w:szCs w:val="20"/>
              </w:rPr>
            </w:pPr>
            <w:r w:rsidRPr="00EA1CDA">
              <w:rPr>
                <w:rFonts w:ascii="Times New Roman" w:hAnsi="Times New Roman" w:cs="Times New Roman"/>
                <w:b/>
                <w:color w:val="000000"/>
                <w:sz w:val="20"/>
                <w:szCs w:val="20"/>
                <w:lang w:eastAsia="es-CO"/>
              </w:rPr>
              <w:t>gestor farmacéutico</w:t>
            </w:r>
          </w:p>
          <w:p w14:paraId="42DA1889" w14:textId="47B1B184" w:rsidR="00DE44F4" w:rsidRPr="00EA1CDA" w:rsidRDefault="00DE44F4" w:rsidP="00DE44F4">
            <w:pPr>
              <w:widowControl w:val="0"/>
              <w:pBdr>
                <w:top w:val="nil"/>
                <w:left w:val="nil"/>
                <w:bottom w:val="nil"/>
                <w:right w:val="nil"/>
                <w:between w:val="nil"/>
              </w:pBdr>
              <w:tabs>
                <w:tab w:val="left" w:pos="0"/>
                <w:tab w:val="left" w:pos="851"/>
                <w:tab w:val="left" w:pos="1560"/>
              </w:tabs>
              <w:ind w:right="51"/>
              <w:jc w:val="center"/>
              <w:rPr>
                <w:rFonts w:ascii="Times New Roman" w:hAnsi="Times New Roman" w:cs="Times New Roman"/>
                <w:b/>
                <w:bCs/>
                <w:color w:val="000000"/>
                <w:sz w:val="20"/>
                <w:szCs w:val="20"/>
                <w:lang w:eastAsia="es-CO"/>
              </w:rPr>
            </w:pPr>
            <w:r w:rsidRPr="00EA1CDA">
              <w:rPr>
                <w:rFonts w:ascii="Times New Roman" w:hAnsi="Times New Roman" w:cs="Times New Roman"/>
                <w:b/>
                <w:bCs/>
                <w:color w:val="000000"/>
                <w:sz w:val="20"/>
                <w:szCs w:val="20"/>
              </w:rPr>
              <w:t>(</w:t>
            </w:r>
            <w:r w:rsidRPr="00EA1CDA">
              <w:rPr>
                <w:rFonts w:ascii="Times New Roman" w:hAnsi="Times New Roman" w:cs="Times New Roman"/>
                <w:b/>
                <w:bCs/>
                <w:color w:val="000000"/>
                <w:sz w:val="16"/>
                <w:szCs w:val="16"/>
              </w:rPr>
              <w:t>Destinatario de la orden)</w:t>
            </w:r>
          </w:p>
        </w:tc>
        <w:tc>
          <w:tcPr>
            <w:tcW w:w="284" w:type="dxa"/>
            <w:tcBorders>
              <w:top w:val="nil"/>
              <w:left w:val="single" w:sz="4" w:space="0" w:color="auto"/>
              <w:bottom w:val="nil"/>
              <w:right w:val="single" w:sz="4" w:space="0" w:color="auto"/>
            </w:tcBorders>
            <w:shd w:val="clear" w:color="auto" w:fill="auto"/>
            <w:vAlign w:val="center"/>
          </w:tcPr>
          <w:p w14:paraId="43EC22FA" w14:textId="77777777" w:rsidR="00DE44F4" w:rsidRPr="00EA1CDA" w:rsidRDefault="00DE44F4" w:rsidP="00DE44F4">
            <w:pPr>
              <w:widowControl w:val="0"/>
              <w:pBdr>
                <w:top w:val="nil"/>
                <w:left w:val="nil"/>
                <w:bottom w:val="nil"/>
                <w:right w:val="nil"/>
                <w:between w:val="nil"/>
              </w:pBdr>
              <w:tabs>
                <w:tab w:val="left" w:pos="0"/>
                <w:tab w:val="left" w:pos="851"/>
                <w:tab w:val="left" w:pos="1560"/>
              </w:tabs>
              <w:ind w:right="51"/>
              <w:jc w:val="center"/>
              <w:rPr>
                <w:rFonts w:ascii="Times New Roman" w:hAnsi="Times New Roman" w:cs="Times New Roman"/>
                <w:b/>
                <w:bCs/>
                <w:color w:val="000000"/>
                <w:sz w:val="20"/>
                <w:szCs w:val="20"/>
                <w:lang w:eastAsia="es-CO"/>
              </w:rPr>
            </w:pPr>
          </w:p>
        </w:tc>
        <w:tc>
          <w:tcPr>
            <w:tcW w:w="1559" w:type="dxa"/>
            <w:tcBorders>
              <w:left w:val="single" w:sz="4" w:space="0" w:color="auto"/>
            </w:tcBorders>
            <w:shd w:val="clear" w:color="auto" w:fill="95B3D7" w:themeFill="accent1" w:themeFillTint="99"/>
            <w:vAlign w:val="center"/>
          </w:tcPr>
          <w:p w14:paraId="5506972D" w14:textId="77777777" w:rsidR="00DE44F4" w:rsidRPr="00EA1CDA" w:rsidRDefault="00DE44F4" w:rsidP="00DE44F4">
            <w:pPr>
              <w:widowControl w:val="0"/>
              <w:pBdr>
                <w:top w:val="nil"/>
                <w:left w:val="nil"/>
                <w:bottom w:val="nil"/>
                <w:right w:val="nil"/>
                <w:between w:val="nil"/>
              </w:pBdr>
              <w:tabs>
                <w:tab w:val="left" w:pos="0"/>
                <w:tab w:val="left" w:pos="851"/>
                <w:tab w:val="left" w:pos="1560"/>
              </w:tabs>
              <w:ind w:right="51"/>
              <w:jc w:val="center"/>
              <w:rPr>
                <w:rFonts w:ascii="Times New Roman" w:hAnsi="Times New Roman" w:cs="Times New Roman"/>
                <w:b/>
                <w:bCs/>
                <w:color w:val="000000"/>
                <w:sz w:val="20"/>
                <w:szCs w:val="20"/>
                <w:lang w:eastAsia="es-CO"/>
              </w:rPr>
            </w:pPr>
            <w:r w:rsidRPr="00EA1CDA">
              <w:rPr>
                <w:rFonts w:ascii="Times New Roman" w:hAnsi="Times New Roman" w:cs="Times New Roman"/>
                <w:b/>
                <w:bCs/>
                <w:color w:val="000000"/>
                <w:sz w:val="20"/>
                <w:szCs w:val="20"/>
                <w:lang w:eastAsia="es-CO"/>
              </w:rPr>
              <w:t>Expediente</w:t>
            </w:r>
          </w:p>
        </w:tc>
        <w:tc>
          <w:tcPr>
            <w:tcW w:w="2879" w:type="dxa"/>
            <w:shd w:val="clear" w:color="auto" w:fill="95B3D7" w:themeFill="accent1" w:themeFillTint="99"/>
            <w:vAlign w:val="center"/>
          </w:tcPr>
          <w:p w14:paraId="78E288B0" w14:textId="77777777" w:rsidR="00DE44F4" w:rsidRPr="00EA1CDA" w:rsidRDefault="00DE44F4" w:rsidP="00DE44F4">
            <w:pPr>
              <w:widowControl w:val="0"/>
              <w:pBdr>
                <w:top w:val="nil"/>
                <w:left w:val="nil"/>
                <w:bottom w:val="nil"/>
                <w:right w:val="nil"/>
                <w:between w:val="nil"/>
              </w:pBdr>
              <w:tabs>
                <w:tab w:val="left" w:pos="851"/>
                <w:tab w:val="left" w:pos="1560"/>
              </w:tabs>
              <w:ind w:right="-62"/>
              <w:jc w:val="center"/>
              <w:rPr>
                <w:rFonts w:ascii="Times New Roman" w:hAnsi="Times New Roman" w:cs="Times New Roman"/>
                <w:b/>
                <w:color w:val="000000"/>
                <w:sz w:val="20"/>
                <w:szCs w:val="20"/>
                <w:lang w:eastAsia="es-CO"/>
              </w:rPr>
            </w:pPr>
            <w:r w:rsidRPr="00EA1CDA">
              <w:rPr>
                <w:rFonts w:ascii="Times New Roman" w:hAnsi="Times New Roman" w:cs="Times New Roman"/>
                <w:b/>
                <w:color w:val="000000"/>
                <w:sz w:val="20"/>
                <w:szCs w:val="20"/>
                <w:lang w:eastAsia="es-CO"/>
              </w:rPr>
              <w:t>EPS, IPS o</w:t>
            </w:r>
          </w:p>
          <w:p w14:paraId="7A2FFE47" w14:textId="77777777" w:rsidR="00DE44F4" w:rsidRPr="00EA1CDA" w:rsidRDefault="00DE44F4" w:rsidP="00DE44F4">
            <w:pPr>
              <w:widowControl w:val="0"/>
              <w:pBdr>
                <w:top w:val="nil"/>
                <w:left w:val="nil"/>
                <w:bottom w:val="nil"/>
                <w:right w:val="nil"/>
                <w:between w:val="nil"/>
              </w:pBdr>
              <w:tabs>
                <w:tab w:val="left" w:pos="851"/>
                <w:tab w:val="left" w:pos="1560"/>
              </w:tabs>
              <w:ind w:right="-62"/>
              <w:jc w:val="center"/>
              <w:rPr>
                <w:rFonts w:ascii="Times New Roman" w:hAnsi="Times New Roman" w:cs="Times New Roman"/>
                <w:b/>
                <w:bCs/>
                <w:color w:val="000000"/>
                <w:sz w:val="20"/>
                <w:szCs w:val="20"/>
              </w:rPr>
            </w:pPr>
            <w:r w:rsidRPr="00EA1CDA">
              <w:rPr>
                <w:rFonts w:ascii="Times New Roman" w:hAnsi="Times New Roman" w:cs="Times New Roman"/>
                <w:b/>
                <w:color w:val="000000"/>
                <w:sz w:val="20"/>
                <w:szCs w:val="20"/>
                <w:lang w:eastAsia="es-CO"/>
              </w:rPr>
              <w:t>gestor farmacéutico</w:t>
            </w:r>
          </w:p>
          <w:p w14:paraId="25A2C4FF" w14:textId="1E3ADB76" w:rsidR="00DE44F4" w:rsidRPr="00EA1CDA" w:rsidRDefault="00DE44F4" w:rsidP="00DE44F4">
            <w:pPr>
              <w:widowControl w:val="0"/>
              <w:pBdr>
                <w:top w:val="nil"/>
                <w:left w:val="nil"/>
                <w:bottom w:val="nil"/>
                <w:right w:val="nil"/>
                <w:between w:val="nil"/>
              </w:pBdr>
              <w:tabs>
                <w:tab w:val="left" w:pos="0"/>
                <w:tab w:val="left" w:pos="851"/>
                <w:tab w:val="left" w:pos="1560"/>
              </w:tabs>
              <w:ind w:right="51"/>
              <w:jc w:val="center"/>
              <w:rPr>
                <w:rFonts w:ascii="Times New Roman" w:hAnsi="Times New Roman" w:cs="Times New Roman"/>
                <w:b/>
                <w:bCs/>
                <w:color w:val="000000"/>
                <w:sz w:val="20"/>
                <w:szCs w:val="20"/>
                <w:lang w:eastAsia="es-CO"/>
              </w:rPr>
            </w:pPr>
            <w:r w:rsidRPr="00EA1CDA">
              <w:rPr>
                <w:rFonts w:ascii="Times New Roman" w:hAnsi="Times New Roman" w:cs="Times New Roman"/>
                <w:b/>
                <w:bCs/>
                <w:color w:val="000000"/>
                <w:sz w:val="20"/>
                <w:szCs w:val="20"/>
              </w:rPr>
              <w:t>(</w:t>
            </w:r>
            <w:r w:rsidRPr="00EA1CDA">
              <w:rPr>
                <w:rFonts w:ascii="Times New Roman" w:hAnsi="Times New Roman" w:cs="Times New Roman"/>
                <w:b/>
                <w:bCs/>
                <w:color w:val="000000"/>
                <w:sz w:val="16"/>
                <w:szCs w:val="16"/>
              </w:rPr>
              <w:t>Destinatario de la orden)</w:t>
            </w:r>
          </w:p>
        </w:tc>
      </w:tr>
      <w:tr w:rsidR="00BA7753" w:rsidRPr="00EA1CDA" w14:paraId="2FDC65F2" w14:textId="77777777" w:rsidTr="007D5A50">
        <w:tc>
          <w:tcPr>
            <w:tcW w:w="1555" w:type="dxa"/>
          </w:tcPr>
          <w:p w14:paraId="7FB7C599" w14:textId="6D49F125" w:rsidR="00F779C5" w:rsidRPr="00EA1CDA" w:rsidRDefault="00F779C5" w:rsidP="00BA7753">
            <w:pPr>
              <w:widowControl w:val="0"/>
              <w:pBdr>
                <w:top w:val="nil"/>
                <w:left w:val="nil"/>
                <w:bottom w:val="nil"/>
                <w:right w:val="nil"/>
                <w:between w:val="nil"/>
              </w:pBdr>
              <w:tabs>
                <w:tab w:val="left" w:pos="851"/>
              </w:tabs>
              <w:ind w:left="-111" w:right="-86"/>
              <w:jc w:val="center"/>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(7)</w:t>
            </w:r>
            <w:r w:rsidRPr="00EA1CDA">
              <w:rPr>
                <w:rFonts w:ascii="Times New Roman" w:hAnsi="Times New Roman" w:cs="Times New Roman"/>
                <w:color w:val="000000"/>
                <w:sz w:val="20"/>
                <w:szCs w:val="20"/>
              </w:rPr>
              <w:t xml:space="preserve"> T-10.781.215</w:t>
            </w:r>
          </w:p>
        </w:tc>
        <w:tc>
          <w:tcPr>
            <w:tcW w:w="2551" w:type="dxa"/>
            <w:tcBorders>
              <w:right w:val="single" w:sz="4" w:space="0" w:color="auto"/>
            </w:tcBorders>
          </w:tcPr>
          <w:p w14:paraId="482485AD" w14:textId="3034DB62" w:rsidR="00F779C5" w:rsidRPr="00EA1CDA" w:rsidRDefault="00F64F2F" w:rsidP="007E62B3">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lang w:eastAsia="es-CO"/>
              </w:rPr>
            </w:pPr>
            <w:r w:rsidRPr="00EA1CDA">
              <w:rPr>
                <w:rFonts w:ascii="Times New Roman" w:hAnsi="Times New Roman" w:cs="Times New Roman"/>
                <w:color w:val="000000"/>
                <w:sz w:val="20"/>
                <w:szCs w:val="20"/>
                <w:lang w:val="es-CO" w:eastAsia="es-CO"/>
              </w:rPr>
              <w:t xml:space="preserve">EPS Sura, </w:t>
            </w:r>
            <w:r w:rsidR="007E62B3" w:rsidRPr="00EA1CDA">
              <w:rPr>
                <w:rFonts w:ascii="Times New Roman" w:hAnsi="Times New Roman" w:cs="Times New Roman"/>
                <w:color w:val="000000"/>
                <w:sz w:val="20"/>
                <w:szCs w:val="20"/>
                <w:lang w:val="es-CO" w:eastAsia="es-CO"/>
              </w:rPr>
              <w:t xml:space="preserve">Instituto Roosevelt y Farmacia </w:t>
            </w:r>
            <w:proofErr w:type="spellStart"/>
            <w:r w:rsidR="007E62B3" w:rsidRPr="00EA1CDA">
              <w:rPr>
                <w:rFonts w:ascii="Times New Roman" w:hAnsi="Times New Roman" w:cs="Times New Roman"/>
                <w:color w:val="000000"/>
                <w:sz w:val="20"/>
                <w:szCs w:val="20"/>
                <w:lang w:val="es-CO" w:eastAsia="es-CO"/>
              </w:rPr>
              <w:t>Neuromédica</w:t>
            </w:r>
            <w:proofErr w:type="spellEnd"/>
          </w:p>
        </w:tc>
        <w:tc>
          <w:tcPr>
            <w:tcW w:w="284" w:type="dxa"/>
            <w:tcBorders>
              <w:top w:val="nil"/>
              <w:left w:val="single" w:sz="4" w:space="0" w:color="auto"/>
              <w:bottom w:val="nil"/>
              <w:right w:val="single" w:sz="4" w:space="0" w:color="auto"/>
            </w:tcBorders>
          </w:tcPr>
          <w:p w14:paraId="3C292ADE" w14:textId="77777777" w:rsidR="00F779C5" w:rsidRPr="00EA1CDA" w:rsidRDefault="00F779C5" w:rsidP="00F779C5">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lang w:eastAsia="es-CO"/>
              </w:rPr>
            </w:pPr>
          </w:p>
        </w:tc>
        <w:tc>
          <w:tcPr>
            <w:tcW w:w="1559" w:type="dxa"/>
            <w:tcBorders>
              <w:left w:val="single" w:sz="4" w:space="0" w:color="auto"/>
            </w:tcBorders>
          </w:tcPr>
          <w:p w14:paraId="125E6B81" w14:textId="0272D985" w:rsidR="00F779C5" w:rsidRPr="00EA1CDA" w:rsidRDefault="00F779C5" w:rsidP="00BA7753">
            <w:pPr>
              <w:widowControl w:val="0"/>
              <w:pBdr>
                <w:top w:val="nil"/>
                <w:left w:val="nil"/>
                <w:bottom w:val="nil"/>
                <w:right w:val="nil"/>
                <w:between w:val="nil"/>
              </w:pBdr>
              <w:tabs>
                <w:tab w:val="left" w:pos="851"/>
                <w:tab w:val="left" w:pos="1449"/>
              </w:tabs>
              <w:ind w:left="-111" w:right="-105"/>
              <w:jc w:val="center"/>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(22)</w:t>
            </w:r>
            <w:r w:rsidRPr="00EA1CDA">
              <w:rPr>
                <w:rFonts w:ascii="Times New Roman" w:hAnsi="Times New Roman" w:cs="Times New Roman"/>
                <w:color w:val="000000"/>
                <w:sz w:val="20"/>
                <w:szCs w:val="20"/>
              </w:rPr>
              <w:t xml:space="preserve"> T-10.803.921</w:t>
            </w:r>
          </w:p>
        </w:tc>
        <w:tc>
          <w:tcPr>
            <w:tcW w:w="2879" w:type="dxa"/>
          </w:tcPr>
          <w:p w14:paraId="4B4EFA12" w14:textId="3D8246A0" w:rsidR="00F779C5" w:rsidRPr="00EA1CDA" w:rsidRDefault="00556338" w:rsidP="00F779C5">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lang w:val="es-CO"/>
              </w:rPr>
            </w:pPr>
            <w:r w:rsidRPr="00EA1CDA">
              <w:rPr>
                <w:rFonts w:ascii="Times New Roman" w:hAnsi="Times New Roman" w:cs="Times New Roman"/>
                <w:color w:val="000000"/>
                <w:sz w:val="20"/>
                <w:szCs w:val="20"/>
                <w:lang w:val="es-CO"/>
              </w:rPr>
              <w:t>Savia Salud EPS</w:t>
            </w:r>
            <w:r w:rsidR="00D35B40" w:rsidRPr="00EA1CDA">
              <w:rPr>
                <w:rFonts w:ascii="Times New Roman" w:hAnsi="Times New Roman" w:cs="Times New Roman"/>
                <w:color w:val="000000"/>
                <w:sz w:val="20"/>
                <w:szCs w:val="20"/>
                <w:lang w:val="es-CO"/>
              </w:rPr>
              <w:t>-</w:t>
            </w:r>
            <w:r w:rsidRPr="00EA1CDA">
              <w:rPr>
                <w:rFonts w:ascii="Times New Roman" w:hAnsi="Times New Roman" w:cs="Times New Roman"/>
                <w:color w:val="000000"/>
                <w:sz w:val="20"/>
                <w:szCs w:val="20"/>
                <w:lang w:val="es-CO"/>
              </w:rPr>
              <w:t>S</w:t>
            </w:r>
          </w:p>
        </w:tc>
      </w:tr>
      <w:tr w:rsidR="00BA7753" w:rsidRPr="00EA1CDA" w14:paraId="36E24936" w14:textId="77777777" w:rsidTr="007D5A50">
        <w:tc>
          <w:tcPr>
            <w:tcW w:w="1555" w:type="dxa"/>
          </w:tcPr>
          <w:p w14:paraId="353FD3D9" w14:textId="22791D60" w:rsidR="00F779C5" w:rsidRPr="00EA1CDA" w:rsidRDefault="00F779C5" w:rsidP="00BA7753">
            <w:pPr>
              <w:widowControl w:val="0"/>
              <w:pBdr>
                <w:top w:val="nil"/>
                <w:left w:val="nil"/>
                <w:bottom w:val="nil"/>
                <w:right w:val="nil"/>
                <w:between w:val="nil"/>
              </w:pBdr>
              <w:tabs>
                <w:tab w:val="left" w:pos="851"/>
              </w:tabs>
              <w:ind w:left="-111" w:right="-86"/>
              <w:jc w:val="center"/>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(10)</w:t>
            </w:r>
            <w:r w:rsidRPr="00EA1CDA">
              <w:rPr>
                <w:rFonts w:ascii="Times New Roman" w:hAnsi="Times New Roman" w:cs="Times New Roman"/>
                <w:color w:val="000000"/>
                <w:sz w:val="20"/>
                <w:szCs w:val="20"/>
              </w:rPr>
              <w:t xml:space="preserve"> T-10.785.910</w:t>
            </w:r>
          </w:p>
        </w:tc>
        <w:tc>
          <w:tcPr>
            <w:tcW w:w="2551" w:type="dxa"/>
            <w:tcBorders>
              <w:right w:val="single" w:sz="4" w:space="0" w:color="auto"/>
            </w:tcBorders>
          </w:tcPr>
          <w:p w14:paraId="6CAF0AFD" w14:textId="0E9F7A4F" w:rsidR="00F779C5" w:rsidRPr="00EA1CDA" w:rsidRDefault="008238D4" w:rsidP="00F779C5">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lang w:eastAsia="es-CO"/>
              </w:rPr>
            </w:pPr>
            <w:r w:rsidRPr="00EA1CDA">
              <w:rPr>
                <w:rFonts w:ascii="Times New Roman" w:hAnsi="Times New Roman" w:cs="Times New Roman"/>
                <w:color w:val="000000"/>
                <w:sz w:val="20"/>
                <w:szCs w:val="20"/>
                <w:lang w:val="es-CO" w:eastAsia="es-CO"/>
              </w:rPr>
              <w:t>Nueva EPS</w:t>
            </w:r>
            <w:r w:rsidR="008B142B" w:rsidRPr="00EA1CDA">
              <w:rPr>
                <w:rFonts w:ascii="Times New Roman" w:hAnsi="Times New Roman" w:cs="Times New Roman"/>
                <w:color w:val="000000"/>
                <w:sz w:val="20"/>
                <w:szCs w:val="20"/>
                <w:lang w:val="es-CO" w:eastAsia="es-CO"/>
              </w:rPr>
              <w:t xml:space="preserve"> </w:t>
            </w:r>
            <w:r w:rsidR="001C61E2" w:rsidRPr="00EA1CDA">
              <w:rPr>
                <w:rFonts w:ascii="Times New Roman" w:hAnsi="Times New Roman" w:cs="Times New Roman"/>
                <w:color w:val="000000"/>
                <w:sz w:val="20"/>
                <w:szCs w:val="20"/>
                <w:lang w:val="es-CO" w:eastAsia="es-CO"/>
              </w:rPr>
              <w:t>y</w:t>
            </w:r>
            <w:r w:rsidRPr="00EA1CDA">
              <w:rPr>
                <w:rFonts w:ascii="Times New Roman" w:hAnsi="Times New Roman" w:cs="Times New Roman"/>
                <w:color w:val="000000"/>
                <w:sz w:val="20"/>
                <w:szCs w:val="20"/>
                <w:lang w:val="es-CO" w:eastAsia="es-CO"/>
              </w:rPr>
              <w:t xml:space="preserve"> </w:t>
            </w:r>
            <w:r w:rsidR="008B142B" w:rsidRPr="00EA1CDA">
              <w:rPr>
                <w:rFonts w:ascii="Times New Roman" w:hAnsi="Times New Roman" w:cs="Times New Roman"/>
                <w:color w:val="000000"/>
                <w:sz w:val="20"/>
                <w:szCs w:val="20"/>
                <w:lang w:val="es-CO" w:eastAsia="es-CO"/>
              </w:rPr>
              <w:t>COHAN</w:t>
            </w:r>
          </w:p>
        </w:tc>
        <w:tc>
          <w:tcPr>
            <w:tcW w:w="284" w:type="dxa"/>
            <w:tcBorders>
              <w:top w:val="nil"/>
              <w:left w:val="single" w:sz="4" w:space="0" w:color="auto"/>
              <w:bottom w:val="nil"/>
              <w:right w:val="single" w:sz="4" w:space="0" w:color="auto"/>
            </w:tcBorders>
          </w:tcPr>
          <w:p w14:paraId="12457FFA" w14:textId="77777777" w:rsidR="00F779C5" w:rsidRPr="00EA1CDA" w:rsidRDefault="00F779C5" w:rsidP="00F779C5">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lang w:eastAsia="es-CO"/>
              </w:rPr>
            </w:pPr>
          </w:p>
        </w:tc>
        <w:tc>
          <w:tcPr>
            <w:tcW w:w="1559" w:type="dxa"/>
            <w:tcBorders>
              <w:left w:val="single" w:sz="4" w:space="0" w:color="auto"/>
            </w:tcBorders>
          </w:tcPr>
          <w:p w14:paraId="0F4B5B3C" w14:textId="4F9BC9BA" w:rsidR="00F779C5" w:rsidRPr="00EA1CDA" w:rsidRDefault="00F779C5" w:rsidP="00BA7753">
            <w:pPr>
              <w:widowControl w:val="0"/>
              <w:pBdr>
                <w:top w:val="nil"/>
                <w:left w:val="nil"/>
                <w:bottom w:val="nil"/>
                <w:right w:val="nil"/>
                <w:between w:val="nil"/>
              </w:pBdr>
              <w:tabs>
                <w:tab w:val="left" w:pos="851"/>
                <w:tab w:val="left" w:pos="1449"/>
              </w:tabs>
              <w:ind w:left="-111" w:right="-105"/>
              <w:jc w:val="center"/>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(25)</w:t>
            </w:r>
            <w:r w:rsidRPr="00EA1CDA">
              <w:rPr>
                <w:rFonts w:ascii="Times New Roman" w:hAnsi="Times New Roman" w:cs="Times New Roman"/>
                <w:color w:val="000000"/>
                <w:sz w:val="20"/>
                <w:szCs w:val="20"/>
              </w:rPr>
              <w:t xml:space="preserve"> T-10.811.379</w:t>
            </w:r>
          </w:p>
        </w:tc>
        <w:tc>
          <w:tcPr>
            <w:tcW w:w="2879" w:type="dxa"/>
          </w:tcPr>
          <w:p w14:paraId="58F7D63A" w14:textId="02F79E29" w:rsidR="00F779C5" w:rsidRPr="00EA1CDA" w:rsidRDefault="004479C0" w:rsidP="00F779C5">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lang w:eastAsia="es-CO"/>
              </w:rPr>
            </w:pPr>
            <w:r w:rsidRPr="00EA1CDA">
              <w:rPr>
                <w:rFonts w:ascii="Times New Roman" w:hAnsi="Times New Roman" w:cs="Times New Roman"/>
                <w:color w:val="000000"/>
                <w:sz w:val="20"/>
                <w:szCs w:val="20"/>
                <w:lang w:eastAsia="es-CO"/>
              </w:rPr>
              <w:t>Sanitas</w:t>
            </w:r>
            <w:r w:rsidR="00056749" w:rsidRPr="00EA1CDA">
              <w:rPr>
                <w:rFonts w:ascii="Times New Roman" w:hAnsi="Times New Roman" w:cs="Times New Roman"/>
                <w:color w:val="000000"/>
                <w:sz w:val="20"/>
                <w:szCs w:val="20"/>
                <w:lang w:eastAsia="es-CO"/>
              </w:rPr>
              <w:t xml:space="preserve"> EPS</w:t>
            </w:r>
            <w:r w:rsidRPr="00EA1CDA">
              <w:rPr>
                <w:rFonts w:ascii="Times New Roman" w:hAnsi="Times New Roman" w:cs="Times New Roman"/>
                <w:color w:val="000000"/>
                <w:sz w:val="20"/>
                <w:szCs w:val="20"/>
                <w:lang w:eastAsia="es-CO"/>
              </w:rPr>
              <w:t xml:space="preserve">, </w:t>
            </w:r>
            <w:proofErr w:type="spellStart"/>
            <w:r w:rsidRPr="00EA1CDA">
              <w:rPr>
                <w:rFonts w:ascii="Times New Roman" w:hAnsi="Times New Roman" w:cs="Times New Roman"/>
                <w:color w:val="000000"/>
                <w:sz w:val="20"/>
                <w:szCs w:val="20"/>
                <w:lang w:eastAsia="es-CO"/>
              </w:rPr>
              <w:t>Genhospi</w:t>
            </w:r>
            <w:proofErr w:type="spellEnd"/>
            <w:r w:rsidRPr="00EA1CDA">
              <w:rPr>
                <w:rFonts w:ascii="Times New Roman" w:hAnsi="Times New Roman" w:cs="Times New Roman"/>
                <w:color w:val="000000"/>
                <w:sz w:val="20"/>
                <w:szCs w:val="20"/>
                <w:lang w:eastAsia="es-CO"/>
              </w:rPr>
              <w:t xml:space="preserve"> S.A.S., </w:t>
            </w:r>
            <w:r w:rsidR="007B104F" w:rsidRPr="00EA1CDA">
              <w:rPr>
                <w:rFonts w:ascii="Times New Roman" w:hAnsi="Times New Roman" w:cs="Times New Roman"/>
                <w:color w:val="000000"/>
                <w:sz w:val="20"/>
                <w:szCs w:val="20"/>
                <w:lang w:eastAsia="es-CO"/>
              </w:rPr>
              <w:t>D</w:t>
            </w:r>
            <w:proofErr w:type="spellStart"/>
            <w:r w:rsidR="007B104F" w:rsidRPr="00EA1CDA">
              <w:rPr>
                <w:rFonts w:ascii="Times New Roman" w:hAnsi="Times New Roman" w:cs="Times New Roman"/>
                <w:color w:val="000000"/>
                <w:sz w:val="20"/>
                <w:szCs w:val="20"/>
                <w:lang w:val="es-ES_tradnl" w:eastAsia="es-CO"/>
              </w:rPr>
              <w:t>roguería</w:t>
            </w:r>
            <w:proofErr w:type="spellEnd"/>
            <w:r w:rsidR="007B104F" w:rsidRPr="00EA1CDA">
              <w:rPr>
                <w:rFonts w:ascii="Times New Roman" w:hAnsi="Times New Roman" w:cs="Times New Roman"/>
                <w:color w:val="000000"/>
                <w:sz w:val="20"/>
                <w:szCs w:val="20"/>
                <w:lang w:val="es-ES_tradnl" w:eastAsia="es-CO"/>
              </w:rPr>
              <w:t xml:space="preserve"> Santa Anita de San Pablo (Nariño)</w:t>
            </w:r>
          </w:p>
        </w:tc>
      </w:tr>
      <w:tr w:rsidR="00BA7753" w:rsidRPr="00EA1CDA" w14:paraId="5C8977C4" w14:textId="77777777" w:rsidTr="007D5A50">
        <w:tc>
          <w:tcPr>
            <w:tcW w:w="1555" w:type="dxa"/>
          </w:tcPr>
          <w:p w14:paraId="221F63CD" w14:textId="3E9DCC58" w:rsidR="00F779C5" w:rsidRPr="00EA1CDA" w:rsidRDefault="00F779C5" w:rsidP="00BA7753">
            <w:pPr>
              <w:widowControl w:val="0"/>
              <w:pBdr>
                <w:top w:val="nil"/>
                <w:left w:val="nil"/>
                <w:bottom w:val="nil"/>
                <w:right w:val="nil"/>
                <w:between w:val="nil"/>
              </w:pBdr>
              <w:tabs>
                <w:tab w:val="left" w:pos="851"/>
              </w:tabs>
              <w:ind w:left="-111" w:right="-86"/>
              <w:jc w:val="center"/>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(18)</w:t>
            </w:r>
            <w:r w:rsidRPr="00EA1CDA">
              <w:rPr>
                <w:rFonts w:ascii="Times New Roman" w:hAnsi="Times New Roman" w:cs="Times New Roman"/>
                <w:color w:val="000000"/>
                <w:sz w:val="20"/>
                <w:szCs w:val="20"/>
              </w:rPr>
              <w:t xml:space="preserve"> T-10.800.631</w:t>
            </w:r>
          </w:p>
        </w:tc>
        <w:tc>
          <w:tcPr>
            <w:tcW w:w="2551" w:type="dxa"/>
            <w:tcBorders>
              <w:right w:val="single" w:sz="4" w:space="0" w:color="auto"/>
            </w:tcBorders>
          </w:tcPr>
          <w:p w14:paraId="29447861" w14:textId="487E4DA4" w:rsidR="00F779C5" w:rsidRPr="00EA1CDA" w:rsidRDefault="005C0F30" w:rsidP="005C0F30">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lang w:eastAsia="es-CO"/>
              </w:rPr>
            </w:pPr>
            <w:r w:rsidRPr="00EA1CDA">
              <w:rPr>
                <w:rFonts w:ascii="Times New Roman" w:hAnsi="Times New Roman" w:cs="Times New Roman"/>
                <w:color w:val="000000"/>
                <w:sz w:val="20"/>
                <w:szCs w:val="20"/>
                <w:lang w:eastAsia="es-CO"/>
              </w:rPr>
              <w:t>Nueva EPS</w:t>
            </w:r>
            <w:r w:rsidR="00FE743C" w:rsidRPr="00EA1CDA">
              <w:rPr>
                <w:rFonts w:ascii="Times New Roman" w:hAnsi="Times New Roman" w:cs="Times New Roman"/>
                <w:color w:val="000000"/>
                <w:sz w:val="20"/>
                <w:szCs w:val="20"/>
                <w:lang w:eastAsia="es-CO"/>
              </w:rPr>
              <w:t xml:space="preserve">, </w:t>
            </w:r>
            <w:r w:rsidRPr="00EA1CDA">
              <w:rPr>
                <w:rFonts w:ascii="Times New Roman" w:hAnsi="Times New Roman" w:cs="Times New Roman"/>
                <w:color w:val="000000"/>
                <w:sz w:val="20"/>
                <w:szCs w:val="20"/>
                <w:lang w:eastAsia="es-CO"/>
              </w:rPr>
              <w:t>Cafam</w:t>
            </w:r>
            <w:r w:rsidR="00FE743C" w:rsidRPr="00EA1CDA">
              <w:rPr>
                <w:rFonts w:ascii="Times New Roman" w:hAnsi="Times New Roman" w:cs="Times New Roman"/>
                <w:color w:val="000000"/>
                <w:sz w:val="20"/>
                <w:szCs w:val="20"/>
                <w:lang w:eastAsia="es-CO"/>
              </w:rPr>
              <w:t xml:space="preserve"> y </w:t>
            </w:r>
            <w:r w:rsidR="00FE743C" w:rsidRPr="00EA1CDA">
              <w:rPr>
                <w:rFonts w:ascii="Times New Roman" w:hAnsi="Times New Roman" w:cs="Times New Roman"/>
                <w:color w:val="000000"/>
                <w:sz w:val="20"/>
                <w:szCs w:val="20"/>
                <w:lang w:val="es-CO" w:eastAsia="es-CO"/>
              </w:rPr>
              <w:t>Bienestar IPS</w:t>
            </w:r>
          </w:p>
        </w:tc>
        <w:tc>
          <w:tcPr>
            <w:tcW w:w="284" w:type="dxa"/>
            <w:tcBorders>
              <w:top w:val="nil"/>
              <w:left w:val="single" w:sz="4" w:space="0" w:color="auto"/>
              <w:bottom w:val="nil"/>
              <w:right w:val="single" w:sz="4" w:space="0" w:color="auto"/>
            </w:tcBorders>
          </w:tcPr>
          <w:p w14:paraId="42CAF0F6" w14:textId="77777777" w:rsidR="00F779C5" w:rsidRPr="00EA1CDA" w:rsidRDefault="00F779C5" w:rsidP="00F779C5">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lang w:eastAsia="es-CO"/>
              </w:rPr>
            </w:pPr>
          </w:p>
        </w:tc>
        <w:tc>
          <w:tcPr>
            <w:tcW w:w="1559" w:type="dxa"/>
            <w:tcBorders>
              <w:left w:val="single" w:sz="4" w:space="0" w:color="auto"/>
            </w:tcBorders>
          </w:tcPr>
          <w:p w14:paraId="7E8AF165" w14:textId="29081A47" w:rsidR="00F779C5" w:rsidRPr="00EA1CDA" w:rsidRDefault="00F779C5" w:rsidP="00BA7753">
            <w:pPr>
              <w:widowControl w:val="0"/>
              <w:pBdr>
                <w:top w:val="nil"/>
                <w:left w:val="nil"/>
                <w:bottom w:val="nil"/>
                <w:right w:val="nil"/>
                <w:between w:val="nil"/>
              </w:pBdr>
              <w:tabs>
                <w:tab w:val="left" w:pos="851"/>
                <w:tab w:val="left" w:pos="1449"/>
              </w:tabs>
              <w:ind w:left="-111" w:right="-105"/>
              <w:jc w:val="center"/>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(26)</w:t>
            </w:r>
            <w:r w:rsidRPr="00EA1CDA">
              <w:rPr>
                <w:rFonts w:ascii="Times New Roman" w:hAnsi="Times New Roman" w:cs="Times New Roman"/>
                <w:color w:val="000000"/>
                <w:sz w:val="20"/>
                <w:szCs w:val="20"/>
              </w:rPr>
              <w:t xml:space="preserve"> T-10.811.650</w:t>
            </w:r>
          </w:p>
        </w:tc>
        <w:tc>
          <w:tcPr>
            <w:tcW w:w="2879" w:type="dxa"/>
          </w:tcPr>
          <w:p w14:paraId="335B9C57" w14:textId="79E90309" w:rsidR="00F779C5" w:rsidRPr="00EA1CDA" w:rsidRDefault="00CA66AF" w:rsidP="00F779C5">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lang w:eastAsia="es-CO"/>
              </w:rPr>
            </w:pPr>
            <w:r w:rsidRPr="00EA1CDA">
              <w:rPr>
                <w:rFonts w:ascii="Times New Roman" w:hAnsi="Times New Roman" w:cs="Times New Roman"/>
                <w:color w:val="000000"/>
                <w:sz w:val="20"/>
                <w:szCs w:val="20"/>
                <w:lang w:eastAsia="es-CO"/>
              </w:rPr>
              <w:t>Nueva EPS</w:t>
            </w:r>
            <w:r w:rsidR="00D35B40" w:rsidRPr="00EA1CDA">
              <w:rPr>
                <w:rFonts w:ascii="Times New Roman" w:hAnsi="Times New Roman" w:cs="Times New Roman"/>
                <w:color w:val="000000"/>
                <w:sz w:val="20"/>
                <w:szCs w:val="20"/>
                <w:lang w:eastAsia="es-CO"/>
              </w:rPr>
              <w:t xml:space="preserve"> y Caja Colombiana de Subsidio Familiar </w:t>
            </w:r>
            <w:r w:rsidR="003260B7" w:rsidRPr="00EA1CDA">
              <w:rPr>
                <w:rFonts w:ascii="Times New Roman" w:hAnsi="Times New Roman" w:cs="Times New Roman"/>
                <w:color w:val="000000"/>
                <w:sz w:val="20"/>
                <w:szCs w:val="20"/>
                <w:lang w:eastAsia="es-CO"/>
              </w:rPr>
              <w:t>–</w:t>
            </w:r>
            <w:r w:rsidR="00D35B40" w:rsidRPr="00EA1CDA">
              <w:rPr>
                <w:rFonts w:ascii="Times New Roman" w:hAnsi="Times New Roman" w:cs="Times New Roman"/>
                <w:color w:val="000000"/>
                <w:sz w:val="20"/>
                <w:szCs w:val="20"/>
                <w:lang w:eastAsia="es-CO"/>
              </w:rPr>
              <w:t xml:space="preserve"> Colsubsidio</w:t>
            </w:r>
          </w:p>
        </w:tc>
      </w:tr>
      <w:tr w:rsidR="00BA7753" w:rsidRPr="00EA1CDA" w14:paraId="6A6B7991" w14:textId="77777777" w:rsidTr="007D5A50">
        <w:tc>
          <w:tcPr>
            <w:tcW w:w="1555" w:type="dxa"/>
          </w:tcPr>
          <w:p w14:paraId="20C482F5" w14:textId="3A647E8D" w:rsidR="00F779C5" w:rsidRPr="00EA1CDA" w:rsidRDefault="00F779C5" w:rsidP="00BA7753">
            <w:pPr>
              <w:widowControl w:val="0"/>
              <w:pBdr>
                <w:top w:val="nil"/>
                <w:left w:val="nil"/>
                <w:bottom w:val="nil"/>
                <w:right w:val="nil"/>
                <w:between w:val="nil"/>
              </w:pBdr>
              <w:tabs>
                <w:tab w:val="left" w:pos="851"/>
              </w:tabs>
              <w:ind w:left="-111" w:right="-86"/>
              <w:jc w:val="center"/>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(21)</w:t>
            </w:r>
            <w:r w:rsidRPr="00EA1CDA">
              <w:rPr>
                <w:rFonts w:ascii="Times New Roman" w:hAnsi="Times New Roman" w:cs="Times New Roman"/>
                <w:color w:val="000000"/>
                <w:sz w:val="20"/>
                <w:szCs w:val="20"/>
              </w:rPr>
              <w:t xml:space="preserve"> T-10.803.623</w:t>
            </w:r>
          </w:p>
        </w:tc>
        <w:tc>
          <w:tcPr>
            <w:tcW w:w="2551" w:type="dxa"/>
            <w:tcBorders>
              <w:right w:val="single" w:sz="4" w:space="0" w:color="auto"/>
            </w:tcBorders>
          </w:tcPr>
          <w:p w14:paraId="2DE0A1EF" w14:textId="7D7E3E42" w:rsidR="00F779C5" w:rsidRPr="00EA1CDA" w:rsidRDefault="008D5B09" w:rsidP="00F779C5">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lang w:val="es-CO"/>
              </w:rPr>
            </w:pPr>
            <w:r w:rsidRPr="00EA1CDA">
              <w:rPr>
                <w:rFonts w:ascii="Times New Roman" w:hAnsi="Times New Roman" w:cs="Times New Roman"/>
                <w:color w:val="000000"/>
                <w:sz w:val="20"/>
                <w:szCs w:val="20"/>
                <w:lang w:val="es-CO"/>
              </w:rPr>
              <w:t>Sura EPS</w:t>
            </w:r>
            <w:r w:rsidR="001D2DD9" w:rsidRPr="00EA1CDA">
              <w:rPr>
                <w:rFonts w:ascii="Times New Roman" w:hAnsi="Times New Roman" w:cs="Times New Roman"/>
                <w:color w:val="000000"/>
                <w:sz w:val="20"/>
                <w:szCs w:val="20"/>
                <w:lang w:val="es-CO"/>
              </w:rPr>
              <w:t xml:space="preserve"> y Centro de Excelencia Santa Helena IPS</w:t>
            </w:r>
          </w:p>
        </w:tc>
        <w:tc>
          <w:tcPr>
            <w:tcW w:w="284" w:type="dxa"/>
            <w:tcBorders>
              <w:top w:val="nil"/>
              <w:left w:val="single" w:sz="4" w:space="0" w:color="auto"/>
              <w:bottom w:val="nil"/>
              <w:right w:val="single" w:sz="4" w:space="0" w:color="auto"/>
            </w:tcBorders>
          </w:tcPr>
          <w:p w14:paraId="1DB118C1" w14:textId="77777777" w:rsidR="00F779C5" w:rsidRPr="00EA1CDA" w:rsidRDefault="00F779C5" w:rsidP="00F779C5">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lang w:eastAsia="es-CO"/>
              </w:rPr>
            </w:pPr>
          </w:p>
        </w:tc>
        <w:tc>
          <w:tcPr>
            <w:tcW w:w="1559" w:type="dxa"/>
            <w:tcBorders>
              <w:left w:val="single" w:sz="4" w:space="0" w:color="auto"/>
            </w:tcBorders>
          </w:tcPr>
          <w:p w14:paraId="2E0F702B" w14:textId="35AB720F" w:rsidR="00F779C5" w:rsidRPr="00EA1CDA" w:rsidRDefault="00F779C5" w:rsidP="00BA7753">
            <w:pPr>
              <w:widowControl w:val="0"/>
              <w:pBdr>
                <w:top w:val="nil"/>
                <w:left w:val="nil"/>
                <w:bottom w:val="nil"/>
                <w:right w:val="nil"/>
                <w:between w:val="nil"/>
              </w:pBdr>
              <w:tabs>
                <w:tab w:val="left" w:pos="851"/>
                <w:tab w:val="left" w:pos="1449"/>
              </w:tabs>
              <w:ind w:left="-111" w:right="-105"/>
              <w:jc w:val="center"/>
              <w:rPr>
                <w:rFonts w:ascii="Times New Roman" w:hAnsi="Times New Roman" w:cs="Times New Roman"/>
                <w:color w:val="000000"/>
                <w:sz w:val="20"/>
                <w:szCs w:val="20"/>
              </w:rPr>
            </w:pPr>
            <w:r w:rsidRPr="00EA1CDA">
              <w:rPr>
                <w:rFonts w:ascii="Times New Roman" w:hAnsi="Times New Roman" w:cs="Times New Roman"/>
                <w:i/>
                <w:iCs/>
                <w:color w:val="000000"/>
                <w:sz w:val="20"/>
                <w:szCs w:val="20"/>
              </w:rPr>
              <w:t>(28)</w:t>
            </w:r>
            <w:r w:rsidRPr="00EA1CDA">
              <w:rPr>
                <w:rFonts w:ascii="Times New Roman" w:hAnsi="Times New Roman" w:cs="Times New Roman"/>
                <w:color w:val="000000"/>
                <w:sz w:val="20"/>
                <w:szCs w:val="20"/>
              </w:rPr>
              <w:t xml:space="preserve"> T-10.814.534</w:t>
            </w:r>
          </w:p>
        </w:tc>
        <w:tc>
          <w:tcPr>
            <w:tcW w:w="2879" w:type="dxa"/>
          </w:tcPr>
          <w:p w14:paraId="214EE31C" w14:textId="7FE405B7" w:rsidR="00F779C5" w:rsidRPr="00EA1CDA" w:rsidRDefault="00D669C4" w:rsidP="003B52B7">
            <w:pPr>
              <w:widowControl w:val="0"/>
              <w:pBdr>
                <w:top w:val="nil"/>
                <w:left w:val="nil"/>
                <w:bottom w:val="nil"/>
                <w:right w:val="nil"/>
                <w:between w:val="nil"/>
              </w:pBdr>
              <w:tabs>
                <w:tab w:val="left" w:pos="0"/>
                <w:tab w:val="left" w:pos="851"/>
                <w:tab w:val="left" w:pos="1560"/>
              </w:tabs>
              <w:ind w:right="51"/>
              <w:jc w:val="both"/>
              <w:rPr>
                <w:rFonts w:ascii="Times New Roman" w:hAnsi="Times New Roman" w:cs="Times New Roman"/>
                <w:color w:val="000000"/>
                <w:sz w:val="20"/>
                <w:szCs w:val="20"/>
                <w:lang w:eastAsia="es-CO"/>
              </w:rPr>
            </w:pPr>
            <w:r w:rsidRPr="00EA1CDA">
              <w:rPr>
                <w:rFonts w:ascii="Times New Roman" w:hAnsi="Times New Roman" w:cs="Times New Roman"/>
                <w:color w:val="000000"/>
                <w:sz w:val="20"/>
                <w:szCs w:val="20"/>
                <w:lang w:val="es-CO" w:eastAsia="es-CO"/>
              </w:rPr>
              <w:t xml:space="preserve">MEDI Sinú IPS, </w:t>
            </w:r>
            <w:r w:rsidR="00055230" w:rsidRPr="00EA1CDA">
              <w:rPr>
                <w:rFonts w:ascii="Times New Roman" w:hAnsi="Times New Roman" w:cs="Times New Roman"/>
                <w:color w:val="000000"/>
                <w:sz w:val="20"/>
                <w:szCs w:val="20"/>
                <w:lang w:val="es-CO" w:eastAsia="es-CO"/>
              </w:rPr>
              <w:t xml:space="preserve">MUTUAL SER EPS y Distribuciones </w:t>
            </w:r>
            <w:proofErr w:type="spellStart"/>
            <w:r w:rsidR="00055230" w:rsidRPr="00EA1CDA">
              <w:rPr>
                <w:rFonts w:ascii="Times New Roman" w:hAnsi="Times New Roman" w:cs="Times New Roman"/>
                <w:color w:val="000000"/>
                <w:sz w:val="20"/>
                <w:szCs w:val="20"/>
                <w:lang w:val="es-CO" w:eastAsia="es-CO"/>
              </w:rPr>
              <w:t>Pharmaser</w:t>
            </w:r>
            <w:proofErr w:type="spellEnd"/>
            <w:r w:rsidR="00055230" w:rsidRPr="00EA1CDA">
              <w:rPr>
                <w:rFonts w:ascii="Times New Roman" w:hAnsi="Times New Roman" w:cs="Times New Roman"/>
                <w:color w:val="000000"/>
                <w:sz w:val="20"/>
                <w:szCs w:val="20"/>
                <w:lang w:val="es-CO" w:eastAsia="es-CO"/>
              </w:rPr>
              <w:t xml:space="preserve"> Ltda.</w:t>
            </w:r>
          </w:p>
        </w:tc>
      </w:tr>
    </w:tbl>
    <w:p w14:paraId="3088AD03" w14:textId="77777777" w:rsidR="00164F5A" w:rsidRPr="00EA1CDA" w:rsidRDefault="00164F5A">
      <w:pPr>
        <w:widowControl w:val="0"/>
        <w:pBdr>
          <w:top w:val="nil"/>
          <w:left w:val="nil"/>
          <w:bottom w:val="nil"/>
          <w:right w:val="nil"/>
          <w:between w:val="nil"/>
        </w:pBdr>
        <w:tabs>
          <w:tab w:val="left" w:pos="0"/>
          <w:tab w:val="left" w:pos="851"/>
          <w:tab w:val="left" w:pos="1560"/>
        </w:tabs>
        <w:ind w:right="51"/>
        <w:jc w:val="both"/>
        <w:rPr>
          <w:color w:val="000000"/>
          <w:sz w:val="28"/>
          <w:szCs w:val="28"/>
        </w:rPr>
      </w:pPr>
    </w:p>
    <w:p w14:paraId="4F715C2B" w14:textId="0A3B78CE" w:rsidR="00B24082" w:rsidRPr="00EA1CDA" w:rsidRDefault="002F1555" w:rsidP="004522DB">
      <w:pPr>
        <w:pStyle w:val="Prrafodelista"/>
        <w:numPr>
          <w:ilvl w:val="0"/>
          <w:numId w:val="5"/>
        </w:numPr>
        <w:pBdr>
          <w:top w:val="nil"/>
          <w:left w:val="nil"/>
          <w:bottom w:val="nil"/>
          <w:right w:val="nil"/>
          <w:between w:val="nil"/>
        </w:pBdr>
        <w:tabs>
          <w:tab w:val="left" w:pos="0"/>
        </w:tabs>
        <w:jc w:val="both"/>
      </w:pPr>
      <w:r w:rsidRPr="00EA1CDA">
        <w:rPr>
          <w:bCs/>
          <w:color w:val="000000"/>
          <w:sz w:val="28"/>
          <w:szCs w:val="28"/>
        </w:rPr>
        <w:t xml:space="preserve">En relación con el expediente </w:t>
      </w:r>
      <w:r w:rsidRPr="00EA1CDA">
        <w:rPr>
          <w:bCs/>
          <w:i/>
          <w:color w:val="000000"/>
          <w:sz w:val="28"/>
          <w:szCs w:val="28"/>
        </w:rPr>
        <w:t>(8)</w:t>
      </w:r>
      <w:r w:rsidRPr="00EA1CDA">
        <w:rPr>
          <w:bCs/>
          <w:color w:val="000000"/>
          <w:sz w:val="28"/>
          <w:szCs w:val="28"/>
        </w:rPr>
        <w:t xml:space="preserve"> T-10.781.400,</w:t>
      </w:r>
      <w:r w:rsidRPr="00EA1CDA">
        <w:rPr>
          <w:b/>
          <w:color w:val="000000"/>
          <w:sz w:val="28"/>
          <w:szCs w:val="28"/>
        </w:rPr>
        <w:t xml:space="preserve"> </w:t>
      </w:r>
      <w:r w:rsidR="00036AC5" w:rsidRPr="00EA1CDA">
        <w:rPr>
          <w:b/>
          <w:color w:val="000000"/>
          <w:sz w:val="28"/>
          <w:szCs w:val="28"/>
        </w:rPr>
        <w:t>ORDENAR</w:t>
      </w:r>
      <w:r w:rsidR="00036AC5" w:rsidRPr="00EA1CDA">
        <w:rPr>
          <w:color w:val="000000"/>
          <w:sz w:val="28"/>
          <w:szCs w:val="28"/>
        </w:rPr>
        <w:t xml:space="preserve"> </w:t>
      </w:r>
      <w:r w:rsidR="00AE6039" w:rsidRPr="00EA1CDA">
        <w:rPr>
          <w:color w:val="000000"/>
          <w:sz w:val="28"/>
          <w:szCs w:val="28"/>
        </w:rPr>
        <w:t xml:space="preserve">a </w:t>
      </w:r>
      <w:r w:rsidR="00036AC5" w:rsidRPr="00EA1CDA">
        <w:rPr>
          <w:color w:val="000000"/>
          <w:sz w:val="28"/>
          <w:szCs w:val="28"/>
        </w:rPr>
        <w:t xml:space="preserve">la </w:t>
      </w:r>
      <w:r w:rsidRPr="00EA1CDA">
        <w:rPr>
          <w:color w:val="000000"/>
          <w:sz w:val="28"/>
          <w:szCs w:val="28"/>
        </w:rPr>
        <w:t xml:space="preserve">Nueva </w:t>
      </w:r>
      <w:r w:rsidR="00036AC5" w:rsidRPr="00EA1CDA">
        <w:rPr>
          <w:color w:val="000000"/>
          <w:sz w:val="28"/>
          <w:szCs w:val="28"/>
        </w:rPr>
        <w:t>EPS que</w:t>
      </w:r>
      <w:r w:rsidR="00600DD3" w:rsidRPr="00EA1CDA">
        <w:rPr>
          <w:color w:val="000000"/>
          <w:sz w:val="28"/>
          <w:szCs w:val="28"/>
        </w:rPr>
        <w:t xml:space="preserve"> </w:t>
      </w:r>
      <w:r w:rsidR="004522DB" w:rsidRPr="00EA1CDA">
        <w:rPr>
          <w:b/>
          <w:bCs/>
          <w:color w:val="000000"/>
          <w:sz w:val="28"/>
          <w:szCs w:val="28"/>
        </w:rPr>
        <w:t>ENTREGUE</w:t>
      </w:r>
      <w:r w:rsidR="004522DB" w:rsidRPr="00EA1CDA">
        <w:rPr>
          <w:color w:val="000000"/>
          <w:sz w:val="28"/>
          <w:szCs w:val="28"/>
        </w:rPr>
        <w:t xml:space="preserve"> el</w:t>
      </w:r>
      <w:r w:rsidR="00616288" w:rsidRPr="00EA1CDA">
        <w:rPr>
          <w:color w:val="000000"/>
          <w:sz w:val="28"/>
          <w:szCs w:val="28"/>
        </w:rPr>
        <w:t xml:space="preserve"> </w:t>
      </w:r>
      <w:r w:rsidR="004522DB" w:rsidRPr="00EA1CDA">
        <w:rPr>
          <w:color w:val="000000"/>
          <w:sz w:val="28"/>
          <w:szCs w:val="28"/>
        </w:rPr>
        <w:t>(los) medicamento</w:t>
      </w:r>
      <w:r w:rsidR="00616288" w:rsidRPr="00EA1CDA">
        <w:rPr>
          <w:color w:val="000000"/>
          <w:sz w:val="28"/>
          <w:szCs w:val="28"/>
        </w:rPr>
        <w:t xml:space="preserve"> </w:t>
      </w:r>
      <w:r w:rsidR="004522DB" w:rsidRPr="00EA1CDA">
        <w:rPr>
          <w:color w:val="000000"/>
          <w:sz w:val="28"/>
          <w:szCs w:val="28"/>
        </w:rPr>
        <w:t xml:space="preserve">(s) a la parte accionante </w:t>
      </w:r>
      <w:r w:rsidR="00B24082" w:rsidRPr="00EA1CDA">
        <w:rPr>
          <w:color w:val="000000"/>
          <w:sz w:val="28"/>
          <w:szCs w:val="28"/>
        </w:rPr>
        <w:t xml:space="preserve">según lo requiera para </w:t>
      </w:r>
      <w:r w:rsidR="0031359D" w:rsidRPr="00EA1CDA">
        <w:rPr>
          <w:color w:val="000000"/>
          <w:sz w:val="28"/>
          <w:szCs w:val="28"/>
        </w:rPr>
        <w:t>el</w:t>
      </w:r>
      <w:r w:rsidR="00B24082" w:rsidRPr="00EA1CDA">
        <w:rPr>
          <w:color w:val="000000"/>
          <w:sz w:val="28"/>
          <w:szCs w:val="28"/>
        </w:rPr>
        <w:t xml:space="preserve"> tratamiento</w:t>
      </w:r>
      <w:r w:rsidR="0031359D" w:rsidRPr="00EA1CDA">
        <w:rPr>
          <w:color w:val="000000"/>
          <w:sz w:val="28"/>
          <w:szCs w:val="28"/>
        </w:rPr>
        <w:t xml:space="preserve"> del diagnóstico de “artritis reumatoide </w:t>
      </w:r>
      <w:r w:rsidR="0031359D" w:rsidRPr="00EA1CDA">
        <w:rPr>
          <w:color w:val="000000"/>
          <w:sz w:val="28"/>
          <w:szCs w:val="28"/>
        </w:rPr>
        <w:lastRenderedPageBreak/>
        <w:t xml:space="preserve">seronegativa y </w:t>
      </w:r>
      <w:proofErr w:type="spellStart"/>
      <w:r w:rsidR="0031359D" w:rsidRPr="00EA1CDA">
        <w:rPr>
          <w:color w:val="000000"/>
          <w:sz w:val="28"/>
          <w:szCs w:val="28"/>
        </w:rPr>
        <w:t>esponcilopatía</w:t>
      </w:r>
      <w:proofErr w:type="spellEnd"/>
      <w:r w:rsidR="0031359D" w:rsidRPr="00EA1CDA">
        <w:rPr>
          <w:color w:val="000000"/>
          <w:sz w:val="28"/>
          <w:szCs w:val="28"/>
        </w:rPr>
        <w:t xml:space="preserve"> no especificada”</w:t>
      </w:r>
      <w:r w:rsidR="00B24082" w:rsidRPr="00EA1CDA">
        <w:rPr>
          <w:color w:val="000000"/>
          <w:sz w:val="28"/>
          <w:szCs w:val="28"/>
        </w:rPr>
        <w:t>. Así</w:t>
      </w:r>
      <w:r w:rsidR="00C72AEB" w:rsidRPr="00EA1CDA">
        <w:rPr>
          <w:color w:val="000000"/>
          <w:sz w:val="28"/>
          <w:szCs w:val="28"/>
        </w:rPr>
        <w:t>, en el evento de que Nueva EPS o EMSSANAR no hayan entregado</w:t>
      </w:r>
      <w:r w:rsidR="003260B7" w:rsidRPr="00EA1CDA">
        <w:rPr>
          <w:color w:val="000000"/>
          <w:sz w:val="28"/>
          <w:szCs w:val="28"/>
        </w:rPr>
        <w:t xml:space="preserve"> el medicamento</w:t>
      </w:r>
      <w:r w:rsidR="00DD092E" w:rsidRPr="00EA1CDA">
        <w:rPr>
          <w:color w:val="000000"/>
          <w:sz w:val="28"/>
          <w:szCs w:val="28"/>
        </w:rPr>
        <w:t xml:space="preserve">, </w:t>
      </w:r>
      <w:r w:rsidR="00B24082" w:rsidRPr="00EA1CDA">
        <w:rPr>
          <w:color w:val="000000"/>
          <w:sz w:val="28"/>
          <w:szCs w:val="28"/>
        </w:rPr>
        <w:t>(a) si la actora cuenta con orden médica vigente respecto de algún medicamento,</w:t>
      </w:r>
      <w:r w:rsidR="00DD092E" w:rsidRPr="00EA1CDA">
        <w:rPr>
          <w:color w:val="000000"/>
          <w:sz w:val="28"/>
          <w:szCs w:val="28"/>
        </w:rPr>
        <w:t xml:space="preserve"> </w:t>
      </w:r>
      <w:r w:rsidR="00B24082" w:rsidRPr="00EA1CDA">
        <w:rPr>
          <w:color w:val="000000"/>
          <w:sz w:val="28"/>
          <w:szCs w:val="28"/>
        </w:rPr>
        <w:t>la Nueva EPS deberá suministrarlo</w:t>
      </w:r>
      <w:r w:rsidR="00600DD3" w:rsidRPr="00EA1CDA">
        <w:rPr>
          <w:color w:val="000000"/>
          <w:sz w:val="28"/>
          <w:szCs w:val="28"/>
        </w:rPr>
        <w:t xml:space="preserve">, </w:t>
      </w:r>
      <w:r w:rsidR="006103A1" w:rsidRPr="00EA1CDA">
        <w:rPr>
          <w:color w:val="000000"/>
          <w:sz w:val="28"/>
          <w:szCs w:val="28"/>
        </w:rPr>
        <w:t xml:space="preserve">en el término </w:t>
      </w:r>
      <w:r w:rsidR="003260B7" w:rsidRPr="00EA1CDA">
        <w:rPr>
          <w:color w:val="000000"/>
          <w:sz w:val="28"/>
          <w:szCs w:val="28"/>
        </w:rPr>
        <w:t xml:space="preserve">máximo </w:t>
      </w:r>
      <w:r w:rsidR="006103A1" w:rsidRPr="00EA1CDA">
        <w:rPr>
          <w:color w:val="000000"/>
          <w:sz w:val="28"/>
          <w:szCs w:val="28"/>
        </w:rPr>
        <w:t>de las cuarenta y ocho (48) horas siguientes a la notificación de esta providencia</w:t>
      </w:r>
      <w:r w:rsidR="00B24082" w:rsidRPr="00EA1CDA">
        <w:rPr>
          <w:color w:val="000000"/>
          <w:sz w:val="28"/>
          <w:szCs w:val="28"/>
        </w:rPr>
        <w:t>; y (b) en caso de que no</w:t>
      </w:r>
      <w:r w:rsidR="00A75FDE" w:rsidRPr="00EA1CDA">
        <w:rPr>
          <w:color w:val="000000"/>
          <w:sz w:val="28"/>
          <w:szCs w:val="28"/>
        </w:rPr>
        <w:t xml:space="preserve"> se</w:t>
      </w:r>
      <w:r w:rsidR="00B24082" w:rsidRPr="00EA1CDA">
        <w:rPr>
          <w:color w:val="000000"/>
          <w:sz w:val="28"/>
          <w:szCs w:val="28"/>
        </w:rPr>
        <w:t xml:space="preserve"> </w:t>
      </w:r>
      <w:r w:rsidR="00A75FDE" w:rsidRPr="00EA1CDA">
        <w:rPr>
          <w:color w:val="000000"/>
          <w:sz w:val="28"/>
          <w:szCs w:val="28"/>
        </w:rPr>
        <w:t>halle</w:t>
      </w:r>
      <w:r w:rsidR="00B24082" w:rsidRPr="00EA1CDA">
        <w:rPr>
          <w:color w:val="000000"/>
          <w:sz w:val="28"/>
          <w:szCs w:val="28"/>
        </w:rPr>
        <w:t xml:space="preserve"> orden médica </w:t>
      </w:r>
      <w:r w:rsidR="00BE0BED" w:rsidRPr="00EA1CDA">
        <w:rPr>
          <w:color w:val="000000"/>
          <w:sz w:val="28"/>
          <w:szCs w:val="28"/>
        </w:rPr>
        <w:t xml:space="preserve">vigente </w:t>
      </w:r>
      <w:r w:rsidR="00B24082" w:rsidRPr="00EA1CDA">
        <w:rPr>
          <w:color w:val="000000"/>
          <w:sz w:val="28"/>
          <w:szCs w:val="28"/>
        </w:rPr>
        <w:t>a favor de la tutelante</w:t>
      </w:r>
      <w:r w:rsidR="00577D4E" w:rsidRPr="00EA1CDA">
        <w:rPr>
          <w:color w:val="000000"/>
          <w:sz w:val="28"/>
          <w:szCs w:val="28"/>
        </w:rPr>
        <w:t xml:space="preserve"> para </w:t>
      </w:r>
      <w:r w:rsidR="00342A15" w:rsidRPr="00EA1CDA">
        <w:rPr>
          <w:color w:val="000000"/>
          <w:sz w:val="28"/>
          <w:szCs w:val="28"/>
        </w:rPr>
        <w:t>su</w:t>
      </w:r>
      <w:r w:rsidR="00577D4E" w:rsidRPr="00EA1CDA">
        <w:rPr>
          <w:color w:val="000000"/>
          <w:sz w:val="28"/>
          <w:szCs w:val="28"/>
        </w:rPr>
        <w:t xml:space="preserve"> tratamiento</w:t>
      </w:r>
      <w:r w:rsidR="00B24082" w:rsidRPr="00EA1CDA">
        <w:rPr>
          <w:color w:val="000000"/>
          <w:sz w:val="28"/>
          <w:szCs w:val="28"/>
        </w:rPr>
        <w:t xml:space="preserve">, la Nueva EPS deberá valorarla </w:t>
      </w:r>
      <w:r w:rsidR="00FB23D0" w:rsidRPr="00EA1CDA">
        <w:rPr>
          <w:sz w:val="28"/>
          <w:szCs w:val="28"/>
          <w:lang w:val="es-CO"/>
        </w:rPr>
        <w:t>para determinar el tratamiento a seguir o los fármacos a suministrar</w:t>
      </w:r>
      <w:r w:rsidR="00FB23D0" w:rsidRPr="00EA1CDA">
        <w:rPr>
          <w:color w:val="000000"/>
          <w:sz w:val="28"/>
          <w:szCs w:val="28"/>
        </w:rPr>
        <w:t xml:space="preserve"> </w:t>
      </w:r>
      <w:r w:rsidR="00807E91" w:rsidRPr="00EA1CDA">
        <w:rPr>
          <w:color w:val="000000"/>
          <w:sz w:val="28"/>
          <w:szCs w:val="28"/>
        </w:rPr>
        <w:t>en el término de las cuarenta y ocho (48) horas siguientes a la notificación de esta providencia</w:t>
      </w:r>
      <w:r w:rsidR="00DD092E" w:rsidRPr="00EA1CDA">
        <w:rPr>
          <w:color w:val="000000"/>
          <w:sz w:val="28"/>
          <w:szCs w:val="28"/>
        </w:rPr>
        <w:t xml:space="preserve">. </w:t>
      </w:r>
      <w:r w:rsidR="00DD092E" w:rsidRPr="00EA1CDA">
        <w:rPr>
          <w:sz w:val="28"/>
          <w:szCs w:val="28"/>
        </w:rPr>
        <w:t xml:space="preserve">De ser el caso, una vez emitida la prescripción, la Nueva EPS entregará el (los) medicamento(s) de que se trate en el término </w:t>
      </w:r>
      <w:r w:rsidR="003260B7" w:rsidRPr="00EA1CDA">
        <w:rPr>
          <w:sz w:val="28"/>
          <w:szCs w:val="28"/>
        </w:rPr>
        <w:t xml:space="preserve">máximo </w:t>
      </w:r>
      <w:r w:rsidR="00DD092E" w:rsidRPr="00EA1CDA">
        <w:rPr>
          <w:sz w:val="28"/>
          <w:szCs w:val="28"/>
        </w:rPr>
        <w:t>de las cuarenta y ocho (48) horas siguientes</w:t>
      </w:r>
      <w:r w:rsidR="000512F9" w:rsidRPr="00EA1CDA">
        <w:rPr>
          <w:color w:val="000000"/>
          <w:sz w:val="28"/>
          <w:szCs w:val="28"/>
        </w:rPr>
        <w:t xml:space="preserve">. </w:t>
      </w:r>
      <w:r w:rsidR="00857D51" w:rsidRPr="00EA1CDA">
        <w:rPr>
          <w:color w:val="000000"/>
          <w:sz w:val="28"/>
          <w:szCs w:val="28"/>
        </w:rPr>
        <w:t xml:space="preserve">Sobre el cumplimiento de esta orden, la EPS deberá </w:t>
      </w:r>
      <w:r w:rsidR="00857D51" w:rsidRPr="00EA1CDA">
        <w:rPr>
          <w:b/>
          <w:bCs/>
          <w:color w:val="000000"/>
          <w:sz w:val="28"/>
          <w:szCs w:val="28"/>
        </w:rPr>
        <w:t>ENVIAR</w:t>
      </w:r>
      <w:r w:rsidR="00857D51" w:rsidRPr="00EA1CDA">
        <w:rPr>
          <w:color w:val="000000"/>
          <w:sz w:val="28"/>
          <w:szCs w:val="28"/>
        </w:rPr>
        <w:t xml:space="preserve"> un informe a </w:t>
      </w:r>
      <w:r w:rsidR="003260B7" w:rsidRPr="00EA1CDA">
        <w:rPr>
          <w:color w:val="000000"/>
          <w:sz w:val="28"/>
          <w:szCs w:val="28"/>
        </w:rPr>
        <w:t>la Defensoría del Pueblo</w:t>
      </w:r>
      <w:r w:rsidR="00857D51" w:rsidRPr="00EA1CDA">
        <w:rPr>
          <w:color w:val="000000"/>
          <w:sz w:val="28"/>
          <w:szCs w:val="28"/>
        </w:rPr>
        <w:t xml:space="preserve">, </w:t>
      </w:r>
      <w:r w:rsidR="003260B7" w:rsidRPr="00EA1CDA">
        <w:rPr>
          <w:color w:val="000000"/>
          <w:sz w:val="28"/>
          <w:szCs w:val="28"/>
        </w:rPr>
        <w:t xml:space="preserve">tan pronto se ejecute y dentro de </w:t>
      </w:r>
      <w:r w:rsidR="008C59E9" w:rsidRPr="00EA1CDA">
        <w:rPr>
          <w:color w:val="000000"/>
          <w:sz w:val="28"/>
          <w:szCs w:val="28"/>
        </w:rPr>
        <w:t xml:space="preserve">los primeros cinco días de cada mes y mientras esta medida provisional se encuentre vigente, </w:t>
      </w:r>
      <w:r w:rsidR="00857D51" w:rsidRPr="00EA1CDA">
        <w:rPr>
          <w:color w:val="000000"/>
          <w:sz w:val="28"/>
          <w:szCs w:val="28"/>
        </w:rPr>
        <w:t>en el que</w:t>
      </w:r>
      <w:r w:rsidR="00EF5416" w:rsidRPr="00EA1CDA">
        <w:rPr>
          <w:color w:val="000000"/>
          <w:sz w:val="28"/>
          <w:szCs w:val="28"/>
        </w:rPr>
        <w:t xml:space="preserve"> </w:t>
      </w:r>
      <w:r w:rsidR="00267BF6" w:rsidRPr="00EA1CDA">
        <w:rPr>
          <w:color w:val="000000"/>
          <w:sz w:val="28"/>
          <w:szCs w:val="28"/>
        </w:rPr>
        <w:t xml:space="preserve">se </w:t>
      </w:r>
      <w:r w:rsidR="00F23D57" w:rsidRPr="00EA1CDA">
        <w:rPr>
          <w:color w:val="000000"/>
          <w:sz w:val="28"/>
          <w:szCs w:val="28"/>
        </w:rPr>
        <w:t>indique</w:t>
      </w:r>
      <w:r w:rsidR="00FE28D3" w:rsidRPr="00EA1CDA">
        <w:rPr>
          <w:color w:val="000000"/>
          <w:sz w:val="28"/>
          <w:szCs w:val="28"/>
        </w:rPr>
        <w:t>: (i)</w:t>
      </w:r>
      <w:r w:rsidR="00472D7D" w:rsidRPr="00EA1CDA">
        <w:rPr>
          <w:color w:val="000000"/>
          <w:sz w:val="28"/>
          <w:szCs w:val="28"/>
        </w:rPr>
        <w:t xml:space="preserve"> si corresponde</w:t>
      </w:r>
      <w:r w:rsidR="00EF5416" w:rsidRPr="00EA1CDA">
        <w:rPr>
          <w:color w:val="000000"/>
          <w:sz w:val="28"/>
          <w:szCs w:val="28"/>
        </w:rPr>
        <w:t xml:space="preserve"> la entrega de algún medicament</w:t>
      </w:r>
      <w:r w:rsidR="00F23D57" w:rsidRPr="00EA1CDA">
        <w:rPr>
          <w:color w:val="000000"/>
          <w:sz w:val="28"/>
          <w:szCs w:val="28"/>
        </w:rPr>
        <w:t>o</w:t>
      </w:r>
      <w:r w:rsidR="00EF5416" w:rsidRPr="00EA1CDA">
        <w:rPr>
          <w:color w:val="000000"/>
          <w:sz w:val="28"/>
          <w:szCs w:val="28"/>
        </w:rPr>
        <w:t xml:space="preserve">, </w:t>
      </w:r>
      <w:r w:rsidR="00FE28D3" w:rsidRPr="00EA1CDA">
        <w:rPr>
          <w:color w:val="000000"/>
          <w:sz w:val="28"/>
          <w:szCs w:val="28"/>
        </w:rPr>
        <w:t>(</w:t>
      </w:r>
      <w:proofErr w:type="spellStart"/>
      <w:r w:rsidR="00FE28D3" w:rsidRPr="00EA1CDA">
        <w:rPr>
          <w:color w:val="000000"/>
          <w:sz w:val="28"/>
          <w:szCs w:val="28"/>
        </w:rPr>
        <w:t>ii</w:t>
      </w:r>
      <w:proofErr w:type="spellEnd"/>
      <w:r w:rsidR="00FE28D3" w:rsidRPr="00EA1CDA">
        <w:rPr>
          <w:color w:val="000000"/>
          <w:sz w:val="28"/>
          <w:szCs w:val="28"/>
        </w:rPr>
        <w:t xml:space="preserve">) </w:t>
      </w:r>
      <w:r w:rsidR="00F23D57" w:rsidRPr="00EA1CDA">
        <w:rPr>
          <w:color w:val="000000"/>
          <w:sz w:val="28"/>
          <w:szCs w:val="28"/>
        </w:rPr>
        <w:t xml:space="preserve">de qué medicamento </w:t>
      </w:r>
      <w:r w:rsidR="00F26810" w:rsidRPr="00EA1CDA">
        <w:rPr>
          <w:color w:val="000000"/>
          <w:sz w:val="28"/>
          <w:szCs w:val="28"/>
        </w:rPr>
        <w:t>se trata</w:t>
      </w:r>
      <w:r w:rsidR="00472D7D" w:rsidRPr="00EA1CDA">
        <w:rPr>
          <w:color w:val="000000"/>
          <w:sz w:val="28"/>
          <w:szCs w:val="28"/>
        </w:rPr>
        <w:t>,</w:t>
      </w:r>
      <w:r w:rsidR="00FE28D3" w:rsidRPr="00EA1CDA">
        <w:rPr>
          <w:color w:val="000000"/>
          <w:sz w:val="28"/>
          <w:szCs w:val="28"/>
        </w:rPr>
        <w:t xml:space="preserve"> (</w:t>
      </w:r>
      <w:proofErr w:type="spellStart"/>
      <w:r w:rsidR="00FE28D3" w:rsidRPr="00EA1CDA">
        <w:rPr>
          <w:color w:val="000000"/>
          <w:sz w:val="28"/>
          <w:szCs w:val="28"/>
        </w:rPr>
        <w:t>iii</w:t>
      </w:r>
      <w:proofErr w:type="spellEnd"/>
      <w:r w:rsidR="00FE28D3" w:rsidRPr="00EA1CDA">
        <w:rPr>
          <w:color w:val="000000"/>
          <w:sz w:val="28"/>
          <w:szCs w:val="28"/>
        </w:rPr>
        <w:t>)</w:t>
      </w:r>
      <w:r w:rsidR="00A8184C" w:rsidRPr="00EA1CDA">
        <w:rPr>
          <w:color w:val="000000"/>
          <w:sz w:val="28"/>
          <w:szCs w:val="28"/>
        </w:rPr>
        <w:t xml:space="preserve"> </w:t>
      </w:r>
      <w:r w:rsidR="00FE28D3" w:rsidRPr="00EA1CDA">
        <w:rPr>
          <w:color w:val="000000"/>
          <w:sz w:val="28"/>
          <w:szCs w:val="28"/>
        </w:rPr>
        <w:t>la fecha de</w:t>
      </w:r>
      <w:r w:rsidR="00857D51" w:rsidRPr="00EA1CDA">
        <w:rPr>
          <w:color w:val="000000"/>
          <w:sz w:val="28"/>
          <w:szCs w:val="28"/>
        </w:rPr>
        <w:t xml:space="preserve"> entrega del medicamento y</w:t>
      </w:r>
      <w:r w:rsidR="001A749C" w:rsidRPr="00EA1CDA">
        <w:rPr>
          <w:color w:val="000000"/>
          <w:sz w:val="28"/>
          <w:szCs w:val="28"/>
        </w:rPr>
        <w:t>, (</w:t>
      </w:r>
      <w:proofErr w:type="spellStart"/>
      <w:r w:rsidR="001A749C" w:rsidRPr="00EA1CDA">
        <w:rPr>
          <w:color w:val="000000"/>
          <w:sz w:val="28"/>
          <w:szCs w:val="28"/>
        </w:rPr>
        <w:t>iv</w:t>
      </w:r>
      <w:proofErr w:type="spellEnd"/>
      <w:r w:rsidR="001A749C" w:rsidRPr="00EA1CDA">
        <w:rPr>
          <w:color w:val="000000"/>
          <w:sz w:val="28"/>
          <w:szCs w:val="28"/>
        </w:rPr>
        <w:t>) si corresponde,</w:t>
      </w:r>
      <w:r w:rsidR="00857D51" w:rsidRPr="00EA1CDA">
        <w:rPr>
          <w:color w:val="000000"/>
          <w:sz w:val="28"/>
          <w:szCs w:val="28"/>
        </w:rPr>
        <w:t xml:space="preserve"> la fecha cierta de su próxima entrega a la parte accionante.</w:t>
      </w:r>
    </w:p>
    <w:p w14:paraId="058BB763" w14:textId="77777777" w:rsidR="00B24082" w:rsidRPr="00EA1CDA" w:rsidRDefault="00B24082" w:rsidP="00B24082">
      <w:pPr>
        <w:pStyle w:val="Prrafodelista"/>
        <w:pBdr>
          <w:top w:val="nil"/>
          <w:left w:val="nil"/>
          <w:bottom w:val="nil"/>
          <w:right w:val="nil"/>
          <w:between w:val="nil"/>
        </w:pBdr>
        <w:tabs>
          <w:tab w:val="left" w:pos="0"/>
        </w:tabs>
        <w:ind w:left="0"/>
        <w:jc w:val="both"/>
        <w:rPr>
          <w:sz w:val="28"/>
          <w:szCs w:val="28"/>
        </w:rPr>
      </w:pPr>
    </w:p>
    <w:p w14:paraId="4AE47CA3" w14:textId="1B9BC9B0" w:rsidR="004A0F48" w:rsidRPr="00EA1CDA" w:rsidRDefault="004A0F48" w:rsidP="004A0F48">
      <w:pPr>
        <w:pStyle w:val="Prrafodelista"/>
        <w:numPr>
          <w:ilvl w:val="0"/>
          <w:numId w:val="5"/>
        </w:numPr>
        <w:pBdr>
          <w:top w:val="nil"/>
          <w:left w:val="nil"/>
          <w:bottom w:val="nil"/>
          <w:right w:val="nil"/>
          <w:between w:val="nil"/>
        </w:pBdr>
        <w:tabs>
          <w:tab w:val="left" w:pos="0"/>
        </w:tabs>
        <w:jc w:val="both"/>
      </w:pPr>
      <w:r w:rsidRPr="00EA1CDA">
        <w:rPr>
          <w:b/>
          <w:color w:val="000000"/>
          <w:sz w:val="28"/>
          <w:szCs w:val="28"/>
        </w:rPr>
        <w:t>ADVERTIR</w:t>
      </w:r>
      <w:r w:rsidRPr="00EA1CDA">
        <w:rPr>
          <w:color w:val="000000"/>
          <w:sz w:val="28"/>
          <w:szCs w:val="28"/>
        </w:rPr>
        <w:t xml:space="preserve"> a </w:t>
      </w:r>
      <w:r w:rsidR="00F07DDA" w:rsidRPr="00EA1CDA">
        <w:rPr>
          <w:color w:val="000000"/>
          <w:sz w:val="28"/>
          <w:szCs w:val="28"/>
        </w:rPr>
        <w:t xml:space="preserve">los destinatarios de las órdenes </w:t>
      </w:r>
      <w:r w:rsidR="00731489" w:rsidRPr="00EA1CDA">
        <w:rPr>
          <w:color w:val="000000"/>
          <w:sz w:val="28"/>
          <w:szCs w:val="28"/>
        </w:rPr>
        <w:t>primera a cuarta</w:t>
      </w:r>
      <w:r w:rsidR="00F07DDA" w:rsidRPr="00EA1CDA">
        <w:rPr>
          <w:color w:val="000000"/>
          <w:sz w:val="28"/>
          <w:szCs w:val="28"/>
        </w:rPr>
        <w:t xml:space="preserve"> de</w:t>
      </w:r>
      <w:r w:rsidR="00731489" w:rsidRPr="00EA1CDA">
        <w:rPr>
          <w:color w:val="000000"/>
          <w:sz w:val="28"/>
          <w:szCs w:val="28"/>
        </w:rPr>
        <w:t xml:space="preserve"> la parte resolutiva de</w:t>
      </w:r>
      <w:r w:rsidR="00F07DDA" w:rsidRPr="00EA1CDA">
        <w:rPr>
          <w:color w:val="000000"/>
          <w:sz w:val="28"/>
          <w:szCs w:val="28"/>
        </w:rPr>
        <w:t xml:space="preserve"> esta providencia </w:t>
      </w:r>
      <w:r w:rsidR="00E36F6A" w:rsidRPr="00EA1CDA">
        <w:rPr>
          <w:color w:val="000000"/>
          <w:sz w:val="28"/>
          <w:szCs w:val="28"/>
        </w:rPr>
        <w:t xml:space="preserve">que durante la ejecución de las medidas provisionales </w:t>
      </w:r>
      <w:r w:rsidR="00731489" w:rsidRPr="00EA1CDA">
        <w:rPr>
          <w:color w:val="000000"/>
          <w:sz w:val="28"/>
          <w:szCs w:val="28"/>
        </w:rPr>
        <w:t>adoptadas</w:t>
      </w:r>
      <w:r w:rsidR="00E36F6A" w:rsidRPr="00EA1CDA">
        <w:rPr>
          <w:color w:val="000000"/>
          <w:sz w:val="28"/>
          <w:szCs w:val="28"/>
        </w:rPr>
        <w:t xml:space="preserve"> </w:t>
      </w:r>
      <w:r w:rsidR="00D84F4F" w:rsidRPr="00EA1CDA">
        <w:rPr>
          <w:color w:val="000000"/>
          <w:sz w:val="28"/>
          <w:szCs w:val="28"/>
        </w:rPr>
        <w:t xml:space="preserve">y </w:t>
      </w:r>
      <w:r w:rsidR="00F07DDA" w:rsidRPr="00EA1CDA">
        <w:rPr>
          <w:color w:val="000000"/>
          <w:sz w:val="28"/>
          <w:szCs w:val="28"/>
        </w:rPr>
        <w:t xml:space="preserve">en </w:t>
      </w:r>
      <w:r w:rsidR="005C6435" w:rsidRPr="00EA1CDA">
        <w:rPr>
          <w:color w:val="000000"/>
          <w:sz w:val="28"/>
          <w:szCs w:val="28"/>
        </w:rPr>
        <w:t>aquellos</w:t>
      </w:r>
      <w:r w:rsidR="00F07DDA" w:rsidRPr="00EA1CDA">
        <w:rPr>
          <w:color w:val="000000"/>
          <w:sz w:val="28"/>
          <w:szCs w:val="28"/>
        </w:rPr>
        <w:t xml:space="preserve"> </w:t>
      </w:r>
      <w:r w:rsidR="00E36F6A" w:rsidRPr="00EA1CDA">
        <w:rPr>
          <w:color w:val="000000"/>
          <w:sz w:val="28"/>
          <w:szCs w:val="28"/>
        </w:rPr>
        <w:t xml:space="preserve">eventos en los que </w:t>
      </w:r>
      <w:r w:rsidR="00F07DDA" w:rsidRPr="00EA1CDA">
        <w:rPr>
          <w:color w:val="000000"/>
          <w:sz w:val="28"/>
          <w:szCs w:val="28"/>
        </w:rPr>
        <w:t xml:space="preserve">el Invima </w:t>
      </w:r>
      <w:r w:rsidR="00BE7BBC" w:rsidRPr="00EA1CDA">
        <w:rPr>
          <w:color w:val="000000"/>
          <w:sz w:val="28"/>
          <w:szCs w:val="28"/>
        </w:rPr>
        <w:t>alerte</w:t>
      </w:r>
      <w:r w:rsidR="00F07DDA" w:rsidRPr="00EA1CDA">
        <w:rPr>
          <w:color w:val="000000"/>
          <w:sz w:val="28"/>
          <w:szCs w:val="28"/>
        </w:rPr>
        <w:t xml:space="preserve"> </w:t>
      </w:r>
      <w:r w:rsidR="00922896" w:rsidRPr="00EA1CDA">
        <w:rPr>
          <w:color w:val="000000"/>
          <w:sz w:val="28"/>
          <w:szCs w:val="28"/>
        </w:rPr>
        <w:t>el desabastecimiento de alguno de</w:t>
      </w:r>
      <w:r w:rsidR="00F07DDA" w:rsidRPr="00EA1CDA">
        <w:rPr>
          <w:color w:val="000000"/>
          <w:sz w:val="28"/>
          <w:szCs w:val="28"/>
        </w:rPr>
        <w:t xml:space="preserve"> los medicamentos </w:t>
      </w:r>
      <w:r w:rsidR="00922896" w:rsidRPr="00EA1CDA">
        <w:rPr>
          <w:color w:val="000000"/>
          <w:sz w:val="28"/>
          <w:szCs w:val="28"/>
        </w:rPr>
        <w:t>prescritos</w:t>
      </w:r>
      <w:r w:rsidR="00F07DDA" w:rsidRPr="00EA1CDA">
        <w:rPr>
          <w:color w:val="000000"/>
          <w:sz w:val="28"/>
          <w:szCs w:val="28"/>
        </w:rPr>
        <w:t xml:space="preserve"> en cada uno de los </w:t>
      </w:r>
      <w:r w:rsidR="005B3F42" w:rsidRPr="00EA1CDA">
        <w:rPr>
          <w:color w:val="000000"/>
          <w:sz w:val="28"/>
          <w:szCs w:val="28"/>
        </w:rPr>
        <w:t>expedientes acumulados</w:t>
      </w:r>
      <w:r w:rsidR="00F07DDA" w:rsidRPr="00EA1CDA">
        <w:rPr>
          <w:color w:val="000000"/>
          <w:sz w:val="28"/>
          <w:szCs w:val="28"/>
        </w:rPr>
        <w:t>, la EPS</w:t>
      </w:r>
      <w:r w:rsidR="004B159E" w:rsidRPr="00EA1CDA">
        <w:rPr>
          <w:color w:val="000000"/>
          <w:sz w:val="28"/>
          <w:szCs w:val="28"/>
        </w:rPr>
        <w:t xml:space="preserve"> correspondiente</w:t>
      </w:r>
      <w:r w:rsidR="00F07DDA" w:rsidRPr="00EA1CDA">
        <w:rPr>
          <w:color w:val="000000"/>
          <w:sz w:val="28"/>
          <w:szCs w:val="28"/>
        </w:rPr>
        <w:t xml:space="preserve"> deberá asegurar la valoración médica </w:t>
      </w:r>
      <w:r w:rsidR="003260B7" w:rsidRPr="00EA1CDA">
        <w:rPr>
          <w:color w:val="000000"/>
          <w:sz w:val="28"/>
          <w:szCs w:val="28"/>
        </w:rPr>
        <w:t xml:space="preserve">inmediata </w:t>
      </w:r>
      <w:r w:rsidR="00F07DDA" w:rsidRPr="00EA1CDA">
        <w:rPr>
          <w:color w:val="000000"/>
          <w:sz w:val="28"/>
          <w:szCs w:val="28"/>
        </w:rPr>
        <w:t>de la parte accionante</w:t>
      </w:r>
      <w:r w:rsidR="003260B7" w:rsidRPr="00EA1CDA">
        <w:rPr>
          <w:color w:val="000000"/>
          <w:sz w:val="28"/>
          <w:szCs w:val="28"/>
        </w:rPr>
        <w:t>,</w:t>
      </w:r>
      <w:r w:rsidR="00F07DDA" w:rsidRPr="00EA1CDA">
        <w:rPr>
          <w:color w:val="000000"/>
          <w:sz w:val="28"/>
          <w:szCs w:val="28"/>
        </w:rPr>
        <w:t xml:space="preserve"> para identificar las bioequivalencias necesarias para evitar la interrupción del tratamiento. Esta valoración debe efectuarse </w:t>
      </w:r>
      <w:r w:rsidR="00921A26" w:rsidRPr="00EA1CDA">
        <w:rPr>
          <w:color w:val="000000"/>
          <w:sz w:val="28"/>
          <w:szCs w:val="28"/>
        </w:rPr>
        <w:t>mínimo</w:t>
      </w:r>
      <w:r w:rsidR="00F07DDA" w:rsidRPr="00EA1CDA">
        <w:rPr>
          <w:color w:val="000000"/>
          <w:sz w:val="28"/>
          <w:szCs w:val="28"/>
        </w:rPr>
        <w:t xml:space="preserve"> </w:t>
      </w:r>
      <w:r w:rsidR="001C7035" w:rsidRPr="00EA1CDA">
        <w:rPr>
          <w:color w:val="000000"/>
          <w:sz w:val="28"/>
          <w:szCs w:val="28"/>
        </w:rPr>
        <w:t>cinco</w:t>
      </w:r>
      <w:r w:rsidR="00814278" w:rsidRPr="00EA1CDA">
        <w:rPr>
          <w:color w:val="000000"/>
          <w:sz w:val="28"/>
          <w:szCs w:val="28"/>
        </w:rPr>
        <w:t xml:space="preserve"> (</w:t>
      </w:r>
      <w:r w:rsidR="001C7035" w:rsidRPr="00EA1CDA">
        <w:rPr>
          <w:sz w:val="28"/>
          <w:szCs w:val="28"/>
        </w:rPr>
        <w:t>5</w:t>
      </w:r>
      <w:r w:rsidR="00814278" w:rsidRPr="00EA1CDA">
        <w:rPr>
          <w:sz w:val="28"/>
          <w:szCs w:val="28"/>
        </w:rPr>
        <w:t xml:space="preserve">) </w:t>
      </w:r>
      <w:r w:rsidR="00B111A0" w:rsidRPr="00EA1CDA">
        <w:rPr>
          <w:sz w:val="28"/>
          <w:szCs w:val="28"/>
        </w:rPr>
        <w:t>días</w:t>
      </w:r>
      <w:r w:rsidR="00AC7104" w:rsidRPr="00EA1CDA">
        <w:rPr>
          <w:sz w:val="28"/>
          <w:szCs w:val="28"/>
        </w:rPr>
        <w:t xml:space="preserve"> </w:t>
      </w:r>
      <w:r w:rsidR="00AC7104" w:rsidRPr="00EA1CDA">
        <w:rPr>
          <w:color w:val="000000"/>
          <w:sz w:val="28"/>
          <w:szCs w:val="28"/>
        </w:rPr>
        <w:t xml:space="preserve">antes </w:t>
      </w:r>
      <w:r w:rsidR="00F07DDA" w:rsidRPr="00EA1CDA">
        <w:rPr>
          <w:color w:val="000000"/>
          <w:sz w:val="28"/>
          <w:szCs w:val="28"/>
        </w:rPr>
        <w:t xml:space="preserve">de que la formulación </w:t>
      </w:r>
      <w:r w:rsidR="00320419" w:rsidRPr="00EA1CDA">
        <w:rPr>
          <w:color w:val="000000"/>
          <w:sz w:val="28"/>
          <w:szCs w:val="28"/>
        </w:rPr>
        <w:t>que se entregó</w:t>
      </w:r>
      <w:r w:rsidR="009C2280" w:rsidRPr="00EA1CDA">
        <w:rPr>
          <w:color w:val="000000"/>
          <w:sz w:val="28"/>
          <w:szCs w:val="28"/>
        </w:rPr>
        <w:t xml:space="preserve"> anteriormente</w:t>
      </w:r>
      <w:r w:rsidR="00F07DDA" w:rsidRPr="00EA1CDA">
        <w:rPr>
          <w:color w:val="000000"/>
          <w:sz w:val="28"/>
          <w:szCs w:val="28"/>
        </w:rPr>
        <w:t xml:space="preserve"> se agote</w:t>
      </w:r>
      <w:r w:rsidR="00122213" w:rsidRPr="00EA1CDA">
        <w:rPr>
          <w:color w:val="000000"/>
          <w:sz w:val="28"/>
          <w:szCs w:val="28"/>
        </w:rPr>
        <w:t xml:space="preserve">. </w:t>
      </w:r>
      <w:r w:rsidR="00C11A58" w:rsidRPr="00EA1CDA">
        <w:rPr>
          <w:color w:val="000000"/>
          <w:sz w:val="28"/>
          <w:szCs w:val="28"/>
        </w:rPr>
        <w:t xml:space="preserve">Además, </w:t>
      </w:r>
      <w:r w:rsidR="001F08D1" w:rsidRPr="00EA1CDA">
        <w:rPr>
          <w:color w:val="000000"/>
          <w:sz w:val="28"/>
          <w:szCs w:val="28"/>
        </w:rPr>
        <w:t xml:space="preserve">el medicamento sustituto </w:t>
      </w:r>
      <w:r w:rsidR="00B04217" w:rsidRPr="00EA1CDA">
        <w:rPr>
          <w:color w:val="000000"/>
          <w:sz w:val="28"/>
          <w:szCs w:val="28"/>
        </w:rPr>
        <w:t xml:space="preserve">deberá entregarse </w:t>
      </w:r>
      <w:r w:rsidR="00E53610" w:rsidRPr="00EA1CDA">
        <w:rPr>
          <w:color w:val="000000"/>
          <w:sz w:val="28"/>
          <w:szCs w:val="28"/>
        </w:rPr>
        <w:t>dentro de</w:t>
      </w:r>
      <w:r w:rsidR="003260B7" w:rsidRPr="00EA1CDA">
        <w:rPr>
          <w:color w:val="000000"/>
          <w:sz w:val="28"/>
          <w:szCs w:val="28"/>
        </w:rPr>
        <w:t xml:space="preserve"> máximo</w:t>
      </w:r>
      <w:r w:rsidR="00007240" w:rsidRPr="00EA1CDA">
        <w:rPr>
          <w:color w:val="000000"/>
          <w:sz w:val="28"/>
          <w:szCs w:val="28"/>
        </w:rPr>
        <w:t xml:space="preserve"> las cuarenta y ocho (48) horas siguientes a la </w:t>
      </w:r>
      <w:r w:rsidR="00E53610" w:rsidRPr="00EA1CDA">
        <w:rPr>
          <w:color w:val="000000"/>
          <w:sz w:val="28"/>
          <w:szCs w:val="28"/>
        </w:rPr>
        <w:t>prescripción</w:t>
      </w:r>
      <w:r w:rsidRPr="00EA1CDA">
        <w:rPr>
          <w:color w:val="000000"/>
          <w:sz w:val="28"/>
          <w:szCs w:val="28"/>
        </w:rPr>
        <w:t>.</w:t>
      </w:r>
    </w:p>
    <w:p w14:paraId="2454238C" w14:textId="77777777" w:rsidR="004A0F48" w:rsidRPr="00EA1CDA" w:rsidRDefault="004A0F48" w:rsidP="00B24082">
      <w:pPr>
        <w:pStyle w:val="Prrafodelista"/>
        <w:pBdr>
          <w:top w:val="nil"/>
          <w:left w:val="nil"/>
          <w:bottom w:val="nil"/>
          <w:right w:val="nil"/>
          <w:between w:val="nil"/>
        </w:pBdr>
        <w:tabs>
          <w:tab w:val="left" w:pos="0"/>
        </w:tabs>
        <w:ind w:left="0"/>
        <w:jc w:val="both"/>
      </w:pPr>
    </w:p>
    <w:p w14:paraId="6EE66152" w14:textId="5EED0F1F" w:rsidR="00600EE1" w:rsidRPr="00EA1CDA" w:rsidRDefault="00551339" w:rsidP="2F03C1D7">
      <w:pPr>
        <w:pStyle w:val="Prrafodelista"/>
        <w:numPr>
          <w:ilvl w:val="0"/>
          <w:numId w:val="5"/>
        </w:numPr>
        <w:pBdr>
          <w:top w:val="nil"/>
          <w:left w:val="nil"/>
          <w:bottom w:val="nil"/>
          <w:right w:val="nil"/>
          <w:between w:val="nil"/>
        </w:pBdr>
        <w:jc w:val="both"/>
        <w:rPr>
          <w:color w:val="000000"/>
        </w:rPr>
      </w:pPr>
      <w:r w:rsidRPr="00EA1CDA">
        <w:rPr>
          <w:b/>
          <w:bCs/>
          <w:color w:val="000000" w:themeColor="text1"/>
          <w:sz w:val="28"/>
          <w:szCs w:val="28"/>
        </w:rPr>
        <w:t>ORDENAR</w:t>
      </w:r>
      <w:r w:rsidRPr="00EA1CDA">
        <w:rPr>
          <w:color w:val="000000" w:themeColor="text1"/>
          <w:sz w:val="28"/>
          <w:szCs w:val="28"/>
        </w:rPr>
        <w:t xml:space="preserve"> a la Procuraduría General de la Nación </w:t>
      </w:r>
      <w:r w:rsidR="00387EA0" w:rsidRPr="00EA1CDA">
        <w:rPr>
          <w:color w:val="000000" w:themeColor="text1"/>
          <w:sz w:val="28"/>
          <w:szCs w:val="28"/>
        </w:rPr>
        <w:t>que</w:t>
      </w:r>
      <w:r w:rsidR="00F80E40" w:rsidRPr="00EA1CDA">
        <w:rPr>
          <w:color w:val="000000" w:themeColor="text1"/>
          <w:sz w:val="28"/>
          <w:szCs w:val="28"/>
        </w:rPr>
        <w:t xml:space="preserve"> </w:t>
      </w:r>
      <w:r w:rsidR="00387EA0" w:rsidRPr="00EA1CDA">
        <w:rPr>
          <w:color w:val="000000" w:themeColor="text1"/>
          <w:sz w:val="28"/>
          <w:szCs w:val="28"/>
        </w:rPr>
        <w:t xml:space="preserve">verifique el cumplimiento de las órdenes del presente auto por parte de las EPS, IPS y gestoras farmacéuticas concernidas y </w:t>
      </w:r>
      <w:r w:rsidR="003260B7" w:rsidRPr="00EA1CDA">
        <w:rPr>
          <w:color w:val="000000" w:themeColor="text1"/>
          <w:sz w:val="28"/>
          <w:szCs w:val="28"/>
        </w:rPr>
        <w:t xml:space="preserve">que </w:t>
      </w:r>
      <w:r w:rsidR="00387EA0" w:rsidRPr="00EA1CDA">
        <w:rPr>
          <w:color w:val="000000" w:themeColor="text1"/>
          <w:sz w:val="28"/>
          <w:szCs w:val="28"/>
        </w:rPr>
        <w:t xml:space="preserve">rinda informe </w:t>
      </w:r>
      <w:r w:rsidR="00F80E40" w:rsidRPr="00EA1CDA">
        <w:rPr>
          <w:color w:val="000000" w:themeColor="text1"/>
          <w:sz w:val="28"/>
          <w:szCs w:val="28"/>
        </w:rPr>
        <w:t xml:space="preserve">sobre su cumplimiento a esta Sala de Revisión, en forma mensual, dentro de los primeros </w:t>
      </w:r>
      <w:r w:rsidR="003260B7" w:rsidRPr="00EA1CDA">
        <w:rPr>
          <w:color w:val="000000" w:themeColor="text1"/>
          <w:sz w:val="28"/>
          <w:szCs w:val="28"/>
        </w:rPr>
        <w:t xml:space="preserve">diez </w:t>
      </w:r>
      <w:r w:rsidR="00616DBF" w:rsidRPr="00EA1CDA">
        <w:rPr>
          <w:color w:val="000000" w:themeColor="text1"/>
          <w:sz w:val="28"/>
          <w:szCs w:val="28"/>
        </w:rPr>
        <w:t xml:space="preserve">(10) </w:t>
      </w:r>
      <w:r w:rsidR="00F80E40" w:rsidRPr="00EA1CDA">
        <w:rPr>
          <w:color w:val="000000" w:themeColor="text1"/>
          <w:sz w:val="28"/>
          <w:szCs w:val="28"/>
        </w:rPr>
        <w:t>días de cada mes.</w:t>
      </w:r>
      <w:r w:rsidRPr="00EA1CDA">
        <w:rPr>
          <w:color w:val="000000" w:themeColor="text1"/>
          <w:sz w:val="28"/>
          <w:szCs w:val="28"/>
        </w:rPr>
        <w:t xml:space="preserve"> </w:t>
      </w:r>
    </w:p>
    <w:p w14:paraId="42D2C240" w14:textId="77777777" w:rsidR="00BE60E6" w:rsidRPr="00EA1CDA" w:rsidRDefault="00BE60E6" w:rsidP="00BE60E6">
      <w:pPr>
        <w:pStyle w:val="Prrafodelista"/>
        <w:rPr>
          <w:color w:val="000000"/>
        </w:rPr>
      </w:pPr>
    </w:p>
    <w:p w14:paraId="664010D6" w14:textId="6D7EBCAA" w:rsidR="00BE60E6" w:rsidRPr="00EA1CDA" w:rsidRDefault="00BE60E6" w:rsidP="00BE60E6">
      <w:pPr>
        <w:pStyle w:val="Prrafodelista"/>
        <w:numPr>
          <w:ilvl w:val="0"/>
          <w:numId w:val="5"/>
        </w:numPr>
        <w:pBdr>
          <w:top w:val="nil"/>
          <w:left w:val="nil"/>
          <w:bottom w:val="nil"/>
          <w:right w:val="nil"/>
          <w:between w:val="nil"/>
        </w:pBdr>
        <w:jc w:val="both"/>
        <w:rPr>
          <w:color w:val="000000"/>
        </w:rPr>
      </w:pPr>
      <w:r w:rsidRPr="00EA1CDA">
        <w:rPr>
          <w:b/>
          <w:bCs/>
          <w:color w:val="000000" w:themeColor="text1"/>
          <w:sz w:val="28"/>
          <w:szCs w:val="28"/>
        </w:rPr>
        <w:t>ORDENAR</w:t>
      </w:r>
      <w:r w:rsidRPr="00EA1CDA">
        <w:rPr>
          <w:color w:val="000000" w:themeColor="text1"/>
          <w:sz w:val="28"/>
          <w:szCs w:val="28"/>
        </w:rPr>
        <w:t xml:space="preserve"> a la Defensoría del Pueblo </w:t>
      </w:r>
      <w:r w:rsidR="00387EA0" w:rsidRPr="00EA1CDA">
        <w:rPr>
          <w:color w:val="000000" w:themeColor="text1"/>
          <w:sz w:val="28"/>
          <w:szCs w:val="28"/>
        </w:rPr>
        <w:t>que</w:t>
      </w:r>
      <w:r w:rsidR="00F80E40" w:rsidRPr="00EA1CDA">
        <w:rPr>
          <w:color w:val="000000" w:themeColor="text1"/>
          <w:sz w:val="28"/>
          <w:szCs w:val="28"/>
        </w:rPr>
        <w:t>,</w:t>
      </w:r>
      <w:r w:rsidRPr="00EA1CDA">
        <w:rPr>
          <w:color w:val="000000" w:themeColor="text1"/>
          <w:sz w:val="28"/>
          <w:szCs w:val="28"/>
        </w:rPr>
        <w:t xml:space="preserve"> en cumplimiento de su labor de promoción, protección y garantía de los derechos humanos, acompañe a los accionantes durante el trámite de revisión y refiera a esta </w:t>
      </w:r>
      <w:r w:rsidR="00501860" w:rsidRPr="00EA1CDA">
        <w:rPr>
          <w:color w:val="000000" w:themeColor="text1"/>
          <w:sz w:val="28"/>
          <w:szCs w:val="28"/>
        </w:rPr>
        <w:t>Sala de Revisión</w:t>
      </w:r>
      <w:r w:rsidRPr="00EA1CDA">
        <w:rPr>
          <w:color w:val="000000" w:themeColor="text1"/>
          <w:sz w:val="28"/>
          <w:szCs w:val="28"/>
        </w:rPr>
        <w:t xml:space="preserve"> cualquier incumplimiento o evolución de los hechos de cada caso concreto, y presente </w:t>
      </w:r>
      <w:r w:rsidR="00501860" w:rsidRPr="00EA1CDA">
        <w:rPr>
          <w:color w:val="000000" w:themeColor="text1"/>
          <w:sz w:val="28"/>
          <w:szCs w:val="28"/>
        </w:rPr>
        <w:t xml:space="preserve">ante esta Sala </w:t>
      </w:r>
      <w:r w:rsidRPr="00EA1CDA">
        <w:rPr>
          <w:color w:val="000000" w:themeColor="text1"/>
          <w:sz w:val="28"/>
          <w:szCs w:val="28"/>
        </w:rPr>
        <w:t xml:space="preserve">el correspondiente informe de cumplimiento </w:t>
      </w:r>
      <w:r w:rsidR="00501860" w:rsidRPr="00EA1CDA">
        <w:rPr>
          <w:color w:val="000000" w:themeColor="text1"/>
          <w:sz w:val="28"/>
          <w:szCs w:val="28"/>
        </w:rPr>
        <w:t xml:space="preserve">en forma mensual, dentro de los primeros </w:t>
      </w:r>
      <w:r w:rsidR="003260B7" w:rsidRPr="00EA1CDA">
        <w:rPr>
          <w:color w:val="000000" w:themeColor="text1"/>
          <w:sz w:val="28"/>
          <w:szCs w:val="28"/>
        </w:rPr>
        <w:t xml:space="preserve">diez </w:t>
      </w:r>
      <w:r w:rsidR="00616DBF" w:rsidRPr="00EA1CDA">
        <w:rPr>
          <w:color w:val="000000" w:themeColor="text1"/>
          <w:sz w:val="28"/>
          <w:szCs w:val="28"/>
        </w:rPr>
        <w:t xml:space="preserve">(10) </w:t>
      </w:r>
      <w:r w:rsidR="00501860" w:rsidRPr="00EA1CDA">
        <w:rPr>
          <w:color w:val="000000" w:themeColor="text1"/>
          <w:sz w:val="28"/>
          <w:szCs w:val="28"/>
        </w:rPr>
        <w:t>días de cada mes</w:t>
      </w:r>
      <w:r w:rsidRPr="00EA1CDA">
        <w:rPr>
          <w:color w:val="000000" w:themeColor="text1"/>
          <w:sz w:val="28"/>
          <w:szCs w:val="28"/>
        </w:rPr>
        <w:t xml:space="preserve">. Para ello deberá establecer contacto directo y permanente con los accionantes, o con quienes los representen o agencien. </w:t>
      </w:r>
    </w:p>
    <w:p w14:paraId="75E300E0" w14:textId="77777777" w:rsidR="00A248D0" w:rsidRPr="00EA1CDA" w:rsidRDefault="00A248D0" w:rsidP="00A248D0">
      <w:pPr>
        <w:pStyle w:val="Prrafodelista"/>
        <w:pBdr>
          <w:top w:val="nil"/>
          <w:left w:val="nil"/>
          <w:bottom w:val="nil"/>
          <w:right w:val="nil"/>
          <w:between w:val="nil"/>
        </w:pBdr>
        <w:ind w:left="0"/>
        <w:jc w:val="both"/>
        <w:rPr>
          <w:color w:val="000000"/>
        </w:rPr>
      </w:pPr>
    </w:p>
    <w:p w14:paraId="6BE38C51" w14:textId="2FC2D955" w:rsidR="009F414B" w:rsidRPr="00EA1CDA" w:rsidRDefault="009F414B" w:rsidP="00944013">
      <w:pPr>
        <w:pStyle w:val="Prrafodelista"/>
        <w:numPr>
          <w:ilvl w:val="0"/>
          <w:numId w:val="5"/>
        </w:numPr>
        <w:pBdr>
          <w:top w:val="nil"/>
          <w:left w:val="nil"/>
          <w:bottom w:val="nil"/>
          <w:right w:val="nil"/>
          <w:between w:val="nil"/>
        </w:pBdr>
        <w:jc w:val="both"/>
        <w:rPr>
          <w:color w:val="000000"/>
        </w:rPr>
      </w:pPr>
      <w:r w:rsidRPr="00EA1CDA">
        <w:rPr>
          <w:b/>
          <w:bCs/>
          <w:color w:val="000000" w:themeColor="text1"/>
          <w:sz w:val="28"/>
          <w:szCs w:val="28"/>
        </w:rPr>
        <w:t xml:space="preserve">ORDENAR </w:t>
      </w:r>
      <w:r w:rsidRPr="00EA1CDA">
        <w:rPr>
          <w:color w:val="000000" w:themeColor="text1"/>
          <w:sz w:val="28"/>
          <w:szCs w:val="28"/>
        </w:rPr>
        <w:t>a</w:t>
      </w:r>
      <w:r w:rsidRPr="00EA1CDA">
        <w:rPr>
          <w:b/>
          <w:bCs/>
          <w:color w:val="000000" w:themeColor="text1"/>
          <w:sz w:val="28"/>
          <w:szCs w:val="28"/>
        </w:rPr>
        <w:t xml:space="preserve"> </w:t>
      </w:r>
      <w:r w:rsidRPr="00EA1CDA">
        <w:rPr>
          <w:color w:val="000000" w:themeColor="text1"/>
          <w:sz w:val="28"/>
          <w:szCs w:val="28"/>
        </w:rPr>
        <w:t>la Superintendencia Nacional de Salud que, en el marco de sus funciones de inspección, vigilancia y control, supervise de manera urgente el cumplimiento de las órdenes contenidas en esta providencia, en lo relacionado con la entrega de medicamentos.</w:t>
      </w:r>
      <w:r w:rsidR="000F2B9D" w:rsidRPr="00EA1CDA">
        <w:rPr>
          <w:color w:val="000000" w:themeColor="text1"/>
          <w:sz w:val="28"/>
          <w:szCs w:val="28"/>
        </w:rPr>
        <w:t xml:space="preserve"> </w:t>
      </w:r>
      <w:r w:rsidRPr="00EA1CDA">
        <w:rPr>
          <w:color w:val="000000" w:themeColor="text1"/>
          <w:sz w:val="28"/>
          <w:szCs w:val="28"/>
        </w:rPr>
        <w:t xml:space="preserve">Asimismo, deberá habilitar canales de seguimiento que garanticen la efectiva ejecución de dichas órdenes, con el fin de asegurar que los accionantes reciban los medicamentos prescritos </w:t>
      </w:r>
      <w:r w:rsidRPr="00EA1CDA">
        <w:rPr>
          <w:color w:val="000000" w:themeColor="text1"/>
          <w:sz w:val="28"/>
          <w:szCs w:val="28"/>
        </w:rPr>
        <w:lastRenderedPageBreak/>
        <w:t>por sus médicos tratantes, mientras se profiere una decisión definitiva</w:t>
      </w:r>
      <w:r w:rsidR="00944013" w:rsidRPr="00EA1CDA">
        <w:rPr>
          <w:color w:val="000000" w:themeColor="text1"/>
          <w:sz w:val="28"/>
          <w:szCs w:val="28"/>
        </w:rPr>
        <w:t>. Dentro de los primeros diez (10) días de cada mes, deberá presentar a</w:t>
      </w:r>
      <w:r w:rsidR="001C2C5C" w:rsidRPr="00EA1CDA">
        <w:rPr>
          <w:color w:val="000000" w:themeColor="text1"/>
          <w:sz w:val="28"/>
          <w:szCs w:val="28"/>
        </w:rPr>
        <w:t xml:space="preserve"> esta Sala </w:t>
      </w:r>
      <w:r w:rsidR="00944013" w:rsidRPr="00EA1CDA">
        <w:rPr>
          <w:color w:val="000000" w:themeColor="text1"/>
          <w:sz w:val="28"/>
          <w:szCs w:val="28"/>
        </w:rPr>
        <w:t xml:space="preserve">de Revisión </w:t>
      </w:r>
      <w:r w:rsidR="001C2C5C" w:rsidRPr="00EA1CDA">
        <w:rPr>
          <w:color w:val="000000" w:themeColor="text1"/>
          <w:sz w:val="28"/>
          <w:szCs w:val="28"/>
        </w:rPr>
        <w:t>el correspondiente informe de cumplimiento</w:t>
      </w:r>
      <w:r w:rsidR="00EB3459" w:rsidRPr="00EA1CDA">
        <w:rPr>
          <w:color w:val="000000" w:themeColor="text1"/>
          <w:sz w:val="28"/>
          <w:szCs w:val="28"/>
        </w:rPr>
        <w:t>.</w:t>
      </w:r>
    </w:p>
    <w:p w14:paraId="3B58DB05" w14:textId="77777777" w:rsidR="00077489" w:rsidRPr="00EA1CDA" w:rsidRDefault="00077489" w:rsidP="00326A8A">
      <w:pPr>
        <w:pStyle w:val="Prrafodelista"/>
        <w:pBdr>
          <w:top w:val="nil"/>
          <w:left w:val="nil"/>
          <w:bottom w:val="nil"/>
          <w:right w:val="nil"/>
          <w:between w:val="nil"/>
        </w:pBdr>
        <w:tabs>
          <w:tab w:val="left" w:pos="0"/>
        </w:tabs>
        <w:ind w:left="0"/>
        <w:jc w:val="both"/>
        <w:rPr>
          <w:color w:val="000000"/>
        </w:rPr>
      </w:pPr>
    </w:p>
    <w:p w14:paraId="630F978C" w14:textId="52AAC667" w:rsidR="00F34CE6" w:rsidRPr="00EA1CDA" w:rsidRDefault="00F34CE6" w:rsidP="00077489">
      <w:pPr>
        <w:pStyle w:val="Prrafodelista"/>
        <w:numPr>
          <w:ilvl w:val="0"/>
          <w:numId w:val="5"/>
        </w:numPr>
        <w:pBdr>
          <w:top w:val="nil"/>
          <w:left w:val="nil"/>
          <w:bottom w:val="nil"/>
          <w:right w:val="nil"/>
          <w:between w:val="nil"/>
        </w:pBdr>
        <w:tabs>
          <w:tab w:val="left" w:pos="0"/>
        </w:tabs>
        <w:jc w:val="both"/>
        <w:rPr>
          <w:color w:val="000000"/>
          <w:sz w:val="28"/>
          <w:szCs w:val="28"/>
        </w:rPr>
      </w:pPr>
      <w:r w:rsidRPr="00EA1CDA">
        <w:rPr>
          <w:color w:val="000000"/>
          <w:sz w:val="28"/>
          <w:szCs w:val="28"/>
        </w:rPr>
        <w:t xml:space="preserve">Por medio </w:t>
      </w:r>
      <w:r w:rsidRPr="00EA1CDA">
        <w:rPr>
          <w:color w:val="000000" w:themeColor="text1"/>
          <w:sz w:val="28"/>
          <w:szCs w:val="28"/>
        </w:rPr>
        <w:t xml:space="preserve">de la Secretaría General de la Corte Constitucional, </w:t>
      </w:r>
      <w:r w:rsidRPr="00EA1CDA">
        <w:rPr>
          <w:b/>
          <w:bCs/>
          <w:color w:val="000000" w:themeColor="text1"/>
          <w:sz w:val="28"/>
          <w:szCs w:val="28"/>
        </w:rPr>
        <w:t>REITERAR</w:t>
      </w:r>
      <w:r w:rsidRPr="00EA1CDA">
        <w:rPr>
          <w:color w:val="000000" w:themeColor="text1"/>
          <w:sz w:val="28"/>
          <w:szCs w:val="28"/>
        </w:rPr>
        <w:t xml:space="preserve"> los requerimientos de información y material probatorio hechos a los accionantes</w:t>
      </w:r>
      <w:r w:rsidRPr="00EA1CDA">
        <w:rPr>
          <w:rStyle w:val="Refdenotaalpie"/>
          <w:color w:val="000000" w:themeColor="text1"/>
          <w:sz w:val="28"/>
          <w:szCs w:val="28"/>
        </w:rPr>
        <w:footnoteReference w:id="62"/>
      </w:r>
      <w:r w:rsidRPr="00EA1CDA">
        <w:rPr>
          <w:color w:val="000000" w:themeColor="text1"/>
          <w:sz w:val="28"/>
          <w:szCs w:val="28"/>
        </w:rPr>
        <w:t xml:space="preserve"> dentro del presente trámite de revisión, para que, dentro de los cinco (5) días siguientes a la notificación de esta providencia y en caso de no haberlo hecho, se sirvan dar cumplimiento pleno a lo ordenado en los autos del 17 de marzo y 3 de abril de 2025.</w:t>
      </w:r>
    </w:p>
    <w:p w14:paraId="6835C6ED" w14:textId="77777777" w:rsidR="00F34CE6" w:rsidRPr="00EA1CDA" w:rsidRDefault="00F34CE6" w:rsidP="00F34CE6">
      <w:pPr>
        <w:pStyle w:val="Prrafodelista"/>
        <w:rPr>
          <w:color w:val="000000" w:themeColor="text1"/>
          <w:sz w:val="28"/>
          <w:szCs w:val="28"/>
        </w:rPr>
      </w:pPr>
    </w:p>
    <w:p w14:paraId="561D02C1" w14:textId="2CFAC89B" w:rsidR="009C7BA0" w:rsidRPr="00EA1CDA" w:rsidRDefault="009C7BA0" w:rsidP="00077489">
      <w:pPr>
        <w:pStyle w:val="Prrafodelista"/>
        <w:numPr>
          <w:ilvl w:val="0"/>
          <w:numId w:val="5"/>
        </w:numPr>
        <w:pBdr>
          <w:top w:val="nil"/>
          <w:left w:val="nil"/>
          <w:bottom w:val="nil"/>
          <w:right w:val="nil"/>
          <w:between w:val="nil"/>
        </w:pBdr>
        <w:tabs>
          <w:tab w:val="left" w:pos="0"/>
        </w:tabs>
        <w:jc w:val="both"/>
        <w:rPr>
          <w:color w:val="000000"/>
          <w:sz w:val="28"/>
          <w:szCs w:val="28"/>
        </w:rPr>
      </w:pPr>
      <w:r w:rsidRPr="00EA1CDA">
        <w:rPr>
          <w:color w:val="000000" w:themeColor="text1"/>
          <w:sz w:val="28"/>
          <w:szCs w:val="28"/>
        </w:rPr>
        <w:t xml:space="preserve">Por medio de la Secretaría General de la Corte Constitucional, </w:t>
      </w:r>
      <w:r w:rsidRPr="00EA1CDA">
        <w:rPr>
          <w:b/>
          <w:bCs/>
          <w:color w:val="000000" w:themeColor="text1"/>
          <w:sz w:val="28"/>
          <w:szCs w:val="28"/>
        </w:rPr>
        <w:t>CONMINAR</w:t>
      </w:r>
      <w:r w:rsidRPr="00EA1CDA">
        <w:rPr>
          <w:color w:val="000000" w:themeColor="text1"/>
          <w:sz w:val="28"/>
          <w:szCs w:val="28"/>
        </w:rPr>
        <w:t xml:space="preserve"> bajo </w:t>
      </w:r>
      <w:r w:rsidRPr="00EA1CDA">
        <w:rPr>
          <w:b/>
          <w:bCs/>
          <w:color w:val="000000" w:themeColor="text1"/>
          <w:sz w:val="28"/>
          <w:szCs w:val="28"/>
        </w:rPr>
        <w:t>APREMIO</w:t>
      </w:r>
      <w:r w:rsidRPr="00EA1CDA">
        <w:rPr>
          <w:color w:val="000000" w:themeColor="text1"/>
          <w:sz w:val="28"/>
          <w:szCs w:val="28"/>
        </w:rPr>
        <w:t xml:space="preserve"> a los accionados</w:t>
      </w:r>
      <w:r w:rsidR="0043727D" w:rsidRPr="00EA1CDA">
        <w:rPr>
          <w:color w:val="000000" w:themeColor="text1"/>
          <w:sz w:val="28"/>
          <w:szCs w:val="28"/>
        </w:rPr>
        <w:t xml:space="preserve">, vinculados </w:t>
      </w:r>
      <w:r w:rsidR="00704518" w:rsidRPr="00EA1CDA">
        <w:rPr>
          <w:color w:val="000000" w:themeColor="text1"/>
          <w:sz w:val="28"/>
          <w:szCs w:val="28"/>
        </w:rPr>
        <w:t>y demás intervinientes</w:t>
      </w:r>
      <w:r w:rsidR="00E80DCB" w:rsidRPr="00EA1CDA">
        <w:rPr>
          <w:rStyle w:val="Refdenotaalpie"/>
          <w:color w:val="000000" w:themeColor="text1"/>
          <w:sz w:val="28"/>
          <w:szCs w:val="28"/>
        </w:rPr>
        <w:footnoteReference w:id="63"/>
      </w:r>
      <w:r w:rsidRPr="00EA1CDA">
        <w:rPr>
          <w:color w:val="000000" w:themeColor="text1"/>
          <w:sz w:val="28"/>
          <w:szCs w:val="28"/>
        </w:rPr>
        <w:t xml:space="preserve"> dentro del presente trámite de revisión, para que, dentro de los </w:t>
      </w:r>
      <w:r w:rsidR="00C0319F" w:rsidRPr="00EA1CDA">
        <w:rPr>
          <w:color w:val="000000" w:themeColor="text1"/>
          <w:sz w:val="28"/>
          <w:szCs w:val="28"/>
        </w:rPr>
        <w:t>cinco</w:t>
      </w:r>
      <w:r w:rsidR="005F40CC" w:rsidRPr="00EA1CDA">
        <w:rPr>
          <w:color w:val="000000" w:themeColor="text1"/>
          <w:sz w:val="28"/>
          <w:szCs w:val="28"/>
        </w:rPr>
        <w:t xml:space="preserve"> (</w:t>
      </w:r>
      <w:r w:rsidR="00C0319F" w:rsidRPr="00EA1CDA">
        <w:rPr>
          <w:color w:val="000000" w:themeColor="text1"/>
          <w:sz w:val="28"/>
          <w:szCs w:val="28"/>
        </w:rPr>
        <w:t>5</w:t>
      </w:r>
      <w:r w:rsidR="005F40CC" w:rsidRPr="00EA1CDA">
        <w:rPr>
          <w:color w:val="000000" w:themeColor="text1"/>
          <w:sz w:val="28"/>
          <w:szCs w:val="28"/>
        </w:rPr>
        <w:t>)</w:t>
      </w:r>
      <w:r w:rsidRPr="00EA1CDA">
        <w:rPr>
          <w:color w:val="000000" w:themeColor="text1"/>
          <w:sz w:val="28"/>
          <w:szCs w:val="28"/>
        </w:rPr>
        <w:t xml:space="preserve"> días siguientes a la </w:t>
      </w:r>
      <w:r w:rsidR="005F40CC" w:rsidRPr="00EA1CDA">
        <w:rPr>
          <w:color w:val="000000" w:themeColor="text1"/>
          <w:sz w:val="28"/>
          <w:szCs w:val="28"/>
        </w:rPr>
        <w:t>notificación</w:t>
      </w:r>
      <w:r w:rsidRPr="00EA1CDA">
        <w:rPr>
          <w:color w:val="000000" w:themeColor="text1"/>
          <w:sz w:val="28"/>
          <w:szCs w:val="28"/>
        </w:rPr>
        <w:t xml:space="preserve"> de esta providencia y en caso de no haberlo hecho, se sirvan dar cumplimiento pleno a lo ordenado en </w:t>
      </w:r>
      <w:r w:rsidR="00404B61" w:rsidRPr="00EA1CDA">
        <w:rPr>
          <w:color w:val="000000" w:themeColor="text1"/>
          <w:sz w:val="28"/>
          <w:szCs w:val="28"/>
        </w:rPr>
        <w:t>los autos</w:t>
      </w:r>
      <w:r w:rsidRPr="00EA1CDA">
        <w:rPr>
          <w:color w:val="000000" w:themeColor="text1"/>
          <w:sz w:val="28"/>
          <w:szCs w:val="28"/>
        </w:rPr>
        <w:t xml:space="preserve"> del 17 de marzo</w:t>
      </w:r>
      <w:r w:rsidR="0097753B" w:rsidRPr="00EA1CDA">
        <w:rPr>
          <w:color w:val="000000" w:themeColor="text1"/>
          <w:sz w:val="28"/>
          <w:szCs w:val="28"/>
        </w:rPr>
        <w:t xml:space="preserve"> y 3 de abril</w:t>
      </w:r>
      <w:r w:rsidRPr="00EA1CDA">
        <w:rPr>
          <w:color w:val="000000" w:themeColor="text1"/>
          <w:sz w:val="28"/>
          <w:szCs w:val="28"/>
        </w:rPr>
        <w:t xml:space="preserve"> de 202</w:t>
      </w:r>
      <w:r w:rsidR="0005707A" w:rsidRPr="00EA1CDA">
        <w:rPr>
          <w:color w:val="000000" w:themeColor="text1"/>
          <w:sz w:val="28"/>
          <w:szCs w:val="28"/>
        </w:rPr>
        <w:t>5</w:t>
      </w:r>
      <w:r w:rsidR="00D14570" w:rsidRPr="00EA1CDA">
        <w:rPr>
          <w:color w:val="000000" w:themeColor="text1"/>
          <w:sz w:val="28"/>
          <w:szCs w:val="28"/>
        </w:rPr>
        <w:t>.</w:t>
      </w:r>
    </w:p>
    <w:p w14:paraId="56A1D0B8" w14:textId="77777777" w:rsidR="00074544" w:rsidRPr="00EA1CDA" w:rsidRDefault="00074544" w:rsidP="00DB6572">
      <w:pPr>
        <w:pStyle w:val="Prrafodelista"/>
        <w:rPr>
          <w:color w:val="000000"/>
          <w:sz w:val="28"/>
          <w:szCs w:val="28"/>
        </w:rPr>
      </w:pPr>
    </w:p>
    <w:p w14:paraId="1D5E33A0" w14:textId="5BFFEADD" w:rsidR="00DB6572" w:rsidRPr="00EA1CDA" w:rsidRDefault="00BB7F82" w:rsidP="00BB7F82">
      <w:pPr>
        <w:pStyle w:val="Prrafodelista"/>
        <w:widowControl w:val="0"/>
        <w:numPr>
          <w:ilvl w:val="0"/>
          <w:numId w:val="5"/>
        </w:numPr>
        <w:jc w:val="both"/>
        <w:rPr>
          <w:rFonts w:eastAsia="SimSun"/>
          <w:sz w:val="28"/>
          <w:szCs w:val="28"/>
          <w:lang w:eastAsia="es-ES"/>
        </w:rPr>
      </w:pPr>
      <w:r w:rsidRPr="00EA1CDA">
        <w:rPr>
          <w:rFonts w:eastAsia="SimSun"/>
          <w:b/>
          <w:bCs/>
          <w:sz w:val="28"/>
          <w:szCs w:val="28"/>
          <w:lang w:eastAsia="es-ES"/>
        </w:rPr>
        <w:t>ADVERTIR</w:t>
      </w:r>
      <w:r w:rsidRPr="00EA1CDA">
        <w:rPr>
          <w:rFonts w:eastAsia="SimSun"/>
          <w:sz w:val="28"/>
          <w:szCs w:val="28"/>
          <w:lang w:eastAsia="es-ES"/>
        </w:rPr>
        <w:t> a los intervinientes dentro del presente trámite</w:t>
      </w:r>
      <w:r w:rsidR="00512ACE" w:rsidRPr="00EA1CDA">
        <w:rPr>
          <w:rFonts w:eastAsia="SimSun"/>
          <w:sz w:val="28"/>
          <w:szCs w:val="28"/>
          <w:lang w:eastAsia="es-ES"/>
        </w:rPr>
        <w:t>,</w:t>
      </w:r>
      <w:r w:rsidRPr="00EA1CDA">
        <w:rPr>
          <w:rFonts w:eastAsia="SimSun"/>
          <w:sz w:val="28"/>
          <w:szCs w:val="28"/>
          <w:lang w:eastAsia="es-ES"/>
        </w:rPr>
        <w:t xml:space="preserve"> </w:t>
      </w:r>
      <w:r w:rsidR="00D54E22" w:rsidRPr="00EA1CDA">
        <w:rPr>
          <w:rFonts w:eastAsia="SimSun"/>
          <w:sz w:val="28"/>
          <w:szCs w:val="28"/>
          <w:lang w:eastAsia="es-ES"/>
        </w:rPr>
        <w:t xml:space="preserve">referidos </w:t>
      </w:r>
      <w:r w:rsidR="00776F29" w:rsidRPr="00EA1CDA">
        <w:rPr>
          <w:rFonts w:eastAsia="SimSun"/>
          <w:sz w:val="28"/>
          <w:szCs w:val="28"/>
          <w:lang w:eastAsia="es-ES"/>
        </w:rPr>
        <w:t>e</w:t>
      </w:r>
      <w:r w:rsidR="00656194" w:rsidRPr="00EA1CDA">
        <w:rPr>
          <w:rFonts w:eastAsia="SimSun"/>
          <w:sz w:val="28"/>
          <w:szCs w:val="28"/>
          <w:lang w:eastAsia="es-ES"/>
        </w:rPr>
        <w:t xml:space="preserve">n </w:t>
      </w:r>
      <w:r w:rsidR="00776F29" w:rsidRPr="00EA1CDA">
        <w:rPr>
          <w:rFonts w:eastAsia="SimSun"/>
          <w:sz w:val="28"/>
          <w:szCs w:val="28"/>
          <w:lang w:eastAsia="es-ES"/>
        </w:rPr>
        <w:t>l</w:t>
      </w:r>
      <w:r w:rsidR="00656194" w:rsidRPr="00EA1CDA">
        <w:rPr>
          <w:rFonts w:eastAsia="SimSun"/>
          <w:sz w:val="28"/>
          <w:szCs w:val="28"/>
          <w:lang w:eastAsia="es-ES"/>
        </w:rPr>
        <w:t>os</w:t>
      </w:r>
      <w:r w:rsidR="00776F29" w:rsidRPr="00EA1CDA">
        <w:rPr>
          <w:rFonts w:eastAsia="SimSun"/>
          <w:sz w:val="28"/>
          <w:szCs w:val="28"/>
          <w:lang w:eastAsia="es-ES"/>
        </w:rPr>
        <w:t xml:space="preserve"> ordinal</w:t>
      </w:r>
      <w:r w:rsidR="00656194" w:rsidRPr="00EA1CDA">
        <w:rPr>
          <w:rFonts w:eastAsia="SimSun"/>
          <w:sz w:val="28"/>
          <w:szCs w:val="28"/>
          <w:lang w:eastAsia="es-ES"/>
        </w:rPr>
        <w:t>es noveno y</w:t>
      </w:r>
      <w:r w:rsidR="00F34CE6" w:rsidRPr="00EA1CDA">
        <w:rPr>
          <w:rFonts w:eastAsia="SimSun"/>
          <w:sz w:val="28"/>
          <w:szCs w:val="28"/>
          <w:lang w:eastAsia="es-ES"/>
        </w:rPr>
        <w:t xml:space="preserve"> décimo</w:t>
      </w:r>
      <w:r w:rsidR="00D54E22" w:rsidRPr="00EA1CDA">
        <w:rPr>
          <w:rFonts w:eastAsia="SimSun"/>
          <w:sz w:val="28"/>
          <w:szCs w:val="28"/>
          <w:lang w:eastAsia="es-ES"/>
        </w:rPr>
        <w:t xml:space="preserve"> de esta providencia</w:t>
      </w:r>
      <w:r w:rsidR="001065EB" w:rsidRPr="00EA1CDA">
        <w:rPr>
          <w:rFonts w:eastAsia="SimSun"/>
          <w:sz w:val="28"/>
          <w:szCs w:val="28"/>
          <w:lang w:eastAsia="es-ES"/>
        </w:rPr>
        <w:t>,</w:t>
      </w:r>
      <w:r w:rsidR="00F34CE6" w:rsidRPr="00EA1CDA">
        <w:rPr>
          <w:rFonts w:eastAsia="SimSun"/>
          <w:sz w:val="28"/>
          <w:szCs w:val="28"/>
          <w:lang w:eastAsia="es-ES"/>
        </w:rPr>
        <w:t xml:space="preserve"> acerca de la naturaleza de</w:t>
      </w:r>
      <w:r w:rsidRPr="00EA1CDA">
        <w:rPr>
          <w:rFonts w:eastAsia="SimSun"/>
          <w:sz w:val="28"/>
          <w:szCs w:val="28"/>
          <w:lang w:eastAsia="es-ES"/>
        </w:rPr>
        <w:t xml:space="preserve"> los requerimientos probatorios </w:t>
      </w:r>
      <w:r w:rsidR="00F34CE6" w:rsidRPr="00EA1CDA">
        <w:rPr>
          <w:rFonts w:eastAsia="SimSun"/>
          <w:sz w:val="28"/>
          <w:szCs w:val="28"/>
          <w:lang w:eastAsia="es-ES"/>
        </w:rPr>
        <w:t>realizados por</w:t>
      </w:r>
      <w:r w:rsidRPr="00EA1CDA">
        <w:rPr>
          <w:rFonts w:eastAsia="SimSun"/>
          <w:sz w:val="28"/>
          <w:szCs w:val="28"/>
          <w:lang w:eastAsia="es-ES"/>
        </w:rPr>
        <w:t xml:space="preserve"> esta Corporación en el marco de los procesos de tutela, </w:t>
      </w:r>
      <w:r w:rsidR="00776F29" w:rsidRPr="00EA1CDA">
        <w:rPr>
          <w:rFonts w:eastAsia="SimSun"/>
          <w:sz w:val="28"/>
          <w:szCs w:val="28"/>
          <w:lang w:eastAsia="es-ES"/>
        </w:rPr>
        <w:t>así como de los poderes correccionales con los que cuenta el juez de tutela</w:t>
      </w:r>
      <w:r w:rsidR="00656194" w:rsidRPr="00EA1CDA">
        <w:rPr>
          <w:rFonts w:eastAsia="SimSun"/>
          <w:sz w:val="28"/>
          <w:szCs w:val="28"/>
          <w:lang w:eastAsia="es-ES"/>
        </w:rPr>
        <w:t>,</w:t>
      </w:r>
      <w:r w:rsidR="00776F29" w:rsidRPr="00EA1CDA">
        <w:rPr>
          <w:rFonts w:eastAsia="SimSun"/>
          <w:sz w:val="28"/>
          <w:szCs w:val="28"/>
          <w:lang w:eastAsia="es-ES"/>
        </w:rPr>
        <w:t xml:space="preserve"> </w:t>
      </w:r>
      <w:r w:rsidR="00F34CE6" w:rsidRPr="00EA1CDA">
        <w:rPr>
          <w:rFonts w:eastAsia="SimSun"/>
          <w:sz w:val="28"/>
          <w:szCs w:val="28"/>
          <w:lang w:eastAsia="es-ES"/>
        </w:rPr>
        <w:t>de conformidad con</w:t>
      </w:r>
      <w:r w:rsidRPr="00EA1CDA">
        <w:rPr>
          <w:rFonts w:eastAsia="SimSun"/>
          <w:sz w:val="28"/>
          <w:szCs w:val="28"/>
          <w:lang w:eastAsia="es-ES"/>
        </w:rPr>
        <w:t xml:space="preserve"> </w:t>
      </w:r>
      <w:r w:rsidR="001B2F99" w:rsidRPr="00EA1CDA">
        <w:rPr>
          <w:rFonts w:eastAsia="SimSun"/>
          <w:sz w:val="28"/>
          <w:szCs w:val="28"/>
          <w:lang w:eastAsia="es-ES"/>
        </w:rPr>
        <w:t xml:space="preserve">los artículos </w:t>
      </w:r>
      <w:r w:rsidRPr="00EA1CDA">
        <w:rPr>
          <w:rFonts w:eastAsia="SimSun"/>
          <w:sz w:val="28"/>
          <w:szCs w:val="28"/>
          <w:lang w:eastAsia="es-ES"/>
        </w:rPr>
        <w:t>19 del Decreto 2591 de 1991</w:t>
      </w:r>
      <w:r w:rsidR="001B2F99" w:rsidRPr="00EA1CDA">
        <w:rPr>
          <w:rFonts w:eastAsia="SimSun"/>
          <w:sz w:val="28"/>
          <w:szCs w:val="28"/>
          <w:lang w:eastAsia="es-ES"/>
        </w:rPr>
        <w:t xml:space="preserve">, </w:t>
      </w:r>
      <w:r w:rsidR="002708C9" w:rsidRPr="00EA1CDA">
        <w:rPr>
          <w:rFonts w:eastAsia="SimSun"/>
          <w:sz w:val="28"/>
          <w:szCs w:val="28"/>
          <w:lang w:eastAsia="es-ES"/>
        </w:rPr>
        <w:t>50 del Decreto 2067 de 1991</w:t>
      </w:r>
      <w:r w:rsidR="001B2F99" w:rsidRPr="00EA1CDA">
        <w:rPr>
          <w:rFonts w:eastAsia="SimSun"/>
          <w:sz w:val="28"/>
          <w:szCs w:val="28"/>
          <w:lang w:eastAsia="es-ES"/>
        </w:rPr>
        <w:t xml:space="preserve"> y </w:t>
      </w:r>
      <w:r w:rsidR="0085677E" w:rsidRPr="00EA1CDA">
        <w:rPr>
          <w:rFonts w:eastAsia="SimSun"/>
          <w:sz w:val="28"/>
          <w:szCs w:val="28"/>
          <w:lang w:eastAsia="es-ES"/>
        </w:rPr>
        <w:t>60A de la Ley 270 de 1996</w:t>
      </w:r>
      <w:r w:rsidRPr="00EA1CDA">
        <w:rPr>
          <w:rFonts w:eastAsia="SimSun"/>
          <w:sz w:val="28"/>
          <w:szCs w:val="28"/>
          <w:lang w:eastAsia="es-ES"/>
        </w:rPr>
        <w:t>.</w:t>
      </w:r>
    </w:p>
    <w:p w14:paraId="24D4E2B6" w14:textId="77777777" w:rsidR="00C72C4C" w:rsidRPr="00EA1CDA" w:rsidRDefault="00C72C4C" w:rsidP="00C72C4C">
      <w:pPr>
        <w:pStyle w:val="Prrafodelista"/>
        <w:rPr>
          <w:color w:val="000000"/>
          <w:sz w:val="28"/>
          <w:szCs w:val="28"/>
        </w:rPr>
      </w:pPr>
    </w:p>
    <w:p w14:paraId="2EDB0ED6" w14:textId="5550012D" w:rsidR="00C72C4C" w:rsidRPr="00EA1CDA" w:rsidRDefault="00C72C4C" w:rsidP="00C72C4C">
      <w:pPr>
        <w:pStyle w:val="Prrafodelista"/>
        <w:numPr>
          <w:ilvl w:val="0"/>
          <w:numId w:val="5"/>
        </w:numPr>
        <w:pBdr>
          <w:top w:val="nil"/>
          <w:left w:val="nil"/>
          <w:bottom w:val="nil"/>
          <w:right w:val="nil"/>
          <w:between w:val="nil"/>
        </w:pBdr>
        <w:tabs>
          <w:tab w:val="left" w:pos="0"/>
        </w:tabs>
        <w:jc w:val="both"/>
        <w:rPr>
          <w:color w:val="000000"/>
          <w:sz w:val="28"/>
          <w:szCs w:val="28"/>
        </w:rPr>
      </w:pPr>
      <w:r w:rsidRPr="00EA1CDA">
        <w:rPr>
          <w:color w:val="000000" w:themeColor="text1"/>
          <w:sz w:val="28"/>
          <w:szCs w:val="28"/>
        </w:rPr>
        <w:t xml:space="preserve">Por medio de la Secretaría General de la Corte Constitucional, </w:t>
      </w:r>
      <w:r w:rsidRPr="00EA1CDA">
        <w:rPr>
          <w:b/>
          <w:bCs/>
          <w:color w:val="000000" w:themeColor="text1"/>
          <w:sz w:val="28"/>
          <w:szCs w:val="28"/>
        </w:rPr>
        <w:t>REITERAR</w:t>
      </w:r>
      <w:r w:rsidRPr="00EA1CDA">
        <w:rPr>
          <w:color w:val="000000" w:themeColor="text1"/>
          <w:sz w:val="28"/>
          <w:szCs w:val="28"/>
        </w:rPr>
        <w:t xml:space="preserve"> la invitación </w:t>
      </w:r>
      <w:r w:rsidR="00AB6CB1" w:rsidRPr="00EA1CDA">
        <w:rPr>
          <w:color w:val="000000" w:themeColor="text1"/>
          <w:sz w:val="28"/>
          <w:szCs w:val="28"/>
        </w:rPr>
        <w:t xml:space="preserve">efectuada en el ordinal </w:t>
      </w:r>
      <w:r w:rsidR="00217DE1" w:rsidRPr="00EA1CDA">
        <w:rPr>
          <w:color w:val="000000" w:themeColor="text1"/>
          <w:sz w:val="28"/>
          <w:szCs w:val="28"/>
        </w:rPr>
        <w:t xml:space="preserve">sexto de la parte resolutiva </w:t>
      </w:r>
      <w:r w:rsidR="00AB6CB1" w:rsidRPr="00EA1CDA">
        <w:rPr>
          <w:color w:val="000000" w:themeColor="text1"/>
          <w:sz w:val="28"/>
          <w:szCs w:val="28"/>
        </w:rPr>
        <w:t xml:space="preserve">del </w:t>
      </w:r>
      <w:r w:rsidR="00217DE1" w:rsidRPr="00EA1CDA">
        <w:rPr>
          <w:color w:val="000000" w:themeColor="text1"/>
          <w:sz w:val="28"/>
          <w:szCs w:val="28"/>
        </w:rPr>
        <w:t>A</w:t>
      </w:r>
      <w:r w:rsidR="00AB6CB1" w:rsidRPr="00EA1CDA">
        <w:rPr>
          <w:color w:val="000000" w:themeColor="text1"/>
          <w:sz w:val="28"/>
          <w:szCs w:val="28"/>
        </w:rPr>
        <w:t>uto del 17 de marzo de 2025</w:t>
      </w:r>
      <w:r w:rsidRPr="00EA1CDA">
        <w:rPr>
          <w:rStyle w:val="Refdenotaalpie"/>
          <w:color w:val="000000" w:themeColor="text1"/>
          <w:sz w:val="28"/>
          <w:szCs w:val="28"/>
        </w:rPr>
        <w:footnoteReference w:id="64"/>
      </w:r>
      <w:r w:rsidRPr="00EA1CDA">
        <w:rPr>
          <w:color w:val="000000" w:themeColor="text1"/>
          <w:sz w:val="28"/>
          <w:szCs w:val="28"/>
        </w:rPr>
        <w:t xml:space="preserve">, para que, dentro de los </w:t>
      </w:r>
      <w:r w:rsidR="0060684A" w:rsidRPr="00EA1CDA">
        <w:rPr>
          <w:color w:val="000000" w:themeColor="text1"/>
          <w:sz w:val="28"/>
          <w:szCs w:val="28"/>
        </w:rPr>
        <w:t>cinco</w:t>
      </w:r>
      <w:r w:rsidRPr="00EA1CDA">
        <w:rPr>
          <w:color w:val="000000" w:themeColor="text1"/>
          <w:sz w:val="28"/>
          <w:szCs w:val="28"/>
        </w:rPr>
        <w:t xml:space="preserve"> (</w:t>
      </w:r>
      <w:r w:rsidR="0060684A" w:rsidRPr="00EA1CDA">
        <w:rPr>
          <w:color w:val="000000" w:themeColor="text1"/>
          <w:sz w:val="28"/>
          <w:szCs w:val="28"/>
        </w:rPr>
        <w:t>5</w:t>
      </w:r>
      <w:r w:rsidRPr="00EA1CDA">
        <w:rPr>
          <w:color w:val="000000" w:themeColor="text1"/>
          <w:sz w:val="28"/>
          <w:szCs w:val="28"/>
        </w:rPr>
        <w:t xml:space="preserve">) días siguientes a la notificación de esta providencia, </w:t>
      </w:r>
      <w:r w:rsidR="00F047BC" w:rsidRPr="00EA1CDA">
        <w:rPr>
          <w:color w:val="000000" w:themeColor="text1"/>
          <w:sz w:val="28"/>
          <w:szCs w:val="28"/>
        </w:rPr>
        <w:t>resuelvan el cuestionario planteado</w:t>
      </w:r>
      <w:r w:rsidRPr="00EA1CDA">
        <w:rPr>
          <w:color w:val="000000" w:themeColor="text1"/>
          <w:sz w:val="28"/>
          <w:szCs w:val="28"/>
        </w:rPr>
        <w:t>.</w:t>
      </w:r>
    </w:p>
    <w:p w14:paraId="634675E4" w14:textId="77777777" w:rsidR="009C7BA0" w:rsidRPr="00EA1CDA" w:rsidRDefault="009C7BA0" w:rsidP="009C7BA0">
      <w:pPr>
        <w:pStyle w:val="Prrafodelista"/>
        <w:pBdr>
          <w:top w:val="nil"/>
          <w:left w:val="nil"/>
          <w:bottom w:val="nil"/>
          <w:right w:val="nil"/>
          <w:between w:val="nil"/>
        </w:pBdr>
        <w:tabs>
          <w:tab w:val="left" w:pos="0"/>
        </w:tabs>
        <w:ind w:left="0"/>
        <w:jc w:val="both"/>
        <w:rPr>
          <w:color w:val="000000"/>
        </w:rPr>
      </w:pPr>
    </w:p>
    <w:p w14:paraId="6759AC7C" w14:textId="676D97F6" w:rsidR="00E56995" w:rsidRPr="00EA1CDA" w:rsidRDefault="003260B7" w:rsidP="00E56995">
      <w:pPr>
        <w:pStyle w:val="Prrafodelista"/>
        <w:numPr>
          <w:ilvl w:val="0"/>
          <w:numId w:val="5"/>
        </w:numPr>
        <w:pBdr>
          <w:top w:val="nil"/>
          <w:left w:val="nil"/>
          <w:bottom w:val="nil"/>
          <w:right w:val="nil"/>
          <w:between w:val="nil"/>
        </w:pBdr>
        <w:tabs>
          <w:tab w:val="left" w:pos="0"/>
        </w:tabs>
        <w:jc w:val="both"/>
        <w:rPr>
          <w:color w:val="000000"/>
        </w:rPr>
      </w:pPr>
      <w:r w:rsidRPr="00EA1CDA">
        <w:rPr>
          <w:color w:val="000000"/>
          <w:sz w:val="28"/>
          <w:szCs w:val="28"/>
        </w:rPr>
        <w:lastRenderedPageBreak/>
        <w:t xml:space="preserve">A través de la Secretaría General de la Corte Constitucional, </w:t>
      </w:r>
      <w:r w:rsidRPr="00EA1CDA">
        <w:rPr>
          <w:b/>
          <w:bCs/>
          <w:color w:val="000000"/>
          <w:sz w:val="28"/>
          <w:szCs w:val="28"/>
        </w:rPr>
        <w:t>REMITIR</w:t>
      </w:r>
      <w:r w:rsidRPr="00EA1CDA">
        <w:rPr>
          <w:color w:val="000000"/>
          <w:sz w:val="28"/>
          <w:szCs w:val="28"/>
        </w:rPr>
        <w:t xml:space="preserve"> </w:t>
      </w:r>
      <w:r w:rsidR="0091111E" w:rsidRPr="00EA1CDA">
        <w:rPr>
          <w:color w:val="000000"/>
          <w:sz w:val="28"/>
          <w:szCs w:val="28"/>
        </w:rPr>
        <w:t xml:space="preserve">el presente auto </w:t>
      </w:r>
      <w:r w:rsidRPr="00EA1CDA">
        <w:rPr>
          <w:color w:val="000000"/>
          <w:sz w:val="28"/>
          <w:szCs w:val="28"/>
        </w:rPr>
        <w:t xml:space="preserve">a la Sala Especial de Seguimiento a la Sentencia T-760 de 2008, para su conocimiento y demás fines pertinentes y </w:t>
      </w:r>
      <w:r w:rsidRPr="00EA1CDA">
        <w:rPr>
          <w:b/>
          <w:bCs/>
          <w:color w:val="000000"/>
          <w:sz w:val="28"/>
          <w:szCs w:val="28"/>
        </w:rPr>
        <w:t>DISPONER</w:t>
      </w:r>
      <w:r w:rsidRPr="00EA1CDA">
        <w:rPr>
          <w:color w:val="000000"/>
          <w:sz w:val="28"/>
          <w:szCs w:val="28"/>
        </w:rPr>
        <w:t xml:space="preserve"> que el despacho sustanciador adopte las medidas probatorias y de coordinación necesarias con esa instancia judicial.  </w:t>
      </w:r>
    </w:p>
    <w:p w14:paraId="196C6594" w14:textId="77777777" w:rsidR="003260B7" w:rsidRPr="00EA1CDA" w:rsidRDefault="003260B7" w:rsidP="00616DBF">
      <w:pPr>
        <w:pStyle w:val="Prrafodelista"/>
        <w:rPr>
          <w:b/>
          <w:color w:val="000000"/>
          <w:sz w:val="28"/>
          <w:szCs w:val="28"/>
        </w:rPr>
      </w:pPr>
    </w:p>
    <w:p w14:paraId="36CF6BE9" w14:textId="4A285B9A" w:rsidR="00077489" w:rsidRPr="00EA1CDA" w:rsidRDefault="00077489" w:rsidP="00077489">
      <w:pPr>
        <w:pStyle w:val="Prrafodelista"/>
        <w:numPr>
          <w:ilvl w:val="0"/>
          <w:numId w:val="5"/>
        </w:numPr>
        <w:pBdr>
          <w:top w:val="nil"/>
          <w:left w:val="nil"/>
          <w:bottom w:val="nil"/>
          <w:right w:val="nil"/>
          <w:between w:val="nil"/>
        </w:pBdr>
        <w:tabs>
          <w:tab w:val="left" w:pos="0"/>
        </w:tabs>
        <w:jc w:val="both"/>
        <w:rPr>
          <w:color w:val="000000"/>
        </w:rPr>
      </w:pPr>
      <w:r w:rsidRPr="00EA1CDA">
        <w:rPr>
          <w:b/>
          <w:color w:val="000000"/>
          <w:sz w:val="28"/>
          <w:szCs w:val="28"/>
        </w:rPr>
        <w:t>SUSPENDER</w:t>
      </w:r>
      <w:r w:rsidRPr="00EA1CDA">
        <w:rPr>
          <w:color w:val="000000"/>
          <w:sz w:val="28"/>
          <w:szCs w:val="28"/>
        </w:rPr>
        <w:t xml:space="preserve"> los términos para fallar </w:t>
      </w:r>
      <w:r w:rsidR="003260B7" w:rsidRPr="00EA1CDA">
        <w:rPr>
          <w:color w:val="000000"/>
          <w:sz w:val="28"/>
          <w:szCs w:val="28"/>
        </w:rPr>
        <w:t xml:space="preserve">este </w:t>
      </w:r>
      <w:r w:rsidRPr="00EA1CDA">
        <w:rPr>
          <w:color w:val="000000"/>
          <w:sz w:val="28"/>
          <w:szCs w:val="28"/>
        </w:rPr>
        <w:t>proceso de</w:t>
      </w:r>
      <w:r w:rsidR="003260B7" w:rsidRPr="00EA1CDA">
        <w:rPr>
          <w:color w:val="000000"/>
          <w:sz w:val="28"/>
          <w:szCs w:val="28"/>
        </w:rPr>
        <w:t xml:space="preserve"> revisión </w:t>
      </w:r>
      <w:r w:rsidRPr="00EA1CDA">
        <w:rPr>
          <w:color w:val="000000"/>
          <w:sz w:val="28"/>
          <w:szCs w:val="28"/>
        </w:rPr>
        <w:t xml:space="preserve">por tres (3) meses, contados a partir de la </w:t>
      </w:r>
      <w:r w:rsidR="00626E4D" w:rsidRPr="00EA1CDA">
        <w:rPr>
          <w:color w:val="000000"/>
          <w:sz w:val="28"/>
          <w:szCs w:val="28"/>
        </w:rPr>
        <w:t>fecha</w:t>
      </w:r>
      <w:r w:rsidRPr="00EA1CDA">
        <w:rPr>
          <w:color w:val="000000"/>
          <w:sz w:val="28"/>
          <w:szCs w:val="28"/>
        </w:rPr>
        <w:t xml:space="preserve"> del presente auto, para lo cual se ordena a la Secretaría General de la Corte Constitucional adoptar las anotaciones y medidas del caso.</w:t>
      </w:r>
    </w:p>
    <w:p w14:paraId="6D43DAF8" w14:textId="77777777" w:rsidR="00937C1C" w:rsidRPr="00EA1CDA" w:rsidRDefault="00937C1C" w:rsidP="00937C1C">
      <w:pPr>
        <w:pStyle w:val="Prrafodelista"/>
        <w:pBdr>
          <w:top w:val="nil"/>
          <w:left w:val="nil"/>
          <w:bottom w:val="nil"/>
          <w:right w:val="nil"/>
          <w:between w:val="nil"/>
        </w:pBdr>
        <w:tabs>
          <w:tab w:val="left" w:pos="0"/>
        </w:tabs>
        <w:ind w:left="0"/>
        <w:jc w:val="both"/>
        <w:rPr>
          <w:color w:val="000000"/>
        </w:rPr>
      </w:pPr>
    </w:p>
    <w:p w14:paraId="247E654C" w14:textId="5129DED8" w:rsidR="00937C1C" w:rsidRPr="00EA1CDA" w:rsidRDefault="00937C1C" w:rsidP="00937C1C">
      <w:pPr>
        <w:pStyle w:val="Prrafodelista"/>
        <w:widowControl w:val="0"/>
        <w:numPr>
          <w:ilvl w:val="0"/>
          <w:numId w:val="5"/>
        </w:numPr>
        <w:jc w:val="both"/>
        <w:rPr>
          <w:sz w:val="28"/>
          <w:szCs w:val="28"/>
          <w:lang w:eastAsia="es-ES"/>
        </w:rPr>
      </w:pPr>
      <w:r w:rsidRPr="00EA1CDA">
        <w:rPr>
          <w:b/>
          <w:bCs/>
          <w:sz w:val="28"/>
          <w:szCs w:val="28"/>
          <w:lang w:eastAsia="es-ES"/>
        </w:rPr>
        <w:t>ORDENAR</w:t>
      </w:r>
      <w:r w:rsidRPr="00EA1CDA">
        <w:rPr>
          <w:sz w:val="28"/>
          <w:szCs w:val="28"/>
          <w:lang w:eastAsia="es-ES"/>
        </w:rPr>
        <w:t xml:space="preserve"> a la Secretaría General de la Corte Constitucional el manejo separado de los </w:t>
      </w:r>
      <w:r w:rsidR="00941CD0" w:rsidRPr="00EA1CDA">
        <w:rPr>
          <w:sz w:val="28"/>
          <w:szCs w:val="28"/>
          <w:lang w:eastAsia="es-ES"/>
        </w:rPr>
        <w:t>30</w:t>
      </w:r>
      <w:r w:rsidRPr="00EA1CDA">
        <w:rPr>
          <w:sz w:val="28"/>
          <w:szCs w:val="28"/>
          <w:lang w:eastAsia="es-ES"/>
        </w:rPr>
        <w:t xml:space="preserve"> expedientes acumulados de la referencia, con el fin de resguardar el derecho a la intimidad de los accionantes y la reserva de sus historias clínicas. </w:t>
      </w:r>
    </w:p>
    <w:p w14:paraId="6EE66157" w14:textId="77777777" w:rsidR="00600EE1" w:rsidRPr="00EA1CDA" w:rsidRDefault="00600EE1">
      <w:pPr>
        <w:pBdr>
          <w:top w:val="nil"/>
          <w:left w:val="nil"/>
          <w:bottom w:val="nil"/>
          <w:right w:val="nil"/>
          <w:between w:val="nil"/>
        </w:pBdr>
        <w:jc w:val="both"/>
        <w:rPr>
          <w:color w:val="000000"/>
          <w:sz w:val="28"/>
          <w:szCs w:val="28"/>
        </w:rPr>
      </w:pPr>
    </w:p>
    <w:p w14:paraId="760E5E37" w14:textId="36A579B9" w:rsidR="007D2582" w:rsidRPr="007D2582" w:rsidRDefault="00551339" w:rsidP="007D2582">
      <w:pPr>
        <w:pStyle w:val="Prrafodelista"/>
        <w:numPr>
          <w:ilvl w:val="0"/>
          <w:numId w:val="5"/>
        </w:numPr>
        <w:pBdr>
          <w:top w:val="nil"/>
          <w:left w:val="nil"/>
          <w:bottom w:val="nil"/>
          <w:right w:val="nil"/>
          <w:between w:val="nil"/>
        </w:pBdr>
        <w:tabs>
          <w:tab w:val="left" w:pos="0"/>
        </w:tabs>
        <w:jc w:val="both"/>
        <w:rPr>
          <w:color w:val="000000"/>
        </w:rPr>
      </w:pPr>
      <w:r w:rsidRPr="00EA1CDA">
        <w:rPr>
          <w:b/>
          <w:color w:val="000000"/>
          <w:sz w:val="28"/>
          <w:szCs w:val="28"/>
        </w:rPr>
        <w:t>ADVERTIR</w:t>
      </w:r>
      <w:r w:rsidRPr="00EA1CDA">
        <w:rPr>
          <w:color w:val="000000"/>
          <w:sz w:val="28"/>
          <w:szCs w:val="28"/>
        </w:rPr>
        <w:t xml:space="preserve"> a la Secretaría General de esta Corporación, a</w:t>
      </w:r>
      <w:r w:rsidR="003260B7" w:rsidRPr="00EA1CDA">
        <w:rPr>
          <w:color w:val="000000"/>
          <w:sz w:val="28"/>
          <w:szCs w:val="28"/>
        </w:rPr>
        <w:t>sí como a</w:t>
      </w:r>
      <w:r w:rsidRPr="00EA1CDA">
        <w:rPr>
          <w:color w:val="000000"/>
          <w:sz w:val="28"/>
          <w:szCs w:val="28"/>
        </w:rPr>
        <w:t xml:space="preserve"> las partes y personas oficiadas que la información del presente asunto de tutela es reservada, en vista de que alude a la historia clínica de quienes accionan. En consecuencia, todos los involucrados deben asegurar la reserva de la información y se abstendrán de reproducir, publicar o difundir por cualquier medio, oral, escrito, físico o digital esta providencia, su contenido y cualquier elemento asociado a este proceso. Al interior de las entidades públicas o privadas </w:t>
      </w:r>
      <w:r w:rsidR="003260B7" w:rsidRPr="00EA1CDA">
        <w:rPr>
          <w:color w:val="000000"/>
          <w:sz w:val="28"/>
          <w:szCs w:val="28"/>
        </w:rPr>
        <w:t>concernidas</w:t>
      </w:r>
      <w:r w:rsidRPr="00EA1CDA">
        <w:rPr>
          <w:color w:val="000000"/>
          <w:sz w:val="28"/>
          <w:szCs w:val="28"/>
        </w:rPr>
        <w:t>, se precisará que el contenido de este asunto es reservado y las comunicaciones y gestiones internas, convocarán únicamente a los funcionarios necesarios e impedirán la identificación de los actores por cualquier medio.</w:t>
      </w:r>
    </w:p>
    <w:p w14:paraId="05BBE720" w14:textId="77777777" w:rsidR="007D2582" w:rsidRPr="00EA1CDA" w:rsidRDefault="007D2582" w:rsidP="00616DBF">
      <w:pPr>
        <w:widowControl w:val="0"/>
        <w:pBdr>
          <w:top w:val="nil"/>
          <w:left w:val="nil"/>
          <w:bottom w:val="nil"/>
          <w:right w:val="nil"/>
          <w:between w:val="nil"/>
        </w:pBdr>
        <w:tabs>
          <w:tab w:val="left" w:pos="426"/>
          <w:tab w:val="left" w:pos="567"/>
        </w:tabs>
        <w:ind w:right="140"/>
        <w:jc w:val="both"/>
        <w:rPr>
          <w:color w:val="000000"/>
          <w:sz w:val="28"/>
          <w:szCs w:val="28"/>
        </w:rPr>
      </w:pPr>
    </w:p>
    <w:p w14:paraId="6EE66170" w14:textId="660A0434" w:rsidR="00600EE1" w:rsidRDefault="00947165" w:rsidP="001947DD">
      <w:pPr>
        <w:widowControl w:val="0"/>
        <w:tabs>
          <w:tab w:val="left" w:pos="8647"/>
        </w:tabs>
        <w:ind w:right="51"/>
        <w:jc w:val="both"/>
        <w:rPr>
          <w:sz w:val="28"/>
          <w:szCs w:val="28"/>
        </w:rPr>
      </w:pPr>
      <w:r w:rsidRPr="00EA1CDA">
        <w:rPr>
          <w:sz w:val="28"/>
          <w:szCs w:val="28"/>
        </w:rPr>
        <w:t>Notifíquese, c</w:t>
      </w:r>
      <w:r w:rsidR="00551339" w:rsidRPr="00EA1CDA">
        <w:rPr>
          <w:sz w:val="28"/>
          <w:szCs w:val="28"/>
        </w:rPr>
        <w:t>omuníquese y cúmplase,</w:t>
      </w:r>
    </w:p>
    <w:p w14:paraId="29501FC6" w14:textId="01DFC374" w:rsidR="00C53CCC" w:rsidRDefault="00C53CCC" w:rsidP="001947DD">
      <w:pPr>
        <w:widowControl w:val="0"/>
        <w:tabs>
          <w:tab w:val="left" w:pos="8647"/>
        </w:tabs>
        <w:ind w:right="51"/>
        <w:jc w:val="both"/>
        <w:rPr>
          <w:color w:val="000000"/>
          <w:sz w:val="28"/>
          <w:szCs w:val="28"/>
        </w:rPr>
      </w:pPr>
    </w:p>
    <w:p w14:paraId="0059E86D" w14:textId="51C50101" w:rsidR="00C53CCC" w:rsidRDefault="00C53CCC" w:rsidP="001947DD">
      <w:pPr>
        <w:widowControl w:val="0"/>
        <w:tabs>
          <w:tab w:val="left" w:pos="8647"/>
        </w:tabs>
        <w:ind w:right="51"/>
        <w:jc w:val="both"/>
        <w:rPr>
          <w:color w:val="000000"/>
          <w:sz w:val="28"/>
          <w:szCs w:val="28"/>
        </w:rPr>
      </w:pPr>
    </w:p>
    <w:p w14:paraId="009AE80E" w14:textId="3EB129B4" w:rsidR="00C53CCC" w:rsidRDefault="00C53CCC" w:rsidP="00C53CCC">
      <w:pPr>
        <w:widowControl w:val="0"/>
        <w:tabs>
          <w:tab w:val="left" w:pos="8647"/>
        </w:tabs>
        <w:ind w:right="51"/>
        <w:jc w:val="center"/>
        <w:rPr>
          <w:color w:val="000000"/>
          <w:sz w:val="28"/>
          <w:szCs w:val="28"/>
        </w:rPr>
      </w:pPr>
      <w:r w:rsidRPr="00C53CCC">
        <w:rPr>
          <w:color w:val="000000"/>
          <w:sz w:val="28"/>
          <w:szCs w:val="28"/>
        </w:rPr>
        <w:t>JUAN CARLOS CORTÉS GONZÁLEZ</w:t>
      </w:r>
    </w:p>
    <w:p w14:paraId="2D99BE3A" w14:textId="318FD974" w:rsidR="00C53CCC" w:rsidRPr="000E7DAF" w:rsidRDefault="00C53CCC" w:rsidP="00C53CCC">
      <w:pPr>
        <w:widowControl w:val="0"/>
        <w:tabs>
          <w:tab w:val="left" w:pos="8647"/>
        </w:tabs>
        <w:ind w:right="51"/>
        <w:jc w:val="center"/>
        <w:rPr>
          <w:color w:val="000000"/>
          <w:sz w:val="28"/>
          <w:szCs w:val="28"/>
          <w:lang w:val="it-IT"/>
        </w:rPr>
      </w:pPr>
      <w:r w:rsidRPr="000E7DAF">
        <w:rPr>
          <w:color w:val="000000"/>
          <w:sz w:val="28"/>
          <w:szCs w:val="28"/>
          <w:lang w:val="it-IT"/>
        </w:rPr>
        <w:t>Magistrado</w:t>
      </w:r>
    </w:p>
    <w:p w14:paraId="7695FD0C" w14:textId="39F552A4" w:rsidR="00C53CCC" w:rsidRPr="000E7DAF" w:rsidRDefault="00C53CCC" w:rsidP="00C53CCC">
      <w:pPr>
        <w:widowControl w:val="0"/>
        <w:tabs>
          <w:tab w:val="left" w:pos="8647"/>
        </w:tabs>
        <w:ind w:right="51"/>
        <w:jc w:val="center"/>
        <w:rPr>
          <w:color w:val="000000"/>
          <w:sz w:val="28"/>
          <w:szCs w:val="28"/>
          <w:lang w:val="it-IT"/>
        </w:rPr>
      </w:pPr>
    </w:p>
    <w:p w14:paraId="13704056" w14:textId="5460E627" w:rsidR="00C53CCC" w:rsidRPr="000E7DAF" w:rsidRDefault="00C53CCC" w:rsidP="00C53CCC">
      <w:pPr>
        <w:widowControl w:val="0"/>
        <w:tabs>
          <w:tab w:val="left" w:pos="8647"/>
        </w:tabs>
        <w:ind w:right="51"/>
        <w:jc w:val="center"/>
        <w:rPr>
          <w:color w:val="000000"/>
          <w:sz w:val="28"/>
          <w:szCs w:val="28"/>
          <w:lang w:val="it-IT"/>
        </w:rPr>
      </w:pPr>
    </w:p>
    <w:p w14:paraId="246A47E0" w14:textId="1C5430D2" w:rsidR="00C53CCC" w:rsidRPr="000E7DAF" w:rsidRDefault="00C53CCC" w:rsidP="00C53CCC">
      <w:pPr>
        <w:widowControl w:val="0"/>
        <w:tabs>
          <w:tab w:val="left" w:pos="8647"/>
        </w:tabs>
        <w:ind w:right="51"/>
        <w:jc w:val="center"/>
        <w:rPr>
          <w:color w:val="000000"/>
          <w:sz w:val="28"/>
          <w:szCs w:val="28"/>
          <w:lang w:val="it-IT"/>
        </w:rPr>
      </w:pPr>
    </w:p>
    <w:p w14:paraId="394C2A08" w14:textId="040BB414" w:rsidR="00C53CCC" w:rsidRPr="000E7DAF" w:rsidRDefault="00C53CCC" w:rsidP="00C53CCC">
      <w:pPr>
        <w:widowControl w:val="0"/>
        <w:tabs>
          <w:tab w:val="left" w:pos="8647"/>
        </w:tabs>
        <w:ind w:right="51"/>
        <w:jc w:val="center"/>
        <w:rPr>
          <w:color w:val="000000"/>
          <w:sz w:val="28"/>
          <w:szCs w:val="28"/>
          <w:lang w:val="it-IT"/>
        </w:rPr>
      </w:pPr>
      <w:r w:rsidRPr="000E7DAF">
        <w:rPr>
          <w:color w:val="000000"/>
          <w:sz w:val="28"/>
          <w:szCs w:val="28"/>
          <w:lang w:val="it-IT"/>
        </w:rPr>
        <w:t>DIANA FAJARDO RIVERA</w:t>
      </w:r>
    </w:p>
    <w:p w14:paraId="50082008" w14:textId="3CD5F87F" w:rsidR="00C53CCC" w:rsidRPr="000E7DAF" w:rsidRDefault="00C53CCC" w:rsidP="00C53CCC">
      <w:pPr>
        <w:widowControl w:val="0"/>
        <w:tabs>
          <w:tab w:val="left" w:pos="8647"/>
        </w:tabs>
        <w:ind w:right="51"/>
        <w:jc w:val="center"/>
        <w:rPr>
          <w:color w:val="000000"/>
          <w:sz w:val="28"/>
          <w:szCs w:val="28"/>
          <w:lang w:val="it-IT"/>
        </w:rPr>
      </w:pPr>
      <w:r w:rsidRPr="000E7DAF">
        <w:rPr>
          <w:color w:val="000000"/>
          <w:sz w:val="28"/>
          <w:szCs w:val="28"/>
          <w:lang w:val="it-IT"/>
        </w:rPr>
        <w:t>Magistrada</w:t>
      </w:r>
    </w:p>
    <w:p w14:paraId="77AAF673" w14:textId="65DD93E6" w:rsidR="00C53CCC" w:rsidRPr="000E7DAF" w:rsidRDefault="00C53CCC" w:rsidP="00C53CCC">
      <w:pPr>
        <w:widowControl w:val="0"/>
        <w:tabs>
          <w:tab w:val="left" w:pos="8647"/>
        </w:tabs>
        <w:ind w:right="51"/>
        <w:jc w:val="center"/>
        <w:rPr>
          <w:color w:val="000000"/>
          <w:sz w:val="28"/>
          <w:szCs w:val="28"/>
          <w:lang w:val="it-IT"/>
        </w:rPr>
      </w:pPr>
    </w:p>
    <w:p w14:paraId="007FB939" w14:textId="3EF16AF1" w:rsidR="00C53CCC" w:rsidRPr="000E7DAF" w:rsidRDefault="00C53CCC" w:rsidP="00C53CCC">
      <w:pPr>
        <w:widowControl w:val="0"/>
        <w:tabs>
          <w:tab w:val="left" w:pos="8647"/>
        </w:tabs>
        <w:ind w:right="51"/>
        <w:jc w:val="center"/>
        <w:rPr>
          <w:color w:val="000000"/>
          <w:sz w:val="28"/>
          <w:szCs w:val="28"/>
          <w:lang w:val="it-IT"/>
        </w:rPr>
      </w:pPr>
    </w:p>
    <w:p w14:paraId="4EA071F9" w14:textId="7C413B44" w:rsidR="00C53CCC" w:rsidRPr="000E7DAF" w:rsidRDefault="00C53CCC" w:rsidP="00C53CCC">
      <w:pPr>
        <w:widowControl w:val="0"/>
        <w:tabs>
          <w:tab w:val="left" w:pos="8647"/>
        </w:tabs>
        <w:ind w:right="51"/>
        <w:jc w:val="center"/>
        <w:rPr>
          <w:color w:val="000000"/>
          <w:sz w:val="28"/>
          <w:szCs w:val="28"/>
          <w:lang w:val="it-IT"/>
        </w:rPr>
      </w:pPr>
    </w:p>
    <w:p w14:paraId="2A38F361" w14:textId="091A2AC8" w:rsidR="00C53CCC" w:rsidRPr="000E7DAF" w:rsidRDefault="00C53CCC" w:rsidP="00C53CCC">
      <w:pPr>
        <w:widowControl w:val="0"/>
        <w:tabs>
          <w:tab w:val="left" w:pos="8647"/>
        </w:tabs>
        <w:ind w:right="51"/>
        <w:jc w:val="center"/>
        <w:rPr>
          <w:color w:val="000000"/>
          <w:sz w:val="28"/>
          <w:szCs w:val="28"/>
          <w:lang w:val="it-IT"/>
        </w:rPr>
      </w:pPr>
      <w:r w:rsidRPr="000E7DAF">
        <w:rPr>
          <w:color w:val="000000"/>
          <w:sz w:val="28"/>
          <w:szCs w:val="28"/>
          <w:lang w:val="it-IT"/>
        </w:rPr>
        <w:t>VLADIMIR FERNÁNDEZ ANDRADE</w:t>
      </w:r>
    </w:p>
    <w:p w14:paraId="4BE7E810" w14:textId="1AD41E6E" w:rsidR="00C53CCC" w:rsidRDefault="00C53CCC" w:rsidP="00C53CCC">
      <w:pPr>
        <w:widowControl w:val="0"/>
        <w:tabs>
          <w:tab w:val="left" w:pos="8647"/>
        </w:tabs>
        <w:ind w:right="51"/>
        <w:jc w:val="center"/>
        <w:rPr>
          <w:color w:val="000000"/>
          <w:sz w:val="28"/>
          <w:szCs w:val="28"/>
        </w:rPr>
      </w:pPr>
      <w:r w:rsidRPr="00C53CCC">
        <w:rPr>
          <w:color w:val="000000"/>
          <w:sz w:val="28"/>
          <w:szCs w:val="28"/>
        </w:rPr>
        <w:t>Magistrado</w:t>
      </w:r>
    </w:p>
    <w:p w14:paraId="56A011D7" w14:textId="650E1D0E" w:rsidR="00C53CCC" w:rsidRDefault="00C53CCC" w:rsidP="00C53CCC">
      <w:pPr>
        <w:widowControl w:val="0"/>
        <w:tabs>
          <w:tab w:val="left" w:pos="8647"/>
        </w:tabs>
        <w:ind w:right="51"/>
        <w:jc w:val="center"/>
        <w:rPr>
          <w:color w:val="000000"/>
          <w:sz w:val="28"/>
          <w:szCs w:val="28"/>
        </w:rPr>
      </w:pPr>
    </w:p>
    <w:p w14:paraId="697D7D6C" w14:textId="0E418230" w:rsidR="00C53CCC" w:rsidRDefault="00C53CCC" w:rsidP="00C53CCC">
      <w:pPr>
        <w:widowControl w:val="0"/>
        <w:tabs>
          <w:tab w:val="left" w:pos="8647"/>
        </w:tabs>
        <w:ind w:right="51"/>
        <w:jc w:val="center"/>
        <w:rPr>
          <w:color w:val="000000"/>
          <w:sz w:val="28"/>
          <w:szCs w:val="28"/>
        </w:rPr>
      </w:pPr>
    </w:p>
    <w:p w14:paraId="022C18C6" w14:textId="70BF1348" w:rsidR="00C53CCC" w:rsidRDefault="00C53CCC" w:rsidP="00C53CCC">
      <w:pPr>
        <w:widowControl w:val="0"/>
        <w:tabs>
          <w:tab w:val="left" w:pos="8647"/>
        </w:tabs>
        <w:ind w:right="51"/>
        <w:jc w:val="center"/>
        <w:rPr>
          <w:color w:val="000000"/>
          <w:sz w:val="28"/>
          <w:szCs w:val="28"/>
        </w:rPr>
      </w:pPr>
    </w:p>
    <w:p w14:paraId="0AB53710" w14:textId="4CF72DDA" w:rsidR="00C53CCC" w:rsidRDefault="00C53CCC" w:rsidP="00C53CCC">
      <w:pPr>
        <w:widowControl w:val="0"/>
        <w:tabs>
          <w:tab w:val="left" w:pos="8647"/>
        </w:tabs>
        <w:ind w:right="51"/>
        <w:jc w:val="center"/>
        <w:rPr>
          <w:color w:val="000000"/>
          <w:sz w:val="28"/>
          <w:szCs w:val="28"/>
        </w:rPr>
      </w:pPr>
      <w:r w:rsidRPr="00C53CCC">
        <w:rPr>
          <w:color w:val="000000"/>
          <w:sz w:val="28"/>
          <w:szCs w:val="28"/>
        </w:rPr>
        <w:t>ANDREA LILIANA ROMERO LOPEZ</w:t>
      </w:r>
    </w:p>
    <w:p w14:paraId="41A6D99D" w14:textId="7F421F63" w:rsidR="00C53CCC" w:rsidRDefault="00C53CCC" w:rsidP="00C53CCC">
      <w:pPr>
        <w:widowControl w:val="0"/>
        <w:tabs>
          <w:tab w:val="left" w:pos="8647"/>
        </w:tabs>
        <w:ind w:right="51"/>
        <w:jc w:val="center"/>
        <w:rPr>
          <w:color w:val="000000"/>
          <w:sz w:val="28"/>
          <w:szCs w:val="28"/>
        </w:rPr>
      </w:pPr>
      <w:r w:rsidRPr="00C53CCC">
        <w:rPr>
          <w:color w:val="000000"/>
          <w:sz w:val="28"/>
          <w:szCs w:val="28"/>
        </w:rPr>
        <w:t>Secretaria General</w:t>
      </w:r>
    </w:p>
    <w:p w14:paraId="26BB1DD1" w14:textId="73739059" w:rsidR="00C53CCC" w:rsidRDefault="00C53CCC" w:rsidP="00C53CCC">
      <w:pPr>
        <w:widowControl w:val="0"/>
        <w:tabs>
          <w:tab w:val="left" w:pos="8647"/>
        </w:tabs>
        <w:ind w:right="51"/>
        <w:jc w:val="center"/>
        <w:rPr>
          <w:color w:val="000000"/>
          <w:sz w:val="28"/>
          <w:szCs w:val="28"/>
        </w:rPr>
      </w:pPr>
    </w:p>
    <w:p w14:paraId="337593BA" w14:textId="34ACE162" w:rsidR="00C53CCC" w:rsidRDefault="00C53CCC" w:rsidP="00C53CCC">
      <w:pPr>
        <w:widowControl w:val="0"/>
        <w:tabs>
          <w:tab w:val="left" w:pos="8647"/>
        </w:tabs>
        <w:ind w:right="51"/>
        <w:jc w:val="center"/>
        <w:rPr>
          <w:color w:val="000000"/>
          <w:sz w:val="28"/>
          <w:szCs w:val="28"/>
        </w:rPr>
      </w:pPr>
    </w:p>
    <w:p w14:paraId="674F39ED" w14:textId="656E2451" w:rsidR="00C53CCC" w:rsidRDefault="00C53CCC" w:rsidP="00C53CCC">
      <w:pPr>
        <w:widowControl w:val="0"/>
        <w:tabs>
          <w:tab w:val="left" w:pos="8647"/>
        </w:tabs>
        <w:ind w:right="51"/>
        <w:jc w:val="center"/>
        <w:rPr>
          <w:color w:val="000000"/>
          <w:sz w:val="28"/>
          <w:szCs w:val="28"/>
        </w:rPr>
      </w:pPr>
    </w:p>
    <w:p w14:paraId="4D7434DB" w14:textId="7E1C91F1" w:rsidR="00C53CCC" w:rsidRDefault="00C53CCC" w:rsidP="00C53CCC">
      <w:pPr>
        <w:widowControl w:val="0"/>
        <w:tabs>
          <w:tab w:val="left" w:pos="8647"/>
        </w:tabs>
        <w:ind w:right="51"/>
        <w:jc w:val="center"/>
        <w:rPr>
          <w:color w:val="000000"/>
          <w:sz w:val="28"/>
          <w:szCs w:val="28"/>
        </w:rPr>
      </w:pPr>
    </w:p>
    <w:p w14:paraId="6754A0E2" w14:textId="1093823F" w:rsidR="00C53CCC" w:rsidRDefault="00C53CCC" w:rsidP="00C53CCC">
      <w:pPr>
        <w:widowControl w:val="0"/>
        <w:tabs>
          <w:tab w:val="left" w:pos="8647"/>
        </w:tabs>
        <w:ind w:right="51"/>
        <w:jc w:val="center"/>
        <w:rPr>
          <w:color w:val="000000"/>
          <w:sz w:val="28"/>
          <w:szCs w:val="28"/>
        </w:rPr>
      </w:pPr>
    </w:p>
    <w:p w14:paraId="05F85F7E" w14:textId="77777777" w:rsidR="00C53CCC" w:rsidRPr="00C53CCC" w:rsidRDefault="00C53CCC" w:rsidP="00C53CCC">
      <w:pPr>
        <w:widowControl w:val="0"/>
        <w:tabs>
          <w:tab w:val="left" w:pos="8647"/>
        </w:tabs>
        <w:ind w:right="51"/>
        <w:jc w:val="center"/>
        <w:rPr>
          <w:color w:val="000000"/>
          <w:sz w:val="28"/>
          <w:szCs w:val="28"/>
        </w:rPr>
      </w:pPr>
    </w:p>
    <w:sectPr w:rsidR="00C53CCC" w:rsidRPr="00C53CCC">
      <w:headerReference w:type="even" r:id="rId9"/>
      <w:footerReference w:type="even" r:id="rId10"/>
      <w:footerReference w:type="default" r:id="rId11"/>
      <w:pgSz w:w="12240" w:h="18720"/>
      <w:pgMar w:top="1417" w:right="1701" w:bottom="114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FA3B" w14:textId="77777777" w:rsidR="004B3701" w:rsidRDefault="004B3701">
      <w:r>
        <w:separator/>
      </w:r>
    </w:p>
  </w:endnote>
  <w:endnote w:type="continuationSeparator" w:id="0">
    <w:p w14:paraId="08879002" w14:textId="77777777" w:rsidR="004B3701" w:rsidRDefault="004B3701">
      <w:r>
        <w:continuationSeparator/>
      </w:r>
    </w:p>
  </w:endnote>
  <w:endnote w:type="continuationNotice" w:id="1">
    <w:p w14:paraId="135CFA46" w14:textId="77777777" w:rsidR="004B3701" w:rsidRDefault="004B3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6189" w14:textId="77777777" w:rsidR="00600EE1" w:rsidRDefault="00551339">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6EE6618A" w14:textId="77777777" w:rsidR="00600EE1" w:rsidRDefault="00600EE1">
    <w:pPr>
      <w:pBdr>
        <w:top w:val="nil"/>
        <w:left w:val="nil"/>
        <w:bottom w:val="nil"/>
        <w:right w:val="nil"/>
        <w:between w:val="nil"/>
      </w:pBdr>
      <w:tabs>
        <w:tab w:val="center" w:pos="4419"/>
        <w:tab w:val="right" w:pos="8838"/>
      </w:tabs>
      <w:ind w:right="360"/>
      <w:jc w:val="both"/>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618B" w14:textId="2489D119" w:rsidR="00600EE1" w:rsidRDefault="00551339">
    <w:pPr>
      <w:pBdr>
        <w:top w:val="nil"/>
        <w:left w:val="nil"/>
        <w:bottom w:val="nil"/>
        <w:right w:val="nil"/>
        <w:between w:val="nil"/>
      </w:pBdr>
      <w:tabs>
        <w:tab w:val="center" w:pos="4419"/>
        <w:tab w:val="right" w:pos="8838"/>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CD792A">
      <w:rPr>
        <w:noProof/>
        <w:color w:val="000000"/>
        <w:sz w:val="22"/>
        <w:szCs w:val="22"/>
      </w:rPr>
      <w:t>2</w:t>
    </w:r>
    <w:r>
      <w:rPr>
        <w:color w:val="000000"/>
        <w:sz w:val="22"/>
        <w:szCs w:val="22"/>
      </w:rPr>
      <w:fldChar w:fldCharType="end"/>
    </w:r>
  </w:p>
  <w:p w14:paraId="6EE6618C" w14:textId="77777777" w:rsidR="00600EE1" w:rsidRDefault="00600EE1">
    <w:pPr>
      <w:pBdr>
        <w:top w:val="nil"/>
        <w:left w:val="nil"/>
        <w:bottom w:val="nil"/>
        <w:right w:val="nil"/>
        <w:between w:val="nil"/>
      </w:pBdr>
      <w:tabs>
        <w:tab w:val="center" w:pos="4419"/>
        <w:tab w:val="right" w:pos="8838"/>
      </w:tabs>
      <w:ind w:right="360"/>
      <w:jc w:val="both"/>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D4A3" w14:textId="77777777" w:rsidR="004B3701" w:rsidRDefault="004B3701">
      <w:r>
        <w:separator/>
      </w:r>
    </w:p>
  </w:footnote>
  <w:footnote w:type="continuationSeparator" w:id="0">
    <w:p w14:paraId="252A767D" w14:textId="77777777" w:rsidR="004B3701" w:rsidRDefault="004B3701">
      <w:r>
        <w:continuationSeparator/>
      </w:r>
    </w:p>
  </w:footnote>
  <w:footnote w:type="continuationNotice" w:id="1">
    <w:p w14:paraId="370B30F5" w14:textId="77777777" w:rsidR="004B3701" w:rsidRDefault="004B3701"/>
  </w:footnote>
  <w:footnote w:id="2">
    <w:p w14:paraId="6EE6618D" w14:textId="7F3D5A64" w:rsidR="00600EE1" w:rsidRPr="007D2582" w:rsidRDefault="00551339" w:rsidP="00933AF9">
      <w:pPr>
        <w:pBdr>
          <w:top w:val="nil"/>
          <w:left w:val="nil"/>
          <w:bottom w:val="nil"/>
          <w:right w:val="nil"/>
          <w:between w:val="nil"/>
        </w:pBdr>
        <w:jc w:val="both"/>
        <w:rPr>
          <w:sz w:val="20"/>
          <w:szCs w:val="20"/>
        </w:rPr>
      </w:pPr>
      <w:r w:rsidRPr="007D2582">
        <w:rPr>
          <w:sz w:val="20"/>
          <w:szCs w:val="20"/>
          <w:vertAlign w:val="superscript"/>
        </w:rPr>
        <w:footnoteRef/>
      </w:r>
      <w:r w:rsidRPr="007D2582">
        <w:rPr>
          <w:sz w:val="20"/>
          <w:szCs w:val="20"/>
          <w:vertAlign w:val="superscript"/>
        </w:rPr>
        <w:t xml:space="preserve"> </w:t>
      </w:r>
      <w:r w:rsidRPr="007D2582">
        <w:rPr>
          <w:sz w:val="20"/>
          <w:szCs w:val="20"/>
        </w:rPr>
        <w:t xml:space="preserve">Los </w:t>
      </w:r>
      <w:r w:rsidR="00941CD0" w:rsidRPr="007D2582">
        <w:rPr>
          <w:sz w:val="20"/>
          <w:szCs w:val="20"/>
        </w:rPr>
        <w:t>30</w:t>
      </w:r>
      <w:r w:rsidRPr="007D2582">
        <w:rPr>
          <w:sz w:val="20"/>
          <w:szCs w:val="20"/>
        </w:rPr>
        <w:t xml:space="preserve"> expedientes de tutela acumulados son los siguientes: </w:t>
      </w:r>
      <w:r w:rsidRPr="007D2582">
        <w:rPr>
          <w:i/>
          <w:iCs/>
          <w:sz w:val="20"/>
          <w:szCs w:val="20"/>
        </w:rPr>
        <w:t>(1)</w:t>
      </w:r>
      <w:r w:rsidRPr="007D2582">
        <w:rPr>
          <w:sz w:val="20"/>
          <w:szCs w:val="20"/>
        </w:rPr>
        <w:t xml:space="preserve"> T-10.641.262, </w:t>
      </w:r>
      <w:r w:rsidRPr="007D2582">
        <w:rPr>
          <w:i/>
          <w:iCs/>
          <w:sz w:val="20"/>
          <w:szCs w:val="20"/>
        </w:rPr>
        <w:t>(2)</w:t>
      </w:r>
      <w:r w:rsidRPr="007D2582">
        <w:rPr>
          <w:sz w:val="20"/>
          <w:szCs w:val="20"/>
        </w:rPr>
        <w:t xml:space="preserve"> T-10.771.082, </w:t>
      </w:r>
      <w:r w:rsidRPr="007D2582">
        <w:rPr>
          <w:i/>
          <w:iCs/>
          <w:sz w:val="20"/>
          <w:szCs w:val="20"/>
        </w:rPr>
        <w:t>(3)</w:t>
      </w:r>
      <w:r w:rsidRPr="007D2582">
        <w:rPr>
          <w:sz w:val="20"/>
          <w:szCs w:val="20"/>
        </w:rPr>
        <w:t xml:space="preserve"> T-10.773.946, </w:t>
      </w:r>
      <w:r w:rsidRPr="007D2582">
        <w:rPr>
          <w:i/>
          <w:iCs/>
          <w:sz w:val="20"/>
          <w:szCs w:val="20"/>
        </w:rPr>
        <w:t>(4)</w:t>
      </w:r>
      <w:r w:rsidRPr="007D2582">
        <w:rPr>
          <w:sz w:val="20"/>
          <w:szCs w:val="20"/>
        </w:rPr>
        <w:t xml:space="preserve"> T-10.773.996, </w:t>
      </w:r>
      <w:r w:rsidRPr="007D2582">
        <w:rPr>
          <w:i/>
          <w:iCs/>
          <w:sz w:val="20"/>
          <w:szCs w:val="20"/>
        </w:rPr>
        <w:t>(5)</w:t>
      </w:r>
      <w:r w:rsidRPr="007D2582">
        <w:rPr>
          <w:sz w:val="20"/>
          <w:szCs w:val="20"/>
        </w:rPr>
        <w:t xml:space="preserve"> T-10.774.002, </w:t>
      </w:r>
      <w:r w:rsidRPr="007D2582">
        <w:rPr>
          <w:i/>
          <w:iCs/>
          <w:sz w:val="20"/>
          <w:szCs w:val="20"/>
        </w:rPr>
        <w:t>(6)</w:t>
      </w:r>
      <w:r w:rsidRPr="007D2582">
        <w:rPr>
          <w:sz w:val="20"/>
          <w:szCs w:val="20"/>
        </w:rPr>
        <w:t xml:space="preserve"> T-10.781.205, </w:t>
      </w:r>
      <w:r w:rsidRPr="007D2582">
        <w:rPr>
          <w:i/>
          <w:iCs/>
          <w:sz w:val="20"/>
          <w:szCs w:val="20"/>
        </w:rPr>
        <w:t>(7)</w:t>
      </w:r>
      <w:r w:rsidRPr="007D2582">
        <w:rPr>
          <w:sz w:val="20"/>
          <w:szCs w:val="20"/>
        </w:rPr>
        <w:t xml:space="preserve"> T-10.781.215, </w:t>
      </w:r>
      <w:r w:rsidRPr="007D2582">
        <w:rPr>
          <w:i/>
          <w:iCs/>
          <w:sz w:val="20"/>
          <w:szCs w:val="20"/>
        </w:rPr>
        <w:t>(8)</w:t>
      </w:r>
      <w:r w:rsidRPr="007D2582">
        <w:rPr>
          <w:sz w:val="20"/>
          <w:szCs w:val="20"/>
        </w:rPr>
        <w:t xml:space="preserve"> T-10.781.400, </w:t>
      </w:r>
      <w:r w:rsidRPr="007D2582">
        <w:rPr>
          <w:i/>
          <w:iCs/>
          <w:sz w:val="20"/>
          <w:szCs w:val="20"/>
        </w:rPr>
        <w:t>(9)</w:t>
      </w:r>
      <w:r w:rsidRPr="007D2582">
        <w:rPr>
          <w:sz w:val="20"/>
          <w:szCs w:val="20"/>
        </w:rPr>
        <w:t xml:space="preserve"> T-10.785.672, </w:t>
      </w:r>
      <w:r w:rsidRPr="007D2582">
        <w:rPr>
          <w:i/>
          <w:iCs/>
          <w:sz w:val="20"/>
          <w:szCs w:val="20"/>
        </w:rPr>
        <w:t>(10)</w:t>
      </w:r>
      <w:r w:rsidRPr="007D2582">
        <w:rPr>
          <w:sz w:val="20"/>
          <w:szCs w:val="20"/>
        </w:rPr>
        <w:t xml:space="preserve"> T-10.785.910, </w:t>
      </w:r>
      <w:r w:rsidRPr="007D2582">
        <w:rPr>
          <w:i/>
          <w:iCs/>
          <w:sz w:val="20"/>
          <w:szCs w:val="20"/>
        </w:rPr>
        <w:t>(11)</w:t>
      </w:r>
      <w:r w:rsidRPr="007D2582">
        <w:rPr>
          <w:sz w:val="20"/>
          <w:szCs w:val="20"/>
        </w:rPr>
        <w:t xml:space="preserve"> T-10.787.792, </w:t>
      </w:r>
      <w:r w:rsidRPr="007D2582">
        <w:rPr>
          <w:i/>
          <w:iCs/>
          <w:sz w:val="20"/>
          <w:szCs w:val="20"/>
        </w:rPr>
        <w:t>(12)</w:t>
      </w:r>
      <w:r w:rsidRPr="007D2582">
        <w:rPr>
          <w:sz w:val="20"/>
          <w:szCs w:val="20"/>
        </w:rPr>
        <w:t xml:space="preserve"> T-10.791.762, </w:t>
      </w:r>
      <w:r w:rsidRPr="007D2582">
        <w:rPr>
          <w:i/>
          <w:iCs/>
          <w:sz w:val="20"/>
          <w:szCs w:val="20"/>
        </w:rPr>
        <w:t>(13)</w:t>
      </w:r>
      <w:r w:rsidRPr="007D2582">
        <w:rPr>
          <w:sz w:val="20"/>
          <w:szCs w:val="20"/>
        </w:rPr>
        <w:t xml:space="preserve"> T-10.790.526, </w:t>
      </w:r>
      <w:r w:rsidRPr="007D2582">
        <w:rPr>
          <w:i/>
          <w:iCs/>
          <w:sz w:val="20"/>
          <w:szCs w:val="20"/>
        </w:rPr>
        <w:t>(14)</w:t>
      </w:r>
      <w:r w:rsidRPr="007D2582">
        <w:rPr>
          <w:sz w:val="20"/>
          <w:szCs w:val="20"/>
        </w:rPr>
        <w:t xml:space="preserve"> T-10.787.409, </w:t>
      </w:r>
      <w:r w:rsidRPr="007D2582">
        <w:rPr>
          <w:i/>
          <w:iCs/>
          <w:sz w:val="20"/>
          <w:szCs w:val="20"/>
        </w:rPr>
        <w:t>(15)</w:t>
      </w:r>
      <w:r w:rsidRPr="007D2582">
        <w:rPr>
          <w:sz w:val="20"/>
          <w:szCs w:val="20"/>
        </w:rPr>
        <w:t xml:space="preserve"> T-10.796.422, </w:t>
      </w:r>
      <w:r w:rsidRPr="007D2582">
        <w:rPr>
          <w:i/>
          <w:iCs/>
          <w:sz w:val="20"/>
          <w:szCs w:val="20"/>
        </w:rPr>
        <w:t>(16)</w:t>
      </w:r>
      <w:r w:rsidRPr="007D2582">
        <w:rPr>
          <w:sz w:val="20"/>
          <w:szCs w:val="20"/>
        </w:rPr>
        <w:t xml:space="preserve"> T-10.796.578, </w:t>
      </w:r>
      <w:r w:rsidRPr="007D2582">
        <w:rPr>
          <w:i/>
          <w:iCs/>
          <w:sz w:val="20"/>
          <w:szCs w:val="20"/>
        </w:rPr>
        <w:t>(17)</w:t>
      </w:r>
      <w:r w:rsidRPr="007D2582">
        <w:rPr>
          <w:sz w:val="20"/>
          <w:szCs w:val="20"/>
        </w:rPr>
        <w:t xml:space="preserve"> T- 10.796.598, </w:t>
      </w:r>
      <w:r w:rsidRPr="007D2582">
        <w:rPr>
          <w:i/>
          <w:iCs/>
          <w:sz w:val="20"/>
          <w:szCs w:val="20"/>
        </w:rPr>
        <w:t>(18)</w:t>
      </w:r>
      <w:r w:rsidRPr="007D2582">
        <w:rPr>
          <w:sz w:val="20"/>
          <w:szCs w:val="20"/>
        </w:rPr>
        <w:t xml:space="preserve"> T-10.800.631, </w:t>
      </w:r>
      <w:r w:rsidRPr="007D2582">
        <w:rPr>
          <w:i/>
          <w:iCs/>
          <w:sz w:val="20"/>
          <w:szCs w:val="20"/>
        </w:rPr>
        <w:t>(19)</w:t>
      </w:r>
      <w:r w:rsidRPr="007D2582">
        <w:rPr>
          <w:sz w:val="20"/>
          <w:szCs w:val="20"/>
        </w:rPr>
        <w:t xml:space="preserve"> T-10.800.758, </w:t>
      </w:r>
      <w:r w:rsidRPr="007D2582">
        <w:rPr>
          <w:i/>
          <w:iCs/>
          <w:sz w:val="20"/>
          <w:szCs w:val="20"/>
        </w:rPr>
        <w:t>(20)</w:t>
      </w:r>
      <w:r w:rsidRPr="007D2582">
        <w:rPr>
          <w:sz w:val="20"/>
          <w:szCs w:val="20"/>
        </w:rPr>
        <w:t xml:space="preserve"> T-10.800.834, </w:t>
      </w:r>
      <w:r w:rsidRPr="007D2582">
        <w:rPr>
          <w:i/>
          <w:iCs/>
          <w:sz w:val="20"/>
          <w:szCs w:val="20"/>
        </w:rPr>
        <w:t>(21)</w:t>
      </w:r>
      <w:r w:rsidRPr="007D2582">
        <w:rPr>
          <w:sz w:val="20"/>
          <w:szCs w:val="20"/>
        </w:rPr>
        <w:t xml:space="preserve"> T-10.803.623, </w:t>
      </w:r>
      <w:r w:rsidRPr="007D2582">
        <w:rPr>
          <w:i/>
          <w:iCs/>
          <w:sz w:val="20"/>
          <w:szCs w:val="20"/>
        </w:rPr>
        <w:t>(22)</w:t>
      </w:r>
      <w:r w:rsidRPr="007D2582">
        <w:rPr>
          <w:sz w:val="20"/>
          <w:szCs w:val="20"/>
        </w:rPr>
        <w:t xml:space="preserve"> T-10.803.921, </w:t>
      </w:r>
      <w:r w:rsidRPr="007D2582">
        <w:rPr>
          <w:i/>
          <w:iCs/>
          <w:sz w:val="20"/>
          <w:szCs w:val="20"/>
        </w:rPr>
        <w:t>(23)</w:t>
      </w:r>
      <w:r w:rsidRPr="007D2582">
        <w:rPr>
          <w:sz w:val="20"/>
          <w:szCs w:val="20"/>
        </w:rPr>
        <w:t xml:space="preserve"> T- 10.810.117, </w:t>
      </w:r>
      <w:r w:rsidRPr="007D2582">
        <w:rPr>
          <w:i/>
          <w:iCs/>
          <w:sz w:val="20"/>
          <w:szCs w:val="20"/>
        </w:rPr>
        <w:t>(24)</w:t>
      </w:r>
      <w:r w:rsidRPr="007D2582">
        <w:rPr>
          <w:sz w:val="20"/>
          <w:szCs w:val="20"/>
        </w:rPr>
        <w:t xml:space="preserve"> T-10.810.192, </w:t>
      </w:r>
      <w:r w:rsidRPr="007D2582">
        <w:rPr>
          <w:i/>
          <w:iCs/>
          <w:sz w:val="20"/>
          <w:szCs w:val="20"/>
        </w:rPr>
        <w:t>(25)</w:t>
      </w:r>
      <w:r w:rsidRPr="007D2582">
        <w:rPr>
          <w:sz w:val="20"/>
          <w:szCs w:val="20"/>
        </w:rPr>
        <w:t xml:space="preserve"> T-10.811.379, </w:t>
      </w:r>
      <w:r w:rsidRPr="007D2582">
        <w:rPr>
          <w:i/>
          <w:iCs/>
          <w:sz w:val="20"/>
          <w:szCs w:val="20"/>
        </w:rPr>
        <w:t>(26)</w:t>
      </w:r>
      <w:r w:rsidRPr="007D2582">
        <w:rPr>
          <w:sz w:val="20"/>
          <w:szCs w:val="20"/>
        </w:rPr>
        <w:t xml:space="preserve"> T-10.811.650, </w:t>
      </w:r>
      <w:r w:rsidRPr="007D2582">
        <w:rPr>
          <w:i/>
          <w:iCs/>
          <w:sz w:val="20"/>
          <w:szCs w:val="20"/>
        </w:rPr>
        <w:t>(27)</w:t>
      </w:r>
      <w:r w:rsidRPr="007D2582">
        <w:rPr>
          <w:sz w:val="20"/>
          <w:szCs w:val="20"/>
        </w:rPr>
        <w:t xml:space="preserve"> T-10.811.732, </w:t>
      </w:r>
      <w:r w:rsidRPr="007D2582">
        <w:rPr>
          <w:i/>
          <w:iCs/>
          <w:sz w:val="20"/>
          <w:szCs w:val="20"/>
        </w:rPr>
        <w:t>(28)</w:t>
      </w:r>
      <w:r w:rsidRPr="007D2582">
        <w:rPr>
          <w:sz w:val="20"/>
          <w:szCs w:val="20"/>
        </w:rPr>
        <w:t xml:space="preserve"> T-10.814.534, </w:t>
      </w:r>
      <w:r w:rsidRPr="007D2582">
        <w:rPr>
          <w:i/>
          <w:iCs/>
          <w:sz w:val="20"/>
          <w:szCs w:val="20"/>
        </w:rPr>
        <w:t>(29)</w:t>
      </w:r>
      <w:r w:rsidRPr="007D2582">
        <w:rPr>
          <w:sz w:val="20"/>
          <w:szCs w:val="20"/>
        </w:rPr>
        <w:t xml:space="preserve"> T- 10.820.873 y </w:t>
      </w:r>
      <w:r w:rsidRPr="007D2582">
        <w:rPr>
          <w:i/>
          <w:iCs/>
          <w:sz w:val="20"/>
          <w:szCs w:val="20"/>
        </w:rPr>
        <w:t>(30)</w:t>
      </w:r>
      <w:r w:rsidRPr="007D2582">
        <w:rPr>
          <w:sz w:val="20"/>
          <w:szCs w:val="20"/>
        </w:rPr>
        <w:t xml:space="preserve"> T-10.821.146. </w:t>
      </w:r>
    </w:p>
  </w:footnote>
  <w:footnote w:id="3">
    <w:p w14:paraId="722F2B3D" w14:textId="77777777" w:rsidR="005614E3" w:rsidRPr="007D2582" w:rsidRDefault="005614E3" w:rsidP="00933AF9">
      <w:pPr>
        <w:pStyle w:val="Textonotapie"/>
        <w:jc w:val="both"/>
      </w:pPr>
      <w:r w:rsidRPr="007D2582">
        <w:rPr>
          <w:rStyle w:val="Refdenotaalpie"/>
        </w:rPr>
        <w:footnoteRef/>
      </w:r>
      <w:r w:rsidRPr="007D2582">
        <w:t xml:space="preserve"> De acuerdo con el artículo transitorio del Acuerdo 01 de 2025 “</w:t>
      </w:r>
      <w:r w:rsidRPr="007D2582">
        <w:rPr>
          <w:lang w:val="es-ES"/>
        </w:rPr>
        <w:t xml:space="preserve">Por medio del cual se unifica y actualiza el Reglamento de la Corte Constitucional”, “Las disposiciones sobre términos dispuestas en esta reforma se aplicarán respecto de los procesos radicados en la Corte a partir de su </w:t>
      </w:r>
      <w:proofErr w:type="gramStart"/>
      <w:r w:rsidRPr="007D2582">
        <w:rPr>
          <w:lang w:val="es-ES"/>
        </w:rPr>
        <w:t>entrada en vigencia</w:t>
      </w:r>
      <w:proofErr w:type="gramEnd"/>
      <w:r w:rsidRPr="007D2582">
        <w:rPr>
          <w:lang w:val="es-ES"/>
        </w:rPr>
        <w:t xml:space="preserve">. Los asuntos cuyo trámite haya iniciado en vigencia del Acuerdo 02 de 2015 seguirán hasta su culminación bajo dicha regulación”. </w:t>
      </w:r>
    </w:p>
  </w:footnote>
  <w:footnote w:id="4">
    <w:p w14:paraId="169ABAE6" w14:textId="77777777" w:rsidR="005614E3" w:rsidRPr="00EA1CDA" w:rsidRDefault="005614E3" w:rsidP="00933AF9">
      <w:pPr>
        <w:pBdr>
          <w:top w:val="nil"/>
          <w:left w:val="nil"/>
          <w:bottom w:val="nil"/>
          <w:right w:val="nil"/>
          <w:between w:val="nil"/>
        </w:pBdr>
        <w:jc w:val="both"/>
        <w:rPr>
          <w:sz w:val="18"/>
          <w:szCs w:val="18"/>
        </w:rPr>
      </w:pPr>
      <w:r w:rsidRPr="007D2582">
        <w:rPr>
          <w:sz w:val="20"/>
          <w:szCs w:val="20"/>
          <w:vertAlign w:val="superscript"/>
        </w:rPr>
        <w:footnoteRef/>
      </w:r>
      <w:r w:rsidRPr="007D2582">
        <w:rPr>
          <w:sz w:val="20"/>
          <w:szCs w:val="20"/>
          <w:vertAlign w:val="superscript"/>
        </w:rPr>
        <w:t xml:space="preserve"> </w:t>
      </w:r>
      <w:r w:rsidRPr="007D2582">
        <w:rPr>
          <w:sz w:val="20"/>
          <w:szCs w:val="20"/>
        </w:rPr>
        <w:t>Acuerdo 02 de 2015 de la Corte Constitucional, por medio del cual se unifica y actualiza el Reglamento de la Corte Constitucional.</w:t>
      </w:r>
    </w:p>
  </w:footnote>
  <w:footnote w:id="5">
    <w:p w14:paraId="6EE6618F" w14:textId="77777777" w:rsidR="00600EE1" w:rsidRPr="007D2582" w:rsidRDefault="00551339" w:rsidP="00933AF9">
      <w:pPr>
        <w:pBdr>
          <w:top w:val="nil"/>
          <w:left w:val="nil"/>
          <w:bottom w:val="nil"/>
          <w:right w:val="nil"/>
          <w:between w:val="nil"/>
        </w:pBdr>
        <w:jc w:val="both"/>
        <w:rPr>
          <w:sz w:val="20"/>
          <w:szCs w:val="20"/>
        </w:rPr>
      </w:pPr>
      <w:r w:rsidRPr="007D2582">
        <w:rPr>
          <w:sz w:val="20"/>
          <w:szCs w:val="20"/>
          <w:vertAlign w:val="superscript"/>
        </w:rPr>
        <w:footnoteRef/>
      </w:r>
      <w:r w:rsidRPr="007D2582">
        <w:rPr>
          <w:sz w:val="20"/>
          <w:szCs w:val="20"/>
          <w:vertAlign w:val="superscript"/>
        </w:rPr>
        <w:t xml:space="preserve"> </w:t>
      </w:r>
      <w:r w:rsidRPr="007D2582">
        <w:rPr>
          <w:sz w:val="20"/>
          <w:szCs w:val="20"/>
        </w:rPr>
        <w:t>Las acciones aquí analizadas, se interpusieron, en algunos casos, en nombre propio y en otros, a través de agente oficioso o representante legal.</w:t>
      </w:r>
    </w:p>
  </w:footnote>
  <w:footnote w:id="6">
    <w:p w14:paraId="731654A2" w14:textId="2F8244BF" w:rsidR="00EB590B" w:rsidRPr="00EA1CDA" w:rsidRDefault="00EB590B" w:rsidP="00933AF9">
      <w:pPr>
        <w:pStyle w:val="Textonotapie"/>
        <w:jc w:val="both"/>
        <w:rPr>
          <w:sz w:val="18"/>
          <w:szCs w:val="18"/>
        </w:rPr>
      </w:pPr>
      <w:r w:rsidRPr="007D2582">
        <w:rPr>
          <w:rStyle w:val="Refdenotaalpie"/>
        </w:rPr>
        <w:footnoteRef/>
      </w:r>
      <w:r w:rsidRPr="007D2582">
        <w:t xml:space="preserve">Aparentemente era el caso del expediente </w:t>
      </w:r>
      <w:r w:rsidRPr="007D2582">
        <w:rPr>
          <w:i/>
          <w:iCs/>
          <w:lang w:val="es-ES"/>
        </w:rPr>
        <w:t>(6)</w:t>
      </w:r>
      <w:r w:rsidRPr="007D2582">
        <w:rPr>
          <w:lang w:val="es-ES"/>
        </w:rPr>
        <w:t xml:space="preserve"> T-10.781.205 en el que la prescripción médica obedeció a un tratamiento posoperatorio. </w:t>
      </w:r>
    </w:p>
  </w:footnote>
  <w:footnote w:id="7">
    <w:p w14:paraId="6EE66190" w14:textId="77777777" w:rsidR="00600EE1" w:rsidRPr="007D2582" w:rsidRDefault="00551339" w:rsidP="00933AF9">
      <w:pPr>
        <w:pBdr>
          <w:top w:val="nil"/>
          <w:left w:val="nil"/>
          <w:bottom w:val="nil"/>
          <w:right w:val="nil"/>
          <w:between w:val="nil"/>
        </w:pBdr>
        <w:jc w:val="both"/>
        <w:rPr>
          <w:sz w:val="20"/>
          <w:szCs w:val="20"/>
        </w:rPr>
      </w:pPr>
      <w:r w:rsidRPr="007D2582">
        <w:rPr>
          <w:sz w:val="20"/>
          <w:szCs w:val="20"/>
          <w:vertAlign w:val="superscript"/>
        </w:rPr>
        <w:footnoteRef/>
      </w:r>
      <w:r w:rsidRPr="007D2582">
        <w:rPr>
          <w:sz w:val="20"/>
          <w:szCs w:val="20"/>
          <w:vertAlign w:val="superscript"/>
        </w:rPr>
        <w:t xml:space="preserve"> </w:t>
      </w:r>
      <w:r w:rsidRPr="007D2582">
        <w:rPr>
          <w:sz w:val="20"/>
          <w:szCs w:val="20"/>
        </w:rPr>
        <w:t xml:space="preserve">Expediente </w:t>
      </w:r>
      <w:r w:rsidRPr="007D2582">
        <w:rPr>
          <w:i/>
          <w:iCs/>
          <w:sz w:val="20"/>
          <w:szCs w:val="20"/>
        </w:rPr>
        <w:t>(1)</w:t>
      </w:r>
      <w:r w:rsidRPr="007D2582">
        <w:rPr>
          <w:sz w:val="20"/>
          <w:szCs w:val="20"/>
        </w:rPr>
        <w:t xml:space="preserve"> T-10.641.262. </w:t>
      </w:r>
    </w:p>
  </w:footnote>
  <w:footnote w:id="8">
    <w:p w14:paraId="6EE66191" w14:textId="77777777" w:rsidR="00600EE1" w:rsidRPr="007D2582" w:rsidRDefault="00551339" w:rsidP="00933AF9">
      <w:pPr>
        <w:pBdr>
          <w:top w:val="nil"/>
          <w:left w:val="nil"/>
          <w:bottom w:val="nil"/>
          <w:right w:val="nil"/>
          <w:between w:val="nil"/>
        </w:pBdr>
        <w:jc w:val="both"/>
        <w:rPr>
          <w:sz w:val="20"/>
          <w:szCs w:val="20"/>
        </w:rPr>
      </w:pPr>
      <w:r w:rsidRPr="007D2582">
        <w:rPr>
          <w:sz w:val="20"/>
          <w:szCs w:val="20"/>
          <w:vertAlign w:val="superscript"/>
        </w:rPr>
        <w:footnoteRef/>
      </w:r>
      <w:r w:rsidRPr="007D2582">
        <w:rPr>
          <w:sz w:val="20"/>
          <w:szCs w:val="20"/>
          <w:vertAlign w:val="superscript"/>
        </w:rPr>
        <w:t xml:space="preserve"> </w:t>
      </w:r>
      <w:r w:rsidRPr="007D2582">
        <w:rPr>
          <w:sz w:val="20"/>
          <w:szCs w:val="20"/>
        </w:rPr>
        <w:t xml:space="preserve">Expediente </w:t>
      </w:r>
      <w:r w:rsidRPr="007D2582">
        <w:rPr>
          <w:i/>
          <w:iCs/>
          <w:sz w:val="20"/>
          <w:szCs w:val="20"/>
        </w:rPr>
        <w:t>(30)</w:t>
      </w:r>
      <w:r w:rsidRPr="007D2582">
        <w:rPr>
          <w:sz w:val="20"/>
          <w:szCs w:val="20"/>
        </w:rPr>
        <w:t xml:space="preserve"> T-10.821.146. </w:t>
      </w:r>
    </w:p>
  </w:footnote>
  <w:footnote w:id="9">
    <w:p w14:paraId="6EE66192" w14:textId="77777777" w:rsidR="00600EE1" w:rsidRPr="007D2582" w:rsidRDefault="00551339" w:rsidP="00933AF9">
      <w:pPr>
        <w:pBdr>
          <w:top w:val="nil"/>
          <w:left w:val="nil"/>
          <w:bottom w:val="nil"/>
          <w:right w:val="nil"/>
          <w:between w:val="nil"/>
        </w:pBdr>
        <w:jc w:val="both"/>
        <w:rPr>
          <w:sz w:val="20"/>
          <w:szCs w:val="20"/>
        </w:rPr>
      </w:pPr>
      <w:r w:rsidRPr="007D2582">
        <w:rPr>
          <w:sz w:val="20"/>
          <w:szCs w:val="20"/>
          <w:vertAlign w:val="superscript"/>
        </w:rPr>
        <w:footnoteRef/>
      </w:r>
      <w:r w:rsidRPr="007D2582">
        <w:rPr>
          <w:sz w:val="20"/>
          <w:szCs w:val="20"/>
        </w:rPr>
        <w:t xml:space="preserve"> Expediente </w:t>
      </w:r>
      <w:r w:rsidRPr="007D2582">
        <w:rPr>
          <w:i/>
          <w:iCs/>
          <w:sz w:val="20"/>
          <w:szCs w:val="20"/>
        </w:rPr>
        <w:t>(14)</w:t>
      </w:r>
      <w:r w:rsidRPr="007D2582">
        <w:rPr>
          <w:sz w:val="20"/>
          <w:szCs w:val="20"/>
        </w:rPr>
        <w:t xml:space="preserve"> T-10.787.409.</w:t>
      </w:r>
    </w:p>
  </w:footnote>
  <w:footnote w:id="10">
    <w:p w14:paraId="6EE66193" w14:textId="77777777" w:rsidR="00600EE1" w:rsidRPr="007D2582" w:rsidRDefault="00551339" w:rsidP="00933AF9">
      <w:pPr>
        <w:pBdr>
          <w:top w:val="nil"/>
          <w:left w:val="nil"/>
          <w:bottom w:val="nil"/>
          <w:right w:val="nil"/>
          <w:between w:val="nil"/>
        </w:pBdr>
        <w:jc w:val="both"/>
        <w:rPr>
          <w:sz w:val="20"/>
          <w:szCs w:val="20"/>
        </w:rPr>
      </w:pPr>
      <w:r w:rsidRPr="007D2582">
        <w:rPr>
          <w:sz w:val="20"/>
          <w:szCs w:val="20"/>
          <w:vertAlign w:val="superscript"/>
        </w:rPr>
        <w:footnoteRef/>
      </w:r>
      <w:r w:rsidRPr="007D2582">
        <w:rPr>
          <w:sz w:val="20"/>
          <w:szCs w:val="20"/>
          <w:vertAlign w:val="superscript"/>
        </w:rPr>
        <w:t xml:space="preserve"> </w:t>
      </w:r>
      <w:r w:rsidRPr="007D2582">
        <w:rPr>
          <w:sz w:val="20"/>
          <w:szCs w:val="20"/>
        </w:rPr>
        <w:t xml:space="preserve">Expedientes </w:t>
      </w:r>
      <w:r w:rsidRPr="007D2582">
        <w:rPr>
          <w:i/>
          <w:iCs/>
          <w:sz w:val="20"/>
          <w:szCs w:val="20"/>
        </w:rPr>
        <w:t>(2)</w:t>
      </w:r>
      <w:r w:rsidRPr="007D2582">
        <w:rPr>
          <w:sz w:val="20"/>
          <w:szCs w:val="20"/>
        </w:rPr>
        <w:t xml:space="preserve"> T-10.771.082, </w:t>
      </w:r>
      <w:r w:rsidRPr="007D2582">
        <w:rPr>
          <w:i/>
          <w:iCs/>
          <w:sz w:val="20"/>
          <w:szCs w:val="20"/>
        </w:rPr>
        <w:t>(4)</w:t>
      </w:r>
      <w:r w:rsidRPr="007D2582">
        <w:rPr>
          <w:sz w:val="20"/>
          <w:szCs w:val="20"/>
        </w:rPr>
        <w:t xml:space="preserve"> T-10.773.996, </w:t>
      </w:r>
      <w:r w:rsidRPr="007D2582">
        <w:rPr>
          <w:i/>
          <w:iCs/>
          <w:sz w:val="20"/>
          <w:szCs w:val="20"/>
        </w:rPr>
        <w:t>(5)</w:t>
      </w:r>
      <w:r w:rsidRPr="007D2582">
        <w:rPr>
          <w:sz w:val="20"/>
          <w:szCs w:val="20"/>
        </w:rPr>
        <w:t xml:space="preserve"> T-10.774.002, </w:t>
      </w:r>
      <w:r w:rsidRPr="007D2582">
        <w:rPr>
          <w:i/>
          <w:iCs/>
          <w:sz w:val="20"/>
          <w:szCs w:val="20"/>
        </w:rPr>
        <w:t>(6)</w:t>
      </w:r>
      <w:r w:rsidRPr="007D2582">
        <w:rPr>
          <w:sz w:val="20"/>
          <w:szCs w:val="20"/>
        </w:rPr>
        <w:t xml:space="preserve"> T-10.781.205, </w:t>
      </w:r>
      <w:r w:rsidRPr="007D2582">
        <w:rPr>
          <w:i/>
          <w:iCs/>
          <w:sz w:val="20"/>
          <w:szCs w:val="20"/>
        </w:rPr>
        <w:t>(8)</w:t>
      </w:r>
      <w:r w:rsidRPr="007D2582">
        <w:rPr>
          <w:sz w:val="20"/>
          <w:szCs w:val="20"/>
        </w:rPr>
        <w:t xml:space="preserve"> T-10.781.400, </w:t>
      </w:r>
      <w:r w:rsidRPr="007D2582">
        <w:rPr>
          <w:i/>
          <w:iCs/>
          <w:sz w:val="20"/>
          <w:szCs w:val="20"/>
        </w:rPr>
        <w:t>(9)</w:t>
      </w:r>
      <w:r w:rsidRPr="007D2582">
        <w:rPr>
          <w:sz w:val="20"/>
          <w:szCs w:val="20"/>
        </w:rPr>
        <w:t xml:space="preserve"> T-10.785.672, </w:t>
      </w:r>
      <w:r w:rsidRPr="007D2582">
        <w:rPr>
          <w:i/>
          <w:iCs/>
          <w:sz w:val="20"/>
          <w:szCs w:val="20"/>
        </w:rPr>
        <w:t>(13)</w:t>
      </w:r>
      <w:r w:rsidRPr="007D2582">
        <w:rPr>
          <w:sz w:val="20"/>
          <w:szCs w:val="20"/>
        </w:rPr>
        <w:t xml:space="preserve"> T-10.790.526, </w:t>
      </w:r>
      <w:r w:rsidRPr="007D2582">
        <w:rPr>
          <w:i/>
          <w:iCs/>
          <w:sz w:val="20"/>
          <w:szCs w:val="20"/>
        </w:rPr>
        <w:t>(14)</w:t>
      </w:r>
      <w:r w:rsidRPr="007D2582">
        <w:rPr>
          <w:sz w:val="20"/>
          <w:szCs w:val="20"/>
        </w:rPr>
        <w:t xml:space="preserve"> T-10.787.409, </w:t>
      </w:r>
      <w:r w:rsidRPr="007D2582">
        <w:rPr>
          <w:i/>
          <w:iCs/>
          <w:sz w:val="20"/>
          <w:szCs w:val="20"/>
        </w:rPr>
        <w:t>(15)</w:t>
      </w:r>
      <w:r w:rsidRPr="007D2582">
        <w:rPr>
          <w:sz w:val="20"/>
          <w:szCs w:val="20"/>
        </w:rPr>
        <w:t xml:space="preserve"> T-10.796.422, </w:t>
      </w:r>
      <w:r w:rsidRPr="007D2582">
        <w:rPr>
          <w:i/>
          <w:iCs/>
          <w:sz w:val="20"/>
          <w:szCs w:val="20"/>
        </w:rPr>
        <w:t>(18)</w:t>
      </w:r>
      <w:r w:rsidRPr="007D2582">
        <w:rPr>
          <w:sz w:val="20"/>
          <w:szCs w:val="20"/>
        </w:rPr>
        <w:t xml:space="preserve"> T-10.800.631, </w:t>
      </w:r>
      <w:r w:rsidRPr="007D2582">
        <w:rPr>
          <w:i/>
          <w:iCs/>
          <w:sz w:val="20"/>
          <w:szCs w:val="20"/>
        </w:rPr>
        <w:t>(19)</w:t>
      </w:r>
      <w:r w:rsidRPr="007D2582">
        <w:rPr>
          <w:sz w:val="20"/>
          <w:szCs w:val="20"/>
        </w:rPr>
        <w:t xml:space="preserve"> T-10.800.758, </w:t>
      </w:r>
      <w:r w:rsidRPr="007D2582">
        <w:rPr>
          <w:i/>
          <w:iCs/>
          <w:sz w:val="20"/>
          <w:szCs w:val="20"/>
        </w:rPr>
        <w:t>(23)</w:t>
      </w:r>
      <w:r w:rsidRPr="007D2582">
        <w:rPr>
          <w:sz w:val="20"/>
          <w:szCs w:val="20"/>
        </w:rPr>
        <w:t xml:space="preserve"> T-10.810.117, </w:t>
      </w:r>
      <w:r w:rsidRPr="007D2582">
        <w:rPr>
          <w:i/>
          <w:iCs/>
          <w:sz w:val="20"/>
          <w:szCs w:val="20"/>
        </w:rPr>
        <w:t>(24)</w:t>
      </w:r>
      <w:r w:rsidRPr="007D2582">
        <w:rPr>
          <w:sz w:val="20"/>
          <w:szCs w:val="20"/>
        </w:rPr>
        <w:t xml:space="preserve"> T-10.810.192, </w:t>
      </w:r>
      <w:r w:rsidRPr="007D2582">
        <w:rPr>
          <w:i/>
          <w:iCs/>
          <w:sz w:val="20"/>
          <w:szCs w:val="20"/>
        </w:rPr>
        <w:t>(26)</w:t>
      </w:r>
      <w:r w:rsidRPr="007D2582">
        <w:rPr>
          <w:sz w:val="20"/>
          <w:szCs w:val="20"/>
        </w:rPr>
        <w:t xml:space="preserve"> T-10.811.650, y </w:t>
      </w:r>
      <w:r w:rsidRPr="007D2582">
        <w:rPr>
          <w:i/>
          <w:iCs/>
          <w:sz w:val="20"/>
          <w:szCs w:val="20"/>
        </w:rPr>
        <w:t>(27)</w:t>
      </w:r>
      <w:r w:rsidRPr="007D2582">
        <w:rPr>
          <w:sz w:val="20"/>
          <w:szCs w:val="20"/>
        </w:rPr>
        <w:t xml:space="preserve"> T-10.811.732.</w:t>
      </w:r>
    </w:p>
  </w:footnote>
  <w:footnote w:id="11">
    <w:p w14:paraId="6EE66194" w14:textId="77777777" w:rsidR="00600EE1" w:rsidRPr="007D2582" w:rsidRDefault="00551339" w:rsidP="00933AF9">
      <w:pPr>
        <w:pBdr>
          <w:top w:val="nil"/>
          <w:left w:val="nil"/>
          <w:bottom w:val="nil"/>
          <w:right w:val="nil"/>
          <w:between w:val="nil"/>
        </w:pBdr>
        <w:jc w:val="both"/>
        <w:rPr>
          <w:sz w:val="20"/>
          <w:szCs w:val="20"/>
        </w:rPr>
      </w:pPr>
      <w:r w:rsidRPr="007D2582">
        <w:rPr>
          <w:sz w:val="20"/>
          <w:szCs w:val="20"/>
          <w:vertAlign w:val="superscript"/>
        </w:rPr>
        <w:footnoteRef/>
      </w:r>
      <w:r w:rsidRPr="007D2582">
        <w:rPr>
          <w:sz w:val="20"/>
          <w:szCs w:val="20"/>
          <w:vertAlign w:val="superscript"/>
        </w:rPr>
        <w:t xml:space="preserve"> </w:t>
      </w:r>
      <w:r w:rsidRPr="007D2582">
        <w:rPr>
          <w:sz w:val="20"/>
          <w:szCs w:val="20"/>
        </w:rPr>
        <w:t xml:space="preserve">Expediente </w:t>
      </w:r>
      <w:r w:rsidRPr="007D2582">
        <w:rPr>
          <w:i/>
          <w:iCs/>
          <w:sz w:val="20"/>
          <w:szCs w:val="20"/>
        </w:rPr>
        <w:t>(14)</w:t>
      </w:r>
      <w:r w:rsidRPr="007D2582">
        <w:rPr>
          <w:sz w:val="20"/>
          <w:szCs w:val="20"/>
        </w:rPr>
        <w:t xml:space="preserve"> T-10.787.409. </w:t>
      </w:r>
    </w:p>
    <w:bookmarkStart w:id="2" w:name="_5m7gcwfa30n9" w:colFirst="0" w:colLast="0"/>
    <w:bookmarkEnd w:id="2"/>
  </w:footnote>
  <w:footnote w:id="12">
    <w:p w14:paraId="6EE66195" w14:textId="77777777" w:rsidR="00600EE1" w:rsidRPr="007D2582" w:rsidRDefault="00551339" w:rsidP="00933AF9">
      <w:pPr>
        <w:pBdr>
          <w:top w:val="nil"/>
          <w:left w:val="nil"/>
          <w:bottom w:val="nil"/>
          <w:right w:val="nil"/>
          <w:between w:val="nil"/>
        </w:pBdr>
        <w:jc w:val="both"/>
        <w:rPr>
          <w:sz w:val="20"/>
          <w:szCs w:val="20"/>
        </w:rPr>
      </w:pPr>
      <w:bookmarkStart w:id="3" w:name="_5m7gcwfa30n9" w:colFirst="0" w:colLast="0"/>
      <w:bookmarkEnd w:id="3"/>
      <w:r w:rsidRPr="007D2582">
        <w:rPr>
          <w:sz w:val="20"/>
          <w:szCs w:val="20"/>
          <w:vertAlign w:val="superscript"/>
        </w:rPr>
        <w:footnoteRef/>
      </w:r>
      <w:r w:rsidRPr="007D2582">
        <w:rPr>
          <w:sz w:val="20"/>
          <w:szCs w:val="20"/>
          <w:vertAlign w:val="superscript"/>
        </w:rPr>
        <w:t xml:space="preserve"> </w:t>
      </w:r>
      <w:r w:rsidRPr="007D2582">
        <w:rPr>
          <w:sz w:val="20"/>
          <w:szCs w:val="20"/>
        </w:rPr>
        <w:t xml:space="preserve">Expedientes </w:t>
      </w:r>
      <w:r w:rsidRPr="007D2582">
        <w:rPr>
          <w:i/>
          <w:iCs/>
          <w:sz w:val="20"/>
          <w:szCs w:val="20"/>
        </w:rPr>
        <w:t>(1)</w:t>
      </w:r>
      <w:r w:rsidRPr="007D2582">
        <w:rPr>
          <w:sz w:val="20"/>
          <w:szCs w:val="20"/>
        </w:rPr>
        <w:t xml:space="preserve"> T-10.641.262, </w:t>
      </w:r>
      <w:r w:rsidRPr="007D2582">
        <w:rPr>
          <w:i/>
          <w:iCs/>
          <w:sz w:val="20"/>
          <w:szCs w:val="20"/>
        </w:rPr>
        <w:t>(4)</w:t>
      </w:r>
      <w:r w:rsidRPr="007D2582">
        <w:rPr>
          <w:sz w:val="20"/>
          <w:szCs w:val="20"/>
        </w:rPr>
        <w:t xml:space="preserve"> T-10.773.996, </w:t>
      </w:r>
      <w:r w:rsidRPr="007D2582">
        <w:rPr>
          <w:i/>
          <w:iCs/>
          <w:sz w:val="20"/>
          <w:szCs w:val="20"/>
        </w:rPr>
        <w:t>(7)</w:t>
      </w:r>
      <w:r w:rsidRPr="007D2582">
        <w:rPr>
          <w:sz w:val="20"/>
          <w:szCs w:val="20"/>
        </w:rPr>
        <w:t xml:space="preserve"> T-10.781.215 y </w:t>
      </w:r>
      <w:r w:rsidRPr="007D2582">
        <w:rPr>
          <w:i/>
          <w:iCs/>
          <w:sz w:val="20"/>
          <w:szCs w:val="20"/>
        </w:rPr>
        <w:t>(27)</w:t>
      </w:r>
      <w:r w:rsidRPr="007D2582">
        <w:rPr>
          <w:sz w:val="20"/>
          <w:szCs w:val="20"/>
        </w:rPr>
        <w:t xml:space="preserve"> T-10.811.732. La medida provisional de concedió solo en el expediente </w:t>
      </w:r>
      <w:r w:rsidRPr="007D2582">
        <w:rPr>
          <w:i/>
          <w:iCs/>
          <w:sz w:val="20"/>
          <w:szCs w:val="20"/>
        </w:rPr>
        <w:t>(7)</w:t>
      </w:r>
      <w:r w:rsidRPr="007D2582">
        <w:rPr>
          <w:sz w:val="20"/>
          <w:szCs w:val="20"/>
        </w:rPr>
        <w:t xml:space="preserve"> T-10.781.215. La accionante del expediente </w:t>
      </w:r>
      <w:r w:rsidRPr="007D2582">
        <w:rPr>
          <w:i/>
          <w:iCs/>
          <w:sz w:val="20"/>
          <w:szCs w:val="20"/>
        </w:rPr>
        <w:t>(1)</w:t>
      </w:r>
      <w:r w:rsidRPr="007D2582">
        <w:rPr>
          <w:sz w:val="20"/>
          <w:szCs w:val="20"/>
        </w:rPr>
        <w:t xml:space="preserve"> T-10.641.262 reiteró la solicitud de esta medida provisional como se expondrá más adelante.</w:t>
      </w:r>
      <w:r w:rsidRPr="007D2582">
        <w:rPr>
          <w:sz w:val="21"/>
          <w:szCs w:val="21"/>
        </w:rPr>
        <w:t xml:space="preserve"> </w:t>
      </w:r>
    </w:p>
  </w:footnote>
  <w:footnote w:id="13">
    <w:p w14:paraId="6EE66196" w14:textId="25A0D8F9" w:rsidR="00600EE1" w:rsidRPr="007D2582" w:rsidRDefault="00551339" w:rsidP="00933AF9">
      <w:pPr>
        <w:pBdr>
          <w:top w:val="nil"/>
          <w:left w:val="nil"/>
          <w:bottom w:val="nil"/>
          <w:right w:val="nil"/>
          <w:between w:val="nil"/>
        </w:pBdr>
        <w:jc w:val="both"/>
        <w:rPr>
          <w:sz w:val="20"/>
          <w:szCs w:val="20"/>
        </w:rPr>
      </w:pPr>
      <w:r w:rsidRPr="007D2582">
        <w:rPr>
          <w:sz w:val="20"/>
          <w:szCs w:val="20"/>
          <w:vertAlign w:val="superscript"/>
        </w:rPr>
        <w:footnoteRef/>
      </w:r>
      <w:r w:rsidRPr="007D2582">
        <w:rPr>
          <w:sz w:val="20"/>
          <w:szCs w:val="20"/>
          <w:vertAlign w:val="superscript"/>
        </w:rPr>
        <w:t xml:space="preserve"> </w:t>
      </w:r>
      <w:r w:rsidRPr="007D2582">
        <w:rPr>
          <w:sz w:val="20"/>
          <w:szCs w:val="20"/>
        </w:rPr>
        <w:t xml:space="preserve">Solo en cinco de los </w:t>
      </w:r>
      <w:r w:rsidR="00941CD0" w:rsidRPr="007D2582">
        <w:rPr>
          <w:sz w:val="20"/>
          <w:szCs w:val="20"/>
        </w:rPr>
        <w:t>30</w:t>
      </w:r>
      <w:r w:rsidRPr="007D2582">
        <w:rPr>
          <w:sz w:val="20"/>
          <w:szCs w:val="20"/>
        </w:rPr>
        <w:t xml:space="preserve"> expedientes que se revisan la decisión de primera instancia fue impugnada. Se trata de los expedientes: </w:t>
      </w:r>
      <w:r w:rsidRPr="007D2582">
        <w:rPr>
          <w:i/>
          <w:iCs/>
          <w:sz w:val="20"/>
          <w:szCs w:val="20"/>
        </w:rPr>
        <w:t>(8)</w:t>
      </w:r>
      <w:r w:rsidRPr="007D2582">
        <w:rPr>
          <w:sz w:val="20"/>
          <w:szCs w:val="20"/>
        </w:rPr>
        <w:t xml:space="preserve"> T-10.781.400, </w:t>
      </w:r>
      <w:r w:rsidRPr="007D2582">
        <w:rPr>
          <w:i/>
          <w:iCs/>
          <w:sz w:val="20"/>
          <w:szCs w:val="20"/>
        </w:rPr>
        <w:t>(14)</w:t>
      </w:r>
      <w:r w:rsidRPr="007D2582">
        <w:rPr>
          <w:sz w:val="20"/>
          <w:szCs w:val="20"/>
        </w:rPr>
        <w:t xml:space="preserve"> T-10.787.409, </w:t>
      </w:r>
      <w:r w:rsidRPr="007D2582">
        <w:rPr>
          <w:i/>
          <w:iCs/>
          <w:sz w:val="20"/>
          <w:szCs w:val="20"/>
        </w:rPr>
        <w:t>(15)</w:t>
      </w:r>
      <w:r w:rsidRPr="007D2582">
        <w:rPr>
          <w:sz w:val="20"/>
          <w:szCs w:val="20"/>
        </w:rPr>
        <w:t xml:space="preserve"> T-10.796.422, </w:t>
      </w:r>
      <w:r w:rsidRPr="007D2582">
        <w:rPr>
          <w:i/>
          <w:iCs/>
          <w:sz w:val="20"/>
          <w:szCs w:val="20"/>
        </w:rPr>
        <w:t>(17)</w:t>
      </w:r>
      <w:r w:rsidRPr="007D2582">
        <w:rPr>
          <w:sz w:val="20"/>
          <w:szCs w:val="20"/>
        </w:rPr>
        <w:t xml:space="preserve"> T-10.796.598 y </w:t>
      </w:r>
      <w:r w:rsidRPr="007D2582">
        <w:rPr>
          <w:i/>
          <w:iCs/>
          <w:sz w:val="20"/>
          <w:szCs w:val="20"/>
        </w:rPr>
        <w:t>(23)</w:t>
      </w:r>
      <w:r w:rsidRPr="007D2582">
        <w:rPr>
          <w:sz w:val="20"/>
          <w:szCs w:val="20"/>
        </w:rPr>
        <w:t xml:space="preserve"> T-10.810.117.</w:t>
      </w:r>
    </w:p>
  </w:footnote>
  <w:footnote w:id="14">
    <w:p w14:paraId="08EF9AF4" w14:textId="65CED90A" w:rsidR="00980CC7" w:rsidRPr="007D2582" w:rsidRDefault="00980CC7" w:rsidP="00933AF9">
      <w:pPr>
        <w:jc w:val="both"/>
        <w:rPr>
          <w:sz w:val="20"/>
          <w:szCs w:val="20"/>
          <w:lang w:val="es-CO" w:eastAsia="es-MX"/>
        </w:rPr>
      </w:pPr>
      <w:r w:rsidRPr="00EA1CDA">
        <w:rPr>
          <w:rStyle w:val="Refdenotaalpie"/>
          <w:sz w:val="18"/>
          <w:szCs w:val="18"/>
        </w:rPr>
        <w:footnoteRef/>
      </w:r>
      <w:r w:rsidRPr="00EA1CDA">
        <w:rPr>
          <w:sz w:val="18"/>
          <w:szCs w:val="18"/>
        </w:rPr>
        <w:t xml:space="preserve"> </w:t>
      </w:r>
      <w:r w:rsidR="00F22A44" w:rsidRPr="007D2582">
        <w:rPr>
          <w:sz w:val="20"/>
          <w:szCs w:val="20"/>
          <w:lang w:val="es-CO" w:eastAsia="es-MX"/>
        </w:rPr>
        <w:t>En el Auto de pruebas del 17 de marzo de 2025, el magistrado sustanciador ordenó, entre otras disposiciones, al Ministerio de Salud y Protección Social, al Invima, a la Comisión Nacional de Precios de Medicamentos y Dispositivos Médicos, y a la Cuenta de Alto Costo, responder un cuestionario relacionado con el diseño, la implementación y el seguimiento de lineamientos y programas vinculados con el tema objeto de revisión. Asimismo, se requirió a las Entidades Promotoras de Salud (EPS), Instituciones Prestadoras de Salud (IPS), asociaciones del sector y al gremio farmacéutico, responder una serie de preguntas específicas sobre el asunto en estudio. Adicionalmente, se ordenó a la Delegada para el Derecho a la Salud y la Seguridad Social de la Defensoría del Pueblo, a la Delegada para la Salud, la Protección Social y el Trabajo Decente de la Procuraduría General de la Nación, y a la Superintendencia Nacional de Salud, remitir información a esta Corporación sobre los siguientes aspectos: (i) el fenómeno de desabastecimiento o falta de suministro oportuno de medicamentos; (</w:t>
      </w:r>
      <w:proofErr w:type="spellStart"/>
      <w:r w:rsidR="00F22A44" w:rsidRPr="007D2582">
        <w:rPr>
          <w:sz w:val="20"/>
          <w:szCs w:val="20"/>
          <w:lang w:val="es-CO" w:eastAsia="es-MX"/>
        </w:rPr>
        <w:t>ii</w:t>
      </w:r>
      <w:proofErr w:type="spellEnd"/>
      <w:r w:rsidR="00F22A44" w:rsidRPr="007D2582">
        <w:rPr>
          <w:sz w:val="20"/>
          <w:szCs w:val="20"/>
          <w:lang w:val="es-CO" w:eastAsia="es-MX"/>
        </w:rPr>
        <w:t>) el estado de las actuaciones y diligencias adelantadas, así como los avances, resultados del seguimiento y compromisos institucionales asumidos; y (</w:t>
      </w:r>
      <w:proofErr w:type="spellStart"/>
      <w:r w:rsidR="00F22A44" w:rsidRPr="007D2582">
        <w:rPr>
          <w:sz w:val="20"/>
          <w:szCs w:val="20"/>
          <w:lang w:val="es-CO" w:eastAsia="es-MX"/>
        </w:rPr>
        <w:t>iii</w:t>
      </w:r>
      <w:proofErr w:type="spellEnd"/>
      <w:r w:rsidR="00F22A44" w:rsidRPr="007D2582">
        <w:rPr>
          <w:sz w:val="20"/>
          <w:szCs w:val="20"/>
          <w:lang w:val="es-CO" w:eastAsia="es-MX"/>
        </w:rPr>
        <w:t>) el inicio de procesos de vigilancia o monitoreo frente a alguna de las EPS o IPS accionadas por la falta o entrega tardía de medicamentos, el estado actual de dichos procesos, sus hallazgos y resultados, y, en caso de haberse impuesto sanciones, especificar cuáles fueron.</w:t>
      </w:r>
    </w:p>
  </w:footnote>
  <w:footnote w:id="15">
    <w:p w14:paraId="26C5C28A" w14:textId="77777777" w:rsidR="00780155" w:rsidRPr="007D2582" w:rsidRDefault="00780155" w:rsidP="00933AF9">
      <w:pPr>
        <w:pBdr>
          <w:top w:val="nil"/>
          <w:left w:val="nil"/>
          <w:bottom w:val="nil"/>
          <w:right w:val="nil"/>
          <w:between w:val="nil"/>
        </w:pBdr>
        <w:jc w:val="both"/>
        <w:rPr>
          <w:sz w:val="20"/>
          <w:szCs w:val="20"/>
        </w:rPr>
      </w:pPr>
      <w:r w:rsidRPr="007D2582">
        <w:rPr>
          <w:sz w:val="20"/>
          <w:szCs w:val="20"/>
          <w:vertAlign w:val="superscript"/>
        </w:rPr>
        <w:footnoteRef/>
      </w:r>
      <w:r w:rsidRPr="007D2582">
        <w:rPr>
          <w:sz w:val="20"/>
          <w:szCs w:val="20"/>
        </w:rPr>
        <w:t xml:space="preserve"> Expediente </w:t>
      </w:r>
      <w:r w:rsidRPr="007D2582">
        <w:rPr>
          <w:i/>
          <w:iCs/>
          <w:sz w:val="20"/>
          <w:szCs w:val="20"/>
        </w:rPr>
        <w:t>(1)</w:t>
      </w:r>
      <w:r w:rsidRPr="007D2582">
        <w:rPr>
          <w:sz w:val="20"/>
          <w:szCs w:val="20"/>
        </w:rPr>
        <w:t xml:space="preserve"> T- 10.641.262. Solicitud de medida provisional del 19 de marzo de 2025, p. 9.</w:t>
      </w:r>
    </w:p>
  </w:footnote>
  <w:footnote w:id="16">
    <w:p w14:paraId="0BC50100" w14:textId="77777777" w:rsidR="00780155" w:rsidRPr="007D2582" w:rsidRDefault="00780155" w:rsidP="00933AF9">
      <w:pPr>
        <w:pBdr>
          <w:top w:val="nil"/>
          <w:left w:val="nil"/>
          <w:bottom w:val="nil"/>
          <w:right w:val="nil"/>
          <w:between w:val="nil"/>
        </w:pBdr>
        <w:jc w:val="both"/>
        <w:rPr>
          <w:sz w:val="20"/>
          <w:szCs w:val="20"/>
        </w:rPr>
      </w:pPr>
      <w:r w:rsidRPr="007D2582">
        <w:rPr>
          <w:sz w:val="20"/>
          <w:szCs w:val="20"/>
          <w:vertAlign w:val="superscript"/>
        </w:rPr>
        <w:footnoteRef/>
      </w:r>
      <w:r w:rsidRPr="007D2582">
        <w:rPr>
          <w:sz w:val="20"/>
          <w:szCs w:val="20"/>
          <w:vertAlign w:val="superscript"/>
        </w:rPr>
        <w:t xml:space="preserve"> </w:t>
      </w:r>
      <w:r w:rsidRPr="007D2582">
        <w:rPr>
          <w:sz w:val="20"/>
          <w:szCs w:val="20"/>
        </w:rPr>
        <w:t xml:space="preserve">Expediente </w:t>
      </w:r>
      <w:r w:rsidRPr="007D2582">
        <w:rPr>
          <w:i/>
          <w:iCs/>
          <w:sz w:val="20"/>
          <w:szCs w:val="20"/>
        </w:rPr>
        <w:t>(1)</w:t>
      </w:r>
      <w:r w:rsidRPr="007D2582">
        <w:rPr>
          <w:sz w:val="20"/>
          <w:szCs w:val="20"/>
        </w:rPr>
        <w:t xml:space="preserve"> T- 10.641.262. Solicitud de medida provisional del 19 de marzo de 2025, p. 5.</w:t>
      </w:r>
    </w:p>
  </w:footnote>
  <w:footnote w:id="17">
    <w:p w14:paraId="5E8CEFE2" w14:textId="3991F95E" w:rsidR="00780155" w:rsidRPr="00EA1CDA" w:rsidRDefault="00780155" w:rsidP="00933AF9">
      <w:pPr>
        <w:pBdr>
          <w:top w:val="nil"/>
          <w:left w:val="nil"/>
          <w:bottom w:val="nil"/>
          <w:right w:val="nil"/>
          <w:between w:val="nil"/>
        </w:pBdr>
        <w:jc w:val="both"/>
        <w:rPr>
          <w:sz w:val="18"/>
          <w:szCs w:val="18"/>
        </w:rPr>
      </w:pPr>
      <w:r w:rsidRPr="007D2582">
        <w:rPr>
          <w:sz w:val="20"/>
          <w:szCs w:val="20"/>
          <w:vertAlign w:val="superscript"/>
        </w:rPr>
        <w:footnoteRef/>
      </w:r>
      <w:r w:rsidRPr="007D2582">
        <w:rPr>
          <w:sz w:val="20"/>
          <w:szCs w:val="20"/>
          <w:vertAlign w:val="superscript"/>
        </w:rPr>
        <w:t xml:space="preserve"> </w:t>
      </w:r>
      <w:r w:rsidRPr="007D2582">
        <w:rPr>
          <w:sz w:val="20"/>
          <w:szCs w:val="20"/>
        </w:rPr>
        <w:t xml:space="preserve">Expediente </w:t>
      </w:r>
      <w:r w:rsidRPr="007D2582">
        <w:rPr>
          <w:i/>
          <w:iCs/>
          <w:sz w:val="20"/>
          <w:szCs w:val="20"/>
        </w:rPr>
        <w:t>(1)</w:t>
      </w:r>
      <w:r w:rsidRPr="007D2582">
        <w:rPr>
          <w:sz w:val="20"/>
          <w:szCs w:val="20"/>
        </w:rPr>
        <w:t xml:space="preserve"> T- 10.641.262. Solicitud de medida provisional del 19 de marzo de 2025, p. 7. En esta solicitud informó concretamente que ha presentado las siguientes acciones de tutela: En concreto, señaló haber</w:t>
      </w:r>
      <w:r w:rsidR="00BA0FC7" w:rsidRPr="007D2582">
        <w:rPr>
          <w:sz w:val="20"/>
          <w:szCs w:val="20"/>
        </w:rPr>
        <w:t xml:space="preserve"> </w:t>
      </w:r>
      <w:r w:rsidRPr="007D2582">
        <w:rPr>
          <w:sz w:val="20"/>
          <w:szCs w:val="20"/>
        </w:rPr>
        <w:t>presentado las siguientes acciones de tutela:</w:t>
      </w:r>
      <w:r w:rsidR="00900594" w:rsidRPr="007D2582">
        <w:rPr>
          <w:sz w:val="20"/>
          <w:szCs w:val="20"/>
        </w:rPr>
        <w:t xml:space="preserve"> </w:t>
      </w:r>
      <w:r w:rsidR="00F12849" w:rsidRPr="007D2582">
        <w:rPr>
          <w:sz w:val="20"/>
          <w:szCs w:val="20"/>
        </w:rPr>
        <w:t xml:space="preserve">(i) </w:t>
      </w:r>
      <w:r w:rsidRPr="007D2582">
        <w:rPr>
          <w:sz w:val="20"/>
          <w:szCs w:val="20"/>
        </w:rPr>
        <w:t xml:space="preserve">Rad. 11001430300420220028900 fallada por el Juzgado </w:t>
      </w:r>
      <w:r w:rsidR="00CC4EF8" w:rsidRPr="007D2582">
        <w:rPr>
          <w:sz w:val="20"/>
          <w:szCs w:val="20"/>
        </w:rPr>
        <w:t>004</w:t>
      </w:r>
      <w:r w:rsidRPr="007D2582">
        <w:rPr>
          <w:sz w:val="20"/>
          <w:szCs w:val="20"/>
        </w:rPr>
        <w:t xml:space="preserve"> Civil Municipal con Función de Ejecución de Sentencias de Bogotá</w:t>
      </w:r>
      <w:r w:rsidR="00F12849" w:rsidRPr="007D2582">
        <w:rPr>
          <w:sz w:val="20"/>
          <w:szCs w:val="20"/>
        </w:rPr>
        <w:t>; (</w:t>
      </w:r>
      <w:proofErr w:type="spellStart"/>
      <w:r w:rsidR="00F12849" w:rsidRPr="007D2582">
        <w:rPr>
          <w:sz w:val="20"/>
          <w:szCs w:val="20"/>
        </w:rPr>
        <w:t>ii</w:t>
      </w:r>
      <w:proofErr w:type="spellEnd"/>
      <w:r w:rsidR="00F12849" w:rsidRPr="007D2582">
        <w:rPr>
          <w:sz w:val="20"/>
          <w:szCs w:val="20"/>
        </w:rPr>
        <w:t xml:space="preserve">) </w:t>
      </w:r>
      <w:r w:rsidRPr="007D2582">
        <w:rPr>
          <w:sz w:val="20"/>
          <w:szCs w:val="20"/>
        </w:rPr>
        <w:t xml:space="preserve">Rad. 110014088064202200117 fallada por el Juzgado </w:t>
      </w:r>
      <w:r w:rsidR="00CC4EF8" w:rsidRPr="007D2582">
        <w:rPr>
          <w:sz w:val="20"/>
          <w:szCs w:val="20"/>
        </w:rPr>
        <w:t>0</w:t>
      </w:r>
      <w:r w:rsidRPr="007D2582">
        <w:rPr>
          <w:sz w:val="20"/>
          <w:szCs w:val="20"/>
        </w:rPr>
        <w:t>64 Penal Municipal con Función de Control de Garantías de Bogotá</w:t>
      </w:r>
      <w:r w:rsidR="00F12849" w:rsidRPr="007D2582">
        <w:rPr>
          <w:sz w:val="20"/>
          <w:szCs w:val="20"/>
        </w:rPr>
        <w:t>; (</w:t>
      </w:r>
      <w:proofErr w:type="spellStart"/>
      <w:r w:rsidR="00F12849" w:rsidRPr="007D2582">
        <w:rPr>
          <w:sz w:val="20"/>
          <w:szCs w:val="20"/>
        </w:rPr>
        <w:t>iii</w:t>
      </w:r>
      <w:proofErr w:type="spellEnd"/>
      <w:r w:rsidR="00F12849" w:rsidRPr="007D2582">
        <w:rPr>
          <w:sz w:val="20"/>
          <w:szCs w:val="20"/>
        </w:rPr>
        <w:t xml:space="preserve">) </w:t>
      </w:r>
      <w:r w:rsidRPr="007D2582">
        <w:rPr>
          <w:sz w:val="20"/>
          <w:szCs w:val="20"/>
        </w:rPr>
        <w:t xml:space="preserve">Rad. 1101400305620230040200 fallada por el Juzgado </w:t>
      </w:r>
      <w:r w:rsidR="00CC4EF8" w:rsidRPr="007D2582">
        <w:rPr>
          <w:sz w:val="20"/>
          <w:szCs w:val="20"/>
        </w:rPr>
        <w:t>0</w:t>
      </w:r>
      <w:r w:rsidRPr="007D2582">
        <w:rPr>
          <w:sz w:val="20"/>
          <w:szCs w:val="20"/>
        </w:rPr>
        <w:t>56 Civil Municipal de Oralidad de Bogotá</w:t>
      </w:r>
      <w:r w:rsidR="00F12849" w:rsidRPr="007D2582">
        <w:rPr>
          <w:sz w:val="20"/>
          <w:szCs w:val="20"/>
        </w:rPr>
        <w:t>; (</w:t>
      </w:r>
      <w:proofErr w:type="spellStart"/>
      <w:r w:rsidR="00F12849" w:rsidRPr="007D2582">
        <w:rPr>
          <w:sz w:val="20"/>
          <w:szCs w:val="20"/>
        </w:rPr>
        <w:t>iv</w:t>
      </w:r>
      <w:proofErr w:type="spellEnd"/>
      <w:r w:rsidR="00F12849" w:rsidRPr="007D2582">
        <w:rPr>
          <w:sz w:val="20"/>
          <w:szCs w:val="20"/>
        </w:rPr>
        <w:t xml:space="preserve">) </w:t>
      </w:r>
      <w:r w:rsidRPr="007D2582">
        <w:rPr>
          <w:sz w:val="20"/>
          <w:szCs w:val="20"/>
        </w:rPr>
        <w:t xml:space="preserve">Rad. 11001400301720240003200 fallada por el Juzgado </w:t>
      </w:r>
      <w:r w:rsidR="00CC4EF8" w:rsidRPr="007D2582">
        <w:rPr>
          <w:sz w:val="20"/>
          <w:szCs w:val="20"/>
        </w:rPr>
        <w:t>0</w:t>
      </w:r>
      <w:r w:rsidRPr="007D2582">
        <w:rPr>
          <w:sz w:val="20"/>
          <w:szCs w:val="20"/>
        </w:rPr>
        <w:t>17 Civil Municipal de Bogotá</w:t>
      </w:r>
      <w:r w:rsidR="00F12849" w:rsidRPr="007D2582">
        <w:rPr>
          <w:sz w:val="20"/>
          <w:szCs w:val="20"/>
        </w:rPr>
        <w:t xml:space="preserve">; (v) </w:t>
      </w:r>
      <w:r w:rsidRPr="007D2582">
        <w:rPr>
          <w:sz w:val="20"/>
          <w:szCs w:val="20"/>
        </w:rPr>
        <w:t xml:space="preserve">Rad. 11001418906920240090400 fallada por el Juzgado </w:t>
      </w:r>
      <w:r w:rsidR="00CC4EF8" w:rsidRPr="007D2582">
        <w:rPr>
          <w:sz w:val="20"/>
          <w:szCs w:val="20"/>
        </w:rPr>
        <w:t>0</w:t>
      </w:r>
      <w:r w:rsidRPr="007D2582">
        <w:rPr>
          <w:sz w:val="20"/>
          <w:szCs w:val="20"/>
        </w:rPr>
        <w:t>69 de Pequeñas Causas y Competencia Múltiple de Bogotá</w:t>
      </w:r>
      <w:r w:rsidR="001F0B3E" w:rsidRPr="007D2582">
        <w:rPr>
          <w:sz w:val="20"/>
          <w:szCs w:val="20"/>
        </w:rPr>
        <w:t xml:space="preserve">; (vi) </w:t>
      </w:r>
      <w:r w:rsidRPr="007D2582">
        <w:rPr>
          <w:sz w:val="20"/>
          <w:szCs w:val="20"/>
        </w:rPr>
        <w:t xml:space="preserve">Rad. 11001418900620240133800 fallada por el Juzgado </w:t>
      </w:r>
      <w:r w:rsidR="00CC4EF8" w:rsidRPr="007D2582">
        <w:rPr>
          <w:sz w:val="20"/>
          <w:szCs w:val="20"/>
        </w:rPr>
        <w:t>00</w:t>
      </w:r>
      <w:r w:rsidRPr="007D2582">
        <w:rPr>
          <w:sz w:val="20"/>
          <w:szCs w:val="20"/>
        </w:rPr>
        <w:t>6 de Pequeñas Causas y Competencia Múltiple de Bogotá</w:t>
      </w:r>
      <w:r w:rsidR="001F0B3E" w:rsidRPr="007D2582">
        <w:rPr>
          <w:sz w:val="20"/>
          <w:szCs w:val="20"/>
        </w:rPr>
        <w:t>; (</w:t>
      </w:r>
      <w:proofErr w:type="spellStart"/>
      <w:r w:rsidR="00BA0FC7" w:rsidRPr="007D2582">
        <w:rPr>
          <w:sz w:val="20"/>
          <w:szCs w:val="20"/>
        </w:rPr>
        <w:t>vii</w:t>
      </w:r>
      <w:proofErr w:type="spellEnd"/>
      <w:r w:rsidR="00BA0FC7" w:rsidRPr="007D2582">
        <w:rPr>
          <w:sz w:val="20"/>
          <w:szCs w:val="20"/>
        </w:rPr>
        <w:t xml:space="preserve">) </w:t>
      </w:r>
      <w:r w:rsidRPr="007D2582">
        <w:rPr>
          <w:sz w:val="20"/>
          <w:szCs w:val="20"/>
        </w:rPr>
        <w:t xml:space="preserve">Rad. 11001418906920240184500 fallada por el Juzgado </w:t>
      </w:r>
      <w:r w:rsidR="00CC4EF8" w:rsidRPr="007D2582">
        <w:rPr>
          <w:sz w:val="20"/>
          <w:szCs w:val="20"/>
        </w:rPr>
        <w:t>0</w:t>
      </w:r>
      <w:r w:rsidRPr="007D2582">
        <w:rPr>
          <w:sz w:val="20"/>
          <w:szCs w:val="20"/>
        </w:rPr>
        <w:t>69 de Pequeñas Causas y Competencias Múltiple de Bogotá</w:t>
      </w:r>
      <w:r w:rsidR="00BA0FC7" w:rsidRPr="007D2582">
        <w:rPr>
          <w:sz w:val="20"/>
          <w:szCs w:val="20"/>
        </w:rPr>
        <w:t>; (</w:t>
      </w:r>
      <w:proofErr w:type="spellStart"/>
      <w:r w:rsidR="00BA0FC7" w:rsidRPr="007D2582">
        <w:rPr>
          <w:sz w:val="20"/>
          <w:szCs w:val="20"/>
        </w:rPr>
        <w:t>viii</w:t>
      </w:r>
      <w:proofErr w:type="spellEnd"/>
      <w:r w:rsidR="00BA0FC7" w:rsidRPr="007D2582">
        <w:rPr>
          <w:sz w:val="20"/>
          <w:szCs w:val="20"/>
        </w:rPr>
        <w:t xml:space="preserve">) </w:t>
      </w:r>
      <w:r w:rsidRPr="007D2582">
        <w:rPr>
          <w:sz w:val="20"/>
          <w:szCs w:val="20"/>
        </w:rPr>
        <w:t xml:space="preserve">Rad. 11001400300820250004700 fallada por el Juzgado </w:t>
      </w:r>
      <w:r w:rsidR="00CC4EF8" w:rsidRPr="007D2582">
        <w:rPr>
          <w:sz w:val="20"/>
          <w:szCs w:val="20"/>
        </w:rPr>
        <w:t>00</w:t>
      </w:r>
      <w:r w:rsidRPr="007D2582">
        <w:rPr>
          <w:sz w:val="20"/>
          <w:szCs w:val="20"/>
        </w:rPr>
        <w:t>8 Civil Municipal de Bogotá.</w:t>
      </w:r>
    </w:p>
  </w:footnote>
  <w:footnote w:id="18">
    <w:p w14:paraId="44643AF0" w14:textId="1107ADF4" w:rsidR="00C34763" w:rsidRPr="00907F9F" w:rsidRDefault="00C34763" w:rsidP="00C34763">
      <w:pPr>
        <w:pStyle w:val="Textonotapie"/>
        <w:jc w:val="both"/>
      </w:pPr>
      <w:r w:rsidRPr="00907F9F">
        <w:rPr>
          <w:vertAlign w:val="superscript"/>
        </w:rPr>
        <w:footnoteRef/>
      </w:r>
      <w:r w:rsidRPr="00907F9F">
        <w:t xml:space="preserve"> Expediente (1) T- 10.641.262. Solicitud de medida provisional del 25 de abril de 2025. </w:t>
      </w:r>
    </w:p>
  </w:footnote>
  <w:footnote w:id="19">
    <w:p w14:paraId="3039A96E" w14:textId="5C5FBE7D" w:rsidR="00F55EE9" w:rsidRPr="00EA1CDA" w:rsidRDefault="00F55EE9" w:rsidP="00933AF9">
      <w:pPr>
        <w:pStyle w:val="Textonotapie"/>
        <w:jc w:val="both"/>
        <w:rPr>
          <w:sz w:val="18"/>
          <w:szCs w:val="18"/>
          <w:lang w:val="es-ES_tradnl"/>
        </w:rPr>
      </w:pPr>
      <w:r w:rsidRPr="00907F9F">
        <w:rPr>
          <w:rStyle w:val="Refdenotaalpie"/>
        </w:rPr>
        <w:footnoteRef/>
      </w:r>
      <w:r w:rsidRPr="00907F9F">
        <w:t xml:space="preserve"> Este plazo se otorgó en el resolutivo segundo del </w:t>
      </w:r>
      <w:r w:rsidR="000C5F95" w:rsidRPr="00907F9F">
        <w:t>A</w:t>
      </w:r>
      <w:r w:rsidRPr="00907F9F">
        <w:t>uto del 17 de marzo de 2025 en el cual se vinculó a la entidad al presente asunto.</w:t>
      </w:r>
      <w:r w:rsidRPr="00EA1CDA">
        <w:rPr>
          <w:sz w:val="18"/>
          <w:szCs w:val="18"/>
        </w:rPr>
        <w:t xml:space="preserve"> </w:t>
      </w:r>
    </w:p>
  </w:footnote>
  <w:footnote w:id="20">
    <w:p w14:paraId="4E974CAE" w14:textId="270CE139" w:rsidR="008D6247" w:rsidRPr="00907F9F" w:rsidRDefault="008D6247" w:rsidP="00933AF9">
      <w:pPr>
        <w:pStyle w:val="Textonotapie"/>
        <w:jc w:val="both"/>
        <w:rPr>
          <w:lang w:val="es-ES"/>
        </w:rPr>
      </w:pPr>
      <w:r w:rsidRPr="00907F9F">
        <w:rPr>
          <w:rStyle w:val="Refdenotaalpie"/>
        </w:rPr>
        <w:footnoteRef/>
      </w:r>
      <w:r w:rsidRPr="00907F9F">
        <w:t xml:space="preserve"> Expedientes </w:t>
      </w:r>
      <w:r w:rsidRPr="00907F9F">
        <w:rPr>
          <w:i/>
          <w:lang w:val="es-ES"/>
        </w:rPr>
        <w:t>(1)</w:t>
      </w:r>
      <w:r w:rsidRPr="00907F9F">
        <w:rPr>
          <w:lang w:val="es-ES"/>
        </w:rPr>
        <w:t xml:space="preserve"> T-10.641.262, </w:t>
      </w:r>
      <w:r w:rsidRPr="00907F9F">
        <w:rPr>
          <w:i/>
          <w:lang w:val="es-ES"/>
        </w:rPr>
        <w:t>(7)</w:t>
      </w:r>
      <w:r w:rsidRPr="00907F9F">
        <w:rPr>
          <w:lang w:val="es-ES"/>
        </w:rPr>
        <w:t xml:space="preserve"> T-10.781.215,</w:t>
      </w:r>
      <w:r w:rsidR="00B80165" w:rsidRPr="00907F9F">
        <w:rPr>
          <w:lang w:val="es-ES"/>
        </w:rPr>
        <w:t xml:space="preserve"> </w:t>
      </w:r>
      <w:r w:rsidR="00BF7190" w:rsidRPr="00907F9F">
        <w:rPr>
          <w:i/>
          <w:iCs/>
        </w:rPr>
        <w:t>(14)</w:t>
      </w:r>
      <w:r w:rsidR="00BF7190" w:rsidRPr="00907F9F">
        <w:t xml:space="preserve"> T-10.787.409</w:t>
      </w:r>
      <w:r w:rsidR="00BF7190" w:rsidRPr="00907F9F">
        <w:rPr>
          <w:i/>
        </w:rPr>
        <w:t xml:space="preserve">, </w:t>
      </w:r>
      <w:r w:rsidRPr="00907F9F">
        <w:rPr>
          <w:i/>
          <w:lang w:val="es-ES"/>
        </w:rPr>
        <w:t>(18)</w:t>
      </w:r>
      <w:r w:rsidRPr="00907F9F">
        <w:rPr>
          <w:lang w:val="es-ES"/>
        </w:rPr>
        <w:t xml:space="preserve"> T-10.800.631</w:t>
      </w:r>
      <w:r w:rsidR="009E1A15" w:rsidRPr="00907F9F">
        <w:rPr>
          <w:lang w:val="es-ES"/>
        </w:rPr>
        <w:t xml:space="preserve"> </w:t>
      </w:r>
      <w:r w:rsidR="0099020C" w:rsidRPr="00907F9F">
        <w:rPr>
          <w:lang w:val="es-ES"/>
        </w:rPr>
        <w:t>y</w:t>
      </w:r>
      <w:r w:rsidR="0099020C" w:rsidRPr="00907F9F">
        <w:rPr>
          <w:i/>
          <w:lang w:val="es-ES"/>
        </w:rPr>
        <w:t xml:space="preserve"> </w:t>
      </w:r>
      <w:r w:rsidRPr="00907F9F">
        <w:rPr>
          <w:i/>
          <w:lang w:val="es-ES"/>
        </w:rPr>
        <w:t>(30)</w:t>
      </w:r>
      <w:r w:rsidRPr="00907F9F">
        <w:rPr>
          <w:lang w:val="es-ES"/>
        </w:rPr>
        <w:t xml:space="preserve"> T-10.821.146. </w:t>
      </w:r>
    </w:p>
  </w:footnote>
  <w:footnote w:id="21">
    <w:p w14:paraId="618B28C4" w14:textId="46EECC1A" w:rsidR="00792709" w:rsidRPr="00907F9F" w:rsidRDefault="00792709" w:rsidP="00933AF9">
      <w:pPr>
        <w:pStyle w:val="Textonotapie"/>
        <w:jc w:val="both"/>
        <w:rPr>
          <w:lang w:val="es-ES"/>
        </w:rPr>
      </w:pPr>
      <w:r w:rsidRPr="00907F9F">
        <w:rPr>
          <w:rStyle w:val="Refdenotaalpie"/>
        </w:rPr>
        <w:footnoteRef/>
      </w:r>
      <w:r w:rsidRPr="00907F9F">
        <w:t xml:space="preserve"> </w:t>
      </w:r>
      <w:r w:rsidR="000F08FE" w:rsidRPr="00907F9F">
        <w:t xml:space="preserve">La </w:t>
      </w:r>
      <w:r w:rsidR="002E67F9" w:rsidRPr="00907F9F">
        <w:t xml:space="preserve">entidad </w:t>
      </w:r>
      <w:r w:rsidR="007C48FA" w:rsidRPr="00907F9F">
        <w:t xml:space="preserve">remitió </w:t>
      </w:r>
      <w:r w:rsidR="000F08FE" w:rsidRPr="00907F9F">
        <w:t>respuesta respecto de</w:t>
      </w:r>
      <w:r w:rsidR="00420111" w:rsidRPr="00907F9F">
        <w:t xml:space="preserve"> </w:t>
      </w:r>
      <w:r w:rsidR="00874810" w:rsidRPr="00907F9F">
        <w:t xml:space="preserve">cada uno de </w:t>
      </w:r>
      <w:r w:rsidR="00420111" w:rsidRPr="00907F9F">
        <w:t xml:space="preserve">los </w:t>
      </w:r>
      <w:r w:rsidR="00941CD0" w:rsidRPr="00907F9F">
        <w:t>30</w:t>
      </w:r>
      <w:r w:rsidR="00874810" w:rsidRPr="00907F9F">
        <w:t xml:space="preserve"> </w:t>
      </w:r>
      <w:r w:rsidR="00420111" w:rsidRPr="00907F9F">
        <w:t>expedientes</w:t>
      </w:r>
      <w:r w:rsidR="000F08FE" w:rsidRPr="00907F9F">
        <w:t xml:space="preserve"> y</w:t>
      </w:r>
      <w:r w:rsidR="00DD13BB" w:rsidRPr="00907F9F">
        <w:t xml:space="preserve">, </w:t>
      </w:r>
      <w:r w:rsidR="007C48FA" w:rsidRPr="00907F9F">
        <w:t xml:space="preserve">además, </w:t>
      </w:r>
      <w:r w:rsidR="00665F94" w:rsidRPr="00907F9F">
        <w:rPr>
          <w:lang w:val="es-ES"/>
        </w:rPr>
        <w:t xml:space="preserve">una comunicación </w:t>
      </w:r>
      <w:r w:rsidR="00C6621A" w:rsidRPr="00907F9F">
        <w:rPr>
          <w:lang w:val="es-ES"/>
        </w:rPr>
        <w:t>que versa</w:t>
      </w:r>
      <w:r w:rsidR="008136E8" w:rsidRPr="00907F9F">
        <w:rPr>
          <w:lang w:val="es-ES"/>
        </w:rPr>
        <w:t xml:space="preserve"> sobre</w:t>
      </w:r>
      <w:r w:rsidR="00665F94" w:rsidRPr="00907F9F">
        <w:rPr>
          <w:lang w:val="es-ES"/>
        </w:rPr>
        <w:t xml:space="preserve"> aspectos generales del asunto que se analiza. </w:t>
      </w:r>
    </w:p>
  </w:footnote>
  <w:footnote w:id="22">
    <w:p w14:paraId="78576A97" w14:textId="76851220" w:rsidR="00A93A59" w:rsidRPr="00907F9F" w:rsidRDefault="00A93A59" w:rsidP="00933AF9">
      <w:pPr>
        <w:pStyle w:val="Textonotapie"/>
        <w:jc w:val="both"/>
        <w:rPr>
          <w:lang w:val="es-ES"/>
        </w:rPr>
      </w:pPr>
      <w:r w:rsidRPr="00907F9F">
        <w:rPr>
          <w:rStyle w:val="Refdenotaalpie"/>
        </w:rPr>
        <w:footnoteRef/>
      </w:r>
      <w:r w:rsidRPr="00907F9F">
        <w:t xml:space="preserve"> </w:t>
      </w:r>
      <w:r w:rsidR="00677A27" w:rsidRPr="00907F9F">
        <w:t xml:space="preserve">En particular, frente a los expedientes </w:t>
      </w:r>
      <w:r w:rsidR="00677A27" w:rsidRPr="00907F9F">
        <w:rPr>
          <w:i/>
          <w:iCs/>
          <w:lang w:val="es-ES"/>
        </w:rPr>
        <w:t>(1)</w:t>
      </w:r>
      <w:r w:rsidR="00677A27" w:rsidRPr="00907F9F">
        <w:rPr>
          <w:lang w:val="es-ES"/>
        </w:rPr>
        <w:t xml:space="preserve"> T-10.641.262, </w:t>
      </w:r>
      <w:r w:rsidR="00677A27" w:rsidRPr="00907F9F">
        <w:rPr>
          <w:i/>
          <w:iCs/>
          <w:lang w:val="es-ES"/>
        </w:rPr>
        <w:t>(6)</w:t>
      </w:r>
      <w:r w:rsidR="00677A27" w:rsidRPr="00907F9F">
        <w:rPr>
          <w:lang w:val="es-ES"/>
        </w:rPr>
        <w:t xml:space="preserve"> T-10.781.205,</w:t>
      </w:r>
      <w:r w:rsidR="00665F94" w:rsidRPr="00907F9F">
        <w:rPr>
          <w:lang w:val="es-ES"/>
        </w:rPr>
        <w:t xml:space="preserve"> </w:t>
      </w:r>
      <w:r w:rsidR="00735435" w:rsidRPr="00907F9F">
        <w:rPr>
          <w:i/>
        </w:rPr>
        <w:t>(</w:t>
      </w:r>
      <w:r w:rsidR="00A50450" w:rsidRPr="00907F9F">
        <w:rPr>
          <w:i/>
          <w:iCs/>
        </w:rPr>
        <w:t>20)</w:t>
      </w:r>
      <w:r w:rsidR="00A50450" w:rsidRPr="00907F9F">
        <w:t xml:space="preserve"> T-10.800.834,</w:t>
      </w:r>
      <w:r w:rsidR="00A50450" w:rsidRPr="00907F9F">
        <w:rPr>
          <w:i/>
          <w:lang w:val="es-ES"/>
        </w:rPr>
        <w:t xml:space="preserve"> </w:t>
      </w:r>
      <w:r w:rsidR="00735435" w:rsidRPr="00907F9F">
        <w:rPr>
          <w:i/>
          <w:iCs/>
          <w:lang w:val="es-ES"/>
        </w:rPr>
        <w:t xml:space="preserve">(24) </w:t>
      </w:r>
      <w:r w:rsidR="00735435" w:rsidRPr="00907F9F">
        <w:rPr>
          <w:lang w:val="es-ES"/>
        </w:rPr>
        <w:t>T-10.810.192 y</w:t>
      </w:r>
      <w:r w:rsidR="00735435" w:rsidRPr="00907F9F">
        <w:rPr>
          <w:i/>
          <w:iCs/>
          <w:lang w:val="es-ES"/>
        </w:rPr>
        <w:t xml:space="preserve"> </w:t>
      </w:r>
      <w:r w:rsidR="00B4191E" w:rsidRPr="00907F9F">
        <w:rPr>
          <w:i/>
          <w:iCs/>
          <w:lang w:val="es-ES"/>
        </w:rPr>
        <w:t xml:space="preserve">(27) </w:t>
      </w:r>
      <w:r w:rsidR="00B4191E" w:rsidRPr="00907F9F">
        <w:rPr>
          <w:lang w:val="es-ES"/>
        </w:rPr>
        <w:t>T-10.811.732</w:t>
      </w:r>
      <w:r w:rsidR="00677A27" w:rsidRPr="00907F9F">
        <w:rPr>
          <w:lang w:val="es-ES"/>
        </w:rPr>
        <w:t>.</w:t>
      </w:r>
    </w:p>
  </w:footnote>
  <w:footnote w:id="23">
    <w:p w14:paraId="4E5D5F02" w14:textId="25EF1DD6" w:rsidR="00A93A59" w:rsidRPr="00907F9F" w:rsidRDefault="00A93A59" w:rsidP="00933AF9">
      <w:pPr>
        <w:jc w:val="both"/>
        <w:rPr>
          <w:sz w:val="20"/>
          <w:szCs w:val="20"/>
        </w:rPr>
      </w:pPr>
      <w:r w:rsidRPr="00907F9F">
        <w:rPr>
          <w:rStyle w:val="Refdenotaalpie"/>
          <w:sz w:val="20"/>
          <w:szCs w:val="20"/>
        </w:rPr>
        <w:footnoteRef/>
      </w:r>
      <w:r w:rsidRPr="00907F9F">
        <w:rPr>
          <w:sz w:val="20"/>
          <w:szCs w:val="20"/>
        </w:rPr>
        <w:t xml:space="preserve"> </w:t>
      </w:r>
      <w:r w:rsidR="00CF4921" w:rsidRPr="00907F9F">
        <w:rPr>
          <w:sz w:val="20"/>
          <w:szCs w:val="20"/>
        </w:rPr>
        <w:t xml:space="preserve">La entidad remitió respuesta respecto de </w:t>
      </w:r>
      <w:r w:rsidR="00D73523" w:rsidRPr="00907F9F">
        <w:rPr>
          <w:sz w:val="20"/>
          <w:szCs w:val="20"/>
        </w:rPr>
        <w:t>29</w:t>
      </w:r>
      <w:r w:rsidR="00CF4921" w:rsidRPr="00907F9F">
        <w:rPr>
          <w:sz w:val="20"/>
          <w:szCs w:val="20"/>
        </w:rPr>
        <w:t xml:space="preserve"> expedientes, </w:t>
      </w:r>
      <w:r w:rsidR="007D33B6" w:rsidRPr="00907F9F">
        <w:rPr>
          <w:sz w:val="20"/>
          <w:szCs w:val="20"/>
        </w:rPr>
        <w:t xml:space="preserve">y se </w:t>
      </w:r>
      <w:r w:rsidR="00483B87" w:rsidRPr="00907F9F">
        <w:rPr>
          <w:sz w:val="20"/>
          <w:szCs w:val="20"/>
        </w:rPr>
        <w:t>abstuvo de hacerlo en el expediente</w:t>
      </w:r>
      <w:r w:rsidR="00CF4921" w:rsidRPr="00907F9F">
        <w:rPr>
          <w:sz w:val="20"/>
          <w:szCs w:val="20"/>
        </w:rPr>
        <w:t xml:space="preserve"> </w:t>
      </w:r>
      <w:r w:rsidR="00E61E0F" w:rsidRPr="00907F9F">
        <w:rPr>
          <w:i/>
          <w:sz w:val="20"/>
          <w:szCs w:val="20"/>
        </w:rPr>
        <w:t>(25)</w:t>
      </w:r>
      <w:r w:rsidR="00E61E0F" w:rsidRPr="00907F9F">
        <w:rPr>
          <w:sz w:val="20"/>
          <w:szCs w:val="20"/>
        </w:rPr>
        <w:t xml:space="preserve"> T-10.811.379</w:t>
      </w:r>
      <w:r w:rsidR="00483B87" w:rsidRPr="00907F9F">
        <w:rPr>
          <w:sz w:val="20"/>
          <w:szCs w:val="20"/>
        </w:rPr>
        <w:t>. A</w:t>
      </w:r>
      <w:r w:rsidR="00CF4921" w:rsidRPr="00907F9F">
        <w:rPr>
          <w:sz w:val="20"/>
          <w:szCs w:val="20"/>
        </w:rPr>
        <w:t xml:space="preserve">demás, </w:t>
      </w:r>
      <w:r w:rsidR="00483B87" w:rsidRPr="00907F9F">
        <w:rPr>
          <w:sz w:val="20"/>
          <w:szCs w:val="20"/>
        </w:rPr>
        <w:t xml:space="preserve">aportó </w:t>
      </w:r>
      <w:r w:rsidR="00CF4921" w:rsidRPr="00907F9F">
        <w:rPr>
          <w:sz w:val="20"/>
          <w:szCs w:val="20"/>
        </w:rPr>
        <w:t xml:space="preserve">una comunicación que versa sobre aspectos generales del asunto que se analiza. </w:t>
      </w:r>
    </w:p>
  </w:footnote>
  <w:footnote w:id="24">
    <w:p w14:paraId="193DA2B3" w14:textId="2DCFFD65" w:rsidR="0005176E" w:rsidRPr="00320DEE" w:rsidRDefault="0005176E" w:rsidP="00933AF9">
      <w:pPr>
        <w:pStyle w:val="Textonotapie"/>
        <w:jc w:val="both"/>
        <w:rPr>
          <w:lang w:val="es-ES_tradnl"/>
        </w:rPr>
      </w:pPr>
      <w:r w:rsidRPr="00320DEE">
        <w:rPr>
          <w:rStyle w:val="Refdenotaalpie"/>
        </w:rPr>
        <w:footnoteRef/>
      </w:r>
      <w:r w:rsidRPr="00320DEE">
        <w:t xml:space="preserve"> </w:t>
      </w:r>
      <w:r w:rsidR="00ED7601" w:rsidRPr="00320DEE">
        <w:t>En particular del Centro de Información de Medicamentos de la Universidad Nacional de Colombia</w:t>
      </w:r>
      <w:r w:rsidR="00ED6721" w:rsidRPr="00320DEE">
        <w:t>,</w:t>
      </w:r>
      <w:r w:rsidR="00ED7601" w:rsidRPr="00320DEE">
        <w:t xml:space="preserve"> la </w:t>
      </w:r>
      <w:r w:rsidRPr="00320DEE">
        <w:t xml:space="preserve">Asociación de Pacientes de Alto Costo, Asociación Colombiana de Hospitales y Clínicas, </w:t>
      </w:r>
      <w:r w:rsidR="00ED7601" w:rsidRPr="00320DEE">
        <w:t xml:space="preserve">la </w:t>
      </w:r>
      <w:r w:rsidRPr="00320DEE">
        <w:t xml:space="preserve">Academia Nacional de Medicina de Colombia, </w:t>
      </w:r>
      <w:r w:rsidR="00ED7601" w:rsidRPr="00320DEE">
        <w:t xml:space="preserve">el </w:t>
      </w:r>
      <w:r w:rsidRPr="00320DEE">
        <w:t xml:space="preserve">Observatorio del Medicamento — Federación Médica Colombiana y </w:t>
      </w:r>
      <w:proofErr w:type="spellStart"/>
      <w:r w:rsidR="00ED6721" w:rsidRPr="00320DEE">
        <w:t>Afidro</w:t>
      </w:r>
      <w:proofErr w:type="spellEnd"/>
      <w:r w:rsidR="00ED6721" w:rsidRPr="00320DEE">
        <w:t xml:space="preserve"> (</w:t>
      </w:r>
      <w:r w:rsidRPr="00320DEE">
        <w:t>Asociación de Laboratorios Farmacéuticos de Investigación y Desarrollo</w:t>
      </w:r>
      <w:r w:rsidR="00ED6721" w:rsidRPr="00320DEE">
        <w:t>)</w:t>
      </w:r>
      <w:r w:rsidRPr="00320DEE">
        <w:t xml:space="preserve">. </w:t>
      </w:r>
    </w:p>
  </w:footnote>
  <w:footnote w:id="25">
    <w:p w14:paraId="39879D5D" w14:textId="77777777" w:rsidR="00907F9F" w:rsidRPr="00320DEE" w:rsidRDefault="00907F9F" w:rsidP="00907F9F">
      <w:pPr>
        <w:pStyle w:val="Textonotapie"/>
        <w:jc w:val="both"/>
        <w:rPr>
          <w:i/>
          <w:lang w:val="es-ES"/>
        </w:rPr>
      </w:pPr>
      <w:r w:rsidRPr="00320DEE">
        <w:rPr>
          <w:rStyle w:val="Refdenotaalpie"/>
        </w:rPr>
        <w:footnoteRef/>
      </w:r>
      <w:r w:rsidRPr="00320DEE">
        <w:t xml:space="preserve"> </w:t>
      </w:r>
      <w:r w:rsidRPr="00320DEE">
        <w:rPr>
          <w:lang w:val="es-ES"/>
        </w:rPr>
        <w:t xml:space="preserve">En los expedientes </w:t>
      </w:r>
      <w:r w:rsidRPr="00320DEE">
        <w:rPr>
          <w:i/>
          <w:iCs/>
          <w:lang w:val="es-ES"/>
        </w:rPr>
        <w:t>(2)</w:t>
      </w:r>
      <w:r w:rsidRPr="00320DEE">
        <w:rPr>
          <w:lang w:val="es-ES"/>
        </w:rPr>
        <w:t xml:space="preserve"> T-10.771.082 del Juzgado 006 Administrativo del Circuito de Manizales; </w:t>
      </w:r>
      <w:r w:rsidRPr="00320DEE">
        <w:rPr>
          <w:i/>
          <w:iCs/>
          <w:lang w:val="es-ES"/>
        </w:rPr>
        <w:t>(3)</w:t>
      </w:r>
      <w:r w:rsidRPr="00320DEE">
        <w:rPr>
          <w:lang w:val="es-ES"/>
        </w:rPr>
        <w:t xml:space="preserve"> T-10.773.946 del Juzgado 002 Promiscuo de Familia del Circuito de Rionegro; </w:t>
      </w:r>
      <w:r w:rsidRPr="00320DEE">
        <w:rPr>
          <w:i/>
          <w:iCs/>
          <w:lang w:val="es-ES"/>
        </w:rPr>
        <w:t>(6)</w:t>
      </w:r>
      <w:r w:rsidRPr="00320DEE">
        <w:rPr>
          <w:lang w:val="es-ES"/>
        </w:rPr>
        <w:t xml:space="preserve"> T-10.781.205 del Juzgado 004 Administrativo del Circuito de Manizales; </w:t>
      </w:r>
      <w:r w:rsidRPr="00320DEE">
        <w:rPr>
          <w:i/>
          <w:iCs/>
          <w:lang w:val="es-ES"/>
        </w:rPr>
        <w:t>(7)</w:t>
      </w:r>
      <w:r w:rsidRPr="00320DEE">
        <w:rPr>
          <w:lang w:val="es-ES"/>
        </w:rPr>
        <w:t xml:space="preserve"> T-10.781.215 del Juzgado 49 Penal Municipal con funciones de control de garantías de Bogotá; </w:t>
      </w:r>
      <w:r w:rsidRPr="00320DEE">
        <w:rPr>
          <w:i/>
          <w:iCs/>
          <w:lang w:val="es-ES"/>
        </w:rPr>
        <w:t>(8)</w:t>
      </w:r>
      <w:r w:rsidRPr="00320DEE">
        <w:rPr>
          <w:lang w:val="es-ES"/>
        </w:rPr>
        <w:t xml:space="preserve"> T-10.781.400 del Juzgado Promiscuo Municipal de </w:t>
      </w:r>
      <w:proofErr w:type="spellStart"/>
      <w:r w:rsidRPr="00320DEE">
        <w:rPr>
          <w:lang w:val="es-ES"/>
        </w:rPr>
        <w:t>Inza</w:t>
      </w:r>
      <w:proofErr w:type="spellEnd"/>
      <w:r w:rsidRPr="00320DEE">
        <w:rPr>
          <w:lang w:val="es-ES"/>
        </w:rPr>
        <w:t xml:space="preserve">, Cauca; </w:t>
      </w:r>
      <w:r w:rsidRPr="00320DEE">
        <w:rPr>
          <w:i/>
          <w:lang w:val="es-ES"/>
        </w:rPr>
        <w:t>(9)</w:t>
      </w:r>
      <w:r w:rsidRPr="00320DEE">
        <w:t xml:space="preserve"> </w:t>
      </w:r>
      <w:r w:rsidRPr="00320DEE">
        <w:rPr>
          <w:i/>
          <w:lang w:val="es-ES"/>
        </w:rPr>
        <w:t>T-</w:t>
      </w:r>
      <w:r w:rsidRPr="00320DEE">
        <w:rPr>
          <w:iCs/>
          <w:lang w:val="es-ES"/>
        </w:rPr>
        <w:t>10.785.672</w:t>
      </w:r>
      <w:r w:rsidRPr="00320DEE">
        <w:rPr>
          <w:i/>
          <w:lang w:val="es-ES"/>
        </w:rPr>
        <w:t xml:space="preserve"> </w:t>
      </w:r>
      <w:r w:rsidRPr="00320DEE">
        <w:rPr>
          <w:lang w:val="es-ES"/>
        </w:rPr>
        <w:t xml:space="preserve">del Juzgado Promiscuo del Circuito de Segovia, Antioquia; </w:t>
      </w:r>
      <w:r w:rsidRPr="00320DEE">
        <w:rPr>
          <w:i/>
          <w:lang w:val="es-ES"/>
        </w:rPr>
        <w:t>(10)</w:t>
      </w:r>
      <w:r w:rsidRPr="00320DEE">
        <w:rPr>
          <w:lang w:val="es-ES"/>
        </w:rPr>
        <w:t xml:space="preserve"> T-10.785.910 del Juzgado 002 Promiscuo Municipal de la Estrella, Antioquia; </w:t>
      </w:r>
      <w:r w:rsidRPr="00320DEE">
        <w:rPr>
          <w:i/>
          <w:lang w:val="es-ES"/>
        </w:rPr>
        <w:t>(11)</w:t>
      </w:r>
      <w:r w:rsidRPr="00320DEE">
        <w:rPr>
          <w:lang w:val="es-ES"/>
        </w:rPr>
        <w:t xml:space="preserve"> T-10.787.792 del Juzgado 002 Penal Municipal para Adolescentes de Santa Marta; </w:t>
      </w:r>
      <w:r w:rsidRPr="00320DEE">
        <w:rPr>
          <w:i/>
          <w:lang w:val="es-ES"/>
        </w:rPr>
        <w:t>(12)</w:t>
      </w:r>
      <w:r w:rsidRPr="00320DEE">
        <w:rPr>
          <w:lang w:val="es-ES"/>
        </w:rPr>
        <w:t xml:space="preserve"> T-10.791.762 del Juzgado 004 Municipal de Pequeñas Causas Laborales de Bogotá;</w:t>
      </w:r>
      <w:r w:rsidRPr="00320DEE">
        <w:rPr>
          <w:i/>
          <w:lang w:val="es-ES"/>
        </w:rPr>
        <w:t xml:space="preserve"> (13</w:t>
      </w:r>
      <w:r w:rsidRPr="00320DEE">
        <w:rPr>
          <w:lang w:val="es-ES"/>
        </w:rPr>
        <w:t xml:space="preserve">) T-10.790.526 del Juzgado Promiscuo Municipal de Finlandia, Quindío; </w:t>
      </w:r>
      <w:r w:rsidRPr="00320DEE">
        <w:rPr>
          <w:i/>
          <w:lang w:val="es-ES"/>
        </w:rPr>
        <w:t>(14)</w:t>
      </w:r>
      <w:r w:rsidRPr="00320DEE">
        <w:rPr>
          <w:lang w:val="es-ES"/>
        </w:rPr>
        <w:t xml:space="preserve"> T-10.787.409 del Juzgado 001 Civil del Circuito de Bogotá;</w:t>
      </w:r>
      <w:r w:rsidRPr="00320DEE">
        <w:rPr>
          <w:i/>
          <w:lang w:val="es-ES"/>
        </w:rPr>
        <w:t xml:space="preserve"> (15</w:t>
      </w:r>
      <w:r w:rsidRPr="00320DEE">
        <w:rPr>
          <w:lang w:val="es-ES"/>
        </w:rPr>
        <w:t>)</w:t>
      </w:r>
      <w:r w:rsidRPr="00320DEE">
        <w:t xml:space="preserve"> </w:t>
      </w:r>
      <w:r w:rsidRPr="00320DEE">
        <w:rPr>
          <w:lang w:val="es-ES"/>
        </w:rPr>
        <w:t>T-10.796.422 del</w:t>
      </w:r>
      <w:r w:rsidRPr="00320DEE">
        <w:rPr>
          <w:i/>
          <w:iCs/>
          <w:lang w:val="es-ES"/>
        </w:rPr>
        <w:t xml:space="preserve"> </w:t>
      </w:r>
      <w:r w:rsidRPr="00320DEE">
        <w:rPr>
          <w:lang w:val="es-ES"/>
        </w:rPr>
        <w:t xml:space="preserve">Juzgado 002 Civil Municipal de Oralidad de Bello, Antioquia; </w:t>
      </w:r>
      <w:r w:rsidRPr="00320DEE">
        <w:rPr>
          <w:i/>
          <w:iCs/>
          <w:lang w:val="es-ES"/>
        </w:rPr>
        <w:t>(17)</w:t>
      </w:r>
      <w:r w:rsidRPr="00320DEE">
        <w:rPr>
          <w:lang w:val="es-ES"/>
        </w:rPr>
        <w:t xml:space="preserve"> T-10.810.117 del Juzgado 004 Administrativo de Turbo Antioquia; (19) T-10.800.758 del Juzgado 005 Penal del Circuito de Manizales – Caldas; </w:t>
      </w:r>
      <w:r w:rsidRPr="00320DEE">
        <w:rPr>
          <w:i/>
          <w:lang w:val="es-ES"/>
        </w:rPr>
        <w:t>(20)</w:t>
      </w:r>
      <w:r w:rsidRPr="00320DEE">
        <w:rPr>
          <w:lang w:val="es-ES"/>
        </w:rPr>
        <w:t xml:space="preserve"> T-10.800.834 del Juzgado 006 Civil Municipal Ejecución Sentencias – Bogotá; </w:t>
      </w:r>
      <w:r w:rsidRPr="00320DEE">
        <w:rPr>
          <w:i/>
          <w:lang w:val="es-ES"/>
        </w:rPr>
        <w:t>(21)</w:t>
      </w:r>
      <w:r w:rsidRPr="00320DEE">
        <w:rPr>
          <w:lang w:val="es-ES"/>
        </w:rPr>
        <w:t xml:space="preserve"> T-10803623 del Juzgado 007 Penal Municipal Conocimiento - Cali Valle; </w:t>
      </w:r>
      <w:r w:rsidRPr="00320DEE">
        <w:rPr>
          <w:i/>
          <w:iCs/>
          <w:lang w:val="es-ES"/>
        </w:rPr>
        <w:t>(23)</w:t>
      </w:r>
      <w:r w:rsidRPr="00320DEE">
        <w:rPr>
          <w:lang w:val="es-ES"/>
        </w:rPr>
        <w:t xml:space="preserve"> T-10810117 del Juzgado 007 Familia Circuito - Caldas – Manizales; </w:t>
      </w:r>
      <w:r w:rsidRPr="00320DEE">
        <w:rPr>
          <w:i/>
          <w:iCs/>
          <w:lang w:val="es-ES"/>
        </w:rPr>
        <w:t>(24)</w:t>
      </w:r>
      <w:r w:rsidRPr="00320DEE">
        <w:rPr>
          <w:lang w:val="es-ES"/>
        </w:rPr>
        <w:t xml:space="preserve"> T-10.810.192 del Juzgado 001 Penal del Circuito de Manizales; </w:t>
      </w:r>
      <w:r w:rsidRPr="00320DEE">
        <w:rPr>
          <w:i/>
          <w:iCs/>
          <w:lang w:val="es-ES"/>
        </w:rPr>
        <w:t>(25)</w:t>
      </w:r>
      <w:r w:rsidRPr="00320DEE">
        <w:rPr>
          <w:lang w:val="es-ES"/>
        </w:rPr>
        <w:t xml:space="preserve"> T-10.811.379 del Juzgado 001 Promiscuo Municipal de San Pablo; </w:t>
      </w:r>
      <w:r w:rsidRPr="00320DEE">
        <w:rPr>
          <w:i/>
          <w:iCs/>
          <w:lang w:val="es-ES"/>
        </w:rPr>
        <w:t>(26)</w:t>
      </w:r>
      <w:r w:rsidRPr="00320DEE">
        <w:rPr>
          <w:lang w:val="es-ES"/>
        </w:rPr>
        <w:t xml:space="preserve"> T-10.811.650 del Juzgado 006 Civil Municipal de Ibagué; </w:t>
      </w:r>
      <w:r w:rsidRPr="00320DEE">
        <w:rPr>
          <w:i/>
          <w:iCs/>
          <w:lang w:val="es-ES"/>
        </w:rPr>
        <w:t>(27)</w:t>
      </w:r>
      <w:r w:rsidRPr="00320DEE">
        <w:rPr>
          <w:lang w:val="es-ES"/>
        </w:rPr>
        <w:t xml:space="preserve"> T-10.811.732 del  Juzgado 012 Civil Municipal de Cartagena; </w:t>
      </w:r>
      <w:r w:rsidRPr="00320DEE">
        <w:rPr>
          <w:i/>
          <w:iCs/>
          <w:lang w:val="es-ES"/>
        </w:rPr>
        <w:t>(28)</w:t>
      </w:r>
      <w:r w:rsidRPr="00320DEE">
        <w:rPr>
          <w:lang w:val="es-ES"/>
        </w:rPr>
        <w:t xml:space="preserve"> T-10.814.534 del Juzgado 002 Penal Municipal para Adolescentes con funciones de Control Garantías de Sincelejo; y </w:t>
      </w:r>
      <w:r w:rsidRPr="00320DEE">
        <w:rPr>
          <w:i/>
          <w:iCs/>
          <w:lang w:val="es-ES"/>
        </w:rPr>
        <w:t>(29)</w:t>
      </w:r>
      <w:r w:rsidRPr="00320DEE">
        <w:rPr>
          <w:lang w:val="es-ES"/>
        </w:rPr>
        <w:t xml:space="preserve"> T- 10.820.873 del Juzgado 003 Penal Municipal con Funciones Mixtas de Bello. </w:t>
      </w:r>
    </w:p>
  </w:footnote>
  <w:footnote w:id="26">
    <w:p w14:paraId="4864EE63" w14:textId="06D5542B" w:rsidR="00E90C86" w:rsidRPr="00320DEE" w:rsidRDefault="00E90C86" w:rsidP="00933AF9">
      <w:pPr>
        <w:pStyle w:val="Textonotapie"/>
        <w:jc w:val="both"/>
        <w:rPr>
          <w:lang w:val="es-ES"/>
        </w:rPr>
      </w:pPr>
      <w:r w:rsidRPr="00320DEE">
        <w:rPr>
          <w:rStyle w:val="Refdenotaalpie"/>
        </w:rPr>
        <w:footnoteRef/>
      </w:r>
      <w:r w:rsidRPr="00320DEE">
        <w:t xml:space="preserve"> </w:t>
      </w:r>
      <w:r w:rsidR="00BB58AA" w:rsidRPr="00320DEE">
        <w:t xml:space="preserve">Expediente </w:t>
      </w:r>
      <w:r w:rsidR="00BB58AA" w:rsidRPr="00320DEE">
        <w:rPr>
          <w:i/>
          <w:iCs/>
          <w:lang w:val="es-ES"/>
        </w:rPr>
        <w:t>(1)</w:t>
      </w:r>
      <w:r w:rsidR="00BB58AA" w:rsidRPr="00320DEE">
        <w:rPr>
          <w:lang w:val="es-ES"/>
        </w:rPr>
        <w:t xml:space="preserve"> T-10.641.262 de</w:t>
      </w:r>
      <w:r w:rsidR="00955012" w:rsidRPr="00320DEE">
        <w:rPr>
          <w:lang w:val="es-ES"/>
        </w:rPr>
        <w:t>l Juzgado 56 Civil Municipal de Oralidad de Bogotá</w:t>
      </w:r>
      <w:r w:rsidR="00BB58AA" w:rsidRPr="00320DEE">
        <w:rPr>
          <w:lang w:val="es-ES"/>
        </w:rPr>
        <w:t xml:space="preserve">, </w:t>
      </w:r>
      <w:r w:rsidR="003E0CDD" w:rsidRPr="00320DEE">
        <w:rPr>
          <w:lang w:val="es-ES"/>
        </w:rPr>
        <w:t xml:space="preserve">la </w:t>
      </w:r>
      <w:r w:rsidR="0075662B" w:rsidRPr="00320DEE">
        <w:rPr>
          <w:lang w:val="es-ES"/>
        </w:rPr>
        <w:t xml:space="preserve">Clínica Los Nogales </w:t>
      </w:r>
      <w:r w:rsidR="003E0CDD" w:rsidRPr="00320DEE">
        <w:rPr>
          <w:lang w:val="es-ES"/>
        </w:rPr>
        <w:t xml:space="preserve">y </w:t>
      </w:r>
      <w:r w:rsidR="0075662B" w:rsidRPr="00320DEE">
        <w:rPr>
          <w:lang w:val="es-ES"/>
        </w:rPr>
        <w:t>Salud Total EPS</w:t>
      </w:r>
      <w:r w:rsidR="00653DDE" w:rsidRPr="00320DEE">
        <w:rPr>
          <w:lang w:val="es-ES"/>
        </w:rPr>
        <w:t>;</w:t>
      </w:r>
      <w:r w:rsidR="008401C1" w:rsidRPr="00320DEE">
        <w:rPr>
          <w:lang w:val="es-ES"/>
        </w:rPr>
        <w:t xml:space="preserve"> </w:t>
      </w:r>
      <w:r w:rsidR="00BB58AA" w:rsidRPr="00320DEE">
        <w:rPr>
          <w:i/>
        </w:rPr>
        <w:t>(</w:t>
      </w:r>
      <w:r w:rsidR="008B7AC2" w:rsidRPr="00320DEE">
        <w:rPr>
          <w:i/>
          <w:iCs/>
        </w:rPr>
        <w:t>2)</w:t>
      </w:r>
      <w:r w:rsidR="008B7AC2" w:rsidRPr="00320DEE">
        <w:t xml:space="preserve"> T-10.771.082</w:t>
      </w:r>
      <w:r w:rsidR="00343871" w:rsidRPr="00320DEE">
        <w:t xml:space="preserve"> de Cafam</w:t>
      </w:r>
      <w:r w:rsidR="008B7AC2" w:rsidRPr="00320DEE">
        <w:t xml:space="preserve">, </w:t>
      </w:r>
      <w:r w:rsidR="00BB58AA" w:rsidRPr="00320DEE">
        <w:rPr>
          <w:i/>
          <w:iCs/>
          <w:lang w:val="es-ES"/>
        </w:rPr>
        <w:t>(3)</w:t>
      </w:r>
      <w:r w:rsidR="00BB58AA" w:rsidRPr="00320DEE">
        <w:rPr>
          <w:lang w:val="es-ES"/>
        </w:rPr>
        <w:t xml:space="preserve"> T-10.773.946</w:t>
      </w:r>
      <w:r w:rsidR="00B07105" w:rsidRPr="00320DEE">
        <w:rPr>
          <w:lang w:val="es-ES"/>
        </w:rPr>
        <w:t xml:space="preserve"> </w:t>
      </w:r>
      <w:r w:rsidR="00EE2914" w:rsidRPr="00320DEE">
        <w:rPr>
          <w:lang w:val="es-ES"/>
        </w:rPr>
        <w:t>de Colsubsidio, la Fundación Diversidad</w:t>
      </w:r>
      <w:r w:rsidR="004D5D89" w:rsidRPr="00320DEE">
        <w:rPr>
          <w:lang w:val="es-ES"/>
        </w:rPr>
        <w:t xml:space="preserve"> y la Clínica </w:t>
      </w:r>
      <w:proofErr w:type="spellStart"/>
      <w:r w:rsidR="004D5D89" w:rsidRPr="00320DEE">
        <w:rPr>
          <w:lang w:val="es-ES"/>
        </w:rPr>
        <w:t>Somer</w:t>
      </w:r>
      <w:proofErr w:type="spellEnd"/>
      <w:r w:rsidR="00121E8A" w:rsidRPr="00320DEE">
        <w:rPr>
          <w:lang w:val="es-ES"/>
        </w:rPr>
        <w:t>;</w:t>
      </w:r>
      <w:r w:rsidR="007138FC" w:rsidRPr="00320DEE">
        <w:rPr>
          <w:lang w:val="es-ES"/>
        </w:rPr>
        <w:t xml:space="preserve"> </w:t>
      </w:r>
      <w:r w:rsidR="00BB58AA" w:rsidRPr="00320DEE">
        <w:rPr>
          <w:i/>
          <w:iCs/>
          <w:lang w:val="es-ES"/>
        </w:rPr>
        <w:t>(8)</w:t>
      </w:r>
      <w:r w:rsidR="00BB58AA" w:rsidRPr="00320DEE">
        <w:rPr>
          <w:lang w:val="es-ES"/>
        </w:rPr>
        <w:t xml:space="preserve"> T-10.781.400</w:t>
      </w:r>
      <w:r w:rsidR="006D6094" w:rsidRPr="00320DEE">
        <w:rPr>
          <w:lang w:val="es-ES"/>
        </w:rPr>
        <w:t xml:space="preserve"> de </w:t>
      </w:r>
      <w:proofErr w:type="spellStart"/>
      <w:r w:rsidR="006D6094" w:rsidRPr="00320DEE">
        <w:rPr>
          <w:lang w:val="es-ES"/>
        </w:rPr>
        <w:t>Osteosalud</w:t>
      </w:r>
      <w:proofErr w:type="spellEnd"/>
      <w:r w:rsidR="006D6094" w:rsidRPr="00320DEE">
        <w:rPr>
          <w:lang w:val="es-ES"/>
        </w:rPr>
        <w:t xml:space="preserve">; </w:t>
      </w:r>
      <w:r w:rsidR="00B0734F" w:rsidRPr="00320DEE">
        <w:rPr>
          <w:i/>
          <w:lang w:val="es-ES"/>
        </w:rPr>
        <w:t>(</w:t>
      </w:r>
      <w:r w:rsidR="004F318A" w:rsidRPr="00320DEE">
        <w:rPr>
          <w:i/>
          <w:lang w:val="es-ES"/>
        </w:rPr>
        <w:t>10)</w:t>
      </w:r>
      <w:r w:rsidR="004F318A" w:rsidRPr="00320DEE">
        <w:rPr>
          <w:lang w:val="es-ES"/>
        </w:rPr>
        <w:t xml:space="preserve"> </w:t>
      </w:r>
      <w:r w:rsidR="009C23F5" w:rsidRPr="00320DEE">
        <w:rPr>
          <w:lang w:val="es-ES"/>
        </w:rPr>
        <w:t xml:space="preserve">T-10.785.910 de </w:t>
      </w:r>
      <w:proofErr w:type="spellStart"/>
      <w:r w:rsidR="00D2700E" w:rsidRPr="00320DEE">
        <w:rPr>
          <w:lang w:val="es-ES"/>
        </w:rPr>
        <w:t>C</w:t>
      </w:r>
      <w:r w:rsidR="00922DDB" w:rsidRPr="00320DEE">
        <w:rPr>
          <w:lang w:val="es-ES"/>
        </w:rPr>
        <w:t>ohan</w:t>
      </w:r>
      <w:proofErr w:type="spellEnd"/>
      <w:r w:rsidR="009C23F5" w:rsidRPr="00320DEE">
        <w:rPr>
          <w:lang w:val="es-ES"/>
        </w:rPr>
        <w:t>; (</w:t>
      </w:r>
      <w:r w:rsidR="00922DDB" w:rsidRPr="00320DEE">
        <w:rPr>
          <w:lang w:val="es-ES"/>
        </w:rPr>
        <w:t xml:space="preserve">11) </w:t>
      </w:r>
      <w:r w:rsidR="00AF0982" w:rsidRPr="00320DEE">
        <w:rPr>
          <w:lang w:val="es-ES"/>
        </w:rPr>
        <w:t xml:space="preserve">T-10.787.792 de </w:t>
      </w:r>
      <w:r w:rsidR="00922DDB" w:rsidRPr="00320DEE">
        <w:rPr>
          <w:lang w:val="es-ES"/>
        </w:rPr>
        <w:t xml:space="preserve">Cafam IPS; </w:t>
      </w:r>
      <w:r w:rsidR="00165006" w:rsidRPr="00320DEE">
        <w:rPr>
          <w:lang w:val="es-ES"/>
        </w:rPr>
        <w:t xml:space="preserve">(14) </w:t>
      </w:r>
      <w:r w:rsidR="00F631CB" w:rsidRPr="00320DEE">
        <w:rPr>
          <w:lang w:val="es-ES"/>
        </w:rPr>
        <w:t xml:space="preserve">T-10.787.409 </w:t>
      </w:r>
      <w:r w:rsidR="00165006" w:rsidRPr="00320DEE">
        <w:rPr>
          <w:lang w:val="es-ES"/>
        </w:rPr>
        <w:t xml:space="preserve">de </w:t>
      </w:r>
      <w:r w:rsidR="002D13A4" w:rsidRPr="00320DEE">
        <w:rPr>
          <w:lang w:val="es-ES"/>
        </w:rPr>
        <w:t>Compensar EPS;</w:t>
      </w:r>
      <w:r w:rsidR="00922DDB" w:rsidRPr="00320DEE">
        <w:rPr>
          <w:lang w:val="es-ES"/>
        </w:rPr>
        <w:t xml:space="preserve"> </w:t>
      </w:r>
      <w:r w:rsidR="0029678A" w:rsidRPr="00320DEE">
        <w:rPr>
          <w:i/>
        </w:rPr>
        <w:t>(</w:t>
      </w:r>
      <w:r w:rsidR="00443506" w:rsidRPr="00320DEE">
        <w:rPr>
          <w:i/>
          <w:iCs/>
        </w:rPr>
        <w:t>18)</w:t>
      </w:r>
      <w:r w:rsidR="00443506" w:rsidRPr="00320DEE">
        <w:t xml:space="preserve"> T-10.800.631 de Cafam,</w:t>
      </w:r>
      <w:r w:rsidR="00443506" w:rsidRPr="00320DEE">
        <w:rPr>
          <w:i/>
          <w:iCs/>
        </w:rPr>
        <w:t xml:space="preserve"> (19)</w:t>
      </w:r>
      <w:r w:rsidR="00443506" w:rsidRPr="00320DEE">
        <w:t xml:space="preserve"> T-10.800.758 de Cafam, </w:t>
      </w:r>
      <w:r w:rsidR="00443506" w:rsidRPr="00320DEE">
        <w:rPr>
          <w:i/>
          <w:iCs/>
        </w:rPr>
        <w:t>(23)</w:t>
      </w:r>
      <w:r w:rsidR="00443506" w:rsidRPr="00320DEE">
        <w:t xml:space="preserve"> T- 10.810.117 de Cafam, </w:t>
      </w:r>
      <w:r w:rsidR="0029678A" w:rsidRPr="00320DEE">
        <w:rPr>
          <w:i/>
          <w:iCs/>
          <w:lang w:val="es-ES"/>
        </w:rPr>
        <w:t>(</w:t>
      </w:r>
      <w:r w:rsidR="00C812D7" w:rsidRPr="00320DEE">
        <w:rPr>
          <w:i/>
          <w:iCs/>
          <w:lang w:val="es-ES"/>
        </w:rPr>
        <w:t>24</w:t>
      </w:r>
      <w:r w:rsidR="0029678A" w:rsidRPr="00320DEE">
        <w:rPr>
          <w:i/>
          <w:iCs/>
          <w:lang w:val="es-ES"/>
        </w:rPr>
        <w:t>)</w:t>
      </w:r>
      <w:r w:rsidR="0029678A" w:rsidRPr="00320DEE">
        <w:rPr>
          <w:lang w:val="es-ES"/>
        </w:rPr>
        <w:t xml:space="preserve"> T-10.</w:t>
      </w:r>
      <w:r w:rsidR="00C812D7" w:rsidRPr="00320DEE">
        <w:rPr>
          <w:lang w:val="es-ES"/>
        </w:rPr>
        <w:t>810.192</w:t>
      </w:r>
      <w:r w:rsidR="0029678A" w:rsidRPr="00320DEE">
        <w:rPr>
          <w:lang w:val="es-ES"/>
        </w:rPr>
        <w:t xml:space="preserve"> </w:t>
      </w:r>
      <w:r w:rsidR="00FE2B58" w:rsidRPr="00320DEE">
        <w:rPr>
          <w:lang w:val="es-ES"/>
        </w:rPr>
        <w:t xml:space="preserve">de </w:t>
      </w:r>
      <w:r w:rsidR="00C812D7" w:rsidRPr="00320DEE">
        <w:rPr>
          <w:lang w:val="es-ES"/>
        </w:rPr>
        <w:t xml:space="preserve">Cafam, </w:t>
      </w:r>
      <w:r w:rsidR="0029678A" w:rsidRPr="00320DEE">
        <w:rPr>
          <w:i/>
          <w:iCs/>
          <w:lang w:val="es-ES"/>
        </w:rPr>
        <w:t>(25)</w:t>
      </w:r>
      <w:r w:rsidR="0029678A" w:rsidRPr="00320DEE">
        <w:rPr>
          <w:lang w:val="es-ES"/>
        </w:rPr>
        <w:t xml:space="preserve"> T-10.811.379 </w:t>
      </w:r>
      <w:r w:rsidR="00FE2B58" w:rsidRPr="00320DEE">
        <w:rPr>
          <w:lang w:val="es-ES"/>
        </w:rPr>
        <w:t xml:space="preserve">de </w:t>
      </w:r>
      <w:r w:rsidR="00405703" w:rsidRPr="00320DEE">
        <w:rPr>
          <w:lang w:val="es-ES"/>
        </w:rPr>
        <w:t>Sanitas EPS</w:t>
      </w:r>
      <w:r w:rsidR="00733C13" w:rsidRPr="00320DEE">
        <w:rPr>
          <w:lang w:val="es-ES"/>
        </w:rPr>
        <w:t xml:space="preserve"> y </w:t>
      </w:r>
      <w:proofErr w:type="spellStart"/>
      <w:r w:rsidR="00733C13" w:rsidRPr="00320DEE">
        <w:rPr>
          <w:lang w:val="es-ES"/>
        </w:rPr>
        <w:t>Gen</w:t>
      </w:r>
      <w:r w:rsidR="0007109F" w:rsidRPr="00320DEE">
        <w:rPr>
          <w:lang w:val="es-ES"/>
        </w:rPr>
        <w:t>h</w:t>
      </w:r>
      <w:r w:rsidR="00733C13" w:rsidRPr="00320DEE">
        <w:rPr>
          <w:lang w:val="es-ES"/>
        </w:rPr>
        <w:t>ospi</w:t>
      </w:r>
      <w:proofErr w:type="spellEnd"/>
      <w:r w:rsidR="0029678A" w:rsidRPr="00320DEE">
        <w:rPr>
          <w:lang w:val="es-ES"/>
        </w:rPr>
        <w:t xml:space="preserve">; </w:t>
      </w:r>
      <w:r w:rsidR="00C812D7" w:rsidRPr="00320DEE">
        <w:rPr>
          <w:i/>
          <w:iCs/>
          <w:lang w:val="es-ES"/>
        </w:rPr>
        <w:t xml:space="preserve">(27) </w:t>
      </w:r>
      <w:r w:rsidR="00C812D7" w:rsidRPr="00320DEE">
        <w:rPr>
          <w:lang w:val="es-ES"/>
        </w:rPr>
        <w:t>T-10.811.732</w:t>
      </w:r>
      <w:r w:rsidR="00C812D7" w:rsidRPr="00320DEE">
        <w:rPr>
          <w:i/>
          <w:iCs/>
          <w:lang w:val="es-ES"/>
        </w:rPr>
        <w:t xml:space="preserve"> </w:t>
      </w:r>
      <w:r w:rsidR="00C812D7" w:rsidRPr="00320DEE">
        <w:rPr>
          <w:lang w:val="es-ES"/>
        </w:rPr>
        <w:t>de Cafam</w:t>
      </w:r>
      <w:r w:rsidR="00FD215D" w:rsidRPr="00320DEE">
        <w:rPr>
          <w:lang w:val="es-ES"/>
        </w:rPr>
        <w:t>,</w:t>
      </w:r>
      <w:r w:rsidR="0029678A" w:rsidRPr="00320DEE">
        <w:rPr>
          <w:i/>
          <w:lang w:val="es-ES"/>
        </w:rPr>
        <w:t xml:space="preserve"> </w:t>
      </w:r>
      <w:r w:rsidR="0029678A" w:rsidRPr="00320DEE">
        <w:rPr>
          <w:i/>
          <w:iCs/>
          <w:lang w:val="es-ES"/>
        </w:rPr>
        <w:t>(28)</w:t>
      </w:r>
      <w:r w:rsidR="0029678A" w:rsidRPr="00320DEE">
        <w:rPr>
          <w:lang w:val="es-ES"/>
        </w:rPr>
        <w:t xml:space="preserve"> T-10.814.534 </w:t>
      </w:r>
      <w:r w:rsidR="00DD3C87" w:rsidRPr="00320DEE">
        <w:rPr>
          <w:lang w:val="es-ES"/>
        </w:rPr>
        <w:t xml:space="preserve">de Distribuciones </w:t>
      </w:r>
      <w:proofErr w:type="spellStart"/>
      <w:r w:rsidR="00DD3C87" w:rsidRPr="00320DEE">
        <w:rPr>
          <w:lang w:val="es-ES"/>
        </w:rPr>
        <w:t>Pharmaser</w:t>
      </w:r>
      <w:proofErr w:type="spellEnd"/>
      <w:r w:rsidR="0029678A" w:rsidRPr="00320DEE">
        <w:rPr>
          <w:lang w:val="es-ES"/>
        </w:rPr>
        <w:t xml:space="preserve">; </w:t>
      </w:r>
      <w:r w:rsidR="006233DC" w:rsidRPr="00320DEE">
        <w:rPr>
          <w:i/>
          <w:iCs/>
          <w:lang w:val="es-ES"/>
        </w:rPr>
        <w:t>(29)</w:t>
      </w:r>
      <w:r w:rsidR="006233DC" w:rsidRPr="00320DEE">
        <w:rPr>
          <w:lang w:val="es-ES"/>
        </w:rPr>
        <w:t xml:space="preserve"> T- 10.820.873 del </w:t>
      </w:r>
      <w:r w:rsidR="003F2711" w:rsidRPr="00320DEE">
        <w:rPr>
          <w:lang w:val="es-ES"/>
        </w:rPr>
        <w:t xml:space="preserve">Fondo </w:t>
      </w:r>
      <w:r w:rsidR="003B4D68" w:rsidRPr="00320DEE">
        <w:rPr>
          <w:lang w:val="es-ES"/>
        </w:rPr>
        <w:t>N</w:t>
      </w:r>
      <w:r w:rsidR="003F2711" w:rsidRPr="00320DEE">
        <w:rPr>
          <w:lang w:val="es-ES"/>
        </w:rPr>
        <w:t xml:space="preserve">acional de Estupefacientes; </w:t>
      </w:r>
      <w:r w:rsidR="0029678A" w:rsidRPr="00320DEE">
        <w:rPr>
          <w:lang w:val="es-ES"/>
        </w:rPr>
        <w:t xml:space="preserve">y </w:t>
      </w:r>
      <w:r w:rsidR="0029678A" w:rsidRPr="00320DEE">
        <w:rPr>
          <w:i/>
          <w:iCs/>
          <w:lang w:val="es-ES"/>
        </w:rPr>
        <w:t>(30)</w:t>
      </w:r>
      <w:r w:rsidR="0029678A" w:rsidRPr="00320DEE">
        <w:rPr>
          <w:lang w:val="es-ES"/>
        </w:rPr>
        <w:t xml:space="preserve"> T-10.821.146</w:t>
      </w:r>
      <w:r w:rsidR="0099228B" w:rsidRPr="00320DEE">
        <w:rPr>
          <w:lang w:val="es-ES"/>
        </w:rPr>
        <w:t xml:space="preserve"> de</w:t>
      </w:r>
      <w:r w:rsidR="00D04555" w:rsidRPr="00320DEE">
        <w:rPr>
          <w:lang w:val="es-ES"/>
        </w:rPr>
        <w:t xml:space="preserve"> Compensar EPS</w:t>
      </w:r>
      <w:r w:rsidR="00BB58AA" w:rsidRPr="00320DEE">
        <w:rPr>
          <w:lang w:val="es-ES"/>
        </w:rPr>
        <w:t>.</w:t>
      </w:r>
    </w:p>
  </w:footnote>
  <w:footnote w:id="27">
    <w:p w14:paraId="2BA14FE9" w14:textId="35398598" w:rsidR="00735C41" w:rsidRPr="00320DEE" w:rsidRDefault="00735C41" w:rsidP="00933AF9">
      <w:pPr>
        <w:pStyle w:val="Textonotapie"/>
        <w:jc w:val="both"/>
      </w:pPr>
      <w:r w:rsidRPr="00320DEE">
        <w:rPr>
          <w:rStyle w:val="Refdenotaalpie"/>
        </w:rPr>
        <w:footnoteRef/>
      </w:r>
      <w:r w:rsidRPr="00320DEE">
        <w:t xml:space="preserve"> No obtuvo respuesta de los juzgados </w:t>
      </w:r>
      <w:r w:rsidR="00606214" w:rsidRPr="00320DEE">
        <w:t>017 Civil Municipal de Bogotá, 008 Civil Municipal de Bogotá</w:t>
      </w:r>
      <w:r w:rsidR="005B1C42" w:rsidRPr="00320DEE">
        <w:t xml:space="preserve"> </w:t>
      </w:r>
      <w:r w:rsidR="000710B6" w:rsidRPr="00320DEE">
        <w:t>ni</w:t>
      </w:r>
      <w:r w:rsidR="005B1C42" w:rsidRPr="00320DEE">
        <w:t xml:space="preserve"> de la Nueva EPS. Adicionalmente, el Juzgado </w:t>
      </w:r>
      <w:r w:rsidR="00606214" w:rsidRPr="00320DEE">
        <w:t xml:space="preserve">069 de Pequeñas Causas y Competencia Múltiple de Bogotá </w:t>
      </w:r>
      <w:r w:rsidR="005B1C42" w:rsidRPr="00320DEE">
        <w:t xml:space="preserve">remitió links de consulta </w:t>
      </w:r>
      <w:r w:rsidR="001F7665" w:rsidRPr="00320DEE">
        <w:t>a los expedientes, que no permiten el</w:t>
      </w:r>
      <w:r w:rsidR="0078127E" w:rsidRPr="00320DEE">
        <w:t xml:space="preserve"> acceso</w:t>
      </w:r>
      <w:r w:rsidR="00AB2F58" w:rsidRPr="00320DEE">
        <w:t xml:space="preserve">. </w:t>
      </w:r>
    </w:p>
  </w:footnote>
  <w:footnote w:id="28">
    <w:p w14:paraId="6EE6619B" w14:textId="08C2CBD1" w:rsidR="00600EE1" w:rsidRPr="00320DEE" w:rsidRDefault="00551339" w:rsidP="00933AF9">
      <w:pPr>
        <w:pBdr>
          <w:top w:val="nil"/>
          <w:left w:val="nil"/>
          <w:bottom w:val="nil"/>
          <w:right w:val="nil"/>
          <w:between w:val="nil"/>
        </w:pBdr>
        <w:jc w:val="both"/>
        <w:rPr>
          <w:sz w:val="20"/>
          <w:szCs w:val="20"/>
        </w:rPr>
      </w:pPr>
      <w:r w:rsidRPr="00320DEE">
        <w:rPr>
          <w:sz w:val="20"/>
          <w:szCs w:val="20"/>
          <w:vertAlign w:val="superscript"/>
        </w:rPr>
        <w:footnoteRef/>
      </w:r>
      <w:r w:rsidRPr="00320DEE">
        <w:rPr>
          <w:sz w:val="20"/>
          <w:szCs w:val="20"/>
          <w:vertAlign w:val="superscript"/>
        </w:rPr>
        <w:t xml:space="preserve"> </w:t>
      </w:r>
      <w:r w:rsidRPr="00320DEE">
        <w:rPr>
          <w:sz w:val="20"/>
          <w:szCs w:val="20"/>
        </w:rPr>
        <w:t>Decreto 2591 de 1991. “</w:t>
      </w:r>
      <w:bookmarkStart w:id="5" w:name="2uoimrp8v75a" w:colFirst="0" w:colLast="0"/>
      <w:bookmarkEnd w:id="5"/>
      <w:r w:rsidRPr="00320DEE">
        <w:rPr>
          <w:sz w:val="20"/>
          <w:szCs w:val="20"/>
        </w:rPr>
        <w:t xml:space="preserve">Artículo 7. </w:t>
      </w:r>
      <w:r w:rsidRPr="00320DEE">
        <w:rPr>
          <w:i/>
          <w:iCs/>
          <w:sz w:val="20"/>
          <w:szCs w:val="20"/>
        </w:rPr>
        <w:t>Medidas provisionales para proteger un derecho</w:t>
      </w:r>
      <w:r w:rsidRPr="00320DEE">
        <w:rPr>
          <w:sz w:val="20"/>
          <w:szCs w:val="20"/>
        </w:rPr>
        <w:t>. Desde la presentación de la solicitud, cuando el juez expresamente lo considere necesario y urgente para proteger el derecho, suspenderá la aplicación del acto concreto que lo amenace o vulnere. // Sin embargo, a petición de parte o de oficio, se podrá disponer la ejecución o la continuidad de la ejecución, para evitar perjuicios ciertos e inminentes al interés público. En todo caso el juez podrá ordenar lo que considere procedente para proteger los derechos y no hacer ilusorio el efecto de un eventual fallo a favor del solicitante. // La suspensión de la aplicación se notificará inmediatamente a aquél contra quien se hubiere hecho la solicitud por el medio más expedito posible.</w:t>
      </w:r>
      <w:r w:rsidR="0036786C" w:rsidRPr="00320DEE">
        <w:rPr>
          <w:sz w:val="20"/>
          <w:szCs w:val="20"/>
        </w:rPr>
        <w:t xml:space="preserve"> </w:t>
      </w:r>
      <w:r w:rsidRPr="00320DEE">
        <w:rPr>
          <w:sz w:val="20"/>
          <w:szCs w:val="20"/>
        </w:rPr>
        <w:t xml:space="preserve">El juez también podrá, de oficio o a petición de parte, dictar cualquier medida de conservación o seguridad encaminada a proteger el derecho o a evitar que se produzcan otros daños como consecuencia de los hechos realizados, todo de conformidad con las circunstancias del caso. // El juez podrá, de oficio o a petición de parte, por resolución debidamente fundada, hacer cesar en cualquier momento la autorización de ejecución o las otras medidas cautelares que hubiere dictado”. </w:t>
      </w:r>
    </w:p>
  </w:footnote>
  <w:footnote w:id="29">
    <w:p w14:paraId="6EE6619C" w14:textId="77777777" w:rsidR="00600EE1" w:rsidRPr="007E3371" w:rsidRDefault="00551339" w:rsidP="00933AF9">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 259 de 2021. M. P. Diana Fajardo Rivera. </w:t>
      </w:r>
    </w:p>
  </w:footnote>
  <w:footnote w:id="30">
    <w:p w14:paraId="6EE6619D" w14:textId="77777777" w:rsidR="00600EE1" w:rsidRPr="007E3371" w:rsidRDefault="00551339" w:rsidP="00933AF9">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 247 de 2025. M. P. Diana Fajardo Rivera. La providencia especificó que “el juez constitucional goza de una amplia competencia que le permite, a petición de parte o de oficio, entre otras determinaciones, “dictar cualquier medida de conservación o seguridad”, destinada a “proteger un derecho” o a “evitar que se produzcan otros daños como consecuencia de los hechos realizados”; todo de conformidad con las circunstancias del caso”.</w:t>
      </w:r>
    </w:p>
  </w:footnote>
  <w:footnote w:id="31">
    <w:p w14:paraId="6EE6619E" w14:textId="77777777" w:rsidR="00600EE1" w:rsidRPr="007E3371" w:rsidRDefault="00551339" w:rsidP="00933AF9">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 288 de 2025. M. P. Vladimir Fernández Andrade. </w:t>
      </w:r>
    </w:p>
  </w:footnote>
  <w:footnote w:id="32">
    <w:p w14:paraId="6EE6619F" w14:textId="77777777" w:rsidR="00600EE1" w:rsidRPr="007E3371" w:rsidRDefault="00551339" w:rsidP="00933AF9">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Autos 110 de 2020, M. P. Diana Fajardo Rivera, 065 de 2021 y 293 de 2015, M. P. Gloria Stella Ortiz Delgado, entre otros</w:t>
      </w:r>
    </w:p>
  </w:footnote>
  <w:footnote w:id="33">
    <w:p w14:paraId="6EE661A0" w14:textId="77777777" w:rsidR="00600EE1" w:rsidRPr="007E3371" w:rsidRDefault="00551339" w:rsidP="00933AF9">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 484 de 2023, M. P. Jorge Enrique Ibáñez Najar.</w:t>
      </w:r>
    </w:p>
  </w:footnote>
  <w:footnote w:id="34">
    <w:p w14:paraId="6EE661A1" w14:textId="77777777" w:rsidR="00600EE1" w:rsidRPr="007E3371" w:rsidRDefault="00551339" w:rsidP="00933AF9">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 247 de 2025. M. P. Diana Fajardo Rivera.</w:t>
      </w:r>
    </w:p>
  </w:footnote>
  <w:footnote w:id="35">
    <w:p w14:paraId="6EE661A2" w14:textId="77777777" w:rsidR="00600EE1" w:rsidRPr="007E3371" w:rsidRDefault="00551339" w:rsidP="00933AF9">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Autos 484 de 2023, M. P. Jorge Enrique Ibáñez Najar, 259 de 2021 y 110 de 2020, M. P. Diana Fajardo Rivera, y 065 de 2021, M. P. Gloria Stella Ortiz Delgado, entre otros.</w:t>
      </w:r>
    </w:p>
  </w:footnote>
  <w:footnote w:id="36">
    <w:p w14:paraId="6EE661A3" w14:textId="77777777" w:rsidR="00600EE1" w:rsidRPr="007E3371" w:rsidRDefault="00551339" w:rsidP="00933AF9">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Autos 484 de 2023, M. P. Jorge Enrique Ibáñez Najar, y 110 de 2020, M. P. Diana Fajardo Rivera.</w:t>
      </w:r>
    </w:p>
  </w:footnote>
  <w:footnote w:id="37">
    <w:p w14:paraId="13067E69" w14:textId="3A0873AE" w:rsidR="00A444D8" w:rsidRPr="00EA1CDA" w:rsidRDefault="00A444D8" w:rsidP="00933AF9">
      <w:pPr>
        <w:pStyle w:val="Textonotapie"/>
        <w:jc w:val="both"/>
        <w:rPr>
          <w:sz w:val="18"/>
          <w:szCs w:val="18"/>
        </w:rPr>
      </w:pPr>
      <w:r w:rsidRPr="007E3371">
        <w:rPr>
          <w:rStyle w:val="Refdenotaalpie"/>
        </w:rPr>
        <w:footnoteRef/>
      </w:r>
      <w:r w:rsidRPr="007E3371">
        <w:t xml:space="preserve"> De acuerdo con el artículo transitorio del Acuerdo 01 de 2025 “</w:t>
      </w:r>
      <w:r w:rsidRPr="007E3371">
        <w:rPr>
          <w:lang w:val="es-ES"/>
        </w:rPr>
        <w:t xml:space="preserve">Por medio del cual se unifica y actualiza el Reglamento de la Corte Constitucional”, “Las disposiciones sobre términos dispuestas en esta reforma se aplicarán respecto de los procesos radicados en la Corte a partir de su </w:t>
      </w:r>
      <w:proofErr w:type="gramStart"/>
      <w:r w:rsidRPr="007E3371">
        <w:rPr>
          <w:lang w:val="es-ES"/>
        </w:rPr>
        <w:t>entrada en vigencia</w:t>
      </w:r>
      <w:proofErr w:type="gramEnd"/>
      <w:r w:rsidRPr="007E3371">
        <w:rPr>
          <w:lang w:val="es-ES"/>
        </w:rPr>
        <w:t>. Los asuntos cuyo trámite haya iniciado en vigencia del Acuerdo 02 de 2015 seguirán hasta su culminación bajo dicha regulación”.</w:t>
      </w:r>
    </w:p>
  </w:footnote>
  <w:footnote w:id="38">
    <w:p w14:paraId="1366708F" w14:textId="77777777" w:rsidR="005E4F86" w:rsidRPr="007D2582" w:rsidRDefault="005E4F86" w:rsidP="00933AF9">
      <w:pPr>
        <w:pBdr>
          <w:top w:val="nil"/>
          <w:left w:val="nil"/>
          <w:bottom w:val="nil"/>
          <w:right w:val="nil"/>
          <w:between w:val="nil"/>
        </w:pBdr>
        <w:jc w:val="both"/>
        <w:rPr>
          <w:sz w:val="20"/>
          <w:szCs w:val="20"/>
        </w:rPr>
      </w:pPr>
      <w:r w:rsidRPr="007D2582">
        <w:rPr>
          <w:sz w:val="20"/>
          <w:szCs w:val="20"/>
          <w:vertAlign w:val="superscript"/>
        </w:rPr>
        <w:footnoteRef/>
      </w:r>
      <w:r w:rsidRPr="007D2582">
        <w:rPr>
          <w:sz w:val="20"/>
          <w:szCs w:val="20"/>
        </w:rPr>
        <w:t xml:space="preserve"> Corte Constitucional. Sentencia T-239 de 2015. M. P. Martha Victoria Sáchica Méndez. </w:t>
      </w:r>
    </w:p>
  </w:footnote>
  <w:footnote w:id="39">
    <w:p w14:paraId="09710FD7" w14:textId="14BABC17" w:rsidR="00CE7369" w:rsidRPr="007D2582" w:rsidRDefault="00CE7369" w:rsidP="00933AF9">
      <w:pPr>
        <w:pStyle w:val="Textonotapie"/>
        <w:jc w:val="both"/>
        <w:rPr>
          <w:lang w:val="es-ES"/>
        </w:rPr>
      </w:pPr>
      <w:r w:rsidRPr="007D2582">
        <w:rPr>
          <w:rStyle w:val="Refdenotaalpie"/>
        </w:rPr>
        <w:footnoteRef/>
      </w:r>
      <w:r w:rsidRPr="007D2582">
        <w:t xml:space="preserve"> </w:t>
      </w:r>
      <w:r w:rsidRPr="007D2582">
        <w:rPr>
          <w:lang w:val="es-ES"/>
        </w:rPr>
        <w:t>“Por medio de la cual se regula el derecho fundamental a la salud y se dictan otras disposiciones”.</w:t>
      </w:r>
    </w:p>
  </w:footnote>
  <w:footnote w:id="40">
    <w:p w14:paraId="066FA01F" w14:textId="6461090D" w:rsidR="00216D3A" w:rsidRPr="007D2582" w:rsidRDefault="00216D3A" w:rsidP="00933AF9">
      <w:pPr>
        <w:pStyle w:val="Textonotapie"/>
        <w:jc w:val="both"/>
        <w:rPr>
          <w:lang w:val="es-ES"/>
        </w:rPr>
      </w:pPr>
      <w:r w:rsidRPr="007D2582">
        <w:rPr>
          <w:rStyle w:val="Refdenotaalpie"/>
        </w:rPr>
        <w:footnoteRef/>
      </w:r>
      <w:r w:rsidRPr="007D2582">
        <w:t xml:space="preserve"> </w:t>
      </w:r>
      <w:r w:rsidR="009E496B" w:rsidRPr="007D2582">
        <w:t>“</w:t>
      </w:r>
      <w:r w:rsidR="009E496B" w:rsidRPr="007D2582">
        <w:rPr>
          <w:lang w:val="es-ES"/>
        </w:rPr>
        <w:t xml:space="preserve">d) Continuidad. Las personas tienen derecho a recibir los servicios de salud de manera continua. Una vez la provisión de un servicio ha sido iniciada, este no podrá ser interrumpido por razones administrativas o económicas”.  </w:t>
      </w:r>
    </w:p>
  </w:footnote>
  <w:footnote w:id="41">
    <w:p w14:paraId="1C70E908" w14:textId="5479095C" w:rsidR="00C04C88" w:rsidRPr="00A05700" w:rsidRDefault="00C04C88" w:rsidP="00933AF9">
      <w:pPr>
        <w:pStyle w:val="Textonotapie"/>
        <w:jc w:val="both"/>
        <w:rPr>
          <w:lang w:val="es-ES"/>
        </w:rPr>
      </w:pPr>
      <w:r w:rsidRPr="007D2582">
        <w:rPr>
          <w:rStyle w:val="Refdenotaalpie"/>
        </w:rPr>
        <w:footnoteRef/>
      </w:r>
      <w:r w:rsidRPr="007D2582">
        <w:t xml:space="preserve"> </w:t>
      </w:r>
      <w:r w:rsidR="00881D8A" w:rsidRPr="007D2582">
        <w:rPr>
          <w:lang w:val="es-ES"/>
        </w:rPr>
        <w:t xml:space="preserve">Corte Constitucional. Sentencia </w:t>
      </w:r>
      <w:r w:rsidR="00A234AE" w:rsidRPr="007D2582">
        <w:rPr>
          <w:lang w:val="es-ES"/>
        </w:rPr>
        <w:t>C-313 de 2014. M.</w:t>
      </w:r>
      <w:r w:rsidR="00C05C6F" w:rsidRPr="007D2582">
        <w:rPr>
          <w:lang w:val="es-ES"/>
        </w:rPr>
        <w:t xml:space="preserve"> </w:t>
      </w:r>
      <w:r w:rsidR="00A234AE" w:rsidRPr="007D2582">
        <w:rPr>
          <w:lang w:val="es-ES"/>
        </w:rPr>
        <w:t xml:space="preserve">P. </w:t>
      </w:r>
      <w:r w:rsidR="004C074F" w:rsidRPr="007D2582">
        <w:rPr>
          <w:lang w:val="es-ES"/>
        </w:rPr>
        <w:t xml:space="preserve">Gabriel Eduardo Mendoza Martelo. </w:t>
      </w:r>
      <w:r w:rsidR="00A5208A" w:rsidRPr="007D2582">
        <w:rPr>
          <w:lang w:val="es-ES"/>
        </w:rPr>
        <w:t xml:space="preserve"> </w:t>
      </w:r>
      <w:r w:rsidR="00686C18" w:rsidRPr="007D2582">
        <w:rPr>
          <w:lang w:val="es-ES"/>
        </w:rPr>
        <w:t xml:space="preserve">“[L]a Corporación por vía de revisión, ha descartado los móviles presupuestales o administrativos como aceptables para privar del servicio de salud a las personas. No ha estimado la jurisprudencia que tales motivos sean de recibo ni aun cuando la suspensión del servicio no resulte arbitraria e intempestiva. En suma, por razones de orden económico o administrativo no tiene lugar la interrupción del servicio. Es inaceptable constitucionalmente la suspensión </w:t>
      </w:r>
      <w:r w:rsidR="00686C18" w:rsidRPr="00A05700">
        <w:rPr>
          <w:lang w:val="es-ES"/>
        </w:rPr>
        <w:t>del servicio, así esta no sea intempestiva o arbitraria. Por ende, encuentra la Sala que se deben excluir del ordenamiento en el literal </w:t>
      </w:r>
      <w:r w:rsidR="00686C18" w:rsidRPr="00A05700">
        <w:rPr>
          <w:i/>
          <w:iCs/>
          <w:lang w:val="es-ES"/>
        </w:rPr>
        <w:t>d)</w:t>
      </w:r>
      <w:r w:rsidR="00686C18" w:rsidRPr="00A05700">
        <w:rPr>
          <w:lang w:val="es-ES"/>
        </w:rPr>
        <w:t> del inciso 2 del artículo 6 del proyecto la expresión “</w:t>
      </w:r>
      <w:r w:rsidR="00686C18" w:rsidRPr="00A05700">
        <w:rPr>
          <w:i/>
          <w:iCs/>
          <w:lang w:val="es-ES"/>
        </w:rPr>
        <w:t>de manera intempestiva y arbitraria</w:t>
      </w:r>
      <w:r w:rsidR="00686C18" w:rsidRPr="00A05700">
        <w:rPr>
          <w:lang w:val="es-ES"/>
        </w:rPr>
        <w:t xml:space="preserve">”, con lo cual el precepto rezará que no podrá ser interrumpido el servicio por razones administrativas y económicas”. </w:t>
      </w:r>
    </w:p>
  </w:footnote>
  <w:footnote w:id="42">
    <w:p w14:paraId="5BF8E92D" w14:textId="77777777" w:rsidR="005E4F86" w:rsidRPr="000E7DAF" w:rsidRDefault="005E4F86" w:rsidP="00933AF9">
      <w:pPr>
        <w:pBdr>
          <w:top w:val="nil"/>
          <w:left w:val="nil"/>
          <w:bottom w:val="nil"/>
          <w:right w:val="nil"/>
          <w:between w:val="nil"/>
        </w:pBdr>
        <w:jc w:val="both"/>
        <w:rPr>
          <w:sz w:val="20"/>
          <w:szCs w:val="20"/>
          <w:lang w:val="it-IT"/>
        </w:rPr>
      </w:pPr>
      <w:r w:rsidRPr="00A05700">
        <w:rPr>
          <w:sz w:val="20"/>
          <w:szCs w:val="20"/>
          <w:vertAlign w:val="superscript"/>
        </w:rPr>
        <w:footnoteRef/>
      </w:r>
      <w:r w:rsidRPr="00A05700">
        <w:rPr>
          <w:sz w:val="20"/>
          <w:szCs w:val="20"/>
        </w:rPr>
        <w:t xml:space="preserve"> Corte Constitucional. Sentencia T-377 de 2024. </w:t>
      </w:r>
      <w:r w:rsidRPr="000E7DAF">
        <w:rPr>
          <w:sz w:val="20"/>
          <w:szCs w:val="20"/>
          <w:lang w:val="it-IT"/>
        </w:rPr>
        <w:t xml:space="preserve">M. P. Diana Fajardo Rivera. </w:t>
      </w:r>
    </w:p>
  </w:footnote>
  <w:footnote w:id="43">
    <w:p w14:paraId="77164B45" w14:textId="3856F8B8" w:rsidR="005E4F86" w:rsidRPr="000E7DAF" w:rsidRDefault="005E4F86" w:rsidP="00933AF9">
      <w:pPr>
        <w:pBdr>
          <w:top w:val="nil"/>
          <w:left w:val="nil"/>
          <w:bottom w:val="nil"/>
          <w:right w:val="nil"/>
          <w:between w:val="nil"/>
        </w:pBdr>
        <w:jc w:val="both"/>
        <w:rPr>
          <w:sz w:val="20"/>
          <w:szCs w:val="20"/>
          <w:lang w:val="it-IT"/>
        </w:rPr>
      </w:pPr>
      <w:r w:rsidRPr="00A05700">
        <w:rPr>
          <w:sz w:val="20"/>
          <w:szCs w:val="20"/>
          <w:vertAlign w:val="superscript"/>
        </w:rPr>
        <w:footnoteRef/>
      </w:r>
      <w:r w:rsidRPr="00A05700">
        <w:rPr>
          <w:sz w:val="20"/>
          <w:szCs w:val="20"/>
        </w:rPr>
        <w:t xml:space="preserve"> </w:t>
      </w:r>
      <w:r w:rsidR="007D2582" w:rsidRPr="00A05700">
        <w:rPr>
          <w:sz w:val="20"/>
          <w:szCs w:val="20"/>
        </w:rPr>
        <w:t xml:space="preserve">Corte Constitucional. Sentencia T-377 de 2024. </w:t>
      </w:r>
      <w:r w:rsidR="007D2582" w:rsidRPr="000E7DAF">
        <w:rPr>
          <w:sz w:val="20"/>
          <w:szCs w:val="20"/>
          <w:lang w:val="it-IT"/>
        </w:rPr>
        <w:t>M. P. Diana Fajardo Rivera</w:t>
      </w:r>
      <w:r w:rsidRPr="000E7DAF">
        <w:rPr>
          <w:sz w:val="20"/>
          <w:szCs w:val="20"/>
          <w:lang w:val="it-IT"/>
        </w:rPr>
        <w:t xml:space="preserve">. </w:t>
      </w:r>
    </w:p>
  </w:footnote>
  <w:footnote w:id="44">
    <w:p w14:paraId="58D01B30" w14:textId="5D97B529" w:rsidR="004D74FD" w:rsidRPr="000E7DAF" w:rsidRDefault="004D74FD" w:rsidP="00933AF9">
      <w:pPr>
        <w:pStyle w:val="Textonotapie"/>
        <w:rPr>
          <w:lang w:val="it-IT"/>
        </w:rPr>
      </w:pPr>
      <w:r w:rsidRPr="00A05700">
        <w:rPr>
          <w:rStyle w:val="Refdenotaalpie"/>
        </w:rPr>
        <w:footnoteRef/>
      </w:r>
      <w:r w:rsidRPr="00A05700">
        <w:t xml:space="preserve"> </w:t>
      </w:r>
      <w:r w:rsidR="00F429B1" w:rsidRPr="00A05700">
        <w:t xml:space="preserve">Corte Constitucional. Sentencia T-268 de 2023. </w:t>
      </w:r>
      <w:r w:rsidR="00F429B1" w:rsidRPr="000E7DAF">
        <w:rPr>
          <w:lang w:val="it-IT"/>
        </w:rPr>
        <w:t>M.</w:t>
      </w:r>
      <w:r w:rsidR="002E644E" w:rsidRPr="000E7DAF">
        <w:rPr>
          <w:lang w:val="it-IT"/>
        </w:rPr>
        <w:t xml:space="preserve"> </w:t>
      </w:r>
      <w:r w:rsidR="00F429B1" w:rsidRPr="000E7DAF">
        <w:rPr>
          <w:lang w:val="it-IT"/>
        </w:rPr>
        <w:t xml:space="preserve">P. </w:t>
      </w:r>
      <w:r w:rsidR="00A72B3A" w:rsidRPr="000E7DAF">
        <w:rPr>
          <w:lang w:val="it-IT"/>
        </w:rPr>
        <w:t>Cristina Pardo Schlesinger.</w:t>
      </w:r>
    </w:p>
  </w:footnote>
  <w:footnote w:id="45">
    <w:p w14:paraId="63B8EA6C" w14:textId="394D25C7" w:rsidR="00FB4F9C" w:rsidRPr="00A05700" w:rsidRDefault="00FB4F9C" w:rsidP="00933AF9">
      <w:pPr>
        <w:pStyle w:val="Textonotapie"/>
        <w:jc w:val="both"/>
        <w:rPr>
          <w:lang w:val="es-ES"/>
        </w:rPr>
      </w:pPr>
      <w:r w:rsidRPr="00A05700">
        <w:rPr>
          <w:rStyle w:val="Refdenotaalpie"/>
        </w:rPr>
        <w:footnoteRef/>
      </w:r>
      <w:r w:rsidR="00CA2CB4" w:rsidRPr="00A05700">
        <w:t xml:space="preserve"> Expedientes</w:t>
      </w:r>
      <w:r w:rsidRPr="00A05700">
        <w:t xml:space="preserve"> </w:t>
      </w:r>
      <w:r w:rsidRPr="00A05700">
        <w:rPr>
          <w:i/>
          <w:iCs/>
          <w:lang w:val="es-ES"/>
        </w:rPr>
        <w:t>(1)</w:t>
      </w:r>
      <w:r w:rsidRPr="00A05700">
        <w:rPr>
          <w:lang w:val="es-ES"/>
        </w:rPr>
        <w:t xml:space="preserve"> T-10.641.262, </w:t>
      </w:r>
      <w:r w:rsidRPr="00A05700">
        <w:rPr>
          <w:i/>
          <w:iCs/>
          <w:lang w:val="es-ES"/>
        </w:rPr>
        <w:t>(2)</w:t>
      </w:r>
      <w:r w:rsidRPr="00A05700">
        <w:rPr>
          <w:lang w:val="es-ES"/>
        </w:rPr>
        <w:t xml:space="preserve"> T-10.771.082, </w:t>
      </w:r>
      <w:r w:rsidRPr="00A05700">
        <w:rPr>
          <w:i/>
          <w:iCs/>
          <w:lang w:val="es-ES"/>
        </w:rPr>
        <w:t>(6)</w:t>
      </w:r>
      <w:r w:rsidRPr="00A05700">
        <w:rPr>
          <w:lang w:val="es-ES"/>
        </w:rPr>
        <w:t xml:space="preserve"> T-10.781.205, </w:t>
      </w:r>
      <w:r w:rsidRPr="00A05700">
        <w:rPr>
          <w:i/>
          <w:iCs/>
          <w:lang w:val="es-ES"/>
        </w:rPr>
        <w:t>(11)</w:t>
      </w:r>
      <w:r w:rsidRPr="00A05700">
        <w:rPr>
          <w:lang w:val="es-ES"/>
        </w:rPr>
        <w:t xml:space="preserve"> T-10.787.792, </w:t>
      </w:r>
      <w:r w:rsidRPr="00A05700">
        <w:rPr>
          <w:i/>
          <w:iCs/>
          <w:lang w:val="es-ES"/>
        </w:rPr>
        <w:t>(13)</w:t>
      </w:r>
      <w:r w:rsidRPr="00A05700">
        <w:rPr>
          <w:lang w:val="es-ES"/>
        </w:rPr>
        <w:t xml:space="preserve"> T-10.790.526, </w:t>
      </w:r>
      <w:r w:rsidRPr="00A05700">
        <w:rPr>
          <w:i/>
          <w:iCs/>
          <w:lang w:val="es-ES"/>
        </w:rPr>
        <w:t>(15)</w:t>
      </w:r>
      <w:r w:rsidRPr="00A05700">
        <w:rPr>
          <w:lang w:val="es-ES"/>
        </w:rPr>
        <w:t xml:space="preserve"> T-10.796.422, </w:t>
      </w:r>
      <w:r w:rsidRPr="00A05700">
        <w:rPr>
          <w:i/>
          <w:iCs/>
          <w:lang w:val="es-ES"/>
        </w:rPr>
        <w:t>(23)</w:t>
      </w:r>
      <w:r w:rsidRPr="00A05700">
        <w:rPr>
          <w:lang w:val="es-ES"/>
        </w:rPr>
        <w:t xml:space="preserve"> T- 10.810.117, </w:t>
      </w:r>
      <w:r w:rsidRPr="00A05700">
        <w:rPr>
          <w:i/>
          <w:iCs/>
          <w:lang w:val="es-ES"/>
        </w:rPr>
        <w:t>(24)</w:t>
      </w:r>
      <w:r w:rsidRPr="00A05700">
        <w:rPr>
          <w:lang w:val="es-ES"/>
        </w:rPr>
        <w:t xml:space="preserve"> T-10.810.192, </w:t>
      </w:r>
      <w:r w:rsidRPr="00A05700">
        <w:rPr>
          <w:i/>
          <w:iCs/>
          <w:lang w:val="es-ES"/>
        </w:rPr>
        <w:t>(27)</w:t>
      </w:r>
      <w:r w:rsidRPr="00A05700">
        <w:rPr>
          <w:lang w:val="es-ES"/>
        </w:rPr>
        <w:t xml:space="preserve"> T-10.811.732, </w:t>
      </w:r>
      <w:r w:rsidRPr="00A05700">
        <w:rPr>
          <w:i/>
          <w:iCs/>
          <w:lang w:val="es-ES"/>
        </w:rPr>
        <w:t>(29)</w:t>
      </w:r>
      <w:r w:rsidRPr="00A05700">
        <w:rPr>
          <w:lang w:val="es-ES"/>
        </w:rPr>
        <w:t xml:space="preserve"> T- 10.820.873 y </w:t>
      </w:r>
      <w:r w:rsidRPr="00A05700">
        <w:rPr>
          <w:i/>
          <w:iCs/>
          <w:lang w:val="es-ES"/>
        </w:rPr>
        <w:t>(30)</w:t>
      </w:r>
      <w:r w:rsidRPr="00A05700">
        <w:rPr>
          <w:lang w:val="es-ES"/>
        </w:rPr>
        <w:t xml:space="preserve"> T-10.821.146. </w:t>
      </w:r>
    </w:p>
  </w:footnote>
  <w:footnote w:id="46">
    <w:p w14:paraId="047C543E" w14:textId="04EE9A39" w:rsidR="004503D5" w:rsidRPr="007D2582" w:rsidRDefault="004503D5" w:rsidP="00933AF9">
      <w:pPr>
        <w:pStyle w:val="Textonotapie"/>
        <w:jc w:val="both"/>
        <w:rPr>
          <w:lang w:val="es-ES"/>
        </w:rPr>
      </w:pPr>
      <w:r w:rsidRPr="00A05700">
        <w:rPr>
          <w:rStyle w:val="Refdenotaalpie"/>
        </w:rPr>
        <w:footnoteRef/>
      </w:r>
      <w:r w:rsidRPr="00A05700">
        <w:t xml:space="preserve"> </w:t>
      </w:r>
      <w:r w:rsidR="003C5AAC" w:rsidRPr="00A05700">
        <w:t xml:space="preserve">Expedientes </w:t>
      </w:r>
      <w:r w:rsidRPr="00A05700">
        <w:rPr>
          <w:i/>
          <w:iCs/>
          <w:lang w:val="es-ES"/>
        </w:rPr>
        <w:t>(3)</w:t>
      </w:r>
      <w:r w:rsidRPr="00A05700">
        <w:rPr>
          <w:lang w:val="es-ES"/>
        </w:rPr>
        <w:t xml:space="preserve"> T-10.773.946, </w:t>
      </w:r>
      <w:r w:rsidRPr="00A05700">
        <w:rPr>
          <w:i/>
          <w:iCs/>
          <w:lang w:val="es-ES"/>
        </w:rPr>
        <w:t>(4)</w:t>
      </w:r>
      <w:r w:rsidRPr="00A05700">
        <w:rPr>
          <w:lang w:val="es-ES"/>
        </w:rPr>
        <w:t xml:space="preserve"> T-10.773.996, </w:t>
      </w:r>
      <w:r w:rsidRPr="00A05700">
        <w:rPr>
          <w:i/>
          <w:iCs/>
          <w:lang w:val="es-ES"/>
        </w:rPr>
        <w:t>(5)</w:t>
      </w:r>
      <w:r w:rsidRPr="00A05700">
        <w:rPr>
          <w:lang w:val="es-ES"/>
        </w:rPr>
        <w:t xml:space="preserve"> T-10.774.002, </w:t>
      </w:r>
      <w:r w:rsidR="006F6D5D" w:rsidRPr="00A05700">
        <w:rPr>
          <w:i/>
          <w:lang w:val="es-ES"/>
        </w:rPr>
        <w:t>(8)</w:t>
      </w:r>
      <w:r w:rsidR="006F6D5D" w:rsidRPr="00A05700">
        <w:rPr>
          <w:lang w:val="es-ES"/>
        </w:rPr>
        <w:t xml:space="preserve"> T-10.781.400, </w:t>
      </w:r>
      <w:r w:rsidRPr="00A05700">
        <w:rPr>
          <w:i/>
          <w:iCs/>
          <w:lang w:val="es-ES"/>
        </w:rPr>
        <w:t>(9)</w:t>
      </w:r>
      <w:r w:rsidRPr="00A05700">
        <w:rPr>
          <w:lang w:val="es-ES"/>
        </w:rPr>
        <w:t xml:space="preserve"> T-10.785.672, </w:t>
      </w:r>
      <w:r w:rsidRPr="00A05700">
        <w:rPr>
          <w:i/>
          <w:iCs/>
          <w:lang w:val="es-ES"/>
        </w:rPr>
        <w:t>(12)</w:t>
      </w:r>
      <w:r w:rsidRPr="00A05700">
        <w:rPr>
          <w:lang w:val="es-ES"/>
        </w:rPr>
        <w:t xml:space="preserve"> T-10.791.762, </w:t>
      </w:r>
      <w:r w:rsidRPr="00A05700">
        <w:rPr>
          <w:i/>
          <w:iCs/>
          <w:lang w:val="es-ES"/>
        </w:rPr>
        <w:t>(14)</w:t>
      </w:r>
      <w:r w:rsidRPr="00A05700">
        <w:rPr>
          <w:lang w:val="es-ES"/>
        </w:rPr>
        <w:t xml:space="preserve"> T-10.787.409, </w:t>
      </w:r>
      <w:r w:rsidRPr="00A05700">
        <w:rPr>
          <w:i/>
          <w:iCs/>
          <w:lang w:val="es-ES"/>
        </w:rPr>
        <w:t>(16)</w:t>
      </w:r>
      <w:r w:rsidRPr="00A05700">
        <w:rPr>
          <w:lang w:val="es-ES"/>
        </w:rPr>
        <w:t xml:space="preserve"> T-10.796.578, </w:t>
      </w:r>
      <w:r w:rsidRPr="00A05700">
        <w:rPr>
          <w:i/>
          <w:iCs/>
          <w:lang w:val="es-ES"/>
        </w:rPr>
        <w:t>(17)</w:t>
      </w:r>
      <w:r w:rsidRPr="00A05700">
        <w:rPr>
          <w:lang w:val="es-ES"/>
        </w:rPr>
        <w:t xml:space="preserve"> T- 10.796.598, </w:t>
      </w:r>
      <w:r w:rsidRPr="00A05700">
        <w:rPr>
          <w:i/>
          <w:iCs/>
          <w:lang w:val="es-ES"/>
        </w:rPr>
        <w:t>(19)</w:t>
      </w:r>
      <w:r w:rsidRPr="00A05700">
        <w:rPr>
          <w:lang w:val="es-ES"/>
        </w:rPr>
        <w:t xml:space="preserve"> T-10.800.758, </w:t>
      </w:r>
      <w:r w:rsidR="008F2134" w:rsidRPr="00A05700">
        <w:rPr>
          <w:lang w:val="es-ES"/>
        </w:rPr>
        <w:t xml:space="preserve">y </w:t>
      </w:r>
      <w:r w:rsidRPr="00A05700">
        <w:rPr>
          <w:i/>
          <w:iCs/>
          <w:lang w:val="es-ES"/>
        </w:rPr>
        <w:t>(20)</w:t>
      </w:r>
      <w:r w:rsidRPr="00A05700">
        <w:rPr>
          <w:lang w:val="es-ES"/>
        </w:rPr>
        <w:t xml:space="preserve"> T-10.800.834. </w:t>
      </w:r>
      <w:r w:rsidR="005F00E5" w:rsidRPr="00A05700">
        <w:rPr>
          <w:lang w:val="es-ES"/>
        </w:rPr>
        <w:t xml:space="preserve">En el expediente </w:t>
      </w:r>
      <w:r w:rsidR="005F00E5" w:rsidRPr="00A05700">
        <w:rPr>
          <w:i/>
          <w:lang w:val="es-ES"/>
        </w:rPr>
        <w:t>(8)</w:t>
      </w:r>
      <w:r w:rsidR="005F00E5" w:rsidRPr="00A05700">
        <w:rPr>
          <w:lang w:val="es-ES"/>
        </w:rPr>
        <w:t xml:space="preserve"> T-10.781.400 la agente oficiosa manifestó telefónicamente que la titular de los derechos, su hermana, cambió de EPS</w:t>
      </w:r>
      <w:r w:rsidR="00352823" w:rsidRPr="00A05700">
        <w:rPr>
          <w:lang w:val="es-ES"/>
        </w:rPr>
        <w:t xml:space="preserve">, razón por la cual mediante </w:t>
      </w:r>
      <w:r w:rsidR="000C5F95" w:rsidRPr="00A05700">
        <w:rPr>
          <w:lang w:val="es-ES"/>
        </w:rPr>
        <w:t>A</w:t>
      </w:r>
      <w:r w:rsidR="00352823" w:rsidRPr="00A05700">
        <w:rPr>
          <w:lang w:val="es-ES"/>
        </w:rPr>
        <w:t xml:space="preserve">uto del </w:t>
      </w:r>
      <w:r w:rsidR="00A9705C" w:rsidRPr="00A05700">
        <w:rPr>
          <w:lang w:val="es-ES"/>
        </w:rPr>
        <w:t>3</w:t>
      </w:r>
      <w:r w:rsidR="00352823" w:rsidRPr="00A05700">
        <w:rPr>
          <w:lang w:val="es-ES"/>
        </w:rPr>
        <w:t xml:space="preserve"> de abril de 2024 se ordenó su vinculación al proceso.</w:t>
      </w:r>
    </w:p>
  </w:footnote>
  <w:footnote w:id="47">
    <w:p w14:paraId="185475DF" w14:textId="1FBC98E0" w:rsidR="00A52CAD" w:rsidRPr="00EA1CDA" w:rsidRDefault="00A52CAD" w:rsidP="00933AF9">
      <w:pPr>
        <w:pStyle w:val="Textonotapie"/>
        <w:jc w:val="both"/>
        <w:rPr>
          <w:sz w:val="18"/>
          <w:szCs w:val="18"/>
        </w:rPr>
      </w:pPr>
      <w:r w:rsidRPr="007D2582">
        <w:rPr>
          <w:rStyle w:val="Refdenotaalpie"/>
        </w:rPr>
        <w:footnoteRef/>
      </w:r>
      <w:r w:rsidRPr="007D2582">
        <w:t xml:space="preserve"> </w:t>
      </w:r>
      <w:r w:rsidR="003C5AAC" w:rsidRPr="007D2582">
        <w:t xml:space="preserve">Expedientes </w:t>
      </w:r>
      <w:r w:rsidR="0024562B" w:rsidRPr="007D2582">
        <w:rPr>
          <w:i/>
          <w:iCs/>
          <w:lang w:val="es-ES"/>
        </w:rPr>
        <w:t>(7)</w:t>
      </w:r>
      <w:r w:rsidR="0024562B" w:rsidRPr="007D2582">
        <w:rPr>
          <w:lang w:val="es-ES"/>
        </w:rPr>
        <w:t xml:space="preserve"> T-10.781.215, </w:t>
      </w:r>
      <w:r w:rsidR="0024562B" w:rsidRPr="007D2582">
        <w:rPr>
          <w:i/>
          <w:iCs/>
          <w:lang w:val="es-ES"/>
        </w:rPr>
        <w:t>(10)</w:t>
      </w:r>
      <w:r w:rsidR="0024562B" w:rsidRPr="007D2582">
        <w:rPr>
          <w:lang w:val="es-ES"/>
        </w:rPr>
        <w:t xml:space="preserve"> T-10.785.910, </w:t>
      </w:r>
      <w:r w:rsidR="0024562B" w:rsidRPr="007D2582">
        <w:rPr>
          <w:i/>
          <w:iCs/>
          <w:lang w:val="es-ES"/>
        </w:rPr>
        <w:t>(18)</w:t>
      </w:r>
      <w:r w:rsidR="0024562B" w:rsidRPr="007D2582">
        <w:rPr>
          <w:lang w:val="es-ES"/>
        </w:rPr>
        <w:t xml:space="preserve"> T-10.800.631, </w:t>
      </w:r>
      <w:r w:rsidR="0024562B" w:rsidRPr="007D2582">
        <w:rPr>
          <w:i/>
          <w:iCs/>
          <w:lang w:val="es-ES"/>
        </w:rPr>
        <w:t>(21)</w:t>
      </w:r>
      <w:r w:rsidR="0024562B" w:rsidRPr="007D2582">
        <w:rPr>
          <w:lang w:val="es-ES"/>
        </w:rPr>
        <w:t xml:space="preserve"> T-10.803.623, </w:t>
      </w:r>
      <w:r w:rsidR="0024562B" w:rsidRPr="007D2582">
        <w:rPr>
          <w:i/>
          <w:iCs/>
          <w:lang w:val="es-ES"/>
        </w:rPr>
        <w:t>(22)</w:t>
      </w:r>
      <w:r w:rsidR="0024562B" w:rsidRPr="007D2582">
        <w:rPr>
          <w:lang w:val="es-ES"/>
        </w:rPr>
        <w:t xml:space="preserve"> T-10.803.921, </w:t>
      </w:r>
      <w:r w:rsidR="0024562B" w:rsidRPr="007D2582">
        <w:rPr>
          <w:i/>
          <w:iCs/>
          <w:lang w:val="es-ES"/>
        </w:rPr>
        <w:t>(25)</w:t>
      </w:r>
      <w:r w:rsidR="0024562B" w:rsidRPr="007D2582">
        <w:rPr>
          <w:lang w:val="es-ES"/>
        </w:rPr>
        <w:t xml:space="preserve"> T-10.811.379, </w:t>
      </w:r>
      <w:r w:rsidR="0024562B" w:rsidRPr="007D2582">
        <w:rPr>
          <w:i/>
          <w:iCs/>
          <w:lang w:val="es-ES"/>
        </w:rPr>
        <w:t>(26)</w:t>
      </w:r>
      <w:r w:rsidR="0024562B" w:rsidRPr="007D2582">
        <w:rPr>
          <w:lang w:val="es-ES"/>
        </w:rPr>
        <w:t xml:space="preserve"> T-10.811.650</w:t>
      </w:r>
      <w:r w:rsidR="000E041F" w:rsidRPr="007D2582">
        <w:rPr>
          <w:lang w:val="es-ES"/>
        </w:rPr>
        <w:t xml:space="preserve"> y</w:t>
      </w:r>
      <w:r w:rsidR="0024562B" w:rsidRPr="007D2582">
        <w:rPr>
          <w:lang w:val="es-ES"/>
        </w:rPr>
        <w:t xml:space="preserve"> </w:t>
      </w:r>
      <w:r w:rsidR="0024562B" w:rsidRPr="007D2582">
        <w:rPr>
          <w:i/>
          <w:iCs/>
          <w:lang w:val="es-ES"/>
        </w:rPr>
        <w:t>(28)</w:t>
      </w:r>
      <w:r w:rsidR="0024562B" w:rsidRPr="007D2582">
        <w:rPr>
          <w:lang w:val="es-ES"/>
        </w:rPr>
        <w:t xml:space="preserve"> T-10.814.534.</w:t>
      </w:r>
    </w:p>
  </w:footnote>
  <w:footnote w:id="48">
    <w:p w14:paraId="74B44DDC" w14:textId="6C3077E0" w:rsidR="001C146C" w:rsidRPr="007D2582" w:rsidRDefault="001C146C" w:rsidP="00933AF9">
      <w:pPr>
        <w:pStyle w:val="Textonotapie"/>
        <w:jc w:val="both"/>
      </w:pPr>
      <w:r w:rsidRPr="007D2582">
        <w:rPr>
          <w:rStyle w:val="Refdenotaalpie"/>
        </w:rPr>
        <w:footnoteRef/>
      </w:r>
      <w:r w:rsidRPr="007D2582">
        <w:t xml:space="preserve"> Entre estos casos, cabe destacar que en el expediente </w:t>
      </w:r>
      <w:r w:rsidRPr="007D2582">
        <w:rPr>
          <w:i/>
          <w:iCs/>
        </w:rPr>
        <w:t>(7)</w:t>
      </w:r>
      <w:r w:rsidRPr="007D2582">
        <w:t xml:space="preserve"> T-10.781.215 la agente oficiosa manifestó en su contestación que la EPS había suministrado el fármaco en una dosis distinta a la recomendada por el médico tratante, durante los meses de enero y febrero de 2025. Telefónicamente manifestó que el 4 de marzo siguiente se le expidió una nueva orden médica. La entrega del medicamento prescrito se efectuó el 15 de marzo de 2025 y fue hecha, esta vez, con apego estricto a la orden médica. En este caso, pese a dicha información, existe indicio de que la EPS no ha entregado el medicamento con fundamento en la orden médica y, a su vez que la falta de suministro del fármaco requerido podría poner en peligro la vida del agenciado, pues no puede ser suspendido sin vigilancia médica. En esa medida, la Sala de Revisión concibe que hay apariencia de buen derecho en ese asunto.</w:t>
      </w:r>
    </w:p>
  </w:footnote>
  <w:footnote w:id="49">
    <w:p w14:paraId="031A6A70" w14:textId="540D9AC5" w:rsidR="00724232" w:rsidRPr="00EA1CDA" w:rsidRDefault="00724232" w:rsidP="00933AF9">
      <w:pPr>
        <w:pStyle w:val="Textonotapie"/>
        <w:jc w:val="both"/>
        <w:rPr>
          <w:sz w:val="18"/>
          <w:szCs w:val="18"/>
        </w:rPr>
      </w:pPr>
      <w:r w:rsidRPr="007D2582">
        <w:rPr>
          <w:rStyle w:val="Refdenotaalpie"/>
        </w:rPr>
        <w:footnoteRef/>
      </w:r>
      <w:r w:rsidRPr="007D2582">
        <w:t xml:space="preserve"> </w:t>
      </w:r>
      <w:r w:rsidR="002A589B" w:rsidRPr="007D2582">
        <w:rPr>
          <w:color w:val="0D0D0D"/>
        </w:rPr>
        <w:t xml:space="preserve">Expedientes: </w:t>
      </w:r>
      <w:r w:rsidR="006C5E74" w:rsidRPr="007D2582">
        <w:rPr>
          <w:i/>
          <w:iCs/>
          <w:color w:val="0D0D0D"/>
          <w:lang w:val="es-ES"/>
        </w:rPr>
        <w:t>(5)</w:t>
      </w:r>
      <w:r w:rsidR="006C5E74" w:rsidRPr="007D2582">
        <w:rPr>
          <w:color w:val="0D0D0D"/>
          <w:lang w:val="es-ES"/>
        </w:rPr>
        <w:t xml:space="preserve"> T-10.774.002</w:t>
      </w:r>
      <w:r w:rsidR="005D7B7B" w:rsidRPr="007D2582">
        <w:rPr>
          <w:color w:val="0D0D0D"/>
          <w:lang w:val="es-ES"/>
        </w:rPr>
        <w:t xml:space="preserve">, </w:t>
      </w:r>
      <w:r w:rsidR="002A589B" w:rsidRPr="007D2582">
        <w:rPr>
          <w:i/>
          <w:iCs/>
          <w:color w:val="0D0D0D"/>
        </w:rPr>
        <w:t>(7)</w:t>
      </w:r>
      <w:r w:rsidR="002A589B" w:rsidRPr="007D2582">
        <w:rPr>
          <w:color w:val="0D0D0D"/>
        </w:rPr>
        <w:t xml:space="preserve"> T-10.781.215, </w:t>
      </w:r>
      <w:r w:rsidR="002A589B" w:rsidRPr="007D2582">
        <w:rPr>
          <w:i/>
          <w:iCs/>
          <w:color w:val="0D0D0D"/>
        </w:rPr>
        <w:t xml:space="preserve">(9) </w:t>
      </w:r>
      <w:r w:rsidR="002A589B" w:rsidRPr="007D2582">
        <w:rPr>
          <w:color w:val="0D0D0D"/>
        </w:rPr>
        <w:t xml:space="preserve">T-10.785.672, </w:t>
      </w:r>
      <w:r w:rsidR="002A589B" w:rsidRPr="007D2582">
        <w:rPr>
          <w:i/>
          <w:iCs/>
          <w:color w:val="0D0D0D"/>
        </w:rPr>
        <w:t>(11)</w:t>
      </w:r>
      <w:r w:rsidR="002A589B" w:rsidRPr="007D2582">
        <w:rPr>
          <w:color w:val="0D0D0D"/>
        </w:rPr>
        <w:t xml:space="preserve"> T-10.787.792, </w:t>
      </w:r>
      <w:r w:rsidR="00054EEE" w:rsidRPr="007D2582">
        <w:rPr>
          <w:i/>
          <w:iCs/>
          <w:color w:val="0D0D0D"/>
          <w:lang w:val="es-ES"/>
        </w:rPr>
        <w:t>(14)</w:t>
      </w:r>
      <w:r w:rsidR="00054EEE" w:rsidRPr="007D2582">
        <w:rPr>
          <w:color w:val="0D0D0D"/>
          <w:lang w:val="es-ES"/>
        </w:rPr>
        <w:t xml:space="preserve"> T-10.787.409, </w:t>
      </w:r>
      <w:r w:rsidR="002A589B" w:rsidRPr="007D2582">
        <w:rPr>
          <w:i/>
          <w:iCs/>
          <w:color w:val="0D0D0D"/>
        </w:rPr>
        <w:t>(16)</w:t>
      </w:r>
      <w:r w:rsidR="002A589B" w:rsidRPr="007D2582">
        <w:rPr>
          <w:color w:val="0D0D0D"/>
        </w:rPr>
        <w:t xml:space="preserve"> T-10.796.578, </w:t>
      </w:r>
      <w:r w:rsidR="002A589B" w:rsidRPr="007D2582">
        <w:rPr>
          <w:i/>
          <w:iCs/>
          <w:color w:val="0D0D0D"/>
        </w:rPr>
        <w:t>(18)</w:t>
      </w:r>
      <w:r w:rsidR="002A589B" w:rsidRPr="007D2582">
        <w:rPr>
          <w:color w:val="0D0D0D"/>
        </w:rPr>
        <w:t xml:space="preserve"> T-10.800.631, </w:t>
      </w:r>
      <w:r w:rsidR="007147F4" w:rsidRPr="007D2582">
        <w:rPr>
          <w:i/>
          <w:iCs/>
          <w:color w:val="0D0D0D"/>
          <w:lang w:val="es-ES"/>
        </w:rPr>
        <w:t>(19)</w:t>
      </w:r>
      <w:r w:rsidR="007147F4" w:rsidRPr="007D2582">
        <w:rPr>
          <w:color w:val="0D0D0D"/>
          <w:lang w:val="es-ES"/>
        </w:rPr>
        <w:t xml:space="preserve"> T-10.800.758,</w:t>
      </w:r>
      <w:r w:rsidR="002A589B" w:rsidRPr="007D2582">
        <w:rPr>
          <w:color w:val="0D0D0D"/>
        </w:rPr>
        <w:t xml:space="preserve"> (20) T-10.800.834,</w:t>
      </w:r>
      <w:r w:rsidR="00221773" w:rsidRPr="007D2582">
        <w:rPr>
          <w:color w:val="0D0D0D"/>
        </w:rPr>
        <w:t xml:space="preserve"> </w:t>
      </w:r>
      <w:r w:rsidR="00221773" w:rsidRPr="007D2582">
        <w:rPr>
          <w:i/>
          <w:iCs/>
          <w:color w:val="0D0D0D"/>
          <w:lang w:val="es-ES"/>
        </w:rPr>
        <w:t>(22)</w:t>
      </w:r>
      <w:r w:rsidR="00221773" w:rsidRPr="007D2582">
        <w:rPr>
          <w:color w:val="0D0D0D"/>
          <w:lang w:val="es-ES"/>
        </w:rPr>
        <w:t xml:space="preserve"> T-10.803.921,</w:t>
      </w:r>
      <w:r w:rsidR="002A589B" w:rsidRPr="007D2582">
        <w:rPr>
          <w:color w:val="0D0D0D"/>
        </w:rPr>
        <w:t xml:space="preserve"> (23) T-10.810.117, </w:t>
      </w:r>
      <w:r w:rsidR="002A589B" w:rsidRPr="007D2582">
        <w:rPr>
          <w:i/>
          <w:iCs/>
          <w:color w:val="0D0D0D"/>
        </w:rPr>
        <w:t>(25)</w:t>
      </w:r>
      <w:r w:rsidR="002A589B" w:rsidRPr="007D2582">
        <w:rPr>
          <w:color w:val="0D0D0D"/>
        </w:rPr>
        <w:t xml:space="preserve"> T-10.811.379, </w:t>
      </w:r>
      <w:r w:rsidR="002A589B" w:rsidRPr="007D2582">
        <w:rPr>
          <w:i/>
          <w:iCs/>
          <w:color w:val="0D0D0D"/>
        </w:rPr>
        <w:t>(26)</w:t>
      </w:r>
      <w:r w:rsidR="002A589B" w:rsidRPr="007D2582">
        <w:rPr>
          <w:color w:val="0D0D0D"/>
        </w:rPr>
        <w:t xml:space="preserve"> T-10.811.650 y </w:t>
      </w:r>
      <w:r w:rsidR="002A589B" w:rsidRPr="007D2582">
        <w:rPr>
          <w:i/>
          <w:iCs/>
          <w:color w:val="0D0D0D"/>
        </w:rPr>
        <w:t xml:space="preserve">(28) </w:t>
      </w:r>
      <w:r w:rsidR="002A589B" w:rsidRPr="007D2582">
        <w:rPr>
          <w:color w:val="0D0D0D"/>
        </w:rPr>
        <w:t>T-10.814.534.</w:t>
      </w:r>
    </w:p>
  </w:footnote>
  <w:footnote w:id="50">
    <w:p w14:paraId="41CD9460" w14:textId="76FDF579" w:rsidR="006E76FA" w:rsidRPr="007D2582" w:rsidRDefault="006E76FA" w:rsidP="00933AF9">
      <w:pPr>
        <w:pStyle w:val="Textonotapie"/>
        <w:jc w:val="both"/>
      </w:pPr>
      <w:r w:rsidRPr="007D2582">
        <w:rPr>
          <w:rStyle w:val="Refdenotaalpie"/>
        </w:rPr>
        <w:footnoteRef/>
      </w:r>
      <w:r w:rsidRPr="007D2582">
        <w:t xml:space="preserve"> </w:t>
      </w:r>
      <w:r w:rsidR="001365AB" w:rsidRPr="007D2582">
        <w:rPr>
          <w:lang w:val="es-ES"/>
        </w:rPr>
        <w:t xml:space="preserve">Expedientes </w:t>
      </w:r>
      <w:r w:rsidR="001365AB" w:rsidRPr="007D2582">
        <w:rPr>
          <w:i/>
          <w:iCs/>
          <w:lang w:val="es-ES"/>
        </w:rPr>
        <w:t>(1)</w:t>
      </w:r>
      <w:r w:rsidR="001365AB" w:rsidRPr="007D2582">
        <w:rPr>
          <w:lang w:val="es-ES"/>
        </w:rPr>
        <w:t xml:space="preserve"> T-10.641.262, </w:t>
      </w:r>
      <w:r w:rsidR="001365AB" w:rsidRPr="007D2582">
        <w:rPr>
          <w:i/>
          <w:iCs/>
          <w:lang w:val="es-ES"/>
        </w:rPr>
        <w:t>(2)</w:t>
      </w:r>
      <w:r w:rsidR="001365AB" w:rsidRPr="007D2582">
        <w:rPr>
          <w:lang w:val="es-ES"/>
        </w:rPr>
        <w:t xml:space="preserve"> T-10.771.082, </w:t>
      </w:r>
      <w:r w:rsidR="001365AB" w:rsidRPr="007D2582">
        <w:rPr>
          <w:i/>
          <w:iCs/>
          <w:lang w:val="es-ES"/>
        </w:rPr>
        <w:t>(6)</w:t>
      </w:r>
      <w:r w:rsidR="001365AB" w:rsidRPr="007D2582">
        <w:rPr>
          <w:lang w:val="es-ES"/>
        </w:rPr>
        <w:t xml:space="preserve"> T-10.781.205, </w:t>
      </w:r>
      <w:r w:rsidR="001365AB" w:rsidRPr="007D2582">
        <w:rPr>
          <w:i/>
          <w:iCs/>
          <w:lang w:val="es-ES"/>
        </w:rPr>
        <w:t>(11)</w:t>
      </w:r>
      <w:r w:rsidR="001365AB" w:rsidRPr="007D2582">
        <w:rPr>
          <w:lang w:val="es-ES"/>
        </w:rPr>
        <w:t xml:space="preserve"> T-10.787.792, </w:t>
      </w:r>
      <w:r w:rsidR="001365AB" w:rsidRPr="007D2582">
        <w:rPr>
          <w:i/>
          <w:iCs/>
          <w:lang w:val="es-ES"/>
        </w:rPr>
        <w:t>(13)</w:t>
      </w:r>
      <w:r w:rsidR="001365AB" w:rsidRPr="007D2582">
        <w:rPr>
          <w:lang w:val="es-ES"/>
        </w:rPr>
        <w:t xml:space="preserve"> T-10.790.526, </w:t>
      </w:r>
      <w:r w:rsidR="001365AB" w:rsidRPr="007D2582">
        <w:rPr>
          <w:i/>
          <w:iCs/>
          <w:lang w:val="es-ES"/>
        </w:rPr>
        <w:t>(15)</w:t>
      </w:r>
      <w:r w:rsidR="001365AB" w:rsidRPr="007D2582">
        <w:rPr>
          <w:lang w:val="es-ES"/>
        </w:rPr>
        <w:t xml:space="preserve"> T-10.796.422, </w:t>
      </w:r>
      <w:r w:rsidR="001365AB" w:rsidRPr="007D2582">
        <w:rPr>
          <w:i/>
          <w:iCs/>
          <w:lang w:val="es-ES"/>
        </w:rPr>
        <w:t>(23)</w:t>
      </w:r>
      <w:r w:rsidR="001365AB" w:rsidRPr="007D2582">
        <w:rPr>
          <w:lang w:val="es-ES"/>
        </w:rPr>
        <w:t xml:space="preserve"> T- 10.810.117, </w:t>
      </w:r>
      <w:r w:rsidR="001365AB" w:rsidRPr="007D2582">
        <w:rPr>
          <w:i/>
          <w:iCs/>
          <w:lang w:val="es-ES"/>
        </w:rPr>
        <w:t>(24)</w:t>
      </w:r>
      <w:r w:rsidR="001365AB" w:rsidRPr="007D2582">
        <w:rPr>
          <w:lang w:val="es-ES"/>
        </w:rPr>
        <w:t xml:space="preserve"> T-10.810.192, </w:t>
      </w:r>
      <w:r w:rsidR="001365AB" w:rsidRPr="007D2582">
        <w:rPr>
          <w:i/>
          <w:iCs/>
          <w:lang w:val="es-ES"/>
        </w:rPr>
        <w:t>(27)</w:t>
      </w:r>
      <w:r w:rsidR="001365AB" w:rsidRPr="007D2582">
        <w:rPr>
          <w:lang w:val="es-ES"/>
        </w:rPr>
        <w:t xml:space="preserve"> T-10.811.732, </w:t>
      </w:r>
      <w:r w:rsidR="001365AB" w:rsidRPr="007D2582">
        <w:rPr>
          <w:i/>
          <w:iCs/>
          <w:lang w:val="es-ES"/>
        </w:rPr>
        <w:t>(29)</w:t>
      </w:r>
      <w:r w:rsidR="001365AB" w:rsidRPr="007D2582">
        <w:rPr>
          <w:lang w:val="es-ES"/>
        </w:rPr>
        <w:t xml:space="preserve"> T- 10.820.873 y </w:t>
      </w:r>
      <w:r w:rsidR="001365AB" w:rsidRPr="007D2582">
        <w:rPr>
          <w:i/>
          <w:iCs/>
          <w:lang w:val="es-ES"/>
        </w:rPr>
        <w:t>(30)</w:t>
      </w:r>
      <w:r w:rsidR="001365AB" w:rsidRPr="007D2582">
        <w:rPr>
          <w:lang w:val="es-ES"/>
        </w:rPr>
        <w:t xml:space="preserve"> T-10.821.146.</w:t>
      </w:r>
    </w:p>
  </w:footnote>
  <w:footnote w:id="51">
    <w:p w14:paraId="4D5F81AF" w14:textId="1ADCE2CD" w:rsidR="001365AB" w:rsidRPr="007D2582" w:rsidRDefault="001365AB" w:rsidP="00933AF9">
      <w:pPr>
        <w:pStyle w:val="Textonotapie"/>
        <w:jc w:val="both"/>
      </w:pPr>
      <w:r w:rsidRPr="007D2582">
        <w:rPr>
          <w:rStyle w:val="Refdenotaalpie"/>
        </w:rPr>
        <w:footnoteRef/>
      </w:r>
      <w:r w:rsidRPr="007D2582">
        <w:t xml:space="preserve"> </w:t>
      </w:r>
      <w:r w:rsidRPr="007D2582">
        <w:rPr>
          <w:lang w:val="es-ES"/>
        </w:rPr>
        <w:t xml:space="preserve">Expedientes </w:t>
      </w:r>
      <w:r w:rsidRPr="007D2582">
        <w:rPr>
          <w:i/>
          <w:iCs/>
          <w:lang w:val="es-ES"/>
        </w:rPr>
        <w:t>(3)</w:t>
      </w:r>
      <w:r w:rsidRPr="007D2582">
        <w:rPr>
          <w:lang w:val="es-ES"/>
        </w:rPr>
        <w:t xml:space="preserve"> T-10.773.946, </w:t>
      </w:r>
      <w:r w:rsidRPr="007D2582">
        <w:rPr>
          <w:i/>
          <w:iCs/>
          <w:lang w:val="es-ES"/>
        </w:rPr>
        <w:t>(4)</w:t>
      </w:r>
      <w:r w:rsidRPr="007D2582">
        <w:rPr>
          <w:lang w:val="es-ES"/>
        </w:rPr>
        <w:t xml:space="preserve"> T-10.773.996, </w:t>
      </w:r>
      <w:r w:rsidRPr="007D2582">
        <w:rPr>
          <w:i/>
          <w:iCs/>
          <w:lang w:val="es-ES"/>
        </w:rPr>
        <w:t>(5)</w:t>
      </w:r>
      <w:r w:rsidRPr="007D2582">
        <w:rPr>
          <w:lang w:val="es-ES"/>
        </w:rPr>
        <w:t xml:space="preserve"> T-10.774.002, </w:t>
      </w:r>
      <w:r w:rsidRPr="007D2582">
        <w:rPr>
          <w:i/>
          <w:iCs/>
          <w:lang w:val="es-ES"/>
        </w:rPr>
        <w:t>(9)</w:t>
      </w:r>
      <w:r w:rsidRPr="007D2582">
        <w:rPr>
          <w:lang w:val="es-ES"/>
        </w:rPr>
        <w:t xml:space="preserve"> T-10.785.672, </w:t>
      </w:r>
      <w:r w:rsidRPr="007D2582">
        <w:rPr>
          <w:i/>
          <w:iCs/>
          <w:lang w:val="es-ES"/>
        </w:rPr>
        <w:t>(12)</w:t>
      </w:r>
      <w:r w:rsidRPr="007D2582">
        <w:rPr>
          <w:lang w:val="es-ES"/>
        </w:rPr>
        <w:t xml:space="preserve"> T-10.791.762, </w:t>
      </w:r>
      <w:r w:rsidRPr="007D2582">
        <w:rPr>
          <w:i/>
          <w:iCs/>
          <w:lang w:val="es-ES"/>
        </w:rPr>
        <w:t>(14)</w:t>
      </w:r>
      <w:r w:rsidRPr="007D2582">
        <w:rPr>
          <w:lang w:val="es-ES"/>
        </w:rPr>
        <w:t xml:space="preserve"> T-10.787.409, </w:t>
      </w:r>
      <w:r w:rsidRPr="007D2582">
        <w:rPr>
          <w:i/>
          <w:iCs/>
          <w:lang w:val="es-ES"/>
        </w:rPr>
        <w:t>(16)</w:t>
      </w:r>
      <w:r w:rsidRPr="007D2582">
        <w:rPr>
          <w:lang w:val="es-ES"/>
        </w:rPr>
        <w:t xml:space="preserve"> T-10.796.578, </w:t>
      </w:r>
      <w:r w:rsidRPr="007D2582">
        <w:rPr>
          <w:i/>
          <w:iCs/>
          <w:lang w:val="es-ES"/>
        </w:rPr>
        <w:t>(17)</w:t>
      </w:r>
      <w:r w:rsidRPr="007D2582">
        <w:rPr>
          <w:lang w:val="es-ES"/>
        </w:rPr>
        <w:t xml:space="preserve"> T- 10.796.598, </w:t>
      </w:r>
      <w:r w:rsidRPr="007D2582">
        <w:rPr>
          <w:i/>
          <w:iCs/>
          <w:lang w:val="es-ES"/>
        </w:rPr>
        <w:t>(19)</w:t>
      </w:r>
      <w:r w:rsidRPr="007D2582">
        <w:rPr>
          <w:lang w:val="es-ES"/>
        </w:rPr>
        <w:t xml:space="preserve"> T-10.800.758, y </w:t>
      </w:r>
      <w:r w:rsidRPr="007D2582">
        <w:rPr>
          <w:i/>
          <w:iCs/>
          <w:lang w:val="es-ES"/>
        </w:rPr>
        <w:t>(20)</w:t>
      </w:r>
      <w:r w:rsidRPr="007D2582">
        <w:rPr>
          <w:lang w:val="es-ES"/>
        </w:rPr>
        <w:t xml:space="preserve"> T-10.800.834.</w:t>
      </w:r>
    </w:p>
  </w:footnote>
  <w:footnote w:id="52">
    <w:p w14:paraId="59375D1E" w14:textId="3D1B430E" w:rsidR="00F465F8" w:rsidRPr="007D2582" w:rsidRDefault="00F465F8" w:rsidP="00933AF9">
      <w:pPr>
        <w:pStyle w:val="Textonotapie"/>
        <w:jc w:val="both"/>
      </w:pPr>
      <w:r w:rsidRPr="007D2582">
        <w:rPr>
          <w:rStyle w:val="Refdenotaalpie"/>
        </w:rPr>
        <w:footnoteRef/>
      </w:r>
      <w:r w:rsidRPr="007D2582">
        <w:t xml:space="preserve"> Expedientes </w:t>
      </w:r>
      <w:r w:rsidRPr="007D2582">
        <w:rPr>
          <w:i/>
          <w:iCs/>
        </w:rPr>
        <w:t>(7)</w:t>
      </w:r>
      <w:r w:rsidRPr="007D2582">
        <w:t xml:space="preserve"> T-10.781.215, </w:t>
      </w:r>
      <w:r w:rsidRPr="007D2582">
        <w:rPr>
          <w:i/>
          <w:iCs/>
        </w:rPr>
        <w:t>(10)</w:t>
      </w:r>
      <w:r w:rsidRPr="007D2582">
        <w:t xml:space="preserve"> T-10.785.910, </w:t>
      </w:r>
      <w:r w:rsidRPr="007D2582">
        <w:rPr>
          <w:i/>
          <w:iCs/>
        </w:rPr>
        <w:t>(18)</w:t>
      </w:r>
      <w:r w:rsidRPr="007D2582">
        <w:t xml:space="preserve"> T-10.800.631, </w:t>
      </w:r>
      <w:r w:rsidRPr="007D2582">
        <w:rPr>
          <w:i/>
          <w:iCs/>
        </w:rPr>
        <w:t>(21)</w:t>
      </w:r>
      <w:r w:rsidRPr="007D2582">
        <w:t xml:space="preserve"> T-10.803.623, </w:t>
      </w:r>
      <w:r w:rsidRPr="007D2582">
        <w:rPr>
          <w:i/>
          <w:iCs/>
        </w:rPr>
        <w:t>(22)</w:t>
      </w:r>
      <w:r w:rsidRPr="007D2582">
        <w:t xml:space="preserve"> T-10.803.921, </w:t>
      </w:r>
      <w:r w:rsidRPr="007D2582">
        <w:rPr>
          <w:i/>
          <w:iCs/>
        </w:rPr>
        <w:t>(25)</w:t>
      </w:r>
      <w:r w:rsidRPr="007D2582">
        <w:t xml:space="preserve"> T-10.811.379, </w:t>
      </w:r>
      <w:r w:rsidRPr="007D2582">
        <w:rPr>
          <w:i/>
          <w:iCs/>
        </w:rPr>
        <w:t>(26)</w:t>
      </w:r>
      <w:r w:rsidRPr="007D2582">
        <w:t xml:space="preserve"> T-10.811.650 y </w:t>
      </w:r>
      <w:r w:rsidRPr="007D2582">
        <w:rPr>
          <w:i/>
          <w:iCs/>
        </w:rPr>
        <w:t>(28)</w:t>
      </w:r>
      <w:r w:rsidRPr="007D2582">
        <w:t xml:space="preserve"> T-10.814.534.</w:t>
      </w:r>
    </w:p>
  </w:footnote>
  <w:footnote w:id="53">
    <w:p w14:paraId="35A3BBD6" w14:textId="085B51FB" w:rsidR="00E823DA" w:rsidRPr="007D2582" w:rsidRDefault="00E823DA" w:rsidP="00933AF9">
      <w:pPr>
        <w:pStyle w:val="Textonotapie"/>
        <w:jc w:val="both"/>
      </w:pPr>
      <w:r w:rsidRPr="007D2582">
        <w:rPr>
          <w:rStyle w:val="Refdenotaalpie"/>
        </w:rPr>
        <w:footnoteRef/>
      </w:r>
      <w:r w:rsidRPr="007D2582">
        <w:t xml:space="preserve"> </w:t>
      </w:r>
      <w:r w:rsidR="004F3F31" w:rsidRPr="007D2582">
        <w:rPr>
          <w:lang w:val="es-ES"/>
        </w:rPr>
        <w:t xml:space="preserve">En el expediente </w:t>
      </w:r>
      <w:r w:rsidR="004F3F31" w:rsidRPr="007D2582">
        <w:rPr>
          <w:i/>
          <w:lang w:val="es-ES"/>
        </w:rPr>
        <w:t>(8)</w:t>
      </w:r>
      <w:r w:rsidR="004F3F31" w:rsidRPr="007D2582">
        <w:rPr>
          <w:lang w:val="es-ES"/>
        </w:rPr>
        <w:t xml:space="preserve"> T-10.781.400 la agente oficiosa manifestó telefónicamente que la titular de los derechos, su hermana, cambió de EPS, razón por la cual mediante </w:t>
      </w:r>
      <w:r w:rsidR="000C5F95" w:rsidRPr="007D2582">
        <w:rPr>
          <w:lang w:val="es-ES"/>
        </w:rPr>
        <w:t>A</w:t>
      </w:r>
      <w:r w:rsidR="004F3F31" w:rsidRPr="007D2582">
        <w:rPr>
          <w:lang w:val="es-ES"/>
        </w:rPr>
        <w:t xml:space="preserve">uto del </w:t>
      </w:r>
      <w:r w:rsidR="00A9705C" w:rsidRPr="007D2582">
        <w:rPr>
          <w:lang w:val="es-ES"/>
        </w:rPr>
        <w:t>3</w:t>
      </w:r>
      <w:r w:rsidR="004F3F31" w:rsidRPr="007D2582">
        <w:rPr>
          <w:lang w:val="es-ES"/>
        </w:rPr>
        <w:t xml:space="preserve"> de abril de 2024 se ordenó su vinculación al proceso.</w:t>
      </w:r>
    </w:p>
  </w:footnote>
  <w:footnote w:id="54">
    <w:p w14:paraId="136677E1" w14:textId="6B8DA629" w:rsidR="0043027F" w:rsidRPr="007D2582" w:rsidRDefault="0043027F" w:rsidP="00933AF9">
      <w:pPr>
        <w:pStyle w:val="Textonotapie"/>
        <w:jc w:val="both"/>
      </w:pPr>
      <w:r w:rsidRPr="007D2582">
        <w:rPr>
          <w:rStyle w:val="Refdenotaalpie"/>
        </w:rPr>
        <w:footnoteRef/>
      </w:r>
      <w:r w:rsidRPr="007D2582">
        <w:t xml:space="preserve"> </w:t>
      </w:r>
      <w:r w:rsidR="00A05906" w:rsidRPr="007D2582">
        <w:t>Ministerio de Salud y Protección Social. “</w:t>
      </w:r>
      <w:r w:rsidR="00E120FB" w:rsidRPr="007D2582">
        <w:rPr>
          <w:lang w:val="es-ES"/>
        </w:rPr>
        <w:t>ABECÉ De la guía de Biodisponibilidad (BD) y Bioequivalencia (BE)”</w:t>
      </w:r>
      <w:r w:rsidR="005B3182" w:rsidRPr="007D2582">
        <w:rPr>
          <w:lang w:val="es-ES"/>
        </w:rPr>
        <w:t xml:space="preserve">. Dirección de Medicamentos </w:t>
      </w:r>
      <w:r w:rsidR="008A4E14" w:rsidRPr="007D2582">
        <w:rPr>
          <w:lang w:val="es-ES"/>
        </w:rPr>
        <w:t xml:space="preserve">y Tecnologías en Salud. </w:t>
      </w:r>
      <w:r w:rsidR="00073643" w:rsidRPr="007D2582">
        <w:rPr>
          <w:lang w:val="es-ES"/>
        </w:rPr>
        <w:t xml:space="preserve">2 de abril de 2025. </w:t>
      </w:r>
      <w:hyperlink r:id="rId1" w:history="1">
        <w:r w:rsidR="00073643" w:rsidRPr="007D2582">
          <w:rPr>
            <w:rStyle w:val="Hipervnculo"/>
            <w:color w:val="auto"/>
            <w:lang w:val="es-ES"/>
          </w:rPr>
          <w:t>https://www.minsalud.gov.co/sites/rid/Lists/BibliotecaDigital/RIDE/VS/MET/abece-biodisponiblidad-bioequivalencia.pdf</w:t>
        </w:r>
      </w:hyperlink>
      <w:r w:rsidR="00073643" w:rsidRPr="007D2582">
        <w:rPr>
          <w:lang w:val="es-ES"/>
        </w:rPr>
        <w:t xml:space="preserve"> </w:t>
      </w:r>
    </w:p>
  </w:footnote>
  <w:footnote w:id="55">
    <w:p w14:paraId="493511F4" w14:textId="1FF5E63A" w:rsidR="00E0557A" w:rsidRPr="007D2582" w:rsidRDefault="00E0557A" w:rsidP="00933AF9">
      <w:pPr>
        <w:pStyle w:val="Textonotapie"/>
        <w:jc w:val="both"/>
      </w:pPr>
      <w:r w:rsidRPr="007D2582">
        <w:rPr>
          <w:rStyle w:val="Refdenotaalpie"/>
        </w:rPr>
        <w:footnoteRef/>
      </w:r>
      <w:r w:rsidRPr="007D2582">
        <w:t xml:space="preserve"> Esto </w:t>
      </w:r>
      <w:r w:rsidRPr="007D2582">
        <w:rPr>
          <w:lang w:val="es-ES"/>
        </w:rPr>
        <w:t>con sustento en (i) el artículo 277 de la Constitución Política, que señala que entre las funciones de esta entidad está “vigilar el cumplimiento de la Constitución, las leyes, </w:t>
      </w:r>
      <w:r w:rsidRPr="007D2582">
        <w:rPr>
          <w:u w:val="single"/>
          <w:lang w:val="es-ES"/>
        </w:rPr>
        <w:t>las decisiones judiciales</w:t>
      </w:r>
      <w:r w:rsidRPr="007D2582">
        <w:rPr>
          <w:lang w:val="es-ES"/>
        </w:rPr>
        <w:t> y los actos administrativos” (énfasis añadido); y (</w:t>
      </w:r>
      <w:proofErr w:type="spellStart"/>
      <w:r w:rsidRPr="007D2582">
        <w:rPr>
          <w:lang w:val="es-ES"/>
        </w:rPr>
        <w:t>ii</w:t>
      </w:r>
      <w:proofErr w:type="spellEnd"/>
      <w:r w:rsidRPr="007D2582">
        <w:rPr>
          <w:lang w:val="es-ES"/>
        </w:rPr>
        <w:t>) los numerales 1, 2, 5, y 6 del artículo 24 del Decreto Ley 262 de 2000, que consagran las funciones de vigilancia con fines preventivos que despliegan las procuradurías delegadas</w:t>
      </w:r>
      <w:r w:rsidR="001D07BD" w:rsidRPr="007D2582">
        <w:rPr>
          <w:lang w:val="es-ES"/>
        </w:rPr>
        <w:t xml:space="preserve">. </w:t>
      </w:r>
    </w:p>
  </w:footnote>
  <w:footnote w:id="56">
    <w:p w14:paraId="33F70612" w14:textId="6317618E" w:rsidR="00D43164" w:rsidRPr="007D2582" w:rsidRDefault="00D43164" w:rsidP="00933AF9">
      <w:pPr>
        <w:pStyle w:val="Textonotapie"/>
        <w:jc w:val="both"/>
      </w:pPr>
      <w:r w:rsidRPr="007D2582">
        <w:rPr>
          <w:rStyle w:val="Refdenotaalpie"/>
        </w:rPr>
        <w:footnoteRef/>
      </w:r>
      <w:r w:rsidRPr="007D2582">
        <w:t xml:space="preserve"> </w:t>
      </w:r>
      <w:r w:rsidR="00D42A56" w:rsidRPr="007D2582">
        <w:rPr>
          <w:lang w:val="es-ES"/>
        </w:rPr>
        <w:t xml:space="preserve">Con fundamento en </w:t>
      </w:r>
      <w:r w:rsidR="006A38DE" w:rsidRPr="007D2582">
        <w:rPr>
          <w:lang w:val="es-ES"/>
        </w:rPr>
        <w:t>los</w:t>
      </w:r>
      <w:r w:rsidR="00D42A56" w:rsidRPr="007D2582">
        <w:rPr>
          <w:lang w:val="es-ES"/>
        </w:rPr>
        <w:t xml:space="preserve"> artículo</w:t>
      </w:r>
      <w:r w:rsidR="006A38DE" w:rsidRPr="007D2582">
        <w:rPr>
          <w:lang w:val="es-ES"/>
        </w:rPr>
        <w:t>s 282 y</w:t>
      </w:r>
      <w:r w:rsidR="00D42A56" w:rsidRPr="007D2582">
        <w:rPr>
          <w:lang w:val="es-ES"/>
        </w:rPr>
        <w:t xml:space="preserve"> 284 de la Constitución Política y los artículos 5 y 13 del Decreto 25 de 2014.</w:t>
      </w:r>
    </w:p>
  </w:footnote>
  <w:footnote w:id="57">
    <w:p w14:paraId="49D7E760" w14:textId="3C9F59EF" w:rsidR="00A35116" w:rsidRPr="007D2582" w:rsidRDefault="00A35116" w:rsidP="00933AF9">
      <w:pPr>
        <w:pStyle w:val="Textonotapie"/>
        <w:jc w:val="both"/>
      </w:pPr>
      <w:r w:rsidRPr="007D2582">
        <w:rPr>
          <w:rStyle w:val="Refdenotaalpie"/>
        </w:rPr>
        <w:footnoteRef/>
      </w:r>
      <w:r w:rsidRPr="007D2582">
        <w:t xml:space="preserve"> </w:t>
      </w:r>
      <w:r w:rsidR="009C209A" w:rsidRPr="007D2582">
        <w:t>En razón al artículo</w:t>
      </w:r>
      <w:r w:rsidR="00B83A42" w:rsidRPr="007D2582">
        <w:t xml:space="preserve"> 4 </w:t>
      </w:r>
      <w:r w:rsidR="00B54D33" w:rsidRPr="007D2582">
        <w:t>del Decreto 1080 de 2021 “</w:t>
      </w:r>
      <w:r w:rsidR="00DB2999" w:rsidRPr="007D2582">
        <w:rPr>
          <w:lang w:val="es-ES"/>
        </w:rPr>
        <w:t>[p]</w:t>
      </w:r>
      <w:proofErr w:type="spellStart"/>
      <w:r w:rsidR="00B54D33" w:rsidRPr="007D2582">
        <w:rPr>
          <w:lang w:val="es-ES"/>
        </w:rPr>
        <w:t>or</w:t>
      </w:r>
      <w:proofErr w:type="spellEnd"/>
      <w:r w:rsidR="00B54D33" w:rsidRPr="007D2582">
        <w:rPr>
          <w:lang w:val="es-ES"/>
        </w:rPr>
        <w:t xml:space="preserve"> el cual se modifica la estructura de la Superintendencia Nacional de Salud”</w:t>
      </w:r>
      <w:r w:rsidR="009C209A" w:rsidRPr="007D2582">
        <w:t>.</w:t>
      </w:r>
    </w:p>
  </w:footnote>
  <w:footnote w:id="58">
    <w:p w14:paraId="6EE661B0" w14:textId="57ABB864" w:rsidR="00600EE1" w:rsidRPr="00EA1CDA" w:rsidRDefault="00551339" w:rsidP="00933AF9">
      <w:pPr>
        <w:pBdr>
          <w:top w:val="nil"/>
          <w:left w:val="nil"/>
          <w:bottom w:val="nil"/>
          <w:right w:val="nil"/>
          <w:between w:val="nil"/>
        </w:pBdr>
        <w:jc w:val="both"/>
        <w:rPr>
          <w:color w:val="000000"/>
          <w:sz w:val="18"/>
          <w:szCs w:val="18"/>
        </w:rPr>
      </w:pPr>
      <w:r w:rsidRPr="007D2582">
        <w:rPr>
          <w:color w:val="000000"/>
          <w:sz w:val="20"/>
          <w:szCs w:val="20"/>
          <w:vertAlign w:val="superscript"/>
        </w:rPr>
        <w:footnoteRef/>
      </w:r>
      <w:r w:rsidRPr="007D2582">
        <w:rPr>
          <w:color w:val="000000"/>
          <w:sz w:val="20"/>
          <w:szCs w:val="20"/>
        </w:rPr>
        <w:t xml:space="preserve"> Desde el año 2008, la Corte Constitucional ha estudiado de manera estructural las diversas situaciones del sistema general de seguridad social en salud y ha adoptado una serie de medidas para salvaguardar el derecho fundamental a la salud de los ciudadanos. Ver: Sentencia T-760 de 2008, Auto 552A de 2015, T-017 de 2021</w:t>
      </w:r>
      <w:r w:rsidR="00D423AD" w:rsidRPr="007D2582">
        <w:rPr>
          <w:color w:val="000000"/>
          <w:sz w:val="20"/>
          <w:szCs w:val="20"/>
        </w:rPr>
        <w:t>,</w:t>
      </w:r>
      <w:r w:rsidRPr="007D2582">
        <w:rPr>
          <w:color w:val="000000"/>
          <w:sz w:val="20"/>
          <w:szCs w:val="20"/>
        </w:rPr>
        <w:t xml:space="preserve"> entre otras.</w:t>
      </w:r>
      <w:r w:rsidRPr="00EA1CDA">
        <w:rPr>
          <w:color w:val="000000"/>
          <w:sz w:val="18"/>
          <w:szCs w:val="18"/>
        </w:rPr>
        <w:t xml:space="preserve"> </w:t>
      </w:r>
    </w:p>
  </w:footnote>
  <w:footnote w:id="59">
    <w:p w14:paraId="29EE242A" w14:textId="4E057195" w:rsidR="002C2FED" w:rsidRPr="007D2582" w:rsidRDefault="002C2FED" w:rsidP="00933AF9">
      <w:pPr>
        <w:pStyle w:val="Textonotapie"/>
        <w:jc w:val="both"/>
        <w:rPr>
          <w:lang w:val="es-ES"/>
        </w:rPr>
      </w:pPr>
      <w:r w:rsidRPr="007D2582">
        <w:rPr>
          <w:rStyle w:val="Refdenotaalpie"/>
        </w:rPr>
        <w:footnoteRef/>
      </w:r>
      <w:r w:rsidRPr="007D2582">
        <w:t xml:space="preserve"> Efectuadas las verificaciones sobre los documentos aportados por las distintas entidades oficiadas en los autos del 17 de marzo y 3 de abril de 2025, aquellas que aún no allegaron respuesta íntegra a lo ordenado en dichas providencias son: </w:t>
      </w:r>
      <w:r w:rsidRPr="007D2582">
        <w:rPr>
          <w:lang w:val="es-ES"/>
        </w:rPr>
        <w:t xml:space="preserve">Superintendencia Nacional de Salud, </w:t>
      </w:r>
      <w:r w:rsidRPr="007D2582">
        <w:t xml:space="preserve">Comisión Nacional de Precios de Medicamentos y Dispositivos Médicos, </w:t>
      </w:r>
      <w:r w:rsidRPr="007D2582">
        <w:rPr>
          <w:lang w:val="es-ES"/>
        </w:rPr>
        <w:t>Nueva EPS, Asociación Mutual Ser -</w:t>
      </w:r>
      <w:r w:rsidR="00274255" w:rsidRPr="007D2582">
        <w:rPr>
          <w:lang w:val="es-ES"/>
        </w:rPr>
        <w:t xml:space="preserve"> </w:t>
      </w:r>
      <w:r w:rsidRPr="007D2582">
        <w:rPr>
          <w:lang w:val="es-ES"/>
        </w:rPr>
        <w:t xml:space="preserve">Empresa Solidaria de Salud EPS, Sanitas EPS, Savia Salud EPS-S, Sura EPS, </w:t>
      </w:r>
      <w:proofErr w:type="spellStart"/>
      <w:r w:rsidRPr="007D2582">
        <w:t>Emsanar</w:t>
      </w:r>
      <w:proofErr w:type="spellEnd"/>
      <w:r w:rsidRPr="007D2582">
        <w:t xml:space="preserve"> EPS, Cafam IPS, Colsubsidio IPS, </w:t>
      </w:r>
      <w:r w:rsidRPr="007D2582">
        <w:rPr>
          <w:lang w:val="es-ES"/>
        </w:rPr>
        <w:t xml:space="preserve">Fundación Diversidad, Farmacia Audifarma, Farmacia </w:t>
      </w:r>
      <w:proofErr w:type="spellStart"/>
      <w:r w:rsidRPr="007D2582">
        <w:rPr>
          <w:lang w:val="es-ES"/>
        </w:rPr>
        <w:t>Genhospi</w:t>
      </w:r>
      <w:proofErr w:type="spellEnd"/>
      <w:r w:rsidRPr="007D2582">
        <w:rPr>
          <w:lang w:val="es-ES"/>
        </w:rPr>
        <w:t xml:space="preserve">, MEDI Sinú IPS, </w:t>
      </w:r>
      <w:proofErr w:type="spellStart"/>
      <w:r w:rsidRPr="007D2582">
        <w:rPr>
          <w:lang w:val="es-ES"/>
        </w:rPr>
        <w:t>Asisfarma</w:t>
      </w:r>
      <w:proofErr w:type="spellEnd"/>
      <w:r w:rsidRPr="007D2582">
        <w:rPr>
          <w:lang w:val="es-ES"/>
        </w:rPr>
        <w:t xml:space="preserve">, Instituto Roosevelt, Farmacia </w:t>
      </w:r>
      <w:proofErr w:type="spellStart"/>
      <w:r w:rsidRPr="007D2582">
        <w:rPr>
          <w:lang w:val="es-ES"/>
        </w:rPr>
        <w:t>Neuromédica</w:t>
      </w:r>
      <w:proofErr w:type="spellEnd"/>
      <w:r w:rsidRPr="007D2582">
        <w:rPr>
          <w:lang w:val="es-ES"/>
        </w:rPr>
        <w:t xml:space="preserve">, </w:t>
      </w:r>
      <w:proofErr w:type="spellStart"/>
      <w:r w:rsidRPr="007D2582">
        <w:rPr>
          <w:lang w:val="es-ES"/>
        </w:rPr>
        <w:t>Medisfarma</w:t>
      </w:r>
      <w:proofErr w:type="spellEnd"/>
      <w:r w:rsidRPr="007D2582">
        <w:rPr>
          <w:lang w:val="es-ES"/>
        </w:rPr>
        <w:t xml:space="preserve"> IPS, </w:t>
      </w:r>
      <w:proofErr w:type="spellStart"/>
      <w:r w:rsidR="00274255" w:rsidRPr="007D2582">
        <w:rPr>
          <w:lang w:val="es-ES"/>
        </w:rPr>
        <w:t>Afidro</w:t>
      </w:r>
      <w:proofErr w:type="spellEnd"/>
      <w:r w:rsidR="00274255" w:rsidRPr="007D2582">
        <w:rPr>
          <w:lang w:val="es-ES"/>
        </w:rPr>
        <w:t xml:space="preserve"> (</w:t>
      </w:r>
      <w:r w:rsidRPr="007D2582">
        <w:rPr>
          <w:lang w:val="es-ES"/>
        </w:rPr>
        <w:t>Asociación de laboratorios Farmacéuticos de Investigación y Desarrollo</w:t>
      </w:r>
      <w:r w:rsidR="00274255" w:rsidRPr="007D2582">
        <w:rPr>
          <w:lang w:val="es-ES"/>
        </w:rPr>
        <w:t>)</w:t>
      </w:r>
      <w:r w:rsidRPr="007D2582">
        <w:rPr>
          <w:lang w:val="es-ES"/>
        </w:rPr>
        <w:t xml:space="preserve">, </w:t>
      </w:r>
      <w:proofErr w:type="spellStart"/>
      <w:r w:rsidR="00274255" w:rsidRPr="007D2582">
        <w:rPr>
          <w:lang w:val="es-ES"/>
        </w:rPr>
        <w:t>Asinfar</w:t>
      </w:r>
      <w:proofErr w:type="spellEnd"/>
      <w:r w:rsidR="00274255" w:rsidRPr="007D2582">
        <w:rPr>
          <w:lang w:val="es-ES"/>
        </w:rPr>
        <w:t xml:space="preserve"> (</w:t>
      </w:r>
      <w:r w:rsidRPr="007D2582">
        <w:rPr>
          <w:lang w:val="es-ES"/>
        </w:rPr>
        <w:t>Asociación de Industrias Farmacéuticas Colombianas</w:t>
      </w:r>
      <w:r w:rsidR="00274255" w:rsidRPr="007D2582">
        <w:rPr>
          <w:lang w:val="es-ES"/>
        </w:rPr>
        <w:t>)</w:t>
      </w:r>
      <w:r w:rsidRPr="007D2582">
        <w:rPr>
          <w:lang w:val="es-ES"/>
        </w:rPr>
        <w:t xml:space="preserve">, Colegio Nacional de Químicos Farmacéuticos de Colombia, Juzgado 006 Civil Municipal de Pequeñas Causas y Competencia Múltiple de Bogotá, Juzgado 004 Penal Municipal de Medellín con función de control de garantías, Juzgado Promiscuo de Familia del Circuito de Silvia, Sala Civil del Tribunal Superior de Distrito Judicial de Bogotá, Juzgado 002 Civil del Circuito de Bello, Juzgado 001 Promiscuo Municipal de </w:t>
      </w:r>
      <w:proofErr w:type="spellStart"/>
      <w:r w:rsidRPr="007D2582">
        <w:rPr>
          <w:lang w:val="es-ES"/>
        </w:rPr>
        <w:t>Guayatá</w:t>
      </w:r>
      <w:proofErr w:type="spellEnd"/>
      <w:r w:rsidRPr="007D2582">
        <w:rPr>
          <w:lang w:val="es-ES"/>
        </w:rPr>
        <w:t>, Sala Segunda de Oralidad del Tribunal Administrativo de Antioquia, Juzgado 001 Civil del Circuito de Manizales, Juzgado 002 Promiscuo Municipal de Andes – Antioquia, Sala Civil-Familia del Tribunal Superior de Manizales, Juzgado 057 Penal Municipal con Función de Control de Garantías de Bogotá, Juzgado 017 Civil Municipal de Bogotá, Juzgado 008 Civil Municipal de Bogotá, y Juzgado 069 de Pequeñas Causas y Competencia Múltiple de Bogotá. Respecto de (i) la Comisión Nacional de Precios de Medicamentos y Dispositivos Médicos, y (</w:t>
      </w:r>
      <w:proofErr w:type="spellStart"/>
      <w:r w:rsidRPr="007D2582">
        <w:rPr>
          <w:lang w:val="es-ES"/>
        </w:rPr>
        <w:t>ii</w:t>
      </w:r>
      <w:proofErr w:type="spellEnd"/>
      <w:r w:rsidRPr="007D2582">
        <w:rPr>
          <w:lang w:val="es-ES"/>
        </w:rPr>
        <w:t xml:space="preserve">) la Nueva EPS, no existe respuesta íntegra en la medida en que, frente a la primera, no hubo respuesta de su parte bajo el entendido de que si bien el apoderado del Ministerio de Salud y Protección Social adujo que la comisión era incompetente para pronunciarse, no acreditó relación de representación </w:t>
      </w:r>
      <w:r w:rsidR="005C48BF" w:rsidRPr="007D2582">
        <w:rPr>
          <w:lang w:val="es-ES"/>
        </w:rPr>
        <w:t>suficiente</w:t>
      </w:r>
      <w:r w:rsidRPr="007D2582">
        <w:rPr>
          <w:lang w:val="es-ES"/>
        </w:rPr>
        <w:t xml:space="preserve"> con esa instancia en particular; y respecto de la segunda, la EPS solicitó prórroga sobre algunos, y no todos, de los expedientes en los que es parte. </w:t>
      </w:r>
    </w:p>
  </w:footnote>
  <w:footnote w:id="60">
    <w:p w14:paraId="30B99D86" w14:textId="5225796A" w:rsidR="004F5F26" w:rsidRPr="007D2582" w:rsidRDefault="004F5F26" w:rsidP="00933AF9">
      <w:pPr>
        <w:pStyle w:val="Textonotapie"/>
        <w:jc w:val="both"/>
      </w:pPr>
      <w:r w:rsidRPr="007D2582">
        <w:rPr>
          <w:rStyle w:val="Refdenotaalpie"/>
        </w:rPr>
        <w:footnoteRef/>
      </w:r>
      <w:r w:rsidRPr="007D2582">
        <w:t xml:space="preserve"> Decreto 2591 de 1991, “</w:t>
      </w:r>
      <w:bookmarkStart w:id="6" w:name="19"/>
      <w:r w:rsidRPr="007D2582">
        <w:t xml:space="preserve">Articulo </w:t>
      </w:r>
      <w:r w:rsidRPr="007D2582">
        <w:rPr>
          <w:lang w:eastAsia="es-ES_tradnl"/>
        </w:rPr>
        <w:t xml:space="preserve">19. </w:t>
      </w:r>
      <w:r w:rsidRPr="007D2582">
        <w:rPr>
          <w:i/>
          <w:iCs/>
        </w:rPr>
        <w:t>Informes</w:t>
      </w:r>
      <w:r w:rsidRPr="007D2582">
        <w:rPr>
          <w:b/>
          <w:bCs/>
          <w:lang w:eastAsia="es-ES_tradnl"/>
        </w:rPr>
        <w:t>.</w:t>
      </w:r>
      <w:bookmarkEnd w:id="6"/>
      <w:r w:rsidRPr="007D2582">
        <w:rPr>
          <w:lang w:eastAsia="es-ES_tradnl"/>
        </w:rPr>
        <w:t> El juez podrá requerir informes al órgano o a la autoridad contra quien se hubiere hecho la solicitud y pedir el expediente administrativo o la documentación donde consten los antecedentes del asunto. La omisión injustificada de enviar esas pruebas al juez acarreará responsabilidad.</w:t>
      </w:r>
      <w:r w:rsidRPr="007D2582">
        <w:t xml:space="preserve"> // El plazo para informar será de uno a tres días, y se fijará según sea la índole del asunto, la distancia y la rapidez de los medios de comunicación. // Los informes se considerarán rendidos bajo juramento”.  Además, Ley 270 de 1996, “Artículo 60A. </w:t>
      </w:r>
      <w:r w:rsidRPr="007D2582">
        <w:rPr>
          <w:i/>
          <w:iCs/>
        </w:rPr>
        <w:t>Poderes del juez</w:t>
      </w:r>
      <w:r w:rsidRPr="007D2582">
        <w:t xml:space="preserve">. Además de los casos previstos en los artículos anteriores, el Juez podrá sancionar con multa de dos a cinco salarios mínimos mensuales, a las partes del proceso, o a sus representantes o abogados, en los siguientes eventos: […] 3. Cuando se obstruya, por acción u omisión, la práctica de pruebas o injustificadamente no suministren oportunamente la información o los documentos que estén en su poder y les fueren requeridos en inspección judicial, o mediante oficio. // 4. Cuando injustificadamente no presten debida colaboración en la práctica de las pruebas y diligencias”. </w:t>
      </w:r>
    </w:p>
  </w:footnote>
  <w:footnote w:id="61">
    <w:p w14:paraId="435905CC" w14:textId="2EA6DAD2" w:rsidR="004F5F26" w:rsidRPr="007D2582" w:rsidRDefault="004F5F26" w:rsidP="00933AF9">
      <w:pPr>
        <w:pStyle w:val="Textonotapie"/>
        <w:jc w:val="both"/>
      </w:pPr>
      <w:r w:rsidRPr="007D2582">
        <w:rPr>
          <w:rStyle w:val="Refdenotaalpie"/>
        </w:rPr>
        <w:footnoteRef/>
      </w:r>
      <w:r w:rsidRPr="007D2582">
        <w:t xml:space="preserve"> Decreto 2067 de 1991, artículos 1 y 50. Artículo 50. “</w:t>
      </w:r>
      <w:r w:rsidR="008E4E95" w:rsidRPr="007D2582">
        <w:rPr>
          <w:lang w:val="es-ES"/>
        </w:rPr>
        <w:t>Los jueces y los demás servidores públicos deberán de manera eficaz e inmediata prestar a la Corte la colaboración que ésta les requiera. El incumplimiento de este deber será causal de mala conducta</w:t>
      </w:r>
      <w:r w:rsidRPr="007D2582">
        <w:t xml:space="preserve">”. </w:t>
      </w:r>
    </w:p>
  </w:footnote>
  <w:footnote w:id="62">
    <w:p w14:paraId="237883CE" w14:textId="77777777" w:rsidR="00F34CE6" w:rsidRPr="00EA1CDA" w:rsidRDefault="00F34CE6" w:rsidP="00F34CE6">
      <w:pPr>
        <w:pStyle w:val="Textonotapie"/>
        <w:jc w:val="both"/>
        <w:rPr>
          <w:sz w:val="18"/>
          <w:szCs w:val="18"/>
        </w:rPr>
      </w:pPr>
      <w:r w:rsidRPr="007D2582">
        <w:rPr>
          <w:rStyle w:val="Refdenotaalpie"/>
        </w:rPr>
        <w:footnoteRef/>
      </w:r>
      <w:r w:rsidRPr="007D2582">
        <w:t xml:space="preserve"> En concreto, se trata de la parte accionante en los expedientes </w:t>
      </w:r>
      <w:r w:rsidRPr="007D2582">
        <w:rPr>
          <w:i/>
          <w:lang w:val="es-ES"/>
        </w:rPr>
        <w:t>(2)</w:t>
      </w:r>
      <w:r w:rsidRPr="007D2582">
        <w:rPr>
          <w:lang w:val="es-ES"/>
        </w:rPr>
        <w:t xml:space="preserve"> T-10.771.082, </w:t>
      </w:r>
      <w:r w:rsidRPr="007D2582">
        <w:rPr>
          <w:i/>
          <w:lang w:val="es-ES"/>
        </w:rPr>
        <w:t>(3)</w:t>
      </w:r>
      <w:r w:rsidRPr="007D2582">
        <w:rPr>
          <w:lang w:val="es-ES"/>
        </w:rPr>
        <w:t xml:space="preserve"> T-10.773.946, </w:t>
      </w:r>
      <w:r w:rsidRPr="007D2582">
        <w:rPr>
          <w:i/>
          <w:lang w:val="es-ES"/>
        </w:rPr>
        <w:t>(4)</w:t>
      </w:r>
      <w:r w:rsidRPr="007D2582">
        <w:rPr>
          <w:lang w:val="es-ES"/>
        </w:rPr>
        <w:t xml:space="preserve"> T-10.773.996, </w:t>
      </w:r>
      <w:r w:rsidRPr="007D2582">
        <w:rPr>
          <w:i/>
          <w:lang w:val="es-ES"/>
        </w:rPr>
        <w:t>(5)</w:t>
      </w:r>
      <w:r w:rsidRPr="007D2582">
        <w:rPr>
          <w:lang w:val="es-ES"/>
        </w:rPr>
        <w:t xml:space="preserve"> T-10.774.002, </w:t>
      </w:r>
      <w:r w:rsidRPr="007D2582">
        <w:rPr>
          <w:i/>
          <w:lang w:val="es-ES"/>
        </w:rPr>
        <w:t>(6)</w:t>
      </w:r>
      <w:r w:rsidRPr="007D2582">
        <w:rPr>
          <w:lang w:val="es-ES"/>
        </w:rPr>
        <w:t xml:space="preserve"> T-10.781.205, </w:t>
      </w:r>
      <w:r w:rsidRPr="007D2582">
        <w:rPr>
          <w:i/>
          <w:lang w:val="es-ES"/>
        </w:rPr>
        <w:t>(8)</w:t>
      </w:r>
      <w:r w:rsidRPr="007D2582">
        <w:rPr>
          <w:lang w:val="es-ES"/>
        </w:rPr>
        <w:t xml:space="preserve"> T-10.781.400, </w:t>
      </w:r>
      <w:r w:rsidRPr="007D2582">
        <w:rPr>
          <w:i/>
          <w:lang w:val="es-ES"/>
        </w:rPr>
        <w:t>(9)</w:t>
      </w:r>
      <w:r w:rsidRPr="007D2582">
        <w:rPr>
          <w:lang w:val="es-ES"/>
        </w:rPr>
        <w:t xml:space="preserve"> T-10.785.672, </w:t>
      </w:r>
      <w:r w:rsidRPr="007D2582">
        <w:rPr>
          <w:i/>
          <w:lang w:val="es-ES"/>
        </w:rPr>
        <w:t>(10)</w:t>
      </w:r>
      <w:r w:rsidRPr="007D2582">
        <w:rPr>
          <w:lang w:val="es-ES"/>
        </w:rPr>
        <w:t xml:space="preserve"> T-10.785.910, </w:t>
      </w:r>
      <w:r w:rsidRPr="007D2582">
        <w:rPr>
          <w:i/>
          <w:lang w:val="es-ES"/>
        </w:rPr>
        <w:t>(11)</w:t>
      </w:r>
      <w:r w:rsidRPr="007D2582">
        <w:rPr>
          <w:lang w:val="es-ES"/>
        </w:rPr>
        <w:t xml:space="preserve"> T-10.787.792, </w:t>
      </w:r>
      <w:r w:rsidRPr="007D2582">
        <w:rPr>
          <w:i/>
          <w:lang w:val="es-ES"/>
        </w:rPr>
        <w:t>(12)</w:t>
      </w:r>
      <w:r w:rsidRPr="007D2582">
        <w:rPr>
          <w:lang w:val="es-ES"/>
        </w:rPr>
        <w:t xml:space="preserve"> T-10.791.762, </w:t>
      </w:r>
      <w:r w:rsidRPr="007D2582">
        <w:rPr>
          <w:i/>
          <w:lang w:val="es-ES"/>
        </w:rPr>
        <w:t>(13)</w:t>
      </w:r>
      <w:r w:rsidRPr="007D2582">
        <w:rPr>
          <w:lang w:val="es-ES"/>
        </w:rPr>
        <w:t xml:space="preserve"> T-10.790.526, </w:t>
      </w:r>
      <w:r w:rsidRPr="007D2582">
        <w:rPr>
          <w:i/>
          <w:lang w:val="es-ES"/>
        </w:rPr>
        <w:t>(15)</w:t>
      </w:r>
      <w:r w:rsidRPr="007D2582">
        <w:rPr>
          <w:lang w:val="es-ES"/>
        </w:rPr>
        <w:t xml:space="preserve"> T-10.796.422, </w:t>
      </w:r>
      <w:r w:rsidRPr="007D2582">
        <w:rPr>
          <w:i/>
          <w:lang w:val="es-ES"/>
        </w:rPr>
        <w:t>(16)</w:t>
      </w:r>
      <w:r w:rsidRPr="007D2582">
        <w:rPr>
          <w:lang w:val="es-ES"/>
        </w:rPr>
        <w:t xml:space="preserve"> T-10.796.578, </w:t>
      </w:r>
      <w:r w:rsidRPr="007D2582">
        <w:rPr>
          <w:i/>
          <w:lang w:val="es-ES"/>
        </w:rPr>
        <w:t>(17)</w:t>
      </w:r>
      <w:r w:rsidRPr="007D2582">
        <w:rPr>
          <w:lang w:val="es-ES"/>
        </w:rPr>
        <w:t xml:space="preserve"> T- 10.796.598, </w:t>
      </w:r>
      <w:r w:rsidRPr="007D2582">
        <w:rPr>
          <w:i/>
          <w:lang w:val="es-ES"/>
        </w:rPr>
        <w:t>(19)</w:t>
      </w:r>
      <w:r w:rsidRPr="007D2582">
        <w:rPr>
          <w:lang w:val="es-ES"/>
        </w:rPr>
        <w:t xml:space="preserve"> T-10.800.758, </w:t>
      </w:r>
      <w:r w:rsidRPr="007D2582">
        <w:rPr>
          <w:i/>
          <w:lang w:val="es-ES"/>
        </w:rPr>
        <w:t>(20)</w:t>
      </w:r>
      <w:r w:rsidRPr="007D2582">
        <w:rPr>
          <w:lang w:val="es-ES"/>
        </w:rPr>
        <w:t xml:space="preserve"> T-10.800.834, </w:t>
      </w:r>
      <w:r w:rsidRPr="007D2582">
        <w:rPr>
          <w:i/>
          <w:lang w:val="es-ES"/>
        </w:rPr>
        <w:t>(21)</w:t>
      </w:r>
      <w:r w:rsidRPr="007D2582">
        <w:rPr>
          <w:lang w:val="es-ES"/>
        </w:rPr>
        <w:t xml:space="preserve"> T-10.803.623, </w:t>
      </w:r>
      <w:r w:rsidRPr="007D2582">
        <w:rPr>
          <w:i/>
          <w:lang w:val="es-ES"/>
        </w:rPr>
        <w:t>(22)</w:t>
      </w:r>
      <w:r w:rsidRPr="007D2582">
        <w:rPr>
          <w:lang w:val="es-ES"/>
        </w:rPr>
        <w:t xml:space="preserve"> T-10.803.921, </w:t>
      </w:r>
      <w:r w:rsidRPr="007D2582">
        <w:rPr>
          <w:i/>
          <w:lang w:val="es-ES"/>
        </w:rPr>
        <w:t>(23)</w:t>
      </w:r>
      <w:r w:rsidRPr="007D2582">
        <w:rPr>
          <w:lang w:val="es-ES"/>
        </w:rPr>
        <w:t xml:space="preserve"> T- 10.810.117, </w:t>
      </w:r>
      <w:r w:rsidRPr="007D2582">
        <w:rPr>
          <w:i/>
          <w:lang w:val="es-ES"/>
        </w:rPr>
        <w:t>(24)</w:t>
      </w:r>
      <w:r w:rsidRPr="007D2582">
        <w:rPr>
          <w:lang w:val="es-ES"/>
        </w:rPr>
        <w:t xml:space="preserve"> T-10.810.192, </w:t>
      </w:r>
      <w:r w:rsidRPr="007D2582">
        <w:rPr>
          <w:i/>
          <w:lang w:val="es-ES"/>
        </w:rPr>
        <w:t>(25)</w:t>
      </w:r>
      <w:r w:rsidRPr="007D2582">
        <w:rPr>
          <w:lang w:val="es-ES"/>
        </w:rPr>
        <w:t xml:space="preserve"> T-10.811.379, </w:t>
      </w:r>
      <w:r w:rsidRPr="007D2582">
        <w:rPr>
          <w:i/>
          <w:lang w:val="es-ES"/>
        </w:rPr>
        <w:t>(26)</w:t>
      </w:r>
      <w:r w:rsidRPr="007D2582">
        <w:rPr>
          <w:lang w:val="es-ES"/>
        </w:rPr>
        <w:t xml:space="preserve"> T-10.811.650, </w:t>
      </w:r>
      <w:r w:rsidRPr="007D2582">
        <w:rPr>
          <w:i/>
          <w:lang w:val="es-ES"/>
        </w:rPr>
        <w:t>(27)</w:t>
      </w:r>
      <w:r w:rsidRPr="007D2582">
        <w:rPr>
          <w:lang w:val="es-ES"/>
        </w:rPr>
        <w:t xml:space="preserve"> T-10.811.732, </w:t>
      </w:r>
      <w:r w:rsidRPr="007D2582">
        <w:rPr>
          <w:i/>
          <w:lang w:val="es-ES"/>
        </w:rPr>
        <w:t>(28)</w:t>
      </w:r>
      <w:r w:rsidRPr="007D2582">
        <w:rPr>
          <w:lang w:val="es-ES"/>
        </w:rPr>
        <w:t xml:space="preserve"> T-10.814.534 y </w:t>
      </w:r>
      <w:r w:rsidRPr="007D2582">
        <w:rPr>
          <w:i/>
          <w:lang w:val="es-ES"/>
        </w:rPr>
        <w:t>(29)</w:t>
      </w:r>
      <w:r w:rsidRPr="007D2582">
        <w:rPr>
          <w:lang w:val="es-ES"/>
        </w:rPr>
        <w:t xml:space="preserve"> T- 10.820.873.</w:t>
      </w:r>
    </w:p>
  </w:footnote>
  <w:footnote w:id="63">
    <w:p w14:paraId="21FDDF5B" w14:textId="7C397EBA" w:rsidR="00E80DCB" w:rsidRPr="007D2582" w:rsidRDefault="00E80DCB" w:rsidP="00933AF9">
      <w:pPr>
        <w:jc w:val="both"/>
        <w:rPr>
          <w:sz w:val="20"/>
          <w:szCs w:val="20"/>
        </w:rPr>
      </w:pPr>
      <w:r w:rsidRPr="007D2582">
        <w:rPr>
          <w:rStyle w:val="Refdenotaalpie"/>
          <w:sz w:val="20"/>
          <w:szCs w:val="20"/>
        </w:rPr>
        <w:footnoteRef/>
      </w:r>
      <w:r w:rsidRPr="007D2582">
        <w:rPr>
          <w:sz w:val="20"/>
          <w:szCs w:val="20"/>
        </w:rPr>
        <w:t xml:space="preserve"> </w:t>
      </w:r>
      <w:r w:rsidR="00D577E0" w:rsidRPr="007D2582">
        <w:rPr>
          <w:sz w:val="20"/>
          <w:szCs w:val="20"/>
        </w:rPr>
        <w:t xml:space="preserve">En concreto, la Superintendencia Nacional de Salud, la Comisión Nacional de Precios de Medicamentos y Dispositivos Médicos, la Nueva EPS, la Asociación Mutual Ser -Empresa Solidaria de Salud EPS, Sanitas EPS, Savia Salud EPS-S, Sura EPS, </w:t>
      </w:r>
      <w:proofErr w:type="spellStart"/>
      <w:r w:rsidR="00D577E0" w:rsidRPr="007D2582">
        <w:rPr>
          <w:sz w:val="20"/>
          <w:szCs w:val="20"/>
          <w:lang w:val="es-CO"/>
        </w:rPr>
        <w:t>Emsanar</w:t>
      </w:r>
      <w:proofErr w:type="spellEnd"/>
      <w:r w:rsidR="00D577E0" w:rsidRPr="007D2582">
        <w:rPr>
          <w:sz w:val="20"/>
          <w:szCs w:val="20"/>
          <w:lang w:val="es-CO"/>
        </w:rPr>
        <w:t xml:space="preserve"> EPS, Cafam IPS, Colsubsidio IPS, </w:t>
      </w:r>
      <w:r w:rsidR="00D577E0" w:rsidRPr="007D2582">
        <w:rPr>
          <w:sz w:val="20"/>
          <w:szCs w:val="20"/>
        </w:rPr>
        <w:t xml:space="preserve">Fundación Diversidad, Farmacia Audifarma, Farmacia </w:t>
      </w:r>
      <w:proofErr w:type="spellStart"/>
      <w:r w:rsidR="00D577E0" w:rsidRPr="007D2582">
        <w:rPr>
          <w:sz w:val="20"/>
          <w:szCs w:val="20"/>
        </w:rPr>
        <w:t>Genhospi</w:t>
      </w:r>
      <w:proofErr w:type="spellEnd"/>
      <w:r w:rsidR="00D577E0" w:rsidRPr="007D2582">
        <w:rPr>
          <w:sz w:val="20"/>
          <w:szCs w:val="20"/>
        </w:rPr>
        <w:t xml:space="preserve">, MEDI Sinú IPS, </w:t>
      </w:r>
      <w:proofErr w:type="spellStart"/>
      <w:r w:rsidR="00D577E0" w:rsidRPr="007D2582">
        <w:rPr>
          <w:sz w:val="20"/>
          <w:szCs w:val="20"/>
        </w:rPr>
        <w:t>Asisfarma</w:t>
      </w:r>
      <w:proofErr w:type="spellEnd"/>
      <w:r w:rsidR="00D577E0" w:rsidRPr="007D2582">
        <w:rPr>
          <w:sz w:val="20"/>
          <w:szCs w:val="20"/>
        </w:rPr>
        <w:t xml:space="preserve">, Instituto Roosevelt, Farmacia </w:t>
      </w:r>
      <w:proofErr w:type="spellStart"/>
      <w:r w:rsidR="00D577E0" w:rsidRPr="007D2582">
        <w:rPr>
          <w:sz w:val="20"/>
          <w:szCs w:val="20"/>
        </w:rPr>
        <w:t>Neuromédica</w:t>
      </w:r>
      <w:proofErr w:type="spellEnd"/>
      <w:r w:rsidR="00D577E0" w:rsidRPr="007D2582">
        <w:rPr>
          <w:sz w:val="20"/>
          <w:szCs w:val="20"/>
        </w:rPr>
        <w:t xml:space="preserve">, </w:t>
      </w:r>
      <w:proofErr w:type="spellStart"/>
      <w:r w:rsidR="00D577E0" w:rsidRPr="007D2582">
        <w:rPr>
          <w:sz w:val="20"/>
          <w:szCs w:val="20"/>
        </w:rPr>
        <w:t>Medisfarma</w:t>
      </w:r>
      <w:proofErr w:type="spellEnd"/>
      <w:r w:rsidR="00D577E0" w:rsidRPr="007D2582">
        <w:rPr>
          <w:sz w:val="20"/>
          <w:szCs w:val="20"/>
        </w:rPr>
        <w:t xml:space="preserve"> IPS, Asociación de laboratorios Farmacéuticos de Investigación y Desarrollo -</w:t>
      </w:r>
      <w:proofErr w:type="spellStart"/>
      <w:r w:rsidR="00D577E0" w:rsidRPr="007D2582">
        <w:rPr>
          <w:sz w:val="20"/>
          <w:szCs w:val="20"/>
        </w:rPr>
        <w:t>Afidro</w:t>
      </w:r>
      <w:proofErr w:type="spellEnd"/>
      <w:r w:rsidR="00D577E0" w:rsidRPr="007D2582">
        <w:rPr>
          <w:sz w:val="20"/>
          <w:szCs w:val="20"/>
        </w:rPr>
        <w:t>, Asociación de Industrias Farmacéuticas Colombianas -</w:t>
      </w:r>
      <w:proofErr w:type="spellStart"/>
      <w:r w:rsidR="00D577E0" w:rsidRPr="007D2582">
        <w:rPr>
          <w:sz w:val="20"/>
          <w:szCs w:val="20"/>
        </w:rPr>
        <w:t>Asinfar</w:t>
      </w:r>
      <w:proofErr w:type="spellEnd"/>
      <w:r w:rsidR="00D577E0" w:rsidRPr="007D2582">
        <w:rPr>
          <w:sz w:val="20"/>
          <w:szCs w:val="20"/>
        </w:rPr>
        <w:t xml:space="preserve">, Colegio Nacional de Químicos Farmacéuticos de Colombia, Juzgado 006 Civil Municipal de Pequeñas Causas y Competencia Múltiple de Bogotá, Juzgado 004 Penal Municipal de Medellín con función de control de garantías, Juzgado Promiscuo de Familia del Circuito de Silvia, Sala Civil del Tribunal Superior de Distrito Judicial de Bogotá, Juzgado 002 Civil del Circuito de Bello, Juzgado 001 Promiscuo Municipal de </w:t>
      </w:r>
      <w:proofErr w:type="spellStart"/>
      <w:r w:rsidR="00D577E0" w:rsidRPr="007D2582">
        <w:rPr>
          <w:sz w:val="20"/>
          <w:szCs w:val="20"/>
        </w:rPr>
        <w:t>Guayatá</w:t>
      </w:r>
      <w:proofErr w:type="spellEnd"/>
      <w:r w:rsidR="00D577E0" w:rsidRPr="007D2582">
        <w:rPr>
          <w:sz w:val="20"/>
          <w:szCs w:val="20"/>
        </w:rPr>
        <w:t>, Sala Segunda de Oralidad del Tribunal Administrativo de Antioquia, Juzgado 001 Civil del Circuito de Manizales, Juzgado 002 Promiscuo Municipal de Andes – Antioquia, Sala Civil-Familia del Tribunal Superior de Manizales, Juzgado 057 Penal Municipal con Función de Control de Garantías de Bogotá, Juzgado 017 Civil Municipal de Bogotá, Juzgado 008 Civil Municipal de Bogotá, y Juzgado 069 de Pequeñas Causas y Competencia Múltiple de Bogotá</w:t>
      </w:r>
      <w:r w:rsidR="004839C8" w:rsidRPr="007D2582">
        <w:rPr>
          <w:i/>
          <w:iCs/>
          <w:sz w:val="20"/>
          <w:szCs w:val="20"/>
        </w:rPr>
        <w:t xml:space="preserve">. </w:t>
      </w:r>
    </w:p>
  </w:footnote>
  <w:footnote w:id="64">
    <w:p w14:paraId="00C40486" w14:textId="3AA477B5" w:rsidR="00C72C4C" w:rsidRPr="00C06B5C" w:rsidRDefault="00C72C4C" w:rsidP="00933AF9">
      <w:pPr>
        <w:pStyle w:val="Textonotapie"/>
        <w:jc w:val="both"/>
        <w:rPr>
          <w:sz w:val="18"/>
          <w:szCs w:val="18"/>
        </w:rPr>
      </w:pPr>
      <w:r w:rsidRPr="007D2582">
        <w:rPr>
          <w:rStyle w:val="Refdenotaalpie"/>
        </w:rPr>
        <w:footnoteRef/>
      </w:r>
      <w:r w:rsidRPr="007D2582">
        <w:t xml:space="preserve"> En </w:t>
      </w:r>
      <w:r w:rsidR="00996C6B" w:rsidRPr="007D2582">
        <w:t>particular a las siguientes entidades:</w:t>
      </w:r>
      <w:r w:rsidRPr="007D2582">
        <w:t xml:space="preserve"> </w:t>
      </w:r>
      <w:r w:rsidR="00292EF3" w:rsidRPr="007D2582">
        <w:rPr>
          <w:lang w:val="es-ES"/>
        </w:rPr>
        <w:t>Instituto Nacional de Cancerología, Asociación Colombia Saludable, Federación Médica Colombiana, Facultades de medicina y economía de la universidad Nacional de Colombia, Javeriana, Externado, Rosario y de los Andes</w:t>
      </w:r>
      <w:r w:rsidRPr="007D2582">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6184" w14:textId="77777777" w:rsidR="00600EE1" w:rsidRDefault="00551339">
    <w:pPr>
      <w:pBdr>
        <w:top w:val="nil"/>
        <w:left w:val="nil"/>
        <w:bottom w:val="nil"/>
        <w:right w:val="nil"/>
        <w:between w:val="nil"/>
      </w:pBdr>
      <w:tabs>
        <w:tab w:val="center" w:pos="4252"/>
        <w:tab w:val="right" w:pos="8504"/>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6EE66185" w14:textId="77777777" w:rsidR="00600EE1" w:rsidRDefault="00600EE1">
    <w:pPr>
      <w:pBdr>
        <w:top w:val="nil"/>
        <w:left w:val="nil"/>
        <w:bottom w:val="nil"/>
        <w:right w:val="nil"/>
        <w:between w:val="nil"/>
      </w:pBdr>
      <w:tabs>
        <w:tab w:val="center" w:pos="4252"/>
        <w:tab w:val="right" w:pos="8504"/>
      </w:tabs>
      <w:ind w:right="360"/>
      <w:jc w:val="both"/>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950"/>
    <w:multiLevelType w:val="hybridMultilevel"/>
    <w:tmpl w:val="EC5E7360"/>
    <w:lvl w:ilvl="0" w:tplc="ECAE57C2">
      <w:start w:val="1"/>
      <w:numFmt w:val="ordinalText"/>
      <w:suff w:val="space"/>
      <w:lvlText w:val="%1."/>
      <w:lvlJc w:val="left"/>
      <w:pPr>
        <w:ind w:left="0" w:firstLine="0"/>
      </w:pPr>
      <w:rPr>
        <w:rFonts w:hint="default"/>
        <w:b/>
        <w:bCs/>
        <w:caps/>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EC2DC3"/>
    <w:multiLevelType w:val="multilevel"/>
    <w:tmpl w:val="A0F8EA5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835B4"/>
    <w:multiLevelType w:val="multilevel"/>
    <w:tmpl w:val="51CED504"/>
    <w:lvl w:ilvl="0">
      <w:start w:val="1"/>
      <w:numFmt w:val="decimal"/>
      <w:lvlText w:val="%1."/>
      <w:lvlJc w:val="left"/>
      <w:pPr>
        <w:ind w:left="0" w:firstLine="0"/>
      </w:pPr>
      <w:rPr>
        <w:i w:val="0"/>
        <w:sz w:val="28"/>
        <w:szCs w:val="28"/>
      </w:rPr>
    </w:lvl>
    <w:lvl w:ilvl="1">
      <w:start w:val="1"/>
      <w:numFmt w:val="decimal"/>
      <w:lvlText w:val="%1.%2."/>
      <w:lvlJc w:val="left"/>
      <w:pPr>
        <w:ind w:left="0" w:firstLine="0"/>
      </w:pPr>
      <w:rPr>
        <w:i w:val="0"/>
      </w:rPr>
    </w:lvl>
    <w:lvl w:ilvl="2">
      <w:start w:val="1"/>
      <w:numFmt w:val="upperLetter"/>
      <w:lvlText w:val="%1.%2.%3."/>
      <w:lvlJc w:val="left"/>
      <w:pPr>
        <w:ind w:left="1080" w:hanging="720"/>
      </w:pPr>
      <w:rPr>
        <w:i/>
      </w:rPr>
    </w:lvl>
    <w:lvl w:ilvl="3">
      <w:start w:val="1"/>
      <w:numFmt w:val="decimal"/>
      <w:lvlText w:val="%1.%2.%3.%4."/>
      <w:lvlJc w:val="left"/>
      <w:pPr>
        <w:ind w:left="1440" w:hanging="1080"/>
      </w:pPr>
      <w:rPr>
        <w:i/>
      </w:rPr>
    </w:lvl>
    <w:lvl w:ilvl="4">
      <w:start w:val="1"/>
      <w:numFmt w:val="decimal"/>
      <w:lvlText w:val="%1.%2.%3.%4.%5."/>
      <w:lvlJc w:val="left"/>
      <w:pPr>
        <w:ind w:left="1440" w:hanging="1080"/>
      </w:pPr>
      <w:rPr>
        <w:i/>
      </w:rPr>
    </w:lvl>
    <w:lvl w:ilvl="5">
      <w:start w:val="1"/>
      <w:numFmt w:val="decimal"/>
      <w:lvlText w:val="%1.%2.%3.%4.%5.%6."/>
      <w:lvlJc w:val="left"/>
      <w:pPr>
        <w:ind w:left="1800" w:hanging="1440"/>
      </w:pPr>
      <w:rPr>
        <w:i/>
      </w:rPr>
    </w:lvl>
    <w:lvl w:ilvl="6">
      <w:start w:val="1"/>
      <w:numFmt w:val="decimal"/>
      <w:lvlText w:val="%1.%2.%3.%4.%5.%6.%7."/>
      <w:lvlJc w:val="left"/>
      <w:pPr>
        <w:ind w:left="2160" w:hanging="1800"/>
      </w:pPr>
      <w:rPr>
        <w:i/>
      </w:rPr>
    </w:lvl>
    <w:lvl w:ilvl="7">
      <w:start w:val="1"/>
      <w:numFmt w:val="decimal"/>
      <w:lvlText w:val="%1.%2.%3.%4.%5.%6.%7.%8."/>
      <w:lvlJc w:val="left"/>
      <w:pPr>
        <w:ind w:left="2160" w:hanging="1800"/>
      </w:pPr>
      <w:rPr>
        <w:i/>
      </w:rPr>
    </w:lvl>
    <w:lvl w:ilvl="8">
      <w:start w:val="1"/>
      <w:numFmt w:val="decimal"/>
      <w:lvlText w:val="%1.%2.%3.%4.%5.%6.%7.%8.%9."/>
      <w:lvlJc w:val="left"/>
      <w:pPr>
        <w:ind w:left="2520" w:hanging="2160"/>
      </w:pPr>
      <w:rPr>
        <w:i/>
      </w:rPr>
    </w:lvl>
  </w:abstractNum>
  <w:abstractNum w:abstractNumId="3" w15:restartNumberingAfterBreak="0">
    <w:nsid w:val="17A84A9B"/>
    <w:multiLevelType w:val="hybridMultilevel"/>
    <w:tmpl w:val="08061008"/>
    <w:lvl w:ilvl="0" w:tplc="69B4A0DA">
      <w:start w:val="1"/>
      <w:numFmt w:val="ordinalText"/>
      <w:suff w:val="space"/>
      <w:lvlText w:val="%1."/>
      <w:lvlJc w:val="left"/>
      <w:pPr>
        <w:ind w:left="0" w:firstLine="0"/>
      </w:pPr>
      <w:rPr>
        <w:rFonts w:ascii="Times New Roman" w:hAnsi="Times New Roman" w:cs="Times New Roman" w:hint="default"/>
        <w:b/>
        <w:bCs w:val="0"/>
        <w:i w:val="0"/>
        <w:iCs w:val="0"/>
        <w:caps/>
        <w:lang w:val="es-ES_tradn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835297"/>
    <w:multiLevelType w:val="hybridMultilevel"/>
    <w:tmpl w:val="87343C44"/>
    <w:lvl w:ilvl="0" w:tplc="86EA201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A142D2"/>
    <w:multiLevelType w:val="multilevel"/>
    <w:tmpl w:val="25E2B8BC"/>
    <w:lvl w:ilvl="0">
      <w:start w:val="1"/>
      <w:numFmt w:val="decimal"/>
      <w:lvlText w:val="%1."/>
      <w:lvlJc w:val="left"/>
      <w:pPr>
        <w:ind w:left="360" w:hanging="360"/>
      </w:pPr>
      <w:rPr>
        <w:rFonts w:hint="default"/>
        <w:i w:val="0"/>
        <w:iCs w:val="0"/>
        <w:color w:val="auto"/>
        <w:sz w:val="28"/>
        <w:szCs w:val="28"/>
      </w:rPr>
    </w:lvl>
    <w:lvl w:ilvl="1">
      <w:start w:val="1"/>
      <w:numFmt w:val="decimal"/>
      <w:isLgl/>
      <w:lvlText w:val="%1.%2."/>
      <w:lvlJc w:val="left"/>
      <w:pPr>
        <w:ind w:left="1080" w:hanging="720"/>
      </w:pPr>
      <w:rPr>
        <w:rFonts w:hint="default"/>
        <w:i/>
      </w:rPr>
    </w:lvl>
    <w:lvl w:ilvl="2">
      <w:start w:val="1"/>
      <w:numFmt w:val="upperLetter"/>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2160" w:hanging="180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520" w:hanging="2160"/>
      </w:pPr>
      <w:rPr>
        <w:rFonts w:hint="default"/>
        <w:i/>
      </w:rPr>
    </w:lvl>
  </w:abstractNum>
  <w:abstractNum w:abstractNumId="6" w15:restartNumberingAfterBreak="0">
    <w:nsid w:val="220C51A7"/>
    <w:multiLevelType w:val="hybridMultilevel"/>
    <w:tmpl w:val="7D36F63E"/>
    <w:lvl w:ilvl="0" w:tplc="6A52363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CE91E80"/>
    <w:multiLevelType w:val="multilevel"/>
    <w:tmpl w:val="B75825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7B5446"/>
    <w:multiLevelType w:val="multilevel"/>
    <w:tmpl w:val="90660424"/>
    <w:lvl w:ilvl="0">
      <w:start w:val="1"/>
      <w:numFmt w:val="decimal"/>
      <w:lvlText w:val="%1."/>
      <w:lvlJc w:val="left"/>
      <w:pPr>
        <w:ind w:left="0" w:firstLine="0"/>
      </w:pPr>
      <w:rPr>
        <w:rFonts w:ascii="Times New Roman" w:eastAsia="Times New Roman" w:hAnsi="Times New Roman" w:cs="Times New Roman"/>
        <w:b/>
        <w:i w:val="0"/>
        <w:small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2760465">
    <w:abstractNumId w:val="2"/>
  </w:num>
  <w:num w:numId="2" w16cid:durableId="1941983155">
    <w:abstractNumId w:val="8"/>
  </w:num>
  <w:num w:numId="3" w16cid:durableId="1525948007">
    <w:abstractNumId w:val="7"/>
  </w:num>
  <w:num w:numId="4" w16cid:durableId="329800477">
    <w:abstractNumId w:val="1"/>
  </w:num>
  <w:num w:numId="5" w16cid:durableId="418449422">
    <w:abstractNumId w:val="0"/>
  </w:num>
  <w:num w:numId="6" w16cid:durableId="377704562">
    <w:abstractNumId w:val="5"/>
  </w:num>
  <w:num w:numId="7" w16cid:durableId="287442312">
    <w:abstractNumId w:val="6"/>
  </w:num>
  <w:num w:numId="8" w16cid:durableId="1940873671">
    <w:abstractNumId w:val="3"/>
  </w:num>
  <w:num w:numId="9" w16cid:durableId="878661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E1"/>
    <w:rsid w:val="00000023"/>
    <w:rsid w:val="00000B6B"/>
    <w:rsid w:val="00000DA0"/>
    <w:rsid w:val="00001843"/>
    <w:rsid w:val="00006858"/>
    <w:rsid w:val="000071AF"/>
    <w:rsid w:val="00007240"/>
    <w:rsid w:val="000073CF"/>
    <w:rsid w:val="0000795A"/>
    <w:rsid w:val="0001076B"/>
    <w:rsid w:val="000117E4"/>
    <w:rsid w:val="000151D5"/>
    <w:rsid w:val="000178D1"/>
    <w:rsid w:val="000201CB"/>
    <w:rsid w:val="00021063"/>
    <w:rsid w:val="00023335"/>
    <w:rsid w:val="00023E1F"/>
    <w:rsid w:val="00026A87"/>
    <w:rsid w:val="00027528"/>
    <w:rsid w:val="0003037E"/>
    <w:rsid w:val="00030BAC"/>
    <w:rsid w:val="00031175"/>
    <w:rsid w:val="00031422"/>
    <w:rsid w:val="00031E5A"/>
    <w:rsid w:val="00033912"/>
    <w:rsid w:val="00034E32"/>
    <w:rsid w:val="0003557B"/>
    <w:rsid w:val="00035B3F"/>
    <w:rsid w:val="00036AC5"/>
    <w:rsid w:val="00040F49"/>
    <w:rsid w:val="00041B7A"/>
    <w:rsid w:val="00043A4A"/>
    <w:rsid w:val="000445AA"/>
    <w:rsid w:val="00044C0D"/>
    <w:rsid w:val="0004595A"/>
    <w:rsid w:val="00045965"/>
    <w:rsid w:val="00047B48"/>
    <w:rsid w:val="00047C30"/>
    <w:rsid w:val="000512F9"/>
    <w:rsid w:val="0005145C"/>
    <w:rsid w:val="0005176E"/>
    <w:rsid w:val="00054752"/>
    <w:rsid w:val="000548EC"/>
    <w:rsid w:val="00054AF5"/>
    <w:rsid w:val="00054EEE"/>
    <w:rsid w:val="00055230"/>
    <w:rsid w:val="000554BD"/>
    <w:rsid w:val="00056749"/>
    <w:rsid w:val="0005707A"/>
    <w:rsid w:val="00057178"/>
    <w:rsid w:val="00057D4F"/>
    <w:rsid w:val="00057DB6"/>
    <w:rsid w:val="00062230"/>
    <w:rsid w:val="00064F52"/>
    <w:rsid w:val="0006628A"/>
    <w:rsid w:val="00066754"/>
    <w:rsid w:val="00066A0F"/>
    <w:rsid w:val="000701D4"/>
    <w:rsid w:val="00070EFF"/>
    <w:rsid w:val="0007109F"/>
    <w:rsid w:val="000710B6"/>
    <w:rsid w:val="00073643"/>
    <w:rsid w:val="0007399A"/>
    <w:rsid w:val="00074390"/>
    <w:rsid w:val="00074544"/>
    <w:rsid w:val="0007566C"/>
    <w:rsid w:val="00076D11"/>
    <w:rsid w:val="00077489"/>
    <w:rsid w:val="00077986"/>
    <w:rsid w:val="00080BEB"/>
    <w:rsid w:val="00083545"/>
    <w:rsid w:val="0008444D"/>
    <w:rsid w:val="00084A35"/>
    <w:rsid w:val="00085717"/>
    <w:rsid w:val="00086981"/>
    <w:rsid w:val="00087D6C"/>
    <w:rsid w:val="00090459"/>
    <w:rsid w:val="00091F77"/>
    <w:rsid w:val="00092404"/>
    <w:rsid w:val="000930F3"/>
    <w:rsid w:val="0009419A"/>
    <w:rsid w:val="00095BDD"/>
    <w:rsid w:val="000A2A56"/>
    <w:rsid w:val="000A3F23"/>
    <w:rsid w:val="000A554F"/>
    <w:rsid w:val="000A55AD"/>
    <w:rsid w:val="000A58FF"/>
    <w:rsid w:val="000A7ADA"/>
    <w:rsid w:val="000A7CE6"/>
    <w:rsid w:val="000A7D48"/>
    <w:rsid w:val="000B1624"/>
    <w:rsid w:val="000B2337"/>
    <w:rsid w:val="000B23B9"/>
    <w:rsid w:val="000B5642"/>
    <w:rsid w:val="000B58C2"/>
    <w:rsid w:val="000B5DDB"/>
    <w:rsid w:val="000B6940"/>
    <w:rsid w:val="000C126C"/>
    <w:rsid w:val="000C2391"/>
    <w:rsid w:val="000C3600"/>
    <w:rsid w:val="000C4B58"/>
    <w:rsid w:val="000C4B7A"/>
    <w:rsid w:val="000C5F95"/>
    <w:rsid w:val="000C7447"/>
    <w:rsid w:val="000C7E49"/>
    <w:rsid w:val="000D08BE"/>
    <w:rsid w:val="000D29BA"/>
    <w:rsid w:val="000D2FDB"/>
    <w:rsid w:val="000D32EC"/>
    <w:rsid w:val="000D3431"/>
    <w:rsid w:val="000D49AC"/>
    <w:rsid w:val="000D5110"/>
    <w:rsid w:val="000D5E2F"/>
    <w:rsid w:val="000D6181"/>
    <w:rsid w:val="000D6B38"/>
    <w:rsid w:val="000E041F"/>
    <w:rsid w:val="000E0523"/>
    <w:rsid w:val="000E0A0B"/>
    <w:rsid w:val="000E0A27"/>
    <w:rsid w:val="000E0A85"/>
    <w:rsid w:val="000E0AE4"/>
    <w:rsid w:val="000E0B23"/>
    <w:rsid w:val="000E3756"/>
    <w:rsid w:val="000E3A01"/>
    <w:rsid w:val="000E4C3D"/>
    <w:rsid w:val="000E4DC0"/>
    <w:rsid w:val="000E58EA"/>
    <w:rsid w:val="000E7B09"/>
    <w:rsid w:val="000E7DAF"/>
    <w:rsid w:val="000F08FE"/>
    <w:rsid w:val="000F1131"/>
    <w:rsid w:val="000F22E3"/>
    <w:rsid w:val="000F2B9D"/>
    <w:rsid w:val="000F3517"/>
    <w:rsid w:val="000F41F6"/>
    <w:rsid w:val="000F452A"/>
    <w:rsid w:val="000F46CB"/>
    <w:rsid w:val="000F758C"/>
    <w:rsid w:val="000F75A1"/>
    <w:rsid w:val="001001CD"/>
    <w:rsid w:val="00100AE4"/>
    <w:rsid w:val="00102B4F"/>
    <w:rsid w:val="0010344E"/>
    <w:rsid w:val="0010403F"/>
    <w:rsid w:val="00105391"/>
    <w:rsid w:val="00105839"/>
    <w:rsid w:val="001065EB"/>
    <w:rsid w:val="001077DD"/>
    <w:rsid w:val="00113186"/>
    <w:rsid w:val="00113688"/>
    <w:rsid w:val="00113C86"/>
    <w:rsid w:val="00114649"/>
    <w:rsid w:val="00114F8D"/>
    <w:rsid w:val="00114FA1"/>
    <w:rsid w:val="00115CA6"/>
    <w:rsid w:val="00116282"/>
    <w:rsid w:val="001168F8"/>
    <w:rsid w:val="00121E8A"/>
    <w:rsid w:val="00122213"/>
    <w:rsid w:val="00122E8C"/>
    <w:rsid w:val="00123B6A"/>
    <w:rsid w:val="001240BD"/>
    <w:rsid w:val="001240CA"/>
    <w:rsid w:val="0012500C"/>
    <w:rsid w:val="001251C4"/>
    <w:rsid w:val="00125364"/>
    <w:rsid w:val="0012776D"/>
    <w:rsid w:val="00127F84"/>
    <w:rsid w:val="00131D6B"/>
    <w:rsid w:val="00132430"/>
    <w:rsid w:val="00132EDB"/>
    <w:rsid w:val="00132FFF"/>
    <w:rsid w:val="001335F5"/>
    <w:rsid w:val="00134756"/>
    <w:rsid w:val="001347E5"/>
    <w:rsid w:val="00134A39"/>
    <w:rsid w:val="00135319"/>
    <w:rsid w:val="001354A5"/>
    <w:rsid w:val="00135C8B"/>
    <w:rsid w:val="001365AB"/>
    <w:rsid w:val="0014066A"/>
    <w:rsid w:val="00143902"/>
    <w:rsid w:val="00143E85"/>
    <w:rsid w:val="0014576A"/>
    <w:rsid w:val="00145E9F"/>
    <w:rsid w:val="00152044"/>
    <w:rsid w:val="00152B73"/>
    <w:rsid w:val="00152B7B"/>
    <w:rsid w:val="00154351"/>
    <w:rsid w:val="00154C7F"/>
    <w:rsid w:val="00154CE5"/>
    <w:rsid w:val="00155343"/>
    <w:rsid w:val="00155BE9"/>
    <w:rsid w:val="001603AA"/>
    <w:rsid w:val="001618BC"/>
    <w:rsid w:val="00161928"/>
    <w:rsid w:val="00162742"/>
    <w:rsid w:val="00164486"/>
    <w:rsid w:val="00164A83"/>
    <w:rsid w:val="00164B6D"/>
    <w:rsid w:val="00164F5A"/>
    <w:rsid w:val="00165006"/>
    <w:rsid w:val="0016535C"/>
    <w:rsid w:val="00165A20"/>
    <w:rsid w:val="00167388"/>
    <w:rsid w:val="00170784"/>
    <w:rsid w:val="00171418"/>
    <w:rsid w:val="00171A6B"/>
    <w:rsid w:val="00172750"/>
    <w:rsid w:val="00172CE3"/>
    <w:rsid w:val="0017316E"/>
    <w:rsid w:val="0017325F"/>
    <w:rsid w:val="001735C1"/>
    <w:rsid w:val="00173BBC"/>
    <w:rsid w:val="00174363"/>
    <w:rsid w:val="001754F3"/>
    <w:rsid w:val="0017644D"/>
    <w:rsid w:val="00177F2B"/>
    <w:rsid w:val="00182118"/>
    <w:rsid w:val="00183272"/>
    <w:rsid w:val="00185C21"/>
    <w:rsid w:val="00186899"/>
    <w:rsid w:val="00186997"/>
    <w:rsid w:val="0019209F"/>
    <w:rsid w:val="00192FE4"/>
    <w:rsid w:val="0019386B"/>
    <w:rsid w:val="00193921"/>
    <w:rsid w:val="00193DA6"/>
    <w:rsid w:val="001947DD"/>
    <w:rsid w:val="001950CA"/>
    <w:rsid w:val="001A0816"/>
    <w:rsid w:val="001A1A46"/>
    <w:rsid w:val="001A2198"/>
    <w:rsid w:val="001A2603"/>
    <w:rsid w:val="001A3D81"/>
    <w:rsid w:val="001A4ED6"/>
    <w:rsid w:val="001A749C"/>
    <w:rsid w:val="001B16FF"/>
    <w:rsid w:val="001B2C59"/>
    <w:rsid w:val="001B2F99"/>
    <w:rsid w:val="001B46B9"/>
    <w:rsid w:val="001B5B60"/>
    <w:rsid w:val="001B5C7E"/>
    <w:rsid w:val="001B6A6C"/>
    <w:rsid w:val="001B6CD4"/>
    <w:rsid w:val="001B7C8E"/>
    <w:rsid w:val="001C0917"/>
    <w:rsid w:val="001C0DA8"/>
    <w:rsid w:val="001C146C"/>
    <w:rsid w:val="001C2C5C"/>
    <w:rsid w:val="001C4B45"/>
    <w:rsid w:val="001C4DDF"/>
    <w:rsid w:val="001C5522"/>
    <w:rsid w:val="001C61E2"/>
    <w:rsid w:val="001C7035"/>
    <w:rsid w:val="001C70B6"/>
    <w:rsid w:val="001C73E4"/>
    <w:rsid w:val="001D04A4"/>
    <w:rsid w:val="001D07BD"/>
    <w:rsid w:val="001D1904"/>
    <w:rsid w:val="001D22A8"/>
    <w:rsid w:val="001D2DCE"/>
    <w:rsid w:val="001D2DD9"/>
    <w:rsid w:val="001D5B11"/>
    <w:rsid w:val="001D6C68"/>
    <w:rsid w:val="001D7E28"/>
    <w:rsid w:val="001E0E61"/>
    <w:rsid w:val="001E36FE"/>
    <w:rsid w:val="001E47FF"/>
    <w:rsid w:val="001E59BA"/>
    <w:rsid w:val="001E6249"/>
    <w:rsid w:val="001E6447"/>
    <w:rsid w:val="001E67D7"/>
    <w:rsid w:val="001F066D"/>
    <w:rsid w:val="001F08D1"/>
    <w:rsid w:val="001F0B3E"/>
    <w:rsid w:val="001F10BE"/>
    <w:rsid w:val="001F2D8D"/>
    <w:rsid w:val="001F2FE2"/>
    <w:rsid w:val="001F4ABB"/>
    <w:rsid w:val="001F5223"/>
    <w:rsid w:val="001F5F0C"/>
    <w:rsid w:val="001F68AE"/>
    <w:rsid w:val="001F6CF7"/>
    <w:rsid w:val="001F7356"/>
    <w:rsid w:val="001F74E7"/>
    <w:rsid w:val="001F7665"/>
    <w:rsid w:val="00200143"/>
    <w:rsid w:val="00201BE3"/>
    <w:rsid w:val="00201D09"/>
    <w:rsid w:val="00202805"/>
    <w:rsid w:val="00203E89"/>
    <w:rsid w:val="00204A13"/>
    <w:rsid w:val="0020708E"/>
    <w:rsid w:val="002070DF"/>
    <w:rsid w:val="00207CFF"/>
    <w:rsid w:val="0021042A"/>
    <w:rsid w:val="002104F8"/>
    <w:rsid w:val="00210AF6"/>
    <w:rsid w:val="00211825"/>
    <w:rsid w:val="00212219"/>
    <w:rsid w:val="0021379F"/>
    <w:rsid w:val="0021505E"/>
    <w:rsid w:val="00216D3A"/>
    <w:rsid w:val="002174F1"/>
    <w:rsid w:val="00217DE1"/>
    <w:rsid w:val="00220272"/>
    <w:rsid w:val="002207FC"/>
    <w:rsid w:val="00220CBA"/>
    <w:rsid w:val="00221773"/>
    <w:rsid w:val="00221BCE"/>
    <w:rsid w:val="00221CB0"/>
    <w:rsid w:val="00221F92"/>
    <w:rsid w:val="0022248B"/>
    <w:rsid w:val="002233AB"/>
    <w:rsid w:val="00224694"/>
    <w:rsid w:val="00224D60"/>
    <w:rsid w:val="00224F02"/>
    <w:rsid w:val="00226BD5"/>
    <w:rsid w:val="00230FB2"/>
    <w:rsid w:val="002310CF"/>
    <w:rsid w:val="00232E5A"/>
    <w:rsid w:val="002361B5"/>
    <w:rsid w:val="00237389"/>
    <w:rsid w:val="0024012C"/>
    <w:rsid w:val="002422CC"/>
    <w:rsid w:val="002425BE"/>
    <w:rsid w:val="00242E41"/>
    <w:rsid w:val="00243F2A"/>
    <w:rsid w:val="00244B99"/>
    <w:rsid w:val="0024562B"/>
    <w:rsid w:val="002456A8"/>
    <w:rsid w:val="00245C03"/>
    <w:rsid w:val="0024607E"/>
    <w:rsid w:val="00251DFA"/>
    <w:rsid w:val="002530B0"/>
    <w:rsid w:val="0025328A"/>
    <w:rsid w:val="00254B0F"/>
    <w:rsid w:val="00254BFD"/>
    <w:rsid w:val="00254C01"/>
    <w:rsid w:val="00256BD4"/>
    <w:rsid w:val="00257AF9"/>
    <w:rsid w:val="00257E57"/>
    <w:rsid w:val="0026040D"/>
    <w:rsid w:val="002605AB"/>
    <w:rsid w:val="0026276B"/>
    <w:rsid w:val="002640F8"/>
    <w:rsid w:val="00265D75"/>
    <w:rsid w:val="002664C7"/>
    <w:rsid w:val="00266A15"/>
    <w:rsid w:val="00267BF6"/>
    <w:rsid w:val="002708C9"/>
    <w:rsid w:val="00270DEF"/>
    <w:rsid w:val="00273AE8"/>
    <w:rsid w:val="00274255"/>
    <w:rsid w:val="00275737"/>
    <w:rsid w:val="0027710C"/>
    <w:rsid w:val="002774DB"/>
    <w:rsid w:val="00277D82"/>
    <w:rsid w:val="00280F5B"/>
    <w:rsid w:val="00281A1C"/>
    <w:rsid w:val="0028290E"/>
    <w:rsid w:val="00283559"/>
    <w:rsid w:val="0028417A"/>
    <w:rsid w:val="00285227"/>
    <w:rsid w:val="00285283"/>
    <w:rsid w:val="00286C1D"/>
    <w:rsid w:val="00286C1F"/>
    <w:rsid w:val="00286DE8"/>
    <w:rsid w:val="002872CE"/>
    <w:rsid w:val="002900B1"/>
    <w:rsid w:val="0029199D"/>
    <w:rsid w:val="00292158"/>
    <w:rsid w:val="00292EF3"/>
    <w:rsid w:val="00292F14"/>
    <w:rsid w:val="00293647"/>
    <w:rsid w:val="00294EA9"/>
    <w:rsid w:val="00296561"/>
    <w:rsid w:val="0029678A"/>
    <w:rsid w:val="00297A48"/>
    <w:rsid w:val="002A3C8C"/>
    <w:rsid w:val="002A3DD5"/>
    <w:rsid w:val="002A3F9C"/>
    <w:rsid w:val="002A589B"/>
    <w:rsid w:val="002B0351"/>
    <w:rsid w:val="002B1184"/>
    <w:rsid w:val="002B1216"/>
    <w:rsid w:val="002B121A"/>
    <w:rsid w:val="002B17DF"/>
    <w:rsid w:val="002B21B6"/>
    <w:rsid w:val="002B2998"/>
    <w:rsid w:val="002B3489"/>
    <w:rsid w:val="002B62A4"/>
    <w:rsid w:val="002B63D0"/>
    <w:rsid w:val="002B6E08"/>
    <w:rsid w:val="002B7FA1"/>
    <w:rsid w:val="002C0117"/>
    <w:rsid w:val="002C071F"/>
    <w:rsid w:val="002C0D4C"/>
    <w:rsid w:val="002C0F94"/>
    <w:rsid w:val="002C2D67"/>
    <w:rsid w:val="002C2FED"/>
    <w:rsid w:val="002C43A0"/>
    <w:rsid w:val="002C453C"/>
    <w:rsid w:val="002C56FA"/>
    <w:rsid w:val="002D0A81"/>
    <w:rsid w:val="002D13A4"/>
    <w:rsid w:val="002D3968"/>
    <w:rsid w:val="002D5F03"/>
    <w:rsid w:val="002E075C"/>
    <w:rsid w:val="002E09AC"/>
    <w:rsid w:val="002E316B"/>
    <w:rsid w:val="002E349E"/>
    <w:rsid w:val="002E3828"/>
    <w:rsid w:val="002E3D18"/>
    <w:rsid w:val="002E3DDE"/>
    <w:rsid w:val="002E644E"/>
    <w:rsid w:val="002E666A"/>
    <w:rsid w:val="002E67F9"/>
    <w:rsid w:val="002E6E50"/>
    <w:rsid w:val="002F1052"/>
    <w:rsid w:val="002F1555"/>
    <w:rsid w:val="002F318E"/>
    <w:rsid w:val="002F3244"/>
    <w:rsid w:val="002F3A07"/>
    <w:rsid w:val="002F4112"/>
    <w:rsid w:val="002F4414"/>
    <w:rsid w:val="002F642B"/>
    <w:rsid w:val="002F65CC"/>
    <w:rsid w:val="002F69CA"/>
    <w:rsid w:val="002F6E9B"/>
    <w:rsid w:val="002F713E"/>
    <w:rsid w:val="00302414"/>
    <w:rsid w:val="00302CD9"/>
    <w:rsid w:val="00302FA1"/>
    <w:rsid w:val="003032C0"/>
    <w:rsid w:val="00304A4C"/>
    <w:rsid w:val="00305AEB"/>
    <w:rsid w:val="00305B38"/>
    <w:rsid w:val="00311EE9"/>
    <w:rsid w:val="003123D9"/>
    <w:rsid w:val="00312964"/>
    <w:rsid w:val="0031359D"/>
    <w:rsid w:val="00313615"/>
    <w:rsid w:val="00313CB3"/>
    <w:rsid w:val="00314C15"/>
    <w:rsid w:val="00315862"/>
    <w:rsid w:val="00317357"/>
    <w:rsid w:val="00320419"/>
    <w:rsid w:val="00320DEE"/>
    <w:rsid w:val="00320E11"/>
    <w:rsid w:val="0032305E"/>
    <w:rsid w:val="00324CCC"/>
    <w:rsid w:val="003260B7"/>
    <w:rsid w:val="00326A8A"/>
    <w:rsid w:val="00327BB2"/>
    <w:rsid w:val="003309BD"/>
    <w:rsid w:val="003318AF"/>
    <w:rsid w:val="00336999"/>
    <w:rsid w:val="003379A9"/>
    <w:rsid w:val="00337F05"/>
    <w:rsid w:val="0034039A"/>
    <w:rsid w:val="003410C4"/>
    <w:rsid w:val="00342A15"/>
    <w:rsid w:val="003433FE"/>
    <w:rsid w:val="00343871"/>
    <w:rsid w:val="00343AC3"/>
    <w:rsid w:val="00345725"/>
    <w:rsid w:val="00346443"/>
    <w:rsid w:val="0034740A"/>
    <w:rsid w:val="0034781D"/>
    <w:rsid w:val="00347ADB"/>
    <w:rsid w:val="003507E6"/>
    <w:rsid w:val="0035164D"/>
    <w:rsid w:val="00352154"/>
    <w:rsid w:val="00352823"/>
    <w:rsid w:val="00352F9C"/>
    <w:rsid w:val="00353D42"/>
    <w:rsid w:val="00354A96"/>
    <w:rsid w:val="0035550F"/>
    <w:rsid w:val="00355C55"/>
    <w:rsid w:val="00360B05"/>
    <w:rsid w:val="00361883"/>
    <w:rsid w:val="00364BA0"/>
    <w:rsid w:val="003652EF"/>
    <w:rsid w:val="0036786C"/>
    <w:rsid w:val="00370B20"/>
    <w:rsid w:val="00370D3A"/>
    <w:rsid w:val="00371B26"/>
    <w:rsid w:val="00372079"/>
    <w:rsid w:val="00373104"/>
    <w:rsid w:val="00373A47"/>
    <w:rsid w:val="00373DB1"/>
    <w:rsid w:val="0037651F"/>
    <w:rsid w:val="0037670F"/>
    <w:rsid w:val="00376DF1"/>
    <w:rsid w:val="00377219"/>
    <w:rsid w:val="00377503"/>
    <w:rsid w:val="00377E5A"/>
    <w:rsid w:val="00380FA7"/>
    <w:rsid w:val="00381B87"/>
    <w:rsid w:val="00381DC6"/>
    <w:rsid w:val="00382663"/>
    <w:rsid w:val="00382BCB"/>
    <w:rsid w:val="00383374"/>
    <w:rsid w:val="0038344B"/>
    <w:rsid w:val="0038350D"/>
    <w:rsid w:val="0038351D"/>
    <w:rsid w:val="00385EBC"/>
    <w:rsid w:val="003879A3"/>
    <w:rsid w:val="00387EA0"/>
    <w:rsid w:val="00390068"/>
    <w:rsid w:val="003906D7"/>
    <w:rsid w:val="00391DCC"/>
    <w:rsid w:val="00392217"/>
    <w:rsid w:val="00392623"/>
    <w:rsid w:val="00393210"/>
    <w:rsid w:val="00395864"/>
    <w:rsid w:val="0039650C"/>
    <w:rsid w:val="00397E1A"/>
    <w:rsid w:val="003A013C"/>
    <w:rsid w:val="003A034D"/>
    <w:rsid w:val="003A251A"/>
    <w:rsid w:val="003A339B"/>
    <w:rsid w:val="003A3DD3"/>
    <w:rsid w:val="003A43C8"/>
    <w:rsid w:val="003A4CA3"/>
    <w:rsid w:val="003A526D"/>
    <w:rsid w:val="003A6889"/>
    <w:rsid w:val="003A7623"/>
    <w:rsid w:val="003A7992"/>
    <w:rsid w:val="003B0A28"/>
    <w:rsid w:val="003B0C62"/>
    <w:rsid w:val="003B18F7"/>
    <w:rsid w:val="003B1A80"/>
    <w:rsid w:val="003B2415"/>
    <w:rsid w:val="003B43CD"/>
    <w:rsid w:val="003B4D68"/>
    <w:rsid w:val="003B52B7"/>
    <w:rsid w:val="003B5582"/>
    <w:rsid w:val="003B579E"/>
    <w:rsid w:val="003B5C2E"/>
    <w:rsid w:val="003C0A07"/>
    <w:rsid w:val="003C2921"/>
    <w:rsid w:val="003C3722"/>
    <w:rsid w:val="003C4370"/>
    <w:rsid w:val="003C5AAC"/>
    <w:rsid w:val="003C66FF"/>
    <w:rsid w:val="003C7BC7"/>
    <w:rsid w:val="003D1B4F"/>
    <w:rsid w:val="003D1FA1"/>
    <w:rsid w:val="003D33DA"/>
    <w:rsid w:val="003D4FE1"/>
    <w:rsid w:val="003D7566"/>
    <w:rsid w:val="003E0CDD"/>
    <w:rsid w:val="003E15D6"/>
    <w:rsid w:val="003E18C7"/>
    <w:rsid w:val="003E3CA1"/>
    <w:rsid w:val="003E4A33"/>
    <w:rsid w:val="003E7076"/>
    <w:rsid w:val="003F00BD"/>
    <w:rsid w:val="003F0548"/>
    <w:rsid w:val="003F08A1"/>
    <w:rsid w:val="003F1068"/>
    <w:rsid w:val="003F2711"/>
    <w:rsid w:val="003F27B9"/>
    <w:rsid w:val="003F5124"/>
    <w:rsid w:val="003F68CD"/>
    <w:rsid w:val="003F6A19"/>
    <w:rsid w:val="003F77ED"/>
    <w:rsid w:val="0040052F"/>
    <w:rsid w:val="0040108A"/>
    <w:rsid w:val="00401D23"/>
    <w:rsid w:val="004021CE"/>
    <w:rsid w:val="00402218"/>
    <w:rsid w:val="00403492"/>
    <w:rsid w:val="00403B4E"/>
    <w:rsid w:val="00404B61"/>
    <w:rsid w:val="00405703"/>
    <w:rsid w:val="004058F6"/>
    <w:rsid w:val="004066B1"/>
    <w:rsid w:val="00406B17"/>
    <w:rsid w:val="004111EA"/>
    <w:rsid w:val="00412AC1"/>
    <w:rsid w:val="004130B9"/>
    <w:rsid w:val="00414132"/>
    <w:rsid w:val="004149A6"/>
    <w:rsid w:val="00414C1D"/>
    <w:rsid w:val="004155C4"/>
    <w:rsid w:val="00415C9E"/>
    <w:rsid w:val="00417207"/>
    <w:rsid w:val="00417FD0"/>
    <w:rsid w:val="00420111"/>
    <w:rsid w:val="00420EBF"/>
    <w:rsid w:val="00421AE1"/>
    <w:rsid w:val="00421AF6"/>
    <w:rsid w:val="004223DB"/>
    <w:rsid w:val="0042336B"/>
    <w:rsid w:val="00426429"/>
    <w:rsid w:val="00426863"/>
    <w:rsid w:val="00426AED"/>
    <w:rsid w:val="0043027F"/>
    <w:rsid w:val="00430B0E"/>
    <w:rsid w:val="00432377"/>
    <w:rsid w:val="00433663"/>
    <w:rsid w:val="004354E0"/>
    <w:rsid w:val="00435747"/>
    <w:rsid w:val="00435BC1"/>
    <w:rsid w:val="0043727D"/>
    <w:rsid w:val="0043729C"/>
    <w:rsid w:val="00440E9E"/>
    <w:rsid w:val="004421EC"/>
    <w:rsid w:val="00442481"/>
    <w:rsid w:val="00443506"/>
    <w:rsid w:val="00446DDC"/>
    <w:rsid w:val="004479C0"/>
    <w:rsid w:val="004503D5"/>
    <w:rsid w:val="004522DB"/>
    <w:rsid w:val="004557C7"/>
    <w:rsid w:val="004559E6"/>
    <w:rsid w:val="00455E55"/>
    <w:rsid w:val="004561B4"/>
    <w:rsid w:val="00456AE0"/>
    <w:rsid w:val="00456C46"/>
    <w:rsid w:val="00460830"/>
    <w:rsid w:val="004613E4"/>
    <w:rsid w:val="0046167E"/>
    <w:rsid w:val="0046186B"/>
    <w:rsid w:val="0046229B"/>
    <w:rsid w:val="00464393"/>
    <w:rsid w:val="00464DDC"/>
    <w:rsid w:val="004670E8"/>
    <w:rsid w:val="00467D6B"/>
    <w:rsid w:val="00472D7D"/>
    <w:rsid w:val="00473064"/>
    <w:rsid w:val="0048360D"/>
    <w:rsid w:val="004839C8"/>
    <w:rsid w:val="00483AC7"/>
    <w:rsid w:val="00483B87"/>
    <w:rsid w:val="00483D69"/>
    <w:rsid w:val="004871CA"/>
    <w:rsid w:val="004878F8"/>
    <w:rsid w:val="0048793F"/>
    <w:rsid w:val="00490315"/>
    <w:rsid w:val="00490E0D"/>
    <w:rsid w:val="00491592"/>
    <w:rsid w:val="00495FD0"/>
    <w:rsid w:val="00496417"/>
    <w:rsid w:val="004A07C2"/>
    <w:rsid w:val="004A0E0D"/>
    <w:rsid w:val="004A0F48"/>
    <w:rsid w:val="004A294C"/>
    <w:rsid w:val="004A2C0D"/>
    <w:rsid w:val="004A6FC7"/>
    <w:rsid w:val="004B0145"/>
    <w:rsid w:val="004B06A4"/>
    <w:rsid w:val="004B159E"/>
    <w:rsid w:val="004B1A55"/>
    <w:rsid w:val="004B2AF2"/>
    <w:rsid w:val="004B3701"/>
    <w:rsid w:val="004B3A72"/>
    <w:rsid w:val="004B5F6E"/>
    <w:rsid w:val="004B60E5"/>
    <w:rsid w:val="004B6897"/>
    <w:rsid w:val="004C066F"/>
    <w:rsid w:val="004C074F"/>
    <w:rsid w:val="004C26DD"/>
    <w:rsid w:val="004C3413"/>
    <w:rsid w:val="004C6F9E"/>
    <w:rsid w:val="004C7080"/>
    <w:rsid w:val="004C76E7"/>
    <w:rsid w:val="004C7D69"/>
    <w:rsid w:val="004D0291"/>
    <w:rsid w:val="004D0C61"/>
    <w:rsid w:val="004D0C97"/>
    <w:rsid w:val="004D0F95"/>
    <w:rsid w:val="004D1762"/>
    <w:rsid w:val="004D4660"/>
    <w:rsid w:val="004D4A64"/>
    <w:rsid w:val="004D5604"/>
    <w:rsid w:val="004D5D89"/>
    <w:rsid w:val="004D6AD8"/>
    <w:rsid w:val="004D74FD"/>
    <w:rsid w:val="004E0738"/>
    <w:rsid w:val="004E2049"/>
    <w:rsid w:val="004E2304"/>
    <w:rsid w:val="004E2751"/>
    <w:rsid w:val="004E4936"/>
    <w:rsid w:val="004E5509"/>
    <w:rsid w:val="004E6351"/>
    <w:rsid w:val="004E655D"/>
    <w:rsid w:val="004E6736"/>
    <w:rsid w:val="004E7221"/>
    <w:rsid w:val="004F1AF0"/>
    <w:rsid w:val="004F318A"/>
    <w:rsid w:val="004F38D2"/>
    <w:rsid w:val="004F3F31"/>
    <w:rsid w:val="004F50C4"/>
    <w:rsid w:val="004F5F26"/>
    <w:rsid w:val="00500E29"/>
    <w:rsid w:val="0050141E"/>
    <w:rsid w:val="00501860"/>
    <w:rsid w:val="00502F73"/>
    <w:rsid w:val="00505A88"/>
    <w:rsid w:val="0050656F"/>
    <w:rsid w:val="005074AB"/>
    <w:rsid w:val="00510582"/>
    <w:rsid w:val="005115E8"/>
    <w:rsid w:val="00511676"/>
    <w:rsid w:val="00511D04"/>
    <w:rsid w:val="00512ACE"/>
    <w:rsid w:val="00512B11"/>
    <w:rsid w:val="00512E6C"/>
    <w:rsid w:val="00513D2F"/>
    <w:rsid w:val="0051715D"/>
    <w:rsid w:val="00517193"/>
    <w:rsid w:val="005177A7"/>
    <w:rsid w:val="0052100B"/>
    <w:rsid w:val="00521534"/>
    <w:rsid w:val="00522FA3"/>
    <w:rsid w:val="00522FAA"/>
    <w:rsid w:val="005237F1"/>
    <w:rsid w:val="00524832"/>
    <w:rsid w:val="00524B3B"/>
    <w:rsid w:val="00524D91"/>
    <w:rsid w:val="005261B6"/>
    <w:rsid w:val="00527200"/>
    <w:rsid w:val="0052774C"/>
    <w:rsid w:val="00531CA9"/>
    <w:rsid w:val="00535C3A"/>
    <w:rsid w:val="00535C5C"/>
    <w:rsid w:val="00535EE7"/>
    <w:rsid w:val="00540724"/>
    <w:rsid w:val="005428B8"/>
    <w:rsid w:val="00544A20"/>
    <w:rsid w:val="005512FA"/>
    <w:rsid w:val="00551339"/>
    <w:rsid w:val="005516B4"/>
    <w:rsid w:val="0055193A"/>
    <w:rsid w:val="00552A46"/>
    <w:rsid w:val="00555FB3"/>
    <w:rsid w:val="00556338"/>
    <w:rsid w:val="0055699A"/>
    <w:rsid w:val="00556AB2"/>
    <w:rsid w:val="005614E3"/>
    <w:rsid w:val="00561B35"/>
    <w:rsid w:val="005625FF"/>
    <w:rsid w:val="0056449E"/>
    <w:rsid w:val="00565B38"/>
    <w:rsid w:val="00566139"/>
    <w:rsid w:val="00566DE8"/>
    <w:rsid w:val="005673A9"/>
    <w:rsid w:val="005673CE"/>
    <w:rsid w:val="005675F2"/>
    <w:rsid w:val="00570252"/>
    <w:rsid w:val="00570A4A"/>
    <w:rsid w:val="00570B10"/>
    <w:rsid w:val="00571EC2"/>
    <w:rsid w:val="005721EC"/>
    <w:rsid w:val="00572693"/>
    <w:rsid w:val="00574F34"/>
    <w:rsid w:val="00575338"/>
    <w:rsid w:val="00577D4E"/>
    <w:rsid w:val="005802AC"/>
    <w:rsid w:val="00581C41"/>
    <w:rsid w:val="00583814"/>
    <w:rsid w:val="00583E44"/>
    <w:rsid w:val="005843CF"/>
    <w:rsid w:val="00584B2F"/>
    <w:rsid w:val="00584C37"/>
    <w:rsid w:val="005855C6"/>
    <w:rsid w:val="00585E02"/>
    <w:rsid w:val="005863D0"/>
    <w:rsid w:val="00587D45"/>
    <w:rsid w:val="00587E05"/>
    <w:rsid w:val="00592293"/>
    <w:rsid w:val="00594D87"/>
    <w:rsid w:val="005951D1"/>
    <w:rsid w:val="00596B73"/>
    <w:rsid w:val="005A00D0"/>
    <w:rsid w:val="005A048E"/>
    <w:rsid w:val="005A1D46"/>
    <w:rsid w:val="005A1F35"/>
    <w:rsid w:val="005A2B9D"/>
    <w:rsid w:val="005A39AD"/>
    <w:rsid w:val="005A41EC"/>
    <w:rsid w:val="005A48B0"/>
    <w:rsid w:val="005B0060"/>
    <w:rsid w:val="005B1757"/>
    <w:rsid w:val="005B1805"/>
    <w:rsid w:val="005B19BC"/>
    <w:rsid w:val="005B1C42"/>
    <w:rsid w:val="005B1E85"/>
    <w:rsid w:val="005B2BF3"/>
    <w:rsid w:val="005B30A8"/>
    <w:rsid w:val="005B3182"/>
    <w:rsid w:val="005B3E0F"/>
    <w:rsid w:val="005B3EE6"/>
    <w:rsid w:val="005B3F42"/>
    <w:rsid w:val="005B4023"/>
    <w:rsid w:val="005B63A7"/>
    <w:rsid w:val="005B737E"/>
    <w:rsid w:val="005B7779"/>
    <w:rsid w:val="005B781F"/>
    <w:rsid w:val="005C0F30"/>
    <w:rsid w:val="005C14D0"/>
    <w:rsid w:val="005C1744"/>
    <w:rsid w:val="005C21A9"/>
    <w:rsid w:val="005C3A72"/>
    <w:rsid w:val="005C43E1"/>
    <w:rsid w:val="005C48BF"/>
    <w:rsid w:val="005C4D80"/>
    <w:rsid w:val="005C5560"/>
    <w:rsid w:val="005C6435"/>
    <w:rsid w:val="005D089A"/>
    <w:rsid w:val="005D1128"/>
    <w:rsid w:val="005D1A61"/>
    <w:rsid w:val="005D4C06"/>
    <w:rsid w:val="005D52DA"/>
    <w:rsid w:val="005D585A"/>
    <w:rsid w:val="005D63FD"/>
    <w:rsid w:val="005D6D94"/>
    <w:rsid w:val="005D711E"/>
    <w:rsid w:val="005D7B7B"/>
    <w:rsid w:val="005D7D92"/>
    <w:rsid w:val="005D7E91"/>
    <w:rsid w:val="005E0CF5"/>
    <w:rsid w:val="005E1034"/>
    <w:rsid w:val="005E12DB"/>
    <w:rsid w:val="005E1EB4"/>
    <w:rsid w:val="005E21F1"/>
    <w:rsid w:val="005E2649"/>
    <w:rsid w:val="005E3496"/>
    <w:rsid w:val="005E4F86"/>
    <w:rsid w:val="005E6605"/>
    <w:rsid w:val="005F00E5"/>
    <w:rsid w:val="005F0E3D"/>
    <w:rsid w:val="005F2FF6"/>
    <w:rsid w:val="005F3047"/>
    <w:rsid w:val="005F40CC"/>
    <w:rsid w:val="005F4C79"/>
    <w:rsid w:val="005F5118"/>
    <w:rsid w:val="005F608B"/>
    <w:rsid w:val="005F6696"/>
    <w:rsid w:val="00600DD3"/>
    <w:rsid w:val="00600EE1"/>
    <w:rsid w:val="0060110E"/>
    <w:rsid w:val="006025EE"/>
    <w:rsid w:val="00602DFE"/>
    <w:rsid w:val="00605608"/>
    <w:rsid w:val="00606214"/>
    <w:rsid w:val="0060684A"/>
    <w:rsid w:val="00607D76"/>
    <w:rsid w:val="006103A1"/>
    <w:rsid w:val="006111DF"/>
    <w:rsid w:val="006118A2"/>
    <w:rsid w:val="00615435"/>
    <w:rsid w:val="0061561B"/>
    <w:rsid w:val="0061607C"/>
    <w:rsid w:val="00616288"/>
    <w:rsid w:val="00616793"/>
    <w:rsid w:val="00616DBF"/>
    <w:rsid w:val="00617068"/>
    <w:rsid w:val="0061751F"/>
    <w:rsid w:val="00617E1B"/>
    <w:rsid w:val="006202A0"/>
    <w:rsid w:val="006217DF"/>
    <w:rsid w:val="0062229C"/>
    <w:rsid w:val="006226BA"/>
    <w:rsid w:val="00622817"/>
    <w:rsid w:val="00622B26"/>
    <w:rsid w:val="00623013"/>
    <w:rsid w:val="0062305F"/>
    <w:rsid w:val="006233DC"/>
    <w:rsid w:val="00623595"/>
    <w:rsid w:val="00624FDA"/>
    <w:rsid w:val="00626E4D"/>
    <w:rsid w:val="00627D8E"/>
    <w:rsid w:val="00627FF8"/>
    <w:rsid w:val="00630DBD"/>
    <w:rsid w:val="0063103A"/>
    <w:rsid w:val="006318A3"/>
    <w:rsid w:val="006336E3"/>
    <w:rsid w:val="00634035"/>
    <w:rsid w:val="00636F9F"/>
    <w:rsid w:val="00637DB5"/>
    <w:rsid w:val="0064310E"/>
    <w:rsid w:val="00644917"/>
    <w:rsid w:val="00644B03"/>
    <w:rsid w:val="00644E84"/>
    <w:rsid w:val="00647DA0"/>
    <w:rsid w:val="006501B4"/>
    <w:rsid w:val="00652499"/>
    <w:rsid w:val="00653DDE"/>
    <w:rsid w:val="00654361"/>
    <w:rsid w:val="00654BFA"/>
    <w:rsid w:val="006558C4"/>
    <w:rsid w:val="00655A9A"/>
    <w:rsid w:val="00655AED"/>
    <w:rsid w:val="00655B9A"/>
    <w:rsid w:val="00655F17"/>
    <w:rsid w:val="00656194"/>
    <w:rsid w:val="00657672"/>
    <w:rsid w:val="00657B43"/>
    <w:rsid w:val="00660537"/>
    <w:rsid w:val="0066093A"/>
    <w:rsid w:val="00660C3A"/>
    <w:rsid w:val="00661D58"/>
    <w:rsid w:val="0066209F"/>
    <w:rsid w:val="006624DD"/>
    <w:rsid w:val="00662A8F"/>
    <w:rsid w:val="00662BB6"/>
    <w:rsid w:val="006641F8"/>
    <w:rsid w:val="00665898"/>
    <w:rsid w:val="00665EF9"/>
    <w:rsid w:val="00665F94"/>
    <w:rsid w:val="00666C67"/>
    <w:rsid w:val="00670E12"/>
    <w:rsid w:val="00671331"/>
    <w:rsid w:val="0067166C"/>
    <w:rsid w:val="0067182E"/>
    <w:rsid w:val="00672A24"/>
    <w:rsid w:val="00674A04"/>
    <w:rsid w:val="0067636D"/>
    <w:rsid w:val="0067653E"/>
    <w:rsid w:val="00677046"/>
    <w:rsid w:val="00677A27"/>
    <w:rsid w:val="00681809"/>
    <w:rsid w:val="0068310A"/>
    <w:rsid w:val="00684662"/>
    <w:rsid w:val="006849FE"/>
    <w:rsid w:val="00686309"/>
    <w:rsid w:val="00686C18"/>
    <w:rsid w:val="0068746C"/>
    <w:rsid w:val="0069034E"/>
    <w:rsid w:val="006903F6"/>
    <w:rsid w:val="006908A1"/>
    <w:rsid w:val="00691088"/>
    <w:rsid w:val="006921E9"/>
    <w:rsid w:val="00692E90"/>
    <w:rsid w:val="006A01C8"/>
    <w:rsid w:val="006A312F"/>
    <w:rsid w:val="006A326B"/>
    <w:rsid w:val="006A38DE"/>
    <w:rsid w:val="006A42B1"/>
    <w:rsid w:val="006B0B3E"/>
    <w:rsid w:val="006B7074"/>
    <w:rsid w:val="006B7BC1"/>
    <w:rsid w:val="006C230D"/>
    <w:rsid w:val="006C270D"/>
    <w:rsid w:val="006C3211"/>
    <w:rsid w:val="006C3586"/>
    <w:rsid w:val="006C3941"/>
    <w:rsid w:val="006C4DE1"/>
    <w:rsid w:val="006C5E74"/>
    <w:rsid w:val="006C5F8E"/>
    <w:rsid w:val="006C668E"/>
    <w:rsid w:val="006C6A28"/>
    <w:rsid w:val="006C7BDD"/>
    <w:rsid w:val="006D03A5"/>
    <w:rsid w:val="006D2B27"/>
    <w:rsid w:val="006D34AB"/>
    <w:rsid w:val="006D374F"/>
    <w:rsid w:val="006D3ACE"/>
    <w:rsid w:val="006D6094"/>
    <w:rsid w:val="006D7237"/>
    <w:rsid w:val="006E1F28"/>
    <w:rsid w:val="006E22E7"/>
    <w:rsid w:val="006E5190"/>
    <w:rsid w:val="006E6082"/>
    <w:rsid w:val="006E6836"/>
    <w:rsid w:val="006E6920"/>
    <w:rsid w:val="006E76FA"/>
    <w:rsid w:val="006E796E"/>
    <w:rsid w:val="006F1908"/>
    <w:rsid w:val="006F287C"/>
    <w:rsid w:val="006F4EA0"/>
    <w:rsid w:val="006F6C6E"/>
    <w:rsid w:val="006F6D5D"/>
    <w:rsid w:val="006F6DE2"/>
    <w:rsid w:val="006F6EF3"/>
    <w:rsid w:val="006F7D8F"/>
    <w:rsid w:val="006F7E38"/>
    <w:rsid w:val="00700182"/>
    <w:rsid w:val="00700F0B"/>
    <w:rsid w:val="00701471"/>
    <w:rsid w:val="007021FF"/>
    <w:rsid w:val="007026B3"/>
    <w:rsid w:val="00702760"/>
    <w:rsid w:val="0070352F"/>
    <w:rsid w:val="00703CA7"/>
    <w:rsid w:val="007041B2"/>
    <w:rsid w:val="00704518"/>
    <w:rsid w:val="0070647E"/>
    <w:rsid w:val="00706D7E"/>
    <w:rsid w:val="007073F5"/>
    <w:rsid w:val="0071183D"/>
    <w:rsid w:val="0071270D"/>
    <w:rsid w:val="00712A0E"/>
    <w:rsid w:val="00712B00"/>
    <w:rsid w:val="007138FC"/>
    <w:rsid w:val="00713E6A"/>
    <w:rsid w:val="007141AF"/>
    <w:rsid w:val="0071441A"/>
    <w:rsid w:val="007147F4"/>
    <w:rsid w:val="00716338"/>
    <w:rsid w:val="00720B27"/>
    <w:rsid w:val="00720E97"/>
    <w:rsid w:val="00722508"/>
    <w:rsid w:val="007225B8"/>
    <w:rsid w:val="00722A67"/>
    <w:rsid w:val="0072382D"/>
    <w:rsid w:val="00724232"/>
    <w:rsid w:val="0072474D"/>
    <w:rsid w:val="00724836"/>
    <w:rsid w:val="007277FD"/>
    <w:rsid w:val="00727991"/>
    <w:rsid w:val="00731132"/>
    <w:rsid w:val="00731489"/>
    <w:rsid w:val="00732296"/>
    <w:rsid w:val="00732759"/>
    <w:rsid w:val="00732873"/>
    <w:rsid w:val="00733509"/>
    <w:rsid w:val="00733628"/>
    <w:rsid w:val="00733C13"/>
    <w:rsid w:val="0073400E"/>
    <w:rsid w:val="00734465"/>
    <w:rsid w:val="00734B37"/>
    <w:rsid w:val="00735435"/>
    <w:rsid w:val="00735C41"/>
    <w:rsid w:val="007403C9"/>
    <w:rsid w:val="007412F3"/>
    <w:rsid w:val="007425A8"/>
    <w:rsid w:val="007426BE"/>
    <w:rsid w:val="00742F40"/>
    <w:rsid w:val="00744F57"/>
    <w:rsid w:val="00745218"/>
    <w:rsid w:val="007452AC"/>
    <w:rsid w:val="00746C4F"/>
    <w:rsid w:val="00746DB2"/>
    <w:rsid w:val="00747C74"/>
    <w:rsid w:val="007506BF"/>
    <w:rsid w:val="00750B9C"/>
    <w:rsid w:val="00750EC3"/>
    <w:rsid w:val="00752548"/>
    <w:rsid w:val="00752DD4"/>
    <w:rsid w:val="007533B7"/>
    <w:rsid w:val="0075662B"/>
    <w:rsid w:val="00760234"/>
    <w:rsid w:val="00760BFF"/>
    <w:rsid w:val="00761779"/>
    <w:rsid w:val="007630E4"/>
    <w:rsid w:val="00764029"/>
    <w:rsid w:val="00764200"/>
    <w:rsid w:val="00764DD1"/>
    <w:rsid w:val="00764EDC"/>
    <w:rsid w:val="00765280"/>
    <w:rsid w:val="00766145"/>
    <w:rsid w:val="00766D73"/>
    <w:rsid w:val="00771336"/>
    <w:rsid w:val="00776450"/>
    <w:rsid w:val="00776F29"/>
    <w:rsid w:val="00780155"/>
    <w:rsid w:val="0078127E"/>
    <w:rsid w:val="00781A68"/>
    <w:rsid w:val="00782108"/>
    <w:rsid w:val="007826E1"/>
    <w:rsid w:val="00782A28"/>
    <w:rsid w:val="00790782"/>
    <w:rsid w:val="00790B98"/>
    <w:rsid w:val="007926B3"/>
    <w:rsid w:val="00792709"/>
    <w:rsid w:val="0079315D"/>
    <w:rsid w:val="00793D33"/>
    <w:rsid w:val="00793DF5"/>
    <w:rsid w:val="00794363"/>
    <w:rsid w:val="00794CEB"/>
    <w:rsid w:val="00796388"/>
    <w:rsid w:val="00796D42"/>
    <w:rsid w:val="00797AE5"/>
    <w:rsid w:val="007A0612"/>
    <w:rsid w:val="007A14CF"/>
    <w:rsid w:val="007A2BDF"/>
    <w:rsid w:val="007A3859"/>
    <w:rsid w:val="007A4567"/>
    <w:rsid w:val="007A46D3"/>
    <w:rsid w:val="007A5A8C"/>
    <w:rsid w:val="007A66D3"/>
    <w:rsid w:val="007A6C0F"/>
    <w:rsid w:val="007B0189"/>
    <w:rsid w:val="007B0CBC"/>
    <w:rsid w:val="007B104F"/>
    <w:rsid w:val="007B1B89"/>
    <w:rsid w:val="007B2110"/>
    <w:rsid w:val="007B2436"/>
    <w:rsid w:val="007B253A"/>
    <w:rsid w:val="007B3180"/>
    <w:rsid w:val="007B3DE9"/>
    <w:rsid w:val="007B4931"/>
    <w:rsid w:val="007B4E82"/>
    <w:rsid w:val="007B5438"/>
    <w:rsid w:val="007B5664"/>
    <w:rsid w:val="007B5A20"/>
    <w:rsid w:val="007C1A13"/>
    <w:rsid w:val="007C2444"/>
    <w:rsid w:val="007C48FA"/>
    <w:rsid w:val="007C6EF2"/>
    <w:rsid w:val="007C6F17"/>
    <w:rsid w:val="007D0ADB"/>
    <w:rsid w:val="007D18DE"/>
    <w:rsid w:val="007D2582"/>
    <w:rsid w:val="007D3149"/>
    <w:rsid w:val="007D33B6"/>
    <w:rsid w:val="007D3A12"/>
    <w:rsid w:val="007D5754"/>
    <w:rsid w:val="007D58B5"/>
    <w:rsid w:val="007D5A50"/>
    <w:rsid w:val="007D64E5"/>
    <w:rsid w:val="007D6798"/>
    <w:rsid w:val="007D6977"/>
    <w:rsid w:val="007E17B4"/>
    <w:rsid w:val="007E1ACF"/>
    <w:rsid w:val="007E2429"/>
    <w:rsid w:val="007E30CE"/>
    <w:rsid w:val="007E3371"/>
    <w:rsid w:val="007E4736"/>
    <w:rsid w:val="007E47F0"/>
    <w:rsid w:val="007E62B3"/>
    <w:rsid w:val="007E6BE8"/>
    <w:rsid w:val="007E7809"/>
    <w:rsid w:val="007F0008"/>
    <w:rsid w:val="007F0182"/>
    <w:rsid w:val="007F0F22"/>
    <w:rsid w:val="007F1638"/>
    <w:rsid w:val="007F17ED"/>
    <w:rsid w:val="007F2D6C"/>
    <w:rsid w:val="007F31A2"/>
    <w:rsid w:val="007F3B17"/>
    <w:rsid w:val="007F5509"/>
    <w:rsid w:val="007F607A"/>
    <w:rsid w:val="007F69B0"/>
    <w:rsid w:val="007F76CD"/>
    <w:rsid w:val="008005F2"/>
    <w:rsid w:val="008007E9"/>
    <w:rsid w:val="008011E4"/>
    <w:rsid w:val="00801CCE"/>
    <w:rsid w:val="00804B76"/>
    <w:rsid w:val="00806214"/>
    <w:rsid w:val="00807E91"/>
    <w:rsid w:val="00811B29"/>
    <w:rsid w:val="008129B1"/>
    <w:rsid w:val="008130D4"/>
    <w:rsid w:val="00813217"/>
    <w:rsid w:val="008136E8"/>
    <w:rsid w:val="00814278"/>
    <w:rsid w:val="00815A83"/>
    <w:rsid w:val="0081646E"/>
    <w:rsid w:val="0081763B"/>
    <w:rsid w:val="00820746"/>
    <w:rsid w:val="008221D2"/>
    <w:rsid w:val="008238D4"/>
    <w:rsid w:val="008247DD"/>
    <w:rsid w:val="00825B16"/>
    <w:rsid w:val="0083099F"/>
    <w:rsid w:val="008322E1"/>
    <w:rsid w:val="00832BF4"/>
    <w:rsid w:val="00833C55"/>
    <w:rsid w:val="0083492D"/>
    <w:rsid w:val="00836A47"/>
    <w:rsid w:val="008401C1"/>
    <w:rsid w:val="0084265F"/>
    <w:rsid w:val="0084295A"/>
    <w:rsid w:val="00843652"/>
    <w:rsid w:val="00844AE7"/>
    <w:rsid w:val="008462A3"/>
    <w:rsid w:val="008474DF"/>
    <w:rsid w:val="008510F1"/>
    <w:rsid w:val="00852889"/>
    <w:rsid w:val="00852936"/>
    <w:rsid w:val="008557B1"/>
    <w:rsid w:val="008557BA"/>
    <w:rsid w:val="00856149"/>
    <w:rsid w:val="0085677E"/>
    <w:rsid w:val="00857A02"/>
    <w:rsid w:val="00857D51"/>
    <w:rsid w:val="00857E75"/>
    <w:rsid w:val="0086083B"/>
    <w:rsid w:val="00860BC9"/>
    <w:rsid w:val="00860D7A"/>
    <w:rsid w:val="00861E5A"/>
    <w:rsid w:val="00862774"/>
    <w:rsid w:val="00863384"/>
    <w:rsid w:val="00865667"/>
    <w:rsid w:val="008667B8"/>
    <w:rsid w:val="0086688E"/>
    <w:rsid w:val="00866CE5"/>
    <w:rsid w:val="00871051"/>
    <w:rsid w:val="00871876"/>
    <w:rsid w:val="008718ED"/>
    <w:rsid w:val="00871FE5"/>
    <w:rsid w:val="00872BB7"/>
    <w:rsid w:val="00874810"/>
    <w:rsid w:val="00874A2B"/>
    <w:rsid w:val="00875B8A"/>
    <w:rsid w:val="0087761C"/>
    <w:rsid w:val="00877CFF"/>
    <w:rsid w:val="0088129B"/>
    <w:rsid w:val="008816E0"/>
    <w:rsid w:val="00881BCF"/>
    <w:rsid w:val="00881D8A"/>
    <w:rsid w:val="008827AA"/>
    <w:rsid w:val="00884025"/>
    <w:rsid w:val="008841BB"/>
    <w:rsid w:val="008857CA"/>
    <w:rsid w:val="008876DE"/>
    <w:rsid w:val="008902CE"/>
    <w:rsid w:val="0089192C"/>
    <w:rsid w:val="00892B04"/>
    <w:rsid w:val="00892D8C"/>
    <w:rsid w:val="008960D8"/>
    <w:rsid w:val="008965C7"/>
    <w:rsid w:val="00897A31"/>
    <w:rsid w:val="008A29A5"/>
    <w:rsid w:val="008A390F"/>
    <w:rsid w:val="008A3B62"/>
    <w:rsid w:val="008A4E14"/>
    <w:rsid w:val="008A6189"/>
    <w:rsid w:val="008B0410"/>
    <w:rsid w:val="008B042F"/>
    <w:rsid w:val="008B08E8"/>
    <w:rsid w:val="008B08F7"/>
    <w:rsid w:val="008B0D0F"/>
    <w:rsid w:val="008B142B"/>
    <w:rsid w:val="008B1F0C"/>
    <w:rsid w:val="008B2599"/>
    <w:rsid w:val="008B2A1E"/>
    <w:rsid w:val="008B3176"/>
    <w:rsid w:val="008B4EF7"/>
    <w:rsid w:val="008B6128"/>
    <w:rsid w:val="008B7568"/>
    <w:rsid w:val="008B7AC2"/>
    <w:rsid w:val="008B7AE0"/>
    <w:rsid w:val="008C00DF"/>
    <w:rsid w:val="008C2210"/>
    <w:rsid w:val="008C2FC8"/>
    <w:rsid w:val="008C59E9"/>
    <w:rsid w:val="008C6762"/>
    <w:rsid w:val="008C6EF5"/>
    <w:rsid w:val="008C7D37"/>
    <w:rsid w:val="008D082C"/>
    <w:rsid w:val="008D2CCE"/>
    <w:rsid w:val="008D4655"/>
    <w:rsid w:val="008D4FA6"/>
    <w:rsid w:val="008D5B09"/>
    <w:rsid w:val="008D6247"/>
    <w:rsid w:val="008D782C"/>
    <w:rsid w:val="008E0F09"/>
    <w:rsid w:val="008E21AE"/>
    <w:rsid w:val="008E21E1"/>
    <w:rsid w:val="008E2B65"/>
    <w:rsid w:val="008E312E"/>
    <w:rsid w:val="008E3628"/>
    <w:rsid w:val="008E38E3"/>
    <w:rsid w:val="008E4B01"/>
    <w:rsid w:val="008E4E95"/>
    <w:rsid w:val="008E6077"/>
    <w:rsid w:val="008E61FB"/>
    <w:rsid w:val="008E6E65"/>
    <w:rsid w:val="008F2134"/>
    <w:rsid w:val="008F2DDC"/>
    <w:rsid w:val="008F4A7E"/>
    <w:rsid w:val="008F583C"/>
    <w:rsid w:val="008F5EFD"/>
    <w:rsid w:val="008F654A"/>
    <w:rsid w:val="00900136"/>
    <w:rsid w:val="00900594"/>
    <w:rsid w:val="009008DC"/>
    <w:rsid w:val="00900D9E"/>
    <w:rsid w:val="00901C22"/>
    <w:rsid w:val="00903A79"/>
    <w:rsid w:val="009055D1"/>
    <w:rsid w:val="0090629E"/>
    <w:rsid w:val="009077A4"/>
    <w:rsid w:val="00907F9F"/>
    <w:rsid w:val="00910B7D"/>
    <w:rsid w:val="00910E5D"/>
    <w:rsid w:val="0091111E"/>
    <w:rsid w:val="00913102"/>
    <w:rsid w:val="00914BE7"/>
    <w:rsid w:val="00914C5C"/>
    <w:rsid w:val="0092141D"/>
    <w:rsid w:val="0092159A"/>
    <w:rsid w:val="009216D0"/>
    <w:rsid w:val="00921A26"/>
    <w:rsid w:val="00921DA4"/>
    <w:rsid w:val="00922896"/>
    <w:rsid w:val="00922DDB"/>
    <w:rsid w:val="00923AD8"/>
    <w:rsid w:val="009253B9"/>
    <w:rsid w:val="00925727"/>
    <w:rsid w:val="0092585F"/>
    <w:rsid w:val="0092593D"/>
    <w:rsid w:val="00927775"/>
    <w:rsid w:val="00927D09"/>
    <w:rsid w:val="00927E2F"/>
    <w:rsid w:val="009307F5"/>
    <w:rsid w:val="00933AF9"/>
    <w:rsid w:val="009375DD"/>
    <w:rsid w:val="00937C1C"/>
    <w:rsid w:val="00940A59"/>
    <w:rsid w:val="00941CD0"/>
    <w:rsid w:val="00942674"/>
    <w:rsid w:val="00944013"/>
    <w:rsid w:val="00945A90"/>
    <w:rsid w:val="00945AB6"/>
    <w:rsid w:val="00947165"/>
    <w:rsid w:val="00947220"/>
    <w:rsid w:val="009475E3"/>
    <w:rsid w:val="00947B7B"/>
    <w:rsid w:val="00951C6D"/>
    <w:rsid w:val="00952293"/>
    <w:rsid w:val="0095244B"/>
    <w:rsid w:val="00953ED0"/>
    <w:rsid w:val="00955012"/>
    <w:rsid w:val="00956081"/>
    <w:rsid w:val="009577D9"/>
    <w:rsid w:val="00957FC1"/>
    <w:rsid w:val="00962071"/>
    <w:rsid w:val="009665B7"/>
    <w:rsid w:val="0096676E"/>
    <w:rsid w:val="00966A39"/>
    <w:rsid w:val="00970561"/>
    <w:rsid w:val="00970E46"/>
    <w:rsid w:val="00971AC4"/>
    <w:rsid w:val="009723E6"/>
    <w:rsid w:val="00972DD1"/>
    <w:rsid w:val="0097320E"/>
    <w:rsid w:val="00974689"/>
    <w:rsid w:val="00976E71"/>
    <w:rsid w:val="0097753B"/>
    <w:rsid w:val="00980CC7"/>
    <w:rsid w:val="00981197"/>
    <w:rsid w:val="009830B6"/>
    <w:rsid w:val="009834AD"/>
    <w:rsid w:val="00984335"/>
    <w:rsid w:val="00985255"/>
    <w:rsid w:val="009876AB"/>
    <w:rsid w:val="00987C0D"/>
    <w:rsid w:val="0099020C"/>
    <w:rsid w:val="00991577"/>
    <w:rsid w:val="0099228B"/>
    <w:rsid w:val="009926AF"/>
    <w:rsid w:val="009926C6"/>
    <w:rsid w:val="0099275F"/>
    <w:rsid w:val="009941D8"/>
    <w:rsid w:val="0099569C"/>
    <w:rsid w:val="00995995"/>
    <w:rsid w:val="00996C6B"/>
    <w:rsid w:val="009973FC"/>
    <w:rsid w:val="009A08F0"/>
    <w:rsid w:val="009A0A9A"/>
    <w:rsid w:val="009A3189"/>
    <w:rsid w:val="009A494B"/>
    <w:rsid w:val="009B1A62"/>
    <w:rsid w:val="009B1AEF"/>
    <w:rsid w:val="009B2A1A"/>
    <w:rsid w:val="009B3B1B"/>
    <w:rsid w:val="009B5138"/>
    <w:rsid w:val="009B5E28"/>
    <w:rsid w:val="009B7CBD"/>
    <w:rsid w:val="009B7E5F"/>
    <w:rsid w:val="009C0295"/>
    <w:rsid w:val="009C0FFB"/>
    <w:rsid w:val="009C209A"/>
    <w:rsid w:val="009C2280"/>
    <w:rsid w:val="009C23F5"/>
    <w:rsid w:val="009C264A"/>
    <w:rsid w:val="009C2C76"/>
    <w:rsid w:val="009C3882"/>
    <w:rsid w:val="009C38FD"/>
    <w:rsid w:val="009C3AEF"/>
    <w:rsid w:val="009C4736"/>
    <w:rsid w:val="009C5CDA"/>
    <w:rsid w:val="009C65B9"/>
    <w:rsid w:val="009C6DB0"/>
    <w:rsid w:val="009C75F2"/>
    <w:rsid w:val="009C7BA0"/>
    <w:rsid w:val="009C7DD7"/>
    <w:rsid w:val="009C7E11"/>
    <w:rsid w:val="009D10AB"/>
    <w:rsid w:val="009D1AA9"/>
    <w:rsid w:val="009D2BAF"/>
    <w:rsid w:val="009D35F9"/>
    <w:rsid w:val="009D4C9E"/>
    <w:rsid w:val="009D54DD"/>
    <w:rsid w:val="009D57E4"/>
    <w:rsid w:val="009D6D5F"/>
    <w:rsid w:val="009D6E58"/>
    <w:rsid w:val="009D7AA3"/>
    <w:rsid w:val="009E147A"/>
    <w:rsid w:val="009E1622"/>
    <w:rsid w:val="009E1A15"/>
    <w:rsid w:val="009E47F1"/>
    <w:rsid w:val="009E496B"/>
    <w:rsid w:val="009E5B1E"/>
    <w:rsid w:val="009E5D4F"/>
    <w:rsid w:val="009E6706"/>
    <w:rsid w:val="009F069C"/>
    <w:rsid w:val="009F0976"/>
    <w:rsid w:val="009F2E39"/>
    <w:rsid w:val="009F414B"/>
    <w:rsid w:val="009F484E"/>
    <w:rsid w:val="009F64D1"/>
    <w:rsid w:val="009F6B1D"/>
    <w:rsid w:val="00A02227"/>
    <w:rsid w:val="00A022FE"/>
    <w:rsid w:val="00A05700"/>
    <w:rsid w:val="00A05906"/>
    <w:rsid w:val="00A11571"/>
    <w:rsid w:val="00A124FB"/>
    <w:rsid w:val="00A12A3C"/>
    <w:rsid w:val="00A1301C"/>
    <w:rsid w:val="00A14C1E"/>
    <w:rsid w:val="00A161C7"/>
    <w:rsid w:val="00A1726D"/>
    <w:rsid w:val="00A20DEE"/>
    <w:rsid w:val="00A2339E"/>
    <w:rsid w:val="00A234AE"/>
    <w:rsid w:val="00A23BA1"/>
    <w:rsid w:val="00A23F94"/>
    <w:rsid w:val="00A24203"/>
    <w:rsid w:val="00A247DB"/>
    <w:rsid w:val="00A248D0"/>
    <w:rsid w:val="00A24EFD"/>
    <w:rsid w:val="00A26983"/>
    <w:rsid w:val="00A26CAF"/>
    <w:rsid w:val="00A27386"/>
    <w:rsid w:val="00A3112F"/>
    <w:rsid w:val="00A31DC0"/>
    <w:rsid w:val="00A33551"/>
    <w:rsid w:val="00A34C3D"/>
    <w:rsid w:val="00A35116"/>
    <w:rsid w:val="00A3542B"/>
    <w:rsid w:val="00A371E3"/>
    <w:rsid w:val="00A37B10"/>
    <w:rsid w:val="00A4043F"/>
    <w:rsid w:val="00A4166C"/>
    <w:rsid w:val="00A436C4"/>
    <w:rsid w:val="00A444D8"/>
    <w:rsid w:val="00A44C8A"/>
    <w:rsid w:val="00A50310"/>
    <w:rsid w:val="00A50450"/>
    <w:rsid w:val="00A5113B"/>
    <w:rsid w:val="00A511D2"/>
    <w:rsid w:val="00A5148D"/>
    <w:rsid w:val="00A51EB1"/>
    <w:rsid w:val="00A5208A"/>
    <w:rsid w:val="00A52CAD"/>
    <w:rsid w:val="00A545C2"/>
    <w:rsid w:val="00A548D7"/>
    <w:rsid w:val="00A54BF9"/>
    <w:rsid w:val="00A54D87"/>
    <w:rsid w:val="00A60C82"/>
    <w:rsid w:val="00A61A64"/>
    <w:rsid w:val="00A64296"/>
    <w:rsid w:val="00A6491B"/>
    <w:rsid w:val="00A64F9D"/>
    <w:rsid w:val="00A65927"/>
    <w:rsid w:val="00A66550"/>
    <w:rsid w:val="00A66702"/>
    <w:rsid w:val="00A669FF"/>
    <w:rsid w:val="00A66A99"/>
    <w:rsid w:val="00A66ABB"/>
    <w:rsid w:val="00A66B27"/>
    <w:rsid w:val="00A66BF4"/>
    <w:rsid w:val="00A67B77"/>
    <w:rsid w:val="00A7092C"/>
    <w:rsid w:val="00A710D9"/>
    <w:rsid w:val="00A7271B"/>
    <w:rsid w:val="00A72A5C"/>
    <w:rsid w:val="00A72B3A"/>
    <w:rsid w:val="00A7424F"/>
    <w:rsid w:val="00A75FDE"/>
    <w:rsid w:val="00A7664D"/>
    <w:rsid w:val="00A802E2"/>
    <w:rsid w:val="00A81550"/>
    <w:rsid w:val="00A8184C"/>
    <w:rsid w:val="00A81935"/>
    <w:rsid w:val="00A82382"/>
    <w:rsid w:val="00A82F30"/>
    <w:rsid w:val="00A8322E"/>
    <w:rsid w:val="00A84681"/>
    <w:rsid w:val="00A84882"/>
    <w:rsid w:val="00A84BC6"/>
    <w:rsid w:val="00A850F1"/>
    <w:rsid w:val="00A85DE7"/>
    <w:rsid w:val="00A93A59"/>
    <w:rsid w:val="00A961E6"/>
    <w:rsid w:val="00A96532"/>
    <w:rsid w:val="00A9699A"/>
    <w:rsid w:val="00A9705C"/>
    <w:rsid w:val="00AA0CD0"/>
    <w:rsid w:val="00AA1887"/>
    <w:rsid w:val="00AA3005"/>
    <w:rsid w:val="00AA61ED"/>
    <w:rsid w:val="00AA659B"/>
    <w:rsid w:val="00AA6727"/>
    <w:rsid w:val="00AA6DC5"/>
    <w:rsid w:val="00AA758F"/>
    <w:rsid w:val="00AB16CD"/>
    <w:rsid w:val="00AB1767"/>
    <w:rsid w:val="00AB178F"/>
    <w:rsid w:val="00AB2669"/>
    <w:rsid w:val="00AB2F58"/>
    <w:rsid w:val="00AB5DFC"/>
    <w:rsid w:val="00AB607D"/>
    <w:rsid w:val="00AB6195"/>
    <w:rsid w:val="00AB6CB1"/>
    <w:rsid w:val="00AB7901"/>
    <w:rsid w:val="00AC0CB4"/>
    <w:rsid w:val="00AC1837"/>
    <w:rsid w:val="00AC1A0F"/>
    <w:rsid w:val="00AC2951"/>
    <w:rsid w:val="00AC3A5F"/>
    <w:rsid w:val="00AC3FC3"/>
    <w:rsid w:val="00AC43DD"/>
    <w:rsid w:val="00AC4FF1"/>
    <w:rsid w:val="00AC58AE"/>
    <w:rsid w:val="00AC58CA"/>
    <w:rsid w:val="00AC601A"/>
    <w:rsid w:val="00AC6364"/>
    <w:rsid w:val="00AC6730"/>
    <w:rsid w:val="00AC6A36"/>
    <w:rsid w:val="00AC7104"/>
    <w:rsid w:val="00AC7309"/>
    <w:rsid w:val="00AC7550"/>
    <w:rsid w:val="00AC76D8"/>
    <w:rsid w:val="00AC7805"/>
    <w:rsid w:val="00AD2E5F"/>
    <w:rsid w:val="00AD3933"/>
    <w:rsid w:val="00AD4889"/>
    <w:rsid w:val="00AD518F"/>
    <w:rsid w:val="00AD5430"/>
    <w:rsid w:val="00AD6CA2"/>
    <w:rsid w:val="00AE08D9"/>
    <w:rsid w:val="00AE28E3"/>
    <w:rsid w:val="00AE3679"/>
    <w:rsid w:val="00AE40B4"/>
    <w:rsid w:val="00AE4486"/>
    <w:rsid w:val="00AE5B47"/>
    <w:rsid w:val="00AE5BEE"/>
    <w:rsid w:val="00AE6039"/>
    <w:rsid w:val="00AE6F30"/>
    <w:rsid w:val="00AF0982"/>
    <w:rsid w:val="00AF1E69"/>
    <w:rsid w:val="00AF1FBE"/>
    <w:rsid w:val="00AF2492"/>
    <w:rsid w:val="00AF33C3"/>
    <w:rsid w:val="00AF33C4"/>
    <w:rsid w:val="00AF3CFD"/>
    <w:rsid w:val="00AF486B"/>
    <w:rsid w:val="00AF53E7"/>
    <w:rsid w:val="00AF56BF"/>
    <w:rsid w:val="00AF5DFC"/>
    <w:rsid w:val="00AF5FBB"/>
    <w:rsid w:val="00AF687E"/>
    <w:rsid w:val="00AF7B50"/>
    <w:rsid w:val="00AF7DB3"/>
    <w:rsid w:val="00B00D7B"/>
    <w:rsid w:val="00B00EF3"/>
    <w:rsid w:val="00B02F0A"/>
    <w:rsid w:val="00B03870"/>
    <w:rsid w:val="00B04217"/>
    <w:rsid w:val="00B04489"/>
    <w:rsid w:val="00B045B5"/>
    <w:rsid w:val="00B04868"/>
    <w:rsid w:val="00B0549A"/>
    <w:rsid w:val="00B057FC"/>
    <w:rsid w:val="00B07105"/>
    <w:rsid w:val="00B0734F"/>
    <w:rsid w:val="00B104E5"/>
    <w:rsid w:val="00B11006"/>
    <w:rsid w:val="00B111A0"/>
    <w:rsid w:val="00B11F26"/>
    <w:rsid w:val="00B12211"/>
    <w:rsid w:val="00B125B6"/>
    <w:rsid w:val="00B13B1B"/>
    <w:rsid w:val="00B145D8"/>
    <w:rsid w:val="00B14F0D"/>
    <w:rsid w:val="00B14F92"/>
    <w:rsid w:val="00B15A40"/>
    <w:rsid w:val="00B15B22"/>
    <w:rsid w:val="00B16D8E"/>
    <w:rsid w:val="00B1785A"/>
    <w:rsid w:val="00B20D19"/>
    <w:rsid w:val="00B22348"/>
    <w:rsid w:val="00B22EC3"/>
    <w:rsid w:val="00B23DAC"/>
    <w:rsid w:val="00B24082"/>
    <w:rsid w:val="00B2647F"/>
    <w:rsid w:val="00B266D7"/>
    <w:rsid w:val="00B26ADA"/>
    <w:rsid w:val="00B3206E"/>
    <w:rsid w:val="00B326C9"/>
    <w:rsid w:val="00B3326E"/>
    <w:rsid w:val="00B33494"/>
    <w:rsid w:val="00B3559C"/>
    <w:rsid w:val="00B355ED"/>
    <w:rsid w:val="00B370EA"/>
    <w:rsid w:val="00B37886"/>
    <w:rsid w:val="00B37E9F"/>
    <w:rsid w:val="00B40570"/>
    <w:rsid w:val="00B40CEB"/>
    <w:rsid w:val="00B4191E"/>
    <w:rsid w:val="00B433CA"/>
    <w:rsid w:val="00B4478C"/>
    <w:rsid w:val="00B459B0"/>
    <w:rsid w:val="00B4666C"/>
    <w:rsid w:val="00B476B1"/>
    <w:rsid w:val="00B47BD4"/>
    <w:rsid w:val="00B50795"/>
    <w:rsid w:val="00B50FDC"/>
    <w:rsid w:val="00B52D61"/>
    <w:rsid w:val="00B52FB4"/>
    <w:rsid w:val="00B5322D"/>
    <w:rsid w:val="00B54D33"/>
    <w:rsid w:val="00B578F1"/>
    <w:rsid w:val="00B57A84"/>
    <w:rsid w:val="00B611A6"/>
    <w:rsid w:val="00B6152C"/>
    <w:rsid w:val="00B62C94"/>
    <w:rsid w:val="00B64C3F"/>
    <w:rsid w:val="00B65237"/>
    <w:rsid w:val="00B65418"/>
    <w:rsid w:val="00B6580D"/>
    <w:rsid w:val="00B65FC4"/>
    <w:rsid w:val="00B6673F"/>
    <w:rsid w:val="00B67E30"/>
    <w:rsid w:val="00B67FAC"/>
    <w:rsid w:val="00B70F1C"/>
    <w:rsid w:val="00B73B25"/>
    <w:rsid w:val="00B77B4F"/>
    <w:rsid w:val="00B80165"/>
    <w:rsid w:val="00B80458"/>
    <w:rsid w:val="00B81AD0"/>
    <w:rsid w:val="00B82098"/>
    <w:rsid w:val="00B82643"/>
    <w:rsid w:val="00B83A42"/>
    <w:rsid w:val="00B840EA"/>
    <w:rsid w:val="00B85FFD"/>
    <w:rsid w:val="00B863DC"/>
    <w:rsid w:val="00B86522"/>
    <w:rsid w:val="00B86A35"/>
    <w:rsid w:val="00B87079"/>
    <w:rsid w:val="00B87678"/>
    <w:rsid w:val="00B87CDF"/>
    <w:rsid w:val="00B90A33"/>
    <w:rsid w:val="00B91540"/>
    <w:rsid w:val="00B921BC"/>
    <w:rsid w:val="00B926C7"/>
    <w:rsid w:val="00B9386C"/>
    <w:rsid w:val="00B9459E"/>
    <w:rsid w:val="00B945A2"/>
    <w:rsid w:val="00B95C75"/>
    <w:rsid w:val="00B96F38"/>
    <w:rsid w:val="00B97663"/>
    <w:rsid w:val="00BA0FC7"/>
    <w:rsid w:val="00BA3A7D"/>
    <w:rsid w:val="00BA4F2F"/>
    <w:rsid w:val="00BA7753"/>
    <w:rsid w:val="00BA79A9"/>
    <w:rsid w:val="00BB1A12"/>
    <w:rsid w:val="00BB1B69"/>
    <w:rsid w:val="00BB38B5"/>
    <w:rsid w:val="00BB58AA"/>
    <w:rsid w:val="00BB7F82"/>
    <w:rsid w:val="00BC0190"/>
    <w:rsid w:val="00BC070F"/>
    <w:rsid w:val="00BC0B72"/>
    <w:rsid w:val="00BC0C0D"/>
    <w:rsid w:val="00BC197D"/>
    <w:rsid w:val="00BC19C7"/>
    <w:rsid w:val="00BC254F"/>
    <w:rsid w:val="00BC45B0"/>
    <w:rsid w:val="00BC51F4"/>
    <w:rsid w:val="00BC571C"/>
    <w:rsid w:val="00BC5BF8"/>
    <w:rsid w:val="00BC60BB"/>
    <w:rsid w:val="00BC64EC"/>
    <w:rsid w:val="00BC6CF1"/>
    <w:rsid w:val="00BC7203"/>
    <w:rsid w:val="00BC756D"/>
    <w:rsid w:val="00BD049F"/>
    <w:rsid w:val="00BD094A"/>
    <w:rsid w:val="00BD0FAA"/>
    <w:rsid w:val="00BD1371"/>
    <w:rsid w:val="00BD15CA"/>
    <w:rsid w:val="00BD2FE2"/>
    <w:rsid w:val="00BD4B67"/>
    <w:rsid w:val="00BD6AC0"/>
    <w:rsid w:val="00BE0BED"/>
    <w:rsid w:val="00BE10AE"/>
    <w:rsid w:val="00BE1C1C"/>
    <w:rsid w:val="00BE3DD5"/>
    <w:rsid w:val="00BE60E6"/>
    <w:rsid w:val="00BE6786"/>
    <w:rsid w:val="00BE7BBC"/>
    <w:rsid w:val="00BF067E"/>
    <w:rsid w:val="00BF09BE"/>
    <w:rsid w:val="00BF100D"/>
    <w:rsid w:val="00BF15F6"/>
    <w:rsid w:val="00BF27A8"/>
    <w:rsid w:val="00BF40B5"/>
    <w:rsid w:val="00BF5796"/>
    <w:rsid w:val="00BF5889"/>
    <w:rsid w:val="00BF7190"/>
    <w:rsid w:val="00C01E14"/>
    <w:rsid w:val="00C023AD"/>
    <w:rsid w:val="00C0319F"/>
    <w:rsid w:val="00C0367B"/>
    <w:rsid w:val="00C04C88"/>
    <w:rsid w:val="00C04D5D"/>
    <w:rsid w:val="00C05C6F"/>
    <w:rsid w:val="00C06B5C"/>
    <w:rsid w:val="00C06CE2"/>
    <w:rsid w:val="00C06E40"/>
    <w:rsid w:val="00C079C8"/>
    <w:rsid w:val="00C1124F"/>
    <w:rsid w:val="00C11A58"/>
    <w:rsid w:val="00C124DC"/>
    <w:rsid w:val="00C14E2B"/>
    <w:rsid w:val="00C15670"/>
    <w:rsid w:val="00C156C6"/>
    <w:rsid w:val="00C15AAC"/>
    <w:rsid w:val="00C16D22"/>
    <w:rsid w:val="00C1798D"/>
    <w:rsid w:val="00C179C5"/>
    <w:rsid w:val="00C21B45"/>
    <w:rsid w:val="00C21EE4"/>
    <w:rsid w:val="00C23114"/>
    <w:rsid w:val="00C234C6"/>
    <w:rsid w:val="00C239A6"/>
    <w:rsid w:val="00C23D32"/>
    <w:rsid w:val="00C23E82"/>
    <w:rsid w:val="00C24EA4"/>
    <w:rsid w:val="00C26F13"/>
    <w:rsid w:val="00C26F50"/>
    <w:rsid w:val="00C270B6"/>
    <w:rsid w:val="00C27293"/>
    <w:rsid w:val="00C309E6"/>
    <w:rsid w:val="00C30C87"/>
    <w:rsid w:val="00C31E76"/>
    <w:rsid w:val="00C325A8"/>
    <w:rsid w:val="00C34763"/>
    <w:rsid w:val="00C353D9"/>
    <w:rsid w:val="00C367D9"/>
    <w:rsid w:val="00C3682A"/>
    <w:rsid w:val="00C37161"/>
    <w:rsid w:val="00C40230"/>
    <w:rsid w:val="00C40739"/>
    <w:rsid w:val="00C40B89"/>
    <w:rsid w:val="00C413AE"/>
    <w:rsid w:val="00C4185C"/>
    <w:rsid w:val="00C41953"/>
    <w:rsid w:val="00C42B6B"/>
    <w:rsid w:val="00C43A43"/>
    <w:rsid w:val="00C4748E"/>
    <w:rsid w:val="00C510CE"/>
    <w:rsid w:val="00C52755"/>
    <w:rsid w:val="00C53ABF"/>
    <w:rsid w:val="00C53CCC"/>
    <w:rsid w:val="00C53D0C"/>
    <w:rsid w:val="00C55144"/>
    <w:rsid w:val="00C557AA"/>
    <w:rsid w:val="00C56953"/>
    <w:rsid w:val="00C60659"/>
    <w:rsid w:val="00C61B7B"/>
    <w:rsid w:val="00C61B9C"/>
    <w:rsid w:val="00C62498"/>
    <w:rsid w:val="00C64A39"/>
    <w:rsid w:val="00C65FA1"/>
    <w:rsid w:val="00C6621A"/>
    <w:rsid w:val="00C662A2"/>
    <w:rsid w:val="00C6783E"/>
    <w:rsid w:val="00C67DF0"/>
    <w:rsid w:val="00C71958"/>
    <w:rsid w:val="00C725AB"/>
    <w:rsid w:val="00C72AEB"/>
    <w:rsid w:val="00C72C4C"/>
    <w:rsid w:val="00C7340D"/>
    <w:rsid w:val="00C742BD"/>
    <w:rsid w:val="00C74D82"/>
    <w:rsid w:val="00C7593A"/>
    <w:rsid w:val="00C765C6"/>
    <w:rsid w:val="00C812D7"/>
    <w:rsid w:val="00C814B5"/>
    <w:rsid w:val="00C81D70"/>
    <w:rsid w:val="00C82EFB"/>
    <w:rsid w:val="00C835D3"/>
    <w:rsid w:val="00C83C3C"/>
    <w:rsid w:val="00C83EE7"/>
    <w:rsid w:val="00C845BA"/>
    <w:rsid w:val="00C85397"/>
    <w:rsid w:val="00C86920"/>
    <w:rsid w:val="00C8772C"/>
    <w:rsid w:val="00C87AD2"/>
    <w:rsid w:val="00C90AA4"/>
    <w:rsid w:val="00C90DBD"/>
    <w:rsid w:val="00C910F7"/>
    <w:rsid w:val="00C942B3"/>
    <w:rsid w:val="00C9442B"/>
    <w:rsid w:val="00C97586"/>
    <w:rsid w:val="00CA0661"/>
    <w:rsid w:val="00CA1A28"/>
    <w:rsid w:val="00CA21FF"/>
    <w:rsid w:val="00CA2919"/>
    <w:rsid w:val="00CA2CB4"/>
    <w:rsid w:val="00CA612F"/>
    <w:rsid w:val="00CA66AF"/>
    <w:rsid w:val="00CA6BF5"/>
    <w:rsid w:val="00CA6DB7"/>
    <w:rsid w:val="00CB0BC6"/>
    <w:rsid w:val="00CB1B22"/>
    <w:rsid w:val="00CB20F0"/>
    <w:rsid w:val="00CB3358"/>
    <w:rsid w:val="00CB393E"/>
    <w:rsid w:val="00CB65E8"/>
    <w:rsid w:val="00CB6FE9"/>
    <w:rsid w:val="00CB72B4"/>
    <w:rsid w:val="00CB7915"/>
    <w:rsid w:val="00CB7D6B"/>
    <w:rsid w:val="00CC0773"/>
    <w:rsid w:val="00CC12B0"/>
    <w:rsid w:val="00CC1512"/>
    <w:rsid w:val="00CC244D"/>
    <w:rsid w:val="00CC4EF8"/>
    <w:rsid w:val="00CC5806"/>
    <w:rsid w:val="00CC64C4"/>
    <w:rsid w:val="00CC785A"/>
    <w:rsid w:val="00CC7BE7"/>
    <w:rsid w:val="00CD0C4F"/>
    <w:rsid w:val="00CD14D5"/>
    <w:rsid w:val="00CD1686"/>
    <w:rsid w:val="00CD2206"/>
    <w:rsid w:val="00CD41B7"/>
    <w:rsid w:val="00CD5E7A"/>
    <w:rsid w:val="00CD6A4B"/>
    <w:rsid w:val="00CD6B8A"/>
    <w:rsid w:val="00CD792A"/>
    <w:rsid w:val="00CD7A12"/>
    <w:rsid w:val="00CE02C2"/>
    <w:rsid w:val="00CE03CC"/>
    <w:rsid w:val="00CE09E9"/>
    <w:rsid w:val="00CE1B5D"/>
    <w:rsid w:val="00CE2096"/>
    <w:rsid w:val="00CE2A5B"/>
    <w:rsid w:val="00CE3366"/>
    <w:rsid w:val="00CE365A"/>
    <w:rsid w:val="00CE3FBA"/>
    <w:rsid w:val="00CE4F78"/>
    <w:rsid w:val="00CE6370"/>
    <w:rsid w:val="00CE6EE7"/>
    <w:rsid w:val="00CE7369"/>
    <w:rsid w:val="00CF04C4"/>
    <w:rsid w:val="00CF1046"/>
    <w:rsid w:val="00CF2F08"/>
    <w:rsid w:val="00CF4921"/>
    <w:rsid w:val="00CF5A7B"/>
    <w:rsid w:val="00CF699A"/>
    <w:rsid w:val="00CF7339"/>
    <w:rsid w:val="00D00C3D"/>
    <w:rsid w:val="00D02704"/>
    <w:rsid w:val="00D028B5"/>
    <w:rsid w:val="00D036C2"/>
    <w:rsid w:val="00D03D25"/>
    <w:rsid w:val="00D04555"/>
    <w:rsid w:val="00D04B27"/>
    <w:rsid w:val="00D04CF9"/>
    <w:rsid w:val="00D053F4"/>
    <w:rsid w:val="00D0544E"/>
    <w:rsid w:val="00D065BD"/>
    <w:rsid w:val="00D107B1"/>
    <w:rsid w:val="00D10DB2"/>
    <w:rsid w:val="00D119B9"/>
    <w:rsid w:val="00D121C6"/>
    <w:rsid w:val="00D12C89"/>
    <w:rsid w:val="00D130E2"/>
    <w:rsid w:val="00D13CFC"/>
    <w:rsid w:val="00D14570"/>
    <w:rsid w:val="00D14C70"/>
    <w:rsid w:val="00D16033"/>
    <w:rsid w:val="00D160C6"/>
    <w:rsid w:val="00D173CF"/>
    <w:rsid w:val="00D20D59"/>
    <w:rsid w:val="00D219F9"/>
    <w:rsid w:val="00D21D8B"/>
    <w:rsid w:val="00D2224D"/>
    <w:rsid w:val="00D23070"/>
    <w:rsid w:val="00D23F01"/>
    <w:rsid w:val="00D25B2A"/>
    <w:rsid w:val="00D2700E"/>
    <w:rsid w:val="00D271C6"/>
    <w:rsid w:val="00D27524"/>
    <w:rsid w:val="00D30939"/>
    <w:rsid w:val="00D33971"/>
    <w:rsid w:val="00D34603"/>
    <w:rsid w:val="00D35229"/>
    <w:rsid w:val="00D35693"/>
    <w:rsid w:val="00D35B40"/>
    <w:rsid w:val="00D367BF"/>
    <w:rsid w:val="00D415F9"/>
    <w:rsid w:val="00D423AD"/>
    <w:rsid w:val="00D42A56"/>
    <w:rsid w:val="00D43164"/>
    <w:rsid w:val="00D43B71"/>
    <w:rsid w:val="00D45F22"/>
    <w:rsid w:val="00D46CFE"/>
    <w:rsid w:val="00D50520"/>
    <w:rsid w:val="00D519BF"/>
    <w:rsid w:val="00D5221D"/>
    <w:rsid w:val="00D537D1"/>
    <w:rsid w:val="00D5424E"/>
    <w:rsid w:val="00D54413"/>
    <w:rsid w:val="00D54E22"/>
    <w:rsid w:val="00D54EFB"/>
    <w:rsid w:val="00D577E0"/>
    <w:rsid w:val="00D57925"/>
    <w:rsid w:val="00D60B5C"/>
    <w:rsid w:val="00D62018"/>
    <w:rsid w:val="00D658FB"/>
    <w:rsid w:val="00D669C4"/>
    <w:rsid w:val="00D66AF9"/>
    <w:rsid w:val="00D67413"/>
    <w:rsid w:val="00D70CC2"/>
    <w:rsid w:val="00D72815"/>
    <w:rsid w:val="00D73523"/>
    <w:rsid w:val="00D74815"/>
    <w:rsid w:val="00D76349"/>
    <w:rsid w:val="00D76C09"/>
    <w:rsid w:val="00D80723"/>
    <w:rsid w:val="00D808CD"/>
    <w:rsid w:val="00D80939"/>
    <w:rsid w:val="00D80FF3"/>
    <w:rsid w:val="00D81A76"/>
    <w:rsid w:val="00D8266D"/>
    <w:rsid w:val="00D84CAF"/>
    <w:rsid w:val="00D84F4F"/>
    <w:rsid w:val="00D850A2"/>
    <w:rsid w:val="00D85C0E"/>
    <w:rsid w:val="00D860EA"/>
    <w:rsid w:val="00D906D3"/>
    <w:rsid w:val="00D90B4B"/>
    <w:rsid w:val="00D90F7A"/>
    <w:rsid w:val="00D91030"/>
    <w:rsid w:val="00D939A3"/>
    <w:rsid w:val="00D94064"/>
    <w:rsid w:val="00D94204"/>
    <w:rsid w:val="00D95246"/>
    <w:rsid w:val="00D95FB6"/>
    <w:rsid w:val="00D97A8C"/>
    <w:rsid w:val="00D97CDC"/>
    <w:rsid w:val="00DA061C"/>
    <w:rsid w:val="00DA0F01"/>
    <w:rsid w:val="00DA1982"/>
    <w:rsid w:val="00DA1B5A"/>
    <w:rsid w:val="00DA2E6E"/>
    <w:rsid w:val="00DA387B"/>
    <w:rsid w:val="00DA3D00"/>
    <w:rsid w:val="00DA3EC9"/>
    <w:rsid w:val="00DA57F4"/>
    <w:rsid w:val="00DA6EAE"/>
    <w:rsid w:val="00DA7F6F"/>
    <w:rsid w:val="00DB078A"/>
    <w:rsid w:val="00DB2999"/>
    <w:rsid w:val="00DB35EE"/>
    <w:rsid w:val="00DB3FF9"/>
    <w:rsid w:val="00DB5BAD"/>
    <w:rsid w:val="00DB6572"/>
    <w:rsid w:val="00DB69B6"/>
    <w:rsid w:val="00DC1F35"/>
    <w:rsid w:val="00DC255A"/>
    <w:rsid w:val="00DC35A8"/>
    <w:rsid w:val="00DC49AA"/>
    <w:rsid w:val="00DC5648"/>
    <w:rsid w:val="00DC71AE"/>
    <w:rsid w:val="00DD04E2"/>
    <w:rsid w:val="00DD092E"/>
    <w:rsid w:val="00DD098C"/>
    <w:rsid w:val="00DD0D74"/>
    <w:rsid w:val="00DD13BB"/>
    <w:rsid w:val="00DD3C87"/>
    <w:rsid w:val="00DD486D"/>
    <w:rsid w:val="00DD5C61"/>
    <w:rsid w:val="00DD6B03"/>
    <w:rsid w:val="00DD7199"/>
    <w:rsid w:val="00DD7E46"/>
    <w:rsid w:val="00DD7E51"/>
    <w:rsid w:val="00DE067D"/>
    <w:rsid w:val="00DE1D31"/>
    <w:rsid w:val="00DE2945"/>
    <w:rsid w:val="00DE2BE9"/>
    <w:rsid w:val="00DE3BF6"/>
    <w:rsid w:val="00DE41CE"/>
    <w:rsid w:val="00DE44F4"/>
    <w:rsid w:val="00DE5510"/>
    <w:rsid w:val="00DE71C4"/>
    <w:rsid w:val="00DE7ACB"/>
    <w:rsid w:val="00DE7E88"/>
    <w:rsid w:val="00DF0BFA"/>
    <w:rsid w:val="00DF1C1E"/>
    <w:rsid w:val="00DF4161"/>
    <w:rsid w:val="00DF4B52"/>
    <w:rsid w:val="00DF555B"/>
    <w:rsid w:val="00DF5C5F"/>
    <w:rsid w:val="00DF7329"/>
    <w:rsid w:val="00E0315E"/>
    <w:rsid w:val="00E049B6"/>
    <w:rsid w:val="00E0557A"/>
    <w:rsid w:val="00E05B55"/>
    <w:rsid w:val="00E05D40"/>
    <w:rsid w:val="00E05F05"/>
    <w:rsid w:val="00E06CEC"/>
    <w:rsid w:val="00E073BC"/>
    <w:rsid w:val="00E076C7"/>
    <w:rsid w:val="00E07C35"/>
    <w:rsid w:val="00E11223"/>
    <w:rsid w:val="00E11B38"/>
    <w:rsid w:val="00E120FB"/>
    <w:rsid w:val="00E139B5"/>
    <w:rsid w:val="00E15C2F"/>
    <w:rsid w:val="00E15E85"/>
    <w:rsid w:val="00E15F9B"/>
    <w:rsid w:val="00E167D4"/>
    <w:rsid w:val="00E21DDF"/>
    <w:rsid w:val="00E22955"/>
    <w:rsid w:val="00E22C2C"/>
    <w:rsid w:val="00E22DED"/>
    <w:rsid w:val="00E22EB6"/>
    <w:rsid w:val="00E24609"/>
    <w:rsid w:val="00E2572F"/>
    <w:rsid w:val="00E32485"/>
    <w:rsid w:val="00E3274E"/>
    <w:rsid w:val="00E32C47"/>
    <w:rsid w:val="00E32F83"/>
    <w:rsid w:val="00E3408D"/>
    <w:rsid w:val="00E34D83"/>
    <w:rsid w:val="00E3544E"/>
    <w:rsid w:val="00E36B1A"/>
    <w:rsid w:val="00E36E93"/>
    <w:rsid w:val="00E36F6A"/>
    <w:rsid w:val="00E40AD0"/>
    <w:rsid w:val="00E41572"/>
    <w:rsid w:val="00E44227"/>
    <w:rsid w:val="00E451F1"/>
    <w:rsid w:val="00E456D7"/>
    <w:rsid w:val="00E46872"/>
    <w:rsid w:val="00E470C3"/>
    <w:rsid w:val="00E50E59"/>
    <w:rsid w:val="00E51FFA"/>
    <w:rsid w:val="00E53610"/>
    <w:rsid w:val="00E54B00"/>
    <w:rsid w:val="00E54F7A"/>
    <w:rsid w:val="00E55FDB"/>
    <w:rsid w:val="00E56995"/>
    <w:rsid w:val="00E56DC0"/>
    <w:rsid w:val="00E601D8"/>
    <w:rsid w:val="00E61E0F"/>
    <w:rsid w:val="00E63473"/>
    <w:rsid w:val="00E63C28"/>
    <w:rsid w:val="00E64C2A"/>
    <w:rsid w:val="00E672A5"/>
    <w:rsid w:val="00E67A79"/>
    <w:rsid w:val="00E70BE3"/>
    <w:rsid w:val="00E71BD4"/>
    <w:rsid w:val="00E73532"/>
    <w:rsid w:val="00E73D3B"/>
    <w:rsid w:val="00E7412F"/>
    <w:rsid w:val="00E74343"/>
    <w:rsid w:val="00E758ED"/>
    <w:rsid w:val="00E76200"/>
    <w:rsid w:val="00E80DCB"/>
    <w:rsid w:val="00E81003"/>
    <w:rsid w:val="00E823DA"/>
    <w:rsid w:val="00E842EB"/>
    <w:rsid w:val="00E85970"/>
    <w:rsid w:val="00E87423"/>
    <w:rsid w:val="00E87837"/>
    <w:rsid w:val="00E90AFD"/>
    <w:rsid w:val="00E90C86"/>
    <w:rsid w:val="00E91164"/>
    <w:rsid w:val="00E939AB"/>
    <w:rsid w:val="00E95BC0"/>
    <w:rsid w:val="00E960F1"/>
    <w:rsid w:val="00E965D3"/>
    <w:rsid w:val="00E97B3F"/>
    <w:rsid w:val="00E97C54"/>
    <w:rsid w:val="00EA0109"/>
    <w:rsid w:val="00EA0427"/>
    <w:rsid w:val="00EA1103"/>
    <w:rsid w:val="00EA16F3"/>
    <w:rsid w:val="00EA1A80"/>
    <w:rsid w:val="00EA1CDA"/>
    <w:rsid w:val="00EA262A"/>
    <w:rsid w:val="00EA291D"/>
    <w:rsid w:val="00EA2B53"/>
    <w:rsid w:val="00EA5C6F"/>
    <w:rsid w:val="00EA72AB"/>
    <w:rsid w:val="00EA7557"/>
    <w:rsid w:val="00EA7C19"/>
    <w:rsid w:val="00EA7C9C"/>
    <w:rsid w:val="00EB2715"/>
    <w:rsid w:val="00EB3459"/>
    <w:rsid w:val="00EB3F7D"/>
    <w:rsid w:val="00EB3FE0"/>
    <w:rsid w:val="00EB48A0"/>
    <w:rsid w:val="00EB49E8"/>
    <w:rsid w:val="00EB5528"/>
    <w:rsid w:val="00EB590B"/>
    <w:rsid w:val="00EB5BF1"/>
    <w:rsid w:val="00EB7D45"/>
    <w:rsid w:val="00EC0E2C"/>
    <w:rsid w:val="00EC1425"/>
    <w:rsid w:val="00EC1F53"/>
    <w:rsid w:val="00EC29DF"/>
    <w:rsid w:val="00EC2E49"/>
    <w:rsid w:val="00EC31F3"/>
    <w:rsid w:val="00EC4BFB"/>
    <w:rsid w:val="00EC4C91"/>
    <w:rsid w:val="00EC62B9"/>
    <w:rsid w:val="00EC6C31"/>
    <w:rsid w:val="00EC7C71"/>
    <w:rsid w:val="00ED1B15"/>
    <w:rsid w:val="00ED306B"/>
    <w:rsid w:val="00ED34E9"/>
    <w:rsid w:val="00ED3A51"/>
    <w:rsid w:val="00ED4720"/>
    <w:rsid w:val="00ED4741"/>
    <w:rsid w:val="00ED4B28"/>
    <w:rsid w:val="00ED4FFB"/>
    <w:rsid w:val="00ED6721"/>
    <w:rsid w:val="00ED7601"/>
    <w:rsid w:val="00EE2914"/>
    <w:rsid w:val="00EE5F49"/>
    <w:rsid w:val="00EE65A4"/>
    <w:rsid w:val="00EE6BE8"/>
    <w:rsid w:val="00EE6FD7"/>
    <w:rsid w:val="00EE7907"/>
    <w:rsid w:val="00EE7C08"/>
    <w:rsid w:val="00EF117B"/>
    <w:rsid w:val="00EF12BE"/>
    <w:rsid w:val="00EF1C7B"/>
    <w:rsid w:val="00EF3207"/>
    <w:rsid w:val="00EF34C0"/>
    <w:rsid w:val="00EF3C22"/>
    <w:rsid w:val="00EF3C4F"/>
    <w:rsid w:val="00EF415C"/>
    <w:rsid w:val="00EF53C8"/>
    <w:rsid w:val="00EF5416"/>
    <w:rsid w:val="00EF56FC"/>
    <w:rsid w:val="00EF645D"/>
    <w:rsid w:val="00EF713E"/>
    <w:rsid w:val="00EF76EE"/>
    <w:rsid w:val="00F00B13"/>
    <w:rsid w:val="00F00D11"/>
    <w:rsid w:val="00F0137C"/>
    <w:rsid w:val="00F019A0"/>
    <w:rsid w:val="00F03A52"/>
    <w:rsid w:val="00F047BC"/>
    <w:rsid w:val="00F04C18"/>
    <w:rsid w:val="00F054AF"/>
    <w:rsid w:val="00F07339"/>
    <w:rsid w:val="00F07DDA"/>
    <w:rsid w:val="00F102D7"/>
    <w:rsid w:val="00F107E3"/>
    <w:rsid w:val="00F12849"/>
    <w:rsid w:val="00F12FB0"/>
    <w:rsid w:val="00F13D01"/>
    <w:rsid w:val="00F14005"/>
    <w:rsid w:val="00F14AC6"/>
    <w:rsid w:val="00F155E4"/>
    <w:rsid w:val="00F2113E"/>
    <w:rsid w:val="00F223E0"/>
    <w:rsid w:val="00F22A44"/>
    <w:rsid w:val="00F23242"/>
    <w:rsid w:val="00F23D57"/>
    <w:rsid w:val="00F25E4A"/>
    <w:rsid w:val="00F26810"/>
    <w:rsid w:val="00F26BC1"/>
    <w:rsid w:val="00F27868"/>
    <w:rsid w:val="00F3153A"/>
    <w:rsid w:val="00F3213E"/>
    <w:rsid w:val="00F32B9F"/>
    <w:rsid w:val="00F34CE6"/>
    <w:rsid w:val="00F34DE4"/>
    <w:rsid w:val="00F35561"/>
    <w:rsid w:val="00F40449"/>
    <w:rsid w:val="00F405F6"/>
    <w:rsid w:val="00F40814"/>
    <w:rsid w:val="00F4126D"/>
    <w:rsid w:val="00F429B1"/>
    <w:rsid w:val="00F42D6F"/>
    <w:rsid w:val="00F440E8"/>
    <w:rsid w:val="00F45B6E"/>
    <w:rsid w:val="00F465F8"/>
    <w:rsid w:val="00F46FE1"/>
    <w:rsid w:val="00F47315"/>
    <w:rsid w:val="00F54983"/>
    <w:rsid w:val="00F54E74"/>
    <w:rsid w:val="00F55EE9"/>
    <w:rsid w:val="00F62C5E"/>
    <w:rsid w:val="00F631CB"/>
    <w:rsid w:val="00F64F2F"/>
    <w:rsid w:val="00F64F87"/>
    <w:rsid w:val="00F7039B"/>
    <w:rsid w:val="00F705B7"/>
    <w:rsid w:val="00F706E6"/>
    <w:rsid w:val="00F710F3"/>
    <w:rsid w:val="00F726B7"/>
    <w:rsid w:val="00F73B69"/>
    <w:rsid w:val="00F76A85"/>
    <w:rsid w:val="00F779C5"/>
    <w:rsid w:val="00F8096C"/>
    <w:rsid w:val="00F80E40"/>
    <w:rsid w:val="00F8197C"/>
    <w:rsid w:val="00F82C20"/>
    <w:rsid w:val="00F848C4"/>
    <w:rsid w:val="00F90DF8"/>
    <w:rsid w:val="00F91FEA"/>
    <w:rsid w:val="00F9201D"/>
    <w:rsid w:val="00F9238C"/>
    <w:rsid w:val="00F92B33"/>
    <w:rsid w:val="00F92D11"/>
    <w:rsid w:val="00F93808"/>
    <w:rsid w:val="00F946DA"/>
    <w:rsid w:val="00F94870"/>
    <w:rsid w:val="00F96B74"/>
    <w:rsid w:val="00F97220"/>
    <w:rsid w:val="00F97E8B"/>
    <w:rsid w:val="00FA0D53"/>
    <w:rsid w:val="00FA14C5"/>
    <w:rsid w:val="00FA19B3"/>
    <w:rsid w:val="00FA25A3"/>
    <w:rsid w:val="00FA2885"/>
    <w:rsid w:val="00FA3680"/>
    <w:rsid w:val="00FA3CE5"/>
    <w:rsid w:val="00FA407D"/>
    <w:rsid w:val="00FA4191"/>
    <w:rsid w:val="00FA4F7D"/>
    <w:rsid w:val="00FA75AF"/>
    <w:rsid w:val="00FA7696"/>
    <w:rsid w:val="00FB00BC"/>
    <w:rsid w:val="00FB00D5"/>
    <w:rsid w:val="00FB07D6"/>
    <w:rsid w:val="00FB0957"/>
    <w:rsid w:val="00FB1DE7"/>
    <w:rsid w:val="00FB1FDC"/>
    <w:rsid w:val="00FB23D0"/>
    <w:rsid w:val="00FB2D06"/>
    <w:rsid w:val="00FB393E"/>
    <w:rsid w:val="00FB4ADB"/>
    <w:rsid w:val="00FB4F9C"/>
    <w:rsid w:val="00FB5EDB"/>
    <w:rsid w:val="00FB7204"/>
    <w:rsid w:val="00FB7A97"/>
    <w:rsid w:val="00FB7C0A"/>
    <w:rsid w:val="00FB7E6F"/>
    <w:rsid w:val="00FC1854"/>
    <w:rsid w:val="00FC3487"/>
    <w:rsid w:val="00FC3AF0"/>
    <w:rsid w:val="00FC68E4"/>
    <w:rsid w:val="00FC77DF"/>
    <w:rsid w:val="00FC79F5"/>
    <w:rsid w:val="00FD084A"/>
    <w:rsid w:val="00FD0F4C"/>
    <w:rsid w:val="00FD10D5"/>
    <w:rsid w:val="00FD215D"/>
    <w:rsid w:val="00FD2D5A"/>
    <w:rsid w:val="00FD335E"/>
    <w:rsid w:val="00FD3725"/>
    <w:rsid w:val="00FD5C32"/>
    <w:rsid w:val="00FD64FD"/>
    <w:rsid w:val="00FD6C61"/>
    <w:rsid w:val="00FE1198"/>
    <w:rsid w:val="00FE1EDD"/>
    <w:rsid w:val="00FE28D3"/>
    <w:rsid w:val="00FE2B1F"/>
    <w:rsid w:val="00FE2B58"/>
    <w:rsid w:val="00FE33AB"/>
    <w:rsid w:val="00FE4856"/>
    <w:rsid w:val="00FE54BF"/>
    <w:rsid w:val="00FE743C"/>
    <w:rsid w:val="00FF028A"/>
    <w:rsid w:val="00FF18B1"/>
    <w:rsid w:val="00FF25FE"/>
    <w:rsid w:val="00FF4181"/>
    <w:rsid w:val="00FF5965"/>
    <w:rsid w:val="00FF5A15"/>
    <w:rsid w:val="00FF5E59"/>
    <w:rsid w:val="01343B8E"/>
    <w:rsid w:val="02CA1187"/>
    <w:rsid w:val="0322D226"/>
    <w:rsid w:val="0327D4B4"/>
    <w:rsid w:val="032A0818"/>
    <w:rsid w:val="04ACBD7C"/>
    <w:rsid w:val="058EB133"/>
    <w:rsid w:val="05CB6CF7"/>
    <w:rsid w:val="05CC927C"/>
    <w:rsid w:val="0709DEEA"/>
    <w:rsid w:val="08021222"/>
    <w:rsid w:val="09442324"/>
    <w:rsid w:val="0948480D"/>
    <w:rsid w:val="0A2BEDDD"/>
    <w:rsid w:val="0ACDFD17"/>
    <w:rsid w:val="0BC4F7D6"/>
    <w:rsid w:val="0BEA54EC"/>
    <w:rsid w:val="0D39F056"/>
    <w:rsid w:val="0E002939"/>
    <w:rsid w:val="0E6EBF4D"/>
    <w:rsid w:val="0E8E5004"/>
    <w:rsid w:val="0EBB042A"/>
    <w:rsid w:val="0F8EC0D7"/>
    <w:rsid w:val="13054E6F"/>
    <w:rsid w:val="152511A1"/>
    <w:rsid w:val="15E3BE44"/>
    <w:rsid w:val="15F76D7D"/>
    <w:rsid w:val="17946A24"/>
    <w:rsid w:val="17D4BFA8"/>
    <w:rsid w:val="19785660"/>
    <w:rsid w:val="1A3B87EC"/>
    <w:rsid w:val="1C4BAAAD"/>
    <w:rsid w:val="1CB198CE"/>
    <w:rsid w:val="1DD23DB6"/>
    <w:rsid w:val="1E555C56"/>
    <w:rsid w:val="1E9E4D2F"/>
    <w:rsid w:val="1EE6D27D"/>
    <w:rsid w:val="1F56884B"/>
    <w:rsid w:val="20217A17"/>
    <w:rsid w:val="2154B790"/>
    <w:rsid w:val="216B4B7B"/>
    <w:rsid w:val="21C692FC"/>
    <w:rsid w:val="21FD5995"/>
    <w:rsid w:val="22153B62"/>
    <w:rsid w:val="225BD13B"/>
    <w:rsid w:val="23FF6F21"/>
    <w:rsid w:val="2500DDE8"/>
    <w:rsid w:val="26A0977D"/>
    <w:rsid w:val="26ECE476"/>
    <w:rsid w:val="27A17837"/>
    <w:rsid w:val="284CA5A8"/>
    <w:rsid w:val="28738305"/>
    <w:rsid w:val="28A76ADC"/>
    <w:rsid w:val="28EBF79B"/>
    <w:rsid w:val="293B9476"/>
    <w:rsid w:val="295E8CD2"/>
    <w:rsid w:val="29F4F90E"/>
    <w:rsid w:val="2B9365F9"/>
    <w:rsid w:val="2BB2EA5B"/>
    <w:rsid w:val="2C674953"/>
    <w:rsid w:val="2C67F9EE"/>
    <w:rsid w:val="2D11EE5D"/>
    <w:rsid w:val="2EB58D75"/>
    <w:rsid w:val="2F03C1D7"/>
    <w:rsid w:val="302F24C0"/>
    <w:rsid w:val="30A09BAC"/>
    <w:rsid w:val="31730643"/>
    <w:rsid w:val="31A91585"/>
    <w:rsid w:val="3203C549"/>
    <w:rsid w:val="32717601"/>
    <w:rsid w:val="33EE837E"/>
    <w:rsid w:val="34E05F17"/>
    <w:rsid w:val="34E1AB03"/>
    <w:rsid w:val="35C100B8"/>
    <w:rsid w:val="35CC3B95"/>
    <w:rsid w:val="35E1E50E"/>
    <w:rsid w:val="36453695"/>
    <w:rsid w:val="3668360E"/>
    <w:rsid w:val="36BE6F11"/>
    <w:rsid w:val="36DEF3D8"/>
    <w:rsid w:val="38C6C7BA"/>
    <w:rsid w:val="3945E375"/>
    <w:rsid w:val="39731618"/>
    <w:rsid w:val="3A2DE48B"/>
    <w:rsid w:val="3A393AB1"/>
    <w:rsid w:val="3A6E5900"/>
    <w:rsid w:val="3AAF4E4E"/>
    <w:rsid w:val="3B82E0FC"/>
    <w:rsid w:val="3D8FF31E"/>
    <w:rsid w:val="3DFF1279"/>
    <w:rsid w:val="3F4FA842"/>
    <w:rsid w:val="3FF3FC25"/>
    <w:rsid w:val="4146AD81"/>
    <w:rsid w:val="4149C1DC"/>
    <w:rsid w:val="42C7014A"/>
    <w:rsid w:val="42DF68A3"/>
    <w:rsid w:val="43806970"/>
    <w:rsid w:val="43F90793"/>
    <w:rsid w:val="45126C00"/>
    <w:rsid w:val="46BC6A66"/>
    <w:rsid w:val="4836C9A2"/>
    <w:rsid w:val="48A2A968"/>
    <w:rsid w:val="48C08E34"/>
    <w:rsid w:val="4A782821"/>
    <w:rsid w:val="4DE9EE6A"/>
    <w:rsid w:val="4E4CEA4D"/>
    <w:rsid w:val="4F3EF06B"/>
    <w:rsid w:val="4F7C4DC9"/>
    <w:rsid w:val="4FCDA005"/>
    <w:rsid w:val="4FF80348"/>
    <w:rsid w:val="5026FDC7"/>
    <w:rsid w:val="50B111E3"/>
    <w:rsid w:val="51DB204D"/>
    <w:rsid w:val="5216CD62"/>
    <w:rsid w:val="5338DDBD"/>
    <w:rsid w:val="5385A64A"/>
    <w:rsid w:val="54B86527"/>
    <w:rsid w:val="54DF5847"/>
    <w:rsid w:val="55601293"/>
    <w:rsid w:val="556507CB"/>
    <w:rsid w:val="560CBB9D"/>
    <w:rsid w:val="5643DBD4"/>
    <w:rsid w:val="56FA5967"/>
    <w:rsid w:val="57C710AC"/>
    <w:rsid w:val="583BD8ED"/>
    <w:rsid w:val="5A3F2E8A"/>
    <w:rsid w:val="5ADAAA26"/>
    <w:rsid w:val="5AF6875F"/>
    <w:rsid w:val="5BB20F5F"/>
    <w:rsid w:val="5D318504"/>
    <w:rsid w:val="5D80A9C6"/>
    <w:rsid w:val="5DAC036F"/>
    <w:rsid w:val="5EE0C9A4"/>
    <w:rsid w:val="5FA0023D"/>
    <w:rsid w:val="617E42A6"/>
    <w:rsid w:val="622C9B41"/>
    <w:rsid w:val="638F9793"/>
    <w:rsid w:val="63C92186"/>
    <w:rsid w:val="63D33278"/>
    <w:rsid w:val="64DEEBB9"/>
    <w:rsid w:val="65DA70DA"/>
    <w:rsid w:val="65F5318E"/>
    <w:rsid w:val="6654D01F"/>
    <w:rsid w:val="66F3A489"/>
    <w:rsid w:val="679B2E05"/>
    <w:rsid w:val="685D1D50"/>
    <w:rsid w:val="6893C73B"/>
    <w:rsid w:val="69AFD469"/>
    <w:rsid w:val="6A2E62ED"/>
    <w:rsid w:val="6B697931"/>
    <w:rsid w:val="6D6FC202"/>
    <w:rsid w:val="6E1014E9"/>
    <w:rsid w:val="6ED134E4"/>
    <w:rsid w:val="6EDCBBB8"/>
    <w:rsid w:val="6F2C13D1"/>
    <w:rsid w:val="6F686653"/>
    <w:rsid w:val="7089B204"/>
    <w:rsid w:val="7256DA56"/>
    <w:rsid w:val="729E2B13"/>
    <w:rsid w:val="729E5CFF"/>
    <w:rsid w:val="73949494"/>
    <w:rsid w:val="7399877C"/>
    <w:rsid w:val="73B92581"/>
    <w:rsid w:val="747ED2DC"/>
    <w:rsid w:val="76A7627A"/>
    <w:rsid w:val="76FBF755"/>
    <w:rsid w:val="77EC79F8"/>
    <w:rsid w:val="78875B57"/>
    <w:rsid w:val="790C9A36"/>
    <w:rsid w:val="795E874F"/>
    <w:rsid w:val="79CC6F26"/>
    <w:rsid w:val="7A2FAE9D"/>
    <w:rsid w:val="7A96EF09"/>
    <w:rsid w:val="7CFAC55D"/>
    <w:rsid w:val="7D59BE55"/>
    <w:rsid w:val="7DB5B285"/>
    <w:rsid w:val="7E6FC728"/>
    <w:rsid w:val="7EFDC3D2"/>
    <w:rsid w:val="7F1715A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6046"/>
  <w15:docId w15:val="{E106BC20-6BB6-44E7-B8E6-0E4B6BB4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F48"/>
  </w:style>
  <w:style w:type="paragraph" w:styleId="Ttulo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uiPriority w:val="9"/>
    <w:semiHidden/>
    <w:unhideWhenUsed/>
    <w:qFormat/>
    <w:pPr>
      <w:outlineLvl w:val="1"/>
    </w:pPr>
    <w:rPr>
      <w:b/>
      <w:sz w:val="36"/>
      <w:szCs w:val="3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Footnote Text Char,Footnote Text Char Char Char Char,Footnote Text Char Char Char Char Char Char Char Char,Footnote Text Char Char Char Char Char Char1,Footnote Text Char Char Char Char Char Char Char1,Footnote reference,FA Fu,FA,Car"/>
    <w:basedOn w:val="Normal"/>
    <w:link w:val="TextonotapieCar"/>
    <w:uiPriority w:val="99"/>
    <w:unhideWhenUsed/>
    <w:qFormat/>
    <w:rsid w:val="00132EDB"/>
    <w:rPr>
      <w:sz w:val="20"/>
      <w:szCs w:val="20"/>
      <w:lang w:val="es-CO" w:eastAsia="es-MX"/>
    </w:r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nil"/>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aliases w:val="Colorful List - Accent 11,Ha,List Paragraph1,lp1,List Paragraph2,Lista vistosa - Énfasis 11,Párrafo,Numbered Paragraph,Bullets,titulo 3,BOLADEF,BOLA,Párrafo de lista21,Guión,Titulo 8,HOJA,Chulito,Párrafo de lista3,MIBEX B,Normal1,List1"/>
    <w:basedOn w:val="Normal"/>
    <w:link w:val="PrrafodelistaCar"/>
    <w:uiPriority w:val="34"/>
    <w:qFormat/>
    <w:rsid w:val="00E50E59"/>
    <w:pPr>
      <w:ind w:left="720"/>
      <w:contextualSpacing/>
    </w:pPr>
  </w:style>
  <w:style w:type="paragraph" w:styleId="Revisin">
    <w:name w:val="Revision"/>
    <w:hidden/>
    <w:uiPriority w:val="99"/>
    <w:semiHidden/>
    <w:rsid w:val="001F066D"/>
  </w:style>
  <w:style w:type="paragraph" w:styleId="Asuntodelcomentario">
    <w:name w:val="annotation subject"/>
    <w:basedOn w:val="Textocomentario"/>
    <w:next w:val="Textocomentario"/>
    <w:link w:val="AsuntodelcomentarioCar"/>
    <w:uiPriority w:val="99"/>
    <w:semiHidden/>
    <w:unhideWhenUsed/>
    <w:rsid w:val="001F066D"/>
    <w:rPr>
      <w:b/>
      <w:bCs/>
    </w:rPr>
  </w:style>
  <w:style w:type="character" w:customStyle="1" w:styleId="AsuntodelcomentarioCar">
    <w:name w:val="Asunto del comentario Car"/>
    <w:basedOn w:val="TextocomentarioCar"/>
    <w:link w:val="Asuntodelcomentario"/>
    <w:uiPriority w:val="99"/>
    <w:semiHidden/>
    <w:rsid w:val="001F066D"/>
    <w:rPr>
      <w:b/>
      <w:bCs/>
      <w:sz w:val="20"/>
      <w:szCs w:val="20"/>
    </w:rPr>
  </w:style>
  <w:style w:type="paragraph" w:styleId="Encabezado">
    <w:name w:val="header"/>
    <w:basedOn w:val="Normal"/>
    <w:link w:val="EncabezadoCar"/>
    <w:uiPriority w:val="99"/>
    <w:unhideWhenUsed/>
    <w:rsid w:val="005B1805"/>
    <w:pPr>
      <w:tabs>
        <w:tab w:val="center" w:pos="4419"/>
        <w:tab w:val="right" w:pos="8838"/>
      </w:tabs>
    </w:pPr>
  </w:style>
  <w:style w:type="character" w:customStyle="1" w:styleId="EncabezadoCar">
    <w:name w:val="Encabezado Car"/>
    <w:basedOn w:val="Fuentedeprrafopredeter"/>
    <w:link w:val="Encabezado"/>
    <w:uiPriority w:val="99"/>
    <w:rsid w:val="005B1805"/>
  </w:style>
  <w:style w:type="paragraph" w:styleId="Piedepgina">
    <w:name w:val="footer"/>
    <w:basedOn w:val="Normal"/>
    <w:link w:val="PiedepginaCar"/>
    <w:uiPriority w:val="99"/>
    <w:unhideWhenUsed/>
    <w:rsid w:val="005B1805"/>
    <w:pPr>
      <w:tabs>
        <w:tab w:val="center" w:pos="4419"/>
        <w:tab w:val="right" w:pos="8838"/>
      </w:tabs>
    </w:pPr>
  </w:style>
  <w:style w:type="character" w:customStyle="1" w:styleId="PiedepginaCar">
    <w:name w:val="Pie de página Car"/>
    <w:basedOn w:val="Fuentedeprrafopredeter"/>
    <w:link w:val="Piedepgina"/>
    <w:uiPriority w:val="99"/>
    <w:rsid w:val="005B1805"/>
  </w:style>
  <w:style w:type="table" w:customStyle="1" w:styleId="TableNormal1">
    <w:name w:val="Table Normal1"/>
    <w:rsid w:val="005B1805"/>
    <w:tblPr>
      <w:tblCellMar>
        <w:top w:w="0" w:type="dxa"/>
        <w:left w:w="0" w:type="dxa"/>
        <w:bottom w:w="0" w:type="dxa"/>
        <w:right w:w="0" w:type="dxa"/>
      </w:tblCellMar>
    </w:tblPr>
  </w:style>
  <w:style w:type="character" w:customStyle="1" w:styleId="TextonotapieCar">
    <w:name w:val="Texto nota pie Car"/>
    <w:aliases w:val=" Car Car,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qFormat/>
    <w:rsid w:val="00132EDB"/>
    <w:rPr>
      <w:sz w:val="20"/>
      <w:szCs w:val="20"/>
      <w:lang w:val="es-CO" w:eastAsia="es-MX"/>
    </w:rPr>
  </w:style>
  <w:style w:type="character" w:styleId="Refdenotaalpie">
    <w:name w:val="footnote reference"/>
    <w:aliases w:val="Texto de nota al pie,Appel note de bas de page,Ref. de nota al pie 2,referencia nota al pie,BVI fnr,Footnote symbol,Footnote,Ref. de nota al pie2,Nota de pie,Ref,de nota al pie,Pie de pagina,Ref. ...,Ref1,FC,Footnotes refss,f,4_G,F,R"/>
    <w:basedOn w:val="Fuentedeprrafopredeter"/>
    <w:link w:val="4GChar"/>
    <w:uiPriority w:val="99"/>
    <w:unhideWhenUsed/>
    <w:qFormat/>
    <w:rsid w:val="00132EDB"/>
    <w:rPr>
      <w:vertAlign w:val="superscript"/>
    </w:rPr>
  </w:style>
  <w:style w:type="table" w:styleId="Tablaconcuadrcula">
    <w:name w:val="Table Grid"/>
    <w:basedOn w:val="Tablanormal"/>
    <w:uiPriority w:val="39"/>
    <w:qFormat/>
    <w:rsid w:val="00132E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olorful List - Accent 11 Car,Ha Car,List Paragraph1 Car,lp1 Car,List Paragraph2 Car,Lista vistosa - Énfasis 11 Car,Párrafo Car,Numbered Paragraph Car,Bullets Car,titulo 3 Car,BOLADEF Car,BOLA Car,Párrafo de lista21 Car,Guión Car"/>
    <w:link w:val="Prrafodelista"/>
    <w:uiPriority w:val="34"/>
    <w:qFormat/>
    <w:locked/>
    <w:rsid w:val="00132EDB"/>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32EDB"/>
    <w:pPr>
      <w:jc w:val="both"/>
    </w:pPr>
    <w:rPr>
      <w:vertAlign w:val="superscript"/>
    </w:rPr>
  </w:style>
  <w:style w:type="character" w:customStyle="1" w:styleId="Mencionar1">
    <w:name w:val="Mencionar1"/>
    <w:basedOn w:val="Fuentedeprrafopredeter"/>
    <w:uiPriority w:val="99"/>
    <w:unhideWhenUsed/>
    <w:rsid w:val="00CD14D5"/>
    <w:rPr>
      <w:color w:val="2B579A"/>
      <w:shd w:val="clear" w:color="auto" w:fill="E1DFDD"/>
    </w:rPr>
  </w:style>
  <w:style w:type="character" w:customStyle="1" w:styleId="normaltextrun">
    <w:name w:val="normaltextrun"/>
    <w:basedOn w:val="Fuentedeprrafopredeter"/>
    <w:rsid w:val="00910E5D"/>
  </w:style>
  <w:style w:type="character" w:customStyle="1" w:styleId="eop">
    <w:name w:val="eop"/>
    <w:basedOn w:val="Fuentedeprrafopredeter"/>
    <w:rsid w:val="00521534"/>
  </w:style>
  <w:style w:type="paragraph" w:customStyle="1" w:styleId="paragraph">
    <w:name w:val="paragraph"/>
    <w:basedOn w:val="Normal"/>
    <w:rsid w:val="000A3F23"/>
    <w:pPr>
      <w:spacing w:before="100" w:beforeAutospacing="1" w:after="100" w:afterAutospacing="1"/>
    </w:pPr>
    <w:rPr>
      <w:lang w:val="es-CO" w:eastAsia="es-MX"/>
    </w:rPr>
  </w:style>
  <w:style w:type="paragraph" w:styleId="Descripcin">
    <w:name w:val="caption"/>
    <w:basedOn w:val="Normal"/>
    <w:next w:val="Normal"/>
    <w:uiPriority w:val="35"/>
    <w:unhideWhenUsed/>
    <w:qFormat/>
    <w:rsid w:val="00811B29"/>
    <w:pPr>
      <w:spacing w:after="200"/>
    </w:pPr>
    <w:rPr>
      <w:i/>
      <w:iCs/>
      <w:color w:val="1F497D" w:themeColor="text2"/>
      <w:sz w:val="18"/>
      <w:szCs w:val="18"/>
    </w:rPr>
  </w:style>
  <w:style w:type="character" w:styleId="Hipervnculo">
    <w:name w:val="Hyperlink"/>
    <w:basedOn w:val="Fuentedeprrafopredeter"/>
    <w:uiPriority w:val="99"/>
    <w:unhideWhenUsed/>
    <w:rsid w:val="00073643"/>
    <w:rPr>
      <w:color w:val="0000FF" w:themeColor="hyperlink"/>
      <w:u w:val="single"/>
    </w:rPr>
  </w:style>
  <w:style w:type="character" w:customStyle="1" w:styleId="Mencinsinresolver1">
    <w:name w:val="Mención sin resolver1"/>
    <w:basedOn w:val="Fuentedeprrafopredeter"/>
    <w:uiPriority w:val="99"/>
    <w:semiHidden/>
    <w:unhideWhenUsed/>
    <w:rsid w:val="0007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3529">
      <w:bodyDiv w:val="1"/>
      <w:marLeft w:val="0"/>
      <w:marRight w:val="0"/>
      <w:marTop w:val="0"/>
      <w:marBottom w:val="0"/>
      <w:divBdr>
        <w:top w:val="none" w:sz="0" w:space="0" w:color="auto"/>
        <w:left w:val="none" w:sz="0" w:space="0" w:color="auto"/>
        <w:bottom w:val="none" w:sz="0" w:space="0" w:color="auto"/>
        <w:right w:val="none" w:sz="0" w:space="0" w:color="auto"/>
      </w:divBdr>
    </w:div>
    <w:div w:id="280842057">
      <w:bodyDiv w:val="1"/>
      <w:marLeft w:val="0"/>
      <w:marRight w:val="0"/>
      <w:marTop w:val="0"/>
      <w:marBottom w:val="0"/>
      <w:divBdr>
        <w:top w:val="none" w:sz="0" w:space="0" w:color="auto"/>
        <w:left w:val="none" w:sz="0" w:space="0" w:color="auto"/>
        <w:bottom w:val="none" w:sz="0" w:space="0" w:color="auto"/>
        <w:right w:val="none" w:sz="0" w:space="0" w:color="auto"/>
      </w:divBdr>
    </w:div>
    <w:div w:id="361055457">
      <w:bodyDiv w:val="1"/>
      <w:marLeft w:val="0"/>
      <w:marRight w:val="0"/>
      <w:marTop w:val="0"/>
      <w:marBottom w:val="0"/>
      <w:divBdr>
        <w:top w:val="none" w:sz="0" w:space="0" w:color="auto"/>
        <w:left w:val="none" w:sz="0" w:space="0" w:color="auto"/>
        <w:bottom w:val="none" w:sz="0" w:space="0" w:color="auto"/>
        <w:right w:val="none" w:sz="0" w:space="0" w:color="auto"/>
      </w:divBdr>
    </w:div>
    <w:div w:id="448746436">
      <w:bodyDiv w:val="1"/>
      <w:marLeft w:val="0"/>
      <w:marRight w:val="0"/>
      <w:marTop w:val="0"/>
      <w:marBottom w:val="0"/>
      <w:divBdr>
        <w:top w:val="none" w:sz="0" w:space="0" w:color="auto"/>
        <w:left w:val="none" w:sz="0" w:space="0" w:color="auto"/>
        <w:bottom w:val="none" w:sz="0" w:space="0" w:color="auto"/>
        <w:right w:val="none" w:sz="0" w:space="0" w:color="auto"/>
      </w:divBdr>
    </w:div>
    <w:div w:id="506403089">
      <w:bodyDiv w:val="1"/>
      <w:marLeft w:val="0"/>
      <w:marRight w:val="0"/>
      <w:marTop w:val="0"/>
      <w:marBottom w:val="0"/>
      <w:divBdr>
        <w:top w:val="none" w:sz="0" w:space="0" w:color="auto"/>
        <w:left w:val="none" w:sz="0" w:space="0" w:color="auto"/>
        <w:bottom w:val="none" w:sz="0" w:space="0" w:color="auto"/>
        <w:right w:val="none" w:sz="0" w:space="0" w:color="auto"/>
      </w:divBdr>
    </w:div>
    <w:div w:id="561058387">
      <w:bodyDiv w:val="1"/>
      <w:marLeft w:val="0"/>
      <w:marRight w:val="0"/>
      <w:marTop w:val="0"/>
      <w:marBottom w:val="0"/>
      <w:divBdr>
        <w:top w:val="none" w:sz="0" w:space="0" w:color="auto"/>
        <w:left w:val="none" w:sz="0" w:space="0" w:color="auto"/>
        <w:bottom w:val="none" w:sz="0" w:space="0" w:color="auto"/>
        <w:right w:val="none" w:sz="0" w:space="0" w:color="auto"/>
      </w:divBdr>
    </w:div>
    <w:div w:id="562956323">
      <w:bodyDiv w:val="1"/>
      <w:marLeft w:val="0"/>
      <w:marRight w:val="0"/>
      <w:marTop w:val="0"/>
      <w:marBottom w:val="0"/>
      <w:divBdr>
        <w:top w:val="none" w:sz="0" w:space="0" w:color="auto"/>
        <w:left w:val="none" w:sz="0" w:space="0" w:color="auto"/>
        <w:bottom w:val="none" w:sz="0" w:space="0" w:color="auto"/>
        <w:right w:val="none" w:sz="0" w:space="0" w:color="auto"/>
      </w:divBdr>
    </w:div>
    <w:div w:id="629282525">
      <w:bodyDiv w:val="1"/>
      <w:marLeft w:val="0"/>
      <w:marRight w:val="0"/>
      <w:marTop w:val="0"/>
      <w:marBottom w:val="0"/>
      <w:divBdr>
        <w:top w:val="none" w:sz="0" w:space="0" w:color="auto"/>
        <w:left w:val="none" w:sz="0" w:space="0" w:color="auto"/>
        <w:bottom w:val="none" w:sz="0" w:space="0" w:color="auto"/>
        <w:right w:val="none" w:sz="0" w:space="0" w:color="auto"/>
      </w:divBdr>
      <w:divsChild>
        <w:div w:id="428283611">
          <w:marLeft w:val="0"/>
          <w:marRight w:val="0"/>
          <w:marTop w:val="0"/>
          <w:marBottom w:val="0"/>
          <w:divBdr>
            <w:top w:val="none" w:sz="0" w:space="0" w:color="auto"/>
            <w:left w:val="none" w:sz="0" w:space="0" w:color="auto"/>
            <w:bottom w:val="none" w:sz="0" w:space="0" w:color="auto"/>
            <w:right w:val="none" w:sz="0" w:space="0" w:color="auto"/>
          </w:divBdr>
        </w:div>
        <w:div w:id="1589071124">
          <w:marLeft w:val="0"/>
          <w:marRight w:val="0"/>
          <w:marTop w:val="0"/>
          <w:marBottom w:val="0"/>
          <w:divBdr>
            <w:top w:val="none" w:sz="0" w:space="0" w:color="auto"/>
            <w:left w:val="none" w:sz="0" w:space="0" w:color="auto"/>
            <w:bottom w:val="none" w:sz="0" w:space="0" w:color="auto"/>
            <w:right w:val="none" w:sz="0" w:space="0" w:color="auto"/>
          </w:divBdr>
        </w:div>
      </w:divsChild>
    </w:div>
    <w:div w:id="682630698">
      <w:bodyDiv w:val="1"/>
      <w:marLeft w:val="0"/>
      <w:marRight w:val="0"/>
      <w:marTop w:val="0"/>
      <w:marBottom w:val="0"/>
      <w:divBdr>
        <w:top w:val="none" w:sz="0" w:space="0" w:color="auto"/>
        <w:left w:val="none" w:sz="0" w:space="0" w:color="auto"/>
        <w:bottom w:val="none" w:sz="0" w:space="0" w:color="auto"/>
        <w:right w:val="none" w:sz="0" w:space="0" w:color="auto"/>
      </w:divBdr>
      <w:divsChild>
        <w:div w:id="1227378194">
          <w:marLeft w:val="0"/>
          <w:marRight w:val="0"/>
          <w:marTop w:val="0"/>
          <w:marBottom w:val="0"/>
          <w:divBdr>
            <w:top w:val="none" w:sz="0" w:space="0" w:color="auto"/>
            <w:left w:val="none" w:sz="0" w:space="0" w:color="auto"/>
            <w:bottom w:val="none" w:sz="0" w:space="0" w:color="auto"/>
            <w:right w:val="none" w:sz="0" w:space="0" w:color="auto"/>
          </w:divBdr>
        </w:div>
        <w:div w:id="1279986914">
          <w:marLeft w:val="0"/>
          <w:marRight w:val="0"/>
          <w:marTop w:val="0"/>
          <w:marBottom w:val="0"/>
          <w:divBdr>
            <w:top w:val="none" w:sz="0" w:space="0" w:color="auto"/>
            <w:left w:val="none" w:sz="0" w:space="0" w:color="auto"/>
            <w:bottom w:val="none" w:sz="0" w:space="0" w:color="auto"/>
            <w:right w:val="none" w:sz="0" w:space="0" w:color="auto"/>
          </w:divBdr>
        </w:div>
        <w:div w:id="1572152228">
          <w:marLeft w:val="0"/>
          <w:marRight w:val="0"/>
          <w:marTop w:val="0"/>
          <w:marBottom w:val="0"/>
          <w:divBdr>
            <w:top w:val="none" w:sz="0" w:space="0" w:color="auto"/>
            <w:left w:val="none" w:sz="0" w:space="0" w:color="auto"/>
            <w:bottom w:val="none" w:sz="0" w:space="0" w:color="auto"/>
            <w:right w:val="none" w:sz="0" w:space="0" w:color="auto"/>
          </w:divBdr>
        </w:div>
      </w:divsChild>
    </w:div>
    <w:div w:id="755437970">
      <w:bodyDiv w:val="1"/>
      <w:marLeft w:val="0"/>
      <w:marRight w:val="0"/>
      <w:marTop w:val="0"/>
      <w:marBottom w:val="0"/>
      <w:divBdr>
        <w:top w:val="none" w:sz="0" w:space="0" w:color="auto"/>
        <w:left w:val="none" w:sz="0" w:space="0" w:color="auto"/>
        <w:bottom w:val="none" w:sz="0" w:space="0" w:color="auto"/>
        <w:right w:val="none" w:sz="0" w:space="0" w:color="auto"/>
      </w:divBdr>
      <w:divsChild>
        <w:div w:id="1109083569">
          <w:marLeft w:val="0"/>
          <w:marRight w:val="0"/>
          <w:marTop w:val="0"/>
          <w:marBottom w:val="0"/>
          <w:divBdr>
            <w:top w:val="none" w:sz="0" w:space="0" w:color="auto"/>
            <w:left w:val="none" w:sz="0" w:space="0" w:color="auto"/>
            <w:bottom w:val="none" w:sz="0" w:space="0" w:color="auto"/>
            <w:right w:val="none" w:sz="0" w:space="0" w:color="auto"/>
          </w:divBdr>
        </w:div>
        <w:div w:id="2036887488">
          <w:marLeft w:val="0"/>
          <w:marRight w:val="0"/>
          <w:marTop w:val="0"/>
          <w:marBottom w:val="0"/>
          <w:divBdr>
            <w:top w:val="none" w:sz="0" w:space="0" w:color="auto"/>
            <w:left w:val="none" w:sz="0" w:space="0" w:color="auto"/>
            <w:bottom w:val="none" w:sz="0" w:space="0" w:color="auto"/>
            <w:right w:val="none" w:sz="0" w:space="0" w:color="auto"/>
          </w:divBdr>
        </w:div>
      </w:divsChild>
    </w:div>
    <w:div w:id="829710052">
      <w:bodyDiv w:val="1"/>
      <w:marLeft w:val="0"/>
      <w:marRight w:val="0"/>
      <w:marTop w:val="0"/>
      <w:marBottom w:val="0"/>
      <w:divBdr>
        <w:top w:val="none" w:sz="0" w:space="0" w:color="auto"/>
        <w:left w:val="none" w:sz="0" w:space="0" w:color="auto"/>
        <w:bottom w:val="none" w:sz="0" w:space="0" w:color="auto"/>
        <w:right w:val="none" w:sz="0" w:space="0" w:color="auto"/>
      </w:divBdr>
    </w:div>
    <w:div w:id="850919645">
      <w:bodyDiv w:val="1"/>
      <w:marLeft w:val="0"/>
      <w:marRight w:val="0"/>
      <w:marTop w:val="0"/>
      <w:marBottom w:val="0"/>
      <w:divBdr>
        <w:top w:val="none" w:sz="0" w:space="0" w:color="auto"/>
        <w:left w:val="none" w:sz="0" w:space="0" w:color="auto"/>
        <w:bottom w:val="none" w:sz="0" w:space="0" w:color="auto"/>
        <w:right w:val="none" w:sz="0" w:space="0" w:color="auto"/>
      </w:divBdr>
    </w:div>
    <w:div w:id="872889759">
      <w:bodyDiv w:val="1"/>
      <w:marLeft w:val="0"/>
      <w:marRight w:val="0"/>
      <w:marTop w:val="0"/>
      <w:marBottom w:val="0"/>
      <w:divBdr>
        <w:top w:val="none" w:sz="0" w:space="0" w:color="auto"/>
        <w:left w:val="none" w:sz="0" w:space="0" w:color="auto"/>
        <w:bottom w:val="none" w:sz="0" w:space="0" w:color="auto"/>
        <w:right w:val="none" w:sz="0" w:space="0" w:color="auto"/>
      </w:divBdr>
    </w:div>
    <w:div w:id="903179079">
      <w:bodyDiv w:val="1"/>
      <w:marLeft w:val="0"/>
      <w:marRight w:val="0"/>
      <w:marTop w:val="0"/>
      <w:marBottom w:val="0"/>
      <w:divBdr>
        <w:top w:val="none" w:sz="0" w:space="0" w:color="auto"/>
        <w:left w:val="none" w:sz="0" w:space="0" w:color="auto"/>
        <w:bottom w:val="none" w:sz="0" w:space="0" w:color="auto"/>
        <w:right w:val="none" w:sz="0" w:space="0" w:color="auto"/>
      </w:divBdr>
    </w:div>
    <w:div w:id="1007444336">
      <w:bodyDiv w:val="1"/>
      <w:marLeft w:val="0"/>
      <w:marRight w:val="0"/>
      <w:marTop w:val="0"/>
      <w:marBottom w:val="0"/>
      <w:divBdr>
        <w:top w:val="none" w:sz="0" w:space="0" w:color="auto"/>
        <w:left w:val="none" w:sz="0" w:space="0" w:color="auto"/>
        <w:bottom w:val="none" w:sz="0" w:space="0" w:color="auto"/>
        <w:right w:val="none" w:sz="0" w:space="0" w:color="auto"/>
      </w:divBdr>
      <w:divsChild>
        <w:div w:id="196432503">
          <w:marLeft w:val="0"/>
          <w:marRight w:val="0"/>
          <w:marTop w:val="0"/>
          <w:marBottom w:val="0"/>
          <w:divBdr>
            <w:top w:val="none" w:sz="0" w:space="0" w:color="auto"/>
            <w:left w:val="none" w:sz="0" w:space="0" w:color="auto"/>
            <w:bottom w:val="none" w:sz="0" w:space="0" w:color="auto"/>
            <w:right w:val="none" w:sz="0" w:space="0" w:color="auto"/>
          </w:divBdr>
        </w:div>
        <w:div w:id="439574146">
          <w:marLeft w:val="0"/>
          <w:marRight w:val="0"/>
          <w:marTop w:val="0"/>
          <w:marBottom w:val="0"/>
          <w:divBdr>
            <w:top w:val="none" w:sz="0" w:space="0" w:color="auto"/>
            <w:left w:val="none" w:sz="0" w:space="0" w:color="auto"/>
            <w:bottom w:val="none" w:sz="0" w:space="0" w:color="auto"/>
            <w:right w:val="none" w:sz="0" w:space="0" w:color="auto"/>
          </w:divBdr>
        </w:div>
        <w:div w:id="1066033442">
          <w:marLeft w:val="0"/>
          <w:marRight w:val="0"/>
          <w:marTop w:val="0"/>
          <w:marBottom w:val="0"/>
          <w:divBdr>
            <w:top w:val="none" w:sz="0" w:space="0" w:color="auto"/>
            <w:left w:val="none" w:sz="0" w:space="0" w:color="auto"/>
            <w:bottom w:val="none" w:sz="0" w:space="0" w:color="auto"/>
            <w:right w:val="none" w:sz="0" w:space="0" w:color="auto"/>
          </w:divBdr>
        </w:div>
      </w:divsChild>
    </w:div>
    <w:div w:id="1090856160">
      <w:bodyDiv w:val="1"/>
      <w:marLeft w:val="0"/>
      <w:marRight w:val="0"/>
      <w:marTop w:val="0"/>
      <w:marBottom w:val="0"/>
      <w:divBdr>
        <w:top w:val="none" w:sz="0" w:space="0" w:color="auto"/>
        <w:left w:val="none" w:sz="0" w:space="0" w:color="auto"/>
        <w:bottom w:val="none" w:sz="0" w:space="0" w:color="auto"/>
        <w:right w:val="none" w:sz="0" w:space="0" w:color="auto"/>
      </w:divBdr>
    </w:div>
    <w:div w:id="1278221142">
      <w:bodyDiv w:val="1"/>
      <w:marLeft w:val="0"/>
      <w:marRight w:val="0"/>
      <w:marTop w:val="0"/>
      <w:marBottom w:val="0"/>
      <w:divBdr>
        <w:top w:val="none" w:sz="0" w:space="0" w:color="auto"/>
        <w:left w:val="none" w:sz="0" w:space="0" w:color="auto"/>
        <w:bottom w:val="none" w:sz="0" w:space="0" w:color="auto"/>
        <w:right w:val="none" w:sz="0" w:space="0" w:color="auto"/>
      </w:divBdr>
      <w:divsChild>
        <w:div w:id="203563407">
          <w:marLeft w:val="0"/>
          <w:marRight w:val="0"/>
          <w:marTop w:val="0"/>
          <w:marBottom w:val="0"/>
          <w:divBdr>
            <w:top w:val="none" w:sz="0" w:space="0" w:color="auto"/>
            <w:left w:val="none" w:sz="0" w:space="0" w:color="auto"/>
            <w:bottom w:val="none" w:sz="0" w:space="0" w:color="auto"/>
            <w:right w:val="none" w:sz="0" w:space="0" w:color="auto"/>
          </w:divBdr>
        </w:div>
        <w:div w:id="1865098805">
          <w:marLeft w:val="0"/>
          <w:marRight w:val="0"/>
          <w:marTop w:val="0"/>
          <w:marBottom w:val="0"/>
          <w:divBdr>
            <w:top w:val="none" w:sz="0" w:space="0" w:color="auto"/>
            <w:left w:val="none" w:sz="0" w:space="0" w:color="auto"/>
            <w:bottom w:val="none" w:sz="0" w:space="0" w:color="auto"/>
            <w:right w:val="none" w:sz="0" w:space="0" w:color="auto"/>
          </w:divBdr>
        </w:div>
      </w:divsChild>
    </w:div>
    <w:div w:id="1383555413">
      <w:bodyDiv w:val="1"/>
      <w:marLeft w:val="0"/>
      <w:marRight w:val="0"/>
      <w:marTop w:val="0"/>
      <w:marBottom w:val="0"/>
      <w:divBdr>
        <w:top w:val="none" w:sz="0" w:space="0" w:color="auto"/>
        <w:left w:val="none" w:sz="0" w:space="0" w:color="auto"/>
        <w:bottom w:val="none" w:sz="0" w:space="0" w:color="auto"/>
        <w:right w:val="none" w:sz="0" w:space="0" w:color="auto"/>
      </w:divBdr>
    </w:div>
    <w:div w:id="1666667852">
      <w:bodyDiv w:val="1"/>
      <w:marLeft w:val="0"/>
      <w:marRight w:val="0"/>
      <w:marTop w:val="0"/>
      <w:marBottom w:val="0"/>
      <w:divBdr>
        <w:top w:val="none" w:sz="0" w:space="0" w:color="auto"/>
        <w:left w:val="none" w:sz="0" w:space="0" w:color="auto"/>
        <w:bottom w:val="none" w:sz="0" w:space="0" w:color="auto"/>
        <w:right w:val="none" w:sz="0" w:space="0" w:color="auto"/>
      </w:divBdr>
    </w:div>
    <w:div w:id="1773088570">
      <w:bodyDiv w:val="1"/>
      <w:marLeft w:val="0"/>
      <w:marRight w:val="0"/>
      <w:marTop w:val="0"/>
      <w:marBottom w:val="0"/>
      <w:divBdr>
        <w:top w:val="none" w:sz="0" w:space="0" w:color="auto"/>
        <w:left w:val="none" w:sz="0" w:space="0" w:color="auto"/>
        <w:bottom w:val="none" w:sz="0" w:space="0" w:color="auto"/>
        <w:right w:val="none" w:sz="0" w:space="0" w:color="auto"/>
      </w:divBdr>
    </w:div>
    <w:div w:id="2086763165">
      <w:bodyDiv w:val="1"/>
      <w:marLeft w:val="0"/>
      <w:marRight w:val="0"/>
      <w:marTop w:val="0"/>
      <w:marBottom w:val="0"/>
      <w:divBdr>
        <w:top w:val="none" w:sz="0" w:space="0" w:color="auto"/>
        <w:left w:val="none" w:sz="0" w:space="0" w:color="auto"/>
        <w:bottom w:val="none" w:sz="0" w:space="0" w:color="auto"/>
        <w:right w:val="none" w:sz="0" w:space="0" w:color="auto"/>
      </w:divBdr>
    </w:div>
    <w:div w:id="2097480263">
      <w:bodyDiv w:val="1"/>
      <w:marLeft w:val="0"/>
      <w:marRight w:val="0"/>
      <w:marTop w:val="0"/>
      <w:marBottom w:val="0"/>
      <w:divBdr>
        <w:top w:val="none" w:sz="0" w:space="0" w:color="auto"/>
        <w:left w:val="none" w:sz="0" w:space="0" w:color="auto"/>
        <w:bottom w:val="none" w:sz="0" w:space="0" w:color="auto"/>
        <w:right w:val="none" w:sz="0" w:space="0" w:color="auto"/>
      </w:divBdr>
      <w:divsChild>
        <w:div w:id="150027545">
          <w:marLeft w:val="0"/>
          <w:marRight w:val="0"/>
          <w:marTop w:val="0"/>
          <w:marBottom w:val="0"/>
          <w:divBdr>
            <w:top w:val="none" w:sz="0" w:space="0" w:color="auto"/>
            <w:left w:val="none" w:sz="0" w:space="0" w:color="auto"/>
            <w:bottom w:val="none" w:sz="0" w:space="0" w:color="auto"/>
            <w:right w:val="none" w:sz="0" w:space="0" w:color="auto"/>
          </w:divBdr>
        </w:div>
        <w:div w:id="1121918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nsalud.gov.co/sites/rid/Lists/BibliotecaDigital/RIDE/VS/MET/abece-biodisponiblidad-bioequivalenc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35FB1-1FC5-40CF-8CBD-86B52B0D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9169</Words>
  <Characters>50433</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59484</CharactersWithSpaces>
  <SharedDoc>false</SharedDoc>
  <HLinks>
    <vt:vector size="6" baseType="variant">
      <vt:variant>
        <vt:i4>5373981</vt:i4>
      </vt:variant>
      <vt:variant>
        <vt:i4>0</vt:i4>
      </vt:variant>
      <vt:variant>
        <vt:i4>0</vt:i4>
      </vt:variant>
      <vt:variant>
        <vt:i4>5</vt:i4>
      </vt:variant>
      <vt:variant>
        <vt:lpwstr>https://www.minsalud.gov.co/sites/rid/Lists/BibliotecaDigital/RIDE/VS/MET/abece-biodisponiblidad-bioequivalencia.pdf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Acosta Sabio</dc:creator>
  <cp:keywords/>
  <cp:lastModifiedBy>Paulino Jose Solano Camargo</cp:lastModifiedBy>
  <cp:revision>2</cp:revision>
  <dcterms:created xsi:type="dcterms:W3CDTF">2025-05-20T14:26:00Z</dcterms:created>
  <dcterms:modified xsi:type="dcterms:W3CDTF">2025-05-20T14:26:00Z</dcterms:modified>
</cp:coreProperties>
</file>