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0A66" w14:textId="77777777" w:rsidR="001530A0" w:rsidRPr="001530A0" w:rsidRDefault="001530A0" w:rsidP="001530A0">
      <w:pPr>
        <w:jc w:val="center"/>
        <w:rPr>
          <w:rFonts w:ascii="Calibri" w:eastAsia="Times New Roman" w:hAnsi="Calibri" w:cs="Calibri"/>
          <w:sz w:val="22"/>
          <w:lang w:eastAsia="es-CO"/>
        </w:rPr>
      </w:pPr>
      <w:bookmarkStart w:id="0" w:name="_Hlk185409972"/>
      <w:r w:rsidRPr="001530A0">
        <w:rPr>
          <w:rFonts w:eastAsia="Times New Roman" w:cs="Times New Roman"/>
          <w:b/>
          <w:bCs/>
          <w:szCs w:val="28"/>
          <w:lang w:eastAsia="es-CO"/>
        </w:rPr>
        <w:t>TEMAS-SUBTEMAS</w:t>
      </w:r>
    </w:p>
    <w:p w14:paraId="79FED8D3" w14:textId="77777777" w:rsidR="001530A0" w:rsidRPr="001530A0" w:rsidRDefault="001530A0" w:rsidP="001530A0">
      <w:pPr>
        <w:jc w:val="center"/>
        <w:rPr>
          <w:rFonts w:ascii="Calibri" w:eastAsia="Times New Roman" w:hAnsi="Calibri" w:cs="Calibri"/>
          <w:sz w:val="22"/>
          <w:lang w:eastAsia="es-CO"/>
        </w:rPr>
      </w:pPr>
    </w:p>
    <w:p w14:paraId="40D10B77" w14:textId="49BDC719" w:rsidR="001530A0" w:rsidRPr="001530A0" w:rsidRDefault="001530A0" w:rsidP="001530A0">
      <w:pPr>
        <w:jc w:val="center"/>
        <w:rPr>
          <w:rFonts w:eastAsia="Times New Roman" w:cs="Times New Roman"/>
          <w:b/>
          <w:bCs/>
          <w:szCs w:val="28"/>
          <w:lang w:eastAsia="es-CO"/>
        </w:rPr>
      </w:pPr>
      <w:r w:rsidRPr="001530A0">
        <w:rPr>
          <w:rFonts w:eastAsia="Times New Roman" w:cs="Times New Roman"/>
          <w:b/>
          <w:bCs/>
          <w:szCs w:val="28"/>
          <w:lang w:eastAsia="es-CO"/>
        </w:rPr>
        <w:t>Sentencia C-080/25</w:t>
      </w:r>
    </w:p>
    <w:p w14:paraId="2EB1B4F7" w14:textId="77777777" w:rsidR="001530A0" w:rsidRPr="001530A0" w:rsidRDefault="001530A0" w:rsidP="001530A0">
      <w:pPr>
        <w:jc w:val="left"/>
        <w:rPr>
          <w:rFonts w:asciiTheme="minorHAnsi" w:eastAsia="Times New Roman" w:hAnsiTheme="minorHAnsi" w:cs="Calibri"/>
          <w:sz w:val="24"/>
          <w:szCs w:val="24"/>
          <w:lang w:val="es-MX"/>
        </w:rPr>
      </w:pPr>
    </w:p>
    <w:p w14:paraId="72782E4F" w14:textId="77777777" w:rsidR="001530A0" w:rsidRPr="001530A0" w:rsidRDefault="001530A0" w:rsidP="001530A0">
      <w:pPr>
        <w:jc w:val="left"/>
        <w:rPr>
          <w:rFonts w:asciiTheme="minorHAnsi" w:eastAsia="Times New Roman" w:hAnsiTheme="minorHAnsi" w:cs="Calibri"/>
          <w:sz w:val="24"/>
          <w:szCs w:val="24"/>
          <w:lang w:val="es-MX"/>
        </w:rPr>
      </w:pPr>
    </w:p>
    <w:p w14:paraId="76F17DB4" w14:textId="7417EBAF" w:rsidR="001530A0" w:rsidRDefault="001530A0" w:rsidP="00701920">
      <w:pPr>
        <w:ind w:left="567"/>
        <w:rPr>
          <w:rFonts w:cs="Times New Roman"/>
          <w:szCs w:val="28"/>
          <w:lang w:val="es-ES"/>
        </w:rPr>
      </w:pPr>
      <w:r w:rsidRPr="001530A0">
        <w:rPr>
          <w:rFonts w:cs="Times New Roman"/>
          <w:b/>
          <w:szCs w:val="28"/>
          <w:lang w:val="es-ES"/>
        </w:rPr>
        <w:t>PRINCIPIO DE ESTRICTA LEGALIDAD O TAXATIVIDAD PENAL</w:t>
      </w:r>
      <w:r>
        <w:rPr>
          <w:rFonts w:cs="Times New Roman"/>
          <w:b/>
          <w:szCs w:val="28"/>
          <w:lang w:val="es-ES"/>
        </w:rPr>
        <w:t>-</w:t>
      </w:r>
      <w:r w:rsidRPr="001530A0">
        <w:rPr>
          <w:rFonts w:cs="Times New Roman"/>
          <w:szCs w:val="28"/>
          <w:lang w:val="es-ES"/>
        </w:rPr>
        <w:t>No se vulnera por cuanto norma de remisión del tipo penal en blanco cumple requisitos</w:t>
      </w:r>
    </w:p>
    <w:p w14:paraId="54B98A77" w14:textId="77777777" w:rsidR="00701920" w:rsidRPr="001530A0" w:rsidRDefault="00701920" w:rsidP="00701920">
      <w:pPr>
        <w:ind w:left="567"/>
        <w:rPr>
          <w:rFonts w:cs="Times New Roman"/>
          <w:szCs w:val="28"/>
          <w:lang w:val="es-ES"/>
        </w:rPr>
      </w:pPr>
    </w:p>
    <w:p w14:paraId="297057CE" w14:textId="6D01D4AA" w:rsidR="001530A0" w:rsidRDefault="001530A0" w:rsidP="00701920">
      <w:pPr>
        <w:rPr>
          <w:rFonts w:cs="Times New Roman"/>
          <w:i/>
          <w:szCs w:val="28"/>
        </w:rPr>
      </w:pPr>
      <w:r w:rsidRPr="001530A0">
        <w:rPr>
          <w:rFonts w:cs="Times New Roman"/>
          <w:i/>
          <w:szCs w:val="28"/>
        </w:rPr>
        <w:t xml:space="preserve">(…) la Corte Constitucional considera que la norma demandada prevé un tipo penal en blanco que satisface los requisitos de tipicidad desarrollados por la jurisprudencia constitucional. Primero, la norma de remisión es claramente identificable. Esto, porque una interpretación sistemática del </w:t>
      </w:r>
      <w:proofErr w:type="spellStart"/>
      <w:r w:rsidRPr="001530A0">
        <w:rPr>
          <w:rFonts w:cs="Times New Roman"/>
          <w:i/>
          <w:iCs/>
          <w:szCs w:val="28"/>
        </w:rPr>
        <w:t>nomen</w:t>
      </w:r>
      <w:proofErr w:type="spellEnd"/>
      <w:r w:rsidRPr="001530A0">
        <w:rPr>
          <w:rFonts w:cs="Times New Roman"/>
          <w:i/>
          <w:iCs/>
          <w:szCs w:val="28"/>
        </w:rPr>
        <w:t xml:space="preserve"> iuris</w:t>
      </w:r>
      <w:r w:rsidRPr="001530A0">
        <w:rPr>
          <w:rFonts w:cs="Times New Roman"/>
          <w:i/>
          <w:szCs w:val="28"/>
        </w:rPr>
        <w:t xml:space="preserve">, el inciso 1º, el parágrafo y los antecedentes legislativos de la norma demandada permiten inferir, sin lugar a equívocos, que el tipo penal debe integrarse, exclusivamente, con el artículo 47.9 del Decreto 2153 de 1992, el cual prohíbe los acuerdos restrictivos de la competencia en procesos de contratación pública, también denominados acuerdos colusorios. Segundo, el artículo 47.9 del Decreto 2153 de 1992 tiene rango material de ley y es anterior a la tipificación de la conducta punible. Tercero, la norma de remisión permite al intérprete determinar inequívocamente el alcance de la conducta penalizada. En efecto, </w:t>
      </w:r>
      <w:r w:rsidRPr="001530A0">
        <w:rPr>
          <w:rFonts w:cs="Times New Roman"/>
          <w:i/>
          <w:iCs/>
          <w:szCs w:val="28"/>
        </w:rPr>
        <w:t>(i)</w:t>
      </w:r>
      <w:r w:rsidRPr="001530A0">
        <w:rPr>
          <w:rFonts w:cs="Times New Roman"/>
          <w:i/>
          <w:szCs w:val="28"/>
        </w:rPr>
        <w:t xml:space="preserve"> el artículo 47.9 de 2152 prevé una prohibición clara y precisa de los acuerdos restrictivos de la competencia en procesos de contratación pública y </w:t>
      </w:r>
      <w:r w:rsidRPr="001530A0">
        <w:rPr>
          <w:rFonts w:cs="Times New Roman"/>
          <w:i/>
          <w:iCs/>
          <w:szCs w:val="28"/>
        </w:rPr>
        <w:t>(</w:t>
      </w:r>
      <w:proofErr w:type="spellStart"/>
      <w:r w:rsidRPr="001530A0">
        <w:rPr>
          <w:rFonts w:cs="Times New Roman"/>
          <w:i/>
          <w:iCs/>
          <w:szCs w:val="28"/>
        </w:rPr>
        <w:t>ii</w:t>
      </w:r>
      <w:proofErr w:type="spellEnd"/>
      <w:r w:rsidRPr="001530A0">
        <w:rPr>
          <w:rFonts w:cs="Times New Roman"/>
          <w:i/>
          <w:iCs/>
          <w:szCs w:val="28"/>
        </w:rPr>
        <w:t>)</w:t>
      </w:r>
      <w:r w:rsidRPr="001530A0">
        <w:rPr>
          <w:rFonts w:cs="Times New Roman"/>
          <w:i/>
          <w:szCs w:val="28"/>
        </w:rPr>
        <w:t xml:space="preserve"> la SIC –máxima autoridad de competencia– ha delimitado y desarrollado los elementos de estos acuerdos de forma consistente, clara y precisa.</w:t>
      </w:r>
    </w:p>
    <w:p w14:paraId="7A486B00" w14:textId="77777777" w:rsidR="00701920" w:rsidRPr="001530A0" w:rsidRDefault="00701920" w:rsidP="00701920">
      <w:pPr>
        <w:rPr>
          <w:rFonts w:cs="Times New Roman"/>
          <w:i/>
          <w:szCs w:val="28"/>
        </w:rPr>
      </w:pPr>
    </w:p>
    <w:p w14:paraId="55E54596" w14:textId="473DD8E9" w:rsidR="001530A0" w:rsidRDefault="001530A0" w:rsidP="00701920">
      <w:pPr>
        <w:ind w:left="567"/>
        <w:rPr>
          <w:rFonts w:cs="Times New Roman"/>
          <w:szCs w:val="28"/>
          <w:shd w:val="clear" w:color="auto" w:fill="FFFFFF"/>
        </w:rPr>
      </w:pPr>
      <w:r w:rsidRPr="001530A0">
        <w:rPr>
          <w:rFonts w:cs="Times New Roman"/>
          <w:b/>
          <w:bCs/>
          <w:szCs w:val="28"/>
          <w:shd w:val="clear" w:color="auto" w:fill="FFFFFF"/>
        </w:rPr>
        <w:t>DEMANDA DE INCONSTITUCIONALIDAD</w:t>
      </w:r>
      <w:r>
        <w:rPr>
          <w:rFonts w:cs="Times New Roman"/>
          <w:b/>
          <w:bCs/>
          <w:szCs w:val="28"/>
          <w:shd w:val="clear" w:color="auto" w:fill="FFFFFF"/>
        </w:rPr>
        <w:t>-</w:t>
      </w:r>
      <w:r w:rsidRPr="001530A0">
        <w:rPr>
          <w:rFonts w:cs="Times New Roman"/>
          <w:szCs w:val="28"/>
          <w:shd w:val="clear" w:color="auto" w:fill="FFFFFF"/>
        </w:rPr>
        <w:t>Improcedencia de pronunciamiento sobre nuevo cargo presentado por interviniente</w:t>
      </w:r>
    </w:p>
    <w:p w14:paraId="2AB72A81" w14:textId="77777777" w:rsidR="00701920" w:rsidRPr="001530A0" w:rsidRDefault="00701920" w:rsidP="00701920">
      <w:pPr>
        <w:ind w:left="567"/>
        <w:rPr>
          <w:rFonts w:cs="Times New Roman"/>
          <w:szCs w:val="28"/>
          <w:shd w:val="clear" w:color="auto" w:fill="FFFFFF"/>
        </w:rPr>
      </w:pPr>
    </w:p>
    <w:p w14:paraId="57AB7DD5" w14:textId="4FE651C2" w:rsidR="001530A0" w:rsidRDefault="001530A0" w:rsidP="00701920">
      <w:pPr>
        <w:ind w:left="567"/>
        <w:rPr>
          <w:rFonts w:cs="Times New Roman"/>
          <w:szCs w:val="28"/>
          <w:lang w:val="es-ES"/>
        </w:rPr>
      </w:pPr>
      <w:r w:rsidRPr="001530A0">
        <w:rPr>
          <w:rFonts w:cs="Times New Roman"/>
          <w:b/>
          <w:szCs w:val="28"/>
          <w:lang w:val="es-ES"/>
        </w:rPr>
        <w:t>LIBERTAD DE CONFIGURACION LEGISLATIVA EN MATERIA PENAL</w:t>
      </w:r>
      <w:r>
        <w:rPr>
          <w:rFonts w:cs="Times New Roman"/>
          <w:b/>
          <w:szCs w:val="28"/>
          <w:lang w:val="es-ES"/>
        </w:rPr>
        <w:t>-</w:t>
      </w:r>
      <w:r w:rsidRPr="001530A0">
        <w:rPr>
          <w:rFonts w:cs="Times New Roman"/>
          <w:szCs w:val="28"/>
          <w:lang w:val="es-ES"/>
        </w:rPr>
        <w:t>Alcance</w:t>
      </w:r>
    </w:p>
    <w:p w14:paraId="51DB5079" w14:textId="77777777" w:rsidR="00701920" w:rsidRPr="001530A0" w:rsidRDefault="00701920" w:rsidP="00701920">
      <w:pPr>
        <w:ind w:left="567"/>
        <w:rPr>
          <w:rFonts w:cs="Times New Roman"/>
          <w:szCs w:val="28"/>
          <w:lang w:val="es-ES"/>
        </w:rPr>
      </w:pPr>
    </w:p>
    <w:p w14:paraId="69073542" w14:textId="6FF8AB5F" w:rsidR="001530A0" w:rsidRDefault="001530A0" w:rsidP="00701920">
      <w:pPr>
        <w:ind w:left="567"/>
        <w:rPr>
          <w:rFonts w:cs="Times New Roman"/>
          <w:szCs w:val="28"/>
          <w:lang w:val="es-ES"/>
        </w:rPr>
      </w:pPr>
      <w:r w:rsidRPr="001530A0">
        <w:rPr>
          <w:rFonts w:cs="Times New Roman"/>
          <w:b/>
          <w:szCs w:val="28"/>
          <w:lang w:val="es-ES"/>
        </w:rPr>
        <w:t>LIBERTAD DE CONFIGURACION LEGISLATIVA EN MATERIA PENAL</w:t>
      </w:r>
      <w:r>
        <w:rPr>
          <w:rFonts w:cs="Times New Roman"/>
          <w:b/>
          <w:szCs w:val="28"/>
          <w:lang w:val="es-ES"/>
        </w:rPr>
        <w:t>-</w:t>
      </w:r>
      <w:r w:rsidRPr="001530A0">
        <w:rPr>
          <w:rFonts w:cs="Times New Roman"/>
          <w:szCs w:val="28"/>
          <w:lang w:val="es-ES"/>
        </w:rPr>
        <w:t>Límites implícitos y explícitos</w:t>
      </w:r>
    </w:p>
    <w:p w14:paraId="31D34A42" w14:textId="77777777" w:rsidR="00701920" w:rsidRPr="001530A0" w:rsidRDefault="00701920" w:rsidP="00701920">
      <w:pPr>
        <w:ind w:left="567"/>
        <w:rPr>
          <w:rFonts w:cs="Times New Roman"/>
          <w:szCs w:val="28"/>
          <w:lang w:val="es-ES"/>
        </w:rPr>
      </w:pPr>
    </w:p>
    <w:p w14:paraId="54931FDC" w14:textId="77777777" w:rsidR="001530A0" w:rsidRPr="001530A0" w:rsidRDefault="001530A0" w:rsidP="00701920">
      <w:pPr>
        <w:shd w:val="clear" w:color="auto" w:fill="FFFFFF"/>
        <w:ind w:left="600"/>
        <w:textAlignment w:val="baseline"/>
        <w:rPr>
          <w:rFonts w:eastAsia="Times New Roman" w:cs="Times New Roman"/>
          <w:szCs w:val="28"/>
          <w:lang w:eastAsia="es-CO"/>
        </w:rPr>
      </w:pPr>
      <w:r w:rsidRPr="001530A0">
        <w:rPr>
          <w:rFonts w:eastAsia="Times New Roman" w:cs="Times New Roman"/>
          <w:b/>
          <w:bCs/>
          <w:szCs w:val="28"/>
          <w:lang w:eastAsia="es-CO"/>
        </w:rPr>
        <w:t>PRINCIPIO DE LEGALIDAD-</w:t>
      </w:r>
      <w:r w:rsidRPr="001530A0">
        <w:rPr>
          <w:rFonts w:eastAsia="Times New Roman" w:cs="Times New Roman"/>
          <w:szCs w:val="28"/>
          <w:lang w:eastAsia="es-CO"/>
        </w:rPr>
        <w:t>Contenido</w:t>
      </w:r>
    </w:p>
    <w:p w14:paraId="2B3A1091" w14:textId="77777777" w:rsidR="001530A0" w:rsidRPr="001530A0" w:rsidRDefault="001530A0" w:rsidP="00701920">
      <w:pPr>
        <w:shd w:val="clear" w:color="auto" w:fill="FFFFFF"/>
        <w:ind w:left="600"/>
        <w:textAlignment w:val="baseline"/>
        <w:rPr>
          <w:rFonts w:eastAsia="Times New Roman" w:cs="Times New Roman"/>
          <w:sz w:val="27"/>
          <w:szCs w:val="27"/>
          <w:lang w:eastAsia="es-CO"/>
        </w:rPr>
      </w:pPr>
    </w:p>
    <w:p w14:paraId="6D9A55C0" w14:textId="77777777" w:rsidR="001530A0" w:rsidRPr="001530A0" w:rsidRDefault="001530A0" w:rsidP="00701920">
      <w:pPr>
        <w:rPr>
          <w:rFonts w:cs="Times New Roman"/>
          <w:i/>
          <w:szCs w:val="28"/>
          <w:lang w:val="es-ES"/>
        </w:rPr>
      </w:pPr>
      <w:r w:rsidRPr="001530A0">
        <w:rPr>
          <w:rFonts w:cs="Times New Roman"/>
          <w:i/>
          <w:szCs w:val="28"/>
        </w:rPr>
        <w:t>El principio de legalidad comprende tres subprincipios. Primero, el principio de reserva legal (</w:t>
      </w:r>
      <w:r w:rsidRPr="001530A0">
        <w:rPr>
          <w:rFonts w:cs="Times New Roman"/>
          <w:i/>
          <w:iCs/>
          <w:szCs w:val="28"/>
        </w:rPr>
        <w:t xml:space="preserve">lex </w:t>
      </w:r>
      <w:proofErr w:type="spellStart"/>
      <w:r w:rsidRPr="001530A0">
        <w:rPr>
          <w:rFonts w:cs="Times New Roman"/>
          <w:i/>
          <w:iCs/>
          <w:szCs w:val="28"/>
        </w:rPr>
        <w:t>stricta</w:t>
      </w:r>
      <w:proofErr w:type="spellEnd"/>
      <w:r w:rsidRPr="001530A0">
        <w:rPr>
          <w:rFonts w:cs="Times New Roman"/>
          <w:i/>
          <w:szCs w:val="28"/>
        </w:rPr>
        <w:t>), el cual exige que los delitos y las penas estén previstos en una Ley en sentido formal, expedida por el Congreso de la República como órgano de representación popular. Segundo, el principio de irretroactividad de la ley penal (</w:t>
      </w:r>
      <w:r w:rsidRPr="001530A0">
        <w:rPr>
          <w:rFonts w:cs="Times New Roman"/>
          <w:i/>
          <w:iCs/>
          <w:szCs w:val="28"/>
        </w:rPr>
        <w:t xml:space="preserve">lex </w:t>
      </w:r>
      <w:proofErr w:type="spellStart"/>
      <w:r w:rsidRPr="001530A0">
        <w:rPr>
          <w:rFonts w:cs="Times New Roman"/>
          <w:i/>
          <w:iCs/>
          <w:szCs w:val="28"/>
        </w:rPr>
        <w:t>praevia</w:t>
      </w:r>
      <w:proofErr w:type="spellEnd"/>
      <w:r w:rsidRPr="001530A0">
        <w:rPr>
          <w:rFonts w:cs="Times New Roman"/>
          <w:i/>
          <w:szCs w:val="28"/>
        </w:rPr>
        <w:t xml:space="preserve">), conforme al cual el tipo penal que prevé el delito y la sanción debe preexistir a la conducta: una conducta </w:t>
      </w:r>
      <w:r w:rsidRPr="001530A0">
        <w:rPr>
          <w:rFonts w:cs="Times New Roman"/>
          <w:i/>
          <w:szCs w:val="28"/>
          <w:lang w:val="es-AR"/>
        </w:rPr>
        <w:t>no constituye delito ni puede ser objeto de sanción penal si no existe una ley previa que así lo establezca. Tercero, el principio de legalidad estricta o tipicidad (</w:t>
      </w:r>
      <w:r w:rsidRPr="001530A0">
        <w:rPr>
          <w:rFonts w:cs="Times New Roman"/>
          <w:i/>
          <w:iCs/>
          <w:szCs w:val="28"/>
          <w:lang w:val="es-AR"/>
        </w:rPr>
        <w:t xml:space="preserve">lex </w:t>
      </w:r>
      <w:proofErr w:type="spellStart"/>
      <w:r w:rsidRPr="001530A0">
        <w:rPr>
          <w:rFonts w:cs="Times New Roman"/>
          <w:i/>
          <w:iCs/>
          <w:szCs w:val="28"/>
          <w:lang w:val="es-AR"/>
        </w:rPr>
        <w:t>certa</w:t>
      </w:r>
      <w:proofErr w:type="spellEnd"/>
      <w:r w:rsidRPr="001530A0">
        <w:rPr>
          <w:rFonts w:cs="Times New Roman"/>
          <w:i/>
          <w:szCs w:val="28"/>
          <w:lang w:val="es-AR"/>
        </w:rPr>
        <w:t xml:space="preserve">), el cual </w:t>
      </w:r>
      <w:r w:rsidRPr="001530A0">
        <w:rPr>
          <w:rFonts w:cs="Times New Roman"/>
          <w:i/>
          <w:iCs/>
          <w:szCs w:val="28"/>
          <w:lang w:val="es-ES"/>
        </w:rPr>
        <w:t>implica un mandato de claridad y precisión en la tipificación del delito y la sanción.</w:t>
      </w:r>
    </w:p>
    <w:p w14:paraId="54D8A71A" w14:textId="77777777" w:rsidR="001530A0" w:rsidRPr="001530A0" w:rsidRDefault="001530A0" w:rsidP="00701920">
      <w:pPr>
        <w:ind w:left="567"/>
        <w:rPr>
          <w:rFonts w:cs="Times New Roman"/>
          <w:szCs w:val="28"/>
          <w:lang w:val="es-ES"/>
        </w:rPr>
      </w:pPr>
    </w:p>
    <w:p w14:paraId="168F7022" w14:textId="11D48B70" w:rsidR="001530A0" w:rsidRDefault="001530A0" w:rsidP="00701920">
      <w:pPr>
        <w:ind w:left="567"/>
        <w:rPr>
          <w:rFonts w:cs="Times New Roman"/>
          <w:szCs w:val="28"/>
          <w:lang w:val="es-ES"/>
        </w:rPr>
      </w:pPr>
      <w:r w:rsidRPr="001530A0">
        <w:rPr>
          <w:rFonts w:cs="Times New Roman"/>
          <w:b/>
          <w:szCs w:val="28"/>
          <w:lang w:val="es-ES"/>
        </w:rPr>
        <w:t>PRINCIPIO DE ESTRICTA LEGALIDAD-</w:t>
      </w:r>
      <w:r w:rsidRPr="001530A0">
        <w:rPr>
          <w:rFonts w:cs="Times New Roman"/>
          <w:szCs w:val="28"/>
          <w:lang w:val="es-ES"/>
        </w:rPr>
        <w:t>Alcance</w:t>
      </w:r>
      <w:r w:rsidRPr="001530A0">
        <w:rPr>
          <w:rFonts w:cs="Times New Roman"/>
          <w:b/>
          <w:szCs w:val="28"/>
          <w:lang w:val="es-ES"/>
        </w:rPr>
        <w:t>/PRINCIPIO DE ESTRICTA LEGALIDAD</w:t>
      </w:r>
      <w:r>
        <w:rPr>
          <w:rFonts w:cs="Times New Roman"/>
          <w:b/>
          <w:szCs w:val="28"/>
          <w:lang w:val="es-ES"/>
        </w:rPr>
        <w:t>-</w:t>
      </w:r>
      <w:r w:rsidRPr="001530A0">
        <w:rPr>
          <w:rFonts w:cs="Times New Roman"/>
          <w:szCs w:val="28"/>
          <w:lang w:val="es-ES"/>
        </w:rPr>
        <w:t>Contenido</w:t>
      </w:r>
    </w:p>
    <w:p w14:paraId="21F609C7" w14:textId="77777777" w:rsidR="00701920" w:rsidRPr="001530A0" w:rsidRDefault="00701920" w:rsidP="00701920">
      <w:pPr>
        <w:ind w:left="567"/>
        <w:rPr>
          <w:rFonts w:cs="Times New Roman"/>
          <w:szCs w:val="28"/>
          <w:lang w:val="es-ES"/>
        </w:rPr>
      </w:pPr>
    </w:p>
    <w:p w14:paraId="17CD7A1B" w14:textId="76E1D2B5" w:rsidR="001530A0" w:rsidRDefault="001530A0" w:rsidP="00701920">
      <w:pPr>
        <w:shd w:val="clear" w:color="auto" w:fill="FFFFFF"/>
        <w:ind w:left="567"/>
        <w:textAlignment w:val="baseline"/>
        <w:rPr>
          <w:rFonts w:eastAsia="Times New Roman" w:cs="Times New Roman"/>
          <w:sz w:val="27"/>
          <w:szCs w:val="27"/>
          <w:bdr w:val="none" w:sz="0" w:space="0" w:color="auto" w:frame="1"/>
          <w:lang w:val="es-ES" w:eastAsia="es-CO"/>
        </w:rPr>
      </w:pPr>
      <w:r w:rsidRPr="001530A0">
        <w:rPr>
          <w:rFonts w:eastAsia="Times New Roman" w:cs="Times New Roman"/>
          <w:b/>
          <w:bCs/>
          <w:sz w:val="27"/>
          <w:szCs w:val="27"/>
          <w:bdr w:val="none" w:sz="0" w:space="0" w:color="auto" w:frame="1"/>
          <w:lang w:val="es-ES" w:eastAsia="es-CO"/>
        </w:rPr>
        <w:t>PRINCIPIO DE ESTRICTA LEGALIDAD O TAXATIVIDAD PENAL-</w:t>
      </w:r>
      <w:r w:rsidRPr="001530A0">
        <w:rPr>
          <w:rFonts w:eastAsia="Times New Roman" w:cs="Times New Roman"/>
          <w:sz w:val="27"/>
          <w:szCs w:val="27"/>
          <w:bdr w:val="none" w:sz="0" w:space="0" w:color="auto" w:frame="1"/>
          <w:lang w:val="es-ES" w:eastAsia="es-CO"/>
        </w:rPr>
        <w:t>Elementos para determinar el cumplimiento</w:t>
      </w:r>
    </w:p>
    <w:p w14:paraId="505D6B87" w14:textId="77777777" w:rsidR="00701920" w:rsidRPr="001530A0" w:rsidRDefault="00701920" w:rsidP="00701920">
      <w:pPr>
        <w:shd w:val="clear" w:color="auto" w:fill="FFFFFF"/>
        <w:ind w:left="567"/>
        <w:textAlignment w:val="baseline"/>
        <w:rPr>
          <w:rFonts w:eastAsia="Times New Roman" w:cs="Times New Roman"/>
          <w:sz w:val="27"/>
          <w:szCs w:val="27"/>
          <w:lang w:eastAsia="es-CO"/>
        </w:rPr>
      </w:pPr>
    </w:p>
    <w:p w14:paraId="596EC6D7" w14:textId="0E8B0D78" w:rsidR="001530A0" w:rsidRDefault="001530A0" w:rsidP="00701920">
      <w:pPr>
        <w:ind w:left="567"/>
        <w:rPr>
          <w:rFonts w:cs="Times New Roman"/>
          <w:szCs w:val="28"/>
          <w:lang w:val="es-ES"/>
        </w:rPr>
      </w:pPr>
      <w:r w:rsidRPr="001530A0">
        <w:rPr>
          <w:rFonts w:cs="Times New Roman"/>
          <w:b/>
          <w:szCs w:val="28"/>
          <w:lang w:val="es-ES"/>
        </w:rPr>
        <w:t>TIPO PENAL EN BLANCO-</w:t>
      </w:r>
      <w:r w:rsidRPr="001530A0">
        <w:rPr>
          <w:rFonts w:cs="Times New Roman"/>
          <w:szCs w:val="28"/>
          <w:lang w:val="es-ES"/>
        </w:rPr>
        <w:t>Definición</w:t>
      </w:r>
    </w:p>
    <w:p w14:paraId="079075DC" w14:textId="77777777" w:rsidR="00701920" w:rsidRDefault="00701920" w:rsidP="00701920">
      <w:pPr>
        <w:ind w:left="567"/>
        <w:rPr>
          <w:rFonts w:cs="Times New Roman"/>
          <w:szCs w:val="28"/>
          <w:lang w:val="es-ES"/>
        </w:rPr>
      </w:pPr>
    </w:p>
    <w:p w14:paraId="09CF1215" w14:textId="4C06346A" w:rsidR="001530A0" w:rsidRDefault="001530A0" w:rsidP="00701920">
      <w:pPr>
        <w:rPr>
          <w:rFonts w:cs="Times New Roman"/>
          <w:i/>
          <w:szCs w:val="28"/>
          <w:lang w:val="es-ES"/>
        </w:rPr>
      </w:pPr>
      <w:r w:rsidRPr="001530A0">
        <w:rPr>
          <w:rFonts w:cs="Times New Roman"/>
          <w:i/>
          <w:szCs w:val="28"/>
          <w:lang w:val="es-ES"/>
        </w:rPr>
        <w:t>Los tipos penales en blanco son aquellos en los que la descripción del supuesto de hecho (precepto) se encuentra desarrollado total o parcialmente por una norma de carácter extrapenal. Son tipos penales “incompletos” o “imperfectos” que exigen que en el proceso de adecuación típica el operador jurídico lleve a cabo un proceso de integración del tipo, en el que se acude a normas no penales –normas de remisión– que concretan el alcance de alguno de sus elementos.</w:t>
      </w:r>
    </w:p>
    <w:p w14:paraId="2515A8E4" w14:textId="77777777" w:rsidR="00701920" w:rsidRPr="001530A0" w:rsidRDefault="00701920" w:rsidP="00701920">
      <w:pPr>
        <w:rPr>
          <w:rFonts w:cs="Times New Roman"/>
          <w:i/>
          <w:szCs w:val="28"/>
          <w:lang w:val="es-ES"/>
        </w:rPr>
      </w:pPr>
    </w:p>
    <w:p w14:paraId="67F55949" w14:textId="4AFCF943" w:rsidR="001530A0" w:rsidRDefault="001530A0" w:rsidP="00701920">
      <w:pPr>
        <w:ind w:left="567"/>
        <w:rPr>
          <w:rFonts w:cs="Times New Roman"/>
          <w:szCs w:val="28"/>
          <w:lang w:val="es-ES"/>
        </w:rPr>
      </w:pPr>
      <w:r w:rsidRPr="001530A0">
        <w:rPr>
          <w:rFonts w:cs="Times New Roman"/>
          <w:b/>
          <w:szCs w:val="28"/>
          <w:lang w:val="es-ES"/>
        </w:rPr>
        <w:t>TIPO PENAL ABIERTO-</w:t>
      </w:r>
      <w:r w:rsidRPr="001530A0">
        <w:rPr>
          <w:rFonts w:cs="Times New Roman"/>
          <w:szCs w:val="28"/>
          <w:lang w:val="es-ES"/>
        </w:rPr>
        <w:t>Definición</w:t>
      </w:r>
    </w:p>
    <w:p w14:paraId="65F34F49" w14:textId="77777777" w:rsidR="00701920" w:rsidRPr="001530A0" w:rsidRDefault="00701920" w:rsidP="00701920">
      <w:pPr>
        <w:ind w:left="567"/>
        <w:rPr>
          <w:rFonts w:cs="Times New Roman"/>
          <w:szCs w:val="28"/>
          <w:lang w:val="es-ES"/>
        </w:rPr>
      </w:pPr>
    </w:p>
    <w:p w14:paraId="4A6F456C" w14:textId="42359C74" w:rsidR="001530A0" w:rsidRDefault="001530A0" w:rsidP="00701920">
      <w:pPr>
        <w:rPr>
          <w:rFonts w:cs="Times New Roman"/>
          <w:i/>
          <w:szCs w:val="28"/>
          <w:lang w:val="es-ES"/>
        </w:rPr>
      </w:pPr>
      <w:r w:rsidRPr="001530A0">
        <w:rPr>
          <w:rFonts w:cs="Times New Roman"/>
          <w:i/>
          <w:szCs w:val="28"/>
          <w:lang w:val="es-ES"/>
        </w:rPr>
        <w:t>Los tipos penales abiertos son aquellos en los que alguno de los elementos estructurales de la conducta punible está definido con expresiones que tienen un alto grado de indeterminación semántica, lo que implica que “no existe total precisión de las circunstancias en que la conducta debe realizarse”. Como se expuso, todos los tipos penales tienen un nivel de indeterminación que es connatural al lenguaje y el derecho. En este sentido, la apertura de las normas penales es, en realidad, una “cuestión de grados: hay tipos más cerrados y tipos más abiertos”.</w:t>
      </w:r>
    </w:p>
    <w:p w14:paraId="1DBFEE6D" w14:textId="77777777" w:rsidR="00701920" w:rsidRPr="001530A0" w:rsidRDefault="00701920" w:rsidP="00701920">
      <w:pPr>
        <w:rPr>
          <w:rFonts w:cs="Times New Roman"/>
          <w:i/>
          <w:szCs w:val="28"/>
          <w:lang w:val="es-ES"/>
        </w:rPr>
      </w:pPr>
    </w:p>
    <w:p w14:paraId="29C71C66" w14:textId="672A8EBB" w:rsidR="001530A0" w:rsidRDefault="001530A0" w:rsidP="00701920">
      <w:pPr>
        <w:ind w:left="567"/>
        <w:rPr>
          <w:rFonts w:cs="Times New Roman"/>
          <w:szCs w:val="28"/>
          <w:lang w:val="es-ES"/>
        </w:rPr>
      </w:pPr>
      <w:r w:rsidRPr="001530A0">
        <w:rPr>
          <w:rFonts w:cs="Times New Roman"/>
          <w:b/>
          <w:szCs w:val="28"/>
          <w:lang w:val="es-ES"/>
        </w:rPr>
        <w:t>TIPOS PENALES ABIERTOS Y TIPOS PENALES EN BLANCO</w:t>
      </w:r>
      <w:r w:rsidRPr="001530A0">
        <w:rPr>
          <w:rFonts w:cs="Times New Roman"/>
          <w:szCs w:val="28"/>
          <w:lang w:val="es-ES"/>
        </w:rPr>
        <w:t>-Jurisprudencia constitucional</w:t>
      </w:r>
    </w:p>
    <w:p w14:paraId="66B2928B" w14:textId="77777777" w:rsidR="00701920" w:rsidRPr="001530A0" w:rsidRDefault="00701920" w:rsidP="00701920">
      <w:pPr>
        <w:ind w:left="567"/>
        <w:rPr>
          <w:rFonts w:cs="Times New Roman"/>
          <w:szCs w:val="28"/>
          <w:lang w:val="es-ES"/>
        </w:rPr>
      </w:pPr>
    </w:p>
    <w:p w14:paraId="56993890" w14:textId="6BACCCF0" w:rsidR="001530A0" w:rsidRDefault="001530A0" w:rsidP="00701920">
      <w:pPr>
        <w:ind w:left="567"/>
        <w:rPr>
          <w:rFonts w:cs="Times New Roman"/>
          <w:szCs w:val="28"/>
          <w:lang w:val="es-ES"/>
        </w:rPr>
      </w:pPr>
      <w:r w:rsidRPr="001530A0">
        <w:rPr>
          <w:rFonts w:cs="Times New Roman"/>
          <w:b/>
          <w:szCs w:val="28"/>
          <w:lang w:val="es-ES"/>
        </w:rPr>
        <w:t>TIPO PENAL EN BLANCO-</w:t>
      </w:r>
      <w:r w:rsidRPr="001530A0">
        <w:rPr>
          <w:rFonts w:cs="Times New Roman"/>
          <w:szCs w:val="28"/>
          <w:lang w:val="es-ES"/>
        </w:rPr>
        <w:t>Remisión normativa propia e impropia</w:t>
      </w:r>
    </w:p>
    <w:p w14:paraId="5F3F0959" w14:textId="77777777" w:rsidR="00701920" w:rsidRPr="001530A0" w:rsidRDefault="00701920" w:rsidP="00701920">
      <w:pPr>
        <w:ind w:left="567"/>
        <w:rPr>
          <w:rFonts w:cs="Times New Roman"/>
          <w:szCs w:val="28"/>
          <w:lang w:val="es-ES"/>
        </w:rPr>
      </w:pPr>
    </w:p>
    <w:p w14:paraId="7736F8E9" w14:textId="10568668" w:rsidR="001530A0" w:rsidRDefault="001530A0" w:rsidP="00701920">
      <w:pPr>
        <w:rPr>
          <w:rFonts w:cs="Times New Roman"/>
          <w:b/>
          <w:bCs/>
        </w:rPr>
      </w:pPr>
      <w:r w:rsidRPr="001530A0">
        <w:rPr>
          <w:rFonts w:cs="Times New Roman"/>
          <w:i/>
          <w:szCs w:val="28"/>
          <w:lang w:val="es-ES"/>
        </w:rPr>
        <w:t xml:space="preserve"> (i) La norma de remisión debe ser claramente identificable; (</w:t>
      </w:r>
      <w:proofErr w:type="spellStart"/>
      <w:r w:rsidRPr="001530A0">
        <w:rPr>
          <w:rFonts w:cs="Times New Roman"/>
          <w:i/>
          <w:szCs w:val="28"/>
          <w:lang w:val="es-ES"/>
        </w:rPr>
        <w:t>ii</w:t>
      </w:r>
      <w:proofErr w:type="spellEnd"/>
      <w:r w:rsidRPr="001530A0">
        <w:rPr>
          <w:rFonts w:cs="Times New Roman"/>
          <w:i/>
          <w:szCs w:val="28"/>
          <w:lang w:val="es-ES"/>
        </w:rPr>
        <w:t>) La norma de remisión debe existir y hacer parte “del ordenamiento jurídico al momento de realizarse la conducta y de llevarse a cabo el proceso de adecuación típica”; (</w:t>
      </w:r>
      <w:proofErr w:type="spellStart"/>
      <w:r w:rsidRPr="001530A0">
        <w:rPr>
          <w:rFonts w:cs="Times New Roman"/>
          <w:i/>
          <w:szCs w:val="28"/>
          <w:lang w:val="es-ES"/>
        </w:rPr>
        <w:t>iii</w:t>
      </w:r>
      <w:proofErr w:type="spellEnd"/>
      <w:r w:rsidRPr="001530A0">
        <w:rPr>
          <w:rFonts w:cs="Times New Roman"/>
          <w:i/>
          <w:szCs w:val="28"/>
          <w:lang w:val="es-ES"/>
        </w:rPr>
        <w:t>) La norma de remisión debe permitir al intérprete determinar con razonable precisión, claridad y previsibilidad el alcance de la conducta sancionable. Además, en los tipos de remisión impropia, la norma de remisión de rango infra legal debe (a) tener un alcance general, (b) ser de conocimiento público, así como (c) respetar los principios y valores constitucionales.</w:t>
      </w:r>
      <w:bookmarkStart w:id="1" w:name="_Hlk178934335"/>
      <w:r w:rsidR="00322338">
        <w:rPr>
          <w:rFonts w:eastAsia="Times New Roman" w:cs="Times New Roman"/>
          <w:szCs w:val="28"/>
          <w:lang w:val="en-US"/>
        </w:rPr>
        <w:pict w14:anchorId="0292D9ED">
          <v:rect id="_x0000_i1025" style="width:0;height:1.5pt" o:hralign="center" o:hrstd="t" o:hr="t" fillcolor="#a0a0a0" stroked="f"/>
        </w:pict>
      </w:r>
      <w:bookmarkEnd w:id="0"/>
      <w:bookmarkEnd w:id="1"/>
    </w:p>
    <w:p w14:paraId="4EE59856" w14:textId="77777777" w:rsidR="001530A0" w:rsidRDefault="001530A0" w:rsidP="00776641">
      <w:pPr>
        <w:jc w:val="center"/>
        <w:rPr>
          <w:rFonts w:cs="Times New Roman"/>
          <w:b/>
          <w:bCs/>
        </w:rPr>
      </w:pPr>
    </w:p>
    <w:p w14:paraId="2CA7C55B" w14:textId="59120CAF" w:rsidR="00655D45" w:rsidRPr="00B033A8" w:rsidRDefault="00655D45" w:rsidP="00776641">
      <w:pPr>
        <w:jc w:val="center"/>
        <w:rPr>
          <w:rFonts w:cs="Times New Roman"/>
          <w:b/>
          <w:bCs/>
        </w:rPr>
      </w:pPr>
      <w:r w:rsidRPr="00B033A8">
        <w:rPr>
          <w:rFonts w:cs="Times New Roman"/>
          <w:b/>
          <w:bCs/>
        </w:rPr>
        <w:t>REPÚBLICA DE COLOMBIA</w:t>
      </w:r>
    </w:p>
    <w:p w14:paraId="3B4B0D00" w14:textId="77777777" w:rsidR="00655D45" w:rsidRPr="00B033A8" w:rsidRDefault="00655D45" w:rsidP="00776641">
      <w:pPr>
        <w:widowControl w:val="0"/>
        <w:autoSpaceDE w:val="0"/>
        <w:autoSpaceDN w:val="0"/>
        <w:adjustRightInd w:val="0"/>
        <w:ind w:right="51"/>
        <w:jc w:val="center"/>
        <w:rPr>
          <w:rFonts w:eastAsia="Calibri" w:cs="Times New Roman"/>
          <w:szCs w:val="28"/>
        </w:rPr>
      </w:pPr>
      <w:r w:rsidRPr="00B033A8">
        <w:rPr>
          <w:rFonts w:cs="Times New Roman"/>
          <w:b/>
          <w:noProof/>
          <w:lang w:eastAsia="es-CO"/>
        </w:rPr>
        <w:lastRenderedPageBreak/>
        <w:drawing>
          <wp:inline distT="0" distB="0" distL="0" distR="0" wp14:anchorId="7DD05AED" wp14:editId="3D3D3879">
            <wp:extent cx="1012190" cy="1012190"/>
            <wp:effectExtent l="0" t="0" r="0" b="0"/>
            <wp:docPr id="1"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2190" cy="1012190"/>
                    </a:xfrm>
                    <a:prstGeom prst="rect">
                      <a:avLst/>
                    </a:prstGeom>
                    <a:noFill/>
                  </pic:spPr>
                </pic:pic>
              </a:graphicData>
            </a:graphic>
          </wp:inline>
        </w:drawing>
      </w:r>
    </w:p>
    <w:p w14:paraId="493E83C7" w14:textId="77777777" w:rsidR="00655D45" w:rsidRPr="00B033A8" w:rsidRDefault="00655D45" w:rsidP="00776641">
      <w:pPr>
        <w:widowControl w:val="0"/>
        <w:autoSpaceDE w:val="0"/>
        <w:autoSpaceDN w:val="0"/>
        <w:adjustRightInd w:val="0"/>
        <w:ind w:right="51"/>
        <w:jc w:val="center"/>
        <w:rPr>
          <w:rFonts w:eastAsia="Calibri" w:cs="Times New Roman"/>
          <w:szCs w:val="28"/>
        </w:rPr>
      </w:pPr>
    </w:p>
    <w:p w14:paraId="7E524DC5" w14:textId="77777777" w:rsidR="00655D45" w:rsidRPr="00B033A8" w:rsidRDefault="00655D45" w:rsidP="00776641">
      <w:pPr>
        <w:jc w:val="center"/>
        <w:rPr>
          <w:rFonts w:cs="Times New Roman"/>
          <w:b/>
          <w:bCs/>
        </w:rPr>
      </w:pPr>
      <w:r w:rsidRPr="00B033A8">
        <w:rPr>
          <w:rFonts w:cs="Times New Roman"/>
          <w:b/>
          <w:bCs/>
        </w:rPr>
        <w:t>CORTE CONSTITUCIONAL</w:t>
      </w:r>
    </w:p>
    <w:p w14:paraId="367E6EA9" w14:textId="77777777" w:rsidR="00655D45" w:rsidRPr="00B033A8" w:rsidRDefault="00655D45" w:rsidP="00776641">
      <w:pPr>
        <w:jc w:val="center"/>
        <w:rPr>
          <w:rFonts w:cs="Times New Roman"/>
          <w:b/>
          <w:bCs/>
        </w:rPr>
      </w:pPr>
      <w:r w:rsidRPr="00B033A8">
        <w:rPr>
          <w:rFonts w:cs="Times New Roman"/>
          <w:b/>
          <w:bCs/>
        </w:rPr>
        <w:t>Sala Plena</w:t>
      </w:r>
    </w:p>
    <w:p w14:paraId="2B68190B" w14:textId="77777777" w:rsidR="00655D45" w:rsidRPr="00B033A8" w:rsidRDefault="00655D45" w:rsidP="00776641">
      <w:pPr>
        <w:jc w:val="center"/>
        <w:rPr>
          <w:rFonts w:cs="Times New Roman"/>
          <w:b/>
          <w:bCs/>
        </w:rPr>
      </w:pPr>
    </w:p>
    <w:p w14:paraId="5395980E" w14:textId="494576F8" w:rsidR="00655D45" w:rsidRPr="00B033A8" w:rsidRDefault="00655D45" w:rsidP="00776641">
      <w:pPr>
        <w:ind w:right="51"/>
        <w:jc w:val="center"/>
        <w:rPr>
          <w:rFonts w:eastAsia="Times New Roman" w:cs="Times New Roman"/>
          <w:b/>
          <w:szCs w:val="28"/>
        </w:rPr>
      </w:pPr>
      <w:r w:rsidRPr="00B033A8">
        <w:rPr>
          <w:rFonts w:eastAsia="Times New Roman" w:cs="Times New Roman"/>
          <w:b/>
          <w:szCs w:val="28"/>
        </w:rPr>
        <w:t>SENTENCIA C-</w:t>
      </w:r>
      <w:r w:rsidR="00530FBD" w:rsidRPr="00B033A8">
        <w:rPr>
          <w:rFonts w:eastAsia="Times New Roman" w:cs="Times New Roman"/>
          <w:b/>
          <w:szCs w:val="28"/>
        </w:rPr>
        <w:t>080</w:t>
      </w:r>
      <w:r w:rsidRPr="00B033A8">
        <w:rPr>
          <w:rFonts w:eastAsia="Times New Roman" w:cs="Times New Roman"/>
          <w:b/>
          <w:szCs w:val="28"/>
        </w:rPr>
        <w:t xml:space="preserve"> DE 202</w:t>
      </w:r>
      <w:r w:rsidR="00232972" w:rsidRPr="00B033A8">
        <w:rPr>
          <w:rFonts w:eastAsia="Times New Roman" w:cs="Times New Roman"/>
          <w:b/>
          <w:szCs w:val="28"/>
        </w:rPr>
        <w:t>5</w:t>
      </w:r>
    </w:p>
    <w:p w14:paraId="2CF741DB" w14:textId="77777777" w:rsidR="00655D45" w:rsidRPr="00B033A8" w:rsidRDefault="00655D45" w:rsidP="00776641">
      <w:pPr>
        <w:ind w:right="51"/>
        <w:jc w:val="center"/>
        <w:rPr>
          <w:rFonts w:eastAsia="Times New Roman" w:cs="Times New Roman"/>
          <w:b/>
          <w:szCs w:val="28"/>
        </w:rPr>
      </w:pPr>
    </w:p>
    <w:p w14:paraId="24A63033" w14:textId="107E74F8" w:rsidR="00655D45" w:rsidRPr="00B033A8" w:rsidRDefault="00655D45" w:rsidP="00776641">
      <w:pPr>
        <w:tabs>
          <w:tab w:val="left" w:pos="8789"/>
        </w:tabs>
        <w:ind w:left="3402" w:right="51"/>
        <w:rPr>
          <w:rFonts w:eastAsia="Times New Roman" w:cs="Times New Roman"/>
          <w:szCs w:val="28"/>
        </w:rPr>
      </w:pPr>
      <w:r w:rsidRPr="00B033A8">
        <w:rPr>
          <w:rFonts w:eastAsia="Times New Roman" w:cs="Times New Roman"/>
          <w:b/>
          <w:bCs/>
          <w:szCs w:val="28"/>
        </w:rPr>
        <w:t>Expediente:</w:t>
      </w:r>
      <w:r w:rsidRPr="00B033A8">
        <w:rPr>
          <w:rFonts w:eastAsia="Times New Roman" w:cs="Times New Roman"/>
          <w:szCs w:val="28"/>
        </w:rPr>
        <w:t xml:space="preserve"> D-15</w:t>
      </w:r>
      <w:r w:rsidR="00F33B51" w:rsidRPr="00B033A8">
        <w:rPr>
          <w:rFonts w:eastAsia="Times New Roman" w:cs="Times New Roman"/>
          <w:szCs w:val="28"/>
        </w:rPr>
        <w:t>954</w:t>
      </w:r>
    </w:p>
    <w:p w14:paraId="1693CC80" w14:textId="77777777" w:rsidR="00655D45" w:rsidRPr="00B033A8" w:rsidRDefault="00655D45" w:rsidP="00776641">
      <w:pPr>
        <w:ind w:left="3402" w:right="51"/>
        <w:rPr>
          <w:rFonts w:eastAsia="Times New Roman" w:cs="Times New Roman"/>
          <w:szCs w:val="28"/>
        </w:rPr>
      </w:pPr>
    </w:p>
    <w:p w14:paraId="715DE15A" w14:textId="2548037C" w:rsidR="007E4CC4" w:rsidRPr="00B033A8" w:rsidRDefault="00116277" w:rsidP="00776641">
      <w:pPr>
        <w:pBdr>
          <w:top w:val="nil"/>
          <w:left w:val="nil"/>
          <w:bottom w:val="nil"/>
          <w:right w:val="nil"/>
          <w:between w:val="nil"/>
        </w:pBdr>
        <w:ind w:left="3402"/>
        <w:rPr>
          <w:rFonts w:cs="Times New Roman"/>
          <w:color w:val="000000" w:themeColor="text1"/>
          <w:szCs w:val="28"/>
        </w:rPr>
      </w:pPr>
      <w:r w:rsidRPr="00B033A8">
        <w:rPr>
          <w:rFonts w:cs="Times New Roman"/>
          <w:b/>
          <w:bCs/>
          <w:color w:val="000000" w:themeColor="text1"/>
          <w:szCs w:val="28"/>
        </w:rPr>
        <w:t xml:space="preserve">Asunto: </w:t>
      </w:r>
      <w:r w:rsidRPr="00B033A8">
        <w:rPr>
          <w:rFonts w:cs="Times New Roman"/>
          <w:color w:val="000000" w:themeColor="text1"/>
          <w:szCs w:val="28"/>
        </w:rPr>
        <w:t>d</w:t>
      </w:r>
      <w:r w:rsidR="007E4CC4" w:rsidRPr="00B033A8">
        <w:rPr>
          <w:rFonts w:cs="Times New Roman"/>
          <w:color w:val="000000" w:themeColor="text1"/>
          <w:szCs w:val="28"/>
        </w:rPr>
        <w:t xml:space="preserve">emanda de inconstitucionalidad en contra del artículo 410A de la Ley 599 de 2000, </w:t>
      </w:r>
      <w:r w:rsidR="007C3306" w:rsidRPr="00B033A8">
        <w:rPr>
          <w:rFonts w:cs="Times New Roman"/>
          <w:color w:val="000000" w:themeColor="text1"/>
          <w:szCs w:val="28"/>
        </w:rPr>
        <w:t>adicionado por el artículo 27 de la Ley 1474 de 2011</w:t>
      </w:r>
    </w:p>
    <w:p w14:paraId="40C52419" w14:textId="77777777" w:rsidR="00655D45" w:rsidRPr="00B033A8" w:rsidRDefault="00655D45" w:rsidP="00776641">
      <w:pPr>
        <w:ind w:left="3402" w:right="51"/>
        <w:rPr>
          <w:rFonts w:eastAsia="Times New Roman" w:cs="Times New Roman"/>
          <w:szCs w:val="28"/>
        </w:rPr>
      </w:pPr>
    </w:p>
    <w:p w14:paraId="6606B7C9" w14:textId="77777777" w:rsidR="00655D45" w:rsidRPr="00B033A8" w:rsidRDefault="00655D45" w:rsidP="00776641">
      <w:pPr>
        <w:ind w:left="3402" w:right="51"/>
        <w:rPr>
          <w:rFonts w:eastAsia="Times New Roman" w:cs="Times New Roman"/>
          <w:b/>
          <w:szCs w:val="28"/>
        </w:rPr>
      </w:pPr>
      <w:r w:rsidRPr="00B033A8">
        <w:rPr>
          <w:rFonts w:eastAsia="Times New Roman" w:cs="Times New Roman"/>
          <w:b/>
          <w:szCs w:val="28"/>
        </w:rPr>
        <w:t>Magistrada ponente:</w:t>
      </w:r>
    </w:p>
    <w:p w14:paraId="2AC578A8" w14:textId="391B9A92" w:rsidR="00655D45" w:rsidRPr="00B033A8" w:rsidRDefault="00506EBF" w:rsidP="00776641">
      <w:pPr>
        <w:ind w:left="3402" w:right="51"/>
        <w:rPr>
          <w:rFonts w:eastAsia="Times New Roman" w:cs="Times New Roman"/>
          <w:bCs/>
          <w:szCs w:val="28"/>
        </w:rPr>
      </w:pPr>
      <w:r w:rsidRPr="00B033A8">
        <w:rPr>
          <w:rFonts w:eastAsia="Times New Roman" w:cs="Times New Roman"/>
          <w:bCs/>
          <w:szCs w:val="28"/>
        </w:rPr>
        <w:t>Paola Andrea Meneses Mosquera</w:t>
      </w:r>
    </w:p>
    <w:p w14:paraId="74B28850" w14:textId="77777777" w:rsidR="00655D45" w:rsidRPr="00B033A8" w:rsidRDefault="00655D45" w:rsidP="00776641">
      <w:pPr>
        <w:ind w:right="51"/>
        <w:rPr>
          <w:rFonts w:eastAsia="Times New Roman" w:cs="Times New Roman"/>
          <w:szCs w:val="28"/>
        </w:rPr>
      </w:pPr>
      <w:r w:rsidRPr="00B033A8">
        <w:rPr>
          <w:rFonts w:eastAsia="Times New Roman" w:cs="Times New Roman"/>
          <w:szCs w:val="28"/>
        </w:rPr>
        <w:t xml:space="preserve"> </w:t>
      </w:r>
    </w:p>
    <w:p w14:paraId="0024699D" w14:textId="5B634CA6" w:rsidR="00655D45" w:rsidRPr="00B033A8" w:rsidRDefault="00655D45" w:rsidP="00776641">
      <w:pPr>
        <w:ind w:right="51"/>
        <w:rPr>
          <w:rFonts w:eastAsia="Times New Roman" w:cs="Times New Roman"/>
          <w:szCs w:val="28"/>
        </w:rPr>
      </w:pPr>
      <w:r w:rsidRPr="00B033A8">
        <w:rPr>
          <w:rFonts w:eastAsia="Times New Roman" w:cs="Times New Roman"/>
          <w:szCs w:val="28"/>
        </w:rPr>
        <w:t xml:space="preserve">Bogotá, D. C., </w:t>
      </w:r>
      <w:r w:rsidR="00601AE8" w:rsidRPr="00B033A8">
        <w:rPr>
          <w:rFonts w:eastAsia="Times New Roman" w:cs="Times New Roman"/>
          <w:szCs w:val="28"/>
        </w:rPr>
        <w:t>seis</w:t>
      </w:r>
      <w:r w:rsidRPr="00B033A8">
        <w:rPr>
          <w:rFonts w:eastAsia="Times New Roman" w:cs="Times New Roman"/>
          <w:szCs w:val="28"/>
        </w:rPr>
        <w:t xml:space="preserve"> (</w:t>
      </w:r>
      <w:r w:rsidR="00601AE8" w:rsidRPr="00B033A8">
        <w:rPr>
          <w:rFonts w:eastAsia="Times New Roman" w:cs="Times New Roman"/>
          <w:szCs w:val="28"/>
        </w:rPr>
        <w:t>6</w:t>
      </w:r>
      <w:r w:rsidRPr="00B033A8">
        <w:rPr>
          <w:rFonts w:eastAsia="Times New Roman" w:cs="Times New Roman"/>
          <w:szCs w:val="28"/>
        </w:rPr>
        <w:t xml:space="preserve">) de </w:t>
      </w:r>
      <w:r w:rsidR="00601AE8" w:rsidRPr="00B033A8">
        <w:rPr>
          <w:rFonts w:eastAsia="Times New Roman" w:cs="Times New Roman"/>
          <w:szCs w:val="28"/>
        </w:rPr>
        <w:t>marzo</w:t>
      </w:r>
      <w:r w:rsidRPr="00B033A8">
        <w:rPr>
          <w:rFonts w:eastAsia="Times New Roman" w:cs="Times New Roman"/>
          <w:szCs w:val="28"/>
        </w:rPr>
        <w:t xml:space="preserve"> de dos mil veintic</w:t>
      </w:r>
      <w:r w:rsidR="00F33B51" w:rsidRPr="00B033A8">
        <w:rPr>
          <w:rFonts w:eastAsia="Times New Roman" w:cs="Times New Roman"/>
          <w:szCs w:val="28"/>
        </w:rPr>
        <w:t>inco</w:t>
      </w:r>
      <w:r w:rsidRPr="00B033A8">
        <w:rPr>
          <w:rFonts w:eastAsia="Times New Roman" w:cs="Times New Roman"/>
          <w:szCs w:val="28"/>
        </w:rPr>
        <w:t xml:space="preserve"> (202</w:t>
      </w:r>
      <w:r w:rsidR="00F33B51" w:rsidRPr="00B033A8">
        <w:rPr>
          <w:rFonts w:eastAsia="Times New Roman" w:cs="Times New Roman"/>
          <w:szCs w:val="28"/>
        </w:rPr>
        <w:t>5</w:t>
      </w:r>
      <w:r w:rsidRPr="00B033A8">
        <w:rPr>
          <w:rFonts w:eastAsia="Times New Roman" w:cs="Times New Roman"/>
          <w:szCs w:val="28"/>
        </w:rPr>
        <w:t>)</w:t>
      </w:r>
    </w:p>
    <w:p w14:paraId="0FF46BF4" w14:textId="77777777" w:rsidR="00655D45" w:rsidRPr="00B033A8" w:rsidRDefault="00655D45" w:rsidP="00776641">
      <w:pPr>
        <w:ind w:right="51"/>
        <w:rPr>
          <w:rFonts w:eastAsia="Calibri" w:cs="Times New Roman"/>
          <w:szCs w:val="28"/>
        </w:rPr>
      </w:pPr>
    </w:p>
    <w:p w14:paraId="2EDE20CC" w14:textId="77777777" w:rsidR="00655D45" w:rsidRPr="00B033A8" w:rsidRDefault="00655D45" w:rsidP="00776641">
      <w:pPr>
        <w:ind w:right="51"/>
        <w:rPr>
          <w:rFonts w:cs="Times New Roman"/>
          <w:szCs w:val="28"/>
        </w:rPr>
      </w:pPr>
      <w:r w:rsidRPr="00B033A8">
        <w:rPr>
          <w:rFonts w:cs="Times New Roman"/>
          <w:szCs w:val="28"/>
        </w:rPr>
        <w:t>La Sala Plena de la Corte Constitucional, en cumplimiento de sus atribuciones constitucionales y de los requisitos y trámites establecidos en el Decreto 2067 de 1991, profiere la siguiente</w:t>
      </w:r>
    </w:p>
    <w:p w14:paraId="1A9CF9F3" w14:textId="77777777" w:rsidR="00655D45" w:rsidRPr="00B033A8" w:rsidRDefault="00655D45" w:rsidP="00776641">
      <w:pPr>
        <w:ind w:right="51"/>
        <w:rPr>
          <w:rFonts w:cs="Times New Roman"/>
          <w:szCs w:val="28"/>
        </w:rPr>
      </w:pPr>
    </w:p>
    <w:p w14:paraId="132DA20B" w14:textId="77777777" w:rsidR="00655D45" w:rsidRPr="00B033A8" w:rsidRDefault="00655D45" w:rsidP="00776641">
      <w:pPr>
        <w:ind w:right="51"/>
        <w:jc w:val="center"/>
        <w:rPr>
          <w:rFonts w:eastAsia="Times New Roman" w:cs="Times New Roman"/>
          <w:bCs/>
          <w:szCs w:val="28"/>
        </w:rPr>
      </w:pPr>
      <w:r w:rsidRPr="00B033A8">
        <w:rPr>
          <w:rFonts w:eastAsia="Times New Roman" w:cs="Times New Roman"/>
          <w:b/>
          <w:szCs w:val="28"/>
        </w:rPr>
        <w:t>SENTENCIA</w:t>
      </w:r>
    </w:p>
    <w:p w14:paraId="58AE2D67" w14:textId="77777777" w:rsidR="00655D45" w:rsidRPr="00B033A8" w:rsidRDefault="00655D45" w:rsidP="00776641">
      <w:pPr>
        <w:rPr>
          <w:rFonts w:cs="Times New Roman"/>
        </w:rPr>
      </w:pPr>
      <w:bookmarkStart w:id="2" w:name="_Hlk121290156"/>
    </w:p>
    <w:p w14:paraId="2D10A51B" w14:textId="77777777" w:rsidR="00655D45" w:rsidRPr="00B033A8" w:rsidRDefault="00655D45" w:rsidP="00776641">
      <w:pPr>
        <w:jc w:val="center"/>
        <w:rPr>
          <w:rFonts w:cs="Times New Roman"/>
          <w:b/>
          <w:bCs/>
        </w:rPr>
      </w:pPr>
      <w:r w:rsidRPr="00B033A8">
        <w:rPr>
          <w:rFonts w:cs="Times New Roman"/>
          <w:b/>
          <w:bCs/>
        </w:rPr>
        <w:t>Síntesis de la decisión</w:t>
      </w:r>
    </w:p>
    <w:p w14:paraId="729ACABB" w14:textId="77777777" w:rsidR="00655D45" w:rsidRPr="00B033A8" w:rsidRDefault="00655D45" w:rsidP="00776641">
      <w:pPr>
        <w:jc w:val="center"/>
        <w:rPr>
          <w:rFonts w:cs="Times New Roman"/>
          <w:b/>
          <w:bCs/>
        </w:rPr>
      </w:pPr>
    </w:p>
    <w:p w14:paraId="44596110" w14:textId="4D59FE23" w:rsidR="00655D45" w:rsidRPr="00B033A8" w:rsidRDefault="004A273D" w:rsidP="00776641">
      <w:pPr>
        <w:rPr>
          <w:rFonts w:cs="Times New Roman"/>
          <w:lang w:val="es-ES_tradnl"/>
        </w:rPr>
      </w:pPr>
      <w:r w:rsidRPr="00B033A8">
        <w:rPr>
          <w:rFonts w:cs="Times New Roman"/>
          <w:b/>
          <w:bCs/>
          <w:lang w:val="es-ES_tradnl"/>
        </w:rPr>
        <w:t>Norma demandada.</w:t>
      </w:r>
      <w:r w:rsidRPr="00B033A8">
        <w:rPr>
          <w:rFonts w:cs="Times New Roman"/>
          <w:lang w:val="es-ES_tradnl"/>
        </w:rPr>
        <w:t xml:space="preserve"> La Sala Plena estudió una demanda de inconstitucionalidad en contra </w:t>
      </w:r>
      <w:r w:rsidRPr="00B033A8">
        <w:rPr>
          <w:rFonts w:cs="Times New Roman"/>
          <w:lang w:val="es-ES"/>
        </w:rPr>
        <w:t xml:space="preserve">del </w:t>
      </w:r>
      <w:r w:rsidRPr="00B033A8">
        <w:rPr>
          <w:rFonts w:cs="Times New Roman"/>
          <w:color w:val="000000" w:themeColor="text1"/>
          <w:szCs w:val="28"/>
        </w:rPr>
        <w:t>artículo 410A de la Ley 599 de 2000, “por la cual se expide el Código Penal”, adicionado por el artículo 27 de la Ley 1474 de 2011. La norma demandada creó el tipo penal de</w:t>
      </w:r>
      <w:r w:rsidR="00B17F63" w:rsidRPr="00B033A8">
        <w:rPr>
          <w:rFonts w:cs="Times New Roman"/>
          <w:color w:val="000000" w:themeColor="text1"/>
          <w:szCs w:val="28"/>
        </w:rPr>
        <w:t>nominado</w:t>
      </w:r>
      <w:r w:rsidRPr="00B033A8">
        <w:rPr>
          <w:rFonts w:cs="Times New Roman"/>
          <w:color w:val="000000" w:themeColor="text1"/>
          <w:szCs w:val="28"/>
        </w:rPr>
        <w:t xml:space="preserve"> “acuerdos restrictivos de la competencia”</w:t>
      </w:r>
      <w:r w:rsidR="00B17F63" w:rsidRPr="00B033A8">
        <w:rPr>
          <w:rFonts w:cs="Times New Roman"/>
          <w:color w:val="000000" w:themeColor="text1"/>
          <w:szCs w:val="28"/>
        </w:rPr>
        <w:t xml:space="preserve">. Este tipo penal sanciona al </w:t>
      </w:r>
      <w:r w:rsidRPr="00B033A8">
        <w:rPr>
          <w:rFonts w:cs="Times New Roman"/>
          <w:color w:val="000000" w:themeColor="text1"/>
          <w:szCs w:val="28"/>
        </w:rPr>
        <w:t>“que en un proceso de licitación pública, subasta pública, selección abreviada o concurso se concertare con otro con el fin de alterar ilícitamente el procedimiento contractual”</w:t>
      </w:r>
      <w:r w:rsidR="00D02655" w:rsidRPr="00B033A8">
        <w:rPr>
          <w:rFonts w:cs="Times New Roman"/>
          <w:color w:val="000000" w:themeColor="text1"/>
          <w:szCs w:val="28"/>
        </w:rPr>
        <w:t>.</w:t>
      </w:r>
    </w:p>
    <w:p w14:paraId="39986EB0" w14:textId="77777777" w:rsidR="004A273D" w:rsidRPr="00B033A8" w:rsidRDefault="004A273D" w:rsidP="00776641">
      <w:pPr>
        <w:rPr>
          <w:rFonts w:cs="Times New Roman"/>
          <w:b/>
          <w:bCs/>
          <w:lang w:val="es-ES_tradnl"/>
        </w:rPr>
      </w:pPr>
    </w:p>
    <w:p w14:paraId="2DA0541F" w14:textId="59C28D8E" w:rsidR="00314040" w:rsidRPr="00B033A8" w:rsidRDefault="004A273D" w:rsidP="00776641">
      <w:pPr>
        <w:rPr>
          <w:rFonts w:cs="Times New Roman"/>
          <w:color w:val="000000" w:themeColor="text1"/>
        </w:rPr>
      </w:pPr>
      <w:r w:rsidRPr="00B033A8">
        <w:rPr>
          <w:rFonts w:cs="Times New Roman"/>
          <w:b/>
          <w:bCs/>
          <w:lang w:val="es-ES_tradnl"/>
        </w:rPr>
        <w:t>La demanda</w:t>
      </w:r>
      <w:r w:rsidR="00E17BD7" w:rsidRPr="00B033A8">
        <w:rPr>
          <w:rFonts w:cs="Times New Roman"/>
          <w:b/>
          <w:bCs/>
          <w:lang w:val="es-ES_tradnl"/>
        </w:rPr>
        <w:t xml:space="preserve">. </w:t>
      </w:r>
      <w:r w:rsidR="00D02655" w:rsidRPr="00B033A8">
        <w:rPr>
          <w:rFonts w:cs="Times New Roman"/>
          <w:lang w:val="es-ES_tradnl"/>
        </w:rPr>
        <w:t>El demandante</w:t>
      </w:r>
      <w:r w:rsidR="002A01F5" w:rsidRPr="00B033A8">
        <w:rPr>
          <w:rFonts w:cs="Times New Roman"/>
          <w:lang w:val="es-ES_tradnl"/>
        </w:rPr>
        <w:t xml:space="preserve"> </w:t>
      </w:r>
      <w:r w:rsidR="002A6CA9" w:rsidRPr="00B033A8">
        <w:rPr>
          <w:rFonts w:cs="Times New Roman"/>
          <w:lang w:val="es-ES_tradnl"/>
        </w:rPr>
        <w:t xml:space="preserve">solicitó a la Corte declarar la </w:t>
      </w:r>
      <w:proofErr w:type="spellStart"/>
      <w:r w:rsidR="00514A6C" w:rsidRPr="00B033A8">
        <w:rPr>
          <w:rFonts w:cs="Times New Roman"/>
          <w:lang w:val="es-ES_tradnl"/>
        </w:rPr>
        <w:t>i</w:t>
      </w:r>
      <w:r w:rsidR="002A6CA9" w:rsidRPr="00B033A8">
        <w:rPr>
          <w:rFonts w:cs="Times New Roman"/>
          <w:lang w:val="es-ES_tradnl"/>
        </w:rPr>
        <w:t>nexequibilidad</w:t>
      </w:r>
      <w:proofErr w:type="spellEnd"/>
      <w:r w:rsidR="002A6CA9" w:rsidRPr="00B033A8">
        <w:rPr>
          <w:rFonts w:cs="Times New Roman"/>
          <w:lang w:val="es-ES_tradnl"/>
        </w:rPr>
        <w:t xml:space="preserve"> del artículo 410A del Código Penal</w:t>
      </w:r>
      <w:r w:rsidR="003C49AD" w:rsidRPr="00B033A8">
        <w:rPr>
          <w:rFonts w:cs="Times New Roman"/>
          <w:lang w:val="es-ES_tradnl"/>
        </w:rPr>
        <w:t xml:space="preserve">, por considerar </w:t>
      </w:r>
      <w:r w:rsidR="002A01F5" w:rsidRPr="00B033A8">
        <w:rPr>
          <w:rFonts w:cs="Times New Roman"/>
          <w:lang w:val="es-ES_tradnl"/>
        </w:rPr>
        <w:t xml:space="preserve">que </w:t>
      </w:r>
      <w:r w:rsidR="0007658B" w:rsidRPr="00B033A8">
        <w:rPr>
          <w:rFonts w:cs="Times New Roman"/>
          <w:lang w:val="es-ES_tradnl"/>
        </w:rPr>
        <w:t>vulnera</w:t>
      </w:r>
      <w:r w:rsidR="005522E6" w:rsidRPr="00B033A8">
        <w:rPr>
          <w:rFonts w:cs="Times New Roman"/>
          <w:lang w:val="es-ES_tradnl"/>
        </w:rPr>
        <w:t>ba</w:t>
      </w:r>
      <w:r w:rsidR="0007658B" w:rsidRPr="00B033A8">
        <w:rPr>
          <w:rFonts w:cs="Times New Roman"/>
          <w:lang w:val="es-ES_tradnl"/>
        </w:rPr>
        <w:t xml:space="preserve"> el principio de legalidad estricta o tipicidad</w:t>
      </w:r>
      <w:r w:rsidR="00332BD9" w:rsidRPr="00B033A8">
        <w:rPr>
          <w:rFonts w:cs="Times New Roman"/>
          <w:lang w:val="es-ES_tradnl"/>
        </w:rPr>
        <w:t xml:space="preserve"> en materia penal</w:t>
      </w:r>
      <w:r w:rsidR="0007658B" w:rsidRPr="00B033A8">
        <w:rPr>
          <w:rFonts w:cs="Times New Roman"/>
          <w:lang w:val="es-ES_tradnl"/>
        </w:rPr>
        <w:t xml:space="preserve">, consagrado en </w:t>
      </w:r>
      <w:r w:rsidR="00A0198E" w:rsidRPr="00B033A8">
        <w:rPr>
          <w:rFonts w:cs="Times New Roman"/>
          <w:lang w:val="es-ES_tradnl"/>
        </w:rPr>
        <w:t xml:space="preserve">los </w:t>
      </w:r>
      <w:r w:rsidR="00A0198E" w:rsidRPr="00B033A8">
        <w:rPr>
          <w:rFonts w:cs="Times New Roman"/>
          <w:color w:val="000000" w:themeColor="text1"/>
        </w:rPr>
        <w:t>artículos 6, 28 y 29 de la Constitución Política y 9º de la C</w:t>
      </w:r>
      <w:r w:rsidR="004533C6" w:rsidRPr="00B033A8">
        <w:rPr>
          <w:rFonts w:cs="Times New Roman"/>
          <w:color w:val="000000" w:themeColor="text1"/>
        </w:rPr>
        <w:t xml:space="preserve">onvención </w:t>
      </w:r>
      <w:r w:rsidR="00A0198E" w:rsidRPr="00B033A8">
        <w:rPr>
          <w:rFonts w:cs="Times New Roman"/>
          <w:color w:val="000000" w:themeColor="text1"/>
        </w:rPr>
        <w:t>A</w:t>
      </w:r>
      <w:r w:rsidR="004533C6" w:rsidRPr="00B033A8">
        <w:rPr>
          <w:rFonts w:cs="Times New Roman"/>
          <w:color w:val="000000" w:themeColor="text1"/>
        </w:rPr>
        <w:t xml:space="preserve">mericana sobre los </w:t>
      </w:r>
      <w:r w:rsidR="00A0198E" w:rsidRPr="00B033A8">
        <w:rPr>
          <w:rFonts w:cs="Times New Roman"/>
          <w:color w:val="000000" w:themeColor="text1"/>
        </w:rPr>
        <w:t>D</w:t>
      </w:r>
      <w:r w:rsidR="004533C6" w:rsidRPr="00B033A8">
        <w:rPr>
          <w:rFonts w:cs="Times New Roman"/>
          <w:color w:val="000000" w:themeColor="text1"/>
        </w:rPr>
        <w:t xml:space="preserve">erechos </w:t>
      </w:r>
      <w:r w:rsidR="00A0198E" w:rsidRPr="00B033A8">
        <w:rPr>
          <w:rFonts w:cs="Times New Roman"/>
          <w:color w:val="000000" w:themeColor="text1"/>
        </w:rPr>
        <w:t>H</w:t>
      </w:r>
      <w:r w:rsidR="004533C6" w:rsidRPr="00B033A8">
        <w:rPr>
          <w:rFonts w:cs="Times New Roman"/>
          <w:color w:val="000000" w:themeColor="text1"/>
        </w:rPr>
        <w:t>umanos</w:t>
      </w:r>
      <w:r w:rsidR="0007658B" w:rsidRPr="00B033A8">
        <w:rPr>
          <w:rFonts w:cs="Times New Roman"/>
          <w:lang w:val="es-ES_tradnl"/>
        </w:rPr>
        <w:t xml:space="preserve">. </w:t>
      </w:r>
      <w:r w:rsidR="00332BD9" w:rsidRPr="00B033A8">
        <w:rPr>
          <w:rFonts w:cs="Times New Roman"/>
          <w:lang w:val="es-ES_tradnl"/>
        </w:rPr>
        <w:t>Sostuvo que</w:t>
      </w:r>
      <w:r w:rsidR="0007658B" w:rsidRPr="00B033A8">
        <w:rPr>
          <w:rFonts w:cs="Times New Roman"/>
          <w:lang w:val="es-ES_tradnl"/>
        </w:rPr>
        <w:t xml:space="preserve"> la expresión “</w:t>
      </w:r>
      <w:r w:rsidR="0007658B" w:rsidRPr="00B033A8">
        <w:rPr>
          <w:rFonts w:cs="Times New Roman"/>
          <w:i/>
          <w:iCs/>
          <w:lang w:val="es-ES_tradnl"/>
        </w:rPr>
        <w:t>alterar ilícitamente</w:t>
      </w:r>
      <w:r w:rsidR="0007658B" w:rsidRPr="00B033A8">
        <w:rPr>
          <w:rFonts w:cs="Times New Roman"/>
          <w:lang w:val="es-ES_tradnl"/>
        </w:rPr>
        <w:t xml:space="preserve">” </w:t>
      </w:r>
      <w:r w:rsidR="0007658B" w:rsidRPr="00B033A8">
        <w:rPr>
          <w:rFonts w:cs="Times New Roman"/>
          <w:color w:val="000000" w:themeColor="text1"/>
        </w:rPr>
        <w:t>genera una indeterminación insuperable de la conducta sancionable.</w:t>
      </w:r>
      <w:r w:rsidR="00305F3A" w:rsidRPr="00B033A8">
        <w:rPr>
          <w:rFonts w:cs="Times New Roman"/>
          <w:color w:val="000000" w:themeColor="text1"/>
        </w:rPr>
        <w:t xml:space="preserve"> </w:t>
      </w:r>
      <w:r w:rsidR="00D76C20" w:rsidRPr="00B033A8">
        <w:rPr>
          <w:rFonts w:cs="Times New Roman"/>
          <w:color w:val="000000" w:themeColor="text1"/>
        </w:rPr>
        <w:t>Esto,</w:t>
      </w:r>
      <w:r w:rsidR="005522E6" w:rsidRPr="00B033A8">
        <w:rPr>
          <w:rFonts w:cs="Times New Roman"/>
          <w:color w:val="000000" w:themeColor="text1"/>
        </w:rPr>
        <w:t xml:space="preserve"> porque</w:t>
      </w:r>
      <w:r w:rsidR="00D76C20" w:rsidRPr="00B033A8">
        <w:rPr>
          <w:rFonts w:cs="Times New Roman"/>
          <w:color w:val="000000" w:themeColor="text1"/>
        </w:rPr>
        <w:t xml:space="preserve"> tiene tal grado de vaguedad y ambigüedad que no permite a los destinatarios de la norma </w:t>
      </w:r>
      <w:r w:rsidR="00D76C20" w:rsidRPr="00B033A8">
        <w:rPr>
          <w:rFonts w:cs="Times New Roman"/>
          <w:color w:val="000000" w:themeColor="text1"/>
        </w:rPr>
        <w:lastRenderedPageBreak/>
        <w:t>conocer cuáles son las conductas que podrían dar lugar a la responsabilidad penal.</w:t>
      </w:r>
      <w:r w:rsidR="00952D5F" w:rsidRPr="00B033A8">
        <w:rPr>
          <w:rFonts w:cs="Times New Roman"/>
          <w:color w:val="000000" w:themeColor="text1"/>
        </w:rPr>
        <w:t xml:space="preserve"> </w:t>
      </w:r>
      <w:r w:rsidR="005522E6" w:rsidRPr="00B033A8">
        <w:rPr>
          <w:rFonts w:cs="Times New Roman"/>
          <w:color w:val="000000" w:themeColor="text1"/>
        </w:rPr>
        <w:t xml:space="preserve">Por otra parte, </w:t>
      </w:r>
      <w:r w:rsidR="00332BD9" w:rsidRPr="00B033A8">
        <w:rPr>
          <w:rFonts w:cs="Times New Roman"/>
          <w:color w:val="000000" w:themeColor="text1"/>
        </w:rPr>
        <w:t>argumentó</w:t>
      </w:r>
      <w:r w:rsidR="005522E6" w:rsidRPr="00B033A8">
        <w:rPr>
          <w:rFonts w:cs="Times New Roman"/>
          <w:color w:val="000000" w:themeColor="text1"/>
        </w:rPr>
        <w:t xml:space="preserve"> que la norma demandada no satisface los requisitos de tipicidad de los tipos penales en blanco que han sido desarrollados por la jurisprudencia constitucional. </w:t>
      </w:r>
    </w:p>
    <w:p w14:paraId="36426C64" w14:textId="77777777" w:rsidR="00D76C20" w:rsidRPr="00B033A8" w:rsidRDefault="00D76C20" w:rsidP="00776641">
      <w:pPr>
        <w:rPr>
          <w:rFonts w:cs="Times New Roman"/>
          <w:b/>
          <w:bCs/>
          <w:lang w:val="es-ES_tradnl"/>
        </w:rPr>
      </w:pPr>
    </w:p>
    <w:p w14:paraId="4AEC9D9C" w14:textId="435A47F7" w:rsidR="004A273D" w:rsidRPr="00B033A8" w:rsidRDefault="004A273D" w:rsidP="00776641">
      <w:pPr>
        <w:rPr>
          <w:rFonts w:cs="Times New Roman"/>
          <w:b/>
          <w:bCs/>
          <w:lang w:val="es-ES_tradnl"/>
        </w:rPr>
      </w:pPr>
      <w:r w:rsidRPr="00B033A8">
        <w:rPr>
          <w:rFonts w:cs="Times New Roman"/>
          <w:b/>
          <w:bCs/>
          <w:lang w:val="es-ES_tradnl"/>
        </w:rPr>
        <w:t>Examen de la Corte.</w:t>
      </w:r>
      <w:r w:rsidR="008D6F7D" w:rsidRPr="00B033A8">
        <w:rPr>
          <w:rFonts w:cs="Times New Roman"/>
          <w:b/>
          <w:bCs/>
          <w:lang w:val="es-ES_tradnl"/>
        </w:rPr>
        <w:t xml:space="preserve"> </w:t>
      </w:r>
      <w:r w:rsidR="008D6F7D" w:rsidRPr="00B033A8">
        <w:rPr>
          <w:rFonts w:cs="Times New Roman"/>
          <w:color w:val="000000" w:themeColor="text1"/>
        </w:rPr>
        <w:t xml:space="preserve">La Sala Plena concluyó que el artículo 410A </w:t>
      </w:r>
      <w:r w:rsidR="00B17F63" w:rsidRPr="00B033A8">
        <w:rPr>
          <w:rFonts w:cs="Times New Roman"/>
          <w:color w:val="000000" w:themeColor="text1"/>
        </w:rPr>
        <w:t xml:space="preserve">del Código Penal </w:t>
      </w:r>
      <w:r w:rsidR="008D6F7D" w:rsidRPr="00B033A8">
        <w:rPr>
          <w:rFonts w:cs="Times New Roman"/>
          <w:color w:val="000000" w:themeColor="text1"/>
        </w:rPr>
        <w:t>no vulnera el principio de legalidad estricta</w:t>
      </w:r>
      <w:r w:rsidR="00B17F63" w:rsidRPr="00B033A8">
        <w:rPr>
          <w:rFonts w:cs="Times New Roman"/>
          <w:color w:val="000000" w:themeColor="text1"/>
        </w:rPr>
        <w:t xml:space="preserve"> o tipicidad</w:t>
      </w:r>
      <w:r w:rsidR="008D6F7D" w:rsidRPr="00B033A8">
        <w:rPr>
          <w:rFonts w:cs="Times New Roman"/>
          <w:color w:val="000000" w:themeColor="text1"/>
        </w:rPr>
        <w:t xml:space="preserve">. </w:t>
      </w:r>
      <w:r w:rsidR="00B17F63" w:rsidRPr="00B033A8">
        <w:rPr>
          <w:rFonts w:cs="Times New Roman"/>
          <w:color w:val="000000" w:themeColor="text1"/>
        </w:rPr>
        <w:t>La Corte consideró</w:t>
      </w:r>
      <w:r w:rsidR="00887B72" w:rsidRPr="00B033A8">
        <w:rPr>
          <w:rFonts w:cs="Times New Roman"/>
          <w:color w:val="000000" w:themeColor="text1"/>
        </w:rPr>
        <w:t xml:space="preserve"> </w:t>
      </w:r>
      <w:r w:rsidR="005522E6" w:rsidRPr="00B033A8">
        <w:rPr>
          <w:rFonts w:cs="Times New Roman"/>
          <w:color w:val="000000" w:themeColor="text1"/>
        </w:rPr>
        <w:t xml:space="preserve">que </w:t>
      </w:r>
      <w:r w:rsidR="00887B72" w:rsidRPr="00B033A8">
        <w:rPr>
          <w:rFonts w:cs="Times New Roman"/>
          <w:color w:val="000000" w:themeColor="text1"/>
        </w:rPr>
        <w:t xml:space="preserve">el artículo 410A </w:t>
      </w:r>
      <w:r w:rsidR="00FC7524" w:rsidRPr="00B033A8">
        <w:rPr>
          <w:rFonts w:cs="Times New Roman"/>
          <w:color w:val="000000" w:themeColor="text1"/>
        </w:rPr>
        <w:t>prevé un tipo penal en blanco, porque</w:t>
      </w:r>
      <w:r w:rsidR="00887B72" w:rsidRPr="00B033A8">
        <w:rPr>
          <w:rFonts w:cs="Times New Roman"/>
          <w:color w:val="000000" w:themeColor="text1"/>
        </w:rPr>
        <w:t xml:space="preserve"> la expresión “ilícitamente” es una fórmula de reenvío </w:t>
      </w:r>
      <w:r w:rsidR="00FC7524" w:rsidRPr="00B033A8">
        <w:rPr>
          <w:rFonts w:cs="Times New Roman"/>
          <w:color w:val="000000" w:themeColor="text1"/>
        </w:rPr>
        <w:t>a una norma extrapenal. La Sala Plena constató que esta fórmula de remisión</w:t>
      </w:r>
      <w:r w:rsidR="00887B72" w:rsidRPr="00B033A8">
        <w:rPr>
          <w:rFonts w:cs="Times New Roman"/>
          <w:color w:val="000000" w:themeColor="text1"/>
        </w:rPr>
        <w:t xml:space="preserve"> satisface los requisitos de constitucionalidad de los tipos penales de remisión propia</w:t>
      </w:r>
      <w:r w:rsidR="00B17F63" w:rsidRPr="00B033A8">
        <w:rPr>
          <w:rFonts w:cs="Times New Roman"/>
          <w:color w:val="000000" w:themeColor="text1"/>
        </w:rPr>
        <w:t xml:space="preserve"> que la jurisprudencia constitucional ha desarrollado.</w:t>
      </w:r>
      <w:r w:rsidR="0026574B" w:rsidRPr="00B033A8">
        <w:rPr>
          <w:rFonts w:cs="Times New Roman"/>
          <w:color w:val="000000" w:themeColor="text1"/>
        </w:rPr>
        <w:t xml:space="preserve"> </w:t>
      </w:r>
      <w:r w:rsidR="00887B72" w:rsidRPr="00B033A8">
        <w:rPr>
          <w:rFonts w:cs="Times New Roman"/>
          <w:i/>
          <w:iCs/>
          <w:color w:val="000000" w:themeColor="text1"/>
        </w:rPr>
        <w:t>Primero</w:t>
      </w:r>
      <w:r w:rsidR="00887B72" w:rsidRPr="00B033A8">
        <w:rPr>
          <w:rFonts w:cs="Times New Roman"/>
          <w:color w:val="000000" w:themeColor="text1"/>
        </w:rPr>
        <w:t xml:space="preserve">, la norma de remisión es claramente identificable. </w:t>
      </w:r>
      <w:r w:rsidR="00B17F63" w:rsidRPr="00B033A8">
        <w:rPr>
          <w:rFonts w:cs="Times New Roman"/>
          <w:color w:val="000000" w:themeColor="text1"/>
        </w:rPr>
        <w:t>Al respecto, la Sala Plena encontró que una</w:t>
      </w:r>
      <w:r w:rsidR="00887B72" w:rsidRPr="00B033A8">
        <w:rPr>
          <w:rFonts w:cs="Times New Roman"/>
          <w:color w:val="000000" w:themeColor="text1"/>
        </w:rPr>
        <w:t xml:space="preserve"> interpretación sistemática del </w:t>
      </w:r>
      <w:proofErr w:type="spellStart"/>
      <w:r w:rsidR="00887B72" w:rsidRPr="00B033A8">
        <w:rPr>
          <w:rFonts w:cs="Times New Roman"/>
          <w:i/>
          <w:iCs/>
          <w:color w:val="000000" w:themeColor="text1"/>
        </w:rPr>
        <w:t>nomen</w:t>
      </w:r>
      <w:proofErr w:type="spellEnd"/>
      <w:r w:rsidR="00887B72" w:rsidRPr="00B033A8">
        <w:rPr>
          <w:rFonts w:cs="Times New Roman"/>
          <w:i/>
          <w:iCs/>
          <w:color w:val="000000" w:themeColor="text1"/>
        </w:rPr>
        <w:t xml:space="preserve"> iuris</w:t>
      </w:r>
      <w:r w:rsidR="00887B72" w:rsidRPr="00B033A8">
        <w:rPr>
          <w:rFonts w:cs="Times New Roman"/>
          <w:color w:val="000000" w:themeColor="text1"/>
        </w:rPr>
        <w:t>, el inciso 1º y el parágrafo de</w:t>
      </w:r>
      <w:r w:rsidR="00B17F63" w:rsidRPr="00B033A8">
        <w:rPr>
          <w:rFonts w:cs="Times New Roman"/>
          <w:color w:val="000000" w:themeColor="text1"/>
        </w:rPr>
        <w:t>l artículo 410A del Código Penal</w:t>
      </w:r>
      <w:r w:rsidR="00861BB8" w:rsidRPr="00B033A8">
        <w:rPr>
          <w:rFonts w:cs="Times New Roman"/>
          <w:color w:val="000000" w:themeColor="text1"/>
        </w:rPr>
        <w:t xml:space="preserve">, así como </w:t>
      </w:r>
      <w:r w:rsidR="00B17F63" w:rsidRPr="00B033A8">
        <w:rPr>
          <w:rFonts w:cs="Times New Roman"/>
          <w:color w:val="000000" w:themeColor="text1"/>
        </w:rPr>
        <w:t>de sus</w:t>
      </w:r>
      <w:r w:rsidR="00861BB8" w:rsidRPr="00B033A8">
        <w:rPr>
          <w:rFonts w:cs="Times New Roman"/>
          <w:color w:val="000000" w:themeColor="text1"/>
        </w:rPr>
        <w:t xml:space="preserve"> antecedentes legislativos,</w:t>
      </w:r>
      <w:r w:rsidR="00887B72" w:rsidRPr="00B033A8">
        <w:rPr>
          <w:rFonts w:cs="Times New Roman"/>
          <w:color w:val="000000" w:themeColor="text1"/>
        </w:rPr>
        <w:t xml:space="preserve"> permiten inferir, sin lugar a equívocos, que el tipo penal debe integrarse, exclusivamente, con el artículo 47.9 del Decreto 2153 de 1992, el cual prohíbe los acuerdos restrictivos de la competencia en procesos de contratación pública, también denominados acuerdos colusorios. </w:t>
      </w:r>
      <w:r w:rsidR="00887B72" w:rsidRPr="00B033A8">
        <w:rPr>
          <w:rFonts w:cs="Times New Roman"/>
          <w:i/>
          <w:iCs/>
          <w:color w:val="000000" w:themeColor="text1"/>
        </w:rPr>
        <w:t>Segundo</w:t>
      </w:r>
      <w:r w:rsidR="00887B72" w:rsidRPr="00B033A8">
        <w:rPr>
          <w:rFonts w:cs="Times New Roman"/>
          <w:color w:val="000000" w:themeColor="text1"/>
        </w:rPr>
        <w:t xml:space="preserve">, el artículo 47.9 del Decreto 2153 de 1992 tiene rango material de ley y es anterior a la tipificación de la conducta punible. </w:t>
      </w:r>
      <w:r w:rsidR="00887B72" w:rsidRPr="00B033A8">
        <w:rPr>
          <w:rFonts w:cs="Times New Roman"/>
          <w:i/>
          <w:iCs/>
          <w:color w:val="000000" w:themeColor="text1"/>
        </w:rPr>
        <w:t>Tercero</w:t>
      </w:r>
      <w:r w:rsidR="00887B72" w:rsidRPr="00B033A8">
        <w:rPr>
          <w:rFonts w:cs="Times New Roman"/>
          <w:color w:val="000000" w:themeColor="text1"/>
        </w:rPr>
        <w:t xml:space="preserve">, la norma de remisión permite al intérprete determinar inequívocamente el alcance de la conducta penalizada. </w:t>
      </w:r>
      <w:r w:rsidR="00B17F63" w:rsidRPr="00B033A8">
        <w:rPr>
          <w:rFonts w:cs="Times New Roman"/>
          <w:color w:val="000000" w:themeColor="text1"/>
        </w:rPr>
        <w:t>Esto porque</w:t>
      </w:r>
      <w:r w:rsidR="00887B72" w:rsidRPr="00B033A8">
        <w:rPr>
          <w:rFonts w:cs="Times New Roman"/>
          <w:color w:val="000000" w:themeColor="text1"/>
        </w:rPr>
        <w:t xml:space="preserve">, </w:t>
      </w:r>
      <w:r w:rsidR="00887B72" w:rsidRPr="00B033A8">
        <w:rPr>
          <w:rFonts w:cs="Times New Roman"/>
          <w:i/>
          <w:iCs/>
          <w:color w:val="000000" w:themeColor="text1"/>
        </w:rPr>
        <w:t>(i)</w:t>
      </w:r>
      <w:r w:rsidR="00887B72" w:rsidRPr="00B033A8">
        <w:rPr>
          <w:rFonts w:cs="Times New Roman"/>
          <w:color w:val="000000" w:themeColor="text1"/>
        </w:rPr>
        <w:t xml:space="preserve"> el artículo 47.9 de 215</w:t>
      </w:r>
      <w:r w:rsidR="005522E6" w:rsidRPr="00B033A8">
        <w:rPr>
          <w:rFonts w:cs="Times New Roman"/>
          <w:color w:val="000000" w:themeColor="text1"/>
        </w:rPr>
        <w:t>3 de 1992</w:t>
      </w:r>
      <w:r w:rsidR="00887B72" w:rsidRPr="00B033A8">
        <w:rPr>
          <w:rFonts w:cs="Times New Roman"/>
          <w:color w:val="000000" w:themeColor="text1"/>
        </w:rPr>
        <w:t xml:space="preserve"> prevé una prohibición clara y precisa de los acuerdos restrictivos de la competencia en procesos de contratación pública y </w:t>
      </w:r>
      <w:r w:rsidR="00887B72" w:rsidRPr="00B033A8">
        <w:rPr>
          <w:rFonts w:cs="Times New Roman"/>
          <w:i/>
          <w:iCs/>
          <w:color w:val="000000" w:themeColor="text1"/>
        </w:rPr>
        <w:t>(</w:t>
      </w:r>
      <w:proofErr w:type="spellStart"/>
      <w:r w:rsidR="00887B72" w:rsidRPr="00B033A8">
        <w:rPr>
          <w:rFonts w:cs="Times New Roman"/>
          <w:i/>
          <w:iCs/>
          <w:color w:val="000000" w:themeColor="text1"/>
        </w:rPr>
        <w:t>ii</w:t>
      </w:r>
      <w:proofErr w:type="spellEnd"/>
      <w:r w:rsidR="00887B72" w:rsidRPr="00B033A8">
        <w:rPr>
          <w:rFonts w:cs="Times New Roman"/>
          <w:i/>
          <w:iCs/>
          <w:color w:val="000000" w:themeColor="text1"/>
        </w:rPr>
        <w:t>)</w:t>
      </w:r>
      <w:r w:rsidR="00887B72" w:rsidRPr="00B033A8">
        <w:rPr>
          <w:rFonts w:cs="Times New Roman"/>
          <w:color w:val="000000" w:themeColor="text1"/>
        </w:rPr>
        <w:t xml:space="preserve"> la SIC </w:t>
      </w:r>
      <w:r w:rsidR="00861BB8" w:rsidRPr="00B033A8">
        <w:rPr>
          <w:rFonts w:cs="Times New Roman"/>
          <w:color w:val="000000" w:themeColor="text1"/>
        </w:rPr>
        <w:t>–</w:t>
      </w:r>
      <w:r w:rsidR="00887B72" w:rsidRPr="00B033A8">
        <w:rPr>
          <w:rFonts w:cs="Times New Roman"/>
          <w:color w:val="000000" w:themeColor="text1"/>
        </w:rPr>
        <w:t>máxima autoridad de competencia</w:t>
      </w:r>
      <w:r w:rsidR="00861BB8" w:rsidRPr="00B033A8">
        <w:rPr>
          <w:rFonts w:cs="Times New Roman"/>
          <w:color w:val="000000" w:themeColor="text1"/>
        </w:rPr>
        <w:t>–</w:t>
      </w:r>
      <w:r w:rsidR="00887B72" w:rsidRPr="00B033A8">
        <w:rPr>
          <w:rFonts w:cs="Times New Roman"/>
          <w:color w:val="000000" w:themeColor="text1"/>
        </w:rPr>
        <w:t xml:space="preserve"> ha delimitado y desarrollado los elementos de estos acuerdos de forma consistente. </w:t>
      </w:r>
    </w:p>
    <w:p w14:paraId="209FBF0B" w14:textId="77777777" w:rsidR="004A273D" w:rsidRPr="00B033A8" w:rsidRDefault="004A273D" w:rsidP="00776641">
      <w:pPr>
        <w:rPr>
          <w:rFonts w:cs="Times New Roman"/>
          <w:b/>
          <w:bCs/>
          <w:lang w:val="es-ES_tradnl"/>
        </w:rPr>
      </w:pPr>
    </w:p>
    <w:p w14:paraId="21EC5DBF" w14:textId="4E01D82F" w:rsidR="004A273D" w:rsidRPr="00B033A8" w:rsidRDefault="004A273D" w:rsidP="00776641">
      <w:pPr>
        <w:rPr>
          <w:rFonts w:cs="Times New Roman"/>
          <w:iCs/>
        </w:rPr>
      </w:pPr>
      <w:r w:rsidRPr="00B033A8">
        <w:rPr>
          <w:rFonts w:cs="Times New Roman"/>
          <w:b/>
          <w:bCs/>
          <w:lang w:val="es-ES_tradnl"/>
        </w:rPr>
        <w:t>Decisión.</w:t>
      </w:r>
      <w:r w:rsidR="001B3D20" w:rsidRPr="00B033A8">
        <w:rPr>
          <w:rFonts w:cs="Times New Roman"/>
          <w:b/>
          <w:bCs/>
          <w:lang w:val="es-ES_tradnl"/>
        </w:rPr>
        <w:t xml:space="preserve"> </w:t>
      </w:r>
      <w:r w:rsidR="001B3D20" w:rsidRPr="00B033A8">
        <w:rPr>
          <w:rFonts w:cs="Times New Roman"/>
          <w:lang w:val="es-ES_tradnl"/>
        </w:rPr>
        <w:t xml:space="preserve">Con fundamento en las anteriores consideraciones, la Corte resolvió declarar la </w:t>
      </w:r>
      <w:proofErr w:type="spellStart"/>
      <w:r w:rsidR="001B3D20" w:rsidRPr="00B033A8">
        <w:rPr>
          <w:rFonts w:cs="Times New Roman"/>
          <w:lang w:val="es-ES_tradnl"/>
        </w:rPr>
        <w:t>exequibilidad</w:t>
      </w:r>
      <w:proofErr w:type="spellEnd"/>
      <w:r w:rsidR="001B3D20" w:rsidRPr="00B033A8">
        <w:rPr>
          <w:rFonts w:cs="Times New Roman"/>
          <w:lang w:val="es-ES_tradnl"/>
        </w:rPr>
        <w:t xml:space="preserve"> del artículo 410A del Código Penal, </w:t>
      </w:r>
      <w:r w:rsidR="001B3D20" w:rsidRPr="00B033A8">
        <w:rPr>
          <w:rFonts w:cs="Times New Roman"/>
        </w:rPr>
        <w:t>en relación con el cargo por</w:t>
      </w:r>
      <w:r w:rsidR="001B3D20" w:rsidRPr="00B033A8">
        <w:rPr>
          <w:rFonts w:cs="Times New Roman"/>
          <w:iCs/>
        </w:rPr>
        <w:t xml:space="preserve"> la presunta vulneración del </w:t>
      </w:r>
      <w:r w:rsidR="00EA74D9" w:rsidRPr="00B033A8">
        <w:rPr>
          <w:rFonts w:cs="Times New Roman"/>
          <w:iCs/>
        </w:rPr>
        <w:t>principio de legalidad estricta o tipicidad</w:t>
      </w:r>
      <w:r w:rsidR="00320C2F" w:rsidRPr="00B033A8">
        <w:rPr>
          <w:rFonts w:cs="Times New Roman"/>
          <w:iCs/>
        </w:rPr>
        <w:t xml:space="preserve"> en materia penal</w:t>
      </w:r>
      <w:r w:rsidR="001B3D20" w:rsidRPr="00B033A8">
        <w:rPr>
          <w:rFonts w:cs="Times New Roman"/>
          <w:iCs/>
        </w:rPr>
        <w:t>.</w:t>
      </w:r>
    </w:p>
    <w:p w14:paraId="33ED84BF" w14:textId="77777777" w:rsidR="00655D45" w:rsidRPr="00B033A8" w:rsidRDefault="00655D45" w:rsidP="00776641">
      <w:pPr>
        <w:rPr>
          <w:rFonts w:cs="Times New Roman"/>
        </w:rPr>
      </w:pPr>
    </w:p>
    <w:p w14:paraId="3A0A5660" w14:textId="77777777" w:rsidR="00655D45" w:rsidRPr="00B033A8" w:rsidRDefault="00655D45" w:rsidP="00776641">
      <w:pPr>
        <w:pStyle w:val="Ttulo1"/>
        <w:numPr>
          <w:ilvl w:val="0"/>
          <w:numId w:val="10"/>
        </w:numPr>
        <w:spacing w:before="0"/>
        <w:rPr>
          <w:rStyle w:val="Ttulo1Car"/>
          <w:rFonts w:cs="Times New Roman"/>
          <w:b/>
        </w:rPr>
      </w:pPr>
      <w:r w:rsidRPr="00B033A8">
        <w:rPr>
          <w:rStyle w:val="Ttulo1Car"/>
          <w:rFonts w:cs="Times New Roman"/>
          <w:b/>
        </w:rPr>
        <w:t>ANTECEDENTES</w:t>
      </w:r>
    </w:p>
    <w:p w14:paraId="39A06330" w14:textId="77777777" w:rsidR="00655D45" w:rsidRPr="00B033A8" w:rsidRDefault="00655D45" w:rsidP="00776641">
      <w:pPr>
        <w:pStyle w:val="Cuerpo"/>
        <w:tabs>
          <w:tab w:val="left" w:pos="567"/>
        </w:tabs>
        <w:ind w:right="-93"/>
        <w:contextualSpacing/>
        <w:jc w:val="both"/>
        <w:rPr>
          <w:rFonts w:cs="Times New Roman"/>
        </w:rPr>
      </w:pPr>
    </w:p>
    <w:p w14:paraId="5909F8C2" w14:textId="77777777" w:rsidR="00655D45" w:rsidRPr="00B033A8" w:rsidRDefault="00655D45" w:rsidP="00776641">
      <w:pPr>
        <w:pStyle w:val="Ttulo2"/>
        <w:numPr>
          <w:ilvl w:val="0"/>
          <w:numId w:val="11"/>
        </w:numPr>
        <w:rPr>
          <w:rFonts w:cs="Times New Roman"/>
        </w:rPr>
      </w:pPr>
      <w:r w:rsidRPr="00B033A8">
        <w:rPr>
          <w:rFonts w:cs="Times New Roman"/>
        </w:rPr>
        <w:t>Trámite procesal</w:t>
      </w:r>
    </w:p>
    <w:bookmarkEnd w:id="2"/>
    <w:p w14:paraId="6E991FE3" w14:textId="77777777" w:rsidR="00655D45" w:rsidRPr="00B033A8" w:rsidRDefault="00655D45" w:rsidP="00776641">
      <w:pPr>
        <w:pStyle w:val="Prrafodelista"/>
        <w:spacing w:line="240" w:lineRule="auto"/>
        <w:ind w:left="0"/>
      </w:pPr>
    </w:p>
    <w:p w14:paraId="03693982" w14:textId="6E4828C3" w:rsidR="00655D45" w:rsidRPr="00B033A8" w:rsidRDefault="00655D45" w:rsidP="00776641">
      <w:pPr>
        <w:numPr>
          <w:ilvl w:val="0"/>
          <w:numId w:val="12"/>
        </w:numPr>
        <w:tabs>
          <w:tab w:val="left" w:pos="567"/>
        </w:tabs>
        <w:ind w:left="0" w:firstLine="0"/>
        <w:rPr>
          <w:rFonts w:cs="Times New Roman"/>
          <w:bCs/>
          <w:szCs w:val="28"/>
        </w:rPr>
      </w:pPr>
      <w:r w:rsidRPr="00B033A8">
        <w:rPr>
          <w:rFonts w:cs="Times New Roman"/>
        </w:rPr>
        <w:t xml:space="preserve">El </w:t>
      </w:r>
      <w:r w:rsidR="00197A04" w:rsidRPr="00B033A8">
        <w:rPr>
          <w:rFonts w:cs="Times New Roman"/>
        </w:rPr>
        <w:t>28 de junio de 2024</w:t>
      </w:r>
      <w:r w:rsidRPr="00B033A8">
        <w:rPr>
          <w:rFonts w:cs="Times New Roman"/>
        </w:rPr>
        <w:t xml:space="preserve">, </w:t>
      </w:r>
      <w:r w:rsidR="00197A04" w:rsidRPr="00B033A8">
        <w:rPr>
          <w:rFonts w:cs="Times New Roman"/>
          <w:szCs w:val="28"/>
        </w:rPr>
        <w:t>el ciudadano Wilfredo Robayo Galvis</w:t>
      </w:r>
      <w:r w:rsidRPr="00B033A8">
        <w:rPr>
          <w:rFonts w:cs="Times New Roman"/>
          <w:szCs w:val="28"/>
        </w:rPr>
        <w:t xml:space="preserve"> (“</w:t>
      </w:r>
      <w:r w:rsidRPr="00B033A8">
        <w:rPr>
          <w:rFonts w:cs="Times New Roman"/>
          <w:szCs w:val="28"/>
          <w:u w:val="single"/>
        </w:rPr>
        <w:t>demandante</w:t>
      </w:r>
      <w:r w:rsidRPr="00B033A8">
        <w:rPr>
          <w:rFonts w:cs="Times New Roman"/>
          <w:szCs w:val="28"/>
        </w:rPr>
        <w:t xml:space="preserve">”) presentó demanda de acción pública de inconstitucionalidad </w:t>
      </w:r>
      <w:r w:rsidRPr="00B033A8">
        <w:rPr>
          <w:rFonts w:cs="Times New Roman"/>
          <w:lang w:val="es-ES"/>
        </w:rPr>
        <w:t>en contra de</w:t>
      </w:r>
      <w:r w:rsidR="001179D3" w:rsidRPr="00B033A8">
        <w:rPr>
          <w:rFonts w:cs="Times New Roman"/>
          <w:lang w:val="es-ES"/>
        </w:rPr>
        <w:t xml:space="preserve">l </w:t>
      </w:r>
      <w:r w:rsidR="001179D3" w:rsidRPr="00B033A8">
        <w:rPr>
          <w:rFonts w:cs="Times New Roman"/>
          <w:color w:val="000000" w:themeColor="text1"/>
          <w:szCs w:val="28"/>
        </w:rPr>
        <w:t xml:space="preserve">artículo 410A de la Ley 599 de 2000, </w:t>
      </w:r>
      <w:r w:rsidR="00E86273" w:rsidRPr="00B033A8">
        <w:rPr>
          <w:rFonts w:cs="Times New Roman"/>
          <w:color w:val="000000" w:themeColor="text1"/>
          <w:szCs w:val="28"/>
        </w:rPr>
        <w:t>a</w:t>
      </w:r>
      <w:r w:rsidR="001179D3" w:rsidRPr="00B033A8">
        <w:rPr>
          <w:rFonts w:cs="Times New Roman"/>
          <w:color w:val="000000" w:themeColor="text1"/>
          <w:szCs w:val="28"/>
        </w:rPr>
        <w:t>dicionado por el artículo 27 de la Ley 1474 de 2011</w:t>
      </w:r>
      <w:r w:rsidRPr="00B033A8">
        <w:rPr>
          <w:rFonts w:cs="Times New Roman"/>
          <w:lang w:val="es-ES"/>
        </w:rPr>
        <w:t xml:space="preserve">. </w:t>
      </w:r>
      <w:r w:rsidR="001179D3" w:rsidRPr="00B033A8">
        <w:rPr>
          <w:rFonts w:cs="Times New Roman"/>
          <w:lang w:val="es-ES"/>
        </w:rPr>
        <w:t>El</w:t>
      </w:r>
      <w:r w:rsidRPr="00B033A8">
        <w:rPr>
          <w:rFonts w:cs="Times New Roman"/>
          <w:lang w:val="es-ES"/>
        </w:rPr>
        <w:t xml:space="preserve"> demandante sostuvo que </w:t>
      </w:r>
      <w:r w:rsidR="00F320C6" w:rsidRPr="00B033A8">
        <w:rPr>
          <w:rFonts w:cs="Times New Roman"/>
          <w:lang w:val="es-ES"/>
        </w:rPr>
        <w:t xml:space="preserve">el artículo </w:t>
      </w:r>
      <w:r w:rsidR="00F20FEC" w:rsidRPr="00B033A8">
        <w:rPr>
          <w:rFonts w:cs="Times New Roman"/>
          <w:lang w:val="es-ES"/>
        </w:rPr>
        <w:t xml:space="preserve">demandado contrariaba </w:t>
      </w:r>
      <w:r w:rsidR="00F320C6" w:rsidRPr="00B033A8">
        <w:rPr>
          <w:rFonts w:cs="Times New Roman"/>
          <w:lang w:val="es-ES"/>
        </w:rPr>
        <w:t>el artículo 29 de la Constitución Política</w:t>
      </w:r>
      <w:r w:rsidR="00F20FEC" w:rsidRPr="00B033A8">
        <w:rPr>
          <w:rFonts w:cs="Times New Roman"/>
          <w:lang w:val="es-ES"/>
        </w:rPr>
        <w:t xml:space="preserve">, </w:t>
      </w:r>
      <w:r w:rsidR="007C4C6F" w:rsidRPr="00B033A8">
        <w:rPr>
          <w:rFonts w:cs="Times New Roman"/>
          <w:lang w:val="es-ES"/>
        </w:rPr>
        <w:t xml:space="preserve">porque </w:t>
      </w:r>
      <w:r w:rsidR="00F20FEC" w:rsidRPr="00B033A8">
        <w:rPr>
          <w:rFonts w:cs="Times New Roman"/>
          <w:lang w:val="es-ES"/>
        </w:rPr>
        <w:t>violaba</w:t>
      </w:r>
      <w:r w:rsidR="00EE6733" w:rsidRPr="00B033A8">
        <w:rPr>
          <w:rFonts w:cs="Times New Roman"/>
          <w:lang w:val="es-ES"/>
        </w:rPr>
        <w:t xml:space="preserve"> </w:t>
      </w:r>
      <w:r w:rsidR="00EE6733" w:rsidRPr="00B033A8">
        <w:rPr>
          <w:rFonts w:cs="Times New Roman"/>
          <w:i/>
          <w:iCs/>
          <w:lang w:val="es-ES"/>
        </w:rPr>
        <w:t>(i)</w:t>
      </w:r>
      <w:r w:rsidR="00EE6733" w:rsidRPr="00B033A8">
        <w:rPr>
          <w:rFonts w:cs="Times New Roman"/>
          <w:lang w:val="es-ES"/>
        </w:rPr>
        <w:t xml:space="preserve"> </w:t>
      </w:r>
      <w:r w:rsidR="00F20FEC" w:rsidRPr="00B033A8">
        <w:rPr>
          <w:rFonts w:cs="Times New Roman"/>
          <w:lang w:val="es-ES"/>
        </w:rPr>
        <w:t>el</w:t>
      </w:r>
      <w:r w:rsidR="00EE6733" w:rsidRPr="00B033A8">
        <w:rPr>
          <w:rFonts w:cs="Times New Roman"/>
          <w:lang w:val="es-ES"/>
        </w:rPr>
        <w:t xml:space="preserve"> principio de tipicidad estricta;</w:t>
      </w:r>
      <w:r w:rsidR="00EE6733" w:rsidRPr="00B033A8">
        <w:rPr>
          <w:rFonts w:cs="Times New Roman"/>
          <w:i/>
          <w:iCs/>
          <w:lang w:val="es-ES"/>
        </w:rPr>
        <w:t xml:space="preserve"> (</w:t>
      </w:r>
      <w:proofErr w:type="spellStart"/>
      <w:r w:rsidR="00EE6733" w:rsidRPr="00B033A8">
        <w:rPr>
          <w:rFonts w:cs="Times New Roman"/>
          <w:i/>
          <w:iCs/>
          <w:lang w:val="es-ES"/>
        </w:rPr>
        <w:t>ii</w:t>
      </w:r>
      <w:proofErr w:type="spellEnd"/>
      <w:r w:rsidR="00EE6733" w:rsidRPr="00B033A8">
        <w:rPr>
          <w:rFonts w:cs="Times New Roman"/>
          <w:i/>
          <w:iCs/>
          <w:lang w:val="es-ES"/>
        </w:rPr>
        <w:t>)</w:t>
      </w:r>
      <w:r w:rsidR="00EE6733" w:rsidRPr="00B033A8">
        <w:rPr>
          <w:rFonts w:cs="Times New Roman"/>
          <w:lang w:val="es-ES"/>
        </w:rPr>
        <w:t xml:space="preserve"> los principios de </w:t>
      </w:r>
      <w:r w:rsidR="00030CFF" w:rsidRPr="00B033A8">
        <w:rPr>
          <w:rFonts w:cs="Times New Roman"/>
          <w:lang w:val="es-ES"/>
        </w:rPr>
        <w:t xml:space="preserve">proporcionalidad, necesidad y subsidiariedad </w:t>
      </w:r>
      <w:r w:rsidR="00C6131A" w:rsidRPr="00B033A8">
        <w:rPr>
          <w:rFonts w:cs="Times New Roman"/>
          <w:lang w:val="es-ES"/>
        </w:rPr>
        <w:t xml:space="preserve">de la pena </w:t>
      </w:r>
      <w:r w:rsidR="00030CFF" w:rsidRPr="00B033A8">
        <w:rPr>
          <w:rFonts w:cs="Times New Roman"/>
          <w:lang w:val="es-ES"/>
        </w:rPr>
        <w:t>y</w:t>
      </w:r>
      <w:r w:rsidR="00086CDC" w:rsidRPr="00B033A8">
        <w:rPr>
          <w:rFonts w:cs="Times New Roman"/>
          <w:lang w:val="es-ES"/>
        </w:rPr>
        <w:t>, por último,</w:t>
      </w:r>
      <w:r w:rsidR="00030CFF" w:rsidRPr="00B033A8">
        <w:rPr>
          <w:rFonts w:cs="Times New Roman"/>
          <w:lang w:val="es-ES"/>
        </w:rPr>
        <w:t xml:space="preserve"> </w:t>
      </w:r>
      <w:r w:rsidR="00030CFF" w:rsidRPr="00B033A8">
        <w:rPr>
          <w:rFonts w:cs="Times New Roman"/>
          <w:i/>
          <w:iCs/>
          <w:lang w:val="es-ES"/>
        </w:rPr>
        <w:t>(</w:t>
      </w:r>
      <w:proofErr w:type="spellStart"/>
      <w:r w:rsidR="00030CFF" w:rsidRPr="00B033A8">
        <w:rPr>
          <w:rFonts w:cs="Times New Roman"/>
          <w:i/>
          <w:iCs/>
          <w:lang w:val="es-ES"/>
        </w:rPr>
        <w:t>iii</w:t>
      </w:r>
      <w:proofErr w:type="spellEnd"/>
      <w:r w:rsidR="00030CFF" w:rsidRPr="00B033A8">
        <w:rPr>
          <w:rFonts w:cs="Times New Roman"/>
          <w:i/>
          <w:iCs/>
          <w:lang w:val="es-ES"/>
        </w:rPr>
        <w:t>)</w:t>
      </w:r>
      <w:r w:rsidR="00030CFF" w:rsidRPr="00B033A8">
        <w:rPr>
          <w:rFonts w:cs="Times New Roman"/>
          <w:lang w:val="es-ES"/>
        </w:rPr>
        <w:t xml:space="preserve"> </w:t>
      </w:r>
      <w:r w:rsidR="00F20FEC" w:rsidRPr="00B033A8">
        <w:rPr>
          <w:rFonts w:cs="Times New Roman"/>
          <w:lang w:val="es-ES"/>
        </w:rPr>
        <w:t xml:space="preserve">el </w:t>
      </w:r>
      <w:r w:rsidR="00030CFF" w:rsidRPr="00B033A8">
        <w:rPr>
          <w:rFonts w:cs="Times New Roman"/>
          <w:lang w:val="es-ES"/>
        </w:rPr>
        <w:t xml:space="preserve">principio de </w:t>
      </w:r>
      <w:r w:rsidR="00030CFF" w:rsidRPr="00B033A8">
        <w:rPr>
          <w:rFonts w:cs="Times New Roman"/>
          <w:i/>
          <w:iCs/>
          <w:lang w:val="es-ES"/>
        </w:rPr>
        <w:t xml:space="preserve">non bis in </w:t>
      </w:r>
      <w:proofErr w:type="spellStart"/>
      <w:r w:rsidR="00030CFF" w:rsidRPr="00B033A8">
        <w:rPr>
          <w:rFonts w:cs="Times New Roman"/>
          <w:i/>
          <w:iCs/>
          <w:lang w:val="es-ES"/>
        </w:rPr>
        <w:t>idem</w:t>
      </w:r>
      <w:proofErr w:type="spellEnd"/>
      <w:r w:rsidR="00030CFF" w:rsidRPr="00B033A8">
        <w:rPr>
          <w:rFonts w:cs="Times New Roman"/>
          <w:lang w:val="es-ES"/>
        </w:rPr>
        <w:t>.</w:t>
      </w:r>
    </w:p>
    <w:p w14:paraId="76CFF53C" w14:textId="77777777" w:rsidR="00655D45" w:rsidRPr="00B033A8" w:rsidRDefault="00655D45" w:rsidP="00776641">
      <w:pPr>
        <w:tabs>
          <w:tab w:val="left" w:pos="567"/>
        </w:tabs>
        <w:rPr>
          <w:rFonts w:cs="Times New Roman"/>
          <w:szCs w:val="28"/>
        </w:rPr>
      </w:pPr>
    </w:p>
    <w:p w14:paraId="4DD3039E" w14:textId="5B1D74E5" w:rsidR="00655D45" w:rsidRPr="00B033A8" w:rsidRDefault="00655D45" w:rsidP="00776641">
      <w:pPr>
        <w:numPr>
          <w:ilvl w:val="0"/>
          <w:numId w:val="12"/>
        </w:numPr>
        <w:tabs>
          <w:tab w:val="left" w:pos="567"/>
        </w:tabs>
        <w:ind w:left="0" w:firstLine="0"/>
        <w:rPr>
          <w:rFonts w:cs="Times New Roman"/>
        </w:rPr>
      </w:pPr>
      <w:r w:rsidRPr="00B033A8">
        <w:rPr>
          <w:rFonts w:cs="Times New Roman"/>
          <w:szCs w:val="28"/>
        </w:rPr>
        <w:t xml:space="preserve">El </w:t>
      </w:r>
      <w:bookmarkStart w:id="3" w:name="_Hlk132223246"/>
      <w:r w:rsidR="00421A24" w:rsidRPr="00B033A8">
        <w:rPr>
          <w:rFonts w:cs="Times New Roman"/>
          <w:bCs/>
          <w:color w:val="000000" w:themeColor="text1"/>
          <w:lang w:val="es-ES"/>
        </w:rPr>
        <w:t>26 de julio de 2024</w:t>
      </w:r>
      <w:r w:rsidRPr="00B033A8">
        <w:rPr>
          <w:rFonts w:cs="Times New Roman"/>
          <w:bCs/>
          <w:color w:val="000000" w:themeColor="text1"/>
          <w:lang w:val="es-ES"/>
        </w:rPr>
        <w:t xml:space="preserve">, la magistrada sustanciadora inadmitió la demanda, por considerar que los pretendidos cargos no cumplían con las exigencias </w:t>
      </w:r>
      <w:r w:rsidRPr="00B033A8">
        <w:rPr>
          <w:rFonts w:cs="Times New Roman"/>
          <w:bCs/>
          <w:color w:val="000000" w:themeColor="text1"/>
          <w:lang w:val="es-ES"/>
        </w:rPr>
        <w:lastRenderedPageBreak/>
        <w:t>argumentativas generales de las demandas de inconstitucionalidad</w:t>
      </w:r>
      <w:r w:rsidRPr="00B033A8">
        <w:rPr>
          <w:rStyle w:val="Refdenotaalpie"/>
          <w:rFonts w:cs="Times New Roman"/>
          <w:bCs/>
          <w:color w:val="000000" w:themeColor="text1"/>
          <w:lang w:val="es-ES"/>
        </w:rPr>
        <w:footnoteReference w:id="2"/>
      </w:r>
      <w:r w:rsidRPr="00B033A8">
        <w:rPr>
          <w:rFonts w:cs="Times New Roman"/>
          <w:bCs/>
          <w:color w:val="000000" w:themeColor="text1"/>
          <w:lang w:val="es-ES"/>
        </w:rPr>
        <w:t xml:space="preserve">. </w:t>
      </w:r>
      <w:bookmarkEnd w:id="3"/>
      <w:r w:rsidRPr="00B033A8">
        <w:rPr>
          <w:rFonts w:cs="Times New Roman"/>
          <w:szCs w:val="28"/>
        </w:rPr>
        <w:t xml:space="preserve">El </w:t>
      </w:r>
      <w:r w:rsidR="00C05F09" w:rsidRPr="00B033A8">
        <w:rPr>
          <w:rFonts w:cs="Times New Roman"/>
          <w:szCs w:val="28"/>
        </w:rPr>
        <w:t>2 de agosto de 2024</w:t>
      </w:r>
      <w:r w:rsidRPr="00B033A8">
        <w:rPr>
          <w:rFonts w:cs="Times New Roman"/>
          <w:szCs w:val="28"/>
        </w:rPr>
        <w:t xml:space="preserve">, dentro del término legal, </w:t>
      </w:r>
      <w:r w:rsidR="00D02A56" w:rsidRPr="00B033A8">
        <w:rPr>
          <w:rFonts w:cs="Times New Roman"/>
          <w:szCs w:val="28"/>
        </w:rPr>
        <w:t>el</w:t>
      </w:r>
      <w:r w:rsidRPr="00B033A8">
        <w:rPr>
          <w:rFonts w:cs="Times New Roman"/>
          <w:szCs w:val="28"/>
        </w:rPr>
        <w:t xml:space="preserve"> demandante presentó escrito de corrección</w:t>
      </w:r>
      <w:r w:rsidRPr="00B033A8">
        <w:rPr>
          <w:rStyle w:val="Refdenotaalpie"/>
          <w:rFonts w:cs="Times New Roman"/>
          <w:szCs w:val="28"/>
        </w:rPr>
        <w:footnoteReference w:id="3"/>
      </w:r>
      <w:r w:rsidR="00C6131A" w:rsidRPr="00B033A8">
        <w:rPr>
          <w:rFonts w:cs="Times New Roman"/>
          <w:szCs w:val="28"/>
        </w:rPr>
        <w:t xml:space="preserve">. </w:t>
      </w:r>
    </w:p>
    <w:p w14:paraId="5205E42E" w14:textId="77777777" w:rsidR="00C6131A" w:rsidRPr="00B033A8" w:rsidRDefault="00C6131A" w:rsidP="00776641">
      <w:pPr>
        <w:tabs>
          <w:tab w:val="left" w:pos="567"/>
        </w:tabs>
        <w:rPr>
          <w:rFonts w:cs="Times New Roman"/>
        </w:rPr>
      </w:pPr>
    </w:p>
    <w:p w14:paraId="333E9D90" w14:textId="2718FC21" w:rsidR="00655D45" w:rsidRPr="00B033A8" w:rsidRDefault="00655D45" w:rsidP="00776641">
      <w:pPr>
        <w:numPr>
          <w:ilvl w:val="0"/>
          <w:numId w:val="12"/>
        </w:numPr>
        <w:tabs>
          <w:tab w:val="left" w:pos="567"/>
        </w:tabs>
        <w:ind w:left="0" w:firstLine="0"/>
        <w:rPr>
          <w:rFonts w:cs="Times New Roman"/>
          <w:i/>
          <w:iCs/>
          <w:szCs w:val="28"/>
          <w:shd w:val="clear" w:color="auto" w:fill="FFFFFF" w:themeFill="background1"/>
        </w:rPr>
      </w:pPr>
      <w:r w:rsidRPr="00B033A8">
        <w:rPr>
          <w:rFonts w:cs="Times New Roman"/>
          <w:szCs w:val="28"/>
        </w:rPr>
        <w:t xml:space="preserve">Mediante auto de </w:t>
      </w:r>
      <w:r w:rsidR="00BD7ED7" w:rsidRPr="00B033A8">
        <w:rPr>
          <w:rFonts w:cs="Times New Roman"/>
          <w:szCs w:val="28"/>
        </w:rPr>
        <w:t>21 de agosto de 2024</w:t>
      </w:r>
      <w:r w:rsidRPr="00B033A8">
        <w:rPr>
          <w:rFonts w:cs="Times New Roman"/>
          <w:szCs w:val="28"/>
        </w:rPr>
        <w:t xml:space="preserve">, la magistrada sustanciadora: </w:t>
      </w:r>
      <w:bookmarkStart w:id="4" w:name="_Hlk132227560"/>
      <w:r w:rsidRPr="00B033A8">
        <w:rPr>
          <w:rFonts w:cs="Times New Roman"/>
          <w:i/>
          <w:szCs w:val="28"/>
          <w:shd w:val="clear" w:color="auto" w:fill="FFFFFF" w:themeFill="background1"/>
        </w:rPr>
        <w:t>(i)</w:t>
      </w:r>
      <w:r w:rsidRPr="00B033A8">
        <w:rPr>
          <w:rFonts w:cs="Times New Roman"/>
          <w:szCs w:val="28"/>
          <w:shd w:val="clear" w:color="auto" w:fill="FFFFFF" w:themeFill="background1"/>
        </w:rPr>
        <w:t xml:space="preserve"> </w:t>
      </w:r>
      <w:bookmarkEnd w:id="4"/>
      <w:r w:rsidRPr="00B033A8">
        <w:rPr>
          <w:rFonts w:cs="Times New Roman"/>
          <w:szCs w:val="28"/>
          <w:shd w:val="clear" w:color="auto" w:fill="FFFFFF" w:themeFill="background1"/>
        </w:rPr>
        <w:t xml:space="preserve">admitió </w:t>
      </w:r>
      <w:r w:rsidR="007D789A" w:rsidRPr="00B033A8">
        <w:rPr>
          <w:rFonts w:cs="Times New Roman"/>
          <w:szCs w:val="28"/>
          <w:shd w:val="clear" w:color="auto" w:fill="FFFFFF" w:themeFill="background1"/>
        </w:rPr>
        <w:t xml:space="preserve">el cargo primero de </w:t>
      </w:r>
      <w:r w:rsidRPr="00B033A8">
        <w:rPr>
          <w:rFonts w:cs="Times New Roman"/>
          <w:szCs w:val="28"/>
          <w:shd w:val="clear" w:color="auto" w:fill="FFFFFF" w:themeFill="background1"/>
        </w:rPr>
        <w:t>la demanda</w:t>
      </w:r>
      <w:r w:rsidR="00F20FEC" w:rsidRPr="00B033A8">
        <w:rPr>
          <w:rFonts w:cs="Times New Roman"/>
          <w:szCs w:val="28"/>
          <w:shd w:val="clear" w:color="auto" w:fill="FFFFFF" w:themeFill="background1"/>
        </w:rPr>
        <w:t xml:space="preserve"> por violación al principio de tipicidad </w:t>
      </w:r>
      <w:r w:rsidR="00A5489D" w:rsidRPr="00B033A8">
        <w:rPr>
          <w:rFonts w:cs="Times New Roman"/>
          <w:szCs w:val="28"/>
          <w:shd w:val="clear" w:color="auto" w:fill="FFFFFF" w:themeFill="background1"/>
        </w:rPr>
        <w:t>estricta</w:t>
      </w:r>
      <w:r w:rsidR="00F20FEC" w:rsidRPr="00B033A8">
        <w:rPr>
          <w:rFonts w:cs="Times New Roman"/>
          <w:szCs w:val="28"/>
          <w:shd w:val="clear" w:color="auto" w:fill="FFFFFF" w:themeFill="background1"/>
        </w:rPr>
        <w:t xml:space="preserve"> (art. 29 de la CP)</w:t>
      </w:r>
      <w:r w:rsidRPr="00B033A8">
        <w:rPr>
          <w:rFonts w:cs="Times New Roman"/>
          <w:szCs w:val="28"/>
          <w:shd w:val="clear" w:color="auto" w:fill="FFFFFF" w:themeFill="background1"/>
        </w:rPr>
        <w:t xml:space="preserve">; </w:t>
      </w:r>
      <w:r w:rsidRPr="00B033A8">
        <w:rPr>
          <w:rFonts w:cs="Times New Roman"/>
          <w:i/>
          <w:iCs/>
          <w:szCs w:val="28"/>
          <w:shd w:val="clear" w:color="auto" w:fill="FFFFFF" w:themeFill="background1"/>
        </w:rPr>
        <w:t>(</w:t>
      </w:r>
      <w:proofErr w:type="spellStart"/>
      <w:r w:rsidRPr="00B033A8">
        <w:rPr>
          <w:rFonts w:cs="Times New Roman"/>
          <w:i/>
          <w:iCs/>
          <w:szCs w:val="28"/>
          <w:shd w:val="clear" w:color="auto" w:fill="FFFFFF" w:themeFill="background1"/>
        </w:rPr>
        <w:t>ii</w:t>
      </w:r>
      <w:proofErr w:type="spellEnd"/>
      <w:r w:rsidRPr="00B033A8">
        <w:rPr>
          <w:rFonts w:cs="Times New Roman"/>
          <w:i/>
          <w:iCs/>
          <w:szCs w:val="28"/>
          <w:shd w:val="clear" w:color="auto" w:fill="FFFFFF" w:themeFill="background1"/>
        </w:rPr>
        <w:t xml:space="preserve">) </w:t>
      </w:r>
      <w:r w:rsidR="00DF4E7A" w:rsidRPr="00B033A8">
        <w:rPr>
          <w:rFonts w:cs="Times New Roman"/>
          <w:szCs w:val="28"/>
          <w:shd w:val="clear" w:color="auto" w:fill="FFFFFF" w:themeFill="background1"/>
        </w:rPr>
        <w:t xml:space="preserve">rechazó los cargos segundo y tercero; </w:t>
      </w:r>
      <w:r w:rsidR="00DF4E7A" w:rsidRPr="00B033A8">
        <w:rPr>
          <w:rFonts w:cs="Times New Roman"/>
          <w:i/>
          <w:iCs/>
          <w:szCs w:val="28"/>
          <w:shd w:val="clear" w:color="auto" w:fill="FFFFFF" w:themeFill="background1"/>
        </w:rPr>
        <w:t>(</w:t>
      </w:r>
      <w:proofErr w:type="spellStart"/>
      <w:r w:rsidR="00DF4E7A" w:rsidRPr="00B033A8">
        <w:rPr>
          <w:rFonts w:cs="Times New Roman"/>
          <w:i/>
          <w:iCs/>
          <w:szCs w:val="28"/>
          <w:shd w:val="clear" w:color="auto" w:fill="FFFFFF" w:themeFill="background1"/>
        </w:rPr>
        <w:t>iii</w:t>
      </w:r>
      <w:proofErr w:type="spellEnd"/>
      <w:r w:rsidR="00DF4E7A" w:rsidRPr="00B033A8">
        <w:rPr>
          <w:rFonts w:cs="Times New Roman"/>
          <w:i/>
          <w:iCs/>
          <w:szCs w:val="28"/>
          <w:shd w:val="clear" w:color="auto" w:fill="FFFFFF" w:themeFill="background1"/>
        </w:rPr>
        <w:t xml:space="preserve">) </w:t>
      </w:r>
      <w:r w:rsidRPr="00B033A8">
        <w:rPr>
          <w:rFonts w:cs="Times New Roman"/>
          <w:szCs w:val="28"/>
          <w:shd w:val="clear" w:color="auto" w:fill="FFFFFF" w:themeFill="background1"/>
        </w:rPr>
        <w:t xml:space="preserve">fijó en lista el proceso; </w:t>
      </w:r>
      <w:r w:rsidRPr="00B033A8">
        <w:rPr>
          <w:rFonts w:cs="Times New Roman"/>
          <w:i/>
          <w:iCs/>
          <w:szCs w:val="28"/>
          <w:shd w:val="clear" w:color="auto" w:fill="FFFFFF" w:themeFill="background1"/>
        </w:rPr>
        <w:t>(</w:t>
      </w:r>
      <w:proofErr w:type="spellStart"/>
      <w:r w:rsidRPr="00B033A8">
        <w:rPr>
          <w:rFonts w:cs="Times New Roman"/>
          <w:i/>
          <w:iCs/>
          <w:szCs w:val="28"/>
          <w:shd w:val="clear" w:color="auto" w:fill="FFFFFF" w:themeFill="background1"/>
        </w:rPr>
        <w:t>i</w:t>
      </w:r>
      <w:r w:rsidR="00DF4E7A" w:rsidRPr="00B033A8">
        <w:rPr>
          <w:rFonts w:cs="Times New Roman"/>
          <w:i/>
          <w:iCs/>
          <w:szCs w:val="28"/>
          <w:shd w:val="clear" w:color="auto" w:fill="FFFFFF" w:themeFill="background1"/>
        </w:rPr>
        <w:t>v</w:t>
      </w:r>
      <w:proofErr w:type="spellEnd"/>
      <w:r w:rsidRPr="00B033A8">
        <w:rPr>
          <w:rFonts w:cs="Times New Roman"/>
          <w:i/>
          <w:iCs/>
          <w:szCs w:val="28"/>
          <w:shd w:val="clear" w:color="auto" w:fill="FFFFFF" w:themeFill="background1"/>
        </w:rPr>
        <w:t xml:space="preserve">) </w:t>
      </w:r>
      <w:r w:rsidRPr="00B033A8">
        <w:rPr>
          <w:rFonts w:cs="Times New Roman"/>
          <w:szCs w:val="28"/>
          <w:shd w:val="clear" w:color="auto" w:fill="FFFFFF" w:themeFill="background1"/>
        </w:rPr>
        <w:t>corrió traslado a la Procuraduría General de la Nación;</w:t>
      </w:r>
      <w:r w:rsidRPr="00B033A8">
        <w:rPr>
          <w:rFonts w:cs="Times New Roman"/>
          <w:i/>
          <w:iCs/>
          <w:szCs w:val="28"/>
          <w:shd w:val="clear" w:color="auto" w:fill="FFFFFF" w:themeFill="background1"/>
        </w:rPr>
        <w:t xml:space="preserve"> </w:t>
      </w:r>
      <w:r w:rsidR="00DF4E7A" w:rsidRPr="00B033A8">
        <w:rPr>
          <w:rFonts w:cs="Times New Roman"/>
          <w:i/>
          <w:iCs/>
          <w:szCs w:val="28"/>
          <w:shd w:val="clear" w:color="auto" w:fill="FFFFFF" w:themeFill="background1"/>
        </w:rPr>
        <w:t>(</w:t>
      </w:r>
      <w:r w:rsidRPr="00B033A8">
        <w:rPr>
          <w:rFonts w:cs="Times New Roman"/>
          <w:i/>
          <w:iCs/>
          <w:szCs w:val="28"/>
          <w:shd w:val="clear" w:color="auto" w:fill="FFFFFF" w:themeFill="background1"/>
        </w:rPr>
        <w:t>v)</w:t>
      </w:r>
      <w:r w:rsidRPr="00B033A8">
        <w:rPr>
          <w:rFonts w:cs="Times New Roman"/>
          <w:szCs w:val="28"/>
          <w:shd w:val="clear" w:color="auto" w:fill="FFFFFF" w:themeFill="background1"/>
        </w:rPr>
        <w:t xml:space="preserve"> comunicó el inicio del proceso a la Presidencia de la República, al Presidente del Congreso de la República y a</w:t>
      </w:r>
      <w:r w:rsidR="00A4391F" w:rsidRPr="00B033A8">
        <w:rPr>
          <w:rFonts w:cs="Times New Roman"/>
          <w:szCs w:val="28"/>
          <w:shd w:val="clear" w:color="auto" w:fill="FFFFFF" w:themeFill="background1"/>
        </w:rPr>
        <w:t>l Ministerio</w:t>
      </w:r>
      <w:r w:rsidRPr="00B033A8">
        <w:rPr>
          <w:rFonts w:cs="Times New Roman"/>
          <w:bCs/>
          <w:szCs w:val="28"/>
          <w:shd w:val="clear" w:color="auto" w:fill="FFFFFF" w:themeFill="background1"/>
          <w:lang w:val="es-ES_tradnl"/>
        </w:rPr>
        <w:t xml:space="preserve"> de Justicia y del Derecho</w:t>
      </w:r>
      <w:r w:rsidRPr="00B033A8">
        <w:rPr>
          <w:rFonts w:cs="Times New Roman"/>
          <w:szCs w:val="28"/>
          <w:shd w:val="clear" w:color="auto" w:fill="FFFFFF" w:themeFill="background1"/>
        </w:rPr>
        <w:t xml:space="preserve"> </w:t>
      </w:r>
      <w:r w:rsidR="00B71D16" w:rsidRPr="00B033A8">
        <w:rPr>
          <w:rFonts w:cs="Times New Roman"/>
          <w:szCs w:val="28"/>
          <w:shd w:val="clear" w:color="auto" w:fill="FFFFFF" w:themeFill="background1"/>
        </w:rPr>
        <w:t>y</w:t>
      </w:r>
      <w:r w:rsidRPr="00B033A8">
        <w:rPr>
          <w:rFonts w:cs="Times New Roman"/>
          <w:szCs w:val="28"/>
          <w:shd w:val="clear" w:color="auto" w:fill="FFFFFF" w:themeFill="background1"/>
        </w:rPr>
        <w:t xml:space="preserve"> </w:t>
      </w:r>
      <w:r w:rsidRPr="00B033A8">
        <w:rPr>
          <w:rFonts w:cs="Times New Roman"/>
          <w:i/>
          <w:iCs/>
          <w:szCs w:val="28"/>
          <w:shd w:val="clear" w:color="auto" w:fill="FFFFFF" w:themeFill="background1"/>
        </w:rPr>
        <w:t>(v</w:t>
      </w:r>
      <w:r w:rsidR="0069335E" w:rsidRPr="00B033A8">
        <w:rPr>
          <w:rFonts w:cs="Times New Roman"/>
          <w:i/>
          <w:iCs/>
          <w:szCs w:val="28"/>
          <w:shd w:val="clear" w:color="auto" w:fill="FFFFFF" w:themeFill="background1"/>
        </w:rPr>
        <w:t>i</w:t>
      </w:r>
      <w:r w:rsidRPr="00B033A8">
        <w:rPr>
          <w:rFonts w:cs="Times New Roman"/>
          <w:i/>
          <w:iCs/>
          <w:szCs w:val="28"/>
          <w:shd w:val="clear" w:color="auto" w:fill="FFFFFF" w:themeFill="background1"/>
        </w:rPr>
        <w:t>)</w:t>
      </w:r>
      <w:r w:rsidRPr="00B033A8">
        <w:rPr>
          <w:rFonts w:cs="Times New Roman"/>
          <w:szCs w:val="28"/>
          <w:shd w:val="clear" w:color="auto" w:fill="FFFFFF" w:themeFill="background1"/>
        </w:rPr>
        <w:t xml:space="preserve"> invitó a participar a varias entidades y universidades.</w:t>
      </w:r>
    </w:p>
    <w:p w14:paraId="042F7D00" w14:textId="77777777" w:rsidR="00655D45" w:rsidRPr="00B033A8" w:rsidRDefault="00655D45" w:rsidP="00776641">
      <w:pPr>
        <w:rPr>
          <w:rFonts w:cs="Times New Roman"/>
          <w:shd w:val="clear" w:color="auto" w:fill="FFFFFF" w:themeFill="background1"/>
        </w:rPr>
      </w:pPr>
    </w:p>
    <w:p w14:paraId="2CDB1AC1" w14:textId="77777777" w:rsidR="00655D45" w:rsidRPr="00B033A8" w:rsidRDefault="00655D45" w:rsidP="00776641">
      <w:pPr>
        <w:pStyle w:val="Ttulo2"/>
        <w:numPr>
          <w:ilvl w:val="0"/>
          <w:numId w:val="11"/>
        </w:numPr>
        <w:rPr>
          <w:rFonts w:cs="Times New Roman"/>
          <w:shd w:val="clear" w:color="auto" w:fill="FFFFFF" w:themeFill="background1"/>
        </w:rPr>
      </w:pPr>
      <w:r w:rsidRPr="00B033A8">
        <w:rPr>
          <w:rFonts w:cs="Times New Roman"/>
          <w:shd w:val="clear" w:color="auto" w:fill="FFFFFF" w:themeFill="background1"/>
        </w:rPr>
        <w:t>Norma demandada</w:t>
      </w:r>
    </w:p>
    <w:p w14:paraId="6C9E28F7" w14:textId="77777777" w:rsidR="00655D45" w:rsidRPr="00B033A8" w:rsidRDefault="00655D45" w:rsidP="00776641">
      <w:pPr>
        <w:rPr>
          <w:rFonts w:cs="Times New Roman"/>
          <w:shd w:val="clear" w:color="auto" w:fill="FFFFFF" w:themeFill="background1"/>
        </w:rPr>
      </w:pPr>
    </w:p>
    <w:p w14:paraId="0A96772E" w14:textId="611EC17E" w:rsidR="00655D45" w:rsidRPr="00B033A8" w:rsidRDefault="004C3F05" w:rsidP="00776641">
      <w:pPr>
        <w:numPr>
          <w:ilvl w:val="0"/>
          <w:numId w:val="12"/>
        </w:numPr>
        <w:tabs>
          <w:tab w:val="left" w:pos="567"/>
        </w:tabs>
        <w:ind w:left="0" w:firstLine="0"/>
        <w:rPr>
          <w:rFonts w:cs="Times New Roman"/>
          <w:szCs w:val="28"/>
        </w:rPr>
      </w:pPr>
      <w:r w:rsidRPr="00B033A8">
        <w:rPr>
          <w:rFonts w:cs="Times New Roman"/>
          <w:szCs w:val="28"/>
        </w:rPr>
        <w:t>El actor</w:t>
      </w:r>
      <w:r w:rsidR="00655D45" w:rsidRPr="00B033A8">
        <w:rPr>
          <w:rFonts w:cs="Times New Roman"/>
          <w:szCs w:val="28"/>
        </w:rPr>
        <w:t xml:space="preserve"> dirige la demanda contra </w:t>
      </w:r>
      <w:r w:rsidR="00E86273" w:rsidRPr="00B033A8">
        <w:rPr>
          <w:rFonts w:cs="Times New Roman"/>
          <w:szCs w:val="28"/>
        </w:rPr>
        <w:t>la totalidad d</w:t>
      </w:r>
      <w:r w:rsidRPr="00B033A8">
        <w:rPr>
          <w:rFonts w:cs="Times New Roman"/>
          <w:szCs w:val="28"/>
        </w:rPr>
        <w:t>el artículo</w:t>
      </w:r>
      <w:r w:rsidRPr="00B033A8">
        <w:rPr>
          <w:rFonts w:cs="Times New Roman"/>
          <w:color w:val="000000" w:themeColor="text1"/>
          <w:szCs w:val="28"/>
        </w:rPr>
        <w:t xml:space="preserve"> 410A de la Ley 599 de 2000, adicionado por el artículo 27 de la Ley 1474 de 2011</w:t>
      </w:r>
      <w:bookmarkStart w:id="5" w:name="_Ref144561604"/>
      <w:r w:rsidR="00E86273" w:rsidRPr="00B033A8">
        <w:rPr>
          <w:rFonts w:cs="Times New Roman"/>
          <w:color w:val="000000" w:themeColor="text1"/>
          <w:szCs w:val="28"/>
        </w:rPr>
        <w:t xml:space="preserve">: </w:t>
      </w:r>
    </w:p>
    <w:p w14:paraId="4966E552" w14:textId="77777777" w:rsidR="00655D45" w:rsidRPr="00B033A8" w:rsidRDefault="00655D45" w:rsidP="00776641">
      <w:pPr>
        <w:tabs>
          <w:tab w:val="left" w:pos="567"/>
        </w:tabs>
        <w:rPr>
          <w:rFonts w:cs="Times New Roman"/>
          <w:szCs w:val="28"/>
        </w:rPr>
      </w:pPr>
    </w:p>
    <w:p w14:paraId="0B784AD1" w14:textId="0ACF6A96" w:rsidR="00655D45" w:rsidRPr="00B033A8" w:rsidRDefault="0051434F" w:rsidP="00776641">
      <w:pPr>
        <w:pStyle w:val="Normal10"/>
        <w:tabs>
          <w:tab w:val="left" w:pos="284"/>
        </w:tabs>
        <w:ind w:left="680" w:right="397"/>
        <w:jc w:val="center"/>
        <w:rPr>
          <w:b/>
          <w:bCs/>
          <w:color w:val="000000" w:themeColor="text1"/>
          <w:szCs w:val="24"/>
          <w:lang w:val="es-CO" w:eastAsia="es-CO"/>
        </w:rPr>
      </w:pPr>
      <w:r w:rsidRPr="00B033A8">
        <w:rPr>
          <w:b/>
          <w:bCs/>
          <w:color w:val="000000" w:themeColor="text1"/>
          <w:szCs w:val="24"/>
          <w:lang w:val="es-CO" w:eastAsia="es-CO"/>
        </w:rPr>
        <w:t>“</w:t>
      </w:r>
      <w:r w:rsidR="00655D45" w:rsidRPr="00B033A8">
        <w:rPr>
          <w:b/>
          <w:bCs/>
          <w:color w:val="000000" w:themeColor="text1"/>
          <w:szCs w:val="24"/>
          <w:lang w:val="es-CO" w:eastAsia="es-CO"/>
        </w:rPr>
        <w:t xml:space="preserve">LEY </w:t>
      </w:r>
      <w:r w:rsidR="00CF525E" w:rsidRPr="00B033A8">
        <w:rPr>
          <w:b/>
          <w:bCs/>
          <w:color w:val="000000" w:themeColor="text1"/>
          <w:szCs w:val="24"/>
          <w:lang w:val="es-CO" w:eastAsia="es-CO"/>
        </w:rPr>
        <w:t>599 DE 2000</w:t>
      </w:r>
    </w:p>
    <w:p w14:paraId="20DAE71B" w14:textId="77777777" w:rsidR="00655D45" w:rsidRPr="00B033A8" w:rsidRDefault="00655D45" w:rsidP="00776641">
      <w:pPr>
        <w:pStyle w:val="Normal10"/>
        <w:tabs>
          <w:tab w:val="left" w:pos="284"/>
        </w:tabs>
        <w:ind w:left="680" w:right="397"/>
        <w:jc w:val="center"/>
        <w:rPr>
          <w:b/>
          <w:bCs/>
          <w:color w:val="000000" w:themeColor="text1"/>
          <w:szCs w:val="24"/>
          <w:lang w:val="es-CO" w:eastAsia="es-CO"/>
        </w:rPr>
      </w:pPr>
    </w:p>
    <w:p w14:paraId="08E0AC9C" w14:textId="55D40D11" w:rsidR="00655D45" w:rsidRPr="00B033A8" w:rsidRDefault="000A60E2" w:rsidP="00776641">
      <w:pPr>
        <w:pStyle w:val="Normal10"/>
        <w:tabs>
          <w:tab w:val="left" w:pos="284"/>
        </w:tabs>
        <w:ind w:left="680" w:right="397"/>
        <w:jc w:val="center"/>
        <w:rPr>
          <w:i/>
          <w:iCs/>
          <w:color w:val="000000" w:themeColor="text1"/>
          <w:szCs w:val="24"/>
          <w:lang w:val="es-CO" w:eastAsia="es-CO"/>
        </w:rPr>
      </w:pPr>
      <w:r w:rsidRPr="00B033A8">
        <w:rPr>
          <w:i/>
          <w:iCs/>
          <w:color w:val="000000" w:themeColor="text1"/>
          <w:szCs w:val="24"/>
          <w:lang w:val="es-CO" w:eastAsia="es-CO"/>
        </w:rPr>
        <w:t>por la cual se expide el Código Penal</w:t>
      </w:r>
      <w:r w:rsidR="00655D45" w:rsidRPr="00B033A8">
        <w:rPr>
          <w:i/>
          <w:iCs/>
          <w:color w:val="000000" w:themeColor="text1"/>
          <w:szCs w:val="24"/>
          <w:lang w:val="es-CO" w:eastAsia="es-CO"/>
        </w:rPr>
        <w:t>.</w:t>
      </w:r>
    </w:p>
    <w:p w14:paraId="2E4AA02F" w14:textId="77777777" w:rsidR="00655D45" w:rsidRPr="00B033A8" w:rsidRDefault="00655D45" w:rsidP="00776641">
      <w:pPr>
        <w:pStyle w:val="Normal10"/>
        <w:tabs>
          <w:tab w:val="left" w:pos="284"/>
        </w:tabs>
        <w:ind w:left="680" w:right="397"/>
        <w:jc w:val="center"/>
        <w:rPr>
          <w:i/>
          <w:iCs/>
          <w:color w:val="000000" w:themeColor="text1"/>
          <w:szCs w:val="24"/>
          <w:lang w:val="es-CO" w:eastAsia="es-CO"/>
        </w:rPr>
      </w:pPr>
    </w:p>
    <w:p w14:paraId="7FEFF7CC" w14:textId="77777777" w:rsidR="00655D45" w:rsidRPr="00B033A8" w:rsidRDefault="00655D45" w:rsidP="00776641">
      <w:pPr>
        <w:pStyle w:val="Normal10"/>
        <w:tabs>
          <w:tab w:val="left" w:pos="284"/>
        </w:tabs>
        <w:ind w:left="680" w:right="397"/>
        <w:jc w:val="center"/>
        <w:rPr>
          <w:b/>
          <w:bCs/>
          <w:color w:val="000000" w:themeColor="text1"/>
          <w:szCs w:val="24"/>
          <w:lang w:val="es-CO" w:eastAsia="es-CO"/>
        </w:rPr>
      </w:pPr>
      <w:r w:rsidRPr="00B033A8">
        <w:rPr>
          <w:b/>
          <w:bCs/>
          <w:color w:val="000000" w:themeColor="text1"/>
          <w:szCs w:val="24"/>
          <w:lang w:val="es-CO" w:eastAsia="es-CO"/>
        </w:rPr>
        <w:t>EL CONGRESO DE LA REPÚBLICA</w:t>
      </w:r>
    </w:p>
    <w:p w14:paraId="34024D50" w14:textId="77777777" w:rsidR="00655D45" w:rsidRPr="00B033A8" w:rsidRDefault="00655D45" w:rsidP="00776641">
      <w:pPr>
        <w:pStyle w:val="Normal10"/>
        <w:tabs>
          <w:tab w:val="left" w:pos="284"/>
        </w:tabs>
        <w:ind w:left="680" w:right="397"/>
        <w:jc w:val="center"/>
        <w:rPr>
          <w:b/>
          <w:bCs/>
          <w:color w:val="000000" w:themeColor="text1"/>
          <w:szCs w:val="24"/>
          <w:lang w:val="es-CO" w:eastAsia="es-CO"/>
        </w:rPr>
      </w:pPr>
      <w:r w:rsidRPr="00B033A8">
        <w:rPr>
          <w:b/>
          <w:bCs/>
          <w:color w:val="000000" w:themeColor="text1"/>
          <w:szCs w:val="24"/>
          <w:lang w:val="es-CO" w:eastAsia="es-CO"/>
        </w:rPr>
        <w:t>DECRETA:</w:t>
      </w:r>
    </w:p>
    <w:p w14:paraId="4B18621A" w14:textId="77777777" w:rsidR="000A60E2" w:rsidRPr="00B033A8" w:rsidRDefault="000A60E2" w:rsidP="00776641">
      <w:pPr>
        <w:pStyle w:val="Normal10"/>
        <w:tabs>
          <w:tab w:val="left" w:pos="284"/>
        </w:tabs>
        <w:ind w:left="680" w:right="397"/>
        <w:jc w:val="center"/>
        <w:rPr>
          <w:b/>
          <w:bCs/>
          <w:color w:val="000000" w:themeColor="text1"/>
          <w:szCs w:val="24"/>
          <w:lang w:val="es-CO" w:eastAsia="es-CO"/>
        </w:rPr>
      </w:pPr>
    </w:p>
    <w:p w14:paraId="09557101" w14:textId="1E6E8F9D" w:rsidR="000A60E2" w:rsidRPr="00B033A8" w:rsidRDefault="004D1550" w:rsidP="00776641">
      <w:pPr>
        <w:pStyle w:val="Normal10"/>
        <w:tabs>
          <w:tab w:val="clear" w:pos="0"/>
          <w:tab w:val="clear" w:pos="567"/>
          <w:tab w:val="left" w:pos="1785"/>
        </w:tabs>
        <w:ind w:left="680" w:right="397"/>
        <w:jc w:val="center"/>
        <w:rPr>
          <w:color w:val="000000" w:themeColor="text1"/>
          <w:szCs w:val="24"/>
          <w:lang w:val="es-CO" w:eastAsia="es-CO"/>
        </w:rPr>
      </w:pPr>
      <w:r w:rsidRPr="00B033A8">
        <w:rPr>
          <w:color w:val="000000" w:themeColor="text1"/>
          <w:szCs w:val="24"/>
          <w:lang w:val="es-CO" w:eastAsia="es-CO"/>
        </w:rPr>
        <w:t>(</w:t>
      </w:r>
      <w:r w:rsidR="000A60E2" w:rsidRPr="00B033A8">
        <w:rPr>
          <w:color w:val="000000" w:themeColor="text1"/>
          <w:szCs w:val="24"/>
          <w:lang w:val="es-CO" w:eastAsia="es-CO"/>
        </w:rPr>
        <w:t>…</w:t>
      </w:r>
      <w:r w:rsidRPr="00B033A8">
        <w:rPr>
          <w:color w:val="000000" w:themeColor="text1"/>
          <w:szCs w:val="24"/>
          <w:lang w:val="es-CO" w:eastAsia="es-CO"/>
        </w:rPr>
        <w:t>)</w:t>
      </w:r>
    </w:p>
    <w:p w14:paraId="575CC7CF" w14:textId="426A769E" w:rsidR="00655D45" w:rsidRPr="00B033A8" w:rsidRDefault="00655D45" w:rsidP="00776641">
      <w:pPr>
        <w:pStyle w:val="Normal10"/>
        <w:tabs>
          <w:tab w:val="clear" w:pos="0"/>
          <w:tab w:val="clear" w:pos="567"/>
          <w:tab w:val="left" w:pos="1785"/>
        </w:tabs>
        <w:ind w:left="680" w:right="397"/>
        <w:rPr>
          <w:color w:val="000000" w:themeColor="text1"/>
          <w:szCs w:val="24"/>
          <w:lang w:val="es-CO" w:eastAsia="es-CO"/>
        </w:rPr>
      </w:pPr>
      <w:r w:rsidRPr="00B033A8">
        <w:rPr>
          <w:color w:val="000000" w:themeColor="text1"/>
          <w:szCs w:val="24"/>
          <w:lang w:val="es-CO" w:eastAsia="es-CO"/>
        </w:rPr>
        <w:tab/>
      </w:r>
    </w:p>
    <w:p w14:paraId="008FD1ED" w14:textId="1E5A28D6" w:rsidR="000665C3" w:rsidRPr="00B033A8" w:rsidRDefault="000A60E2" w:rsidP="00776641">
      <w:pPr>
        <w:tabs>
          <w:tab w:val="left" w:pos="567"/>
        </w:tabs>
        <w:ind w:left="680" w:right="397"/>
        <w:rPr>
          <w:rFonts w:eastAsia="Calibri" w:cs="Times New Roman"/>
          <w:color w:val="000000" w:themeColor="text1"/>
          <w:szCs w:val="24"/>
          <w:lang w:eastAsia="es-CO"/>
        </w:rPr>
      </w:pPr>
      <w:r w:rsidRPr="00B033A8">
        <w:rPr>
          <w:rFonts w:eastAsia="Calibri" w:cs="Times New Roman"/>
          <w:b/>
          <w:bCs/>
          <w:color w:val="000000" w:themeColor="text1"/>
          <w:szCs w:val="24"/>
          <w:lang w:eastAsia="es-CO"/>
        </w:rPr>
        <w:t>Artículo 410A</w:t>
      </w:r>
      <w:r w:rsidRPr="00B033A8">
        <w:rPr>
          <w:rFonts w:eastAsia="Calibri" w:cs="Times New Roman"/>
          <w:color w:val="000000" w:themeColor="text1"/>
          <w:szCs w:val="24"/>
          <w:lang w:eastAsia="es-CO"/>
        </w:rPr>
        <w:t>. </w:t>
      </w:r>
      <w:r w:rsidRPr="00B033A8">
        <w:rPr>
          <w:rFonts w:eastAsia="Calibri" w:cs="Times New Roman"/>
          <w:b/>
          <w:bCs/>
          <w:color w:val="000000" w:themeColor="text1"/>
          <w:szCs w:val="24"/>
          <w:lang w:eastAsia="es-CO"/>
        </w:rPr>
        <w:t>Adicionado por la </w:t>
      </w:r>
      <w:hyperlink r:id="rId8" w:tooltip="Haga clic para abrir TODA la Ley 1474 de 2011" w:history="1">
        <w:r w:rsidRPr="00B033A8">
          <w:rPr>
            <w:rFonts w:eastAsia="Calibri" w:cs="Times New Roman"/>
            <w:b/>
            <w:bCs/>
            <w:color w:val="000000" w:themeColor="text1"/>
            <w:szCs w:val="24"/>
            <w:lang w:eastAsia="es-CO"/>
          </w:rPr>
          <w:t>Ley 1474 de 2011</w:t>
        </w:r>
      </w:hyperlink>
      <w:r w:rsidRPr="00B033A8">
        <w:rPr>
          <w:rFonts w:eastAsia="Calibri" w:cs="Times New Roman"/>
          <w:b/>
          <w:bCs/>
          <w:color w:val="000000" w:themeColor="text1"/>
          <w:szCs w:val="24"/>
          <w:lang w:eastAsia="es-CO"/>
        </w:rPr>
        <w:t>, artículo 27</w:t>
      </w:r>
      <w:r w:rsidRPr="00B033A8">
        <w:rPr>
          <w:rFonts w:eastAsia="Calibri" w:cs="Times New Roman"/>
          <w:color w:val="000000" w:themeColor="text1"/>
          <w:szCs w:val="24"/>
          <w:lang w:eastAsia="es-CO"/>
        </w:rPr>
        <w:t>. </w:t>
      </w:r>
      <w:r w:rsidRPr="00B033A8">
        <w:rPr>
          <w:rFonts w:eastAsia="Calibri" w:cs="Times New Roman"/>
          <w:b/>
          <w:bCs/>
          <w:i/>
          <w:iCs/>
          <w:color w:val="000000" w:themeColor="text1"/>
          <w:szCs w:val="24"/>
          <w:lang w:eastAsia="es-CO"/>
        </w:rPr>
        <w:t>Acuerdos restrictivos de la competencia</w:t>
      </w:r>
      <w:r w:rsidRPr="00B033A8">
        <w:rPr>
          <w:rFonts w:eastAsia="Calibri" w:cs="Times New Roman"/>
          <w:color w:val="000000" w:themeColor="text1"/>
          <w:szCs w:val="24"/>
          <w:lang w:eastAsia="es-CO"/>
        </w:rPr>
        <w:t>. El que en un proceso de licitación pública, subasta pública, selección abreviada o concurso se concertare con otro con el fin de alterar ilícitamente el procedimiento contractual, incurrirá en prisión de seis (6) a doce (12) años y multa de doscientos (200) a mil (1.000) salarios mínimos legales mensuales vigentes e inhabilidad para contratar con entidades estatales por ocho (8) años.</w:t>
      </w:r>
      <w:r w:rsidR="000665C3" w:rsidRPr="00B033A8">
        <w:rPr>
          <w:rFonts w:eastAsia="Calibri" w:cs="Times New Roman"/>
          <w:color w:val="000000" w:themeColor="text1"/>
          <w:szCs w:val="24"/>
          <w:lang w:eastAsia="es-CO"/>
        </w:rPr>
        <w:t xml:space="preserve"> </w:t>
      </w:r>
    </w:p>
    <w:p w14:paraId="30EF0E3E" w14:textId="77777777" w:rsidR="000665C3" w:rsidRPr="00B033A8" w:rsidRDefault="000665C3" w:rsidP="00776641">
      <w:pPr>
        <w:tabs>
          <w:tab w:val="left" w:pos="567"/>
        </w:tabs>
        <w:ind w:left="680" w:right="397"/>
        <w:rPr>
          <w:rFonts w:eastAsia="Calibri" w:cs="Times New Roman"/>
          <w:color w:val="000000" w:themeColor="text1"/>
          <w:szCs w:val="24"/>
          <w:lang w:eastAsia="es-CO"/>
        </w:rPr>
      </w:pPr>
    </w:p>
    <w:p w14:paraId="3D71AA73" w14:textId="5A8FD2A2" w:rsidR="00655D45" w:rsidRPr="00B033A8" w:rsidRDefault="000665C3" w:rsidP="00776641">
      <w:pPr>
        <w:tabs>
          <w:tab w:val="left" w:pos="567"/>
        </w:tabs>
        <w:ind w:left="680" w:right="397"/>
        <w:rPr>
          <w:rFonts w:eastAsia="Calibri" w:cs="Times New Roman"/>
          <w:color w:val="000000" w:themeColor="text1"/>
          <w:szCs w:val="24"/>
          <w:lang w:eastAsia="es-CO"/>
        </w:rPr>
      </w:pPr>
      <w:r w:rsidRPr="00B033A8">
        <w:rPr>
          <w:rFonts w:eastAsia="Calibri" w:cs="Times New Roman"/>
          <w:color w:val="000000" w:themeColor="text1"/>
          <w:szCs w:val="24"/>
          <w:lang w:eastAsia="es-CO"/>
        </w:rPr>
        <w:t>Parágrafo. El que en su condición de delator o clemente mediante resolución en firme obtenga exoneración total de la multa a imponer por parte de la Superintendencia de Industria y Comercio en una investigación por acuerdo</w:t>
      </w:r>
      <w:r w:rsidR="00BD7031" w:rsidRPr="00B033A8">
        <w:rPr>
          <w:rFonts w:eastAsia="Calibri" w:cs="Times New Roman"/>
          <w:color w:val="000000" w:themeColor="text1"/>
          <w:szCs w:val="24"/>
          <w:lang w:eastAsia="es-CO"/>
        </w:rPr>
        <w:t>s</w:t>
      </w:r>
      <w:r w:rsidRPr="00B033A8">
        <w:rPr>
          <w:rFonts w:eastAsia="Calibri" w:cs="Times New Roman"/>
          <w:color w:val="000000" w:themeColor="text1"/>
          <w:szCs w:val="24"/>
          <w:lang w:eastAsia="es-CO"/>
        </w:rPr>
        <w:t xml:space="preserve"> anticompetitivos en un proceso de contratación pública obtendrá los siguientes beneficios: reducción de la pena en una tercera parte, un 40% de la multa a imponer y una inhabilidad para contratar con entidades estatales por cinco (5) años</w:t>
      </w:r>
      <w:r w:rsidR="0051434F" w:rsidRPr="00B033A8">
        <w:rPr>
          <w:rFonts w:eastAsia="Calibri" w:cs="Times New Roman"/>
          <w:color w:val="000000" w:themeColor="text1"/>
          <w:szCs w:val="24"/>
          <w:lang w:eastAsia="es-CO"/>
        </w:rPr>
        <w:t>”</w:t>
      </w:r>
      <w:r w:rsidRPr="00B033A8">
        <w:rPr>
          <w:rFonts w:eastAsia="Calibri" w:cs="Times New Roman"/>
          <w:color w:val="000000" w:themeColor="text1"/>
          <w:szCs w:val="24"/>
          <w:lang w:eastAsia="es-CO"/>
        </w:rPr>
        <w:t>.</w:t>
      </w:r>
    </w:p>
    <w:p w14:paraId="53C7D33D" w14:textId="77777777" w:rsidR="000A60E2" w:rsidRPr="00B033A8" w:rsidRDefault="000A60E2" w:rsidP="00776641">
      <w:pPr>
        <w:tabs>
          <w:tab w:val="left" w:pos="567"/>
        </w:tabs>
        <w:ind w:right="397"/>
        <w:rPr>
          <w:rFonts w:eastAsia="Calibri" w:cs="Times New Roman"/>
          <w:color w:val="000000" w:themeColor="text1"/>
          <w:szCs w:val="28"/>
          <w:lang w:eastAsia="es-CO"/>
        </w:rPr>
      </w:pPr>
    </w:p>
    <w:p w14:paraId="4CA4E0D5" w14:textId="66D20543" w:rsidR="00655D45" w:rsidRPr="00B033A8" w:rsidRDefault="00655D45" w:rsidP="00776641">
      <w:pPr>
        <w:pStyle w:val="Ttulo2"/>
        <w:numPr>
          <w:ilvl w:val="0"/>
          <w:numId w:val="11"/>
        </w:numPr>
        <w:rPr>
          <w:rFonts w:cs="Times New Roman"/>
        </w:rPr>
      </w:pPr>
      <w:r w:rsidRPr="00B033A8">
        <w:rPr>
          <w:rFonts w:cs="Times New Roman"/>
        </w:rPr>
        <w:lastRenderedPageBreak/>
        <w:t>La demanda</w:t>
      </w:r>
      <w:r w:rsidR="00EF7DDE" w:rsidRPr="00B033A8">
        <w:rPr>
          <w:rFonts w:cs="Times New Roman"/>
        </w:rPr>
        <w:t xml:space="preserve"> – cargo único de </w:t>
      </w:r>
      <w:r w:rsidR="00192AC3" w:rsidRPr="00B033A8">
        <w:rPr>
          <w:rFonts w:cs="Times New Roman"/>
        </w:rPr>
        <w:t>in</w:t>
      </w:r>
      <w:r w:rsidR="00EF7DDE" w:rsidRPr="00B033A8">
        <w:rPr>
          <w:rFonts w:cs="Times New Roman"/>
        </w:rPr>
        <w:t>constitucionalidad</w:t>
      </w:r>
    </w:p>
    <w:p w14:paraId="6C522A29" w14:textId="77777777" w:rsidR="00655D45" w:rsidRPr="00B033A8" w:rsidRDefault="00655D45" w:rsidP="00776641">
      <w:pPr>
        <w:tabs>
          <w:tab w:val="left" w:pos="567"/>
        </w:tabs>
        <w:rPr>
          <w:rFonts w:cs="Times New Roman"/>
          <w:szCs w:val="28"/>
        </w:rPr>
      </w:pPr>
    </w:p>
    <w:bookmarkEnd w:id="5"/>
    <w:p w14:paraId="6D9CD265" w14:textId="048D488C" w:rsidR="001D1581" w:rsidRPr="00B033A8" w:rsidRDefault="00B46213" w:rsidP="00776641">
      <w:pPr>
        <w:numPr>
          <w:ilvl w:val="0"/>
          <w:numId w:val="12"/>
        </w:numPr>
        <w:tabs>
          <w:tab w:val="left" w:pos="567"/>
        </w:tabs>
        <w:ind w:left="0" w:firstLine="0"/>
        <w:rPr>
          <w:rFonts w:cs="Times New Roman"/>
          <w:szCs w:val="28"/>
        </w:rPr>
      </w:pPr>
      <w:r w:rsidRPr="00B033A8">
        <w:rPr>
          <w:rFonts w:cs="Times New Roman"/>
          <w:color w:val="000000" w:themeColor="text1"/>
        </w:rPr>
        <w:t xml:space="preserve">El demandante </w:t>
      </w:r>
      <w:r w:rsidR="00A5489D" w:rsidRPr="00B033A8">
        <w:rPr>
          <w:rFonts w:cs="Times New Roman"/>
          <w:color w:val="000000" w:themeColor="text1"/>
        </w:rPr>
        <w:t xml:space="preserve">sostiene que </w:t>
      </w:r>
      <w:r w:rsidR="00AD3127" w:rsidRPr="00B033A8">
        <w:rPr>
          <w:rFonts w:cs="Times New Roman"/>
          <w:color w:val="000000" w:themeColor="text1"/>
        </w:rPr>
        <w:t>el artículo 410A del Código Penal</w:t>
      </w:r>
      <w:r w:rsidR="00A5489D" w:rsidRPr="00B033A8">
        <w:rPr>
          <w:rFonts w:cs="Times New Roman"/>
          <w:color w:val="000000" w:themeColor="text1"/>
        </w:rPr>
        <w:t xml:space="preserve"> </w:t>
      </w:r>
      <w:r w:rsidRPr="00B033A8">
        <w:rPr>
          <w:rFonts w:cs="Times New Roman"/>
          <w:color w:val="000000" w:themeColor="text1"/>
        </w:rPr>
        <w:t>vulnera los artículo</w:t>
      </w:r>
      <w:r w:rsidR="00984A0F" w:rsidRPr="00B033A8">
        <w:rPr>
          <w:rFonts w:cs="Times New Roman"/>
          <w:color w:val="000000" w:themeColor="text1"/>
        </w:rPr>
        <w:t>s</w:t>
      </w:r>
      <w:r w:rsidRPr="00B033A8">
        <w:rPr>
          <w:rFonts w:cs="Times New Roman"/>
          <w:color w:val="000000" w:themeColor="text1"/>
        </w:rPr>
        <w:t xml:space="preserve"> 6, 28 y 29 de la Constitución Política y 9º de la Convención Americana sobre los Derechos Humanos (CADH)</w:t>
      </w:r>
      <w:r w:rsidR="00A5489D" w:rsidRPr="00B033A8">
        <w:rPr>
          <w:rFonts w:cs="Times New Roman"/>
          <w:color w:val="000000" w:themeColor="text1"/>
        </w:rPr>
        <w:t>,</w:t>
      </w:r>
      <w:r w:rsidRPr="00B033A8">
        <w:rPr>
          <w:rFonts w:cs="Times New Roman"/>
          <w:color w:val="000000" w:themeColor="text1"/>
        </w:rPr>
        <w:t xml:space="preserve"> </w:t>
      </w:r>
      <w:r w:rsidR="00A00A98" w:rsidRPr="00B033A8">
        <w:rPr>
          <w:rFonts w:cs="Times New Roman"/>
          <w:color w:val="000000" w:themeColor="text1"/>
        </w:rPr>
        <w:t>porque</w:t>
      </w:r>
      <w:r w:rsidR="001D1581" w:rsidRPr="00B033A8">
        <w:rPr>
          <w:rFonts w:cs="Times New Roman"/>
          <w:color w:val="000000" w:themeColor="text1"/>
        </w:rPr>
        <w:t xml:space="preserve"> </w:t>
      </w:r>
      <w:r w:rsidRPr="00B033A8">
        <w:rPr>
          <w:rFonts w:cs="Times New Roman"/>
          <w:color w:val="000000" w:themeColor="text1"/>
        </w:rPr>
        <w:t xml:space="preserve">prevé un tipo penal en blanco que desconoce </w:t>
      </w:r>
      <w:r w:rsidR="00A00A98" w:rsidRPr="00B033A8">
        <w:rPr>
          <w:rFonts w:cs="Times New Roman"/>
          <w:color w:val="000000" w:themeColor="text1"/>
        </w:rPr>
        <w:t>el principio de</w:t>
      </w:r>
      <w:r w:rsidR="001D1581" w:rsidRPr="00B033A8">
        <w:rPr>
          <w:rFonts w:cs="Times New Roman"/>
          <w:color w:val="000000" w:themeColor="text1"/>
        </w:rPr>
        <w:t xml:space="preserve"> </w:t>
      </w:r>
      <w:r w:rsidR="00F20FEC" w:rsidRPr="00B033A8">
        <w:rPr>
          <w:rFonts w:cs="Times New Roman"/>
          <w:color w:val="000000" w:themeColor="text1"/>
        </w:rPr>
        <w:t xml:space="preserve">legalidad estricta o </w:t>
      </w:r>
      <w:r w:rsidR="001D1581" w:rsidRPr="00B033A8">
        <w:rPr>
          <w:rFonts w:cs="Times New Roman"/>
          <w:color w:val="000000" w:themeColor="text1"/>
        </w:rPr>
        <w:t>tipicidad</w:t>
      </w:r>
      <w:r w:rsidRPr="00B033A8">
        <w:rPr>
          <w:rFonts w:cs="Times New Roman"/>
          <w:color w:val="000000" w:themeColor="text1"/>
        </w:rPr>
        <w:t xml:space="preserve">. </w:t>
      </w:r>
    </w:p>
    <w:p w14:paraId="15FEB1A1" w14:textId="77777777" w:rsidR="001D1581" w:rsidRPr="00B033A8" w:rsidRDefault="001D1581" w:rsidP="00776641">
      <w:pPr>
        <w:tabs>
          <w:tab w:val="left" w:pos="567"/>
        </w:tabs>
        <w:rPr>
          <w:rFonts w:cs="Times New Roman"/>
          <w:szCs w:val="28"/>
        </w:rPr>
      </w:pPr>
    </w:p>
    <w:p w14:paraId="57F28DB3" w14:textId="77777777" w:rsidR="001F6FFD" w:rsidRPr="00B033A8" w:rsidRDefault="00B46213" w:rsidP="00776641">
      <w:pPr>
        <w:numPr>
          <w:ilvl w:val="0"/>
          <w:numId w:val="12"/>
        </w:numPr>
        <w:tabs>
          <w:tab w:val="left" w:pos="567"/>
        </w:tabs>
        <w:ind w:left="0" w:firstLine="0"/>
        <w:rPr>
          <w:rFonts w:cs="Times New Roman"/>
          <w:szCs w:val="28"/>
        </w:rPr>
      </w:pPr>
      <w:r w:rsidRPr="00B033A8">
        <w:rPr>
          <w:rFonts w:cs="Times New Roman"/>
          <w:szCs w:val="28"/>
        </w:rPr>
        <w:t xml:space="preserve">Según el demandante, </w:t>
      </w:r>
      <w:r w:rsidR="001D1581" w:rsidRPr="00B033A8">
        <w:rPr>
          <w:rFonts w:cs="Times New Roman"/>
          <w:szCs w:val="28"/>
        </w:rPr>
        <w:t xml:space="preserve">los tipos penales en blanco son </w:t>
      </w:r>
      <w:r w:rsidRPr="00B033A8">
        <w:rPr>
          <w:rFonts w:cs="Times New Roman"/>
          <w:szCs w:val="28"/>
        </w:rPr>
        <w:t>“aquellos delitos que remiten a otras leyes, decretos o actos administrativos”</w:t>
      </w:r>
      <w:r w:rsidRPr="00B033A8">
        <w:rPr>
          <w:rFonts w:cs="Times New Roman"/>
          <w:szCs w:val="28"/>
          <w:vertAlign w:val="superscript"/>
        </w:rPr>
        <w:footnoteReference w:id="4"/>
      </w:r>
      <w:r w:rsidRPr="00B033A8">
        <w:rPr>
          <w:rFonts w:cs="Times New Roman"/>
          <w:szCs w:val="28"/>
        </w:rPr>
        <w:t xml:space="preserve"> para </w:t>
      </w:r>
      <w:r w:rsidR="00321180" w:rsidRPr="00B033A8">
        <w:rPr>
          <w:rFonts w:cs="Times New Roman"/>
          <w:szCs w:val="28"/>
        </w:rPr>
        <w:t xml:space="preserve">la </w:t>
      </w:r>
      <w:r w:rsidRPr="00B033A8">
        <w:rPr>
          <w:rFonts w:cs="Times New Roman"/>
          <w:szCs w:val="28"/>
        </w:rPr>
        <w:t>“definición de la conducta</w:t>
      </w:r>
      <w:r w:rsidR="0020765F" w:rsidRPr="00B033A8">
        <w:rPr>
          <w:rFonts w:cs="Times New Roman"/>
          <w:szCs w:val="28"/>
        </w:rPr>
        <w:t xml:space="preserve"> sancionable</w:t>
      </w:r>
      <w:r w:rsidRPr="00B033A8">
        <w:rPr>
          <w:rFonts w:cs="Times New Roman"/>
          <w:szCs w:val="28"/>
        </w:rPr>
        <w:t>”</w:t>
      </w:r>
      <w:r w:rsidRPr="00B033A8">
        <w:rPr>
          <w:rFonts w:cs="Times New Roman"/>
          <w:szCs w:val="28"/>
          <w:vertAlign w:val="superscript"/>
        </w:rPr>
        <w:footnoteReference w:id="5"/>
      </w:r>
      <w:r w:rsidRPr="00B033A8">
        <w:rPr>
          <w:rFonts w:cs="Times New Roman"/>
          <w:szCs w:val="28"/>
        </w:rPr>
        <w:t>.</w:t>
      </w:r>
      <w:r w:rsidR="0020765F" w:rsidRPr="00B033A8">
        <w:rPr>
          <w:rFonts w:cs="Times New Roman"/>
          <w:szCs w:val="28"/>
        </w:rPr>
        <w:t xml:space="preserve"> </w:t>
      </w:r>
      <w:r w:rsidR="00321180" w:rsidRPr="00B033A8">
        <w:rPr>
          <w:rFonts w:cs="Times New Roman"/>
          <w:szCs w:val="28"/>
        </w:rPr>
        <w:t>La característica principal de estos delitos es que</w:t>
      </w:r>
      <w:r w:rsidR="0020765F" w:rsidRPr="00B033A8">
        <w:rPr>
          <w:rFonts w:cs="Times New Roman"/>
          <w:szCs w:val="28"/>
        </w:rPr>
        <w:t xml:space="preserve"> “dejan ciertos aspectos abiertos o indeterminados, requiriendo la referencia a otras fuentes normativas</w:t>
      </w:r>
      <w:r w:rsidR="00321180" w:rsidRPr="00B033A8">
        <w:rPr>
          <w:rFonts w:cs="Times New Roman"/>
          <w:szCs w:val="28"/>
        </w:rPr>
        <w:t xml:space="preserve"> (…) </w:t>
      </w:r>
      <w:r w:rsidR="0020765F" w:rsidRPr="00B033A8">
        <w:rPr>
          <w:rFonts w:cs="Times New Roman"/>
          <w:szCs w:val="28"/>
        </w:rPr>
        <w:t>para su completa especificación”</w:t>
      </w:r>
      <w:r w:rsidR="0020765F" w:rsidRPr="00B033A8">
        <w:rPr>
          <w:rStyle w:val="Refdenotaalpie"/>
          <w:rFonts w:cs="Times New Roman"/>
          <w:szCs w:val="28"/>
        </w:rPr>
        <w:footnoteReference w:id="6"/>
      </w:r>
      <w:r w:rsidR="0020765F" w:rsidRPr="00B033A8">
        <w:rPr>
          <w:rFonts w:cs="Times New Roman"/>
          <w:szCs w:val="28"/>
        </w:rPr>
        <w:t>.</w:t>
      </w:r>
      <w:r w:rsidRPr="00B033A8">
        <w:rPr>
          <w:rFonts w:cs="Times New Roman"/>
          <w:szCs w:val="28"/>
        </w:rPr>
        <w:t xml:space="preserve"> </w:t>
      </w:r>
      <w:r w:rsidR="0020765F" w:rsidRPr="00B033A8">
        <w:rPr>
          <w:rFonts w:cs="Times New Roman"/>
          <w:szCs w:val="28"/>
        </w:rPr>
        <w:t>Esta característica implica que, “aunque la ley penal establezca un marco general, se necesita de la remisión a regulaciones complementarias para precisar qué acciones u omisiones concretas construyen el tipo penal concreto”</w:t>
      </w:r>
      <w:r w:rsidR="0020765F" w:rsidRPr="00B033A8">
        <w:rPr>
          <w:rStyle w:val="Refdenotaalpie"/>
          <w:rFonts w:cs="Times New Roman"/>
          <w:szCs w:val="28"/>
        </w:rPr>
        <w:footnoteReference w:id="7"/>
      </w:r>
      <w:r w:rsidR="0020765F" w:rsidRPr="00B033A8">
        <w:rPr>
          <w:rFonts w:cs="Times New Roman"/>
          <w:szCs w:val="28"/>
        </w:rPr>
        <w:t xml:space="preserve">. </w:t>
      </w:r>
    </w:p>
    <w:p w14:paraId="0F32FAC6" w14:textId="77777777" w:rsidR="001F6FFD" w:rsidRPr="00B033A8" w:rsidRDefault="001F6FFD" w:rsidP="00776641">
      <w:pPr>
        <w:rPr>
          <w:rFonts w:cs="Times New Roman"/>
        </w:rPr>
      </w:pPr>
    </w:p>
    <w:p w14:paraId="058FA606" w14:textId="68C9DEC2" w:rsidR="0020765F" w:rsidRPr="00B033A8" w:rsidRDefault="00B46213" w:rsidP="00776641">
      <w:pPr>
        <w:numPr>
          <w:ilvl w:val="0"/>
          <w:numId w:val="12"/>
        </w:numPr>
        <w:tabs>
          <w:tab w:val="left" w:pos="567"/>
        </w:tabs>
        <w:ind w:left="0" w:firstLine="0"/>
        <w:rPr>
          <w:rFonts w:cs="Times New Roman"/>
          <w:szCs w:val="28"/>
        </w:rPr>
      </w:pPr>
      <w:r w:rsidRPr="00B033A8">
        <w:rPr>
          <w:rFonts w:cs="Times New Roman"/>
          <w:szCs w:val="28"/>
        </w:rPr>
        <w:t>El demandante reconoce</w:t>
      </w:r>
      <w:r w:rsidR="001F6FFD" w:rsidRPr="00B033A8">
        <w:rPr>
          <w:rFonts w:cs="Times New Roman"/>
          <w:szCs w:val="28"/>
        </w:rPr>
        <w:t xml:space="preserve"> que</w:t>
      </w:r>
      <w:r w:rsidR="002918F1" w:rsidRPr="00B033A8">
        <w:rPr>
          <w:rFonts w:cs="Times New Roman"/>
          <w:szCs w:val="28"/>
        </w:rPr>
        <w:t xml:space="preserve"> </w:t>
      </w:r>
      <w:r w:rsidR="001F6FFD" w:rsidRPr="00B033A8">
        <w:rPr>
          <w:rFonts w:cs="Times New Roman"/>
          <w:szCs w:val="28"/>
        </w:rPr>
        <w:t>el legislador cuenta con un amplio margen de configuración para establecer tipos penales en blanco, los cuales son una “herramienta legal que permite abordar aspectos variados de la sociedad regulando comportamientos de manera flexible, de acuerdo con la evolución de las circunstancias”</w:t>
      </w:r>
      <w:r w:rsidR="00A36039" w:rsidRPr="00B033A8">
        <w:rPr>
          <w:rStyle w:val="Refdenotaalpie"/>
          <w:rFonts w:cs="Times New Roman"/>
          <w:szCs w:val="28"/>
        </w:rPr>
        <w:footnoteReference w:id="8"/>
      </w:r>
      <w:r w:rsidR="001F6FFD" w:rsidRPr="00B033A8">
        <w:rPr>
          <w:rFonts w:cs="Times New Roman"/>
          <w:szCs w:val="28"/>
        </w:rPr>
        <w:t xml:space="preserve">. </w:t>
      </w:r>
      <w:r w:rsidRPr="00B033A8">
        <w:rPr>
          <w:rFonts w:cs="Times New Roman"/>
          <w:szCs w:val="28"/>
        </w:rPr>
        <w:t>Sin embargo, resalta que</w:t>
      </w:r>
      <w:r w:rsidR="00F0435D" w:rsidRPr="00B033A8">
        <w:rPr>
          <w:rFonts w:cs="Times New Roman"/>
          <w:szCs w:val="28"/>
        </w:rPr>
        <w:t xml:space="preserve"> estos</w:t>
      </w:r>
      <w:r w:rsidRPr="00B033A8">
        <w:rPr>
          <w:rFonts w:cs="Times New Roman"/>
          <w:szCs w:val="28"/>
        </w:rPr>
        <w:t xml:space="preserve"> </w:t>
      </w:r>
      <w:r w:rsidR="002918F1" w:rsidRPr="00B033A8">
        <w:rPr>
          <w:rFonts w:cs="Times New Roman"/>
          <w:szCs w:val="28"/>
        </w:rPr>
        <w:t>delitos</w:t>
      </w:r>
      <w:r w:rsidR="00321180" w:rsidRPr="00B033A8">
        <w:rPr>
          <w:rFonts w:cs="Times New Roman"/>
          <w:szCs w:val="28"/>
        </w:rPr>
        <w:t xml:space="preserve"> </w:t>
      </w:r>
      <w:r w:rsidR="002918F1" w:rsidRPr="00B033A8">
        <w:rPr>
          <w:rFonts w:cs="Times New Roman"/>
          <w:szCs w:val="28"/>
        </w:rPr>
        <w:t>“</w:t>
      </w:r>
      <w:r w:rsidR="00321180" w:rsidRPr="00B033A8">
        <w:rPr>
          <w:rFonts w:cs="Times New Roman"/>
          <w:szCs w:val="28"/>
        </w:rPr>
        <w:t>resultan especialmente problemáticos toda vez que su alto nivel de indeterminación deriva en un mayor grado de complejidad para el ciudadano medio de entender las normas prohibitivas”</w:t>
      </w:r>
      <w:r w:rsidR="00321180" w:rsidRPr="00B033A8">
        <w:rPr>
          <w:rStyle w:val="Refdenotaalpie"/>
          <w:rFonts w:cs="Times New Roman"/>
          <w:szCs w:val="28"/>
        </w:rPr>
        <w:footnoteReference w:id="9"/>
      </w:r>
      <w:r w:rsidR="00321180" w:rsidRPr="00B033A8">
        <w:rPr>
          <w:rFonts w:cs="Times New Roman"/>
          <w:szCs w:val="28"/>
        </w:rPr>
        <w:t xml:space="preserve">. Por esta razón, </w:t>
      </w:r>
      <w:r w:rsidRPr="00B033A8">
        <w:rPr>
          <w:rFonts w:cs="Times New Roman"/>
          <w:szCs w:val="28"/>
        </w:rPr>
        <w:t>la jurisprudencia constitucional</w:t>
      </w:r>
      <w:r w:rsidRPr="00B033A8">
        <w:rPr>
          <w:rFonts w:cs="Times New Roman"/>
          <w:szCs w:val="28"/>
          <w:vertAlign w:val="superscript"/>
        </w:rPr>
        <w:footnoteReference w:id="10"/>
      </w:r>
      <w:r w:rsidRPr="00B033A8">
        <w:rPr>
          <w:rFonts w:cs="Times New Roman"/>
          <w:szCs w:val="28"/>
        </w:rPr>
        <w:t xml:space="preserve"> e interamericana</w:t>
      </w:r>
      <w:r w:rsidRPr="00B033A8">
        <w:rPr>
          <w:rFonts w:cs="Times New Roman"/>
          <w:szCs w:val="28"/>
          <w:vertAlign w:val="superscript"/>
        </w:rPr>
        <w:footnoteReference w:id="11"/>
      </w:r>
      <w:r w:rsidRPr="00B033A8">
        <w:rPr>
          <w:rFonts w:cs="Times New Roman"/>
          <w:szCs w:val="28"/>
        </w:rPr>
        <w:t xml:space="preserve"> </w:t>
      </w:r>
      <w:r w:rsidR="00321180" w:rsidRPr="00B033A8">
        <w:rPr>
          <w:rFonts w:cs="Times New Roman"/>
          <w:szCs w:val="28"/>
        </w:rPr>
        <w:t>ha</w:t>
      </w:r>
      <w:r w:rsidR="001C71F0" w:rsidRPr="00B033A8">
        <w:rPr>
          <w:rFonts w:cs="Times New Roman"/>
          <w:szCs w:val="28"/>
        </w:rPr>
        <w:t xml:space="preserve">n </w:t>
      </w:r>
      <w:r w:rsidR="00321180" w:rsidRPr="00B033A8">
        <w:rPr>
          <w:rFonts w:cs="Times New Roman"/>
          <w:szCs w:val="28"/>
        </w:rPr>
        <w:t>enfatizado que</w:t>
      </w:r>
      <w:r w:rsidRPr="00B033A8">
        <w:rPr>
          <w:rFonts w:cs="Times New Roman"/>
          <w:szCs w:val="28"/>
        </w:rPr>
        <w:t xml:space="preserve"> e</w:t>
      </w:r>
      <w:r w:rsidR="00321180" w:rsidRPr="00B033A8">
        <w:rPr>
          <w:rFonts w:cs="Times New Roman"/>
          <w:szCs w:val="28"/>
        </w:rPr>
        <w:t>l</w:t>
      </w:r>
      <w:r w:rsidRPr="00B033A8">
        <w:rPr>
          <w:rFonts w:cs="Times New Roman"/>
          <w:szCs w:val="28"/>
        </w:rPr>
        <w:t xml:space="preserve"> margen de configuración </w:t>
      </w:r>
      <w:r w:rsidR="00321180" w:rsidRPr="00B033A8">
        <w:rPr>
          <w:rFonts w:cs="Times New Roman"/>
          <w:szCs w:val="28"/>
        </w:rPr>
        <w:t xml:space="preserve">que la Constitución reconoce al legislador para establecer estos delitos </w:t>
      </w:r>
      <w:r w:rsidRPr="00B033A8">
        <w:rPr>
          <w:rFonts w:cs="Times New Roman"/>
          <w:szCs w:val="28"/>
        </w:rPr>
        <w:t>no es absoluto</w:t>
      </w:r>
      <w:r w:rsidR="00321180" w:rsidRPr="00B033A8">
        <w:rPr>
          <w:rFonts w:cs="Times New Roman"/>
          <w:szCs w:val="28"/>
        </w:rPr>
        <w:t>;</w:t>
      </w:r>
      <w:r w:rsidRPr="00B033A8">
        <w:rPr>
          <w:rFonts w:cs="Times New Roman"/>
          <w:szCs w:val="28"/>
        </w:rPr>
        <w:t xml:space="preserve"> </w:t>
      </w:r>
      <w:r w:rsidR="00321180" w:rsidRPr="00B033A8">
        <w:rPr>
          <w:rFonts w:cs="Times New Roman"/>
          <w:szCs w:val="28"/>
        </w:rPr>
        <w:t>está limitado</w:t>
      </w:r>
      <w:r w:rsidRPr="00B033A8">
        <w:rPr>
          <w:rFonts w:cs="Times New Roman"/>
          <w:szCs w:val="28"/>
        </w:rPr>
        <w:t xml:space="preserve"> </w:t>
      </w:r>
      <w:r w:rsidR="00321180" w:rsidRPr="00B033A8">
        <w:rPr>
          <w:rFonts w:cs="Times New Roman"/>
          <w:szCs w:val="28"/>
        </w:rPr>
        <w:t xml:space="preserve">por los </w:t>
      </w:r>
      <w:r w:rsidR="001F6FFD" w:rsidRPr="00B033A8">
        <w:rPr>
          <w:rFonts w:cs="Times New Roman"/>
          <w:szCs w:val="28"/>
        </w:rPr>
        <w:t>“</w:t>
      </w:r>
      <w:r w:rsidR="00321180" w:rsidRPr="00B033A8">
        <w:rPr>
          <w:rFonts w:cs="Times New Roman"/>
          <w:szCs w:val="28"/>
        </w:rPr>
        <w:t xml:space="preserve">principios </w:t>
      </w:r>
      <w:r w:rsidR="001F6FFD" w:rsidRPr="00B033A8">
        <w:rPr>
          <w:rFonts w:cs="Times New Roman"/>
          <w:szCs w:val="28"/>
        </w:rPr>
        <w:t xml:space="preserve">y valores </w:t>
      </w:r>
      <w:r w:rsidR="00321180" w:rsidRPr="00B033A8">
        <w:rPr>
          <w:rFonts w:cs="Times New Roman"/>
          <w:szCs w:val="28"/>
        </w:rPr>
        <w:t>constitucionales</w:t>
      </w:r>
      <w:r w:rsidR="001F6FFD" w:rsidRPr="00B033A8">
        <w:rPr>
          <w:rFonts w:cs="Times New Roman"/>
          <w:szCs w:val="28"/>
        </w:rPr>
        <w:t>”</w:t>
      </w:r>
      <w:r w:rsidR="006D32F6" w:rsidRPr="00B033A8">
        <w:rPr>
          <w:rFonts w:cs="Times New Roman"/>
          <w:szCs w:val="28"/>
        </w:rPr>
        <w:t xml:space="preserve"> </w:t>
      </w:r>
      <w:r w:rsidR="001F6FFD" w:rsidRPr="00B033A8">
        <w:rPr>
          <w:rFonts w:cs="Times New Roman"/>
          <w:szCs w:val="28"/>
        </w:rPr>
        <w:t xml:space="preserve">y, en </w:t>
      </w:r>
      <w:r w:rsidR="003C32F2" w:rsidRPr="00B033A8">
        <w:rPr>
          <w:rFonts w:cs="Times New Roman"/>
          <w:szCs w:val="28"/>
        </w:rPr>
        <w:t>particular</w:t>
      </w:r>
      <w:r w:rsidR="001F6FFD" w:rsidRPr="00B033A8">
        <w:rPr>
          <w:rFonts w:cs="Times New Roman"/>
          <w:szCs w:val="28"/>
        </w:rPr>
        <w:t xml:space="preserve">, por el principio de </w:t>
      </w:r>
      <w:r w:rsidR="00F20FEC" w:rsidRPr="00B033A8">
        <w:rPr>
          <w:rFonts w:cs="Times New Roman"/>
          <w:szCs w:val="28"/>
        </w:rPr>
        <w:t>legalidad</w:t>
      </w:r>
      <w:r w:rsidR="001F6FFD" w:rsidRPr="00B033A8">
        <w:rPr>
          <w:rFonts w:cs="Times New Roman"/>
          <w:szCs w:val="28"/>
        </w:rPr>
        <w:t xml:space="preserve"> estricta</w:t>
      </w:r>
      <w:r w:rsidR="00F20FEC" w:rsidRPr="00B033A8">
        <w:rPr>
          <w:rFonts w:cs="Times New Roman"/>
          <w:szCs w:val="28"/>
        </w:rPr>
        <w:t xml:space="preserve"> o tipicidad</w:t>
      </w:r>
      <w:r w:rsidR="001F6FFD" w:rsidRPr="00B033A8">
        <w:rPr>
          <w:rFonts w:cs="Times New Roman"/>
          <w:szCs w:val="28"/>
        </w:rPr>
        <w:t xml:space="preserve">. </w:t>
      </w:r>
    </w:p>
    <w:p w14:paraId="3CDF0405" w14:textId="77777777" w:rsidR="0020765F" w:rsidRPr="00B033A8" w:rsidRDefault="0020765F" w:rsidP="00776641">
      <w:pPr>
        <w:tabs>
          <w:tab w:val="left" w:pos="567"/>
        </w:tabs>
        <w:rPr>
          <w:rFonts w:cs="Times New Roman"/>
          <w:szCs w:val="28"/>
        </w:rPr>
      </w:pPr>
    </w:p>
    <w:p w14:paraId="34BCF511" w14:textId="0DC219A9" w:rsidR="00CD494E" w:rsidRPr="00B033A8" w:rsidRDefault="001F6FFD" w:rsidP="00776641">
      <w:pPr>
        <w:numPr>
          <w:ilvl w:val="0"/>
          <w:numId w:val="12"/>
        </w:numPr>
        <w:tabs>
          <w:tab w:val="left" w:pos="567"/>
        </w:tabs>
        <w:ind w:left="0" w:firstLine="0"/>
        <w:rPr>
          <w:rFonts w:cs="Times New Roman"/>
          <w:szCs w:val="28"/>
        </w:rPr>
      </w:pPr>
      <w:r w:rsidRPr="00B033A8">
        <w:rPr>
          <w:rFonts w:cs="Times New Roman"/>
          <w:szCs w:val="28"/>
        </w:rPr>
        <w:t>El</w:t>
      </w:r>
      <w:r w:rsidR="00321180" w:rsidRPr="00B033A8">
        <w:rPr>
          <w:rFonts w:cs="Times New Roman"/>
          <w:szCs w:val="28"/>
        </w:rPr>
        <w:t xml:space="preserve"> demandante</w:t>
      </w:r>
      <w:r w:rsidR="0020765F" w:rsidRPr="00B033A8">
        <w:rPr>
          <w:rFonts w:cs="Times New Roman"/>
          <w:szCs w:val="28"/>
        </w:rPr>
        <w:t xml:space="preserve"> </w:t>
      </w:r>
      <w:r w:rsidR="00A0570C" w:rsidRPr="00B033A8">
        <w:rPr>
          <w:rFonts w:cs="Times New Roman"/>
          <w:szCs w:val="28"/>
        </w:rPr>
        <w:t>señala</w:t>
      </w:r>
      <w:r w:rsidR="0020765F" w:rsidRPr="00B033A8">
        <w:rPr>
          <w:rFonts w:cs="Times New Roman"/>
          <w:szCs w:val="28"/>
        </w:rPr>
        <w:t xml:space="preserve"> que la</w:t>
      </w:r>
      <w:r w:rsidR="00B46213" w:rsidRPr="00B033A8">
        <w:rPr>
          <w:rFonts w:cs="Times New Roman"/>
          <w:szCs w:val="28"/>
        </w:rPr>
        <w:t xml:space="preserve"> tipicidad</w:t>
      </w:r>
      <w:r w:rsidR="00B46213" w:rsidRPr="00B033A8">
        <w:rPr>
          <w:rFonts w:cs="Times New Roman"/>
          <w:i/>
          <w:iCs/>
          <w:szCs w:val="28"/>
        </w:rPr>
        <w:t xml:space="preserve"> </w:t>
      </w:r>
      <w:r w:rsidR="0020765F" w:rsidRPr="00B033A8">
        <w:rPr>
          <w:rFonts w:cs="Times New Roman"/>
          <w:szCs w:val="28"/>
        </w:rPr>
        <w:t xml:space="preserve">es una </w:t>
      </w:r>
      <w:r w:rsidR="00321180" w:rsidRPr="00B033A8">
        <w:rPr>
          <w:rFonts w:cs="Times New Roman"/>
          <w:szCs w:val="28"/>
        </w:rPr>
        <w:t>manifestación</w:t>
      </w:r>
      <w:r w:rsidR="0020765F" w:rsidRPr="00B033A8">
        <w:rPr>
          <w:rFonts w:cs="Times New Roman"/>
          <w:szCs w:val="28"/>
        </w:rPr>
        <w:t xml:space="preserve"> del principio de legalidad en materia penal</w:t>
      </w:r>
      <w:r w:rsidRPr="00B033A8">
        <w:rPr>
          <w:rFonts w:cs="Times New Roman"/>
          <w:szCs w:val="28"/>
        </w:rPr>
        <w:t>. En su faceta positiva,</w:t>
      </w:r>
      <w:r w:rsidR="0020765F" w:rsidRPr="00B033A8">
        <w:rPr>
          <w:rFonts w:cs="Times New Roman"/>
          <w:szCs w:val="28"/>
        </w:rPr>
        <w:t xml:space="preserve"> </w:t>
      </w:r>
      <w:r w:rsidR="00BA57C4" w:rsidRPr="00B033A8">
        <w:rPr>
          <w:rFonts w:cs="Times New Roman"/>
          <w:szCs w:val="28"/>
        </w:rPr>
        <w:t>exige que</w:t>
      </w:r>
      <w:r w:rsidR="00BA57C4" w:rsidRPr="00B033A8">
        <w:rPr>
          <w:rFonts w:cs="Times New Roman"/>
          <w:color w:val="404040"/>
          <w:szCs w:val="23"/>
        </w:rPr>
        <w:t xml:space="preserve"> </w:t>
      </w:r>
      <w:r w:rsidR="00BA57C4" w:rsidRPr="00B033A8">
        <w:rPr>
          <w:rFonts w:cs="Times New Roman"/>
          <w:szCs w:val="28"/>
        </w:rPr>
        <w:t>todos los componentes de</w:t>
      </w:r>
      <w:r w:rsidR="00320036" w:rsidRPr="00B033A8">
        <w:rPr>
          <w:rFonts w:cs="Times New Roman"/>
          <w:szCs w:val="28"/>
        </w:rPr>
        <w:t>l</w:t>
      </w:r>
      <w:r w:rsidR="00BA57C4" w:rsidRPr="00B033A8">
        <w:rPr>
          <w:rFonts w:cs="Times New Roman"/>
          <w:szCs w:val="28"/>
        </w:rPr>
        <w:t xml:space="preserve"> tipo penal (sujetos, verbos rectores, ingredientes subjetivos y objetivos, sanción, agravantes, etc</w:t>
      </w:r>
      <w:r w:rsidR="00BB616A" w:rsidRPr="00B033A8">
        <w:rPr>
          <w:rFonts w:cs="Times New Roman"/>
          <w:szCs w:val="28"/>
        </w:rPr>
        <w:t>.</w:t>
      </w:r>
      <w:r w:rsidR="00BA57C4" w:rsidRPr="00B033A8">
        <w:rPr>
          <w:rFonts w:cs="Times New Roman"/>
          <w:szCs w:val="28"/>
        </w:rPr>
        <w:t xml:space="preserve">) </w:t>
      </w:r>
      <w:r w:rsidR="00320036" w:rsidRPr="00B033A8">
        <w:rPr>
          <w:rFonts w:cs="Times New Roman"/>
          <w:szCs w:val="28"/>
        </w:rPr>
        <w:t>estén definidos</w:t>
      </w:r>
      <w:r w:rsidR="00BA57C4" w:rsidRPr="00B033A8">
        <w:rPr>
          <w:rFonts w:cs="Times New Roman"/>
          <w:szCs w:val="28"/>
        </w:rPr>
        <w:t xml:space="preserve"> </w:t>
      </w:r>
      <w:r w:rsidR="00552C73" w:rsidRPr="00B033A8">
        <w:rPr>
          <w:rFonts w:cs="Times New Roman"/>
          <w:szCs w:val="28"/>
        </w:rPr>
        <w:t>de forma “clara y precisa”</w:t>
      </w:r>
      <w:r w:rsidR="00320036" w:rsidRPr="00B033A8">
        <w:rPr>
          <w:rFonts w:cs="Times New Roman"/>
          <w:szCs w:val="28"/>
        </w:rPr>
        <w:t xml:space="preserve"> en la ley</w:t>
      </w:r>
      <w:r w:rsidR="00552C73" w:rsidRPr="00B033A8">
        <w:rPr>
          <w:rFonts w:cs="Times New Roman"/>
          <w:szCs w:val="28"/>
        </w:rPr>
        <w:t xml:space="preserve"> </w:t>
      </w:r>
      <w:r w:rsidR="00BA57C4" w:rsidRPr="00B033A8">
        <w:rPr>
          <w:rFonts w:cs="Times New Roman"/>
          <w:szCs w:val="28"/>
        </w:rPr>
        <w:t xml:space="preserve">o </w:t>
      </w:r>
      <w:r w:rsidR="00320036" w:rsidRPr="00B033A8">
        <w:rPr>
          <w:rFonts w:cs="Times New Roman"/>
          <w:szCs w:val="28"/>
        </w:rPr>
        <w:t xml:space="preserve">sean </w:t>
      </w:r>
      <w:r w:rsidR="00552C73" w:rsidRPr="00B033A8">
        <w:rPr>
          <w:rFonts w:cs="Times New Roman"/>
          <w:szCs w:val="28"/>
        </w:rPr>
        <w:t>“</w:t>
      </w:r>
      <w:r w:rsidR="00BA57C4" w:rsidRPr="00B033A8">
        <w:rPr>
          <w:rFonts w:cs="Times New Roman"/>
          <w:szCs w:val="28"/>
        </w:rPr>
        <w:t>razonablemente determinables por el intérprete”</w:t>
      </w:r>
      <w:r w:rsidR="00BA57C4" w:rsidRPr="00B033A8">
        <w:rPr>
          <w:rStyle w:val="Refdenotaalpie"/>
          <w:rFonts w:cs="Times New Roman"/>
          <w:szCs w:val="28"/>
        </w:rPr>
        <w:footnoteReference w:id="12"/>
      </w:r>
      <w:r w:rsidR="00321180" w:rsidRPr="00B033A8">
        <w:rPr>
          <w:rFonts w:cs="Times New Roman"/>
          <w:szCs w:val="28"/>
        </w:rPr>
        <w:t>. En su faceta negativa</w:t>
      </w:r>
      <w:r w:rsidR="00BA57C4" w:rsidRPr="00B033A8">
        <w:rPr>
          <w:rFonts w:cs="Times New Roman"/>
          <w:szCs w:val="28"/>
        </w:rPr>
        <w:t xml:space="preserve">, </w:t>
      </w:r>
      <w:r w:rsidR="00321180" w:rsidRPr="00B033A8">
        <w:rPr>
          <w:rFonts w:cs="Times New Roman"/>
          <w:szCs w:val="28"/>
        </w:rPr>
        <w:t>prohíbe</w:t>
      </w:r>
      <w:r w:rsidR="00BA57C4" w:rsidRPr="00B033A8">
        <w:rPr>
          <w:rFonts w:cs="Times New Roman"/>
          <w:szCs w:val="28"/>
        </w:rPr>
        <w:t xml:space="preserve"> la vaguedad o ambigüedad de la norma penal</w:t>
      </w:r>
      <w:r w:rsidR="0020765F" w:rsidRPr="00B033A8">
        <w:rPr>
          <w:rStyle w:val="Refdenotaalpie"/>
          <w:rFonts w:cs="Times New Roman"/>
          <w:szCs w:val="28"/>
        </w:rPr>
        <w:footnoteReference w:id="13"/>
      </w:r>
      <w:r w:rsidR="0020765F" w:rsidRPr="00B033A8">
        <w:rPr>
          <w:rFonts w:cs="Times New Roman"/>
          <w:szCs w:val="28"/>
        </w:rPr>
        <w:t xml:space="preserve">. </w:t>
      </w:r>
      <w:r w:rsidRPr="00B033A8">
        <w:rPr>
          <w:rFonts w:cs="Times New Roman"/>
          <w:szCs w:val="28"/>
        </w:rPr>
        <w:t>Según el demandante, en las sentencias C-367 de 2022</w:t>
      </w:r>
      <w:r w:rsidR="00EF7DDE" w:rsidRPr="00B033A8">
        <w:rPr>
          <w:rFonts w:cs="Times New Roman"/>
          <w:szCs w:val="28"/>
        </w:rPr>
        <w:t>, C-411 de 2022</w:t>
      </w:r>
      <w:r w:rsidRPr="00B033A8">
        <w:rPr>
          <w:rFonts w:cs="Times New Roman"/>
          <w:szCs w:val="28"/>
        </w:rPr>
        <w:t xml:space="preserve"> y C-021 de 2023, la </w:t>
      </w:r>
      <w:r w:rsidR="00552C73" w:rsidRPr="00B033A8">
        <w:rPr>
          <w:rFonts w:cs="Times New Roman"/>
          <w:szCs w:val="28"/>
        </w:rPr>
        <w:t>Corte Constitucional</w:t>
      </w:r>
      <w:r w:rsidRPr="00B033A8">
        <w:rPr>
          <w:rFonts w:cs="Times New Roman"/>
          <w:szCs w:val="28"/>
        </w:rPr>
        <w:t xml:space="preserve"> precisó el contenido del principio de tipicidad frente al </w:t>
      </w:r>
      <w:r w:rsidRPr="00B033A8">
        <w:rPr>
          <w:rFonts w:cs="Times New Roman"/>
          <w:szCs w:val="28"/>
        </w:rPr>
        <w:lastRenderedPageBreak/>
        <w:t>establecimiento de tipos penales</w:t>
      </w:r>
      <w:r w:rsidR="004B05D3" w:rsidRPr="00B033A8">
        <w:rPr>
          <w:rFonts w:cs="Times New Roman"/>
          <w:szCs w:val="28"/>
        </w:rPr>
        <w:t xml:space="preserve"> en blanco</w:t>
      </w:r>
      <w:r w:rsidRPr="00B033A8">
        <w:rPr>
          <w:rFonts w:cs="Times New Roman"/>
          <w:szCs w:val="28"/>
        </w:rPr>
        <w:t xml:space="preserve">. </w:t>
      </w:r>
      <w:r w:rsidR="003C32F2" w:rsidRPr="00B033A8">
        <w:rPr>
          <w:rFonts w:cs="Times New Roman"/>
          <w:szCs w:val="28"/>
        </w:rPr>
        <w:t>Al respecto,</w:t>
      </w:r>
      <w:r w:rsidRPr="00B033A8">
        <w:rPr>
          <w:rFonts w:cs="Times New Roman"/>
          <w:szCs w:val="28"/>
        </w:rPr>
        <w:t xml:space="preserve"> sos</w:t>
      </w:r>
      <w:r w:rsidR="00F20FEC" w:rsidRPr="00B033A8">
        <w:rPr>
          <w:rFonts w:cs="Times New Roman"/>
          <w:szCs w:val="28"/>
        </w:rPr>
        <w:t xml:space="preserve">tuvo </w:t>
      </w:r>
      <w:r w:rsidRPr="00B033A8">
        <w:rPr>
          <w:rFonts w:cs="Times New Roman"/>
          <w:szCs w:val="28"/>
        </w:rPr>
        <w:t>que la constitucionalidad de un tipo penal en blanco</w:t>
      </w:r>
      <w:r w:rsidR="00EF7DDE" w:rsidRPr="00B033A8">
        <w:rPr>
          <w:rFonts w:cs="Times New Roman"/>
          <w:szCs w:val="28"/>
        </w:rPr>
        <w:t xml:space="preserve"> depende d</w:t>
      </w:r>
      <w:r w:rsidRPr="00B033A8">
        <w:rPr>
          <w:rFonts w:cs="Times New Roman"/>
          <w:szCs w:val="28"/>
        </w:rPr>
        <w:t xml:space="preserve">el </w:t>
      </w:r>
      <w:r w:rsidR="00EF7DDE" w:rsidRPr="00B033A8">
        <w:rPr>
          <w:rFonts w:cs="Times New Roman"/>
          <w:szCs w:val="28"/>
        </w:rPr>
        <w:t>“</w:t>
      </w:r>
      <w:r w:rsidRPr="00B033A8">
        <w:rPr>
          <w:rFonts w:cs="Times New Roman"/>
          <w:szCs w:val="28"/>
        </w:rPr>
        <w:t>grado de determinación de la conducta</w:t>
      </w:r>
      <w:r w:rsidR="00EF7DDE" w:rsidRPr="00B033A8">
        <w:rPr>
          <w:rFonts w:cs="Times New Roman"/>
          <w:szCs w:val="28"/>
        </w:rPr>
        <w:t xml:space="preserve">” y de la “claridad </w:t>
      </w:r>
      <w:proofErr w:type="spellStart"/>
      <w:r w:rsidR="00EF7DDE" w:rsidRPr="00B033A8">
        <w:rPr>
          <w:rFonts w:cs="Times New Roman"/>
          <w:szCs w:val="28"/>
        </w:rPr>
        <w:t>post-remisión</w:t>
      </w:r>
      <w:proofErr w:type="spellEnd"/>
      <w:r w:rsidR="00EF7DDE" w:rsidRPr="00B033A8">
        <w:rPr>
          <w:rFonts w:cs="Times New Roman"/>
          <w:szCs w:val="28"/>
        </w:rPr>
        <w:t xml:space="preserve"> normativa”</w:t>
      </w:r>
      <w:r w:rsidR="009F2D02" w:rsidRPr="00B033A8">
        <w:rPr>
          <w:rStyle w:val="Refdenotaalpie"/>
          <w:rFonts w:cs="Times New Roman"/>
          <w:szCs w:val="28"/>
        </w:rPr>
        <w:footnoteReference w:id="14"/>
      </w:r>
      <w:r w:rsidR="00EF7DDE" w:rsidRPr="00B033A8">
        <w:rPr>
          <w:rFonts w:cs="Times New Roman"/>
          <w:szCs w:val="28"/>
        </w:rPr>
        <w:t xml:space="preserve">. </w:t>
      </w:r>
    </w:p>
    <w:p w14:paraId="38B5910B" w14:textId="77777777" w:rsidR="00F96F6C" w:rsidRPr="00B033A8" w:rsidRDefault="00F96F6C" w:rsidP="00776641">
      <w:pPr>
        <w:tabs>
          <w:tab w:val="left" w:pos="567"/>
        </w:tabs>
        <w:rPr>
          <w:rFonts w:cs="Times New Roman"/>
          <w:szCs w:val="28"/>
        </w:rPr>
      </w:pPr>
    </w:p>
    <w:p w14:paraId="4AAF847E" w14:textId="37911337" w:rsidR="001D1581" w:rsidRPr="00B033A8" w:rsidRDefault="00EF7DDE" w:rsidP="00776641">
      <w:pPr>
        <w:numPr>
          <w:ilvl w:val="0"/>
          <w:numId w:val="12"/>
        </w:numPr>
        <w:tabs>
          <w:tab w:val="left" w:pos="567"/>
        </w:tabs>
        <w:ind w:left="0" w:firstLine="0"/>
        <w:rPr>
          <w:rFonts w:cs="Times New Roman"/>
          <w:szCs w:val="28"/>
        </w:rPr>
      </w:pPr>
      <w:r w:rsidRPr="00B033A8">
        <w:rPr>
          <w:rFonts w:cs="Times New Roman"/>
          <w:szCs w:val="28"/>
        </w:rPr>
        <w:t xml:space="preserve">Asimismo, </w:t>
      </w:r>
      <w:r w:rsidR="00110058" w:rsidRPr="00B033A8">
        <w:rPr>
          <w:rFonts w:cs="Times New Roman"/>
          <w:szCs w:val="28"/>
        </w:rPr>
        <w:t xml:space="preserve">afirma </w:t>
      </w:r>
      <w:r w:rsidR="00CD494E" w:rsidRPr="00B033A8">
        <w:rPr>
          <w:rFonts w:cs="Times New Roman"/>
          <w:szCs w:val="28"/>
        </w:rPr>
        <w:t xml:space="preserve">el demandante, </w:t>
      </w:r>
      <w:r w:rsidRPr="00B033A8">
        <w:rPr>
          <w:rFonts w:cs="Times New Roman"/>
          <w:szCs w:val="28"/>
        </w:rPr>
        <w:t xml:space="preserve">en estas decisiones la Corte fijó cinco reglas para </w:t>
      </w:r>
      <w:r w:rsidR="00D71C08" w:rsidRPr="00B033A8">
        <w:rPr>
          <w:rFonts w:cs="Times New Roman"/>
          <w:szCs w:val="28"/>
        </w:rPr>
        <w:t>determinar</w:t>
      </w:r>
      <w:r w:rsidR="00823120" w:rsidRPr="00B033A8">
        <w:rPr>
          <w:rFonts w:cs="Times New Roman"/>
          <w:szCs w:val="28"/>
        </w:rPr>
        <w:t xml:space="preserve"> </w:t>
      </w:r>
      <w:r w:rsidR="00552C73" w:rsidRPr="00B033A8">
        <w:rPr>
          <w:rFonts w:cs="Times New Roman"/>
          <w:szCs w:val="28"/>
        </w:rPr>
        <w:t>si</w:t>
      </w:r>
      <w:r w:rsidR="000F1426" w:rsidRPr="00B033A8">
        <w:rPr>
          <w:rFonts w:cs="Times New Roman"/>
          <w:szCs w:val="28"/>
        </w:rPr>
        <w:t xml:space="preserve"> un</w:t>
      </w:r>
      <w:r w:rsidRPr="00B033A8">
        <w:rPr>
          <w:rFonts w:cs="Times New Roman"/>
          <w:szCs w:val="28"/>
        </w:rPr>
        <w:t xml:space="preserve"> tipo penal en blanco</w:t>
      </w:r>
      <w:r w:rsidR="00552C73" w:rsidRPr="00B033A8">
        <w:rPr>
          <w:rFonts w:cs="Times New Roman"/>
          <w:szCs w:val="28"/>
        </w:rPr>
        <w:t xml:space="preserve"> </w:t>
      </w:r>
      <w:r w:rsidR="000F1426" w:rsidRPr="00B033A8">
        <w:rPr>
          <w:rFonts w:cs="Times New Roman"/>
          <w:szCs w:val="28"/>
        </w:rPr>
        <w:t xml:space="preserve">satisface </w:t>
      </w:r>
      <w:r w:rsidR="00552C73" w:rsidRPr="00B033A8">
        <w:rPr>
          <w:rFonts w:cs="Times New Roman"/>
          <w:szCs w:val="28"/>
        </w:rPr>
        <w:t xml:space="preserve">el principio de </w:t>
      </w:r>
      <w:r w:rsidR="003C32F2" w:rsidRPr="00B033A8">
        <w:rPr>
          <w:rFonts w:cs="Times New Roman"/>
          <w:szCs w:val="28"/>
        </w:rPr>
        <w:t>legalidad</w:t>
      </w:r>
      <w:r w:rsidR="00552C73" w:rsidRPr="00B033A8">
        <w:rPr>
          <w:rFonts w:cs="Times New Roman"/>
          <w:szCs w:val="28"/>
        </w:rPr>
        <w:t xml:space="preserve"> estricta</w:t>
      </w:r>
      <w:r w:rsidR="003C32F2" w:rsidRPr="00B033A8">
        <w:rPr>
          <w:rFonts w:cs="Times New Roman"/>
          <w:szCs w:val="28"/>
        </w:rPr>
        <w:t xml:space="preserve"> o tipicidad</w:t>
      </w:r>
      <w:r w:rsidR="00B46213" w:rsidRPr="00B033A8">
        <w:rPr>
          <w:rFonts w:cs="Times New Roman"/>
        </w:rPr>
        <w:t xml:space="preserve">: </w:t>
      </w:r>
      <w:r w:rsidR="00CD494E" w:rsidRPr="00B033A8">
        <w:rPr>
          <w:rFonts w:cs="Times New Roman"/>
          <w:i/>
          <w:iCs/>
          <w:szCs w:val="28"/>
        </w:rPr>
        <w:t>(i)</w:t>
      </w:r>
      <w:r w:rsidR="00CD494E" w:rsidRPr="00B033A8">
        <w:rPr>
          <w:rFonts w:cs="Times New Roman"/>
          <w:szCs w:val="28"/>
        </w:rPr>
        <w:t xml:space="preserve"> </w:t>
      </w:r>
      <w:r w:rsidR="00CD494E" w:rsidRPr="00B033A8">
        <w:rPr>
          <w:rFonts w:cs="Times New Roman"/>
        </w:rPr>
        <w:t>l</w:t>
      </w:r>
      <w:r w:rsidR="00B46213" w:rsidRPr="00B033A8">
        <w:rPr>
          <w:rFonts w:cs="Times New Roman"/>
        </w:rPr>
        <w:t xml:space="preserve">a remisión </w:t>
      </w:r>
      <w:r w:rsidR="000F1426" w:rsidRPr="00B033A8">
        <w:rPr>
          <w:rFonts w:cs="Times New Roman"/>
        </w:rPr>
        <w:t xml:space="preserve">normativa </w:t>
      </w:r>
      <w:r w:rsidRPr="00B033A8">
        <w:rPr>
          <w:rFonts w:cs="Times New Roman"/>
        </w:rPr>
        <w:t>debe ser</w:t>
      </w:r>
      <w:r w:rsidR="00B46213" w:rsidRPr="00B033A8">
        <w:rPr>
          <w:rFonts w:cs="Times New Roman"/>
        </w:rPr>
        <w:t xml:space="preserve"> clara y precisa</w:t>
      </w:r>
      <w:r w:rsidR="00B46213" w:rsidRPr="00B033A8">
        <w:rPr>
          <w:rFonts w:cs="Times New Roman"/>
          <w:vertAlign w:val="superscript"/>
        </w:rPr>
        <w:footnoteReference w:id="15"/>
      </w:r>
      <w:r w:rsidR="00CD494E" w:rsidRPr="00B033A8">
        <w:rPr>
          <w:rFonts w:cs="Times New Roman"/>
        </w:rPr>
        <w:t xml:space="preserve">; </w:t>
      </w:r>
      <w:r w:rsidR="00CD494E" w:rsidRPr="00B033A8">
        <w:rPr>
          <w:rFonts w:cs="Times New Roman"/>
          <w:i/>
          <w:iCs/>
        </w:rPr>
        <w:t>(</w:t>
      </w:r>
      <w:proofErr w:type="spellStart"/>
      <w:r w:rsidR="00CD494E" w:rsidRPr="00B033A8">
        <w:rPr>
          <w:rFonts w:cs="Times New Roman"/>
          <w:i/>
          <w:iCs/>
        </w:rPr>
        <w:t>ii</w:t>
      </w:r>
      <w:proofErr w:type="spellEnd"/>
      <w:r w:rsidR="00CD494E" w:rsidRPr="00B033A8">
        <w:rPr>
          <w:rFonts w:cs="Times New Roman"/>
          <w:i/>
          <w:iCs/>
        </w:rPr>
        <w:t>)</w:t>
      </w:r>
      <w:r w:rsidR="00CD494E" w:rsidRPr="00B033A8">
        <w:rPr>
          <w:rFonts w:cs="Times New Roman"/>
        </w:rPr>
        <w:t xml:space="preserve"> l</w:t>
      </w:r>
      <w:r w:rsidRPr="00B033A8">
        <w:rPr>
          <w:rFonts w:cs="Times New Roman"/>
        </w:rPr>
        <w:t xml:space="preserve">a </w:t>
      </w:r>
      <w:r w:rsidR="00B46213" w:rsidRPr="00B033A8">
        <w:rPr>
          <w:rFonts w:cs="Times New Roman"/>
        </w:rPr>
        <w:t xml:space="preserve">redacción </w:t>
      </w:r>
      <w:r w:rsidRPr="00B033A8">
        <w:rPr>
          <w:rFonts w:cs="Times New Roman"/>
        </w:rPr>
        <w:t xml:space="preserve">del tipo debe </w:t>
      </w:r>
      <w:r w:rsidR="00B46213" w:rsidRPr="00B033A8">
        <w:rPr>
          <w:rFonts w:cs="Times New Roman"/>
        </w:rPr>
        <w:t>permit</w:t>
      </w:r>
      <w:r w:rsidRPr="00B033A8">
        <w:rPr>
          <w:rFonts w:cs="Times New Roman"/>
        </w:rPr>
        <w:t>ir</w:t>
      </w:r>
      <w:r w:rsidR="00B46213" w:rsidRPr="00B033A8">
        <w:rPr>
          <w:rFonts w:cs="Times New Roman"/>
        </w:rPr>
        <w:t xml:space="preserve"> al intérprete establecer claramente cuál es la conducta que el legislador pretende sancionar; </w:t>
      </w:r>
      <w:r w:rsidR="00CD494E" w:rsidRPr="00B033A8">
        <w:rPr>
          <w:rFonts w:cs="Times New Roman"/>
          <w:i/>
          <w:iCs/>
          <w:szCs w:val="28"/>
        </w:rPr>
        <w:t>(</w:t>
      </w:r>
      <w:proofErr w:type="spellStart"/>
      <w:r w:rsidR="00CD494E" w:rsidRPr="00B033A8">
        <w:rPr>
          <w:rFonts w:cs="Times New Roman"/>
          <w:i/>
          <w:iCs/>
          <w:szCs w:val="28"/>
        </w:rPr>
        <w:t>i</w:t>
      </w:r>
      <w:r w:rsidR="0000546A" w:rsidRPr="00B033A8">
        <w:rPr>
          <w:rFonts w:cs="Times New Roman"/>
          <w:i/>
          <w:iCs/>
          <w:szCs w:val="28"/>
        </w:rPr>
        <w:t>ii</w:t>
      </w:r>
      <w:proofErr w:type="spellEnd"/>
      <w:r w:rsidR="00CD494E" w:rsidRPr="00B033A8">
        <w:rPr>
          <w:rFonts w:cs="Times New Roman"/>
          <w:i/>
          <w:iCs/>
          <w:szCs w:val="28"/>
        </w:rPr>
        <w:t>)</w:t>
      </w:r>
      <w:r w:rsidR="00CD494E" w:rsidRPr="00B033A8">
        <w:rPr>
          <w:rFonts w:cs="Times New Roman"/>
          <w:szCs w:val="28"/>
        </w:rPr>
        <w:t xml:space="preserve"> </w:t>
      </w:r>
      <w:r w:rsidR="00CD494E" w:rsidRPr="00B033A8">
        <w:rPr>
          <w:rFonts w:cs="Times New Roman"/>
        </w:rPr>
        <w:t>l</w:t>
      </w:r>
      <w:r w:rsidRPr="00B033A8">
        <w:rPr>
          <w:rFonts w:cs="Times New Roman"/>
        </w:rPr>
        <w:t xml:space="preserve">a </w:t>
      </w:r>
      <w:r w:rsidR="00B46213" w:rsidRPr="00B033A8">
        <w:rPr>
          <w:rFonts w:cs="Times New Roman"/>
        </w:rPr>
        <w:t>norma a la que remite el tipo debe ser previa a la configuración de la conducta</w:t>
      </w:r>
      <w:r w:rsidR="00B46213" w:rsidRPr="00B033A8">
        <w:rPr>
          <w:rFonts w:cs="Times New Roman"/>
          <w:vertAlign w:val="superscript"/>
        </w:rPr>
        <w:footnoteReference w:id="16"/>
      </w:r>
      <w:r w:rsidRPr="00B033A8">
        <w:rPr>
          <w:rFonts w:cs="Times New Roman"/>
        </w:rPr>
        <w:t xml:space="preserve"> y </w:t>
      </w:r>
      <w:r w:rsidR="00CD494E" w:rsidRPr="00B033A8">
        <w:rPr>
          <w:rFonts w:cs="Times New Roman"/>
          <w:i/>
          <w:iCs/>
          <w:szCs w:val="28"/>
        </w:rPr>
        <w:t>(</w:t>
      </w:r>
      <w:proofErr w:type="spellStart"/>
      <w:r w:rsidR="0000546A" w:rsidRPr="00B033A8">
        <w:rPr>
          <w:rFonts w:cs="Times New Roman"/>
          <w:i/>
          <w:iCs/>
          <w:szCs w:val="28"/>
        </w:rPr>
        <w:t>i</w:t>
      </w:r>
      <w:r w:rsidR="00CD494E" w:rsidRPr="00B033A8">
        <w:rPr>
          <w:rFonts w:cs="Times New Roman"/>
          <w:i/>
          <w:iCs/>
          <w:szCs w:val="28"/>
        </w:rPr>
        <w:t>v</w:t>
      </w:r>
      <w:proofErr w:type="spellEnd"/>
      <w:r w:rsidR="00CD494E" w:rsidRPr="00B033A8">
        <w:rPr>
          <w:rFonts w:cs="Times New Roman"/>
          <w:i/>
          <w:iCs/>
        </w:rPr>
        <w:t>)</w:t>
      </w:r>
      <w:r w:rsidR="00CD494E" w:rsidRPr="00B033A8">
        <w:rPr>
          <w:rFonts w:cs="Times New Roman"/>
        </w:rPr>
        <w:t xml:space="preserve"> si l</w:t>
      </w:r>
      <w:r w:rsidRPr="00B033A8">
        <w:rPr>
          <w:rFonts w:cs="Times New Roman"/>
        </w:rPr>
        <w:t>a remisión es impropia</w:t>
      </w:r>
      <w:r w:rsidR="00552C73" w:rsidRPr="00B033A8">
        <w:rPr>
          <w:rStyle w:val="Refdenotaalpie"/>
          <w:rFonts w:cs="Times New Roman"/>
        </w:rPr>
        <w:footnoteReference w:id="17"/>
      </w:r>
      <w:r w:rsidRPr="00B033A8">
        <w:rPr>
          <w:rFonts w:cs="Times New Roman"/>
        </w:rPr>
        <w:t xml:space="preserve">, </w:t>
      </w:r>
      <w:r w:rsidR="00A5489D" w:rsidRPr="00B033A8">
        <w:rPr>
          <w:rFonts w:cs="Times New Roman"/>
        </w:rPr>
        <w:t>la norma de remisión</w:t>
      </w:r>
      <w:r w:rsidR="00CD494E" w:rsidRPr="00B033A8">
        <w:rPr>
          <w:rFonts w:cs="Times New Roman"/>
        </w:rPr>
        <w:t xml:space="preserve"> debe ser: </w:t>
      </w:r>
      <w:r w:rsidR="00CD494E" w:rsidRPr="00B033A8">
        <w:rPr>
          <w:rFonts w:cs="Times New Roman"/>
          <w:i/>
          <w:iCs/>
        </w:rPr>
        <w:t>(a)</w:t>
      </w:r>
      <w:r w:rsidR="00CD494E" w:rsidRPr="00B033A8">
        <w:rPr>
          <w:rFonts w:cs="Times New Roman"/>
        </w:rPr>
        <w:t xml:space="preserve"> precis</w:t>
      </w:r>
      <w:r w:rsidR="00A5489D" w:rsidRPr="00B033A8">
        <w:rPr>
          <w:rFonts w:cs="Times New Roman"/>
        </w:rPr>
        <w:t>a</w:t>
      </w:r>
      <w:r w:rsidR="00CD494E" w:rsidRPr="00B033A8">
        <w:rPr>
          <w:rFonts w:cs="Times New Roman"/>
        </w:rPr>
        <w:t xml:space="preserve">, </w:t>
      </w:r>
      <w:r w:rsidR="00CD494E" w:rsidRPr="00B033A8">
        <w:rPr>
          <w:rFonts w:cs="Times New Roman"/>
          <w:i/>
          <w:iCs/>
        </w:rPr>
        <w:t>(b)</w:t>
      </w:r>
      <w:r w:rsidR="00CD494E" w:rsidRPr="00B033A8">
        <w:rPr>
          <w:rFonts w:cs="Times New Roman"/>
        </w:rPr>
        <w:t xml:space="preserve"> previ</w:t>
      </w:r>
      <w:r w:rsidR="00A5489D" w:rsidRPr="00B033A8">
        <w:rPr>
          <w:rFonts w:cs="Times New Roman"/>
        </w:rPr>
        <w:t>a</w:t>
      </w:r>
      <w:r w:rsidR="00CD494E" w:rsidRPr="00B033A8">
        <w:rPr>
          <w:rFonts w:cs="Times New Roman"/>
        </w:rPr>
        <w:t xml:space="preserve"> a la configuración de la conducta, </w:t>
      </w:r>
      <w:r w:rsidR="00CD494E" w:rsidRPr="00B033A8">
        <w:rPr>
          <w:rFonts w:cs="Times New Roman"/>
          <w:i/>
          <w:iCs/>
        </w:rPr>
        <w:t>(c)</w:t>
      </w:r>
      <w:r w:rsidR="00CD494E" w:rsidRPr="00B033A8">
        <w:rPr>
          <w:rFonts w:cs="Times New Roman"/>
        </w:rPr>
        <w:t xml:space="preserve"> tener un alcance general y se</w:t>
      </w:r>
      <w:r w:rsidR="007678F9" w:rsidRPr="00B033A8">
        <w:rPr>
          <w:rFonts w:cs="Times New Roman"/>
        </w:rPr>
        <w:t>r</w:t>
      </w:r>
      <w:r w:rsidR="00CD494E" w:rsidRPr="00B033A8">
        <w:rPr>
          <w:rFonts w:cs="Times New Roman"/>
        </w:rPr>
        <w:t xml:space="preserve"> de conocimiento público y </w:t>
      </w:r>
      <w:r w:rsidR="00CD494E" w:rsidRPr="00B033A8">
        <w:rPr>
          <w:rFonts w:cs="Times New Roman"/>
          <w:i/>
          <w:iCs/>
        </w:rPr>
        <w:t>(d)</w:t>
      </w:r>
      <w:r w:rsidR="00CD494E" w:rsidRPr="00B033A8">
        <w:rPr>
          <w:rFonts w:cs="Times New Roman"/>
        </w:rPr>
        <w:t xml:space="preserve"> preservar los principios y valores constitucionales</w:t>
      </w:r>
      <w:r w:rsidR="004B0F90" w:rsidRPr="00B033A8">
        <w:rPr>
          <w:rFonts w:cs="Times New Roman"/>
        </w:rPr>
        <w:t xml:space="preserve">. </w:t>
      </w:r>
    </w:p>
    <w:p w14:paraId="6D7EF030" w14:textId="6D8F30C6" w:rsidR="002B5958" w:rsidRPr="00B033A8" w:rsidRDefault="002B5958" w:rsidP="00776641">
      <w:pPr>
        <w:tabs>
          <w:tab w:val="left" w:pos="567"/>
        </w:tabs>
        <w:rPr>
          <w:rFonts w:cs="Times New Roman"/>
          <w:color w:val="000000" w:themeColor="text1"/>
        </w:rPr>
      </w:pPr>
    </w:p>
    <w:p w14:paraId="714A2A42" w14:textId="539B0603" w:rsidR="00CD494E" w:rsidRPr="00B033A8" w:rsidRDefault="00CD494E" w:rsidP="00776641">
      <w:pPr>
        <w:numPr>
          <w:ilvl w:val="0"/>
          <w:numId w:val="12"/>
        </w:numPr>
        <w:tabs>
          <w:tab w:val="left" w:pos="567"/>
        </w:tabs>
        <w:ind w:left="0" w:firstLine="0"/>
        <w:rPr>
          <w:rFonts w:cs="Times New Roman"/>
          <w:szCs w:val="28"/>
        </w:rPr>
      </w:pPr>
      <w:r w:rsidRPr="00B033A8">
        <w:rPr>
          <w:rFonts w:cs="Times New Roman"/>
          <w:color w:val="000000" w:themeColor="text1"/>
        </w:rPr>
        <w:t>Con fundamento en estas reglas de decisión</w:t>
      </w:r>
      <w:r w:rsidR="00FA1DA6" w:rsidRPr="00B033A8">
        <w:rPr>
          <w:rFonts w:cs="Times New Roman"/>
          <w:color w:val="000000" w:themeColor="text1"/>
        </w:rPr>
        <w:t xml:space="preserve">, el demandante </w:t>
      </w:r>
      <w:r w:rsidRPr="00B033A8">
        <w:rPr>
          <w:rFonts w:cs="Times New Roman"/>
          <w:color w:val="000000" w:themeColor="text1"/>
        </w:rPr>
        <w:t xml:space="preserve">sostiene </w:t>
      </w:r>
      <w:r w:rsidR="00FA1DA6" w:rsidRPr="00B033A8">
        <w:rPr>
          <w:rFonts w:cs="Times New Roman"/>
          <w:color w:val="000000" w:themeColor="text1"/>
        </w:rPr>
        <w:t xml:space="preserve">que </w:t>
      </w:r>
      <w:r w:rsidR="004B0F90" w:rsidRPr="00B033A8">
        <w:rPr>
          <w:rFonts w:cs="Times New Roman"/>
          <w:color w:val="000000" w:themeColor="text1"/>
        </w:rPr>
        <w:t xml:space="preserve">el artículo 410A del Código Penal </w:t>
      </w:r>
      <w:r w:rsidR="00FA1DA6" w:rsidRPr="00B033A8">
        <w:rPr>
          <w:rFonts w:cs="Times New Roman"/>
          <w:color w:val="000000" w:themeColor="text1"/>
        </w:rPr>
        <w:t xml:space="preserve">es inconstitucional, </w:t>
      </w:r>
      <w:r w:rsidR="00823120" w:rsidRPr="00B033A8">
        <w:rPr>
          <w:rFonts w:cs="Times New Roman"/>
          <w:color w:val="000000" w:themeColor="text1"/>
        </w:rPr>
        <w:t xml:space="preserve">dado que </w:t>
      </w:r>
      <w:r w:rsidR="00ED50CA" w:rsidRPr="00B033A8">
        <w:rPr>
          <w:rFonts w:cs="Times New Roman"/>
          <w:color w:val="000000" w:themeColor="text1"/>
        </w:rPr>
        <w:t>no define de forma clara y precisa la conducta sancionable</w:t>
      </w:r>
      <w:r w:rsidR="00A5489D" w:rsidRPr="00B033A8">
        <w:rPr>
          <w:rFonts w:cs="Times New Roman"/>
          <w:color w:val="000000" w:themeColor="text1"/>
        </w:rPr>
        <w:t xml:space="preserve">. Para fundamentar esta conclusión, </w:t>
      </w:r>
      <w:r w:rsidR="00930B39" w:rsidRPr="00B033A8">
        <w:rPr>
          <w:rFonts w:cs="Times New Roman"/>
          <w:color w:val="000000" w:themeColor="text1"/>
        </w:rPr>
        <w:t>en la demanda se</w:t>
      </w:r>
      <w:r w:rsidR="00A5489D" w:rsidRPr="00B033A8">
        <w:rPr>
          <w:rFonts w:cs="Times New Roman"/>
          <w:color w:val="000000" w:themeColor="text1"/>
        </w:rPr>
        <w:t xml:space="preserve"> presenta</w:t>
      </w:r>
      <w:r w:rsidR="00930B39" w:rsidRPr="00B033A8">
        <w:rPr>
          <w:rFonts w:cs="Times New Roman"/>
          <w:color w:val="000000" w:themeColor="text1"/>
        </w:rPr>
        <w:t>n</w:t>
      </w:r>
      <w:r w:rsidR="00A5489D" w:rsidRPr="00B033A8">
        <w:rPr>
          <w:rFonts w:cs="Times New Roman"/>
          <w:color w:val="000000" w:themeColor="text1"/>
        </w:rPr>
        <w:t xml:space="preserve"> tres argumentos: </w:t>
      </w:r>
    </w:p>
    <w:p w14:paraId="454409A2" w14:textId="77777777" w:rsidR="00CD494E" w:rsidRPr="00B033A8" w:rsidRDefault="00CD494E" w:rsidP="00776641">
      <w:pPr>
        <w:rPr>
          <w:rFonts w:cs="Times New Roman"/>
          <w:color w:val="000000" w:themeColor="text1"/>
        </w:rPr>
      </w:pPr>
    </w:p>
    <w:p w14:paraId="1F08758D" w14:textId="7C640FDC" w:rsidR="0053638C" w:rsidRPr="00B033A8" w:rsidRDefault="00CD494E" w:rsidP="00776641">
      <w:pPr>
        <w:numPr>
          <w:ilvl w:val="0"/>
          <w:numId w:val="12"/>
        </w:numPr>
        <w:tabs>
          <w:tab w:val="left" w:pos="567"/>
        </w:tabs>
        <w:ind w:left="0" w:firstLine="0"/>
        <w:rPr>
          <w:rFonts w:cs="Times New Roman"/>
          <w:szCs w:val="28"/>
        </w:rPr>
      </w:pPr>
      <w:r w:rsidRPr="00B033A8">
        <w:rPr>
          <w:rFonts w:cs="Times New Roman"/>
          <w:color w:val="000000" w:themeColor="text1"/>
          <w:u w:val="single"/>
        </w:rPr>
        <w:t>Primero</w:t>
      </w:r>
      <w:r w:rsidRPr="00B033A8">
        <w:rPr>
          <w:rFonts w:cs="Times New Roman"/>
          <w:color w:val="000000" w:themeColor="text1"/>
        </w:rPr>
        <w:t xml:space="preserve">. </w:t>
      </w:r>
      <w:r w:rsidR="00B3254C" w:rsidRPr="00B033A8">
        <w:rPr>
          <w:rFonts w:cs="Times New Roman"/>
          <w:color w:val="000000" w:themeColor="text1"/>
        </w:rPr>
        <w:t>El</w:t>
      </w:r>
      <w:r w:rsidR="00A5489D" w:rsidRPr="00B033A8">
        <w:rPr>
          <w:rFonts w:cs="Times New Roman"/>
          <w:color w:val="000000" w:themeColor="text1"/>
        </w:rPr>
        <w:t xml:space="preserve"> legislador </w:t>
      </w:r>
      <w:r w:rsidR="00B3254C" w:rsidRPr="00B033A8">
        <w:rPr>
          <w:rFonts w:cs="Times New Roman"/>
          <w:color w:val="000000" w:themeColor="text1"/>
        </w:rPr>
        <w:t>definió</w:t>
      </w:r>
      <w:r w:rsidR="00A5489D" w:rsidRPr="00B033A8">
        <w:rPr>
          <w:rFonts w:cs="Times New Roman"/>
          <w:color w:val="000000" w:themeColor="text1"/>
        </w:rPr>
        <w:t xml:space="preserve"> la conducta sancionable en los siguientes términos:</w:t>
      </w:r>
      <w:r w:rsidR="00A5489D" w:rsidRPr="00B033A8">
        <w:rPr>
          <w:rFonts w:eastAsia="Calibri" w:cs="Times New Roman"/>
          <w:color w:val="000000" w:themeColor="text1"/>
          <w:szCs w:val="24"/>
          <w:lang w:eastAsia="es-CO"/>
        </w:rPr>
        <w:t xml:space="preserve"> </w:t>
      </w:r>
      <w:r w:rsidR="00A5489D" w:rsidRPr="00B033A8">
        <w:rPr>
          <w:rFonts w:cs="Times New Roman"/>
          <w:color w:val="000000" w:themeColor="text1"/>
        </w:rPr>
        <w:t>“concertar[s</w:t>
      </w:r>
      <w:r w:rsidR="00A5489D" w:rsidRPr="00B033A8">
        <w:rPr>
          <w:rFonts w:cs="Times New Roman"/>
          <w:szCs w:val="28"/>
        </w:rPr>
        <w:t>]</w:t>
      </w:r>
      <w:r w:rsidR="00A5489D" w:rsidRPr="00B033A8">
        <w:rPr>
          <w:rFonts w:cs="Times New Roman"/>
          <w:color w:val="000000" w:themeColor="text1"/>
        </w:rPr>
        <w:t xml:space="preserve">e con otro con el fin de </w:t>
      </w:r>
      <w:r w:rsidR="00A5489D" w:rsidRPr="00B033A8">
        <w:rPr>
          <w:rFonts w:cs="Times New Roman"/>
          <w:color w:val="000000" w:themeColor="text1"/>
          <w:u w:val="single"/>
        </w:rPr>
        <w:t>alterar ilícitamente</w:t>
      </w:r>
      <w:r w:rsidR="00A5489D" w:rsidRPr="00B033A8">
        <w:rPr>
          <w:rFonts w:cs="Times New Roman"/>
          <w:color w:val="000000" w:themeColor="text1"/>
        </w:rPr>
        <w:t xml:space="preserve"> el procedimiento contractual”</w:t>
      </w:r>
      <w:r w:rsidR="007A5416" w:rsidRPr="00B033A8">
        <w:rPr>
          <w:rFonts w:cs="Times New Roman"/>
          <w:color w:val="000000" w:themeColor="text1"/>
        </w:rPr>
        <w:t xml:space="preserve"> (énfasis añadido)</w:t>
      </w:r>
      <w:r w:rsidR="00A5489D" w:rsidRPr="00B033A8">
        <w:rPr>
          <w:rFonts w:cs="Times New Roman"/>
          <w:color w:val="000000" w:themeColor="text1"/>
        </w:rPr>
        <w:t>. En criterio del demandante, la</w:t>
      </w:r>
      <w:r w:rsidR="00FA1DA6" w:rsidRPr="00B033A8">
        <w:rPr>
          <w:rFonts w:cs="Times New Roman"/>
          <w:color w:val="000000" w:themeColor="text1"/>
        </w:rPr>
        <w:t xml:space="preserve"> expresión “alterar ilícitamente” impide “comprender con exactitud qué conductas están castigadas y cuales no”</w:t>
      </w:r>
      <w:r w:rsidR="00FA1DA6" w:rsidRPr="00B033A8">
        <w:rPr>
          <w:rStyle w:val="Refdenotaalpie"/>
          <w:rFonts w:cs="Times New Roman"/>
          <w:color w:val="000000" w:themeColor="text1"/>
        </w:rPr>
        <w:footnoteReference w:id="18"/>
      </w:r>
      <w:r w:rsidR="00FA1DA6" w:rsidRPr="00B033A8">
        <w:rPr>
          <w:rFonts w:cs="Times New Roman"/>
          <w:color w:val="000000" w:themeColor="text1"/>
        </w:rPr>
        <w:t xml:space="preserve">. </w:t>
      </w:r>
      <w:r w:rsidR="00A5489D" w:rsidRPr="00B033A8">
        <w:rPr>
          <w:rFonts w:cs="Times New Roman"/>
          <w:color w:val="000000" w:themeColor="text1"/>
        </w:rPr>
        <w:t xml:space="preserve">Esto, porque </w:t>
      </w:r>
      <w:r w:rsidR="00FA1DA6" w:rsidRPr="00B033A8">
        <w:rPr>
          <w:rFonts w:cs="Times New Roman"/>
          <w:color w:val="000000" w:themeColor="text1"/>
        </w:rPr>
        <w:t xml:space="preserve">tiene tal nivel de </w:t>
      </w:r>
      <w:r w:rsidR="002E74E6" w:rsidRPr="00B033A8">
        <w:rPr>
          <w:rFonts w:cs="Times New Roman"/>
          <w:color w:val="000000" w:themeColor="text1"/>
        </w:rPr>
        <w:t>apertura semántica</w:t>
      </w:r>
      <w:r w:rsidR="00E678BA" w:rsidRPr="00B033A8">
        <w:rPr>
          <w:rFonts w:cs="Times New Roman"/>
          <w:color w:val="000000" w:themeColor="text1"/>
        </w:rPr>
        <w:t xml:space="preserve"> </w:t>
      </w:r>
      <w:r w:rsidR="00FA1DA6" w:rsidRPr="00B033A8">
        <w:rPr>
          <w:rFonts w:cs="Times New Roman"/>
          <w:color w:val="000000" w:themeColor="text1"/>
        </w:rPr>
        <w:t xml:space="preserve">que conduciría a que “cualquier accionar </w:t>
      </w:r>
      <w:proofErr w:type="spellStart"/>
      <w:r w:rsidR="00FA1DA6" w:rsidRPr="00B033A8">
        <w:rPr>
          <w:rFonts w:cs="Times New Roman"/>
          <w:color w:val="000000" w:themeColor="text1"/>
        </w:rPr>
        <w:t>irreglamentario</w:t>
      </w:r>
      <w:proofErr w:type="spellEnd"/>
      <w:r w:rsidR="00FA1DA6" w:rsidRPr="00B033A8">
        <w:rPr>
          <w:rFonts w:cs="Times New Roman"/>
          <w:color w:val="000000" w:themeColor="text1"/>
        </w:rPr>
        <w:t xml:space="preserve"> podría ser constitutivo del tipo penal </w:t>
      </w:r>
      <w:r w:rsidR="00952482" w:rsidRPr="00B033A8">
        <w:rPr>
          <w:rFonts w:cs="Times New Roman"/>
          <w:color w:val="000000" w:themeColor="text1"/>
        </w:rPr>
        <w:t>(…)</w:t>
      </w:r>
      <w:r w:rsidR="00FA1DA6" w:rsidRPr="00B033A8">
        <w:rPr>
          <w:rFonts w:cs="Times New Roman"/>
          <w:color w:val="000000" w:themeColor="text1"/>
        </w:rPr>
        <w:t xml:space="preserve"> independientemente de su naturaleza o gravedad; desde simples errores administrativos hasta conductas fraudulentas intencionadas”</w:t>
      </w:r>
      <w:r w:rsidR="00FA1DA6" w:rsidRPr="00B033A8">
        <w:rPr>
          <w:rStyle w:val="Refdenotaalpie"/>
          <w:rFonts w:cs="Times New Roman"/>
          <w:color w:val="000000" w:themeColor="text1"/>
        </w:rPr>
        <w:footnoteReference w:id="19"/>
      </w:r>
      <w:r w:rsidR="00FA1DA6" w:rsidRPr="00B033A8">
        <w:rPr>
          <w:rFonts w:cs="Times New Roman"/>
          <w:color w:val="000000" w:themeColor="text1"/>
        </w:rPr>
        <w:t>.</w:t>
      </w:r>
      <w:r w:rsidR="002E74E6" w:rsidRPr="00B033A8">
        <w:rPr>
          <w:rFonts w:cs="Times New Roman"/>
          <w:color w:val="000000" w:themeColor="text1"/>
        </w:rPr>
        <w:t xml:space="preserve"> </w:t>
      </w:r>
      <w:r w:rsidRPr="00B033A8">
        <w:rPr>
          <w:rFonts w:cs="Times New Roman"/>
          <w:color w:val="000000" w:themeColor="text1"/>
        </w:rPr>
        <w:t>Esta</w:t>
      </w:r>
      <w:r w:rsidR="00FA1DA6" w:rsidRPr="00B033A8">
        <w:rPr>
          <w:rFonts w:cs="Times New Roman"/>
          <w:color w:val="000000" w:themeColor="text1"/>
        </w:rPr>
        <w:t xml:space="preserve"> indeterminación semántica</w:t>
      </w:r>
      <w:r w:rsidR="006127A4" w:rsidRPr="00B033A8">
        <w:rPr>
          <w:rFonts w:cs="Times New Roman"/>
          <w:color w:val="000000" w:themeColor="text1"/>
        </w:rPr>
        <w:t xml:space="preserve">, </w:t>
      </w:r>
      <w:r w:rsidR="00B3254C" w:rsidRPr="00B033A8">
        <w:rPr>
          <w:rFonts w:cs="Times New Roman"/>
          <w:color w:val="000000" w:themeColor="text1"/>
        </w:rPr>
        <w:t>argumenta</w:t>
      </w:r>
      <w:r w:rsidR="006127A4" w:rsidRPr="00B033A8">
        <w:rPr>
          <w:rFonts w:cs="Times New Roman"/>
          <w:color w:val="000000" w:themeColor="text1"/>
        </w:rPr>
        <w:t xml:space="preserve"> el demandante,</w:t>
      </w:r>
      <w:r w:rsidR="00D04110" w:rsidRPr="00B033A8">
        <w:rPr>
          <w:rFonts w:cs="Times New Roman"/>
          <w:color w:val="000000" w:themeColor="text1"/>
        </w:rPr>
        <w:t xml:space="preserve"> es inconstitucional porque</w:t>
      </w:r>
      <w:r w:rsidRPr="00B033A8">
        <w:rPr>
          <w:rFonts w:cs="Times New Roman"/>
          <w:color w:val="000000" w:themeColor="text1"/>
        </w:rPr>
        <w:t xml:space="preserve"> </w:t>
      </w:r>
      <w:r w:rsidR="00FA1DA6" w:rsidRPr="00B033A8">
        <w:rPr>
          <w:rFonts w:cs="Times New Roman"/>
          <w:color w:val="000000" w:themeColor="text1"/>
        </w:rPr>
        <w:t>“no distingue la criminalización de comportamientos que no representan un peligro significativo para el bien jurídico protegido o que no fueron claramente contemplados como delitos por el legislador”</w:t>
      </w:r>
      <w:r w:rsidR="00FA1DA6" w:rsidRPr="00B033A8">
        <w:rPr>
          <w:rStyle w:val="Refdenotaalpie"/>
          <w:rFonts w:cs="Times New Roman"/>
          <w:color w:val="000000" w:themeColor="text1"/>
        </w:rPr>
        <w:footnoteReference w:id="20"/>
      </w:r>
      <w:r w:rsidR="007B7413" w:rsidRPr="00B033A8">
        <w:rPr>
          <w:rFonts w:cs="Times New Roman"/>
          <w:color w:val="000000" w:themeColor="text1"/>
        </w:rPr>
        <w:t xml:space="preserve">. </w:t>
      </w:r>
    </w:p>
    <w:p w14:paraId="40267952" w14:textId="77777777" w:rsidR="007B7413" w:rsidRPr="00B033A8" w:rsidRDefault="007B7413" w:rsidP="00776641">
      <w:pPr>
        <w:tabs>
          <w:tab w:val="left" w:pos="567"/>
        </w:tabs>
        <w:rPr>
          <w:rFonts w:cs="Times New Roman"/>
          <w:szCs w:val="28"/>
        </w:rPr>
      </w:pPr>
    </w:p>
    <w:p w14:paraId="2D041B21" w14:textId="2AFC593E" w:rsidR="00102E79" w:rsidRPr="00B033A8" w:rsidRDefault="00CD494E" w:rsidP="00776641">
      <w:pPr>
        <w:numPr>
          <w:ilvl w:val="0"/>
          <w:numId w:val="12"/>
        </w:numPr>
        <w:tabs>
          <w:tab w:val="left" w:pos="567"/>
        </w:tabs>
        <w:ind w:left="0" w:firstLine="0"/>
        <w:rPr>
          <w:rFonts w:cs="Times New Roman"/>
          <w:szCs w:val="28"/>
        </w:rPr>
      </w:pPr>
      <w:r w:rsidRPr="00B033A8">
        <w:rPr>
          <w:rFonts w:cs="Times New Roman"/>
          <w:color w:val="000000" w:themeColor="text1"/>
          <w:u w:val="single"/>
        </w:rPr>
        <w:t>Segundo</w:t>
      </w:r>
      <w:r w:rsidRPr="00B033A8">
        <w:rPr>
          <w:rFonts w:cs="Times New Roman"/>
          <w:color w:val="000000" w:themeColor="text1"/>
        </w:rPr>
        <w:t xml:space="preserve">. </w:t>
      </w:r>
      <w:r w:rsidR="00552C73" w:rsidRPr="00B033A8">
        <w:rPr>
          <w:rFonts w:cs="Times New Roman"/>
          <w:color w:val="000000" w:themeColor="text1"/>
        </w:rPr>
        <w:t xml:space="preserve">La indeterminación </w:t>
      </w:r>
      <w:r w:rsidR="008162A0" w:rsidRPr="00B033A8">
        <w:rPr>
          <w:rFonts w:cs="Times New Roman"/>
          <w:color w:val="000000" w:themeColor="text1"/>
        </w:rPr>
        <w:t xml:space="preserve">semántica </w:t>
      </w:r>
      <w:r w:rsidR="0053638C" w:rsidRPr="00B033A8">
        <w:rPr>
          <w:rFonts w:cs="Times New Roman"/>
          <w:color w:val="000000" w:themeColor="text1"/>
        </w:rPr>
        <w:t>de la conducta sancionable</w:t>
      </w:r>
      <w:r w:rsidR="00552C73" w:rsidRPr="00B033A8">
        <w:rPr>
          <w:rFonts w:cs="Times New Roman"/>
          <w:color w:val="000000" w:themeColor="text1"/>
        </w:rPr>
        <w:t xml:space="preserve"> es insuperable. Esto, porque el ordenamiento jurídico no define el término “alterar ilícitamente” y </w:t>
      </w:r>
      <w:r w:rsidR="002E74E6" w:rsidRPr="00B033A8">
        <w:rPr>
          <w:rFonts w:cs="Times New Roman"/>
          <w:color w:val="000000" w:themeColor="text1"/>
        </w:rPr>
        <w:t>el artículo 410A del Código Penal</w:t>
      </w:r>
      <w:r w:rsidR="00FA1DA6" w:rsidRPr="00B033A8">
        <w:rPr>
          <w:rFonts w:cs="Times New Roman"/>
          <w:color w:val="000000" w:themeColor="text1"/>
        </w:rPr>
        <w:t xml:space="preserve"> no especific</w:t>
      </w:r>
      <w:r w:rsidRPr="00B033A8">
        <w:rPr>
          <w:rFonts w:cs="Times New Roman"/>
          <w:color w:val="000000" w:themeColor="text1"/>
        </w:rPr>
        <w:t>a</w:t>
      </w:r>
      <w:r w:rsidR="00FA1DA6" w:rsidRPr="00B033A8">
        <w:rPr>
          <w:rFonts w:cs="Times New Roman"/>
          <w:color w:val="000000" w:themeColor="text1"/>
        </w:rPr>
        <w:t xml:space="preserve"> a qué normas </w:t>
      </w:r>
      <w:r w:rsidR="00552C73" w:rsidRPr="00B033A8">
        <w:rPr>
          <w:rFonts w:cs="Times New Roman"/>
          <w:color w:val="000000" w:themeColor="text1"/>
        </w:rPr>
        <w:t>debe</w:t>
      </w:r>
      <w:r w:rsidR="00FA1DA6" w:rsidRPr="00B033A8">
        <w:rPr>
          <w:rFonts w:cs="Times New Roman"/>
          <w:color w:val="000000" w:themeColor="text1"/>
        </w:rPr>
        <w:t xml:space="preserve"> </w:t>
      </w:r>
      <w:r w:rsidR="00552C73" w:rsidRPr="00B033A8">
        <w:rPr>
          <w:rFonts w:cs="Times New Roman"/>
          <w:color w:val="000000" w:themeColor="text1"/>
        </w:rPr>
        <w:t xml:space="preserve">remitirse el intérprete para definir el alcance de la ilicitud que da lugar a </w:t>
      </w:r>
      <w:r w:rsidR="00552C73" w:rsidRPr="00B033A8">
        <w:rPr>
          <w:rFonts w:cs="Times New Roman"/>
          <w:color w:val="000000" w:themeColor="text1"/>
        </w:rPr>
        <w:lastRenderedPageBreak/>
        <w:t>sanción.</w:t>
      </w:r>
      <w:r w:rsidR="00FA1DA6" w:rsidRPr="00B033A8">
        <w:rPr>
          <w:rFonts w:cs="Times New Roman"/>
          <w:color w:val="000000" w:themeColor="text1"/>
        </w:rPr>
        <w:t xml:space="preserve"> </w:t>
      </w:r>
      <w:r w:rsidR="00552C73" w:rsidRPr="00B033A8">
        <w:rPr>
          <w:rFonts w:cs="Times New Roman"/>
          <w:color w:val="000000" w:themeColor="text1"/>
        </w:rPr>
        <w:t xml:space="preserve">En este sentido, </w:t>
      </w:r>
      <w:r w:rsidR="00256CF2" w:rsidRPr="00B033A8">
        <w:rPr>
          <w:rFonts w:cs="Times New Roman"/>
          <w:color w:val="000000" w:themeColor="text1"/>
        </w:rPr>
        <w:t>afirma el actor</w:t>
      </w:r>
      <w:r w:rsidR="00552C73" w:rsidRPr="00B033A8">
        <w:rPr>
          <w:rFonts w:cs="Times New Roman"/>
          <w:color w:val="000000" w:themeColor="text1"/>
        </w:rPr>
        <w:t>,</w:t>
      </w:r>
      <w:r w:rsidR="00FA1DA6" w:rsidRPr="00B033A8">
        <w:rPr>
          <w:rFonts w:cs="Times New Roman"/>
          <w:color w:val="000000" w:themeColor="text1"/>
        </w:rPr>
        <w:t xml:space="preserve"> “el legislador se sustrajo de determinar, con mediano grado de precisión, a cuál ordenamiento o régimen normativo debía el intérprete remitirse para establecer el carácter ‘ilícito’ del intento de manipulación </w:t>
      </w:r>
      <w:r w:rsidR="006E6B9A" w:rsidRPr="00B033A8">
        <w:rPr>
          <w:rFonts w:cs="Times New Roman"/>
          <w:color w:val="000000" w:themeColor="text1"/>
        </w:rPr>
        <w:t>d</w:t>
      </w:r>
      <w:r w:rsidR="00FA1DA6" w:rsidRPr="00B033A8">
        <w:rPr>
          <w:rFonts w:cs="Times New Roman"/>
          <w:color w:val="000000" w:themeColor="text1"/>
        </w:rPr>
        <w:t>el proceso de selección contractual”</w:t>
      </w:r>
      <w:r w:rsidR="00FA1DA6" w:rsidRPr="00B033A8">
        <w:rPr>
          <w:rStyle w:val="Refdenotaalpie"/>
          <w:rFonts w:cs="Times New Roman"/>
          <w:color w:val="000000" w:themeColor="text1"/>
        </w:rPr>
        <w:footnoteReference w:id="21"/>
      </w:r>
      <w:r w:rsidR="00FA1DA6" w:rsidRPr="00B033A8">
        <w:rPr>
          <w:rFonts w:cs="Times New Roman"/>
          <w:color w:val="000000" w:themeColor="text1"/>
        </w:rPr>
        <w:t>.</w:t>
      </w:r>
      <w:r w:rsidR="001C75A4" w:rsidRPr="00B033A8">
        <w:rPr>
          <w:rFonts w:cs="Times New Roman"/>
          <w:szCs w:val="28"/>
        </w:rPr>
        <w:t xml:space="preserve"> </w:t>
      </w:r>
    </w:p>
    <w:p w14:paraId="0BE1B1A9" w14:textId="77777777" w:rsidR="00A36039" w:rsidRPr="00B033A8" w:rsidRDefault="00A36039" w:rsidP="00776641">
      <w:pPr>
        <w:tabs>
          <w:tab w:val="left" w:pos="567"/>
        </w:tabs>
        <w:rPr>
          <w:rFonts w:cs="Times New Roman"/>
          <w:szCs w:val="28"/>
        </w:rPr>
      </w:pPr>
    </w:p>
    <w:p w14:paraId="673BAE6D" w14:textId="504EC8E5" w:rsidR="00102E79" w:rsidRPr="00B033A8" w:rsidRDefault="00102E79" w:rsidP="00776641">
      <w:pPr>
        <w:numPr>
          <w:ilvl w:val="0"/>
          <w:numId w:val="12"/>
        </w:numPr>
        <w:tabs>
          <w:tab w:val="left" w:pos="567"/>
        </w:tabs>
        <w:ind w:left="0" w:firstLine="0"/>
        <w:rPr>
          <w:rFonts w:cs="Times New Roman"/>
          <w:szCs w:val="28"/>
        </w:rPr>
      </w:pPr>
      <w:r w:rsidRPr="00B033A8">
        <w:rPr>
          <w:rFonts w:cs="Times New Roman"/>
          <w:szCs w:val="28"/>
          <w:u w:val="single"/>
        </w:rPr>
        <w:t>Tercero</w:t>
      </w:r>
      <w:r w:rsidRPr="00B033A8">
        <w:rPr>
          <w:rFonts w:cs="Times New Roman"/>
          <w:szCs w:val="28"/>
        </w:rPr>
        <w:t>. La Sala Plena debe aplicar el precedente fijado</w:t>
      </w:r>
      <w:r w:rsidR="00E83604" w:rsidRPr="00B033A8">
        <w:rPr>
          <w:rFonts w:cs="Times New Roman"/>
          <w:szCs w:val="28"/>
        </w:rPr>
        <w:t xml:space="preserve"> en la sentencia C-411 de 2022</w:t>
      </w:r>
      <w:r w:rsidRPr="00B033A8">
        <w:rPr>
          <w:rFonts w:cs="Times New Roman"/>
          <w:szCs w:val="28"/>
        </w:rPr>
        <w:t xml:space="preserve">. En esta decisión, </w:t>
      </w:r>
      <w:r w:rsidR="00E83604" w:rsidRPr="00B033A8">
        <w:rPr>
          <w:rFonts w:cs="Times New Roman"/>
          <w:szCs w:val="28"/>
        </w:rPr>
        <w:t>la Corte declaró inexequible los tipos penales</w:t>
      </w:r>
      <w:r w:rsidR="005F24F6" w:rsidRPr="00B033A8">
        <w:rPr>
          <w:rFonts w:cs="Times New Roman"/>
          <w:szCs w:val="28"/>
        </w:rPr>
        <w:t xml:space="preserve"> en blanco</w:t>
      </w:r>
      <w:r w:rsidR="00E83604" w:rsidRPr="00B033A8">
        <w:rPr>
          <w:rFonts w:cs="Times New Roman"/>
          <w:szCs w:val="28"/>
        </w:rPr>
        <w:t xml:space="preserve"> del régimen de baldíos. Esto, </w:t>
      </w:r>
      <w:r w:rsidRPr="00B033A8">
        <w:rPr>
          <w:rFonts w:cs="Times New Roman"/>
          <w:szCs w:val="28"/>
        </w:rPr>
        <w:t>al encontrar que</w:t>
      </w:r>
      <w:r w:rsidR="00E83604" w:rsidRPr="00B033A8">
        <w:rPr>
          <w:rFonts w:cs="Times New Roman"/>
          <w:szCs w:val="28"/>
        </w:rPr>
        <w:t xml:space="preserve"> contenían expresiones ambiguas, tales como “sin el lleno de los requisitos de ley”, </w:t>
      </w:r>
      <w:r w:rsidR="00A5489D" w:rsidRPr="00B033A8">
        <w:rPr>
          <w:rFonts w:cs="Times New Roman"/>
          <w:szCs w:val="28"/>
        </w:rPr>
        <w:t>las cuales</w:t>
      </w:r>
      <w:r w:rsidRPr="00B033A8">
        <w:rPr>
          <w:rFonts w:cs="Times New Roman"/>
          <w:szCs w:val="28"/>
        </w:rPr>
        <w:t xml:space="preserve"> tenían un</w:t>
      </w:r>
      <w:r w:rsidR="00E83604" w:rsidRPr="00B033A8">
        <w:rPr>
          <w:rFonts w:cs="Times New Roman"/>
          <w:szCs w:val="28"/>
        </w:rPr>
        <w:t xml:space="preserve"> grado de indeterminación semántica </w:t>
      </w:r>
      <w:r w:rsidRPr="00B033A8">
        <w:rPr>
          <w:rFonts w:cs="Times New Roman"/>
          <w:szCs w:val="28"/>
        </w:rPr>
        <w:t>que</w:t>
      </w:r>
      <w:r w:rsidR="00E83604" w:rsidRPr="00B033A8">
        <w:rPr>
          <w:rFonts w:cs="Times New Roman"/>
          <w:szCs w:val="28"/>
        </w:rPr>
        <w:t xml:space="preserve"> no era superable a partir de reenvíos normativos. </w:t>
      </w:r>
      <w:r w:rsidRPr="00B033A8">
        <w:rPr>
          <w:rFonts w:cs="Times New Roman"/>
          <w:szCs w:val="28"/>
        </w:rPr>
        <w:t>Según el demandante, esto es justamente lo que ocurre en este caso</w:t>
      </w:r>
      <w:r w:rsidR="000D249D" w:rsidRPr="00B033A8">
        <w:rPr>
          <w:rFonts w:cs="Times New Roman"/>
          <w:szCs w:val="28"/>
        </w:rPr>
        <w:t>,</w:t>
      </w:r>
      <w:r w:rsidR="00263EEE" w:rsidRPr="00B033A8">
        <w:rPr>
          <w:rFonts w:cs="Times New Roman"/>
          <w:szCs w:val="28"/>
        </w:rPr>
        <w:t xml:space="preserve"> dado que</w:t>
      </w:r>
      <w:r w:rsidRPr="00B033A8">
        <w:rPr>
          <w:rFonts w:cs="Times New Roman"/>
          <w:szCs w:val="28"/>
        </w:rPr>
        <w:t xml:space="preserve"> la expresión “alterar ilícitamente” tiene el mismo </w:t>
      </w:r>
      <w:r w:rsidR="00263EEE" w:rsidRPr="00B033A8">
        <w:rPr>
          <w:rFonts w:cs="Times New Roman"/>
          <w:szCs w:val="28"/>
        </w:rPr>
        <w:t>nivel</w:t>
      </w:r>
      <w:r w:rsidRPr="00B033A8">
        <w:rPr>
          <w:rFonts w:cs="Times New Roman"/>
          <w:szCs w:val="28"/>
        </w:rPr>
        <w:t xml:space="preserve"> de </w:t>
      </w:r>
      <w:r w:rsidR="00F20FEC" w:rsidRPr="00B033A8">
        <w:rPr>
          <w:rFonts w:cs="Times New Roman"/>
          <w:szCs w:val="28"/>
        </w:rPr>
        <w:t>vaguedad</w:t>
      </w:r>
      <w:r w:rsidRPr="00B033A8">
        <w:rPr>
          <w:rFonts w:cs="Times New Roman"/>
          <w:szCs w:val="28"/>
        </w:rPr>
        <w:t xml:space="preserve"> </w:t>
      </w:r>
      <w:r w:rsidR="00F20FEC" w:rsidRPr="00B033A8">
        <w:rPr>
          <w:rFonts w:cs="Times New Roman"/>
          <w:szCs w:val="28"/>
        </w:rPr>
        <w:t xml:space="preserve">y ambigüedad </w:t>
      </w:r>
      <w:r w:rsidRPr="00B033A8">
        <w:rPr>
          <w:rFonts w:cs="Times New Roman"/>
          <w:szCs w:val="28"/>
        </w:rPr>
        <w:t>que la expresión “sin el lleno de requisitos legales”</w:t>
      </w:r>
      <w:r w:rsidR="005C719C" w:rsidRPr="00B033A8">
        <w:rPr>
          <w:rFonts w:cs="Times New Roman"/>
          <w:szCs w:val="28"/>
        </w:rPr>
        <w:t xml:space="preserve">. </w:t>
      </w:r>
    </w:p>
    <w:p w14:paraId="6F198214" w14:textId="77777777" w:rsidR="00013FFB" w:rsidRPr="00B033A8" w:rsidRDefault="00013FFB" w:rsidP="00776641">
      <w:pPr>
        <w:tabs>
          <w:tab w:val="left" w:pos="567"/>
        </w:tabs>
        <w:rPr>
          <w:rFonts w:cs="Times New Roman"/>
          <w:szCs w:val="28"/>
        </w:rPr>
      </w:pPr>
    </w:p>
    <w:p w14:paraId="6128611F" w14:textId="0A0AE87F" w:rsidR="00644C41" w:rsidRPr="00B033A8" w:rsidRDefault="0003057C" w:rsidP="00776641">
      <w:pPr>
        <w:numPr>
          <w:ilvl w:val="0"/>
          <w:numId w:val="12"/>
        </w:numPr>
        <w:tabs>
          <w:tab w:val="left" w:pos="567"/>
        </w:tabs>
        <w:ind w:left="0" w:firstLine="0"/>
        <w:rPr>
          <w:rFonts w:cs="Times New Roman"/>
          <w:szCs w:val="28"/>
        </w:rPr>
      </w:pPr>
      <w:r w:rsidRPr="00B033A8">
        <w:rPr>
          <w:rFonts w:cs="Times New Roman"/>
          <w:color w:val="000000" w:themeColor="text1"/>
        </w:rPr>
        <w:t>El</w:t>
      </w:r>
      <w:r w:rsidR="00FA1DA6" w:rsidRPr="00B033A8">
        <w:rPr>
          <w:rFonts w:cs="Times New Roman"/>
          <w:color w:val="000000" w:themeColor="text1"/>
        </w:rPr>
        <w:t xml:space="preserve"> demandante reconoce que</w:t>
      </w:r>
      <w:r w:rsidR="006716E5" w:rsidRPr="00B033A8">
        <w:rPr>
          <w:rFonts w:cs="Times New Roman"/>
          <w:color w:val="000000" w:themeColor="text1"/>
        </w:rPr>
        <w:t xml:space="preserve"> el </w:t>
      </w:r>
      <w:r w:rsidR="000003DC" w:rsidRPr="00B033A8">
        <w:rPr>
          <w:rFonts w:cs="Times New Roman"/>
          <w:color w:val="000000" w:themeColor="text1"/>
        </w:rPr>
        <w:t xml:space="preserve">título o </w:t>
      </w:r>
      <w:proofErr w:type="spellStart"/>
      <w:r w:rsidR="000003DC" w:rsidRPr="00B033A8">
        <w:rPr>
          <w:rFonts w:cs="Times New Roman"/>
          <w:i/>
          <w:iCs/>
          <w:color w:val="000000" w:themeColor="text1"/>
        </w:rPr>
        <w:t>nomen</w:t>
      </w:r>
      <w:proofErr w:type="spellEnd"/>
      <w:r w:rsidR="000003DC" w:rsidRPr="00B033A8">
        <w:rPr>
          <w:rFonts w:cs="Times New Roman"/>
          <w:i/>
          <w:iCs/>
          <w:color w:val="000000" w:themeColor="text1"/>
        </w:rPr>
        <w:t xml:space="preserve"> iuris</w:t>
      </w:r>
      <w:r w:rsidR="000003DC" w:rsidRPr="00B033A8">
        <w:rPr>
          <w:rFonts w:cs="Times New Roman"/>
          <w:color w:val="000000" w:themeColor="text1"/>
        </w:rPr>
        <w:t xml:space="preserve"> del tipo penal </w:t>
      </w:r>
      <w:r w:rsidRPr="00B033A8">
        <w:rPr>
          <w:rFonts w:cs="Times New Roman"/>
          <w:color w:val="000000" w:themeColor="text1"/>
        </w:rPr>
        <w:t xml:space="preserve">sugeriría </w:t>
      </w:r>
      <w:r w:rsidR="000003DC" w:rsidRPr="00B033A8">
        <w:rPr>
          <w:rFonts w:cs="Times New Roman"/>
          <w:color w:val="000000" w:themeColor="text1"/>
        </w:rPr>
        <w:t xml:space="preserve">que la conducta sancionable </w:t>
      </w:r>
      <w:r w:rsidR="002F3726" w:rsidRPr="00B033A8">
        <w:rPr>
          <w:rFonts w:cs="Times New Roman"/>
          <w:color w:val="000000" w:themeColor="text1"/>
        </w:rPr>
        <w:t>son los “acuerdos restrictivos de la competencia”.</w:t>
      </w:r>
      <w:r w:rsidR="00FA1DA6" w:rsidRPr="00B033A8">
        <w:rPr>
          <w:rFonts w:cs="Times New Roman"/>
          <w:color w:val="000000" w:themeColor="text1"/>
        </w:rPr>
        <w:t xml:space="preserve"> </w:t>
      </w:r>
      <w:r w:rsidR="00A5489D" w:rsidRPr="00B033A8">
        <w:rPr>
          <w:rFonts w:cs="Times New Roman"/>
          <w:color w:val="000000" w:themeColor="text1"/>
        </w:rPr>
        <w:t>En este sentido, a</w:t>
      </w:r>
      <w:r w:rsidR="00DF349C" w:rsidRPr="00B033A8">
        <w:rPr>
          <w:rFonts w:cs="Times New Roman"/>
          <w:color w:val="000000" w:themeColor="text1"/>
        </w:rPr>
        <w:t>firma</w:t>
      </w:r>
      <w:r w:rsidR="005521E0" w:rsidRPr="00B033A8">
        <w:rPr>
          <w:rFonts w:cs="Times New Roman"/>
          <w:color w:val="000000" w:themeColor="text1"/>
        </w:rPr>
        <w:t xml:space="preserve"> que </w:t>
      </w:r>
      <w:r w:rsidR="00FA1DA6" w:rsidRPr="00B033A8">
        <w:rPr>
          <w:rFonts w:cs="Times New Roman"/>
          <w:color w:val="000000" w:themeColor="text1"/>
        </w:rPr>
        <w:t>“un intérprete desprevenido”</w:t>
      </w:r>
      <w:r w:rsidR="00FA1DA6" w:rsidRPr="00B033A8">
        <w:rPr>
          <w:rStyle w:val="Refdenotaalpie"/>
          <w:rFonts w:cs="Times New Roman"/>
          <w:color w:val="000000" w:themeColor="text1"/>
        </w:rPr>
        <w:footnoteReference w:id="22"/>
      </w:r>
      <w:r w:rsidR="00FA1DA6" w:rsidRPr="00B033A8">
        <w:rPr>
          <w:rFonts w:cs="Times New Roman"/>
          <w:color w:val="000000" w:themeColor="text1"/>
        </w:rPr>
        <w:t xml:space="preserve"> podría </w:t>
      </w:r>
      <w:r w:rsidR="00552C73" w:rsidRPr="00B033A8">
        <w:rPr>
          <w:rFonts w:cs="Times New Roman"/>
          <w:color w:val="000000" w:themeColor="text1"/>
        </w:rPr>
        <w:t xml:space="preserve">sostener </w:t>
      </w:r>
      <w:r w:rsidR="00FA1DA6" w:rsidRPr="00B033A8">
        <w:rPr>
          <w:rFonts w:cs="Times New Roman"/>
          <w:color w:val="000000" w:themeColor="text1"/>
        </w:rPr>
        <w:t xml:space="preserve">que </w:t>
      </w:r>
      <w:r w:rsidR="00E83604" w:rsidRPr="00B033A8">
        <w:rPr>
          <w:rFonts w:cs="Times New Roman"/>
          <w:color w:val="000000" w:themeColor="text1"/>
        </w:rPr>
        <w:t>la indeterminación</w:t>
      </w:r>
      <w:r w:rsidR="00FA1DA6" w:rsidRPr="00B033A8">
        <w:rPr>
          <w:rFonts w:cs="Times New Roman"/>
          <w:color w:val="000000" w:themeColor="text1"/>
        </w:rPr>
        <w:t xml:space="preserve"> </w:t>
      </w:r>
      <w:r w:rsidR="00E83604" w:rsidRPr="00B033A8">
        <w:rPr>
          <w:rFonts w:cs="Times New Roman"/>
          <w:color w:val="000000" w:themeColor="text1"/>
        </w:rPr>
        <w:t>de la expresión “alterar ilícitamente”</w:t>
      </w:r>
      <w:r w:rsidR="00FA1DA6" w:rsidRPr="00B033A8">
        <w:rPr>
          <w:rFonts w:cs="Times New Roman"/>
          <w:color w:val="000000" w:themeColor="text1"/>
        </w:rPr>
        <w:t xml:space="preserve"> </w:t>
      </w:r>
      <w:r w:rsidR="00E83604" w:rsidRPr="00B033A8">
        <w:rPr>
          <w:rFonts w:cs="Times New Roman"/>
          <w:color w:val="000000" w:themeColor="text1"/>
        </w:rPr>
        <w:t>podría subsanarse</w:t>
      </w:r>
      <w:r w:rsidR="00FA1DA6" w:rsidRPr="00B033A8">
        <w:rPr>
          <w:rFonts w:cs="Times New Roman"/>
          <w:color w:val="000000" w:themeColor="text1"/>
        </w:rPr>
        <w:t xml:space="preserve"> con la remisión a </w:t>
      </w:r>
      <w:r w:rsidR="00E83604" w:rsidRPr="00B033A8">
        <w:rPr>
          <w:rFonts w:cs="Times New Roman"/>
          <w:color w:val="000000" w:themeColor="text1"/>
        </w:rPr>
        <w:t xml:space="preserve">las </w:t>
      </w:r>
      <w:r w:rsidR="00FA1DA6" w:rsidRPr="00B033A8">
        <w:rPr>
          <w:rFonts w:cs="Times New Roman"/>
          <w:color w:val="000000" w:themeColor="text1"/>
        </w:rPr>
        <w:t xml:space="preserve">normas </w:t>
      </w:r>
      <w:r w:rsidR="00E83604" w:rsidRPr="00B033A8">
        <w:rPr>
          <w:rFonts w:cs="Times New Roman"/>
          <w:color w:val="000000" w:themeColor="text1"/>
        </w:rPr>
        <w:t xml:space="preserve">generales del régimen de </w:t>
      </w:r>
      <w:r w:rsidRPr="00B033A8">
        <w:rPr>
          <w:rFonts w:cs="Times New Roman"/>
          <w:color w:val="000000" w:themeColor="text1"/>
        </w:rPr>
        <w:t>protección</w:t>
      </w:r>
      <w:r w:rsidR="00264470" w:rsidRPr="00B033A8">
        <w:rPr>
          <w:rFonts w:cs="Times New Roman"/>
          <w:color w:val="000000" w:themeColor="text1"/>
        </w:rPr>
        <w:t xml:space="preserve"> de</w:t>
      </w:r>
      <w:r w:rsidRPr="00B033A8">
        <w:rPr>
          <w:rFonts w:cs="Times New Roman"/>
          <w:color w:val="000000" w:themeColor="text1"/>
        </w:rPr>
        <w:t xml:space="preserve"> </w:t>
      </w:r>
      <w:r w:rsidR="00E83604" w:rsidRPr="00B033A8">
        <w:rPr>
          <w:rFonts w:cs="Times New Roman"/>
          <w:color w:val="000000" w:themeColor="text1"/>
        </w:rPr>
        <w:t xml:space="preserve">competencia. En particular, </w:t>
      </w:r>
      <w:r w:rsidR="00FA1DA6" w:rsidRPr="00B033A8">
        <w:rPr>
          <w:rFonts w:cs="Times New Roman"/>
          <w:color w:val="000000" w:themeColor="text1"/>
        </w:rPr>
        <w:t>el artículo 47 del Decreto 2153 de 1992</w:t>
      </w:r>
      <w:r w:rsidR="00E83604" w:rsidRPr="00B033A8">
        <w:rPr>
          <w:rFonts w:cs="Times New Roman"/>
          <w:color w:val="000000" w:themeColor="text1"/>
        </w:rPr>
        <w:t>, el cual define los comportamientos contrarios a la competencia. Est</w:t>
      </w:r>
      <w:r w:rsidR="005F31FC" w:rsidRPr="00B033A8">
        <w:rPr>
          <w:rFonts w:cs="Times New Roman"/>
          <w:color w:val="000000" w:themeColor="text1"/>
        </w:rPr>
        <w:t>a</w:t>
      </w:r>
      <w:r w:rsidR="00E83604" w:rsidRPr="00B033A8">
        <w:rPr>
          <w:rFonts w:cs="Times New Roman"/>
          <w:color w:val="000000" w:themeColor="text1"/>
        </w:rPr>
        <w:t xml:space="preserve"> remisión </w:t>
      </w:r>
      <w:r w:rsidRPr="00B033A8">
        <w:rPr>
          <w:rFonts w:cs="Times New Roman"/>
          <w:color w:val="000000" w:themeColor="text1"/>
        </w:rPr>
        <w:t>supondría</w:t>
      </w:r>
      <w:r w:rsidR="00E83604" w:rsidRPr="00B033A8">
        <w:rPr>
          <w:rFonts w:cs="Times New Roman"/>
          <w:color w:val="000000" w:themeColor="text1"/>
        </w:rPr>
        <w:t xml:space="preserve"> que “la acción de concertarse con otro con el fin de alterar ilícitamente un procedimiento contractual solo podría predicarse respecto de un acto que</w:t>
      </w:r>
      <w:r w:rsidR="00434C6E" w:rsidRPr="00B033A8">
        <w:rPr>
          <w:rFonts w:cs="Times New Roman"/>
          <w:color w:val="000000" w:themeColor="text1"/>
        </w:rPr>
        <w:t>, [conforme al régimen de la libre competencia]</w:t>
      </w:r>
      <w:r w:rsidR="006716E5" w:rsidRPr="00B033A8">
        <w:rPr>
          <w:rFonts w:cs="Times New Roman"/>
          <w:color w:val="000000" w:themeColor="text1"/>
        </w:rPr>
        <w:t>, pueda</w:t>
      </w:r>
      <w:r w:rsidR="00E83604" w:rsidRPr="00B033A8">
        <w:rPr>
          <w:rFonts w:cs="Times New Roman"/>
          <w:color w:val="000000" w:themeColor="text1"/>
        </w:rPr>
        <w:t xml:space="preserve"> entenderse como un </w:t>
      </w:r>
      <w:r w:rsidR="00E83604" w:rsidRPr="00B033A8">
        <w:rPr>
          <w:rFonts w:cs="Times New Roman"/>
          <w:i/>
          <w:iCs/>
          <w:color w:val="000000" w:themeColor="text1"/>
        </w:rPr>
        <w:t>acuerdo restrictivo de la competencia</w:t>
      </w:r>
      <w:r w:rsidR="00E83604" w:rsidRPr="00B033A8">
        <w:rPr>
          <w:rFonts w:cs="Times New Roman"/>
          <w:color w:val="000000" w:themeColor="text1"/>
        </w:rPr>
        <w:t xml:space="preserve">”. </w:t>
      </w:r>
      <w:r w:rsidR="005F31FC" w:rsidRPr="00B033A8">
        <w:rPr>
          <w:rFonts w:cs="Times New Roman"/>
          <w:color w:val="000000" w:themeColor="text1"/>
        </w:rPr>
        <w:t xml:space="preserve">Con todo, el demandante, sostiene que esta remisión no </w:t>
      </w:r>
      <w:r w:rsidR="00F20FEC" w:rsidRPr="00B033A8">
        <w:rPr>
          <w:rFonts w:cs="Times New Roman"/>
          <w:color w:val="000000" w:themeColor="text1"/>
        </w:rPr>
        <w:t xml:space="preserve">es procedente y, en cualquier caso, no </w:t>
      </w:r>
      <w:r w:rsidR="00B556D1" w:rsidRPr="00B033A8">
        <w:rPr>
          <w:rFonts w:cs="Times New Roman"/>
          <w:color w:val="000000" w:themeColor="text1"/>
        </w:rPr>
        <w:t>permitiría superar</w:t>
      </w:r>
      <w:r w:rsidR="005F31FC" w:rsidRPr="00B033A8">
        <w:rPr>
          <w:rFonts w:cs="Times New Roman"/>
          <w:color w:val="000000" w:themeColor="text1"/>
        </w:rPr>
        <w:t xml:space="preserve"> la indeterminación </w:t>
      </w:r>
      <w:r w:rsidR="008A2DC7" w:rsidRPr="00B033A8">
        <w:rPr>
          <w:rFonts w:cs="Times New Roman"/>
          <w:color w:val="000000" w:themeColor="text1"/>
        </w:rPr>
        <w:t xml:space="preserve">semántica </w:t>
      </w:r>
      <w:r w:rsidR="005F31FC" w:rsidRPr="00B033A8">
        <w:rPr>
          <w:rFonts w:cs="Times New Roman"/>
          <w:color w:val="000000" w:themeColor="text1"/>
        </w:rPr>
        <w:t xml:space="preserve">de la norma demandada, por </w:t>
      </w:r>
      <w:r w:rsidR="00EA1522" w:rsidRPr="00B033A8">
        <w:rPr>
          <w:rFonts w:cs="Times New Roman"/>
          <w:color w:val="000000" w:themeColor="text1"/>
        </w:rPr>
        <w:t>las siguientes</w:t>
      </w:r>
      <w:r w:rsidR="005F31FC" w:rsidRPr="00B033A8">
        <w:rPr>
          <w:rFonts w:cs="Times New Roman"/>
          <w:color w:val="000000" w:themeColor="text1"/>
        </w:rPr>
        <w:t xml:space="preserve"> razones: </w:t>
      </w:r>
    </w:p>
    <w:p w14:paraId="6522C816" w14:textId="77777777" w:rsidR="00644C41" w:rsidRPr="00B033A8" w:rsidRDefault="00644C41" w:rsidP="00776641">
      <w:pPr>
        <w:rPr>
          <w:rFonts w:cs="Times New Roman"/>
        </w:rPr>
      </w:pPr>
    </w:p>
    <w:p w14:paraId="240C3790" w14:textId="20BE9945" w:rsidR="0087255F" w:rsidRPr="00B033A8" w:rsidRDefault="005F31FC" w:rsidP="00776641">
      <w:pPr>
        <w:numPr>
          <w:ilvl w:val="1"/>
          <w:numId w:val="13"/>
        </w:numPr>
        <w:tabs>
          <w:tab w:val="left" w:pos="851"/>
        </w:tabs>
        <w:ind w:left="567"/>
        <w:rPr>
          <w:rFonts w:cs="Times New Roman"/>
          <w:szCs w:val="28"/>
        </w:rPr>
      </w:pPr>
      <w:r w:rsidRPr="00B033A8">
        <w:rPr>
          <w:rFonts w:cs="Times New Roman"/>
        </w:rPr>
        <w:t xml:space="preserve">La remisión al artículo 47 del Decreto 2153 de 1992 no es procedente. Esto, porque si bien el título del tipo penal </w:t>
      </w:r>
      <w:r w:rsidR="00D41C21" w:rsidRPr="00B033A8">
        <w:rPr>
          <w:rFonts w:cs="Times New Roman"/>
        </w:rPr>
        <w:t>–</w:t>
      </w:r>
      <w:proofErr w:type="spellStart"/>
      <w:r w:rsidRPr="00B033A8">
        <w:rPr>
          <w:rFonts w:cs="Times New Roman"/>
          <w:i/>
          <w:iCs/>
        </w:rPr>
        <w:t>nomen</w:t>
      </w:r>
      <w:proofErr w:type="spellEnd"/>
      <w:r w:rsidRPr="00B033A8">
        <w:rPr>
          <w:rFonts w:cs="Times New Roman"/>
          <w:i/>
          <w:iCs/>
        </w:rPr>
        <w:t xml:space="preserve"> iuris</w:t>
      </w:r>
      <w:r w:rsidR="00D41C21" w:rsidRPr="00B033A8">
        <w:rPr>
          <w:rFonts w:cs="Times New Roman"/>
        </w:rPr>
        <w:t>–</w:t>
      </w:r>
      <w:r w:rsidRPr="00B033A8">
        <w:rPr>
          <w:rFonts w:cs="Times New Roman"/>
        </w:rPr>
        <w:t xml:space="preserve"> “hace referencia a los </w:t>
      </w:r>
      <w:r w:rsidR="00722D34" w:rsidRPr="00B033A8">
        <w:rPr>
          <w:rFonts w:cs="Times New Roman"/>
        </w:rPr>
        <w:t>‘</w:t>
      </w:r>
      <w:r w:rsidRPr="00B033A8">
        <w:rPr>
          <w:rFonts w:cs="Times New Roman"/>
        </w:rPr>
        <w:t>acuerdos restrictivos de la competencia</w:t>
      </w:r>
      <w:r w:rsidR="00722D34" w:rsidRPr="00B033A8">
        <w:rPr>
          <w:rFonts w:cs="Times New Roman"/>
        </w:rPr>
        <w:t>’</w:t>
      </w:r>
      <w:r w:rsidRPr="00B033A8">
        <w:rPr>
          <w:rFonts w:cs="Times New Roman"/>
        </w:rPr>
        <w:t xml:space="preserve">, el </w:t>
      </w:r>
      <w:r w:rsidR="005D3257" w:rsidRPr="00B033A8">
        <w:rPr>
          <w:rFonts w:cs="Times New Roman"/>
        </w:rPr>
        <w:t>legislador no hizo una remisión expresa al régimen de la competencia</w:t>
      </w:r>
      <w:r w:rsidR="00F52604" w:rsidRPr="00B033A8">
        <w:rPr>
          <w:rFonts w:cs="Times New Roman"/>
        </w:rPr>
        <w:t>”</w:t>
      </w:r>
      <w:r w:rsidRPr="00B033A8">
        <w:rPr>
          <w:rFonts w:cs="Times New Roman"/>
        </w:rPr>
        <w:t xml:space="preserve">. </w:t>
      </w:r>
      <w:r w:rsidR="005D3257" w:rsidRPr="00B033A8">
        <w:rPr>
          <w:rFonts w:cs="Times New Roman"/>
        </w:rPr>
        <w:t>Además,</w:t>
      </w:r>
      <w:r w:rsidRPr="00B033A8">
        <w:rPr>
          <w:rFonts w:cs="Times New Roman"/>
        </w:rPr>
        <w:t xml:space="preserve"> </w:t>
      </w:r>
      <w:r w:rsidR="005D3257" w:rsidRPr="00B033A8">
        <w:rPr>
          <w:rFonts w:cs="Times New Roman"/>
        </w:rPr>
        <w:t>la norma demandada no sanciona</w:t>
      </w:r>
      <w:r w:rsidRPr="00B033A8">
        <w:rPr>
          <w:rFonts w:cs="Times New Roman"/>
        </w:rPr>
        <w:t xml:space="preserve"> conductas anticompetitivas, </w:t>
      </w:r>
      <w:r w:rsidR="005D3257" w:rsidRPr="00B033A8">
        <w:rPr>
          <w:rFonts w:cs="Times New Roman"/>
        </w:rPr>
        <w:t>“</w:t>
      </w:r>
      <w:r w:rsidRPr="00B033A8">
        <w:rPr>
          <w:rFonts w:cs="Times New Roman"/>
        </w:rPr>
        <w:t xml:space="preserve">sino la concertación de dos o más personas para </w:t>
      </w:r>
      <w:r w:rsidRPr="00B033A8">
        <w:rPr>
          <w:rFonts w:cs="Times New Roman"/>
          <w:i/>
          <w:iCs/>
        </w:rPr>
        <w:t xml:space="preserve">alterar ilícitamente </w:t>
      </w:r>
      <w:r w:rsidRPr="00B033A8">
        <w:rPr>
          <w:rFonts w:cs="Times New Roman"/>
        </w:rPr>
        <w:t xml:space="preserve">el procedimiento contractual, sin definir, realmente, cuál es el alcance del delito”. </w:t>
      </w:r>
    </w:p>
    <w:p w14:paraId="300166FD" w14:textId="62D07772" w:rsidR="0087255F" w:rsidRPr="00B033A8" w:rsidRDefault="005F31FC" w:rsidP="00776641">
      <w:pPr>
        <w:numPr>
          <w:ilvl w:val="1"/>
          <w:numId w:val="13"/>
        </w:numPr>
        <w:tabs>
          <w:tab w:val="left" w:pos="851"/>
        </w:tabs>
        <w:ind w:left="567"/>
        <w:rPr>
          <w:rFonts w:cs="Times New Roman"/>
          <w:szCs w:val="28"/>
        </w:rPr>
      </w:pPr>
      <w:r w:rsidRPr="00B033A8">
        <w:rPr>
          <w:rFonts w:cs="Times New Roman"/>
          <w:color w:val="000000" w:themeColor="text1"/>
        </w:rPr>
        <w:t>L</w:t>
      </w:r>
      <w:r w:rsidR="009811C8" w:rsidRPr="00B033A8">
        <w:rPr>
          <w:rFonts w:cs="Times New Roman"/>
          <w:color w:val="000000" w:themeColor="text1"/>
        </w:rPr>
        <w:t>a descripción típica de concertarse con otro con el fin de alterar ilícitamente el procedimiento contractual no se restringe únicamente a “comportamientos contrarios a la competencia”</w:t>
      </w:r>
      <w:r w:rsidR="009811C8" w:rsidRPr="00B033A8">
        <w:rPr>
          <w:rStyle w:val="Refdenotaalpie"/>
          <w:rFonts w:cs="Times New Roman"/>
          <w:color w:val="000000" w:themeColor="text1"/>
        </w:rPr>
        <w:footnoteReference w:id="23"/>
      </w:r>
      <w:r w:rsidRPr="00B033A8">
        <w:rPr>
          <w:rFonts w:cs="Times New Roman"/>
          <w:color w:val="000000" w:themeColor="text1"/>
        </w:rPr>
        <w:t xml:space="preserve">. Por el contrario, </w:t>
      </w:r>
      <w:r w:rsidR="002C6F6C" w:rsidRPr="00B033A8">
        <w:rPr>
          <w:rFonts w:cs="Times New Roman"/>
          <w:color w:val="000000" w:themeColor="text1"/>
        </w:rPr>
        <w:t xml:space="preserve">la </w:t>
      </w:r>
      <w:r w:rsidR="00B556D1" w:rsidRPr="00B033A8">
        <w:rPr>
          <w:rFonts w:cs="Times New Roman"/>
          <w:color w:val="000000" w:themeColor="text1"/>
        </w:rPr>
        <w:t>“</w:t>
      </w:r>
      <w:r w:rsidR="009811C8" w:rsidRPr="00B033A8">
        <w:rPr>
          <w:rFonts w:cs="Times New Roman"/>
          <w:color w:val="000000" w:themeColor="text1"/>
        </w:rPr>
        <w:t xml:space="preserve">literalidad permite entender que se trata de </w:t>
      </w:r>
      <w:r w:rsidR="009811C8" w:rsidRPr="00B033A8">
        <w:rPr>
          <w:rFonts w:cs="Times New Roman"/>
          <w:color w:val="000000" w:themeColor="text1"/>
          <w:lang w:val="es-MX"/>
        </w:rPr>
        <w:t>cualquier irregularidad</w:t>
      </w:r>
      <w:r w:rsidR="003B2959" w:rsidRPr="00B033A8">
        <w:rPr>
          <w:rFonts w:cs="Times New Roman"/>
          <w:color w:val="000000" w:themeColor="text1"/>
          <w:lang w:val="es-MX"/>
        </w:rPr>
        <w:t>–</w:t>
      </w:r>
      <w:r w:rsidR="009811C8" w:rsidRPr="00B033A8">
        <w:rPr>
          <w:rFonts w:cs="Times New Roman"/>
          <w:color w:val="000000" w:themeColor="text1"/>
          <w:lang w:val="es-MX"/>
        </w:rPr>
        <w:t>ilicitud</w:t>
      </w:r>
      <w:r w:rsidR="003B2959" w:rsidRPr="00B033A8">
        <w:rPr>
          <w:rFonts w:cs="Times New Roman"/>
          <w:color w:val="000000" w:themeColor="text1"/>
          <w:lang w:val="es-MX"/>
        </w:rPr>
        <w:t>–</w:t>
      </w:r>
      <w:r w:rsidR="009811C8" w:rsidRPr="00B033A8">
        <w:rPr>
          <w:rFonts w:cs="Times New Roman"/>
          <w:color w:val="000000" w:themeColor="text1"/>
          <w:lang w:val="es-MX"/>
        </w:rPr>
        <w:t xml:space="preserve"> dolosa en un proceso de selección contractual</w:t>
      </w:r>
      <w:r w:rsidR="009811C8" w:rsidRPr="00B033A8">
        <w:rPr>
          <w:rFonts w:cs="Times New Roman"/>
          <w:color w:val="000000" w:themeColor="text1"/>
        </w:rPr>
        <w:t>”</w:t>
      </w:r>
      <w:r w:rsidR="009811C8" w:rsidRPr="00B033A8">
        <w:rPr>
          <w:rStyle w:val="Refdenotaalpie"/>
          <w:rFonts w:cs="Times New Roman"/>
          <w:color w:val="000000" w:themeColor="text1"/>
        </w:rPr>
        <w:footnoteReference w:id="24"/>
      </w:r>
      <w:r w:rsidR="009811C8" w:rsidRPr="00B033A8">
        <w:rPr>
          <w:rFonts w:cs="Times New Roman"/>
          <w:color w:val="000000" w:themeColor="text1"/>
        </w:rPr>
        <w:t xml:space="preserve">. </w:t>
      </w:r>
    </w:p>
    <w:p w14:paraId="3984552B" w14:textId="080B2E71" w:rsidR="004609AF" w:rsidRPr="00B033A8" w:rsidRDefault="005F31FC" w:rsidP="00776641">
      <w:pPr>
        <w:numPr>
          <w:ilvl w:val="1"/>
          <w:numId w:val="13"/>
        </w:numPr>
        <w:tabs>
          <w:tab w:val="left" w:pos="851"/>
        </w:tabs>
        <w:ind w:left="567"/>
        <w:rPr>
          <w:rFonts w:cs="Times New Roman"/>
          <w:szCs w:val="28"/>
        </w:rPr>
      </w:pPr>
      <w:r w:rsidRPr="00B033A8">
        <w:rPr>
          <w:rFonts w:cs="Times New Roman"/>
          <w:color w:val="000000" w:themeColor="text1"/>
        </w:rPr>
        <w:t>L</w:t>
      </w:r>
      <w:r w:rsidR="009811C8" w:rsidRPr="00B033A8">
        <w:rPr>
          <w:rFonts w:cs="Times New Roman"/>
          <w:color w:val="000000" w:themeColor="text1"/>
        </w:rPr>
        <w:t xml:space="preserve">a norma acusada se ubica en el título del Código Penal </w:t>
      </w:r>
      <w:r w:rsidR="00EA3BD0" w:rsidRPr="00B033A8">
        <w:rPr>
          <w:rFonts w:cs="Times New Roman"/>
          <w:color w:val="000000" w:themeColor="text1"/>
        </w:rPr>
        <w:t>que contiene</w:t>
      </w:r>
      <w:r w:rsidR="009811C8" w:rsidRPr="00B033A8">
        <w:rPr>
          <w:rFonts w:cs="Times New Roman"/>
          <w:color w:val="000000" w:themeColor="text1"/>
        </w:rPr>
        <w:t xml:space="preserve"> los “Delitos contra la administración pública”</w:t>
      </w:r>
      <w:r w:rsidRPr="00B033A8">
        <w:rPr>
          <w:rFonts w:cs="Times New Roman"/>
          <w:color w:val="000000" w:themeColor="text1"/>
        </w:rPr>
        <w:t xml:space="preserve">. Por esta razón, </w:t>
      </w:r>
      <w:r w:rsidR="009811C8" w:rsidRPr="00B033A8">
        <w:rPr>
          <w:rFonts w:cs="Times New Roman"/>
          <w:color w:val="000000" w:themeColor="text1"/>
        </w:rPr>
        <w:t xml:space="preserve">“no puede concluirse que el accionar censurado, esto es, la concertación para </w:t>
      </w:r>
      <w:r w:rsidR="009811C8" w:rsidRPr="00B033A8">
        <w:rPr>
          <w:rFonts w:cs="Times New Roman"/>
          <w:color w:val="000000" w:themeColor="text1"/>
        </w:rPr>
        <w:lastRenderedPageBreak/>
        <w:t xml:space="preserve">manipular ilícitamente, se limita a comportamientos contrarios a la competencia, sino que podría entenderse, partiendo de su tenor, como cualquier conducta </w:t>
      </w:r>
      <w:proofErr w:type="spellStart"/>
      <w:r w:rsidR="009811C8" w:rsidRPr="00B033A8">
        <w:rPr>
          <w:rFonts w:cs="Times New Roman"/>
          <w:color w:val="000000" w:themeColor="text1"/>
        </w:rPr>
        <w:t>irreglamentaria</w:t>
      </w:r>
      <w:proofErr w:type="spellEnd"/>
      <w:r w:rsidR="009811C8" w:rsidRPr="00B033A8">
        <w:rPr>
          <w:rFonts w:cs="Times New Roman"/>
          <w:color w:val="000000" w:themeColor="text1"/>
        </w:rPr>
        <w:t xml:space="preserve"> que afecte el bien jurídico de la administración pública”</w:t>
      </w:r>
      <w:r w:rsidR="009811C8" w:rsidRPr="00B033A8">
        <w:rPr>
          <w:rStyle w:val="Refdenotaalpie"/>
          <w:rFonts w:cs="Times New Roman"/>
          <w:color w:val="000000" w:themeColor="text1"/>
        </w:rPr>
        <w:footnoteReference w:id="25"/>
      </w:r>
      <w:r w:rsidR="009811C8" w:rsidRPr="00B033A8">
        <w:rPr>
          <w:rFonts w:cs="Times New Roman"/>
          <w:color w:val="000000" w:themeColor="text1"/>
        </w:rPr>
        <w:t>.</w:t>
      </w:r>
    </w:p>
    <w:p w14:paraId="71EA3E06" w14:textId="77777777" w:rsidR="005F31FC" w:rsidRPr="00B033A8" w:rsidRDefault="005F31FC" w:rsidP="00776641">
      <w:pPr>
        <w:tabs>
          <w:tab w:val="left" w:pos="567"/>
        </w:tabs>
        <w:rPr>
          <w:rFonts w:cs="Times New Roman"/>
        </w:rPr>
      </w:pPr>
    </w:p>
    <w:p w14:paraId="59068636" w14:textId="739DEB64" w:rsidR="005F31FC" w:rsidRPr="00B033A8" w:rsidRDefault="005F31FC" w:rsidP="00776641">
      <w:pPr>
        <w:numPr>
          <w:ilvl w:val="0"/>
          <w:numId w:val="12"/>
        </w:numPr>
        <w:tabs>
          <w:tab w:val="left" w:pos="567"/>
        </w:tabs>
        <w:ind w:left="0" w:firstLine="0"/>
        <w:rPr>
          <w:rFonts w:cs="Times New Roman"/>
          <w:szCs w:val="28"/>
        </w:rPr>
      </w:pPr>
      <w:r w:rsidRPr="00B033A8">
        <w:rPr>
          <w:rFonts w:cs="Times New Roman"/>
          <w:szCs w:val="28"/>
        </w:rPr>
        <w:t>En tales términos, el demandante concluye que la norma demandada “no le permite al operador judicial, bajo los mencionados criterios jurisprudenciales, establecer la conducta concreta que resulta punible, dejando un margen de interpretación que puede conducir a una aplicación penal incoherente o desproporcionada”</w:t>
      </w:r>
      <w:r w:rsidR="00B5445A" w:rsidRPr="00B033A8">
        <w:rPr>
          <w:rStyle w:val="Refdenotaalpie"/>
          <w:rFonts w:cs="Times New Roman"/>
          <w:szCs w:val="28"/>
        </w:rPr>
        <w:footnoteReference w:id="26"/>
      </w:r>
      <w:r w:rsidRPr="00B033A8">
        <w:rPr>
          <w:rFonts w:cs="Times New Roman"/>
          <w:szCs w:val="28"/>
        </w:rPr>
        <w:t xml:space="preserve">. </w:t>
      </w:r>
      <w:r w:rsidR="00A864E2" w:rsidRPr="00B033A8">
        <w:rPr>
          <w:rFonts w:cs="Times New Roman"/>
          <w:szCs w:val="28"/>
        </w:rPr>
        <w:t xml:space="preserve">En el escrito de corrección, el demandante </w:t>
      </w:r>
      <w:r w:rsidR="006A2C54" w:rsidRPr="00B033A8">
        <w:rPr>
          <w:rFonts w:cs="Times New Roman"/>
          <w:szCs w:val="28"/>
        </w:rPr>
        <w:t>reconoció que, en estricto sentido, las acusaciones</w:t>
      </w:r>
      <w:r w:rsidR="00451749" w:rsidRPr="00B033A8">
        <w:rPr>
          <w:rFonts w:cs="Times New Roman"/>
          <w:szCs w:val="28"/>
        </w:rPr>
        <w:t xml:space="preserve"> de la demanda</w:t>
      </w:r>
      <w:r w:rsidR="006A2C54" w:rsidRPr="00B033A8">
        <w:rPr>
          <w:rFonts w:cs="Times New Roman"/>
          <w:szCs w:val="28"/>
        </w:rPr>
        <w:t xml:space="preserve"> </w:t>
      </w:r>
      <w:r w:rsidR="003A345F" w:rsidRPr="00B033A8">
        <w:rPr>
          <w:rFonts w:cs="Times New Roman"/>
          <w:szCs w:val="28"/>
        </w:rPr>
        <w:t>estaban</w:t>
      </w:r>
      <w:r w:rsidR="006A2C54" w:rsidRPr="00B033A8">
        <w:rPr>
          <w:rFonts w:cs="Times New Roman"/>
          <w:szCs w:val="28"/>
        </w:rPr>
        <w:t xml:space="preserve"> dirigidas en contra de la expresión “alterar ilícitamente”. Sin embargo, explicó que solicitaba a la Corte declarar la </w:t>
      </w:r>
      <w:proofErr w:type="spellStart"/>
      <w:r w:rsidR="006A2C54" w:rsidRPr="00B033A8">
        <w:rPr>
          <w:rFonts w:cs="Times New Roman"/>
          <w:szCs w:val="28"/>
        </w:rPr>
        <w:t>inexequibilidad</w:t>
      </w:r>
      <w:proofErr w:type="spellEnd"/>
      <w:r w:rsidR="006A2C54" w:rsidRPr="00B033A8">
        <w:rPr>
          <w:rFonts w:cs="Times New Roman"/>
          <w:szCs w:val="28"/>
        </w:rPr>
        <w:t xml:space="preserve"> de la totalidad del artículo 410A del Código Penal</w:t>
      </w:r>
      <w:r w:rsidR="00307114" w:rsidRPr="00B033A8">
        <w:rPr>
          <w:rFonts w:cs="Times New Roman"/>
          <w:szCs w:val="28"/>
        </w:rPr>
        <w:t xml:space="preserve"> porque</w:t>
      </w:r>
      <w:r w:rsidR="00AD3127" w:rsidRPr="00B033A8">
        <w:rPr>
          <w:rFonts w:cs="Times New Roman"/>
          <w:szCs w:val="28"/>
        </w:rPr>
        <w:t>,</w:t>
      </w:r>
      <w:r w:rsidR="00307114" w:rsidRPr="00B033A8">
        <w:rPr>
          <w:rFonts w:cs="Times New Roman"/>
          <w:szCs w:val="28"/>
        </w:rPr>
        <w:t xml:space="preserve"> “en ausencia de la mencionada expresión, la norma demandada carecería, aún más, de cualquier sentido político criminalmente coherente”</w:t>
      </w:r>
      <w:r w:rsidR="00C543B5" w:rsidRPr="00B033A8">
        <w:rPr>
          <w:rStyle w:val="Refdenotaalpie"/>
          <w:rFonts w:cs="Times New Roman"/>
          <w:szCs w:val="28"/>
        </w:rPr>
        <w:footnoteReference w:id="27"/>
      </w:r>
      <w:r w:rsidR="00307114" w:rsidRPr="00B033A8">
        <w:rPr>
          <w:rFonts w:cs="Times New Roman"/>
          <w:szCs w:val="28"/>
        </w:rPr>
        <w:t xml:space="preserve">. </w:t>
      </w:r>
    </w:p>
    <w:p w14:paraId="6B211595" w14:textId="77777777" w:rsidR="006D6591" w:rsidRPr="00B033A8" w:rsidRDefault="006D6591" w:rsidP="00776641">
      <w:pPr>
        <w:tabs>
          <w:tab w:val="left" w:pos="567"/>
        </w:tabs>
        <w:rPr>
          <w:rFonts w:cs="Times New Roman"/>
          <w:color w:val="000000" w:themeColor="text1"/>
        </w:rPr>
      </w:pPr>
    </w:p>
    <w:p w14:paraId="3A520059" w14:textId="77777777" w:rsidR="00655D45" w:rsidRPr="00B033A8" w:rsidRDefault="00655D45" w:rsidP="00776641">
      <w:pPr>
        <w:pStyle w:val="Ttulo2"/>
        <w:numPr>
          <w:ilvl w:val="0"/>
          <w:numId w:val="14"/>
        </w:numPr>
        <w:rPr>
          <w:rFonts w:cs="Times New Roman"/>
        </w:rPr>
      </w:pPr>
      <w:r w:rsidRPr="00B033A8">
        <w:rPr>
          <w:rFonts w:cs="Times New Roman"/>
        </w:rPr>
        <w:t>Intervenciones</w:t>
      </w:r>
    </w:p>
    <w:p w14:paraId="76E4320B" w14:textId="77777777" w:rsidR="00655D45" w:rsidRPr="00B033A8" w:rsidRDefault="00655D45" w:rsidP="00776641">
      <w:pPr>
        <w:tabs>
          <w:tab w:val="left" w:pos="567"/>
        </w:tabs>
        <w:rPr>
          <w:rFonts w:cs="Times New Roman"/>
          <w:szCs w:val="28"/>
        </w:rPr>
      </w:pPr>
    </w:p>
    <w:p w14:paraId="0627A355" w14:textId="75FA9822" w:rsidR="009F2D02" w:rsidRPr="00B033A8" w:rsidRDefault="00655D45" w:rsidP="00776641">
      <w:pPr>
        <w:numPr>
          <w:ilvl w:val="0"/>
          <w:numId w:val="12"/>
        </w:numPr>
        <w:tabs>
          <w:tab w:val="left" w:pos="567"/>
        </w:tabs>
        <w:ind w:left="0" w:firstLine="0"/>
        <w:rPr>
          <w:rFonts w:cs="Times New Roman"/>
        </w:rPr>
      </w:pPr>
      <w:r w:rsidRPr="00B033A8">
        <w:rPr>
          <w:rFonts w:cs="Times New Roman"/>
        </w:rPr>
        <w:t xml:space="preserve">La Corte Constitucional recibió </w:t>
      </w:r>
      <w:r w:rsidR="00CE0DC8" w:rsidRPr="00B033A8">
        <w:rPr>
          <w:rFonts w:cs="Times New Roman"/>
        </w:rPr>
        <w:t>nueve</w:t>
      </w:r>
      <w:r w:rsidR="009A2757" w:rsidRPr="00B033A8">
        <w:rPr>
          <w:rFonts w:cs="Times New Roman"/>
        </w:rPr>
        <w:t xml:space="preserve"> </w:t>
      </w:r>
      <w:r w:rsidRPr="00B033A8">
        <w:rPr>
          <w:rFonts w:cs="Times New Roman"/>
        </w:rPr>
        <w:t>intervenciones</w:t>
      </w:r>
      <w:r w:rsidR="00380E9B" w:rsidRPr="00B033A8">
        <w:rPr>
          <w:rStyle w:val="Refdenotaalpie"/>
          <w:rFonts w:cs="Times New Roman"/>
        </w:rPr>
        <w:footnoteReference w:id="28"/>
      </w:r>
      <w:r w:rsidRPr="00B033A8">
        <w:rPr>
          <w:rFonts w:cs="Times New Roman"/>
        </w:rPr>
        <w:t>,</w:t>
      </w:r>
      <w:r w:rsidR="00A0776A" w:rsidRPr="00B033A8">
        <w:rPr>
          <w:rFonts w:cs="Times New Roman"/>
        </w:rPr>
        <w:t xml:space="preserve"> </w:t>
      </w:r>
      <w:r w:rsidR="00E14052" w:rsidRPr="00B033A8">
        <w:rPr>
          <w:rFonts w:cs="Times New Roman"/>
        </w:rPr>
        <w:t>que fueron presentadas por</w:t>
      </w:r>
      <w:r w:rsidR="002E519F" w:rsidRPr="00B033A8">
        <w:rPr>
          <w:rFonts w:cs="Times New Roman"/>
        </w:rPr>
        <w:t xml:space="preserve"> distintas entidades públicas, universidades</w:t>
      </w:r>
      <w:r w:rsidR="002978EE" w:rsidRPr="00B033A8">
        <w:rPr>
          <w:rFonts w:cs="Times New Roman"/>
        </w:rPr>
        <w:t>, instituciones académicas, fundaciones y asociaciones</w:t>
      </w:r>
      <w:r w:rsidRPr="00B033A8">
        <w:rPr>
          <w:rFonts w:cs="Times New Roman"/>
        </w:rPr>
        <w:t xml:space="preserve">. </w:t>
      </w:r>
      <w:r w:rsidR="009F2D02" w:rsidRPr="00B033A8">
        <w:rPr>
          <w:rFonts w:cs="Times New Roman"/>
        </w:rPr>
        <w:t xml:space="preserve">La siguiente tabla sintetiza las solicitudes de los intervinientes: </w:t>
      </w:r>
    </w:p>
    <w:p w14:paraId="257A373D" w14:textId="77777777" w:rsidR="009F2D02" w:rsidRPr="00B033A8" w:rsidRDefault="009F2D02" w:rsidP="00776641">
      <w:pPr>
        <w:tabs>
          <w:tab w:val="left" w:pos="567"/>
        </w:tabs>
        <w:rPr>
          <w:rFonts w:cs="Times New Roman"/>
        </w:rPr>
      </w:pPr>
    </w:p>
    <w:tbl>
      <w:tblPr>
        <w:tblStyle w:val="Tablaconcuadrcula"/>
        <w:tblW w:w="0" w:type="auto"/>
        <w:tblLook w:val="04A0" w:firstRow="1" w:lastRow="0" w:firstColumn="1" w:lastColumn="0" w:noHBand="0" w:noVBand="1"/>
      </w:tblPr>
      <w:tblGrid>
        <w:gridCol w:w="5524"/>
        <w:gridCol w:w="3304"/>
      </w:tblGrid>
      <w:tr w:rsidR="00227F3A" w:rsidRPr="00B033A8" w14:paraId="01575425" w14:textId="77777777" w:rsidTr="0014474D">
        <w:tc>
          <w:tcPr>
            <w:tcW w:w="8828" w:type="dxa"/>
            <w:gridSpan w:val="2"/>
            <w:shd w:val="clear" w:color="auto" w:fill="D9D9D9" w:themeFill="background1" w:themeFillShade="D9"/>
          </w:tcPr>
          <w:p w14:paraId="60784762" w14:textId="77777777" w:rsidR="00227F3A" w:rsidRPr="00B033A8" w:rsidRDefault="00227F3A" w:rsidP="00776641">
            <w:pPr>
              <w:pStyle w:val="Prrafodelista"/>
              <w:spacing w:line="240" w:lineRule="auto"/>
              <w:ind w:left="0"/>
              <w:jc w:val="center"/>
              <w:rPr>
                <w:b/>
                <w:bCs/>
                <w:color w:val="auto"/>
                <w:szCs w:val="20"/>
              </w:rPr>
            </w:pPr>
            <w:r w:rsidRPr="00B033A8">
              <w:rPr>
                <w:b/>
                <w:bCs/>
                <w:color w:val="auto"/>
                <w:szCs w:val="20"/>
              </w:rPr>
              <w:t>Intervenciones</w:t>
            </w:r>
          </w:p>
        </w:tc>
      </w:tr>
      <w:tr w:rsidR="00227F3A" w:rsidRPr="00B033A8" w14:paraId="6ECBF47F" w14:textId="77777777" w:rsidTr="00FC16BA">
        <w:tc>
          <w:tcPr>
            <w:tcW w:w="5524" w:type="dxa"/>
            <w:shd w:val="clear" w:color="auto" w:fill="D9D9D9" w:themeFill="background1" w:themeFillShade="D9"/>
          </w:tcPr>
          <w:p w14:paraId="0E43C53E" w14:textId="77777777" w:rsidR="00227F3A" w:rsidRPr="00B033A8" w:rsidRDefault="00227F3A" w:rsidP="00776641">
            <w:pPr>
              <w:pStyle w:val="Prrafodelista"/>
              <w:spacing w:line="240" w:lineRule="auto"/>
              <w:ind w:left="0"/>
              <w:jc w:val="center"/>
              <w:rPr>
                <w:b/>
                <w:bCs/>
                <w:color w:val="auto"/>
                <w:szCs w:val="20"/>
              </w:rPr>
            </w:pPr>
            <w:r w:rsidRPr="00B033A8">
              <w:rPr>
                <w:b/>
                <w:bCs/>
                <w:color w:val="auto"/>
                <w:szCs w:val="20"/>
              </w:rPr>
              <w:t>Interviniente</w:t>
            </w:r>
          </w:p>
        </w:tc>
        <w:tc>
          <w:tcPr>
            <w:tcW w:w="3304" w:type="dxa"/>
            <w:shd w:val="clear" w:color="auto" w:fill="D9D9D9" w:themeFill="background1" w:themeFillShade="D9"/>
          </w:tcPr>
          <w:p w14:paraId="58F29F09" w14:textId="77777777" w:rsidR="00227F3A" w:rsidRPr="00B033A8" w:rsidRDefault="00227F3A" w:rsidP="00776641">
            <w:pPr>
              <w:pStyle w:val="Prrafodelista"/>
              <w:spacing w:line="240" w:lineRule="auto"/>
              <w:ind w:left="0"/>
              <w:jc w:val="center"/>
              <w:rPr>
                <w:b/>
                <w:bCs/>
                <w:color w:val="auto"/>
                <w:szCs w:val="20"/>
              </w:rPr>
            </w:pPr>
            <w:r w:rsidRPr="00B033A8">
              <w:rPr>
                <w:b/>
                <w:bCs/>
                <w:color w:val="auto"/>
                <w:szCs w:val="20"/>
              </w:rPr>
              <w:t>Solicitud</w:t>
            </w:r>
          </w:p>
        </w:tc>
      </w:tr>
      <w:tr w:rsidR="00AC7968" w:rsidRPr="00B033A8" w14:paraId="31C0429B" w14:textId="77777777" w:rsidTr="00FC16BA">
        <w:tc>
          <w:tcPr>
            <w:tcW w:w="5524" w:type="dxa"/>
            <w:vAlign w:val="center"/>
          </w:tcPr>
          <w:p w14:paraId="216F94AA" w14:textId="0073745B" w:rsidR="00AC7968" w:rsidRPr="00B033A8" w:rsidRDefault="00AC7968" w:rsidP="00776641">
            <w:pPr>
              <w:pStyle w:val="Prrafodelista"/>
              <w:spacing w:line="240" w:lineRule="auto"/>
              <w:ind w:left="0"/>
              <w:jc w:val="center"/>
              <w:rPr>
                <w:color w:val="auto"/>
                <w:szCs w:val="20"/>
              </w:rPr>
            </w:pPr>
            <w:r w:rsidRPr="00B033A8">
              <w:rPr>
                <w:rFonts w:eastAsia="Times New Roman"/>
                <w:szCs w:val="20"/>
                <w:lang w:eastAsia="es-CO"/>
              </w:rPr>
              <w:t xml:space="preserve">Ministerio de Justicia y del Derecho </w:t>
            </w:r>
          </w:p>
        </w:tc>
        <w:tc>
          <w:tcPr>
            <w:tcW w:w="3304" w:type="dxa"/>
          </w:tcPr>
          <w:p w14:paraId="50A70038" w14:textId="192F3ADB" w:rsidR="00AC7968" w:rsidRPr="00B033A8" w:rsidRDefault="00A91151" w:rsidP="00776641">
            <w:pPr>
              <w:pStyle w:val="Prrafodelista"/>
              <w:spacing w:line="240" w:lineRule="auto"/>
              <w:ind w:left="0"/>
              <w:jc w:val="center"/>
              <w:rPr>
                <w:szCs w:val="20"/>
              </w:rPr>
            </w:pPr>
            <w:proofErr w:type="spellStart"/>
            <w:r w:rsidRPr="00B033A8">
              <w:rPr>
                <w:szCs w:val="20"/>
              </w:rPr>
              <w:t>Exequibilidad</w:t>
            </w:r>
            <w:proofErr w:type="spellEnd"/>
          </w:p>
        </w:tc>
      </w:tr>
      <w:tr w:rsidR="00AC7968" w:rsidRPr="00B033A8" w14:paraId="36D6A67B" w14:textId="77777777" w:rsidTr="00FC16BA">
        <w:tc>
          <w:tcPr>
            <w:tcW w:w="5524" w:type="dxa"/>
            <w:vAlign w:val="center"/>
          </w:tcPr>
          <w:p w14:paraId="37C7FB1E" w14:textId="34429CB5" w:rsidR="00AC7968" w:rsidRPr="00B033A8" w:rsidRDefault="00AC7968" w:rsidP="00776641">
            <w:pPr>
              <w:pStyle w:val="Prrafodelista"/>
              <w:spacing w:line="240" w:lineRule="auto"/>
              <w:ind w:left="0"/>
              <w:jc w:val="center"/>
              <w:rPr>
                <w:color w:val="auto"/>
                <w:szCs w:val="20"/>
              </w:rPr>
            </w:pPr>
            <w:r w:rsidRPr="00B033A8">
              <w:rPr>
                <w:rFonts w:eastAsia="Times New Roman"/>
                <w:szCs w:val="20"/>
                <w:lang w:eastAsia="es-CO"/>
              </w:rPr>
              <w:t>Superintendencia de Industria y Comercio</w:t>
            </w:r>
            <w:r w:rsidR="00FC16BA" w:rsidRPr="00B033A8">
              <w:rPr>
                <w:rFonts w:eastAsia="Times New Roman"/>
                <w:szCs w:val="20"/>
                <w:lang w:eastAsia="es-CO"/>
              </w:rPr>
              <w:t xml:space="preserve"> (SIC)</w:t>
            </w:r>
          </w:p>
        </w:tc>
        <w:tc>
          <w:tcPr>
            <w:tcW w:w="3304" w:type="dxa"/>
          </w:tcPr>
          <w:p w14:paraId="0DF97A54" w14:textId="483680F5" w:rsidR="00AC7968" w:rsidRPr="00B033A8" w:rsidRDefault="00A91151" w:rsidP="00776641">
            <w:pPr>
              <w:pStyle w:val="Prrafodelista"/>
              <w:spacing w:line="240" w:lineRule="auto"/>
              <w:ind w:left="0"/>
              <w:jc w:val="center"/>
              <w:rPr>
                <w:szCs w:val="20"/>
              </w:rPr>
            </w:pPr>
            <w:proofErr w:type="spellStart"/>
            <w:r w:rsidRPr="00B033A8">
              <w:rPr>
                <w:szCs w:val="20"/>
              </w:rPr>
              <w:t>Exequibilidad</w:t>
            </w:r>
            <w:proofErr w:type="spellEnd"/>
          </w:p>
        </w:tc>
      </w:tr>
      <w:tr w:rsidR="00AC7968" w:rsidRPr="00B033A8" w14:paraId="5A5293F2" w14:textId="77777777" w:rsidTr="00FC16BA">
        <w:tc>
          <w:tcPr>
            <w:tcW w:w="5524" w:type="dxa"/>
            <w:vAlign w:val="center"/>
          </w:tcPr>
          <w:p w14:paraId="63BD9ED6" w14:textId="446B827E" w:rsidR="00AC7968" w:rsidRPr="00B033A8" w:rsidRDefault="00E14A7E" w:rsidP="00776641">
            <w:pPr>
              <w:pStyle w:val="Prrafodelista"/>
              <w:spacing w:line="240" w:lineRule="auto"/>
              <w:ind w:left="0"/>
              <w:jc w:val="center"/>
              <w:rPr>
                <w:color w:val="auto"/>
                <w:szCs w:val="20"/>
              </w:rPr>
            </w:pPr>
            <w:r w:rsidRPr="00B033A8">
              <w:rPr>
                <w:rFonts w:eastAsia="Times New Roman"/>
                <w:szCs w:val="20"/>
                <w:lang w:eastAsia="es-CO"/>
              </w:rPr>
              <w:t>Agencia Nacional de Contratación Pública</w:t>
            </w:r>
          </w:p>
        </w:tc>
        <w:tc>
          <w:tcPr>
            <w:tcW w:w="3304" w:type="dxa"/>
          </w:tcPr>
          <w:p w14:paraId="7C8375FE" w14:textId="6DFE0899" w:rsidR="00AC7968" w:rsidRPr="00B033A8" w:rsidRDefault="00A91151" w:rsidP="00776641">
            <w:pPr>
              <w:pStyle w:val="Prrafodelista"/>
              <w:spacing w:line="240" w:lineRule="auto"/>
              <w:ind w:left="0"/>
              <w:jc w:val="center"/>
              <w:rPr>
                <w:szCs w:val="20"/>
              </w:rPr>
            </w:pPr>
            <w:proofErr w:type="spellStart"/>
            <w:r w:rsidRPr="00B033A8">
              <w:rPr>
                <w:szCs w:val="20"/>
              </w:rPr>
              <w:t>Exequibilidad</w:t>
            </w:r>
            <w:proofErr w:type="spellEnd"/>
          </w:p>
        </w:tc>
      </w:tr>
      <w:tr w:rsidR="00AC7968" w:rsidRPr="00B033A8" w14:paraId="27D5B9AD" w14:textId="77777777" w:rsidTr="00FC16BA">
        <w:tc>
          <w:tcPr>
            <w:tcW w:w="5524" w:type="dxa"/>
            <w:vAlign w:val="center"/>
          </w:tcPr>
          <w:p w14:paraId="2D02A2BA" w14:textId="23E2ADAD" w:rsidR="00AC7968" w:rsidRPr="00B033A8" w:rsidRDefault="00E14A7E" w:rsidP="00776641">
            <w:pPr>
              <w:pStyle w:val="Prrafodelista"/>
              <w:spacing w:line="240" w:lineRule="auto"/>
              <w:ind w:left="0"/>
              <w:jc w:val="center"/>
              <w:rPr>
                <w:color w:val="auto"/>
                <w:szCs w:val="20"/>
              </w:rPr>
            </w:pPr>
            <w:r w:rsidRPr="00B033A8">
              <w:rPr>
                <w:rFonts w:eastAsia="Times New Roman"/>
                <w:szCs w:val="20"/>
                <w:lang w:eastAsia="es-CO"/>
              </w:rPr>
              <w:t>Asociación Colombiana de Derecho de la Competencia</w:t>
            </w:r>
            <w:r w:rsidR="00FC16BA" w:rsidRPr="00B033A8">
              <w:rPr>
                <w:rFonts w:eastAsia="Times New Roman"/>
                <w:szCs w:val="20"/>
                <w:lang w:eastAsia="es-CO"/>
              </w:rPr>
              <w:t xml:space="preserve"> (ACDC)</w:t>
            </w:r>
          </w:p>
        </w:tc>
        <w:tc>
          <w:tcPr>
            <w:tcW w:w="3304" w:type="dxa"/>
          </w:tcPr>
          <w:p w14:paraId="59297E0E" w14:textId="459CCE5E" w:rsidR="00AC7968" w:rsidRPr="00B033A8" w:rsidRDefault="00A91151" w:rsidP="00776641">
            <w:pPr>
              <w:pStyle w:val="Prrafodelista"/>
              <w:spacing w:line="240" w:lineRule="auto"/>
              <w:ind w:left="0"/>
              <w:jc w:val="center"/>
              <w:rPr>
                <w:szCs w:val="20"/>
              </w:rPr>
            </w:pPr>
            <w:proofErr w:type="spellStart"/>
            <w:r w:rsidRPr="00B033A8">
              <w:rPr>
                <w:szCs w:val="20"/>
              </w:rPr>
              <w:t>Exequibilidad</w:t>
            </w:r>
            <w:proofErr w:type="spellEnd"/>
          </w:p>
        </w:tc>
      </w:tr>
      <w:tr w:rsidR="00AC7968" w:rsidRPr="00B033A8" w14:paraId="3E252242" w14:textId="77777777" w:rsidTr="00FC16BA">
        <w:tc>
          <w:tcPr>
            <w:tcW w:w="5524" w:type="dxa"/>
            <w:vAlign w:val="center"/>
          </w:tcPr>
          <w:p w14:paraId="4D40EC7A" w14:textId="21B59A07" w:rsidR="00AC7968" w:rsidRPr="00B033A8" w:rsidRDefault="00E14A7E" w:rsidP="00776641">
            <w:pPr>
              <w:pStyle w:val="Prrafodelista"/>
              <w:spacing w:line="240" w:lineRule="auto"/>
              <w:ind w:left="0"/>
              <w:jc w:val="center"/>
              <w:rPr>
                <w:color w:val="auto"/>
                <w:szCs w:val="20"/>
              </w:rPr>
            </w:pPr>
            <w:r w:rsidRPr="00B033A8">
              <w:rPr>
                <w:rFonts w:eastAsia="Times New Roman"/>
                <w:szCs w:val="20"/>
                <w:lang w:eastAsia="es-CO"/>
              </w:rPr>
              <w:t>Universidad del Norte</w:t>
            </w:r>
          </w:p>
        </w:tc>
        <w:tc>
          <w:tcPr>
            <w:tcW w:w="3304" w:type="dxa"/>
          </w:tcPr>
          <w:p w14:paraId="4EBCDADD" w14:textId="0F48B5FA" w:rsidR="00AC7968" w:rsidRPr="00B033A8" w:rsidRDefault="00CC51E7" w:rsidP="00776641">
            <w:pPr>
              <w:pStyle w:val="Prrafodelista"/>
              <w:spacing w:line="240" w:lineRule="auto"/>
              <w:ind w:left="0"/>
              <w:jc w:val="center"/>
              <w:rPr>
                <w:szCs w:val="20"/>
              </w:rPr>
            </w:pPr>
            <w:proofErr w:type="spellStart"/>
            <w:r w:rsidRPr="00B033A8">
              <w:rPr>
                <w:szCs w:val="20"/>
              </w:rPr>
              <w:t>Exequibilidad</w:t>
            </w:r>
            <w:proofErr w:type="spellEnd"/>
          </w:p>
        </w:tc>
      </w:tr>
      <w:tr w:rsidR="00AC7968" w:rsidRPr="00B033A8" w14:paraId="73E328EF" w14:textId="77777777" w:rsidTr="00FC16BA">
        <w:tc>
          <w:tcPr>
            <w:tcW w:w="5524" w:type="dxa"/>
            <w:vAlign w:val="center"/>
          </w:tcPr>
          <w:p w14:paraId="31A00CE1" w14:textId="1918A5C6" w:rsidR="00AC7968" w:rsidRPr="00B033A8" w:rsidRDefault="00AC7968" w:rsidP="00776641">
            <w:pPr>
              <w:pStyle w:val="Prrafodelista"/>
              <w:spacing w:line="240" w:lineRule="auto"/>
              <w:ind w:left="0"/>
              <w:jc w:val="center"/>
              <w:rPr>
                <w:color w:val="auto"/>
                <w:szCs w:val="20"/>
              </w:rPr>
            </w:pPr>
            <w:r w:rsidRPr="00B033A8">
              <w:rPr>
                <w:rFonts w:eastAsia="Times New Roman"/>
                <w:szCs w:val="20"/>
                <w:lang w:eastAsia="es-CO"/>
              </w:rPr>
              <w:t>I</w:t>
            </w:r>
            <w:r w:rsidR="00A91151" w:rsidRPr="00B033A8">
              <w:rPr>
                <w:rFonts w:eastAsia="Times New Roman"/>
                <w:szCs w:val="20"/>
                <w:lang w:eastAsia="es-CO"/>
              </w:rPr>
              <w:t>nstituto Colombiano de Derecho Procesal</w:t>
            </w:r>
            <w:r w:rsidR="00FC16BA" w:rsidRPr="00B033A8">
              <w:rPr>
                <w:rFonts w:eastAsia="Times New Roman"/>
                <w:szCs w:val="20"/>
                <w:lang w:eastAsia="es-CO"/>
              </w:rPr>
              <w:t xml:space="preserve"> (ICDP)</w:t>
            </w:r>
            <w:r w:rsidR="00A91151" w:rsidRPr="00B033A8">
              <w:rPr>
                <w:rFonts w:eastAsia="Times New Roman"/>
                <w:szCs w:val="20"/>
                <w:lang w:eastAsia="es-CO"/>
              </w:rPr>
              <w:t xml:space="preserve"> </w:t>
            </w:r>
          </w:p>
        </w:tc>
        <w:tc>
          <w:tcPr>
            <w:tcW w:w="3304" w:type="dxa"/>
          </w:tcPr>
          <w:p w14:paraId="641AD17A" w14:textId="36495BBE" w:rsidR="00AC7968" w:rsidRPr="00B033A8" w:rsidRDefault="00A91151" w:rsidP="00776641">
            <w:pPr>
              <w:pStyle w:val="Prrafodelista"/>
              <w:spacing w:line="240" w:lineRule="auto"/>
              <w:ind w:left="0"/>
              <w:jc w:val="center"/>
              <w:rPr>
                <w:szCs w:val="20"/>
              </w:rPr>
            </w:pPr>
            <w:proofErr w:type="spellStart"/>
            <w:r w:rsidRPr="00B033A8">
              <w:rPr>
                <w:szCs w:val="20"/>
              </w:rPr>
              <w:t>Inexequibilidad</w:t>
            </w:r>
            <w:proofErr w:type="spellEnd"/>
          </w:p>
        </w:tc>
      </w:tr>
      <w:tr w:rsidR="00AC7968" w:rsidRPr="00B033A8" w14:paraId="56CB553A" w14:textId="77777777" w:rsidTr="00FC16BA">
        <w:tc>
          <w:tcPr>
            <w:tcW w:w="5524" w:type="dxa"/>
            <w:vAlign w:val="center"/>
          </w:tcPr>
          <w:p w14:paraId="6CA63D13" w14:textId="5DAACC83" w:rsidR="00AC7968" w:rsidRPr="00B033A8" w:rsidRDefault="00AC7968" w:rsidP="00776641">
            <w:pPr>
              <w:pStyle w:val="Prrafodelista"/>
              <w:spacing w:line="240" w:lineRule="auto"/>
              <w:ind w:left="0"/>
              <w:jc w:val="center"/>
              <w:rPr>
                <w:color w:val="auto"/>
                <w:szCs w:val="20"/>
              </w:rPr>
            </w:pPr>
            <w:r w:rsidRPr="00B033A8">
              <w:rPr>
                <w:rFonts w:eastAsia="Times New Roman"/>
                <w:szCs w:val="20"/>
                <w:lang w:eastAsia="es-CO"/>
              </w:rPr>
              <w:t>Universidad Externado de Colombia</w:t>
            </w:r>
          </w:p>
        </w:tc>
        <w:tc>
          <w:tcPr>
            <w:tcW w:w="3304" w:type="dxa"/>
          </w:tcPr>
          <w:p w14:paraId="40820374" w14:textId="0A3DE9A9" w:rsidR="00AC7968" w:rsidRPr="00B033A8" w:rsidRDefault="00A91151" w:rsidP="00776641">
            <w:pPr>
              <w:pStyle w:val="Prrafodelista"/>
              <w:spacing w:line="240" w:lineRule="auto"/>
              <w:ind w:left="0"/>
              <w:jc w:val="center"/>
              <w:rPr>
                <w:szCs w:val="20"/>
              </w:rPr>
            </w:pPr>
            <w:proofErr w:type="spellStart"/>
            <w:r w:rsidRPr="00B033A8">
              <w:rPr>
                <w:szCs w:val="20"/>
              </w:rPr>
              <w:t>Inexequibilidad</w:t>
            </w:r>
            <w:proofErr w:type="spellEnd"/>
          </w:p>
        </w:tc>
      </w:tr>
      <w:tr w:rsidR="00AC7968" w:rsidRPr="00B033A8" w14:paraId="6CCC5895" w14:textId="77777777" w:rsidTr="00FC16BA">
        <w:trPr>
          <w:trHeight w:val="41"/>
        </w:trPr>
        <w:tc>
          <w:tcPr>
            <w:tcW w:w="5524" w:type="dxa"/>
            <w:vAlign w:val="center"/>
          </w:tcPr>
          <w:p w14:paraId="519174FA" w14:textId="5BCCFD20" w:rsidR="00AC7968" w:rsidRPr="00B033A8" w:rsidRDefault="00AC7968" w:rsidP="00776641">
            <w:pPr>
              <w:pStyle w:val="Prrafodelista"/>
              <w:spacing w:line="240" w:lineRule="auto"/>
              <w:ind w:left="0"/>
              <w:jc w:val="center"/>
              <w:rPr>
                <w:color w:val="auto"/>
                <w:szCs w:val="20"/>
              </w:rPr>
            </w:pPr>
            <w:r w:rsidRPr="00B033A8">
              <w:rPr>
                <w:rFonts w:eastAsia="Times New Roman"/>
                <w:szCs w:val="20"/>
                <w:lang w:eastAsia="es-CO"/>
              </w:rPr>
              <w:t>Fundación Proyecto Inocencia</w:t>
            </w:r>
          </w:p>
        </w:tc>
        <w:tc>
          <w:tcPr>
            <w:tcW w:w="3304" w:type="dxa"/>
          </w:tcPr>
          <w:p w14:paraId="54416BAB" w14:textId="74CF6D43" w:rsidR="00AC7968" w:rsidRPr="00B033A8" w:rsidRDefault="00A91151" w:rsidP="00776641">
            <w:pPr>
              <w:pStyle w:val="Prrafodelista"/>
              <w:spacing w:line="240" w:lineRule="auto"/>
              <w:ind w:left="0"/>
              <w:jc w:val="center"/>
              <w:rPr>
                <w:szCs w:val="20"/>
              </w:rPr>
            </w:pPr>
            <w:proofErr w:type="spellStart"/>
            <w:r w:rsidRPr="00B033A8">
              <w:rPr>
                <w:szCs w:val="20"/>
              </w:rPr>
              <w:t>Inexequibilidad</w:t>
            </w:r>
            <w:proofErr w:type="spellEnd"/>
          </w:p>
        </w:tc>
      </w:tr>
      <w:tr w:rsidR="00AC7968" w:rsidRPr="00B033A8" w14:paraId="65F27756" w14:textId="77777777" w:rsidTr="00FC16BA">
        <w:tc>
          <w:tcPr>
            <w:tcW w:w="5524" w:type="dxa"/>
            <w:vAlign w:val="center"/>
          </w:tcPr>
          <w:p w14:paraId="766F47AF" w14:textId="62179FD8" w:rsidR="00AC7968" w:rsidRPr="00B033A8" w:rsidRDefault="00AC7968" w:rsidP="00776641">
            <w:pPr>
              <w:pStyle w:val="Prrafodelista"/>
              <w:spacing w:line="240" w:lineRule="auto"/>
              <w:ind w:left="0"/>
              <w:jc w:val="center"/>
              <w:rPr>
                <w:color w:val="auto"/>
                <w:szCs w:val="20"/>
              </w:rPr>
            </w:pPr>
            <w:r w:rsidRPr="00B033A8">
              <w:rPr>
                <w:rFonts w:eastAsia="Times New Roman"/>
                <w:szCs w:val="20"/>
                <w:lang w:eastAsia="es-CO"/>
              </w:rPr>
              <w:t>Colegio de Abogados Penalistas</w:t>
            </w:r>
          </w:p>
        </w:tc>
        <w:tc>
          <w:tcPr>
            <w:tcW w:w="3304" w:type="dxa"/>
          </w:tcPr>
          <w:p w14:paraId="261DF2A5" w14:textId="77777777" w:rsidR="00AC7968" w:rsidRPr="00B033A8" w:rsidRDefault="00AC7968" w:rsidP="00776641">
            <w:pPr>
              <w:pStyle w:val="Prrafodelista"/>
              <w:spacing w:line="240" w:lineRule="auto"/>
              <w:ind w:left="0"/>
              <w:jc w:val="center"/>
              <w:rPr>
                <w:color w:val="auto"/>
                <w:szCs w:val="20"/>
              </w:rPr>
            </w:pPr>
            <w:proofErr w:type="spellStart"/>
            <w:r w:rsidRPr="00B033A8">
              <w:rPr>
                <w:szCs w:val="20"/>
              </w:rPr>
              <w:t>Inexequibilidad</w:t>
            </w:r>
            <w:proofErr w:type="spellEnd"/>
          </w:p>
        </w:tc>
      </w:tr>
    </w:tbl>
    <w:p w14:paraId="69ED7D40" w14:textId="77777777" w:rsidR="009C14D5" w:rsidRPr="00B033A8" w:rsidRDefault="009C14D5" w:rsidP="00776641">
      <w:pPr>
        <w:tabs>
          <w:tab w:val="left" w:pos="567"/>
        </w:tabs>
        <w:jc w:val="center"/>
        <w:rPr>
          <w:rFonts w:cs="Times New Roman"/>
          <w:szCs w:val="16"/>
        </w:rPr>
      </w:pPr>
      <w:r w:rsidRPr="00B033A8">
        <w:rPr>
          <w:rFonts w:cs="Times New Roman"/>
          <w:szCs w:val="16"/>
        </w:rPr>
        <w:t>-Tabla 1-</w:t>
      </w:r>
    </w:p>
    <w:p w14:paraId="722B802C" w14:textId="77777777" w:rsidR="009F2D02" w:rsidRPr="00B033A8" w:rsidRDefault="009F2D02" w:rsidP="00776641">
      <w:pPr>
        <w:tabs>
          <w:tab w:val="left" w:pos="567"/>
        </w:tabs>
        <w:rPr>
          <w:rFonts w:cs="Times New Roman"/>
        </w:rPr>
      </w:pPr>
    </w:p>
    <w:p w14:paraId="0448AE9B" w14:textId="0DB5A4A3" w:rsidR="00FC1F08" w:rsidRPr="00B033A8" w:rsidRDefault="009F2D02" w:rsidP="00776641">
      <w:pPr>
        <w:numPr>
          <w:ilvl w:val="0"/>
          <w:numId w:val="12"/>
        </w:numPr>
        <w:tabs>
          <w:tab w:val="left" w:pos="567"/>
        </w:tabs>
        <w:ind w:left="0" w:firstLine="0"/>
        <w:rPr>
          <w:rFonts w:cs="Times New Roman"/>
        </w:rPr>
      </w:pPr>
      <w:r w:rsidRPr="00B033A8">
        <w:rPr>
          <w:rFonts w:cs="Times New Roman"/>
          <w:color w:val="000000" w:themeColor="text1"/>
        </w:rPr>
        <w:t xml:space="preserve">A continuación, la Corte sintetiza los argumentos que presentan los intervinientes que solicitan a la Corte declarar </w:t>
      </w:r>
      <w:r w:rsidRPr="00B033A8">
        <w:rPr>
          <w:rFonts w:cs="Times New Roman"/>
          <w:i/>
          <w:iCs/>
          <w:color w:val="000000" w:themeColor="text1"/>
        </w:rPr>
        <w:t>(i)</w:t>
      </w:r>
      <w:r w:rsidRPr="00B033A8">
        <w:rPr>
          <w:rFonts w:cs="Times New Roman"/>
          <w:color w:val="000000" w:themeColor="text1"/>
        </w:rPr>
        <w:t xml:space="preserve"> la </w:t>
      </w:r>
      <w:proofErr w:type="spellStart"/>
      <w:r w:rsidRPr="00B033A8">
        <w:rPr>
          <w:rFonts w:cs="Times New Roman"/>
          <w:color w:val="000000" w:themeColor="text1"/>
        </w:rPr>
        <w:t>exequibilidad</w:t>
      </w:r>
      <w:proofErr w:type="spellEnd"/>
      <w:r w:rsidRPr="00B033A8">
        <w:rPr>
          <w:rFonts w:cs="Times New Roman"/>
          <w:color w:val="000000" w:themeColor="text1"/>
        </w:rPr>
        <w:t xml:space="preserve"> y </w:t>
      </w:r>
      <w:r w:rsidRPr="00B033A8">
        <w:rPr>
          <w:rFonts w:cs="Times New Roman"/>
          <w:i/>
          <w:iCs/>
          <w:color w:val="000000" w:themeColor="text1"/>
        </w:rPr>
        <w:t>(</w:t>
      </w:r>
      <w:proofErr w:type="spellStart"/>
      <w:r w:rsidRPr="00B033A8">
        <w:rPr>
          <w:rFonts w:cs="Times New Roman"/>
          <w:i/>
          <w:iCs/>
          <w:color w:val="000000" w:themeColor="text1"/>
        </w:rPr>
        <w:t>ii</w:t>
      </w:r>
      <w:proofErr w:type="spellEnd"/>
      <w:r w:rsidRPr="00B033A8">
        <w:rPr>
          <w:rFonts w:cs="Times New Roman"/>
          <w:i/>
          <w:iCs/>
          <w:color w:val="000000" w:themeColor="text1"/>
        </w:rPr>
        <w:t xml:space="preserve">) </w:t>
      </w:r>
      <w:r w:rsidRPr="00B033A8">
        <w:rPr>
          <w:rFonts w:cs="Times New Roman"/>
          <w:color w:val="000000" w:themeColor="text1"/>
        </w:rPr>
        <w:t>la</w:t>
      </w:r>
      <w:r w:rsidR="00E42B5F" w:rsidRPr="00B033A8">
        <w:rPr>
          <w:rFonts w:cs="Times New Roman"/>
          <w:color w:val="000000" w:themeColor="text1"/>
        </w:rPr>
        <w:t xml:space="preserve"> </w:t>
      </w:r>
      <w:proofErr w:type="spellStart"/>
      <w:r w:rsidR="00CC51E7" w:rsidRPr="00B033A8">
        <w:rPr>
          <w:rFonts w:cs="Times New Roman"/>
          <w:color w:val="000000" w:themeColor="text1"/>
        </w:rPr>
        <w:t>inexequibilidad</w:t>
      </w:r>
      <w:proofErr w:type="spellEnd"/>
      <w:r w:rsidRPr="00B033A8">
        <w:rPr>
          <w:rFonts w:cs="Times New Roman"/>
          <w:color w:val="000000" w:themeColor="text1"/>
        </w:rPr>
        <w:t xml:space="preserve"> de la norma demandada. </w:t>
      </w:r>
      <w:r w:rsidR="005D3257" w:rsidRPr="00B033A8">
        <w:rPr>
          <w:rFonts w:cs="Times New Roman"/>
          <w:color w:val="000000" w:themeColor="text1"/>
        </w:rPr>
        <w:t>El</w:t>
      </w:r>
      <w:r w:rsidR="00C543B5" w:rsidRPr="00B033A8">
        <w:rPr>
          <w:rFonts w:cs="Times New Roman"/>
          <w:color w:val="000000" w:themeColor="text1"/>
        </w:rPr>
        <w:t xml:space="preserve"> </w:t>
      </w:r>
      <w:r w:rsidR="00C543B5" w:rsidRPr="00B033A8">
        <w:rPr>
          <w:rFonts w:cs="Times New Roman"/>
          <w:b/>
          <w:bCs/>
          <w:color w:val="000000" w:themeColor="text1"/>
        </w:rPr>
        <w:t>Anexo I</w:t>
      </w:r>
      <w:r w:rsidR="00C543B5" w:rsidRPr="00B033A8">
        <w:rPr>
          <w:rFonts w:cs="Times New Roman"/>
          <w:color w:val="000000" w:themeColor="text1"/>
        </w:rPr>
        <w:t xml:space="preserve"> </w:t>
      </w:r>
      <w:r w:rsidR="005D3257" w:rsidRPr="00B033A8">
        <w:rPr>
          <w:rFonts w:cs="Times New Roman"/>
          <w:color w:val="000000" w:themeColor="text1"/>
        </w:rPr>
        <w:t>a esta sentencia conti</w:t>
      </w:r>
      <w:r w:rsidR="006D0792" w:rsidRPr="00B033A8">
        <w:rPr>
          <w:rFonts w:cs="Times New Roman"/>
          <w:color w:val="000000" w:themeColor="text1"/>
        </w:rPr>
        <w:t>e</w:t>
      </w:r>
      <w:r w:rsidR="005D3257" w:rsidRPr="00B033A8">
        <w:rPr>
          <w:rFonts w:cs="Times New Roman"/>
          <w:color w:val="000000" w:themeColor="text1"/>
        </w:rPr>
        <w:t>ne un</w:t>
      </w:r>
      <w:r w:rsidR="006D0792" w:rsidRPr="00B033A8">
        <w:rPr>
          <w:rFonts w:cs="Times New Roman"/>
          <w:color w:val="000000" w:themeColor="text1"/>
        </w:rPr>
        <w:t xml:space="preserve">a tabla </w:t>
      </w:r>
      <w:r w:rsidR="005D3257" w:rsidRPr="00B033A8">
        <w:rPr>
          <w:rFonts w:cs="Times New Roman"/>
          <w:color w:val="000000" w:themeColor="text1"/>
        </w:rPr>
        <w:t xml:space="preserve">en </w:t>
      </w:r>
      <w:r w:rsidR="004F378E" w:rsidRPr="00B033A8">
        <w:rPr>
          <w:rFonts w:cs="Times New Roman"/>
          <w:color w:val="000000" w:themeColor="text1"/>
        </w:rPr>
        <w:t>la</w:t>
      </w:r>
      <w:r w:rsidR="005D3257" w:rsidRPr="00B033A8">
        <w:rPr>
          <w:rFonts w:cs="Times New Roman"/>
          <w:color w:val="000000" w:themeColor="text1"/>
        </w:rPr>
        <w:t xml:space="preserve"> que cada una de las intervenciones están resumidas de forma individual. </w:t>
      </w:r>
    </w:p>
    <w:p w14:paraId="4F1C3F8D" w14:textId="77777777" w:rsidR="004A340F" w:rsidRPr="00B033A8" w:rsidRDefault="004A340F" w:rsidP="00776641">
      <w:pPr>
        <w:tabs>
          <w:tab w:val="left" w:pos="567"/>
        </w:tabs>
        <w:rPr>
          <w:rFonts w:cs="Times New Roman"/>
        </w:rPr>
      </w:pPr>
    </w:p>
    <w:p w14:paraId="146D22A5" w14:textId="7A95BD66" w:rsidR="00FC1F08" w:rsidRPr="00B033A8" w:rsidRDefault="00FC1F08" w:rsidP="00776641">
      <w:pPr>
        <w:pStyle w:val="Ttulo3"/>
        <w:numPr>
          <w:ilvl w:val="1"/>
          <w:numId w:val="14"/>
        </w:numPr>
        <w:spacing w:before="0"/>
        <w:rPr>
          <w:rFonts w:cs="Times New Roman"/>
        </w:rPr>
      </w:pPr>
      <w:r w:rsidRPr="00B033A8">
        <w:rPr>
          <w:rFonts w:cs="Times New Roman"/>
        </w:rPr>
        <w:t xml:space="preserve">Intervenciones que solicitan la </w:t>
      </w:r>
      <w:proofErr w:type="spellStart"/>
      <w:r w:rsidRPr="00B033A8">
        <w:rPr>
          <w:rFonts w:cs="Times New Roman"/>
        </w:rPr>
        <w:t>exequibilidad</w:t>
      </w:r>
      <w:proofErr w:type="spellEnd"/>
      <w:r w:rsidRPr="00B033A8">
        <w:rPr>
          <w:rFonts w:cs="Times New Roman"/>
        </w:rPr>
        <w:t xml:space="preserve"> de la norma</w:t>
      </w:r>
    </w:p>
    <w:p w14:paraId="13AE6C46" w14:textId="77777777" w:rsidR="00235598" w:rsidRPr="00B033A8" w:rsidRDefault="00235598" w:rsidP="00776641">
      <w:pPr>
        <w:tabs>
          <w:tab w:val="left" w:pos="567"/>
        </w:tabs>
        <w:rPr>
          <w:rFonts w:cs="Times New Roman"/>
        </w:rPr>
      </w:pPr>
    </w:p>
    <w:p w14:paraId="0FB0D2EE" w14:textId="2DF87984" w:rsidR="00557A9B" w:rsidRPr="00B033A8" w:rsidRDefault="00105C7C" w:rsidP="00776641">
      <w:pPr>
        <w:numPr>
          <w:ilvl w:val="0"/>
          <w:numId w:val="12"/>
        </w:numPr>
        <w:tabs>
          <w:tab w:val="left" w:pos="567"/>
        </w:tabs>
        <w:ind w:left="0" w:firstLine="0"/>
        <w:rPr>
          <w:rFonts w:cs="Times New Roman"/>
        </w:rPr>
      </w:pPr>
      <w:r w:rsidRPr="00B033A8">
        <w:rPr>
          <w:rFonts w:cs="Times New Roman"/>
        </w:rPr>
        <w:t xml:space="preserve">El </w:t>
      </w:r>
      <w:r w:rsidR="00F24E4C" w:rsidRPr="00B033A8">
        <w:rPr>
          <w:rFonts w:cs="Times New Roman"/>
        </w:rPr>
        <w:t>Ministerio</w:t>
      </w:r>
      <w:r w:rsidRPr="00B033A8">
        <w:rPr>
          <w:rFonts w:cs="Times New Roman"/>
        </w:rPr>
        <w:t xml:space="preserve"> de Justicia y del </w:t>
      </w:r>
      <w:r w:rsidR="00F24E4C" w:rsidRPr="00B033A8">
        <w:rPr>
          <w:rFonts w:cs="Times New Roman"/>
        </w:rPr>
        <w:t>Derecho, la SIC, la Agencia Nacional de Contratación Pública, la A</w:t>
      </w:r>
      <w:r w:rsidR="004B599C" w:rsidRPr="00B033A8">
        <w:rPr>
          <w:rFonts w:cs="Times New Roman"/>
        </w:rPr>
        <w:t>CDC y la Universidad del Norte</w:t>
      </w:r>
      <w:r w:rsidR="001C6DF4" w:rsidRPr="00B033A8">
        <w:rPr>
          <w:rFonts w:cs="Times New Roman"/>
        </w:rPr>
        <w:t xml:space="preserve"> consideran que el artículo 410A del Código Penal no vulnera la </w:t>
      </w:r>
      <w:r w:rsidR="00C25696" w:rsidRPr="00B033A8">
        <w:rPr>
          <w:rFonts w:cs="Times New Roman"/>
        </w:rPr>
        <w:t>Constitución Política</w:t>
      </w:r>
      <w:r w:rsidR="004B599C" w:rsidRPr="00B033A8">
        <w:rPr>
          <w:rFonts w:cs="Times New Roman"/>
        </w:rPr>
        <w:t>. Argumentan que la</w:t>
      </w:r>
      <w:r w:rsidR="005D2740" w:rsidRPr="00B033A8">
        <w:rPr>
          <w:rFonts w:cs="Times New Roman"/>
        </w:rPr>
        <w:t xml:space="preserve"> tipificación de la conducta punible es clara y precisa, por lo que no desconoce el principio de </w:t>
      </w:r>
      <w:r w:rsidR="00F20FEC" w:rsidRPr="00B033A8">
        <w:rPr>
          <w:rFonts w:cs="Times New Roman"/>
        </w:rPr>
        <w:t xml:space="preserve">legalidad estricta o </w:t>
      </w:r>
      <w:r w:rsidR="005D2740" w:rsidRPr="00B033A8">
        <w:rPr>
          <w:rFonts w:cs="Times New Roman"/>
        </w:rPr>
        <w:t>tipicidad</w:t>
      </w:r>
      <w:r w:rsidR="00F20FEC" w:rsidRPr="00B033A8">
        <w:rPr>
          <w:rFonts w:cs="Times New Roman"/>
        </w:rPr>
        <w:t>.</w:t>
      </w:r>
      <w:r w:rsidR="005D2740" w:rsidRPr="00B033A8">
        <w:rPr>
          <w:rFonts w:cs="Times New Roman"/>
        </w:rPr>
        <w:t xml:space="preserve"> Esto, con fundamento en </w:t>
      </w:r>
      <w:r w:rsidR="00783EB8" w:rsidRPr="00B033A8">
        <w:rPr>
          <w:rFonts w:cs="Times New Roman"/>
        </w:rPr>
        <w:t>tres</w:t>
      </w:r>
      <w:r w:rsidR="005D2740" w:rsidRPr="00B033A8">
        <w:rPr>
          <w:rFonts w:cs="Times New Roman"/>
        </w:rPr>
        <w:t xml:space="preserve"> argumentos: </w:t>
      </w:r>
    </w:p>
    <w:p w14:paraId="4D3DC0DD" w14:textId="77777777" w:rsidR="005D2740" w:rsidRPr="00B033A8" w:rsidRDefault="005D2740" w:rsidP="00776641">
      <w:pPr>
        <w:tabs>
          <w:tab w:val="left" w:pos="567"/>
        </w:tabs>
        <w:rPr>
          <w:rFonts w:cs="Times New Roman"/>
        </w:rPr>
      </w:pPr>
    </w:p>
    <w:p w14:paraId="38B0C97B" w14:textId="4341426D" w:rsidR="00572D22" w:rsidRPr="00B033A8" w:rsidRDefault="005D2740" w:rsidP="00776641">
      <w:pPr>
        <w:numPr>
          <w:ilvl w:val="0"/>
          <w:numId w:val="12"/>
        </w:numPr>
        <w:tabs>
          <w:tab w:val="left" w:pos="567"/>
        </w:tabs>
        <w:ind w:left="0" w:firstLine="0"/>
        <w:rPr>
          <w:rFonts w:cs="Times New Roman"/>
        </w:rPr>
      </w:pPr>
      <w:r w:rsidRPr="00B033A8">
        <w:rPr>
          <w:rFonts w:cs="Times New Roman"/>
          <w:u w:val="single"/>
        </w:rPr>
        <w:t>Primero</w:t>
      </w:r>
      <w:r w:rsidRPr="00B033A8">
        <w:rPr>
          <w:rFonts w:cs="Times New Roman"/>
        </w:rPr>
        <w:t>.</w:t>
      </w:r>
      <w:r w:rsidR="005F3419" w:rsidRPr="00B033A8">
        <w:rPr>
          <w:rFonts w:cs="Times New Roman"/>
        </w:rPr>
        <w:t xml:space="preserve"> Contrario a lo que sostiene </w:t>
      </w:r>
      <w:r w:rsidR="000648D1" w:rsidRPr="00B033A8">
        <w:rPr>
          <w:rFonts w:cs="Times New Roman"/>
        </w:rPr>
        <w:t>e</w:t>
      </w:r>
      <w:r w:rsidR="005F3419" w:rsidRPr="00B033A8">
        <w:rPr>
          <w:rFonts w:cs="Times New Roman"/>
        </w:rPr>
        <w:t xml:space="preserve">l </w:t>
      </w:r>
      <w:r w:rsidR="00B104A1" w:rsidRPr="00B033A8">
        <w:rPr>
          <w:rFonts w:cs="Times New Roman"/>
        </w:rPr>
        <w:t>actor</w:t>
      </w:r>
      <w:r w:rsidR="005F3419" w:rsidRPr="00B033A8">
        <w:rPr>
          <w:rFonts w:cs="Times New Roman"/>
        </w:rPr>
        <w:t>, l</w:t>
      </w:r>
      <w:r w:rsidR="00D676A4" w:rsidRPr="00B033A8">
        <w:rPr>
          <w:rFonts w:cs="Times New Roman"/>
        </w:rPr>
        <w:t>a norma demandada n</w:t>
      </w:r>
      <w:r w:rsidR="005F3419" w:rsidRPr="00B033A8">
        <w:rPr>
          <w:rFonts w:cs="Times New Roman"/>
        </w:rPr>
        <w:t>o</w:t>
      </w:r>
      <w:r w:rsidR="00D676A4" w:rsidRPr="00B033A8">
        <w:rPr>
          <w:rFonts w:cs="Times New Roman"/>
        </w:rPr>
        <w:t xml:space="preserve"> prevé un</w:t>
      </w:r>
      <w:r w:rsidR="00FD1524" w:rsidRPr="00B033A8">
        <w:rPr>
          <w:rFonts w:cs="Times New Roman"/>
        </w:rPr>
        <w:t xml:space="preserve"> tipo penal en blanco”</w:t>
      </w:r>
      <w:r w:rsidR="00FD1524" w:rsidRPr="00B033A8">
        <w:rPr>
          <w:rFonts w:cs="Times New Roman"/>
          <w:vertAlign w:val="superscript"/>
        </w:rPr>
        <w:footnoteReference w:id="29"/>
      </w:r>
      <w:r w:rsidR="00FD1524" w:rsidRPr="00B033A8">
        <w:rPr>
          <w:rFonts w:cs="Times New Roman"/>
        </w:rPr>
        <w:t>, pues</w:t>
      </w:r>
      <w:r w:rsidR="00507172" w:rsidRPr="00B033A8">
        <w:rPr>
          <w:rFonts w:cs="Times New Roman"/>
        </w:rPr>
        <w:t>to que</w:t>
      </w:r>
      <w:r w:rsidR="00FD1524" w:rsidRPr="00B033A8">
        <w:rPr>
          <w:rFonts w:cs="Times New Roman"/>
        </w:rPr>
        <w:t xml:space="preserve"> no deja </w:t>
      </w:r>
      <w:r w:rsidR="00507172" w:rsidRPr="00B033A8">
        <w:rPr>
          <w:rFonts w:cs="Times New Roman"/>
        </w:rPr>
        <w:t>“</w:t>
      </w:r>
      <w:r w:rsidR="00FD1524" w:rsidRPr="00B033A8">
        <w:rPr>
          <w:rFonts w:cs="Times New Roman"/>
        </w:rPr>
        <w:t>ningún aspecto abierto o indeterminado que requiera de la referencia a otras fuentes normativas</w:t>
      </w:r>
      <w:r w:rsidR="00507172" w:rsidRPr="00B033A8">
        <w:rPr>
          <w:rFonts w:cs="Times New Roman"/>
        </w:rPr>
        <w:t>”</w:t>
      </w:r>
      <w:r w:rsidR="00AF1CED" w:rsidRPr="00B033A8">
        <w:rPr>
          <w:rStyle w:val="Refdenotaalpie"/>
          <w:rFonts w:cs="Times New Roman"/>
        </w:rPr>
        <w:footnoteReference w:id="30"/>
      </w:r>
      <w:r w:rsidR="00507172" w:rsidRPr="00B033A8">
        <w:rPr>
          <w:rFonts w:cs="Times New Roman"/>
        </w:rPr>
        <w:t>.</w:t>
      </w:r>
      <w:r w:rsidR="006E312E" w:rsidRPr="00B033A8">
        <w:rPr>
          <w:rFonts w:cs="Times New Roman"/>
        </w:rPr>
        <w:t xml:space="preserve"> </w:t>
      </w:r>
      <w:r w:rsidR="00783EB8" w:rsidRPr="00B033A8">
        <w:rPr>
          <w:rFonts w:cs="Times New Roman"/>
        </w:rPr>
        <w:t>Por el contrario, a</w:t>
      </w:r>
      <w:r w:rsidR="006E312E" w:rsidRPr="00B033A8">
        <w:rPr>
          <w:rFonts w:cs="Times New Roman"/>
        </w:rPr>
        <w:t xml:space="preserve"> partir de una interpretación literal</w:t>
      </w:r>
      <w:r w:rsidR="001755D8" w:rsidRPr="00B033A8">
        <w:rPr>
          <w:rFonts w:cs="Times New Roman"/>
        </w:rPr>
        <w:t xml:space="preserve"> de la norma demandada</w:t>
      </w:r>
      <w:r w:rsidR="006E312E" w:rsidRPr="00B033A8">
        <w:rPr>
          <w:rFonts w:cs="Times New Roman"/>
          <w:vertAlign w:val="superscript"/>
        </w:rPr>
        <w:footnoteReference w:id="31"/>
      </w:r>
      <w:r w:rsidR="006E312E" w:rsidRPr="00B033A8">
        <w:rPr>
          <w:rFonts w:cs="Times New Roman"/>
        </w:rPr>
        <w:t xml:space="preserve">, </w:t>
      </w:r>
      <w:r w:rsidR="001755D8" w:rsidRPr="00B033A8">
        <w:rPr>
          <w:rFonts w:cs="Times New Roman"/>
        </w:rPr>
        <w:t xml:space="preserve">es posible determinar </w:t>
      </w:r>
      <w:r w:rsidR="00F763C5" w:rsidRPr="00B033A8">
        <w:rPr>
          <w:rFonts w:cs="Times New Roman"/>
        </w:rPr>
        <w:t>todos los elementos del tipo</w:t>
      </w:r>
      <w:r w:rsidR="0058268E" w:rsidRPr="00B033A8">
        <w:rPr>
          <w:rFonts w:cs="Times New Roman"/>
        </w:rPr>
        <w:t xml:space="preserve"> y, en concreto, la conducta sancionable</w:t>
      </w:r>
      <w:r w:rsidR="00F763C5" w:rsidRPr="00B033A8">
        <w:rPr>
          <w:rFonts w:cs="Times New Roman"/>
        </w:rPr>
        <w:t xml:space="preserve">. </w:t>
      </w:r>
      <w:r w:rsidR="00A057E0" w:rsidRPr="00B033A8">
        <w:rPr>
          <w:rFonts w:cs="Times New Roman"/>
        </w:rPr>
        <w:t>El</w:t>
      </w:r>
      <w:r w:rsidR="00F763C5" w:rsidRPr="00B033A8">
        <w:rPr>
          <w:rFonts w:cs="Times New Roman"/>
        </w:rPr>
        <w:t xml:space="preserve"> “</w:t>
      </w:r>
      <w:proofErr w:type="spellStart"/>
      <w:r w:rsidR="00F763C5" w:rsidRPr="00B033A8">
        <w:rPr>
          <w:rFonts w:cs="Times New Roman"/>
          <w:i/>
          <w:iCs/>
        </w:rPr>
        <w:t>nomen</w:t>
      </w:r>
      <w:proofErr w:type="spellEnd"/>
      <w:r w:rsidR="00F763C5" w:rsidRPr="00B033A8">
        <w:rPr>
          <w:rFonts w:cs="Times New Roman"/>
          <w:i/>
          <w:iCs/>
        </w:rPr>
        <w:t xml:space="preserve"> iuris</w:t>
      </w:r>
      <w:r w:rsidR="00F763C5" w:rsidRPr="00B033A8">
        <w:rPr>
          <w:rFonts w:cs="Times New Roman"/>
        </w:rPr>
        <w:t xml:space="preserve"> </w:t>
      </w:r>
      <w:r w:rsidR="003F48D0" w:rsidRPr="00B033A8">
        <w:rPr>
          <w:rFonts w:cs="Times New Roman"/>
        </w:rPr>
        <w:t xml:space="preserve">o título </w:t>
      </w:r>
      <w:r w:rsidR="00F763C5" w:rsidRPr="00B033A8">
        <w:rPr>
          <w:rFonts w:cs="Times New Roman"/>
        </w:rPr>
        <w:t xml:space="preserve">del </w:t>
      </w:r>
      <w:r w:rsidR="003F48D0" w:rsidRPr="00B033A8">
        <w:rPr>
          <w:rFonts w:cs="Times New Roman"/>
        </w:rPr>
        <w:t xml:space="preserve">tipo penal </w:t>
      </w:r>
      <w:r w:rsidR="00F763C5" w:rsidRPr="00B033A8">
        <w:rPr>
          <w:rFonts w:cs="Times New Roman"/>
        </w:rPr>
        <w:t xml:space="preserve">señala con precisión que la conducta prohibida se refiere a los </w:t>
      </w:r>
      <w:r w:rsidR="00B22F7C" w:rsidRPr="00B033A8">
        <w:rPr>
          <w:rFonts w:cs="Times New Roman"/>
        </w:rPr>
        <w:t>‘</w:t>
      </w:r>
      <w:r w:rsidR="00F763C5" w:rsidRPr="00B033A8">
        <w:rPr>
          <w:rFonts w:cs="Times New Roman"/>
        </w:rPr>
        <w:t>acuerdos restrictivos</w:t>
      </w:r>
      <w:r w:rsidR="00041C9A" w:rsidRPr="00B033A8">
        <w:rPr>
          <w:rFonts w:cs="Times New Roman"/>
        </w:rPr>
        <w:t xml:space="preserve"> </w:t>
      </w:r>
      <w:r w:rsidR="00F763C5" w:rsidRPr="00B033A8">
        <w:rPr>
          <w:rFonts w:cs="Times New Roman"/>
        </w:rPr>
        <w:t>de la competencia</w:t>
      </w:r>
      <w:r w:rsidR="00B22F7C" w:rsidRPr="00B033A8">
        <w:rPr>
          <w:rFonts w:cs="Times New Roman"/>
        </w:rPr>
        <w:t>’</w:t>
      </w:r>
      <w:r w:rsidR="00041C9A" w:rsidRPr="00B033A8">
        <w:rPr>
          <w:rFonts w:cs="Times New Roman"/>
        </w:rPr>
        <w:t xml:space="preserve"> </w:t>
      </w:r>
      <w:r w:rsidR="00F763C5" w:rsidRPr="00B033A8">
        <w:rPr>
          <w:rFonts w:cs="Times New Roman"/>
        </w:rPr>
        <w:t>que se lleven a cabo en el marco de procesos de contratación pública</w:t>
      </w:r>
      <w:r w:rsidR="00B22F7C" w:rsidRPr="00B033A8">
        <w:rPr>
          <w:rFonts w:cs="Times New Roman"/>
        </w:rPr>
        <w:t>”</w:t>
      </w:r>
      <w:r w:rsidR="009D6520" w:rsidRPr="00B033A8">
        <w:rPr>
          <w:rStyle w:val="Refdenotaalpie"/>
          <w:rFonts w:cs="Times New Roman"/>
        </w:rPr>
        <w:footnoteReference w:id="32"/>
      </w:r>
      <w:r w:rsidR="00F763C5" w:rsidRPr="00B033A8">
        <w:rPr>
          <w:rFonts w:cs="Times New Roman"/>
        </w:rPr>
        <w:t xml:space="preserve">. </w:t>
      </w:r>
      <w:r w:rsidR="00094AB7" w:rsidRPr="00B033A8">
        <w:rPr>
          <w:rFonts w:cs="Times New Roman"/>
        </w:rPr>
        <w:t>Por otro lado,</w:t>
      </w:r>
      <w:r w:rsidR="00306827" w:rsidRPr="00B033A8">
        <w:rPr>
          <w:rFonts w:cs="Times New Roman"/>
        </w:rPr>
        <w:t xml:space="preserve"> no es necesario remitir a otro cuerpo normativo para dotar</w:t>
      </w:r>
      <w:r w:rsidR="00B104A1" w:rsidRPr="00B033A8">
        <w:rPr>
          <w:rFonts w:cs="Times New Roman"/>
        </w:rPr>
        <w:t xml:space="preserve"> de</w:t>
      </w:r>
      <w:r w:rsidR="00306827" w:rsidRPr="00B033A8">
        <w:rPr>
          <w:rFonts w:cs="Times New Roman"/>
        </w:rPr>
        <w:t xml:space="preserve"> contenido</w:t>
      </w:r>
      <w:r w:rsidR="00B104A1" w:rsidRPr="00B033A8">
        <w:rPr>
          <w:rFonts w:cs="Times New Roman"/>
        </w:rPr>
        <w:t xml:space="preserve"> a</w:t>
      </w:r>
      <w:r w:rsidR="00094AB7" w:rsidRPr="00B033A8">
        <w:rPr>
          <w:rFonts w:cs="Times New Roman"/>
        </w:rPr>
        <w:t xml:space="preserve"> l</w:t>
      </w:r>
      <w:r w:rsidR="00572D22" w:rsidRPr="00B033A8">
        <w:rPr>
          <w:rFonts w:cs="Times New Roman"/>
        </w:rPr>
        <w:t>a expresión “ilícitamente”</w:t>
      </w:r>
      <w:r w:rsidR="00306827" w:rsidRPr="00B033A8">
        <w:rPr>
          <w:rFonts w:cs="Times New Roman"/>
        </w:rPr>
        <w:t xml:space="preserve">. Conforme a su </w:t>
      </w:r>
      <w:r w:rsidR="00167173" w:rsidRPr="00B033A8">
        <w:rPr>
          <w:rFonts w:cs="Times New Roman"/>
        </w:rPr>
        <w:t>sentido literal,</w:t>
      </w:r>
      <w:r w:rsidR="00306827" w:rsidRPr="00B033A8">
        <w:rPr>
          <w:rFonts w:cs="Times New Roman"/>
        </w:rPr>
        <w:t xml:space="preserve"> la expresión “ilícitamente”</w:t>
      </w:r>
      <w:r w:rsidR="00167173" w:rsidRPr="00B033A8">
        <w:rPr>
          <w:rFonts w:cs="Times New Roman"/>
        </w:rPr>
        <w:t xml:space="preserve"> </w:t>
      </w:r>
      <w:r w:rsidR="00306827" w:rsidRPr="00B033A8">
        <w:rPr>
          <w:rFonts w:cs="Times New Roman"/>
        </w:rPr>
        <w:t xml:space="preserve">se refiere a </w:t>
      </w:r>
      <w:r w:rsidR="00572D22" w:rsidRPr="00B033A8">
        <w:rPr>
          <w:rFonts w:cs="Times New Roman"/>
        </w:rPr>
        <w:t>“una acción u omisión que se realiza de manera ilícita, a saber, en sentido no permitido legalmente o en contravía de las normas pertinentes”</w:t>
      </w:r>
      <w:r w:rsidR="00572D22" w:rsidRPr="00B033A8">
        <w:rPr>
          <w:rFonts w:cs="Times New Roman"/>
          <w:vertAlign w:val="superscript"/>
        </w:rPr>
        <w:footnoteReference w:id="33"/>
      </w:r>
      <w:r w:rsidR="00572D22" w:rsidRPr="00B033A8">
        <w:rPr>
          <w:rFonts w:cs="Times New Roman"/>
        </w:rPr>
        <w:t xml:space="preserve">. </w:t>
      </w:r>
      <w:r w:rsidR="00306827" w:rsidRPr="00B033A8">
        <w:rPr>
          <w:rFonts w:cs="Times New Roman"/>
        </w:rPr>
        <w:t>Por otro lado</w:t>
      </w:r>
      <w:r w:rsidR="00EC5B5B" w:rsidRPr="00B033A8">
        <w:rPr>
          <w:rFonts w:cs="Times New Roman"/>
        </w:rPr>
        <w:t>,</w:t>
      </w:r>
      <w:r w:rsidR="00572D22" w:rsidRPr="00B033A8">
        <w:rPr>
          <w:rFonts w:cs="Times New Roman"/>
        </w:rPr>
        <w:t xml:space="preserve"> el verbo </w:t>
      </w:r>
      <w:r w:rsidR="00B95D11" w:rsidRPr="00B033A8">
        <w:rPr>
          <w:rFonts w:cs="Times New Roman"/>
        </w:rPr>
        <w:t xml:space="preserve">rector </w:t>
      </w:r>
      <w:r w:rsidR="00306827" w:rsidRPr="00B033A8">
        <w:rPr>
          <w:rFonts w:cs="Times New Roman"/>
        </w:rPr>
        <w:t xml:space="preserve">del tipo penal </w:t>
      </w:r>
      <w:r w:rsidR="00463E21" w:rsidRPr="00B033A8">
        <w:rPr>
          <w:rFonts w:cs="Times New Roman"/>
        </w:rPr>
        <w:t>–</w:t>
      </w:r>
      <w:r w:rsidR="00572D22" w:rsidRPr="00B033A8">
        <w:rPr>
          <w:rFonts w:cs="Times New Roman"/>
        </w:rPr>
        <w:t>“concertar”</w:t>
      </w:r>
      <w:r w:rsidR="00463E21" w:rsidRPr="00B033A8">
        <w:rPr>
          <w:rFonts w:cs="Times New Roman"/>
        </w:rPr>
        <w:t>–</w:t>
      </w:r>
      <w:r w:rsidR="00572D22" w:rsidRPr="00B033A8">
        <w:rPr>
          <w:rFonts w:cs="Times New Roman"/>
        </w:rPr>
        <w:t xml:space="preserve"> permite </w:t>
      </w:r>
      <w:r w:rsidR="00516345" w:rsidRPr="00B033A8">
        <w:rPr>
          <w:rFonts w:cs="Times New Roman"/>
        </w:rPr>
        <w:t>inferir</w:t>
      </w:r>
      <w:r w:rsidR="00572D22" w:rsidRPr="00B033A8">
        <w:rPr>
          <w:rFonts w:cs="Times New Roman"/>
        </w:rPr>
        <w:t xml:space="preserve"> que quienes “pacten, contravengan, acuerden o arreglen de cualquier manera, una o más conductas cuyo fin sea el de alterar ilegalmente el procedimiento contractual de algunos procesos de contratación con el Estado, dolosamente representando un resultado jurídicamente ilícito, incurrirán en el tipo penal”</w:t>
      </w:r>
      <w:r w:rsidR="00572D22" w:rsidRPr="00B033A8">
        <w:rPr>
          <w:rFonts w:cs="Times New Roman"/>
          <w:vertAlign w:val="superscript"/>
        </w:rPr>
        <w:footnoteReference w:id="34"/>
      </w:r>
      <w:r w:rsidR="00572D22" w:rsidRPr="00B033A8">
        <w:rPr>
          <w:rFonts w:cs="Times New Roman"/>
        </w:rPr>
        <w:t xml:space="preserve">. </w:t>
      </w:r>
    </w:p>
    <w:p w14:paraId="62B3E686" w14:textId="525A3C8D" w:rsidR="00AF1CED" w:rsidRPr="00B033A8" w:rsidRDefault="00AF1CED" w:rsidP="00776641">
      <w:pPr>
        <w:tabs>
          <w:tab w:val="left" w:pos="567"/>
        </w:tabs>
        <w:rPr>
          <w:rFonts w:cs="Times New Roman"/>
        </w:rPr>
      </w:pPr>
    </w:p>
    <w:p w14:paraId="39705BC2" w14:textId="45FE8B9B" w:rsidR="00413B00" w:rsidRPr="00B033A8" w:rsidRDefault="00AF1CED" w:rsidP="00776641">
      <w:pPr>
        <w:numPr>
          <w:ilvl w:val="0"/>
          <w:numId w:val="12"/>
        </w:numPr>
        <w:tabs>
          <w:tab w:val="left" w:pos="567"/>
        </w:tabs>
        <w:ind w:left="0" w:firstLine="0"/>
        <w:rPr>
          <w:rFonts w:cs="Times New Roman"/>
        </w:rPr>
      </w:pPr>
      <w:r w:rsidRPr="00B033A8">
        <w:rPr>
          <w:rFonts w:cs="Times New Roman"/>
          <w:u w:val="single"/>
        </w:rPr>
        <w:t>Segundo</w:t>
      </w:r>
      <w:r w:rsidRPr="00B033A8">
        <w:rPr>
          <w:rFonts w:cs="Times New Roman"/>
        </w:rPr>
        <w:t xml:space="preserve">. </w:t>
      </w:r>
      <w:r w:rsidR="005764B1" w:rsidRPr="00B033A8">
        <w:rPr>
          <w:rFonts w:cs="Times New Roman"/>
        </w:rPr>
        <w:t xml:space="preserve">En cualquier caso, aun si se aceptara que la norma prevé un tipo </w:t>
      </w:r>
      <w:r w:rsidR="00B3710D" w:rsidRPr="00B033A8">
        <w:rPr>
          <w:rFonts w:cs="Times New Roman"/>
        </w:rPr>
        <w:t xml:space="preserve">penal </w:t>
      </w:r>
      <w:r w:rsidR="005764B1" w:rsidRPr="00B033A8">
        <w:rPr>
          <w:rFonts w:cs="Times New Roman"/>
        </w:rPr>
        <w:t>en blanco</w:t>
      </w:r>
      <w:r w:rsidR="00B3710D" w:rsidRPr="00B033A8">
        <w:rPr>
          <w:rFonts w:cs="Times New Roman"/>
        </w:rPr>
        <w:t xml:space="preserve"> o “abierto”</w:t>
      </w:r>
      <w:r w:rsidR="005764B1" w:rsidRPr="00B033A8">
        <w:rPr>
          <w:rFonts w:cs="Times New Roman"/>
        </w:rPr>
        <w:t xml:space="preserve">, la tipificación de la conducta </w:t>
      </w:r>
      <w:r w:rsidR="00BE6398" w:rsidRPr="00B033A8">
        <w:rPr>
          <w:rFonts w:cs="Times New Roman"/>
        </w:rPr>
        <w:t xml:space="preserve">no desconoce el principio de </w:t>
      </w:r>
      <w:r w:rsidR="00F20FEC" w:rsidRPr="00B033A8">
        <w:rPr>
          <w:rFonts w:cs="Times New Roman"/>
        </w:rPr>
        <w:t>legalidad estricta</w:t>
      </w:r>
      <w:r w:rsidR="005764B1" w:rsidRPr="00B033A8">
        <w:rPr>
          <w:rFonts w:cs="Times New Roman"/>
        </w:rPr>
        <w:t xml:space="preserve">. </w:t>
      </w:r>
      <w:r w:rsidR="00BE6398" w:rsidRPr="00B033A8">
        <w:rPr>
          <w:rFonts w:cs="Times New Roman"/>
        </w:rPr>
        <w:t xml:space="preserve">Según los intervinientes, la Corte Constitucional </w:t>
      </w:r>
      <w:r w:rsidR="00BE6398" w:rsidRPr="00B033A8">
        <w:rPr>
          <w:rFonts w:cs="Times New Roman"/>
        </w:rPr>
        <w:lastRenderedPageBreak/>
        <w:t>ha señalado que los tipos penales en blanco o abiertos “son constitucionalmente válidos siempre y cuando su amplitud se justifique en la naturaleza de la conducta penalizada, la indeterminación sea moderada y existan referencias en el ámbito jurídico que permitan precisar su contenido y alcance”</w:t>
      </w:r>
      <w:r w:rsidR="006F39E5" w:rsidRPr="00B033A8">
        <w:rPr>
          <w:rStyle w:val="Refdenotaalpie"/>
          <w:rFonts w:cs="Times New Roman"/>
        </w:rPr>
        <w:footnoteReference w:id="35"/>
      </w:r>
      <w:r w:rsidR="00BE6398" w:rsidRPr="00B033A8">
        <w:rPr>
          <w:rFonts w:cs="Times New Roman"/>
        </w:rPr>
        <w:t>.</w:t>
      </w:r>
      <w:r w:rsidR="006F39E5" w:rsidRPr="00B033A8">
        <w:rPr>
          <w:rFonts w:cs="Times New Roman"/>
        </w:rPr>
        <w:t xml:space="preserve"> Según los intervinientes,</w:t>
      </w:r>
      <w:r w:rsidR="002F226A" w:rsidRPr="00B033A8">
        <w:rPr>
          <w:rFonts w:cs="Times New Roman"/>
        </w:rPr>
        <w:t xml:space="preserve"> </w:t>
      </w:r>
      <w:r w:rsidR="006F39E5" w:rsidRPr="00B033A8">
        <w:rPr>
          <w:rFonts w:cs="Times New Roman"/>
        </w:rPr>
        <w:t>l</w:t>
      </w:r>
      <w:r w:rsidR="002F226A" w:rsidRPr="00B033A8">
        <w:rPr>
          <w:rFonts w:cs="Times New Roman"/>
        </w:rPr>
        <w:t xml:space="preserve">a norma demandada satisface estos requisitos: </w:t>
      </w:r>
    </w:p>
    <w:p w14:paraId="267CE8F6" w14:textId="77777777" w:rsidR="00413B00" w:rsidRPr="00B033A8" w:rsidRDefault="00413B00" w:rsidP="00776641">
      <w:pPr>
        <w:rPr>
          <w:rFonts w:cs="Times New Roman"/>
        </w:rPr>
      </w:pPr>
    </w:p>
    <w:p w14:paraId="0470002C" w14:textId="5DC76943" w:rsidR="005D3257" w:rsidRPr="00B033A8" w:rsidRDefault="002D1551" w:rsidP="00776641">
      <w:pPr>
        <w:numPr>
          <w:ilvl w:val="1"/>
          <w:numId w:val="13"/>
        </w:numPr>
        <w:tabs>
          <w:tab w:val="left" w:pos="851"/>
        </w:tabs>
        <w:ind w:left="567"/>
        <w:rPr>
          <w:rFonts w:cs="Times New Roman"/>
        </w:rPr>
      </w:pPr>
      <w:r w:rsidRPr="00B033A8">
        <w:rPr>
          <w:rFonts w:cs="Times New Roman"/>
        </w:rPr>
        <w:t>La colusión en procesos de contratación “es una conducta que se caracteriza por ser dinámica</w:t>
      </w:r>
      <w:r w:rsidR="00A95062" w:rsidRPr="00B033A8">
        <w:rPr>
          <w:rFonts w:cs="Times New Roman"/>
        </w:rPr>
        <w:t>”</w:t>
      </w:r>
      <w:r w:rsidRPr="00B033A8">
        <w:rPr>
          <w:rFonts w:cs="Times New Roman"/>
        </w:rPr>
        <w:t xml:space="preserve">. Esto significa que la conducta objeto de estudio puede materializarse a través de diferentes actuaciones, siempre que estas sean coordinadas e idóneas. Por tanto, </w:t>
      </w:r>
      <w:r w:rsidR="00D35346" w:rsidRPr="00B033A8">
        <w:rPr>
          <w:rFonts w:cs="Times New Roman"/>
        </w:rPr>
        <w:t>“</w:t>
      </w:r>
      <w:r w:rsidRPr="00B033A8">
        <w:rPr>
          <w:rFonts w:cs="Times New Roman"/>
        </w:rPr>
        <w:t>no se limita a un conjunto específico de comportamientos o un número limitado de conductas”</w:t>
      </w:r>
      <w:r w:rsidRPr="00B033A8">
        <w:rPr>
          <w:rFonts w:cs="Times New Roman"/>
          <w:vertAlign w:val="superscript"/>
        </w:rPr>
        <w:footnoteReference w:id="36"/>
      </w:r>
      <w:r w:rsidRPr="00B033A8">
        <w:rPr>
          <w:rFonts w:cs="Times New Roman"/>
        </w:rPr>
        <w:t xml:space="preserve">. En tales términos, </w:t>
      </w:r>
      <w:r w:rsidR="00AF3E44" w:rsidRPr="00B033A8">
        <w:rPr>
          <w:rFonts w:cs="Times New Roman"/>
        </w:rPr>
        <w:t xml:space="preserve">tipificar esta conducta por medio de un tipo penal en blanco </w:t>
      </w:r>
      <w:r w:rsidR="00C037E7" w:rsidRPr="00B033A8">
        <w:rPr>
          <w:rFonts w:cs="Times New Roman"/>
        </w:rPr>
        <w:t xml:space="preserve">o </w:t>
      </w:r>
      <w:r w:rsidR="00C058AC" w:rsidRPr="00B033A8">
        <w:rPr>
          <w:rFonts w:cs="Times New Roman"/>
        </w:rPr>
        <w:t>“</w:t>
      </w:r>
      <w:r w:rsidR="00C037E7" w:rsidRPr="00B033A8">
        <w:rPr>
          <w:rFonts w:cs="Times New Roman"/>
        </w:rPr>
        <w:t xml:space="preserve">abierto” </w:t>
      </w:r>
      <w:r w:rsidR="00AF3E44" w:rsidRPr="00B033A8">
        <w:rPr>
          <w:rFonts w:cs="Times New Roman"/>
        </w:rPr>
        <w:t xml:space="preserve">es una opción regulatoria que </w:t>
      </w:r>
      <w:r w:rsidRPr="00B033A8">
        <w:rPr>
          <w:rFonts w:cs="Times New Roman"/>
        </w:rPr>
        <w:t>“permite que la ley se adapte a las distintas formas de colusión que puedan surgir, al tiempo que garantiza que las prácticas que afectan negativamente la transparencia y la competencia en los procesos de selección sean sancionadas de manera efectiva”</w:t>
      </w:r>
      <w:r w:rsidRPr="00B033A8">
        <w:rPr>
          <w:rFonts w:cs="Times New Roman"/>
          <w:vertAlign w:val="superscript"/>
        </w:rPr>
        <w:footnoteReference w:id="37"/>
      </w:r>
      <w:r w:rsidRPr="00B033A8">
        <w:rPr>
          <w:rFonts w:cs="Times New Roman"/>
        </w:rPr>
        <w:t>.</w:t>
      </w:r>
      <w:r w:rsidR="00B035C2" w:rsidRPr="00B033A8">
        <w:rPr>
          <w:rFonts w:cs="Times New Roman"/>
        </w:rPr>
        <w:t xml:space="preserve"> </w:t>
      </w:r>
    </w:p>
    <w:p w14:paraId="039867FF" w14:textId="0C79A961" w:rsidR="005D3257" w:rsidRPr="00B033A8" w:rsidRDefault="005D3257" w:rsidP="00776641">
      <w:pPr>
        <w:numPr>
          <w:ilvl w:val="1"/>
          <w:numId w:val="13"/>
        </w:numPr>
        <w:tabs>
          <w:tab w:val="left" w:pos="851"/>
        </w:tabs>
        <w:ind w:left="567"/>
        <w:rPr>
          <w:rFonts w:cs="Times New Roman"/>
        </w:rPr>
      </w:pPr>
      <w:r w:rsidRPr="00B033A8">
        <w:rPr>
          <w:rFonts w:cs="Times New Roman"/>
        </w:rPr>
        <w:t>La presunta indeterminación semántica de la expresión “alterar ilícitamente”, es “superable</w:t>
      </w:r>
      <w:r w:rsidR="00B104A1" w:rsidRPr="00B033A8">
        <w:rPr>
          <w:rFonts w:cs="Times New Roman"/>
        </w:rPr>
        <w:t>”</w:t>
      </w:r>
      <w:r w:rsidRPr="00B033A8">
        <w:rPr>
          <w:rFonts w:cs="Times New Roman"/>
          <w:vertAlign w:val="superscript"/>
        </w:rPr>
        <w:footnoteReference w:id="38"/>
      </w:r>
      <w:r w:rsidRPr="00B033A8">
        <w:rPr>
          <w:rFonts w:cs="Times New Roman"/>
        </w:rPr>
        <w:t xml:space="preserve"> a partir de una interpretación del tipo penal en conjunto con las normas que regulan la </w:t>
      </w:r>
      <w:r w:rsidR="000B5537" w:rsidRPr="00B033A8">
        <w:rPr>
          <w:rFonts w:cs="Times New Roman"/>
        </w:rPr>
        <w:t xml:space="preserve">protección de la </w:t>
      </w:r>
      <w:r w:rsidRPr="00B033A8">
        <w:rPr>
          <w:rFonts w:cs="Times New Roman"/>
        </w:rPr>
        <w:t>libre competencia</w:t>
      </w:r>
      <w:r w:rsidRPr="00B033A8">
        <w:rPr>
          <w:rStyle w:val="Refdenotaalpie"/>
          <w:rFonts w:cs="Times New Roman"/>
        </w:rPr>
        <w:footnoteReference w:id="39"/>
      </w:r>
      <w:r w:rsidRPr="00B033A8">
        <w:rPr>
          <w:rFonts w:cs="Times New Roman"/>
        </w:rPr>
        <w:t>. Lo</w:t>
      </w:r>
      <w:r w:rsidR="00B104A1" w:rsidRPr="00B033A8">
        <w:rPr>
          <w:rFonts w:cs="Times New Roman"/>
        </w:rPr>
        <w:t>s</w:t>
      </w:r>
      <w:r w:rsidRPr="00B033A8">
        <w:rPr>
          <w:rFonts w:cs="Times New Roman"/>
        </w:rPr>
        <w:t xml:space="preserve"> intervinientes sostienen que los artículos 45 y 47.9 del Decreto 2153 de 1992 prohíben los “acuerdos restrictivos a la competencia”. En este sentido, consideran que es posible interpretar que la conducta “ilícita” que la norma sanciona es, justamente, todo acuerdo restrictivo o colusorio que sea </w:t>
      </w:r>
      <w:r w:rsidRPr="00B033A8">
        <w:rPr>
          <w:rFonts w:cs="Times New Roman"/>
          <w:lang w:val="es-MX"/>
        </w:rPr>
        <w:t>ilegal “bajo las normas que regulan el derecho de la competencia”</w:t>
      </w:r>
      <w:r w:rsidRPr="00B033A8">
        <w:rPr>
          <w:rFonts w:cs="Times New Roman"/>
          <w:vertAlign w:val="superscript"/>
          <w:lang w:val="es-MX"/>
        </w:rPr>
        <w:footnoteReference w:id="40"/>
      </w:r>
      <w:r w:rsidRPr="00B033A8">
        <w:rPr>
          <w:rFonts w:cs="Times New Roman"/>
          <w:lang w:val="es-MX"/>
        </w:rPr>
        <w:t xml:space="preserve">. Por lo demás, señalan los intervinientes, </w:t>
      </w:r>
      <w:r w:rsidRPr="00B033A8">
        <w:rPr>
          <w:rFonts w:cs="Times New Roman"/>
        </w:rPr>
        <w:t xml:space="preserve">la gama de conductas que implican una “alteración ilícita” está delimitada razonablemente por el marco normativo del derecho a la competencia. Esto, porque la SIC y el Consejo de Estado han </w:t>
      </w:r>
      <w:r w:rsidRPr="00B033A8">
        <w:rPr>
          <w:rFonts w:cs="Times New Roman"/>
          <w:i/>
          <w:iCs/>
        </w:rPr>
        <w:t xml:space="preserve">(i) </w:t>
      </w:r>
      <w:r w:rsidRPr="00B033A8">
        <w:rPr>
          <w:rFonts w:cs="Times New Roman"/>
        </w:rPr>
        <w:t>definido la colusión en los procesos de contratación pública como aquella que se produce cuando “las empresas que están llamadas a competir acuerdan eliminar o reducir las presiones competitivas a las que deberían estar sometidas”</w:t>
      </w:r>
      <w:r w:rsidRPr="00B033A8">
        <w:rPr>
          <w:rFonts w:cs="Times New Roman"/>
          <w:vertAlign w:val="superscript"/>
        </w:rPr>
        <w:footnoteReference w:id="41"/>
      </w:r>
      <w:r w:rsidRPr="00B033A8">
        <w:rPr>
          <w:rFonts w:cs="Times New Roman"/>
        </w:rPr>
        <w:t xml:space="preserve"> </w:t>
      </w:r>
      <w:r w:rsidR="00C20C60" w:rsidRPr="00B033A8">
        <w:rPr>
          <w:rFonts w:cs="Times New Roman"/>
        </w:rPr>
        <w:t>y</w:t>
      </w:r>
      <w:r w:rsidRPr="00B033A8">
        <w:rPr>
          <w:rFonts w:cs="Times New Roman"/>
        </w:rPr>
        <w:t xml:space="preserve"> </w:t>
      </w:r>
      <w:r w:rsidRPr="00B033A8">
        <w:rPr>
          <w:rFonts w:cs="Times New Roman"/>
          <w:i/>
          <w:iCs/>
        </w:rPr>
        <w:t>(</w:t>
      </w:r>
      <w:proofErr w:type="spellStart"/>
      <w:r w:rsidRPr="00B033A8">
        <w:rPr>
          <w:rFonts w:cs="Times New Roman"/>
          <w:i/>
          <w:iCs/>
        </w:rPr>
        <w:t>ii</w:t>
      </w:r>
      <w:proofErr w:type="spellEnd"/>
      <w:r w:rsidRPr="00B033A8">
        <w:rPr>
          <w:rFonts w:cs="Times New Roman"/>
          <w:i/>
          <w:iCs/>
        </w:rPr>
        <w:t>)</w:t>
      </w:r>
      <w:r w:rsidRPr="00B033A8">
        <w:rPr>
          <w:rFonts w:cs="Times New Roman"/>
        </w:rPr>
        <w:t xml:space="preserve"> identificado un listado no taxativo de conductas anticompetitivas en materia de contratación estatal</w:t>
      </w:r>
      <w:r w:rsidRPr="00B033A8">
        <w:rPr>
          <w:rFonts w:cs="Times New Roman"/>
          <w:vertAlign w:val="superscript"/>
        </w:rPr>
        <w:footnoteReference w:id="42"/>
      </w:r>
      <w:r w:rsidRPr="00B033A8">
        <w:rPr>
          <w:rFonts w:cs="Times New Roman"/>
        </w:rPr>
        <w:t xml:space="preserve">. </w:t>
      </w:r>
    </w:p>
    <w:p w14:paraId="7CD585CF" w14:textId="77777777" w:rsidR="003370C3" w:rsidRPr="00B033A8" w:rsidRDefault="003370C3" w:rsidP="00776641">
      <w:pPr>
        <w:tabs>
          <w:tab w:val="left" w:pos="851"/>
        </w:tabs>
        <w:ind w:left="567"/>
        <w:rPr>
          <w:rFonts w:cs="Times New Roman"/>
        </w:rPr>
      </w:pPr>
    </w:p>
    <w:p w14:paraId="78B01A09" w14:textId="24A0A8D1" w:rsidR="00FC1F08" w:rsidRPr="00B033A8" w:rsidRDefault="00791D2B" w:rsidP="00776641">
      <w:pPr>
        <w:numPr>
          <w:ilvl w:val="0"/>
          <w:numId w:val="12"/>
        </w:numPr>
        <w:tabs>
          <w:tab w:val="left" w:pos="567"/>
        </w:tabs>
        <w:ind w:left="0" w:firstLine="0"/>
        <w:rPr>
          <w:rFonts w:cs="Times New Roman"/>
        </w:rPr>
      </w:pPr>
      <w:r w:rsidRPr="00B033A8">
        <w:rPr>
          <w:rFonts w:cs="Times New Roman"/>
          <w:u w:val="single"/>
        </w:rPr>
        <w:lastRenderedPageBreak/>
        <w:t>Tercero</w:t>
      </w:r>
      <w:r w:rsidRPr="00B033A8">
        <w:rPr>
          <w:rFonts w:cs="Times New Roman"/>
        </w:rPr>
        <w:t xml:space="preserve">. </w:t>
      </w:r>
      <w:r w:rsidR="00500C45" w:rsidRPr="00B033A8">
        <w:rPr>
          <w:rFonts w:cs="Times New Roman"/>
        </w:rPr>
        <w:t>El establecimiento de un tipo penal que sancione los acuerdos colusorios</w:t>
      </w:r>
      <w:r w:rsidR="00500C45" w:rsidRPr="00B033A8">
        <w:rPr>
          <w:rFonts w:cs="Times New Roman"/>
          <w:vertAlign w:val="superscript"/>
        </w:rPr>
        <w:footnoteReference w:id="43"/>
      </w:r>
      <w:r w:rsidR="00500C45" w:rsidRPr="00B033A8">
        <w:rPr>
          <w:rFonts w:cs="Times New Roman"/>
        </w:rPr>
        <w:t xml:space="preserve"> en los procedimientos contractuales públicos es indispensable “para garantizar la integridad y el buen funcionamiento del mercado competitivo”</w:t>
      </w:r>
      <w:r w:rsidR="00500C45" w:rsidRPr="00B033A8">
        <w:rPr>
          <w:rFonts w:cs="Times New Roman"/>
          <w:vertAlign w:val="superscript"/>
        </w:rPr>
        <w:footnoteReference w:id="44"/>
      </w:r>
      <w:r w:rsidR="00500C45" w:rsidRPr="00B033A8">
        <w:rPr>
          <w:rFonts w:cs="Times New Roman"/>
        </w:rPr>
        <w:t xml:space="preserve">. Lo anterior, habida cuenta de que </w:t>
      </w:r>
      <w:r w:rsidR="00500C45" w:rsidRPr="00B033A8">
        <w:rPr>
          <w:rFonts w:cs="Times New Roman"/>
          <w:i/>
          <w:iCs/>
        </w:rPr>
        <w:t>(i)</w:t>
      </w:r>
      <w:r w:rsidR="00500C45" w:rsidRPr="00B033A8">
        <w:rPr>
          <w:rFonts w:cs="Times New Roman"/>
        </w:rPr>
        <w:t xml:space="preserve"> el sistema de contratación pública es “especialmente vulnerable a las prácticas colusorias entre proponentes, lo que a su vez justifica la necesidad de un marco represivo” y </w:t>
      </w:r>
      <w:r w:rsidR="00500C45" w:rsidRPr="00B033A8">
        <w:rPr>
          <w:rFonts w:cs="Times New Roman"/>
          <w:i/>
          <w:iCs/>
        </w:rPr>
        <w:t>(</w:t>
      </w:r>
      <w:proofErr w:type="spellStart"/>
      <w:r w:rsidR="00500C45" w:rsidRPr="00B033A8">
        <w:rPr>
          <w:rFonts w:cs="Times New Roman"/>
          <w:i/>
          <w:iCs/>
        </w:rPr>
        <w:t>ii</w:t>
      </w:r>
      <w:proofErr w:type="spellEnd"/>
      <w:r w:rsidR="00500C45" w:rsidRPr="00B033A8">
        <w:rPr>
          <w:rFonts w:cs="Times New Roman"/>
          <w:i/>
          <w:iCs/>
        </w:rPr>
        <w:t>)</w:t>
      </w:r>
      <w:r w:rsidR="00500C45" w:rsidRPr="00B033A8">
        <w:rPr>
          <w:rFonts w:cs="Times New Roman"/>
        </w:rPr>
        <w:t xml:space="preserve"> cuando los procesos de selección son manipulados mediante colusión, “se produce un uso ineficiente de los recursos públicos. Los fondos destinados a obras, bienes o servicios se desvían hacia los bolsillos de los oferentes que han formado parte de la colusión, afectando negativamente el bienestar general</w:t>
      </w:r>
      <w:r w:rsidR="005D3257" w:rsidRPr="00B033A8">
        <w:rPr>
          <w:rFonts w:cs="Times New Roman"/>
        </w:rPr>
        <w:t>”.</w:t>
      </w:r>
      <w:r w:rsidR="00500C45" w:rsidRPr="00B033A8">
        <w:rPr>
          <w:rFonts w:cs="Times New Roman"/>
        </w:rPr>
        <w:t xml:space="preserve"> Esta manipulación </w:t>
      </w:r>
      <w:r w:rsidR="005D3257" w:rsidRPr="00B033A8">
        <w:rPr>
          <w:rFonts w:cs="Times New Roman"/>
        </w:rPr>
        <w:t>“</w:t>
      </w:r>
      <w:r w:rsidR="00500C45" w:rsidRPr="00B033A8">
        <w:rPr>
          <w:rFonts w:cs="Times New Roman"/>
        </w:rPr>
        <w:t>no solo perjudica al Estado, que actúa como un importante agente económico en el mercado, sino que también provoca distorsiones significativas en el sistema de mercado en general”</w:t>
      </w:r>
      <w:r w:rsidR="00500C45" w:rsidRPr="00B033A8">
        <w:rPr>
          <w:rFonts w:cs="Times New Roman"/>
          <w:vertAlign w:val="superscript"/>
        </w:rPr>
        <w:footnoteReference w:id="45"/>
      </w:r>
      <w:r w:rsidR="00500C45" w:rsidRPr="00B033A8">
        <w:rPr>
          <w:rFonts w:cs="Times New Roman"/>
        </w:rPr>
        <w:t xml:space="preserve">. En este sentido, </w:t>
      </w:r>
      <w:r w:rsidR="00F20FEC" w:rsidRPr="00B033A8">
        <w:rPr>
          <w:rFonts w:cs="Times New Roman"/>
        </w:rPr>
        <w:t xml:space="preserve">concluyen que </w:t>
      </w:r>
      <w:r w:rsidR="00500C45" w:rsidRPr="00B033A8">
        <w:rPr>
          <w:rFonts w:cs="Times New Roman"/>
        </w:rPr>
        <w:t>“el tipo penal establecido en el artículo 410A funciona como una medida punitiva que complementa las sanciones administrativas aplicables por la Superintendencia de Industria y Comercio”.</w:t>
      </w:r>
      <w:r w:rsidR="00AD1F5F" w:rsidRPr="00B033A8">
        <w:rPr>
          <w:rFonts w:cs="Times New Roman"/>
        </w:rPr>
        <w:t xml:space="preserve"> Por lo demás, sostienen los intervinientes, </w:t>
      </w:r>
      <w:r w:rsidR="00BF759D" w:rsidRPr="00B033A8">
        <w:rPr>
          <w:rFonts w:cs="Times New Roman"/>
        </w:rPr>
        <w:t>este tipo de conducta ha sido tipificada en múltiples jurisdicciones</w:t>
      </w:r>
      <w:r w:rsidR="00BF759D" w:rsidRPr="00B033A8">
        <w:rPr>
          <w:rStyle w:val="Refdenotaalpie"/>
          <w:rFonts w:cs="Times New Roman"/>
        </w:rPr>
        <w:footnoteReference w:id="46"/>
      </w:r>
      <w:r w:rsidR="00BF759D" w:rsidRPr="00B033A8">
        <w:rPr>
          <w:rFonts w:cs="Times New Roman"/>
        </w:rPr>
        <w:t xml:space="preserve">. </w:t>
      </w:r>
    </w:p>
    <w:p w14:paraId="36C14D95" w14:textId="77777777" w:rsidR="00C058AC" w:rsidRPr="00B033A8" w:rsidRDefault="00C058AC" w:rsidP="00776641">
      <w:pPr>
        <w:tabs>
          <w:tab w:val="left" w:pos="567"/>
        </w:tabs>
        <w:rPr>
          <w:rFonts w:cs="Times New Roman"/>
        </w:rPr>
      </w:pPr>
    </w:p>
    <w:p w14:paraId="211D2D89" w14:textId="527A357A" w:rsidR="00FC1F08" w:rsidRPr="00B033A8" w:rsidRDefault="001C6DF4" w:rsidP="00776641">
      <w:pPr>
        <w:pStyle w:val="Ttulo3"/>
        <w:numPr>
          <w:ilvl w:val="1"/>
          <w:numId w:val="14"/>
        </w:numPr>
        <w:spacing w:before="0"/>
        <w:rPr>
          <w:rFonts w:cs="Times New Roman"/>
        </w:rPr>
      </w:pPr>
      <w:r w:rsidRPr="00B033A8">
        <w:rPr>
          <w:rFonts w:cs="Times New Roman"/>
        </w:rPr>
        <w:t xml:space="preserve">Intervenciones que solicitan la </w:t>
      </w:r>
      <w:proofErr w:type="spellStart"/>
      <w:r w:rsidR="00C058AC" w:rsidRPr="00B033A8">
        <w:rPr>
          <w:rFonts w:cs="Times New Roman"/>
        </w:rPr>
        <w:t>in</w:t>
      </w:r>
      <w:r w:rsidRPr="00B033A8">
        <w:rPr>
          <w:rFonts w:cs="Times New Roman"/>
        </w:rPr>
        <w:t>exequibilidad</w:t>
      </w:r>
      <w:proofErr w:type="spellEnd"/>
      <w:r w:rsidRPr="00B033A8">
        <w:rPr>
          <w:rFonts w:cs="Times New Roman"/>
        </w:rPr>
        <w:t xml:space="preserve"> de la norma</w:t>
      </w:r>
    </w:p>
    <w:p w14:paraId="3A4426AD" w14:textId="77777777" w:rsidR="00FC1F08" w:rsidRPr="00B033A8" w:rsidRDefault="00FC1F08" w:rsidP="00776641">
      <w:pPr>
        <w:tabs>
          <w:tab w:val="left" w:pos="567"/>
        </w:tabs>
        <w:rPr>
          <w:rFonts w:cs="Times New Roman"/>
        </w:rPr>
      </w:pPr>
    </w:p>
    <w:p w14:paraId="64A0B36A" w14:textId="661C04F9" w:rsidR="00BE2670" w:rsidRPr="00B033A8" w:rsidRDefault="00BE2670" w:rsidP="00776641">
      <w:pPr>
        <w:numPr>
          <w:ilvl w:val="0"/>
          <w:numId w:val="12"/>
        </w:numPr>
        <w:tabs>
          <w:tab w:val="left" w:pos="567"/>
        </w:tabs>
        <w:ind w:left="0" w:firstLine="0"/>
        <w:rPr>
          <w:rFonts w:cs="Times New Roman"/>
        </w:rPr>
      </w:pPr>
      <w:r w:rsidRPr="00B033A8">
        <w:rPr>
          <w:rFonts w:cs="Times New Roman"/>
        </w:rPr>
        <w:t>El Instituto Colombiano de Derecho Procesal, la Universidad Externado, la Fundación Jurídica Proyecto Inocencia y el Colegio de Abogados Penalistas</w:t>
      </w:r>
      <w:r w:rsidRPr="00B033A8">
        <w:rPr>
          <w:rFonts w:cs="Times New Roman"/>
          <w:vertAlign w:val="superscript"/>
        </w:rPr>
        <w:t xml:space="preserve"> </w:t>
      </w:r>
      <w:r w:rsidR="00EA7B07" w:rsidRPr="00B033A8">
        <w:rPr>
          <w:rFonts w:cs="Times New Roman"/>
        </w:rPr>
        <w:t>sostienen</w:t>
      </w:r>
      <w:r w:rsidR="0003502D" w:rsidRPr="00B033A8">
        <w:rPr>
          <w:rFonts w:cs="Times New Roman"/>
        </w:rPr>
        <w:t xml:space="preserve"> </w:t>
      </w:r>
      <w:r w:rsidR="00920F6F" w:rsidRPr="00B033A8">
        <w:rPr>
          <w:rFonts w:cs="Times New Roman"/>
        </w:rPr>
        <w:t xml:space="preserve">que la norma acusada vulnera el </w:t>
      </w:r>
      <w:r w:rsidR="007E7465" w:rsidRPr="00B033A8">
        <w:rPr>
          <w:rFonts w:cs="Times New Roman"/>
        </w:rPr>
        <w:t xml:space="preserve">principio de </w:t>
      </w:r>
      <w:r w:rsidR="00BC6A4C" w:rsidRPr="00B033A8">
        <w:rPr>
          <w:rFonts w:cs="Times New Roman"/>
        </w:rPr>
        <w:t>legalidad</w:t>
      </w:r>
      <w:r w:rsidR="007E7465" w:rsidRPr="00B033A8">
        <w:rPr>
          <w:rFonts w:cs="Times New Roman"/>
        </w:rPr>
        <w:t xml:space="preserve"> estricta (</w:t>
      </w:r>
      <w:r w:rsidR="00920F6F" w:rsidRPr="00B033A8">
        <w:rPr>
          <w:rFonts w:cs="Times New Roman"/>
        </w:rPr>
        <w:t>art</w:t>
      </w:r>
      <w:r w:rsidR="00CA692C" w:rsidRPr="00B033A8">
        <w:rPr>
          <w:rFonts w:cs="Times New Roman"/>
        </w:rPr>
        <w:t>s</w:t>
      </w:r>
      <w:r w:rsidR="007E7465" w:rsidRPr="00B033A8">
        <w:rPr>
          <w:rFonts w:cs="Times New Roman"/>
        </w:rPr>
        <w:t>.</w:t>
      </w:r>
      <w:r w:rsidR="00CA692C" w:rsidRPr="00B033A8">
        <w:rPr>
          <w:rFonts w:cs="Times New Roman"/>
        </w:rPr>
        <w:t xml:space="preserve"> 6, 28 y</w:t>
      </w:r>
      <w:r w:rsidR="00920F6F" w:rsidRPr="00B033A8">
        <w:rPr>
          <w:rFonts w:cs="Times New Roman"/>
        </w:rPr>
        <w:t xml:space="preserve"> 29 de la C</w:t>
      </w:r>
      <w:r w:rsidR="007E7465" w:rsidRPr="00B033A8">
        <w:rPr>
          <w:rFonts w:cs="Times New Roman"/>
        </w:rPr>
        <w:t>P)</w:t>
      </w:r>
      <w:r w:rsidR="00920F6F" w:rsidRPr="00B033A8">
        <w:rPr>
          <w:rFonts w:cs="Times New Roman"/>
        </w:rPr>
        <w:t xml:space="preserve"> y</w:t>
      </w:r>
      <w:r w:rsidRPr="00B033A8">
        <w:rPr>
          <w:rFonts w:cs="Times New Roman"/>
        </w:rPr>
        <w:t>, por lo tanto,</w:t>
      </w:r>
      <w:r w:rsidR="00920F6F" w:rsidRPr="00B033A8">
        <w:rPr>
          <w:rFonts w:cs="Times New Roman"/>
        </w:rPr>
        <w:t xml:space="preserve"> </w:t>
      </w:r>
      <w:r w:rsidR="00EA7B07" w:rsidRPr="00B033A8">
        <w:rPr>
          <w:rFonts w:cs="Times New Roman"/>
        </w:rPr>
        <w:t>debe ser declarada inexequible</w:t>
      </w:r>
      <w:r w:rsidR="00CA086E" w:rsidRPr="00B033A8">
        <w:rPr>
          <w:rFonts w:cs="Times New Roman"/>
        </w:rPr>
        <w:t>.</w:t>
      </w:r>
      <w:r w:rsidR="00920F6F" w:rsidRPr="00B033A8">
        <w:rPr>
          <w:rFonts w:cs="Times New Roman"/>
        </w:rPr>
        <w:t xml:space="preserve"> </w:t>
      </w:r>
      <w:r w:rsidR="00820735" w:rsidRPr="00B033A8">
        <w:rPr>
          <w:rFonts w:cs="Times New Roman"/>
        </w:rPr>
        <w:t xml:space="preserve">Al respecto, presentan </w:t>
      </w:r>
      <w:r w:rsidR="00961766" w:rsidRPr="00B033A8">
        <w:rPr>
          <w:rFonts w:cs="Times New Roman"/>
        </w:rPr>
        <w:t>cinco</w:t>
      </w:r>
      <w:r w:rsidR="00820735" w:rsidRPr="00B033A8">
        <w:rPr>
          <w:rFonts w:cs="Times New Roman"/>
        </w:rPr>
        <w:t xml:space="preserve"> argumentos:</w:t>
      </w:r>
    </w:p>
    <w:p w14:paraId="5BEAF245" w14:textId="77777777" w:rsidR="00BE2670" w:rsidRPr="00B033A8" w:rsidRDefault="00BE2670" w:rsidP="00776641">
      <w:pPr>
        <w:tabs>
          <w:tab w:val="left" w:pos="567"/>
        </w:tabs>
        <w:rPr>
          <w:rFonts w:cs="Times New Roman"/>
        </w:rPr>
      </w:pPr>
    </w:p>
    <w:p w14:paraId="1934AA98" w14:textId="305A7633" w:rsidR="00572774" w:rsidRPr="00B033A8" w:rsidRDefault="00572774" w:rsidP="00776641">
      <w:pPr>
        <w:numPr>
          <w:ilvl w:val="0"/>
          <w:numId w:val="12"/>
        </w:numPr>
        <w:tabs>
          <w:tab w:val="left" w:pos="567"/>
        </w:tabs>
        <w:ind w:left="0" w:firstLine="0"/>
        <w:rPr>
          <w:rFonts w:cs="Times New Roman"/>
        </w:rPr>
      </w:pPr>
      <w:r w:rsidRPr="00B033A8">
        <w:rPr>
          <w:rFonts w:cs="Times New Roman"/>
          <w:u w:val="single"/>
        </w:rPr>
        <w:t>Primero</w:t>
      </w:r>
      <w:r w:rsidRPr="00B033A8">
        <w:rPr>
          <w:rFonts w:cs="Times New Roman"/>
        </w:rPr>
        <w:t xml:space="preserve">. </w:t>
      </w:r>
      <w:r w:rsidR="00820735" w:rsidRPr="00B033A8">
        <w:rPr>
          <w:rFonts w:cs="Times New Roman"/>
        </w:rPr>
        <w:t>El</w:t>
      </w:r>
      <w:r w:rsidR="005D3257" w:rsidRPr="00B033A8">
        <w:rPr>
          <w:rFonts w:cs="Times New Roman"/>
        </w:rPr>
        <w:t xml:space="preserve"> legislador no definió la </w:t>
      </w:r>
      <w:r w:rsidR="001D0084" w:rsidRPr="00B033A8">
        <w:rPr>
          <w:rFonts w:cs="Times New Roman"/>
        </w:rPr>
        <w:t>conducta sancionable de forma clara</w:t>
      </w:r>
      <w:r w:rsidR="005D3257" w:rsidRPr="00B033A8">
        <w:rPr>
          <w:rFonts w:cs="Times New Roman"/>
        </w:rPr>
        <w:t xml:space="preserve"> y completa</w:t>
      </w:r>
      <w:r w:rsidR="001D0084" w:rsidRPr="00B033A8">
        <w:rPr>
          <w:rFonts w:cs="Times New Roman"/>
        </w:rPr>
        <w:t xml:space="preserve">. </w:t>
      </w:r>
      <w:r w:rsidR="005D3257" w:rsidRPr="00B033A8">
        <w:rPr>
          <w:rFonts w:cs="Times New Roman"/>
        </w:rPr>
        <w:t>Lo</w:t>
      </w:r>
      <w:r w:rsidR="00820735" w:rsidRPr="00B033A8">
        <w:rPr>
          <w:rFonts w:cs="Times New Roman"/>
        </w:rPr>
        <w:t>s</w:t>
      </w:r>
      <w:r w:rsidR="005D3257" w:rsidRPr="00B033A8">
        <w:rPr>
          <w:rFonts w:cs="Times New Roman"/>
        </w:rPr>
        <w:t xml:space="preserve"> intervinientes coinciden con el actor en que</w:t>
      </w:r>
      <w:r w:rsidR="001D0084" w:rsidRPr="00B033A8">
        <w:rPr>
          <w:rFonts w:cs="Times New Roman"/>
        </w:rPr>
        <w:t xml:space="preserve"> la norma demandada</w:t>
      </w:r>
      <w:r w:rsidR="003B1514" w:rsidRPr="00B033A8">
        <w:rPr>
          <w:rFonts w:cs="Times New Roman"/>
        </w:rPr>
        <w:t xml:space="preserve"> “no precisa lo que se entiende por ‘alterar ilícitamente’ una licitación, subasta, selección abreviada o concurso”</w:t>
      </w:r>
      <w:r w:rsidR="003B1514" w:rsidRPr="00B033A8">
        <w:rPr>
          <w:rFonts w:cs="Times New Roman"/>
          <w:vertAlign w:val="superscript"/>
        </w:rPr>
        <w:footnoteReference w:id="47"/>
      </w:r>
      <w:r w:rsidR="003B1514" w:rsidRPr="00B033A8">
        <w:rPr>
          <w:rFonts w:cs="Times New Roman"/>
        </w:rPr>
        <w:t>. Esto afecta el debido proceso del investigado y “se presta para la arbitrariedad”</w:t>
      </w:r>
      <w:r w:rsidR="003B1514" w:rsidRPr="00B033A8">
        <w:rPr>
          <w:rFonts w:cs="Times New Roman"/>
          <w:vertAlign w:val="superscript"/>
        </w:rPr>
        <w:footnoteReference w:id="48"/>
      </w:r>
      <w:r w:rsidR="003B1514" w:rsidRPr="00B033A8">
        <w:rPr>
          <w:rFonts w:cs="Times New Roman"/>
        </w:rPr>
        <w:t xml:space="preserve">, </w:t>
      </w:r>
      <w:r w:rsidR="00B74107" w:rsidRPr="00B033A8">
        <w:rPr>
          <w:rFonts w:cs="Times New Roman"/>
        </w:rPr>
        <w:t xml:space="preserve">habida cuenta del </w:t>
      </w:r>
      <w:r w:rsidR="009F1BE8" w:rsidRPr="00B033A8">
        <w:rPr>
          <w:rFonts w:cs="Times New Roman"/>
        </w:rPr>
        <w:t xml:space="preserve">alto </w:t>
      </w:r>
      <w:r w:rsidR="00B74107" w:rsidRPr="00B033A8">
        <w:rPr>
          <w:rFonts w:cs="Times New Roman"/>
        </w:rPr>
        <w:t xml:space="preserve">grado de vaguedad de este ingrediente normativo. </w:t>
      </w:r>
      <w:r w:rsidR="006B3903" w:rsidRPr="00B033A8">
        <w:rPr>
          <w:rFonts w:cs="Times New Roman"/>
        </w:rPr>
        <w:t>Por otro lado, la redacción de la norma es equívoca porque, al señalar que la conducta sancionable</w:t>
      </w:r>
      <w:r w:rsidR="00D01D4B" w:rsidRPr="00B033A8">
        <w:rPr>
          <w:rFonts w:cs="Times New Roman"/>
        </w:rPr>
        <w:t xml:space="preserve"> consiste simplemente en “concertarse con otro con el fin de alterar ilícitamente el procedimiento contractual”, </w:t>
      </w:r>
      <w:r w:rsidR="00A85B85" w:rsidRPr="00B033A8">
        <w:rPr>
          <w:rFonts w:cs="Times New Roman"/>
        </w:rPr>
        <w:t xml:space="preserve">el legislador </w:t>
      </w:r>
      <w:r w:rsidR="006B3903" w:rsidRPr="00B033A8">
        <w:rPr>
          <w:rFonts w:cs="Times New Roman"/>
        </w:rPr>
        <w:t>sugiere que no es necesario que ninguna acción de alteración ilícita del proceso contractual se concrete o exteriorice</w:t>
      </w:r>
      <w:r w:rsidR="00D01D4B" w:rsidRPr="00B033A8">
        <w:rPr>
          <w:rFonts w:cs="Times New Roman"/>
        </w:rPr>
        <w:t>;</w:t>
      </w:r>
      <w:r w:rsidR="006B3903" w:rsidRPr="00B033A8">
        <w:rPr>
          <w:rFonts w:cs="Times New Roman"/>
        </w:rPr>
        <w:t xml:space="preserve"> basta con que </w:t>
      </w:r>
      <w:r w:rsidR="006B3903" w:rsidRPr="00B033A8">
        <w:rPr>
          <w:rFonts w:cs="Times New Roman"/>
        </w:rPr>
        <w:lastRenderedPageBreak/>
        <w:t xml:space="preserve">los sujetos activos lleven a cabo acuerdos con la finalidad de lograr </w:t>
      </w:r>
      <w:r w:rsidR="005D3257" w:rsidRPr="00B033A8">
        <w:rPr>
          <w:rFonts w:cs="Times New Roman"/>
        </w:rPr>
        <w:t>d</w:t>
      </w:r>
      <w:r w:rsidR="006B3903" w:rsidRPr="00B033A8">
        <w:rPr>
          <w:rFonts w:cs="Times New Roman"/>
        </w:rPr>
        <w:t>icha alteración</w:t>
      </w:r>
      <w:r w:rsidR="00D01D4B" w:rsidRPr="00B033A8">
        <w:rPr>
          <w:rStyle w:val="Refdenotaalpie"/>
          <w:rFonts w:cs="Times New Roman"/>
        </w:rPr>
        <w:footnoteReference w:id="49"/>
      </w:r>
      <w:r w:rsidR="006B3903" w:rsidRPr="00B033A8">
        <w:rPr>
          <w:rFonts w:cs="Times New Roman"/>
        </w:rPr>
        <w:t>.</w:t>
      </w:r>
    </w:p>
    <w:p w14:paraId="148149BC" w14:textId="77777777" w:rsidR="00572774" w:rsidRPr="00B033A8" w:rsidRDefault="00572774" w:rsidP="00776641">
      <w:pPr>
        <w:rPr>
          <w:rFonts w:cs="Times New Roman"/>
        </w:rPr>
      </w:pPr>
    </w:p>
    <w:p w14:paraId="73C5CF45" w14:textId="659486E8" w:rsidR="005312E1" w:rsidRPr="00B033A8" w:rsidRDefault="00DF61CD" w:rsidP="00776641">
      <w:pPr>
        <w:numPr>
          <w:ilvl w:val="0"/>
          <w:numId w:val="12"/>
        </w:numPr>
        <w:tabs>
          <w:tab w:val="left" w:pos="567"/>
        </w:tabs>
        <w:ind w:left="0" w:firstLine="0"/>
        <w:rPr>
          <w:rFonts w:cs="Times New Roman"/>
        </w:rPr>
      </w:pPr>
      <w:r w:rsidRPr="00B033A8">
        <w:rPr>
          <w:rFonts w:cs="Times New Roman"/>
          <w:u w:val="single"/>
        </w:rPr>
        <w:t>Segundo</w:t>
      </w:r>
      <w:r w:rsidRPr="00B033A8">
        <w:rPr>
          <w:rFonts w:cs="Times New Roman"/>
        </w:rPr>
        <w:t xml:space="preserve">. </w:t>
      </w:r>
      <w:r w:rsidR="00531DE4" w:rsidRPr="00B033A8">
        <w:rPr>
          <w:rFonts w:cs="Times New Roman"/>
        </w:rPr>
        <w:t xml:space="preserve">La remisión normativa no es </w:t>
      </w:r>
      <w:r w:rsidR="00C84D2F" w:rsidRPr="00B033A8">
        <w:rPr>
          <w:rFonts w:cs="Times New Roman"/>
        </w:rPr>
        <w:t>precisa</w:t>
      </w:r>
      <w:r w:rsidR="00DD7551" w:rsidRPr="00B033A8">
        <w:rPr>
          <w:rFonts w:cs="Times New Roman"/>
        </w:rPr>
        <w:t>, porque no es claro</w:t>
      </w:r>
      <w:r w:rsidR="00C84D2F" w:rsidRPr="00B033A8">
        <w:rPr>
          <w:rFonts w:cs="Times New Roman"/>
        </w:rPr>
        <w:t xml:space="preserve"> “cuál es la norma o conjuntos de normas que el intérprete debe emplear para completar el sentido y alcance de la disposición jurídico penal”</w:t>
      </w:r>
      <w:r w:rsidR="00FB20B6" w:rsidRPr="00B033A8">
        <w:rPr>
          <w:rFonts w:cs="Times New Roman"/>
        </w:rPr>
        <w:t xml:space="preserve"> y, en concreto, para dotar de contenido la expresión “alteración ilícita”.</w:t>
      </w:r>
      <w:r w:rsidR="00C84D2F" w:rsidRPr="00B033A8">
        <w:rPr>
          <w:rFonts w:cs="Times New Roman"/>
        </w:rPr>
        <w:t xml:space="preserve"> </w:t>
      </w:r>
      <w:r w:rsidR="00930B32" w:rsidRPr="00B033A8">
        <w:rPr>
          <w:rFonts w:cs="Times New Roman"/>
        </w:rPr>
        <w:t xml:space="preserve">Por el contrario, señalan los intervinientes, existe una contradicción entre el </w:t>
      </w:r>
      <w:proofErr w:type="spellStart"/>
      <w:r w:rsidR="00930B32" w:rsidRPr="00B033A8">
        <w:rPr>
          <w:rFonts w:cs="Times New Roman"/>
          <w:i/>
          <w:iCs/>
        </w:rPr>
        <w:t>nomen</w:t>
      </w:r>
      <w:proofErr w:type="spellEnd"/>
      <w:r w:rsidR="00930B32" w:rsidRPr="00B033A8">
        <w:rPr>
          <w:rFonts w:cs="Times New Roman"/>
          <w:i/>
          <w:iCs/>
        </w:rPr>
        <w:t xml:space="preserve"> iuris</w:t>
      </w:r>
      <w:r w:rsidR="00930B32" w:rsidRPr="00B033A8">
        <w:rPr>
          <w:rFonts w:cs="Times New Roman"/>
        </w:rPr>
        <w:t xml:space="preserve"> y el capítulo del Código Penal en el que se encuentra </w:t>
      </w:r>
      <w:r w:rsidR="00595FD3" w:rsidRPr="00B033A8">
        <w:rPr>
          <w:rFonts w:cs="Times New Roman"/>
        </w:rPr>
        <w:t xml:space="preserve">el delito. </w:t>
      </w:r>
      <w:r w:rsidR="00EE47A8" w:rsidRPr="00B033A8">
        <w:rPr>
          <w:rFonts w:cs="Times New Roman"/>
        </w:rPr>
        <w:t xml:space="preserve">El </w:t>
      </w:r>
      <w:r w:rsidR="00C84D2F" w:rsidRPr="00B033A8">
        <w:rPr>
          <w:rFonts w:cs="Times New Roman"/>
        </w:rPr>
        <w:t>tipo penal se denomina</w:t>
      </w:r>
      <w:r w:rsidR="00595FD3" w:rsidRPr="00B033A8">
        <w:rPr>
          <w:rFonts w:cs="Times New Roman"/>
          <w:i/>
          <w:iCs/>
        </w:rPr>
        <w:t xml:space="preserve"> </w:t>
      </w:r>
      <w:r w:rsidR="00C84D2F" w:rsidRPr="00B033A8">
        <w:rPr>
          <w:rFonts w:cs="Times New Roman"/>
        </w:rPr>
        <w:t xml:space="preserve">“acuerdos restrictivos de la competencia”, lo que sugeriría que, para determinar su contenido, </w:t>
      </w:r>
      <w:r w:rsidR="00DD7551" w:rsidRPr="00B033A8">
        <w:rPr>
          <w:rFonts w:cs="Times New Roman"/>
        </w:rPr>
        <w:t xml:space="preserve">el </w:t>
      </w:r>
      <w:r w:rsidR="00FB20B6" w:rsidRPr="00B033A8">
        <w:rPr>
          <w:rFonts w:cs="Times New Roman"/>
        </w:rPr>
        <w:t>intérprete debe remitirse</w:t>
      </w:r>
      <w:r w:rsidR="00C84D2F" w:rsidRPr="00B033A8">
        <w:rPr>
          <w:rFonts w:cs="Times New Roman"/>
        </w:rPr>
        <w:t xml:space="preserve"> al régimen general de </w:t>
      </w:r>
      <w:r w:rsidR="007751DA" w:rsidRPr="00B033A8">
        <w:rPr>
          <w:rFonts w:cs="Times New Roman"/>
        </w:rPr>
        <w:t xml:space="preserve">protección de la </w:t>
      </w:r>
      <w:r w:rsidR="00C84D2F" w:rsidRPr="00B033A8">
        <w:rPr>
          <w:rFonts w:cs="Times New Roman"/>
        </w:rPr>
        <w:t xml:space="preserve">libre competencia. </w:t>
      </w:r>
      <w:r w:rsidR="00014FA6" w:rsidRPr="00B033A8">
        <w:rPr>
          <w:rFonts w:cs="Times New Roman"/>
        </w:rPr>
        <w:t>No obstante</w:t>
      </w:r>
      <w:r w:rsidR="00C84D2F" w:rsidRPr="00B033A8">
        <w:rPr>
          <w:rFonts w:cs="Times New Roman"/>
        </w:rPr>
        <w:t xml:space="preserve">, el delito </w:t>
      </w:r>
      <w:r w:rsidR="00014FA6" w:rsidRPr="00B033A8">
        <w:rPr>
          <w:rFonts w:cs="Times New Roman"/>
        </w:rPr>
        <w:t>forma parte</w:t>
      </w:r>
      <w:r w:rsidR="00C84D2F" w:rsidRPr="00B033A8">
        <w:rPr>
          <w:rFonts w:cs="Times New Roman"/>
        </w:rPr>
        <w:t xml:space="preserve"> </w:t>
      </w:r>
      <w:r w:rsidR="00014FA6" w:rsidRPr="00B033A8">
        <w:rPr>
          <w:rFonts w:cs="Times New Roman"/>
        </w:rPr>
        <w:t>d</w:t>
      </w:r>
      <w:r w:rsidR="00C84D2F" w:rsidRPr="00B033A8">
        <w:rPr>
          <w:rFonts w:cs="Times New Roman"/>
        </w:rPr>
        <w:t xml:space="preserve">el título de los delitos que atentan contra la administración pública, lo que, en contraste, implicaría que el intérprete debe </w:t>
      </w:r>
      <w:r w:rsidR="00014FA6" w:rsidRPr="00B033A8">
        <w:rPr>
          <w:rFonts w:cs="Times New Roman"/>
        </w:rPr>
        <w:t>acudir</w:t>
      </w:r>
      <w:r w:rsidR="00C84D2F" w:rsidRPr="00B033A8">
        <w:rPr>
          <w:rFonts w:cs="Times New Roman"/>
        </w:rPr>
        <w:t xml:space="preserve"> al régimen </w:t>
      </w:r>
      <w:r w:rsidR="00014FA6" w:rsidRPr="00B033A8">
        <w:rPr>
          <w:rFonts w:cs="Times New Roman"/>
        </w:rPr>
        <w:t xml:space="preserve">general </w:t>
      </w:r>
      <w:r w:rsidR="00C84D2F" w:rsidRPr="00B033A8">
        <w:rPr>
          <w:rFonts w:cs="Times New Roman"/>
        </w:rPr>
        <w:t>de la contratación pública.</w:t>
      </w:r>
      <w:r w:rsidR="00B34BA0" w:rsidRPr="00B033A8">
        <w:rPr>
          <w:rFonts w:cs="Times New Roman"/>
        </w:rPr>
        <w:t xml:space="preserve"> </w:t>
      </w:r>
      <w:r w:rsidR="00DB3569" w:rsidRPr="00B033A8">
        <w:rPr>
          <w:rFonts w:cs="Times New Roman"/>
        </w:rPr>
        <w:t>Por lo demás, señalan que “no todo acuerdo restrictivo de la competencia tiene incidencia en el bien jurídico tutelado (la administración pública), pues hay subastas, concursos, licitaciones y selecciones abreviadas donde sólo intervienen personas jurídicas de carácter privado y en las que la administración no tiene ninguna participación”</w:t>
      </w:r>
      <w:r w:rsidR="00DB3569" w:rsidRPr="00B033A8">
        <w:rPr>
          <w:rFonts w:cs="Times New Roman"/>
          <w:vertAlign w:val="superscript"/>
        </w:rPr>
        <w:footnoteReference w:id="50"/>
      </w:r>
      <w:r w:rsidR="00DB3569" w:rsidRPr="00B033A8">
        <w:rPr>
          <w:rFonts w:cs="Times New Roman"/>
        </w:rPr>
        <w:t xml:space="preserve">. </w:t>
      </w:r>
      <w:r w:rsidR="00B34BA0" w:rsidRPr="00B033A8">
        <w:rPr>
          <w:rFonts w:cs="Times New Roman"/>
        </w:rPr>
        <w:t>En este sentido, concluyen que “no es posible establecer con certeza hacia dónde se dirige la remisión”</w:t>
      </w:r>
      <w:r w:rsidR="00B34BA0" w:rsidRPr="00B033A8">
        <w:rPr>
          <w:rStyle w:val="Refdenotaalpie"/>
          <w:rFonts w:cs="Times New Roman"/>
        </w:rPr>
        <w:footnoteReference w:id="51"/>
      </w:r>
      <w:r w:rsidR="00B34BA0" w:rsidRPr="00B033A8">
        <w:rPr>
          <w:rFonts w:cs="Times New Roman"/>
        </w:rPr>
        <w:t>.</w:t>
      </w:r>
    </w:p>
    <w:p w14:paraId="0BD8FD58" w14:textId="77777777" w:rsidR="00836A8A" w:rsidRPr="00B033A8" w:rsidRDefault="00836A8A" w:rsidP="00776641">
      <w:pPr>
        <w:rPr>
          <w:rFonts w:cs="Times New Roman"/>
        </w:rPr>
      </w:pPr>
    </w:p>
    <w:p w14:paraId="61260D4C" w14:textId="25644010" w:rsidR="00836A8A" w:rsidRPr="00B033A8" w:rsidRDefault="00DB3569" w:rsidP="00776641">
      <w:pPr>
        <w:numPr>
          <w:ilvl w:val="0"/>
          <w:numId w:val="12"/>
        </w:numPr>
        <w:tabs>
          <w:tab w:val="left" w:pos="567"/>
        </w:tabs>
        <w:ind w:left="0" w:firstLine="0"/>
        <w:rPr>
          <w:rFonts w:cs="Times New Roman"/>
        </w:rPr>
      </w:pPr>
      <w:r w:rsidRPr="00B033A8">
        <w:rPr>
          <w:rFonts w:cs="Times New Roman"/>
          <w:u w:val="single"/>
        </w:rPr>
        <w:t>Tercero</w:t>
      </w:r>
      <w:r w:rsidRPr="00B033A8">
        <w:rPr>
          <w:rFonts w:cs="Times New Roman"/>
        </w:rPr>
        <w:t xml:space="preserve">. </w:t>
      </w:r>
      <w:r w:rsidR="0056331D" w:rsidRPr="00B033A8">
        <w:rPr>
          <w:rFonts w:cs="Times New Roman"/>
        </w:rPr>
        <w:t xml:space="preserve">Aun si en gracia de discusión se aceptara que el </w:t>
      </w:r>
      <w:r w:rsidR="00DF59E6" w:rsidRPr="00B033A8">
        <w:rPr>
          <w:rFonts w:cs="Times New Roman"/>
        </w:rPr>
        <w:t>intérprete</w:t>
      </w:r>
      <w:r w:rsidR="00E311A6" w:rsidRPr="00B033A8">
        <w:rPr>
          <w:rFonts w:cs="Times New Roman"/>
        </w:rPr>
        <w:t xml:space="preserve"> debe acudir al</w:t>
      </w:r>
      <w:r w:rsidR="0056331D" w:rsidRPr="00B033A8">
        <w:rPr>
          <w:rFonts w:cs="Times New Roman"/>
        </w:rPr>
        <w:t xml:space="preserve"> régimen general de protección de la libre competencia, “es tal la bastedad de este último y su grado de indeterminación que los esfuerzos por dotar de contenido el artículo 410A pueden continuar siendo inútiles”</w:t>
      </w:r>
      <w:r w:rsidR="008423E4" w:rsidRPr="00B033A8">
        <w:rPr>
          <w:rStyle w:val="Refdenotaalpie"/>
          <w:rFonts w:cs="Times New Roman"/>
        </w:rPr>
        <w:footnoteReference w:id="52"/>
      </w:r>
      <w:r w:rsidR="0056331D" w:rsidRPr="00B033A8">
        <w:rPr>
          <w:rFonts w:cs="Times New Roman"/>
        </w:rPr>
        <w:t>.</w:t>
      </w:r>
      <w:r w:rsidR="0056331D" w:rsidRPr="00B033A8">
        <w:rPr>
          <w:rFonts w:cs="Times New Roman"/>
          <w:i/>
          <w:iCs/>
        </w:rPr>
        <w:t xml:space="preserve"> </w:t>
      </w:r>
      <w:r w:rsidR="005D3257" w:rsidRPr="00B033A8">
        <w:rPr>
          <w:rFonts w:cs="Times New Roman"/>
        </w:rPr>
        <w:t>La</w:t>
      </w:r>
      <w:r w:rsidR="00A77388" w:rsidRPr="00B033A8">
        <w:rPr>
          <w:rFonts w:cs="Times New Roman"/>
        </w:rPr>
        <w:t xml:space="preserve"> remisión </w:t>
      </w:r>
      <w:r w:rsidR="005D3257" w:rsidRPr="00B033A8">
        <w:rPr>
          <w:rFonts w:cs="Times New Roman"/>
        </w:rPr>
        <w:t xml:space="preserve">a este régimen </w:t>
      </w:r>
      <w:r w:rsidR="00A77388" w:rsidRPr="00B033A8">
        <w:rPr>
          <w:rFonts w:cs="Times New Roman"/>
        </w:rPr>
        <w:t>implicaría que todas</w:t>
      </w:r>
      <w:r w:rsidR="0056331D" w:rsidRPr="00B033A8">
        <w:rPr>
          <w:rFonts w:cs="Times New Roman"/>
        </w:rPr>
        <w:t xml:space="preserve"> </w:t>
      </w:r>
      <w:r w:rsidR="005D3257" w:rsidRPr="00B033A8">
        <w:rPr>
          <w:rFonts w:cs="Times New Roman"/>
        </w:rPr>
        <w:t xml:space="preserve">las </w:t>
      </w:r>
      <w:r w:rsidR="0056331D" w:rsidRPr="00B033A8">
        <w:rPr>
          <w:rFonts w:cs="Times New Roman"/>
        </w:rPr>
        <w:t>“prácticas restrictivas de la competencia”</w:t>
      </w:r>
      <w:r w:rsidR="00A77388" w:rsidRPr="00B033A8">
        <w:rPr>
          <w:rFonts w:cs="Times New Roman"/>
        </w:rPr>
        <w:t xml:space="preserve"> que se enlistan en </w:t>
      </w:r>
      <w:r w:rsidR="0056331D" w:rsidRPr="00B033A8">
        <w:rPr>
          <w:rFonts w:cs="Times New Roman"/>
        </w:rPr>
        <w:t xml:space="preserve">los artículos 46, 47, 48 y 50 del Decreto 2153 de 1992 configurarían el punible, lo que conlleva “una extensión irrazonable del objeto y alcance del tipo penal”. </w:t>
      </w:r>
      <w:r w:rsidR="0070208C" w:rsidRPr="00B033A8">
        <w:rPr>
          <w:rFonts w:cs="Times New Roman"/>
        </w:rPr>
        <w:t>Además,</w:t>
      </w:r>
      <w:r w:rsidR="0056331D" w:rsidRPr="00B033A8">
        <w:rPr>
          <w:rFonts w:cs="Times New Roman"/>
        </w:rPr>
        <w:t xml:space="preserve"> </w:t>
      </w:r>
      <w:r w:rsidR="0070208C" w:rsidRPr="00B033A8">
        <w:rPr>
          <w:rFonts w:cs="Times New Roman"/>
        </w:rPr>
        <w:t>las conductas restrictivas de la competencia</w:t>
      </w:r>
      <w:r w:rsidR="0056331D" w:rsidRPr="00B033A8">
        <w:rPr>
          <w:rFonts w:cs="Times New Roman"/>
        </w:rPr>
        <w:t xml:space="preserve"> “están </w:t>
      </w:r>
      <w:proofErr w:type="spellStart"/>
      <w:r w:rsidR="0056331D" w:rsidRPr="00B033A8">
        <w:rPr>
          <w:rFonts w:cs="Times New Roman"/>
        </w:rPr>
        <w:t>descrit</w:t>
      </w:r>
      <w:proofErr w:type="spellEnd"/>
      <w:r w:rsidR="0056331D" w:rsidRPr="00B033A8">
        <w:rPr>
          <w:rFonts w:cs="Times New Roman"/>
        </w:rPr>
        <w:t>[a]s en términos genéricos y no aportan nada a la determinación del objeto y alcance del tipo penal”</w:t>
      </w:r>
      <w:r w:rsidR="0056331D" w:rsidRPr="00B033A8">
        <w:rPr>
          <w:rFonts w:cs="Times New Roman"/>
          <w:vertAlign w:val="superscript"/>
        </w:rPr>
        <w:footnoteReference w:id="53"/>
      </w:r>
      <w:r w:rsidR="0056331D" w:rsidRPr="00B033A8">
        <w:rPr>
          <w:rFonts w:cs="Times New Roman"/>
        </w:rPr>
        <w:t>.</w:t>
      </w:r>
    </w:p>
    <w:p w14:paraId="74021CAB" w14:textId="77777777" w:rsidR="00AE5E41" w:rsidRPr="00B033A8" w:rsidRDefault="00AE5E41" w:rsidP="00776641">
      <w:pPr>
        <w:rPr>
          <w:rFonts w:cs="Times New Roman"/>
        </w:rPr>
      </w:pPr>
    </w:p>
    <w:p w14:paraId="529DC814" w14:textId="3263AF81" w:rsidR="0093147B" w:rsidRPr="00B033A8" w:rsidRDefault="00AE5E41" w:rsidP="00776641">
      <w:pPr>
        <w:numPr>
          <w:ilvl w:val="0"/>
          <w:numId w:val="12"/>
        </w:numPr>
        <w:tabs>
          <w:tab w:val="left" w:pos="567"/>
        </w:tabs>
        <w:ind w:left="0" w:firstLine="0"/>
        <w:rPr>
          <w:rFonts w:cs="Times New Roman"/>
        </w:rPr>
      </w:pPr>
      <w:r w:rsidRPr="00B033A8">
        <w:rPr>
          <w:rFonts w:cs="Times New Roman"/>
          <w:u w:val="single"/>
        </w:rPr>
        <w:t>Cuarto</w:t>
      </w:r>
      <w:r w:rsidRPr="00B033A8">
        <w:rPr>
          <w:rFonts w:cs="Times New Roman"/>
        </w:rPr>
        <w:t xml:space="preserve">. </w:t>
      </w:r>
      <w:r w:rsidR="00322616" w:rsidRPr="00B033A8">
        <w:rPr>
          <w:rFonts w:cs="Times New Roman"/>
        </w:rPr>
        <w:t xml:space="preserve">La remisión genérica al régimen de protección de la competencia desconocería el principio de lesividad o de </w:t>
      </w:r>
      <w:r w:rsidR="00961766" w:rsidRPr="00B033A8">
        <w:rPr>
          <w:rFonts w:cs="Times New Roman"/>
          <w:i/>
          <w:iCs/>
        </w:rPr>
        <w:t>ú</w:t>
      </w:r>
      <w:r w:rsidR="00322616" w:rsidRPr="00B033A8">
        <w:rPr>
          <w:rFonts w:cs="Times New Roman"/>
          <w:i/>
          <w:iCs/>
        </w:rPr>
        <w:t>ltima ratio</w:t>
      </w:r>
      <w:r w:rsidR="00322616" w:rsidRPr="00B033A8">
        <w:rPr>
          <w:rFonts w:cs="Times New Roman"/>
        </w:rPr>
        <w:t xml:space="preserve"> del derecho penal. Esto, porque </w:t>
      </w:r>
      <w:r w:rsidR="00322616" w:rsidRPr="00B033A8">
        <w:rPr>
          <w:rFonts w:cs="Times New Roman"/>
          <w:i/>
          <w:iCs/>
        </w:rPr>
        <w:t>(i)</w:t>
      </w:r>
      <w:r w:rsidR="00322616" w:rsidRPr="00B033A8">
        <w:rPr>
          <w:rFonts w:cs="Times New Roman"/>
        </w:rPr>
        <w:t xml:space="preserve"> muchas de las conductas señaladas en el régimen de la competencia “carecen de aptitud para lesionar, o tan siquiera poner en peligro, el bien jurídico de la administración pública”, y </w:t>
      </w:r>
      <w:r w:rsidR="00322616" w:rsidRPr="00B033A8">
        <w:rPr>
          <w:rFonts w:cs="Times New Roman"/>
          <w:i/>
          <w:iCs/>
        </w:rPr>
        <w:t>(</w:t>
      </w:r>
      <w:proofErr w:type="spellStart"/>
      <w:r w:rsidR="00322616" w:rsidRPr="00B033A8">
        <w:rPr>
          <w:rFonts w:cs="Times New Roman"/>
          <w:i/>
          <w:iCs/>
        </w:rPr>
        <w:t>ii</w:t>
      </w:r>
      <w:proofErr w:type="spellEnd"/>
      <w:r w:rsidR="00322616" w:rsidRPr="00B033A8">
        <w:rPr>
          <w:rFonts w:cs="Times New Roman"/>
          <w:i/>
          <w:iCs/>
        </w:rPr>
        <w:t>)</w:t>
      </w:r>
      <w:r w:rsidR="00322616" w:rsidRPr="00B033A8">
        <w:rPr>
          <w:rFonts w:cs="Times New Roman"/>
        </w:rPr>
        <w:t xml:space="preserve"> se estaría aceptando que los tipos </w:t>
      </w:r>
      <w:r w:rsidR="00322616" w:rsidRPr="00B033A8">
        <w:rPr>
          <w:rFonts w:cs="Times New Roman"/>
          <w:i/>
          <w:iCs/>
        </w:rPr>
        <w:t>sancionatorios</w:t>
      </w:r>
      <w:r w:rsidR="00322616" w:rsidRPr="00B033A8">
        <w:rPr>
          <w:rFonts w:cs="Times New Roman"/>
        </w:rPr>
        <w:t xml:space="preserve"> abiertos e indeterminados “sirvan de complemento para fijar el alcance de las normas penales, de las que se exige, paradójicamente, un grado de concreción y claridad mucho mayor al de las disposiciones que integran el derecho sancionatorio administrativo”. </w:t>
      </w:r>
      <w:r w:rsidR="0093147B" w:rsidRPr="00B033A8">
        <w:rPr>
          <w:rFonts w:cs="Times New Roman"/>
        </w:rPr>
        <w:t>Según los intervinientes, d</w:t>
      </w:r>
      <w:r w:rsidR="00322616" w:rsidRPr="00B033A8">
        <w:rPr>
          <w:rFonts w:cs="Times New Roman"/>
        </w:rPr>
        <w:t xml:space="preserve">e acuerdo con </w:t>
      </w:r>
      <w:r w:rsidR="00322616" w:rsidRPr="00B033A8">
        <w:rPr>
          <w:rFonts w:cs="Times New Roman"/>
        </w:rPr>
        <w:lastRenderedPageBreak/>
        <w:t xml:space="preserve">la jurisprudencia de la Corte, el principio de tipicidad opera de forma más flexible en el derecho </w:t>
      </w:r>
      <w:r w:rsidR="0093147B" w:rsidRPr="00B033A8">
        <w:rPr>
          <w:rFonts w:cs="Times New Roman"/>
        </w:rPr>
        <w:t xml:space="preserve">administrativo </w:t>
      </w:r>
      <w:r w:rsidR="00322616" w:rsidRPr="00B033A8">
        <w:rPr>
          <w:rFonts w:cs="Times New Roman"/>
        </w:rPr>
        <w:t>sancionatorio, por lo que no es admisible que, para delimitar el punible, las normas penales remitan a disposiciones administrativas, que sean amplias y genéricas</w:t>
      </w:r>
      <w:r w:rsidR="00322616" w:rsidRPr="00B033A8">
        <w:rPr>
          <w:rFonts w:cs="Times New Roman"/>
          <w:vertAlign w:val="superscript"/>
        </w:rPr>
        <w:footnoteReference w:id="54"/>
      </w:r>
      <w:r w:rsidR="00322616" w:rsidRPr="00B033A8">
        <w:rPr>
          <w:rFonts w:cs="Times New Roman"/>
        </w:rPr>
        <w:t xml:space="preserve">. </w:t>
      </w:r>
    </w:p>
    <w:p w14:paraId="30936734" w14:textId="77777777" w:rsidR="007A74B7" w:rsidRPr="00B033A8" w:rsidRDefault="007A74B7" w:rsidP="00776641">
      <w:pPr>
        <w:rPr>
          <w:rFonts w:cs="Times New Roman"/>
        </w:rPr>
      </w:pPr>
    </w:p>
    <w:p w14:paraId="1A43C6A0" w14:textId="41EF6F8D" w:rsidR="00CB54A7" w:rsidRPr="00B033A8" w:rsidRDefault="00961766" w:rsidP="00776641">
      <w:pPr>
        <w:numPr>
          <w:ilvl w:val="0"/>
          <w:numId w:val="12"/>
        </w:numPr>
        <w:tabs>
          <w:tab w:val="left" w:pos="567"/>
        </w:tabs>
        <w:ind w:left="0" w:firstLine="0"/>
        <w:rPr>
          <w:rFonts w:cs="Times New Roman"/>
        </w:rPr>
      </w:pPr>
      <w:r w:rsidRPr="00B033A8">
        <w:rPr>
          <w:rFonts w:cs="Times New Roman"/>
          <w:u w:val="single"/>
        </w:rPr>
        <w:t>Quinto.</w:t>
      </w:r>
      <w:r w:rsidRPr="00B033A8">
        <w:rPr>
          <w:rFonts w:cs="Times New Roman"/>
        </w:rPr>
        <w:t xml:space="preserve"> </w:t>
      </w:r>
      <w:r w:rsidR="002B5272" w:rsidRPr="00B033A8">
        <w:rPr>
          <w:rFonts w:cs="Times New Roman"/>
        </w:rPr>
        <w:t>Por último, los intervinientes agregan que la norma demandada viola otros principios constitucionales y derechos fundamentales</w:t>
      </w:r>
      <w:r w:rsidR="0077488A" w:rsidRPr="00B033A8">
        <w:rPr>
          <w:rFonts w:cs="Times New Roman"/>
        </w:rPr>
        <w:t xml:space="preserve">: </w:t>
      </w:r>
    </w:p>
    <w:p w14:paraId="35279E13" w14:textId="77777777" w:rsidR="00CB54A7" w:rsidRPr="00B033A8" w:rsidRDefault="00CB54A7" w:rsidP="00776641">
      <w:pPr>
        <w:rPr>
          <w:rFonts w:cs="Times New Roman"/>
          <w:u w:val="single"/>
        </w:rPr>
      </w:pPr>
    </w:p>
    <w:p w14:paraId="433C5153" w14:textId="77441E94" w:rsidR="00CB54A7" w:rsidRPr="00B033A8" w:rsidRDefault="00722CA8" w:rsidP="00776641">
      <w:pPr>
        <w:numPr>
          <w:ilvl w:val="1"/>
          <w:numId w:val="13"/>
        </w:numPr>
        <w:tabs>
          <w:tab w:val="left" w:pos="851"/>
        </w:tabs>
        <w:ind w:left="567"/>
        <w:rPr>
          <w:rFonts w:cs="Times New Roman"/>
        </w:rPr>
      </w:pPr>
      <w:r w:rsidRPr="00B033A8">
        <w:rPr>
          <w:rFonts w:cs="Times New Roman"/>
          <w:u w:val="single"/>
        </w:rPr>
        <w:t xml:space="preserve">El principio de </w:t>
      </w:r>
      <w:r w:rsidRPr="00B033A8">
        <w:rPr>
          <w:rFonts w:cs="Times New Roman"/>
          <w:i/>
          <w:iCs/>
          <w:u w:val="single"/>
        </w:rPr>
        <w:t>non</w:t>
      </w:r>
      <w:r w:rsidRPr="00B033A8">
        <w:rPr>
          <w:rFonts w:cs="Times New Roman"/>
          <w:u w:val="single"/>
        </w:rPr>
        <w:t xml:space="preserve"> </w:t>
      </w:r>
      <w:r w:rsidRPr="00B033A8">
        <w:rPr>
          <w:rFonts w:cs="Times New Roman"/>
          <w:i/>
          <w:iCs/>
          <w:u w:val="single"/>
        </w:rPr>
        <w:t xml:space="preserve">bis in </w:t>
      </w:r>
      <w:proofErr w:type="spellStart"/>
      <w:r w:rsidRPr="00B033A8">
        <w:rPr>
          <w:rFonts w:cs="Times New Roman"/>
          <w:i/>
          <w:iCs/>
          <w:u w:val="single"/>
        </w:rPr>
        <w:t>idem</w:t>
      </w:r>
      <w:proofErr w:type="spellEnd"/>
      <w:r w:rsidRPr="00B033A8">
        <w:rPr>
          <w:rFonts w:cs="Times New Roman"/>
        </w:rPr>
        <w:t xml:space="preserve">. </w:t>
      </w:r>
      <w:r w:rsidR="005B2F5F" w:rsidRPr="00B033A8">
        <w:rPr>
          <w:rFonts w:cs="Times New Roman"/>
        </w:rPr>
        <w:t>El</w:t>
      </w:r>
      <w:r w:rsidR="00F33BAB" w:rsidRPr="00B033A8">
        <w:rPr>
          <w:rFonts w:cs="Times New Roman"/>
        </w:rPr>
        <w:t xml:space="preserve"> Colegio de Abogados Penalistas señala que “bajo la premisa de que cualquier conducta que satisfaga los elementos de concertación y alteración irregular del rito contractual constituye el delito en cuestión, se hace plausible una sistemática vulneración del derecho fundamental a no ser juzgado dos veces por una misma conducta, dado que, evidentemente, por el grado de abstracción e indeterminación del tipo, es posible que en él se configuren conductas que ya están tipificadas”. Por ejemplo, “una persona podría ser considerada culpable como determinador, cómplice o interviniente (coautor no calificado) en delitos como interés indebido en la celebración de contratos, peculado, cohecho, concusión, prevaricato, entre otros, y a la vez ser penalmente sancionada por el delito establecido en el artículo 410A, que castiga la concertación para alterar ilícitamente un procedimiento contractual”</w:t>
      </w:r>
      <w:r w:rsidR="00F33BAB" w:rsidRPr="00B033A8">
        <w:rPr>
          <w:rFonts w:cs="Times New Roman"/>
          <w:vertAlign w:val="superscript"/>
        </w:rPr>
        <w:footnoteReference w:id="55"/>
      </w:r>
      <w:r w:rsidR="00F33BAB" w:rsidRPr="00B033A8">
        <w:rPr>
          <w:rFonts w:cs="Times New Roman"/>
        </w:rPr>
        <w:t>.</w:t>
      </w:r>
    </w:p>
    <w:p w14:paraId="3DD2A3AE" w14:textId="109BC6D3" w:rsidR="00624210" w:rsidRPr="00B033A8" w:rsidRDefault="0077488A" w:rsidP="00776641">
      <w:pPr>
        <w:numPr>
          <w:ilvl w:val="1"/>
          <w:numId w:val="13"/>
        </w:numPr>
        <w:tabs>
          <w:tab w:val="left" w:pos="851"/>
        </w:tabs>
        <w:ind w:left="567"/>
        <w:rPr>
          <w:rFonts w:cs="Times New Roman"/>
        </w:rPr>
      </w:pPr>
      <w:r w:rsidRPr="00B033A8">
        <w:rPr>
          <w:rFonts w:cs="Times New Roman"/>
          <w:u w:val="single"/>
        </w:rPr>
        <w:t>E</w:t>
      </w:r>
      <w:r w:rsidR="00573BEB" w:rsidRPr="00B033A8">
        <w:rPr>
          <w:rFonts w:cs="Times New Roman"/>
          <w:u w:val="single"/>
        </w:rPr>
        <w:t>l derecho a la presunción de inocencia</w:t>
      </w:r>
      <w:r w:rsidRPr="00B033A8">
        <w:rPr>
          <w:rFonts w:cs="Times New Roman"/>
        </w:rPr>
        <w:t xml:space="preserve">. </w:t>
      </w:r>
      <w:r w:rsidR="00A46764" w:rsidRPr="00B033A8">
        <w:rPr>
          <w:rFonts w:cs="Times New Roman"/>
        </w:rPr>
        <w:t>Según los intervinientes, la</w:t>
      </w:r>
      <w:r w:rsidRPr="00B033A8">
        <w:rPr>
          <w:rFonts w:cs="Times New Roman"/>
        </w:rPr>
        <w:t xml:space="preserve"> </w:t>
      </w:r>
      <w:r w:rsidR="00E57E13" w:rsidRPr="00B033A8">
        <w:rPr>
          <w:rFonts w:cs="Times New Roman"/>
        </w:rPr>
        <w:t xml:space="preserve">conclusión de </w:t>
      </w:r>
      <w:r w:rsidR="00176FCF" w:rsidRPr="00B033A8">
        <w:rPr>
          <w:rFonts w:cs="Times New Roman"/>
        </w:rPr>
        <w:t xml:space="preserve">la SIC </w:t>
      </w:r>
      <w:r w:rsidR="00E57E13" w:rsidRPr="00B033A8">
        <w:rPr>
          <w:rFonts w:cs="Times New Roman"/>
        </w:rPr>
        <w:t xml:space="preserve">sobre la responsabilidad administrativa de una persona </w:t>
      </w:r>
      <w:r w:rsidR="00176FCF" w:rsidRPr="00B033A8">
        <w:rPr>
          <w:rFonts w:cs="Times New Roman"/>
        </w:rPr>
        <w:t xml:space="preserve">por haber incurrido en las faltas administrativas previstas en el régimen </w:t>
      </w:r>
      <w:r w:rsidR="00E57E13" w:rsidRPr="00B033A8">
        <w:rPr>
          <w:rFonts w:cs="Times New Roman"/>
        </w:rPr>
        <w:t>general de</w:t>
      </w:r>
      <w:r w:rsidR="00A46764" w:rsidRPr="00B033A8">
        <w:rPr>
          <w:rFonts w:cs="Times New Roman"/>
        </w:rPr>
        <w:t xml:space="preserve"> protección de</w:t>
      </w:r>
      <w:r w:rsidR="00E57E13" w:rsidRPr="00B033A8">
        <w:rPr>
          <w:rFonts w:cs="Times New Roman"/>
        </w:rPr>
        <w:t xml:space="preserve"> la</w:t>
      </w:r>
      <w:r w:rsidR="00A46764" w:rsidRPr="00B033A8">
        <w:rPr>
          <w:rFonts w:cs="Times New Roman"/>
        </w:rPr>
        <w:t xml:space="preserve"> libre</w:t>
      </w:r>
      <w:r w:rsidR="00E57E13" w:rsidRPr="00B033A8">
        <w:rPr>
          <w:rFonts w:cs="Times New Roman"/>
        </w:rPr>
        <w:t xml:space="preserve"> competencia</w:t>
      </w:r>
      <w:r w:rsidR="007D48E7" w:rsidRPr="00B033A8">
        <w:rPr>
          <w:rFonts w:cs="Times New Roman"/>
        </w:rPr>
        <w:t>,</w:t>
      </w:r>
      <w:r w:rsidR="00E320A9" w:rsidRPr="00B033A8">
        <w:rPr>
          <w:rFonts w:cs="Times New Roman"/>
        </w:rPr>
        <w:t xml:space="preserve"> </w:t>
      </w:r>
      <w:r w:rsidR="00E57E13" w:rsidRPr="00B033A8">
        <w:rPr>
          <w:rFonts w:cs="Times New Roman"/>
        </w:rPr>
        <w:t xml:space="preserve">condiciona el </w:t>
      </w:r>
      <w:r w:rsidR="00002BB1" w:rsidRPr="00B033A8">
        <w:rPr>
          <w:rFonts w:cs="Times New Roman"/>
        </w:rPr>
        <w:t>juicio</w:t>
      </w:r>
      <w:r w:rsidR="00E57E13" w:rsidRPr="00B033A8">
        <w:rPr>
          <w:rFonts w:cs="Times New Roman"/>
        </w:rPr>
        <w:t xml:space="preserve"> de </w:t>
      </w:r>
      <w:r w:rsidR="00E67320" w:rsidRPr="00B033A8">
        <w:rPr>
          <w:rFonts w:cs="Times New Roman"/>
        </w:rPr>
        <w:t>la Fiscalía General de la Nación (“FGN”)</w:t>
      </w:r>
      <w:r w:rsidR="00002BB1" w:rsidRPr="00B033A8">
        <w:rPr>
          <w:rFonts w:cs="Times New Roman"/>
        </w:rPr>
        <w:t>. Luego de que se remite el expediente de la investigación administrativa</w:t>
      </w:r>
      <w:r w:rsidR="00E320A9" w:rsidRPr="00B033A8">
        <w:rPr>
          <w:rFonts w:cs="Times New Roman"/>
        </w:rPr>
        <w:t>,</w:t>
      </w:r>
      <w:r w:rsidR="00002BB1" w:rsidRPr="00B033A8">
        <w:rPr>
          <w:rFonts w:cs="Times New Roman"/>
        </w:rPr>
        <w:t xml:space="preserve"> la FGN</w:t>
      </w:r>
      <w:r w:rsidR="00E57E13" w:rsidRPr="00B033A8">
        <w:rPr>
          <w:rFonts w:cs="Times New Roman"/>
        </w:rPr>
        <w:t xml:space="preserve"> </w:t>
      </w:r>
      <w:r w:rsidR="00E67320" w:rsidRPr="00B033A8">
        <w:rPr>
          <w:rFonts w:cs="Times New Roman"/>
        </w:rPr>
        <w:t>“est</w:t>
      </w:r>
      <w:r w:rsidR="00E57E13" w:rsidRPr="00B033A8">
        <w:rPr>
          <w:rFonts w:cs="Times New Roman"/>
        </w:rPr>
        <w:t>ar</w:t>
      </w:r>
      <w:r w:rsidR="00E67320" w:rsidRPr="00B033A8">
        <w:rPr>
          <w:rFonts w:cs="Times New Roman"/>
        </w:rPr>
        <w:t xml:space="preserve">á sesgada </w:t>
      </w:r>
      <w:r w:rsidR="00E67320" w:rsidRPr="00B033A8">
        <w:rPr>
          <w:rFonts w:cs="Times New Roman"/>
          <w:lang w:val="es-MX"/>
        </w:rPr>
        <w:t>abiertamente parcializada (sic) por las pruebas y las valoraciones efectuadas por la [SIC]</w:t>
      </w:r>
      <w:r w:rsidR="00E67320" w:rsidRPr="00B033A8">
        <w:rPr>
          <w:rFonts w:cs="Times New Roman"/>
        </w:rPr>
        <w:t>”</w:t>
      </w:r>
      <w:r w:rsidR="00E67320" w:rsidRPr="00B033A8">
        <w:rPr>
          <w:rFonts w:cs="Times New Roman"/>
          <w:vertAlign w:val="superscript"/>
        </w:rPr>
        <w:footnoteReference w:id="56"/>
      </w:r>
      <w:r w:rsidR="00624210" w:rsidRPr="00B033A8">
        <w:rPr>
          <w:rFonts w:cs="Times New Roman"/>
        </w:rPr>
        <w:t>.</w:t>
      </w:r>
    </w:p>
    <w:p w14:paraId="0DCFA4B8" w14:textId="3E93860F" w:rsidR="00002BB1" w:rsidRPr="00B033A8" w:rsidRDefault="00002BB1" w:rsidP="00776641">
      <w:pPr>
        <w:numPr>
          <w:ilvl w:val="1"/>
          <w:numId w:val="13"/>
        </w:numPr>
        <w:tabs>
          <w:tab w:val="left" w:pos="851"/>
        </w:tabs>
        <w:ind w:left="567"/>
        <w:rPr>
          <w:rFonts w:cs="Times New Roman"/>
        </w:rPr>
      </w:pPr>
      <w:r w:rsidRPr="00B033A8">
        <w:rPr>
          <w:rFonts w:cs="Times New Roman"/>
          <w:u w:val="single"/>
        </w:rPr>
        <w:t>E</w:t>
      </w:r>
      <w:r w:rsidR="00253371" w:rsidRPr="00B033A8">
        <w:rPr>
          <w:rFonts w:cs="Times New Roman"/>
          <w:u w:val="single"/>
        </w:rPr>
        <w:t>l principio de contradicción de las pruebas</w:t>
      </w:r>
      <w:r w:rsidR="00D42781" w:rsidRPr="00B033A8">
        <w:rPr>
          <w:rFonts w:cs="Times New Roman"/>
        </w:rPr>
        <w:t xml:space="preserve">. </w:t>
      </w:r>
      <w:r w:rsidR="00961766" w:rsidRPr="00B033A8">
        <w:rPr>
          <w:rFonts w:cs="Times New Roman"/>
        </w:rPr>
        <w:t>Durante</w:t>
      </w:r>
      <w:r w:rsidR="00253371" w:rsidRPr="00B033A8">
        <w:rPr>
          <w:rFonts w:cs="Times New Roman"/>
        </w:rPr>
        <w:t xml:space="preserve"> la investigación administrativa,</w:t>
      </w:r>
      <w:r w:rsidR="00961766" w:rsidRPr="00B033A8">
        <w:rPr>
          <w:rFonts w:cs="Times New Roman"/>
        </w:rPr>
        <w:t xml:space="preserve"> la SIC</w:t>
      </w:r>
      <w:r w:rsidR="00253371" w:rsidRPr="00B033A8">
        <w:rPr>
          <w:rFonts w:cs="Times New Roman"/>
        </w:rPr>
        <w:t xml:space="preserve"> practica y valora todas las pruebas</w:t>
      </w:r>
      <w:r w:rsidR="00D42781" w:rsidRPr="00B033A8">
        <w:rPr>
          <w:rFonts w:cs="Times New Roman"/>
        </w:rPr>
        <w:t xml:space="preserve"> que luego serán determinantes en el proceso penal</w:t>
      </w:r>
      <w:r w:rsidRPr="00B033A8">
        <w:rPr>
          <w:rFonts w:cs="Times New Roman"/>
        </w:rPr>
        <w:t xml:space="preserve">. Esto </w:t>
      </w:r>
      <w:r w:rsidR="00253371" w:rsidRPr="00B033A8">
        <w:rPr>
          <w:rFonts w:cs="Times New Roman"/>
        </w:rPr>
        <w:t xml:space="preserve">impide </w:t>
      </w:r>
      <w:r w:rsidR="004B47AE" w:rsidRPr="00B033A8">
        <w:rPr>
          <w:rFonts w:cs="Times New Roman"/>
        </w:rPr>
        <w:t xml:space="preserve">que luego, en el proceso penal, </w:t>
      </w:r>
      <w:r w:rsidR="00253371" w:rsidRPr="00B033A8">
        <w:rPr>
          <w:rFonts w:cs="Times New Roman"/>
        </w:rPr>
        <w:t>la defensa</w:t>
      </w:r>
      <w:r w:rsidRPr="00B033A8">
        <w:rPr>
          <w:rFonts w:cs="Times New Roman"/>
        </w:rPr>
        <w:t xml:space="preserve"> pueda materialmente</w:t>
      </w:r>
      <w:r w:rsidR="00253371" w:rsidRPr="00B033A8">
        <w:rPr>
          <w:rFonts w:cs="Times New Roman"/>
        </w:rPr>
        <w:t xml:space="preserve"> </w:t>
      </w:r>
      <w:r w:rsidRPr="00B033A8">
        <w:rPr>
          <w:rFonts w:cs="Times New Roman"/>
        </w:rPr>
        <w:t>controvertir</w:t>
      </w:r>
      <w:r w:rsidR="00C17973" w:rsidRPr="00B033A8">
        <w:rPr>
          <w:rFonts w:cs="Times New Roman"/>
        </w:rPr>
        <w:t xml:space="preserve">las </w:t>
      </w:r>
      <w:r w:rsidR="004B47AE" w:rsidRPr="00B033A8">
        <w:rPr>
          <w:rFonts w:cs="Times New Roman"/>
        </w:rPr>
        <w:t xml:space="preserve">en </w:t>
      </w:r>
      <w:r w:rsidR="00253371" w:rsidRPr="00B033A8">
        <w:rPr>
          <w:rFonts w:cs="Times New Roman"/>
        </w:rPr>
        <w:t>la etapa de indagación.</w:t>
      </w:r>
    </w:p>
    <w:p w14:paraId="07383381" w14:textId="77777777" w:rsidR="00655D45" w:rsidRPr="00B033A8" w:rsidRDefault="00655D45" w:rsidP="00776641">
      <w:pPr>
        <w:pStyle w:val="Prrafodelista"/>
        <w:widowControl w:val="0"/>
        <w:spacing w:line="240" w:lineRule="auto"/>
        <w:ind w:left="0"/>
      </w:pPr>
    </w:p>
    <w:p w14:paraId="121C8467" w14:textId="3792A6C0" w:rsidR="00655D45" w:rsidRPr="00B033A8" w:rsidRDefault="00655D45" w:rsidP="00776641">
      <w:pPr>
        <w:pStyle w:val="Prrafodelista"/>
        <w:widowControl w:val="0"/>
        <w:numPr>
          <w:ilvl w:val="0"/>
          <w:numId w:val="14"/>
        </w:numPr>
        <w:spacing w:line="240" w:lineRule="auto"/>
        <w:rPr>
          <w:b/>
          <w:bCs/>
        </w:rPr>
      </w:pPr>
      <w:r w:rsidRPr="00B033A8">
        <w:rPr>
          <w:b/>
          <w:bCs/>
        </w:rPr>
        <w:t xml:space="preserve">Concepto de la </w:t>
      </w:r>
      <w:r w:rsidR="00CF7893" w:rsidRPr="00B033A8">
        <w:rPr>
          <w:b/>
          <w:bCs/>
        </w:rPr>
        <w:t>Procuraduría</w:t>
      </w:r>
      <w:r w:rsidRPr="00B033A8">
        <w:rPr>
          <w:b/>
          <w:bCs/>
        </w:rPr>
        <w:t xml:space="preserve"> General de la Nación</w:t>
      </w:r>
    </w:p>
    <w:p w14:paraId="6B102128" w14:textId="77777777" w:rsidR="00655D45" w:rsidRPr="00B033A8" w:rsidRDefault="00655D45" w:rsidP="00776641">
      <w:pPr>
        <w:widowControl w:val="0"/>
        <w:rPr>
          <w:rFonts w:cs="Times New Roman"/>
        </w:rPr>
      </w:pPr>
    </w:p>
    <w:p w14:paraId="7EB168FE" w14:textId="44ABF357" w:rsidR="00404F12" w:rsidRPr="00B033A8" w:rsidRDefault="00655D45" w:rsidP="00776641">
      <w:pPr>
        <w:numPr>
          <w:ilvl w:val="0"/>
          <w:numId w:val="12"/>
        </w:numPr>
        <w:tabs>
          <w:tab w:val="left" w:pos="567"/>
        </w:tabs>
        <w:ind w:left="0" w:firstLine="0"/>
        <w:rPr>
          <w:rFonts w:cs="Times New Roman"/>
        </w:rPr>
      </w:pPr>
      <w:r w:rsidRPr="00B033A8">
        <w:rPr>
          <w:rFonts w:cs="Times New Roman"/>
          <w:lang w:eastAsia="es-ES"/>
        </w:rPr>
        <w:t xml:space="preserve">El </w:t>
      </w:r>
      <w:r w:rsidR="00876443" w:rsidRPr="00B033A8">
        <w:rPr>
          <w:rFonts w:cs="Times New Roman"/>
          <w:lang w:eastAsia="es-ES"/>
        </w:rPr>
        <w:t>9 de octubre</w:t>
      </w:r>
      <w:r w:rsidRPr="00B033A8">
        <w:rPr>
          <w:rFonts w:cs="Times New Roman"/>
          <w:lang w:eastAsia="es-ES"/>
        </w:rPr>
        <w:t xml:space="preserve"> de 2024, </w:t>
      </w:r>
      <w:r w:rsidR="00A349FF" w:rsidRPr="00B033A8">
        <w:rPr>
          <w:rFonts w:cs="Times New Roman"/>
          <w:lang w:eastAsia="es-ES"/>
        </w:rPr>
        <w:t>el</w:t>
      </w:r>
      <w:r w:rsidRPr="00B033A8">
        <w:rPr>
          <w:rFonts w:cs="Times New Roman"/>
          <w:lang w:eastAsia="es-ES"/>
        </w:rPr>
        <w:t xml:space="preserve"> </w:t>
      </w:r>
      <w:r w:rsidR="00A349FF" w:rsidRPr="00B033A8">
        <w:rPr>
          <w:rFonts w:cs="Times New Roman"/>
          <w:lang w:eastAsia="es-ES"/>
        </w:rPr>
        <w:t>Vicep</w:t>
      </w:r>
      <w:r w:rsidRPr="00B033A8">
        <w:rPr>
          <w:rFonts w:cs="Times New Roman"/>
          <w:lang w:eastAsia="es-ES"/>
        </w:rPr>
        <w:t>rocurador General de la Nación presentó concepto</w:t>
      </w:r>
      <w:r w:rsidR="00404F12" w:rsidRPr="00B033A8">
        <w:rPr>
          <w:rFonts w:cs="Times New Roman"/>
          <w:lang w:eastAsia="es-ES"/>
        </w:rPr>
        <w:t xml:space="preserve"> en el que </w:t>
      </w:r>
      <w:r w:rsidR="00F267DD" w:rsidRPr="00B033A8">
        <w:rPr>
          <w:rFonts w:cs="Times New Roman"/>
          <w:lang w:eastAsia="es-ES"/>
        </w:rPr>
        <w:t>argumentó</w:t>
      </w:r>
      <w:r w:rsidR="00DF1A5D" w:rsidRPr="00B033A8">
        <w:rPr>
          <w:rFonts w:cs="Times New Roman"/>
          <w:lang w:eastAsia="es-ES"/>
        </w:rPr>
        <w:t xml:space="preserve"> que </w:t>
      </w:r>
      <w:r w:rsidR="00390BE6" w:rsidRPr="00B033A8">
        <w:rPr>
          <w:rFonts w:cs="Times New Roman"/>
          <w:lang w:eastAsia="es-ES"/>
        </w:rPr>
        <w:t xml:space="preserve">el </w:t>
      </w:r>
      <w:r w:rsidR="00F267DD" w:rsidRPr="00B033A8">
        <w:rPr>
          <w:rFonts w:cs="Times New Roman"/>
          <w:lang w:eastAsia="es-ES"/>
        </w:rPr>
        <w:t xml:space="preserve">artículo 410A del Código Penal es constitucional.  </w:t>
      </w:r>
    </w:p>
    <w:p w14:paraId="190535C4" w14:textId="77777777" w:rsidR="00404F12" w:rsidRPr="00B033A8" w:rsidRDefault="00404F12" w:rsidP="00776641">
      <w:pPr>
        <w:tabs>
          <w:tab w:val="left" w:pos="567"/>
        </w:tabs>
        <w:rPr>
          <w:rFonts w:cs="Times New Roman"/>
        </w:rPr>
      </w:pPr>
    </w:p>
    <w:p w14:paraId="528E91E7" w14:textId="499A60CB" w:rsidR="00E33A35" w:rsidRPr="00B033A8" w:rsidRDefault="00BC6C7F" w:rsidP="00776641">
      <w:pPr>
        <w:numPr>
          <w:ilvl w:val="0"/>
          <w:numId w:val="12"/>
        </w:numPr>
        <w:tabs>
          <w:tab w:val="left" w:pos="567"/>
        </w:tabs>
        <w:ind w:left="0" w:firstLine="0"/>
        <w:rPr>
          <w:rFonts w:cs="Times New Roman"/>
        </w:rPr>
      </w:pPr>
      <w:r w:rsidRPr="00B033A8">
        <w:rPr>
          <w:rFonts w:cs="Times New Roman"/>
          <w:lang w:eastAsia="es-ES"/>
        </w:rPr>
        <w:t xml:space="preserve"> </w:t>
      </w:r>
      <w:r w:rsidR="009713D6" w:rsidRPr="00B033A8">
        <w:rPr>
          <w:rFonts w:cs="Times New Roman"/>
          <w:lang w:eastAsia="es-ES"/>
        </w:rPr>
        <w:t xml:space="preserve">El Viceprocurador sostiene que, de acuerdo con la jurisprudencia constitucional, </w:t>
      </w:r>
      <w:r w:rsidR="001C39D6" w:rsidRPr="00B033A8">
        <w:rPr>
          <w:rFonts w:cs="Times New Roman"/>
          <w:lang w:eastAsia="es-ES"/>
        </w:rPr>
        <w:t xml:space="preserve">el principio de </w:t>
      </w:r>
      <w:r w:rsidR="00A85B85" w:rsidRPr="00B033A8">
        <w:rPr>
          <w:rFonts w:cs="Times New Roman"/>
          <w:lang w:eastAsia="es-ES"/>
        </w:rPr>
        <w:t>legalidad</w:t>
      </w:r>
      <w:r w:rsidR="001C39D6" w:rsidRPr="00B033A8">
        <w:rPr>
          <w:rFonts w:cs="Times New Roman"/>
          <w:lang w:eastAsia="es-ES"/>
        </w:rPr>
        <w:t xml:space="preserve"> </w:t>
      </w:r>
      <w:r w:rsidR="00FF3B39" w:rsidRPr="00B033A8">
        <w:rPr>
          <w:rFonts w:cs="Times New Roman"/>
          <w:lang w:eastAsia="es-ES"/>
        </w:rPr>
        <w:t>estricta</w:t>
      </w:r>
      <w:r w:rsidR="00B46BBD" w:rsidRPr="00B033A8">
        <w:rPr>
          <w:rFonts w:cs="Times New Roman"/>
          <w:lang w:eastAsia="es-ES"/>
        </w:rPr>
        <w:t xml:space="preserve"> </w:t>
      </w:r>
      <w:r w:rsidR="00A85B85" w:rsidRPr="00B033A8">
        <w:rPr>
          <w:rFonts w:cs="Times New Roman"/>
          <w:lang w:eastAsia="es-ES"/>
        </w:rPr>
        <w:t xml:space="preserve">o tipicidad </w:t>
      </w:r>
      <w:r w:rsidR="00B46BBD" w:rsidRPr="00B033A8">
        <w:rPr>
          <w:rFonts w:cs="Times New Roman"/>
          <w:lang w:eastAsia="es-ES"/>
        </w:rPr>
        <w:t>ordena</w:t>
      </w:r>
      <w:r w:rsidR="001C39D6" w:rsidRPr="00B033A8">
        <w:rPr>
          <w:rFonts w:cs="Times New Roman"/>
          <w:lang w:eastAsia="es-ES"/>
        </w:rPr>
        <w:t xml:space="preserve"> </w:t>
      </w:r>
      <w:r w:rsidR="007A5805" w:rsidRPr="00B033A8">
        <w:rPr>
          <w:rFonts w:cs="Times New Roman"/>
          <w:lang w:eastAsia="es-ES"/>
        </w:rPr>
        <w:t xml:space="preserve">que todos los </w:t>
      </w:r>
      <w:r w:rsidR="007A5805" w:rsidRPr="00B033A8">
        <w:rPr>
          <w:rFonts w:cs="Times New Roman"/>
          <w:lang w:eastAsia="es-ES"/>
        </w:rPr>
        <w:lastRenderedPageBreak/>
        <w:t xml:space="preserve">elementos normativos de </w:t>
      </w:r>
      <w:r w:rsidR="001C39D6" w:rsidRPr="00B033A8">
        <w:rPr>
          <w:rFonts w:cs="Times New Roman"/>
          <w:lang w:eastAsia="es-ES"/>
        </w:rPr>
        <w:t>los tipos penales en blanco o abierto</w:t>
      </w:r>
      <w:r w:rsidR="00032198" w:rsidRPr="00B033A8">
        <w:rPr>
          <w:rFonts w:cs="Times New Roman"/>
          <w:lang w:eastAsia="es-ES"/>
        </w:rPr>
        <w:t>s</w:t>
      </w:r>
      <w:r w:rsidR="007A5805" w:rsidRPr="00B033A8">
        <w:rPr>
          <w:rFonts w:cs="Times New Roman"/>
          <w:lang w:eastAsia="es-ES"/>
        </w:rPr>
        <w:t xml:space="preserve"> sean “razonablemente determinables por el </w:t>
      </w:r>
      <w:r w:rsidR="00032198" w:rsidRPr="00B033A8">
        <w:rPr>
          <w:rFonts w:cs="Times New Roman"/>
          <w:lang w:eastAsia="es-ES"/>
        </w:rPr>
        <w:t>intérprete</w:t>
      </w:r>
      <w:r w:rsidR="007A5805" w:rsidRPr="00B033A8">
        <w:rPr>
          <w:rFonts w:cs="Times New Roman"/>
          <w:lang w:eastAsia="es-ES"/>
        </w:rPr>
        <w:t xml:space="preserve">”. </w:t>
      </w:r>
      <w:r w:rsidR="00032198" w:rsidRPr="00B033A8">
        <w:rPr>
          <w:rFonts w:cs="Times New Roman"/>
          <w:lang w:eastAsia="es-ES"/>
        </w:rPr>
        <w:t>Esto</w:t>
      </w:r>
      <w:r w:rsidR="003352F3" w:rsidRPr="00B033A8">
        <w:rPr>
          <w:rFonts w:cs="Times New Roman"/>
          <w:lang w:eastAsia="es-ES"/>
        </w:rPr>
        <w:t xml:space="preserve">, </w:t>
      </w:r>
      <w:r w:rsidR="003352F3" w:rsidRPr="00B033A8">
        <w:rPr>
          <w:rFonts w:cs="Times New Roman"/>
          <w:i/>
          <w:iCs/>
          <w:lang w:eastAsia="es-ES"/>
        </w:rPr>
        <w:t>(i)</w:t>
      </w:r>
      <w:r w:rsidR="003352F3" w:rsidRPr="00B033A8">
        <w:rPr>
          <w:rFonts w:cs="Times New Roman"/>
          <w:lang w:eastAsia="es-ES"/>
        </w:rPr>
        <w:t xml:space="preserve"> </w:t>
      </w:r>
      <w:r w:rsidR="00032198" w:rsidRPr="00B033A8">
        <w:rPr>
          <w:rFonts w:cs="Times New Roman"/>
          <w:lang w:eastAsia="es-ES"/>
        </w:rPr>
        <w:t xml:space="preserve">mediante </w:t>
      </w:r>
      <w:r w:rsidR="00FF3B39" w:rsidRPr="00B033A8">
        <w:rPr>
          <w:rFonts w:cs="Times New Roman"/>
          <w:lang w:eastAsia="es-ES"/>
        </w:rPr>
        <w:t>“referencias al ‘ámbito jurídico que</w:t>
      </w:r>
      <w:r w:rsidR="0064776D" w:rsidRPr="00B033A8">
        <w:rPr>
          <w:rFonts w:cs="Times New Roman"/>
          <w:lang w:eastAsia="es-ES"/>
        </w:rPr>
        <w:t xml:space="preserve"> permitan precisar su contenido y alcance’</w:t>
      </w:r>
      <w:r w:rsidR="00C526AC" w:rsidRPr="00B033A8">
        <w:rPr>
          <w:rFonts w:cs="Times New Roman"/>
          <w:lang w:eastAsia="es-ES"/>
        </w:rPr>
        <w:t xml:space="preserve">” o </w:t>
      </w:r>
      <w:r w:rsidR="00C526AC" w:rsidRPr="00B033A8">
        <w:rPr>
          <w:rFonts w:cs="Times New Roman"/>
          <w:i/>
          <w:iCs/>
          <w:lang w:eastAsia="es-ES"/>
        </w:rPr>
        <w:t>(</w:t>
      </w:r>
      <w:proofErr w:type="spellStart"/>
      <w:r w:rsidR="00C526AC" w:rsidRPr="00B033A8">
        <w:rPr>
          <w:rFonts w:cs="Times New Roman"/>
          <w:i/>
          <w:iCs/>
          <w:lang w:eastAsia="es-ES"/>
        </w:rPr>
        <w:t>ii</w:t>
      </w:r>
      <w:proofErr w:type="spellEnd"/>
      <w:r w:rsidR="00C526AC" w:rsidRPr="00B033A8">
        <w:rPr>
          <w:rFonts w:cs="Times New Roman"/>
          <w:i/>
          <w:iCs/>
          <w:lang w:eastAsia="es-ES"/>
        </w:rPr>
        <w:t>)</w:t>
      </w:r>
      <w:r w:rsidR="00C526AC" w:rsidRPr="00B033A8">
        <w:rPr>
          <w:rFonts w:cs="Times New Roman"/>
          <w:lang w:eastAsia="es-ES"/>
        </w:rPr>
        <w:t xml:space="preserve"> a partir de las “reglas generales de interpretación”</w:t>
      </w:r>
      <w:r w:rsidR="00C526AC" w:rsidRPr="00B033A8">
        <w:rPr>
          <w:rStyle w:val="Refdenotaalpie"/>
          <w:rFonts w:cs="Times New Roman"/>
          <w:lang w:eastAsia="es-ES"/>
        </w:rPr>
        <w:footnoteReference w:id="57"/>
      </w:r>
      <w:r w:rsidR="00C526AC" w:rsidRPr="00B033A8">
        <w:rPr>
          <w:rFonts w:cs="Times New Roman"/>
          <w:lang w:eastAsia="es-ES"/>
        </w:rPr>
        <w:t xml:space="preserve">. </w:t>
      </w:r>
      <w:r w:rsidR="00F37DC7" w:rsidRPr="00B033A8">
        <w:rPr>
          <w:rFonts w:cs="Times New Roman"/>
          <w:lang w:eastAsia="es-ES"/>
        </w:rPr>
        <w:t xml:space="preserve">Según el Ministerio Público, el artículo 410A del Código Penal satisface estas exigencias, </w:t>
      </w:r>
      <w:r w:rsidR="009B2953" w:rsidRPr="00B033A8">
        <w:rPr>
          <w:rFonts w:cs="Times New Roman"/>
          <w:lang w:eastAsia="es-ES"/>
        </w:rPr>
        <w:t>dado que “la tipificación es comprensible a partir de las reglas generales de interpretación”</w:t>
      </w:r>
      <w:r w:rsidR="0054770B" w:rsidRPr="00B033A8">
        <w:rPr>
          <w:rFonts w:cs="Times New Roman"/>
          <w:lang w:eastAsia="es-ES"/>
        </w:rPr>
        <w:t xml:space="preserve"> y las normas sobre la “contratación pública y la protección de la competencia”</w:t>
      </w:r>
      <w:r w:rsidR="00E6481C" w:rsidRPr="00B033A8">
        <w:rPr>
          <w:rFonts w:cs="Times New Roman"/>
          <w:lang w:eastAsia="es-ES"/>
        </w:rPr>
        <w:t>.</w:t>
      </w:r>
      <w:r w:rsidR="00C96F93" w:rsidRPr="00B033A8">
        <w:rPr>
          <w:rFonts w:cs="Times New Roman"/>
          <w:lang w:eastAsia="es-ES"/>
        </w:rPr>
        <w:t xml:space="preserve"> </w:t>
      </w:r>
    </w:p>
    <w:p w14:paraId="42801EEA" w14:textId="77777777" w:rsidR="00E33A35" w:rsidRPr="00B033A8" w:rsidRDefault="00E33A35" w:rsidP="00776641">
      <w:pPr>
        <w:pStyle w:val="Prrafodelista"/>
        <w:spacing w:line="240" w:lineRule="auto"/>
        <w:rPr>
          <w:lang w:eastAsia="es-ES"/>
        </w:rPr>
      </w:pPr>
    </w:p>
    <w:p w14:paraId="1FF6B344" w14:textId="3C34C3CE" w:rsidR="009C7949" w:rsidRPr="00B033A8" w:rsidRDefault="00E6481C" w:rsidP="00776641">
      <w:pPr>
        <w:numPr>
          <w:ilvl w:val="0"/>
          <w:numId w:val="12"/>
        </w:numPr>
        <w:tabs>
          <w:tab w:val="left" w:pos="567"/>
        </w:tabs>
        <w:ind w:left="0" w:firstLine="0"/>
        <w:rPr>
          <w:rFonts w:cs="Times New Roman"/>
        </w:rPr>
      </w:pPr>
      <w:r w:rsidRPr="00B033A8">
        <w:rPr>
          <w:rFonts w:cs="Times New Roman"/>
          <w:lang w:eastAsia="es-ES"/>
        </w:rPr>
        <w:t>Al respecto, señala que</w:t>
      </w:r>
      <w:r w:rsidR="003B352A" w:rsidRPr="00B033A8">
        <w:rPr>
          <w:rFonts w:cs="Times New Roman"/>
          <w:lang w:eastAsia="es-ES"/>
        </w:rPr>
        <w:t>,</w:t>
      </w:r>
      <w:r w:rsidR="00E33A35" w:rsidRPr="00B033A8">
        <w:rPr>
          <w:rFonts w:cs="Times New Roman"/>
          <w:lang w:eastAsia="es-ES"/>
        </w:rPr>
        <w:t xml:space="preserve"> d</w:t>
      </w:r>
      <w:r w:rsidRPr="00B033A8">
        <w:rPr>
          <w:rFonts w:cs="Times New Roman"/>
        </w:rPr>
        <w:t xml:space="preserve">e acuerdo con el Diccionario de la </w:t>
      </w:r>
      <w:r w:rsidR="00870EFF" w:rsidRPr="00B033A8">
        <w:rPr>
          <w:rFonts w:cs="Times New Roman"/>
        </w:rPr>
        <w:t>Real Academia Española</w:t>
      </w:r>
      <w:r w:rsidR="00810045" w:rsidRPr="00B033A8">
        <w:rPr>
          <w:rFonts w:cs="Times New Roman"/>
        </w:rPr>
        <w:t>,</w:t>
      </w:r>
      <w:r w:rsidR="00870EFF" w:rsidRPr="00B033A8">
        <w:rPr>
          <w:rFonts w:cs="Times New Roman"/>
        </w:rPr>
        <w:t xml:space="preserve"> el verbo rector de</w:t>
      </w:r>
      <w:r w:rsidR="00810045" w:rsidRPr="00B033A8">
        <w:rPr>
          <w:rFonts w:cs="Times New Roman"/>
        </w:rPr>
        <w:t>l</w:t>
      </w:r>
      <w:r w:rsidR="00870EFF" w:rsidRPr="00B033A8">
        <w:rPr>
          <w:rFonts w:cs="Times New Roman"/>
        </w:rPr>
        <w:t xml:space="preserve"> tipo penal</w:t>
      </w:r>
      <w:r w:rsidR="00601DFA" w:rsidRPr="00B033A8">
        <w:rPr>
          <w:rFonts w:cs="Times New Roman"/>
        </w:rPr>
        <w:t xml:space="preserve"> </w:t>
      </w:r>
      <w:r w:rsidR="000E46D7" w:rsidRPr="00B033A8">
        <w:rPr>
          <w:rFonts w:cs="Times New Roman"/>
        </w:rPr>
        <w:t>–</w:t>
      </w:r>
      <w:r w:rsidR="00601DFA" w:rsidRPr="00B033A8">
        <w:rPr>
          <w:rFonts w:cs="Times New Roman"/>
          <w:i/>
          <w:iCs/>
        </w:rPr>
        <w:t>concertar</w:t>
      </w:r>
      <w:r w:rsidR="000E46D7" w:rsidRPr="00B033A8">
        <w:rPr>
          <w:rFonts w:cs="Times New Roman"/>
        </w:rPr>
        <w:t>–</w:t>
      </w:r>
      <w:r w:rsidR="00597019" w:rsidRPr="00B033A8">
        <w:rPr>
          <w:rFonts w:cs="Times New Roman"/>
        </w:rPr>
        <w:t xml:space="preserve"> </w:t>
      </w:r>
      <w:r w:rsidR="00FA1FAC" w:rsidRPr="00B033A8">
        <w:rPr>
          <w:rFonts w:cs="Times New Roman"/>
        </w:rPr>
        <w:t>implica la participación de un número plural de sujetos</w:t>
      </w:r>
      <w:r w:rsidR="009A3626" w:rsidRPr="00B033A8">
        <w:rPr>
          <w:rFonts w:cs="Times New Roman"/>
        </w:rPr>
        <w:t>.</w:t>
      </w:r>
      <w:r w:rsidR="00FA1FAC" w:rsidRPr="00B033A8">
        <w:rPr>
          <w:rFonts w:cs="Times New Roman"/>
        </w:rPr>
        <w:t xml:space="preserve"> </w:t>
      </w:r>
      <w:r w:rsidR="00597019" w:rsidRPr="00B033A8">
        <w:rPr>
          <w:rFonts w:cs="Times New Roman"/>
        </w:rPr>
        <w:t>En este sentido, la concertación “con el fin de alterar ilícitamente el procedimiento contractual” que se sanciona en el artículo 410</w:t>
      </w:r>
      <w:r w:rsidR="00E33A35" w:rsidRPr="00B033A8">
        <w:rPr>
          <w:rFonts w:cs="Times New Roman"/>
        </w:rPr>
        <w:t xml:space="preserve">A </w:t>
      </w:r>
      <w:r w:rsidR="00597019" w:rsidRPr="00B033A8">
        <w:rPr>
          <w:rFonts w:cs="Times New Roman"/>
        </w:rPr>
        <w:t xml:space="preserve">del Código </w:t>
      </w:r>
      <w:r w:rsidR="00FA1FAC" w:rsidRPr="00B033A8">
        <w:rPr>
          <w:rFonts w:cs="Times New Roman"/>
        </w:rPr>
        <w:t>Penal se refiere “al acuerdo re</w:t>
      </w:r>
      <w:r w:rsidR="00810045" w:rsidRPr="00B033A8">
        <w:rPr>
          <w:rFonts w:cs="Times New Roman"/>
        </w:rPr>
        <w:t>a</w:t>
      </w:r>
      <w:r w:rsidR="00FA1FAC" w:rsidRPr="00B033A8">
        <w:rPr>
          <w:rFonts w:cs="Times New Roman"/>
        </w:rPr>
        <w:t>l</w:t>
      </w:r>
      <w:r w:rsidR="00810045" w:rsidRPr="00B033A8">
        <w:rPr>
          <w:rFonts w:cs="Times New Roman"/>
        </w:rPr>
        <w:t>i</w:t>
      </w:r>
      <w:r w:rsidR="00FA1FAC" w:rsidRPr="00B033A8">
        <w:rPr>
          <w:rFonts w:cs="Times New Roman"/>
        </w:rPr>
        <w:t>zado con otro</w:t>
      </w:r>
      <w:r w:rsidR="001E11F4" w:rsidRPr="00B033A8">
        <w:rPr>
          <w:rFonts w:cs="Times New Roman"/>
        </w:rPr>
        <w:t xml:space="preserve"> </w:t>
      </w:r>
      <w:r w:rsidR="005A4AB4" w:rsidRPr="00B033A8">
        <w:rPr>
          <w:rFonts w:cs="Times New Roman"/>
        </w:rPr>
        <w:t>con la intención de ‘modificar’, ‘torpedear’ o ‘desviar’ el objetivo y el desarrollo del trámite establecido para celebrar negocios jurídicos con el Estado”</w:t>
      </w:r>
      <w:r w:rsidR="00922C45" w:rsidRPr="00B033A8">
        <w:rPr>
          <w:rStyle w:val="Refdenotaalpie"/>
          <w:rFonts w:cs="Times New Roman"/>
        </w:rPr>
        <w:footnoteReference w:id="58"/>
      </w:r>
      <w:r w:rsidR="005A4AB4" w:rsidRPr="00B033A8">
        <w:rPr>
          <w:rFonts w:cs="Times New Roman"/>
        </w:rPr>
        <w:t xml:space="preserve">. </w:t>
      </w:r>
      <w:r w:rsidR="00C57CB9" w:rsidRPr="00B033A8">
        <w:rPr>
          <w:rFonts w:cs="Times New Roman"/>
        </w:rPr>
        <w:t xml:space="preserve"> </w:t>
      </w:r>
      <w:r w:rsidR="009C7949" w:rsidRPr="00B033A8">
        <w:rPr>
          <w:rFonts w:cs="Times New Roman"/>
        </w:rPr>
        <w:t>Por lo demás, la norma precisa que “la comisión del ilícito se encuentra circunscrita a unos escenarios específicos, ya que se configura en el marco de</w:t>
      </w:r>
      <w:r w:rsidR="00810045" w:rsidRPr="00B033A8">
        <w:rPr>
          <w:rFonts w:cs="Times New Roman"/>
        </w:rPr>
        <w:t>l</w:t>
      </w:r>
      <w:r w:rsidR="009C7949" w:rsidRPr="00B033A8">
        <w:rPr>
          <w:rFonts w:cs="Times New Roman"/>
        </w:rPr>
        <w:t xml:space="preserve"> proceso de ‘licitación pública’, subasta pública’, ‘selección abreviada’ o </w:t>
      </w:r>
      <w:r w:rsidR="00961766" w:rsidRPr="00B033A8">
        <w:rPr>
          <w:rFonts w:cs="Times New Roman"/>
        </w:rPr>
        <w:t>‘</w:t>
      </w:r>
      <w:r w:rsidR="009C7949" w:rsidRPr="00B033A8">
        <w:rPr>
          <w:rFonts w:cs="Times New Roman"/>
        </w:rPr>
        <w:t>concurso’”</w:t>
      </w:r>
      <w:r w:rsidR="009C7949" w:rsidRPr="00B033A8">
        <w:rPr>
          <w:rStyle w:val="Refdenotaalpie"/>
          <w:rFonts w:cs="Times New Roman"/>
        </w:rPr>
        <w:footnoteReference w:id="59"/>
      </w:r>
      <w:r w:rsidR="009C7949" w:rsidRPr="00B033A8">
        <w:rPr>
          <w:rFonts w:cs="Times New Roman"/>
        </w:rPr>
        <w:t xml:space="preserve">. </w:t>
      </w:r>
    </w:p>
    <w:p w14:paraId="661CF1A8" w14:textId="77777777" w:rsidR="00E33A35" w:rsidRPr="00B033A8" w:rsidRDefault="00E33A35" w:rsidP="00776641">
      <w:pPr>
        <w:pStyle w:val="Prrafodelista"/>
        <w:spacing w:line="240" w:lineRule="auto"/>
      </w:pPr>
    </w:p>
    <w:p w14:paraId="629866AD" w14:textId="01455868" w:rsidR="0037169C" w:rsidRPr="00B033A8" w:rsidRDefault="00E33A35" w:rsidP="00776641">
      <w:pPr>
        <w:numPr>
          <w:ilvl w:val="0"/>
          <w:numId w:val="12"/>
        </w:numPr>
        <w:tabs>
          <w:tab w:val="left" w:pos="567"/>
        </w:tabs>
        <w:ind w:left="0" w:firstLine="0"/>
        <w:rPr>
          <w:rFonts w:cs="Times New Roman"/>
        </w:rPr>
      </w:pPr>
      <w:r w:rsidRPr="00B033A8">
        <w:rPr>
          <w:rFonts w:cs="Times New Roman"/>
        </w:rPr>
        <w:t xml:space="preserve">Por otro lado, </w:t>
      </w:r>
      <w:r w:rsidR="004640A6" w:rsidRPr="00B033A8">
        <w:rPr>
          <w:rFonts w:cs="Times New Roman"/>
        </w:rPr>
        <w:t>el Viceprocurador sostiene que</w:t>
      </w:r>
      <w:r w:rsidR="0048708C" w:rsidRPr="00B033A8">
        <w:rPr>
          <w:rFonts w:cs="Times New Roman"/>
        </w:rPr>
        <w:t xml:space="preserve"> para comprender el alcance de</w:t>
      </w:r>
      <w:r w:rsidR="004640A6" w:rsidRPr="00B033A8">
        <w:rPr>
          <w:rFonts w:cs="Times New Roman"/>
        </w:rPr>
        <w:t xml:space="preserve"> </w:t>
      </w:r>
      <w:r w:rsidR="0048708C" w:rsidRPr="00B033A8">
        <w:rPr>
          <w:rFonts w:cs="Times New Roman"/>
        </w:rPr>
        <w:t>la expresión</w:t>
      </w:r>
      <w:r w:rsidR="004640A6" w:rsidRPr="00B033A8">
        <w:rPr>
          <w:rFonts w:cs="Times New Roman"/>
        </w:rPr>
        <w:t xml:space="preserve"> “alterar ilícitamente</w:t>
      </w:r>
      <w:r w:rsidR="0048708C" w:rsidRPr="00B033A8">
        <w:rPr>
          <w:rFonts w:cs="Times New Roman"/>
        </w:rPr>
        <w:t xml:space="preserve"> el procedimiento contractual</w:t>
      </w:r>
      <w:r w:rsidR="004640A6" w:rsidRPr="00B033A8">
        <w:rPr>
          <w:rFonts w:cs="Times New Roman"/>
        </w:rPr>
        <w:t>”</w:t>
      </w:r>
      <w:r w:rsidR="00810045" w:rsidRPr="00B033A8">
        <w:rPr>
          <w:rFonts w:cs="Times New Roman"/>
        </w:rPr>
        <w:t>,</w:t>
      </w:r>
      <w:r w:rsidR="004640A6" w:rsidRPr="00B033A8">
        <w:rPr>
          <w:rFonts w:cs="Times New Roman"/>
        </w:rPr>
        <w:t xml:space="preserve"> </w:t>
      </w:r>
      <w:r w:rsidR="0048708C" w:rsidRPr="00B033A8">
        <w:rPr>
          <w:rFonts w:cs="Times New Roman"/>
        </w:rPr>
        <w:t xml:space="preserve">es necesario “acudir al contexto </w:t>
      </w:r>
      <w:r w:rsidR="00722CA8" w:rsidRPr="00B033A8">
        <w:rPr>
          <w:rFonts w:cs="Times New Roman"/>
        </w:rPr>
        <w:t>normativo</w:t>
      </w:r>
      <w:r w:rsidR="0048708C" w:rsidRPr="00B033A8">
        <w:rPr>
          <w:rFonts w:cs="Times New Roman"/>
        </w:rPr>
        <w:t xml:space="preserve"> en el que se inserta</w:t>
      </w:r>
      <w:r w:rsidR="00722CA8" w:rsidRPr="00B033A8">
        <w:rPr>
          <w:rFonts w:cs="Times New Roman"/>
        </w:rPr>
        <w:t xml:space="preserve"> el precepto”. </w:t>
      </w:r>
      <w:r w:rsidR="00121985" w:rsidRPr="00B033A8">
        <w:rPr>
          <w:rFonts w:cs="Times New Roman"/>
        </w:rPr>
        <w:t>Sobre este punto</w:t>
      </w:r>
      <w:r w:rsidR="00722CA8" w:rsidRPr="00B033A8">
        <w:rPr>
          <w:rFonts w:cs="Times New Roman"/>
        </w:rPr>
        <w:t xml:space="preserve">, señala que: </w:t>
      </w:r>
    </w:p>
    <w:p w14:paraId="0BA7DC68" w14:textId="77777777" w:rsidR="0037169C" w:rsidRPr="00B033A8" w:rsidRDefault="0037169C" w:rsidP="00776641">
      <w:pPr>
        <w:rPr>
          <w:rFonts w:cs="Times New Roman"/>
        </w:rPr>
      </w:pPr>
    </w:p>
    <w:p w14:paraId="61A3DB18" w14:textId="3B98B7BE" w:rsidR="0037169C" w:rsidRPr="00B033A8" w:rsidRDefault="00F94DAB" w:rsidP="00776641">
      <w:pPr>
        <w:numPr>
          <w:ilvl w:val="1"/>
          <w:numId w:val="13"/>
        </w:numPr>
        <w:tabs>
          <w:tab w:val="left" w:pos="851"/>
        </w:tabs>
        <w:ind w:left="567"/>
        <w:rPr>
          <w:rFonts w:cs="Times New Roman"/>
        </w:rPr>
      </w:pPr>
      <w:r w:rsidRPr="00B033A8">
        <w:rPr>
          <w:rFonts w:cs="Times New Roman"/>
        </w:rPr>
        <w:t>La norma acusada se encuentra incluida en el título de “los delitos contra la administración púb</w:t>
      </w:r>
      <w:r w:rsidR="00551BC0" w:rsidRPr="00B033A8">
        <w:rPr>
          <w:rFonts w:cs="Times New Roman"/>
        </w:rPr>
        <w:t>l</w:t>
      </w:r>
      <w:r w:rsidRPr="00B033A8">
        <w:rPr>
          <w:rFonts w:cs="Times New Roman"/>
        </w:rPr>
        <w:t xml:space="preserve">ica”, en el capítulo “celebración indebida de contratos”. </w:t>
      </w:r>
      <w:r w:rsidR="00121985" w:rsidRPr="00B033A8">
        <w:rPr>
          <w:rFonts w:cs="Times New Roman"/>
        </w:rPr>
        <w:t>Esto permite interpretar que</w:t>
      </w:r>
      <w:r w:rsidR="00B47D1B" w:rsidRPr="00B033A8">
        <w:rPr>
          <w:rFonts w:cs="Times New Roman"/>
        </w:rPr>
        <w:t xml:space="preserve"> la expresión</w:t>
      </w:r>
      <w:r w:rsidR="00074E75" w:rsidRPr="00B033A8">
        <w:rPr>
          <w:rFonts w:cs="Times New Roman"/>
        </w:rPr>
        <w:t xml:space="preserve"> “</w:t>
      </w:r>
      <w:r w:rsidR="00074E75" w:rsidRPr="00B033A8">
        <w:rPr>
          <w:rFonts w:cs="Times New Roman"/>
          <w:i/>
          <w:iCs/>
        </w:rPr>
        <w:t>procedimiento contractual</w:t>
      </w:r>
      <w:r w:rsidR="00074E75" w:rsidRPr="00B033A8">
        <w:rPr>
          <w:rFonts w:cs="Times New Roman"/>
        </w:rPr>
        <w:t>”,</w:t>
      </w:r>
      <w:r w:rsidR="00B47D1B" w:rsidRPr="00B033A8">
        <w:rPr>
          <w:rFonts w:cs="Times New Roman"/>
        </w:rPr>
        <w:t xml:space="preserve"> se refiere “al trámite de los negocios jurídicos</w:t>
      </w:r>
      <w:r w:rsidR="00AD5E37" w:rsidRPr="00B033A8">
        <w:rPr>
          <w:rFonts w:cs="Times New Roman"/>
        </w:rPr>
        <w:t xml:space="preserve"> con el Estado, que se encuentra ordenado en las leyes 80 de 199</w:t>
      </w:r>
      <w:r w:rsidR="00810045" w:rsidRPr="00B033A8">
        <w:rPr>
          <w:rFonts w:cs="Times New Roman"/>
        </w:rPr>
        <w:t>3</w:t>
      </w:r>
      <w:r w:rsidR="00AD5E37" w:rsidRPr="00B033A8">
        <w:rPr>
          <w:rFonts w:cs="Times New Roman"/>
        </w:rPr>
        <w:t xml:space="preserve"> y 1150 de 2007</w:t>
      </w:r>
      <w:r w:rsidR="00B47D1B" w:rsidRPr="00B033A8">
        <w:rPr>
          <w:rFonts w:cs="Times New Roman"/>
        </w:rPr>
        <w:t>”</w:t>
      </w:r>
      <w:r w:rsidR="00DF65C0" w:rsidRPr="00B033A8">
        <w:rPr>
          <w:rStyle w:val="Refdenotaalpie"/>
          <w:rFonts w:cs="Times New Roman"/>
        </w:rPr>
        <w:footnoteReference w:id="60"/>
      </w:r>
      <w:r w:rsidR="00AD5E37" w:rsidRPr="00B033A8">
        <w:rPr>
          <w:rFonts w:cs="Times New Roman"/>
        </w:rPr>
        <w:t>.</w:t>
      </w:r>
    </w:p>
    <w:p w14:paraId="404A2698" w14:textId="7B972CA1" w:rsidR="0037169C" w:rsidRPr="00B033A8" w:rsidRDefault="00121985" w:rsidP="00776641">
      <w:pPr>
        <w:numPr>
          <w:ilvl w:val="1"/>
          <w:numId w:val="13"/>
        </w:numPr>
        <w:tabs>
          <w:tab w:val="left" w:pos="851"/>
        </w:tabs>
        <w:ind w:left="567"/>
        <w:rPr>
          <w:rFonts w:cs="Times New Roman"/>
        </w:rPr>
      </w:pPr>
      <w:r w:rsidRPr="00B033A8">
        <w:rPr>
          <w:rFonts w:cs="Times New Roman"/>
        </w:rPr>
        <w:t>El tipo penal se denomina</w:t>
      </w:r>
      <w:r w:rsidR="005C4DD6" w:rsidRPr="00B033A8">
        <w:rPr>
          <w:rFonts w:cs="Times New Roman"/>
        </w:rPr>
        <w:t>:</w:t>
      </w:r>
      <w:r w:rsidR="00176F49" w:rsidRPr="00B033A8">
        <w:rPr>
          <w:rFonts w:cs="Times New Roman"/>
        </w:rPr>
        <w:t xml:space="preserve"> </w:t>
      </w:r>
      <w:r w:rsidR="005C4DD6" w:rsidRPr="00B033A8">
        <w:rPr>
          <w:rFonts w:cs="Times New Roman"/>
        </w:rPr>
        <w:t>“</w:t>
      </w:r>
      <w:r w:rsidR="00176F49" w:rsidRPr="00B033A8">
        <w:rPr>
          <w:rFonts w:cs="Times New Roman"/>
        </w:rPr>
        <w:t>acuerdos restrictivos de la competencia</w:t>
      </w:r>
      <w:r w:rsidR="005C4DD6" w:rsidRPr="00B033A8">
        <w:rPr>
          <w:rFonts w:cs="Times New Roman"/>
        </w:rPr>
        <w:t>”. Según el Viceprocurador, este es</w:t>
      </w:r>
      <w:r w:rsidR="00176F49" w:rsidRPr="00B033A8">
        <w:rPr>
          <w:rFonts w:cs="Times New Roman"/>
        </w:rPr>
        <w:t xml:space="preserve"> </w:t>
      </w:r>
      <w:r w:rsidR="005C4DD6" w:rsidRPr="00B033A8">
        <w:rPr>
          <w:rFonts w:cs="Times New Roman"/>
        </w:rPr>
        <w:t>“</w:t>
      </w:r>
      <w:r w:rsidR="00176F49" w:rsidRPr="00B033A8">
        <w:rPr>
          <w:rFonts w:cs="Times New Roman"/>
        </w:rPr>
        <w:t>un término técnico definido en la legislación del derecho de la competencia”</w:t>
      </w:r>
      <w:r w:rsidR="005C4DD6" w:rsidRPr="00B033A8">
        <w:rPr>
          <w:rFonts w:cs="Times New Roman"/>
        </w:rPr>
        <w:t xml:space="preserve">, </w:t>
      </w:r>
      <w:r w:rsidR="00176F49" w:rsidRPr="00B033A8">
        <w:rPr>
          <w:rFonts w:cs="Times New Roman"/>
        </w:rPr>
        <w:t>regulado en las leyes 155 de 1959 y 1340 de 2009</w:t>
      </w:r>
      <w:r w:rsidR="005C4DD6" w:rsidRPr="00B033A8">
        <w:rPr>
          <w:rFonts w:cs="Times New Roman"/>
        </w:rPr>
        <w:t xml:space="preserve">, así como </w:t>
      </w:r>
      <w:r w:rsidR="00B41F52" w:rsidRPr="00B033A8">
        <w:rPr>
          <w:rFonts w:cs="Times New Roman"/>
        </w:rPr>
        <w:t xml:space="preserve">en </w:t>
      </w:r>
      <w:r w:rsidR="00176F49" w:rsidRPr="00B033A8">
        <w:rPr>
          <w:rFonts w:cs="Times New Roman"/>
        </w:rPr>
        <w:t xml:space="preserve">el </w:t>
      </w:r>
      <w:r w:rsidR="00D94E2E" w:rsidRPr="00B033A8">
        <w:rPr>
          <w:rFonts w:cs="Times New Roman"/>
        </w:rPr>
        <w:t xml:space="preserve">Decreto 2153 de 1992. </w:t>
      </w:r>
      <w:r w:rsidR="005C4DD6" w:rsidRPr="00B033A8">
        <w:rPr>
          <w:rFonts w:cs="Times New Roman"/>
        </w:rPr>
        <w:t>En particular, el</w:t>
      </w:r>
      <w:r w:rsidR="00D94E2E" w:rsidRPr="00B033A8">
        <w:rPr>
          <w:rFonts w:cs="Times New Roman"/>
        </w:rPr>
        <w:t xml:space="preserve"> </w:t>
      </w:r>
      <w:r w:rsidR="00961766" w:rsidRPr="00B033A8">
        <w:rPr>
          <w:rFonts w:cs="Times New Roman"/>
        </w:rPr>
        <w:t xml:space="preserve">artículo </w:t>
      </w:r>
      <w:r w:rsidR="00D94E2E" w:rsidRPr="00B033A8">
        <w:rPr>
          <w:rFonts w:cs="Times New Roman"/>
        </w:rPr>
        <w:t>47.9</w:t>
      </w:r>
      <w:r w:rsidR="00961766" w:rsidRPr="00B033A8">
        <w:rPr>
          <w:rFonts w:cs="Times New Roman"/>
        </w:rPr>
        <w:t xml:space="preserve"> del</w:t>
      </w:r>
      <w:r w:rsidR="00F95F2F" w:rsidRPr="00B033A8">
        <w:rPr>
          <w:rFonts w:cs="Times New Roman"/>
        </w:rPr>
        <w:t xml:space="preserve"> </w:t>
      </w:r>
      <w:r w:rsidR="005C4DD6" w:rsidRPr="00B033A8">
        <w:rPr>
          <w:rFonts w:cs="Times New Roman"/>
        </w:rPr>
        <w:t>Decreto 2153 de 1992</w:t>
      </w:r>
      <w:r w:rsidR="00055219" w:rsidRPr="00B033A8">
        <w:rPr>
          <w:rFonts w:cs="Times New Roman"/>
        </w:rPr>
        <w:t xml:space="preserve"> define </w:t>
      </w:r>
      <w:r w:rsidR="00F95F2F" w:rsidRPr="00B033A8">
        <w:rPr>
          <w:rFonts w:cs="Times New Roman"/>
        </w:rPr>
        <w:t>los acuerdos restrictivos de la competencia en materia contractual</w:t>
      </w:r>
      <w:r w:rsidR="000D1C27" w:rsidRPr="00B033A8">
        <w:rPr>
          <w:rFonts w:cs="Times New Roman"/>
        </w:rPr>
        <w:t xml:space="preserve"> con el Estado</w:t>
      </w:r>
      <w:r w:rsidR="00F95F2F" w:rsidRPr="00B033A8">
        <w:rPr>
          <w:rFonts w:cs="Times New Roman"/>
        </w:rPr>
        <w:t xml:space="preserve">, como aquellos </w:t>
      </w:r>
      <w:r w:rsidR="000149F0" w:rsidRPr="00B033A8">
        <w:rPr>
          <w:rFonts w:cs="Times New Roman"/>
        </w:rPr>
        <w:t>que “tengan por objeto la colusión en las licitaciones o concursos o los que tengan como efecto la distribución de adjudicaciones de contratos, distribución de concursos o fijación de términos de las propuestas”</w:t>
      </w:r>
      <w:r w:rsidR="000149F0" w:rsidRPr="00B033A8">
        <w:rPr>
          <w:rStyle w:val="Refdenotaalpie"/>
          <w:rFonts w:cs="Times New Roman"/>
        </w:rPr>
        <w:footnoteReference w:id="61"/>
      </w:r>
      <w:r w:rsidR="000149F0" w:rsidRPr="00B033A8">
        <w:rPr>
          <w:rFonts w:cs="Times New Roman"/>
        </w:rPr>
        <w:t>.</w:t>
      </w:r>
      <w:r w:rsidR="00CE71C3" w:rsidRPr="00B033A8">
        <w:rPr>
          <w:rFonts w:cs="Times New Roman"/>
        </w:rPr>
        <w:t xml:space="preserve"> </w:t>
      </w:r>
    </w:p>
    <w:p w14:paraId="65E3D0BE" w14:textId="03A64B05" w:rsidR="00E6448C" w:rsidRPr="00B033A8" w:rsidRDefault="00B86774" w:rsidP="00776641">
      <w:pPr>
        <w:numPr>
          <w:ilvl w:val="1"/>
          <w:numId w:val="13"/>
        </w:numPr>
        <w:tabs>
          <w:tab w:val="left" w:pos="851"/>
        </w:tabs>
        <w:ind w:left="567"/>
        <w:rPr>
          <w:rFonts w:cs="Times New Roman"/>
        </w:rPr>
      </w:pPr>
      <w:r w:rsidRPr="00B033A8">
        <w:rPr>
          <w:rFonts w:cs="Times New Roman"/>
        </w:rPr>
        <w:t>La “palabra ‘</w:t>
      </w:r>
      <w:r w:rsidRPr="00B033A8">
        <w:rPr>
          <w:rFonts w:cs="Times New Roman"/>
          <w:i/>
          <w:iCs/>
        </w:rPr>
        <w:t>ilícitamente</w:t>
      </w:r>
      <w:r w:rsidRPr="00B033A8">
        <w:rPr>
          <w:rFonts w:cs="Times New Roman"/>
        </w:rPr>
        <w:t xml:space="preserve">’ es recurrente en la legislación penal, por lo que su significado ha sido decantado por </w:t>
      </w:r>
      <w:r w:rsidR="00EF5F4E" w:rsidRPr="00B033A8">
        <w:rPr>
          <w:rFonts w:cs="Times New Roman"/>
        </w:rPr>
        <w:t xml:space="preserve">la </w:t>
      </w:r>
      <w:r w:rsidR="00110346" w:rsidRPr="00B033A8">
        <w:rPr>
          <w:rFonts w:cs="Times New Roman"/>
        </w:rPr>
        <w:t>dogmática</w:t>
      </w:r>
      <w:r w:rsidR="00EF5F4E" w:rsidRPr="00B033A8">
        <w:rPr>
          <w:rFonts w:cs="Times New Roman"/>
        </w:rPr>
        <w:t xml:space="preserve"> de la especialidad, en la cual se ha explicado que dicho concepto tiene como finalidad reconocer </w:t>
      </w:r>
      <w:r w:rsidR="00EF5F4E" w:rsidRPr="00B033A8">
        <w:rPr>
          <w:rFonts w:cs="Times New Roman"/>
        </w:rPr>
        <w:lastRenderedPageBreak/>
        <w:t>que un comportamiento no puede ser ‘lícito a la luz de una rama del derecho e ilícito para el derecho penal, o viceversa</w:t>
      </w:r>
      <w:r w:rsidR="00BE4628" w:rsidRPr="00B033A8">
        <w:rPr>
          <w:rFonts w:cs="Times New Roman"/>
        </w:rPr>
        <w:t>’</w:t>
      </w:r>
      <w:r w:rsidR="00110346" w:rsidRPr="00B033A8">
        <w:rPr>
          <w:rFonts w:cs="Times New Roman"/>
        </w:rPr>
        <w:t>”. El Ministerio Público</w:t>
      </w:r>
      <w:r w:rsidR="00BE4628" w:rsidRPr="00B033A8">
        <w:rPr>
          <w:rFonts w:cs="Times New Roman"/>
        </w:rPr>
        <w:t xml:space="preserve"> aduce</w:t>
      </w:r>
      <w:r w:rsidR="00110346" w:rsidRPr="00B033A8">
        <w:rPr>
          <w:rFonts w:cs="Times New Roman"/>
        </w:rPr>
        <w:t xml:space="preserve"> que</w:t>
      </w:r>
      <w:r w:rsidR="003B352A" w:rsidRPr="00B033A8">
        <w:rPr>
          <w:rFonts w:cs="Times New Roman"/>
        </w:rPr>
        <w:t>,</w:t>
      </w:r>
      <w:r w:rsidR="00110346" w:rsidRPr="00B033A8">
        <w:rPr>
          <w:rFonts w:cs="Times New Roman"/>
        </w:rPr>
        <w:t xml:space="preserve"> con fundamento en esta línea argumentativa, l</w:t>
      </w:r>
      <w:r w:rsidR="00373F07" w:rsidRPr="00B033A8">
        <w:rPr>
          <w:rFonts w:cs="Times New Roman"/>
        </w:rPr>
        <w:t>a jurisprudencia del Consejo de Estado ha sostenido que el delito de acuerdos restrictivos de la competencia se configura cuando: “se persigue como intención o finalidad la alteración ilícita del procedimiento contractual, con lo cual se deja a salvo aquellos tratos y acuerdos entre partícipes en un procedimiento contractual que se ajusten al ordenamiento jurídico”</w:t>
      </w:r>
      <w:r w:rsidR="00373F07" w:rsidRPr="00B033A8">
        <w:rPr>
          <w:rStyle w:val="Refdenotaalpie"/>
          <w:rFonts w:cs="Times New Roman"/>
        </w:rPr>
        <w:footnoteReference w:id="62"/>
      </w:r>
      <w:r w:rsidR="00373F07" w:rsidRPr="00B033A8">
        <w:rPr>
          <w:rFonts w:cs="Times New Roman"/>
        </w:rPr>
        <w:t>.</w:t>
      </w:r>
    </w:p>
    <w:p w14:paraId="73F6BC39" w14:textId="77777777" w:rsidR="00390BE6" w:rsidRPr="00B033A8" w:rsidRDefault="00390BE6" w:rsidP="00776641">
      <w:pPr>
        <w:pStyle w:val="Prrafodelista"/>
        <w:tabs>
          <w:tab w:val="left" w:pos="567"/>
        </w:tabs>
        <w:spacing w:line="240" w:lineRule="auto"/>
        <w:ind w:left="567"/>
      </w:pPr>
    </w:p>
    <w:p w14:paraId="22D8948C" w14:textId="57A0D7E5" w:rsidR="00655D45" w:rsidRPr="00B033A8" w:rsidRDefault="00655D45" w:rsidP="00776641">
      <w:pPr>
        <w:numPr>
          <w:ilvl w:val="0"/>
          <w:numId w:val="12"/>
        </w:numPr>
        <w:tabs>
          <w:tab w:val="left" w:pos="567"/>
        </w:tabs>
        <w:ind w:left="0" w:firstLine="0"/>
        <w:rPr>
          <w:rFonts w:cs="Times New Roman"/>
        </w:rPr>
      </w:pPr>
      <w:r w:rsidRPr="00B033A8">
        <w:rPr>
          <w:rFonts w:cs="Times New Roman"/>
        </w:rPr>
        <w:t xml:space="preserve">En tales términos, el Ministerio Público </w:t>
      </w:r>
      <w:r w:rsidR="004F1EAD" w:rsidRPr="00B033A8">
        <w:rPr>
          <w:rFonts w:cs="Times New Roman"/>
        </w:rPr>
        <w:t xml:space="preserve">concluye que la norma </w:t>
      </w:r>
      <w:r w:rsidR="00EE699B" w:rsidRPr="00B033A8">
        <w:rPr>
          <w:rFonts w:cs="Times New Roman"/>
        </w:rPr>
        <w:t xml:space="preserve">demandada no desconoce el principio de estricta legalidad </w:t>
      </w:r>
      <w:r w:rsidR="00390BE6" w:rsidRPr="00B033A8">
        <w:rPr>
          <w:rFonts w:cs="Times New Roman"/>
        </w:rPr>
        <w:t xml:space="preserve">en materia penal </w:t>
      </w:r>
      <w:r w:rsidR="00EE699B" w:rsidRPr="00B033A8">
        <w:rPr>
          <w:rFonts w:cs="Times New Roman"/>
        </w:rPr>
        <w:t xml:space="preserve">y, por lo tanto, solicita a la Corte declarar su </w:t>
      </w:r>
      <w:proofErr w:type="spellStart"/>
      <w:r w:rsidR="00EE699B" w:rsidRPr="00B033A8">
        <w:rPr>
          <w:rFonts w:cs="Times New Roman"/>
        </w:rPr>
        <w:t>exequibilidad</w:t>
      </w:r>
      <w:proofErr w:type="spellEnd"/>
      <w:r w:rsidR="00EE699B" w:rsidRPr="00B033A8">
        <w:rPr>
          <w:rFonts w:cs="Times New Roman"/>
        </w:rPr>
        <w:t xml:space="preserve">. </w:t>
      </w:r>
    </w:p>
    <w:p w14:paraId="69C79566" w14:textId="77777777" w:rsidR="00655D45" w:rsidRPr="00B033A8" w:rsidRDefault="00655D45" w:rsidP="00776641">
      <w:pPr>
        <w:pStyle w:val="Prrafodelista"/>
        <w:widowControl w:val="0"/>
        <w:spacing w:line="240" w:lineRule="auto"/>
        <w:ind w:left="0"/>
      </w:pPr>
    </w:p>
    <w:p w14:paraId="28BB6264" w14:textId="77777777" w:rsidR="00655D45" w:rsidRPr="00B033A8" w:rsidRDefault="00655D45" w:rsidP="00776641">
      <w:pPr>
        <w:pStyle w:val="Ttulo1"/>
        <w:numPr>
          <w:ilvl w:val="0"/>
          <w:numId w:val="10"/>
        </w:numPr>
        <w:spacing w:before="0"/>
        <w:ind w:hanging="578"/>
        <w:rPr>
          <w:rFonts w:cs="Times New Roman"/>
        </w:rPr>
      </w:pPr>
      <w:r w:rsidRPr="00B033A8">
        <w:rPr>
          <w:rFonts w:cs="Times New Roman"/>
        </w:rPr>
        <w:t>CONSIDERACIONES</w:t>
      </w:r>
    </w:p>
    <w:p w14:paraId="37BA653A" w14:textId="77777777" w:rsidR="00655D45" w:rsidRPr="00B033A8" w:rsidRDefault="00655D45" w:rsidP="00776641">
      <w:pPr>
        <w:rPr>
          <w:rFonts w:cs="Times New Roman"/>
        </w:rPr>
      </w:pPr>
    </w:p>
    <w:p w14:paraId="04CA462E" w14:textId="77777777" w:rsidR="00655D45" w:rsidRPr="00B033A8" w:rsidRDefault="00655D45" w:rsidP="00776641">
      <w:pPr>
        <w:pStyle w:val="Ttulo2"/>
        <w:numPr>
          <w:ilvl w:val="0"/>
          <w:numId w:val="15"/>
        </w:numPr>
        <w:rPr>
          <w:rFonts w:cs="Times New Roman"/>
        </w:rPr>
      </w:pPr>
      <w:r w:rsidRPr="00B033A8">
        <w:rPr>
          <w:rFonts w:cs="Times New Roman"/>
        </w:rPr>
        <w:t>Competencia</w:t>
      </w:r>
    </w:p>
    <w:p w14:paraId="5EF2F999" w14:textId="77777777" w:rsidR="00655D45" w:rsidRPr="00B033A8" w:rsidRDefault="00655D45" w:rsidP="00776641">
      <w:pPr>
        <w:rPr>
          <w:rFonts w:cs="Times New Roman"/>
        </w:rPr>
      </w:pPr>
    </w:p>
    <w:p w14:paraId="110C0F8A" w14:textId="000256EE" w:rsidR="00B83BE7" w:rsidRPr="00B033A8" w:rsidRDefault="00655D45" w:rsidP="00776641">
      <w:pPr>
        <w:numPr>
          <w:ilvl w:val="0"/>
          <w:numId w:val="12"/>
        </w:numPr>
        <w:tabs>
          <w:tab w:val="left" w:pos="567"/>
        </w:tabs>
        <w:ind w:left="0" w:firstLine="0"/>
        <w:rPr>
          <w:rFonts w:cs="Times New Roman"/>
        </w:rPr>
      </w:pPr>
      <w:r w:rsidRPr="00B033A8">
        <w:rPr>
          <w:rFonts w:cs="Times New Roman"/>
        </w:rPr>
        <w:t>La Corte Constitucional es competente para adelantar el control de constitucionalidad de la presente demanda, de conformidad con lo dispuesto por el numeral 4 del artículo 241 de la Constitución.</w:t>
      </w:r>
    </w:p>
    <w:p w14:paraId="1D62BF4E" w14:textId="77777777" w:rsidR="00332B80" w:rsidRPr="00B033A8" w:rsidRDefault="00332B80" w:rsidP="00776641">
      <w:pPr>
        <w:tabs>
          <w:tab w:val="left" w:pos="567"/>
        </w:tabs>
        <w:rPr>
          <w:rFonts w:cs="Times New Roman"/>
        </w:rPr>
      </w:pPr>
    </w:p>
    <w:p w14:paraId="2EF6396E" w14:textId="7197BC70" w:rsidR="00127D2D" w:rsidRPr="00B033A8" w:rsidRDefault="00FE5D77" w:rsidP="00776641">
      <w:pPr>
        <w:pStyle w:val="Ttulo2"/>
        <w:numPr>
          <w:ilvl w:val="0"/>
          <w:numId w:val="15"/>
        </w:numPr>
        <w:rPr>
          <w:rFonts w:cs="Times New Roman"/>
        </w:rPr>
      </w:pPr>
      <w:r w:rsidRPr="00B033A8">
        <w:rPr>
          <w:rFonts w:cs="Times New Roman"/>
        </w:rPr>
        <w:t>Problema jurídico y metodol</w:t>
      </w:r>
      <w:r w:rsidR="004032FD" w:rsidRPr="00B033A8">
        <w:rPr>
          <w:rFonts w:cs="Times New Roman"/>
        </w:rPr>
        <w:t>o</w:t>
      </w:r>
      <w:r w:rsidRPr="00B033A8">
        <w:rPr>
          <w:rFonts w:cs="Times New Roman"/>
        </w:rPr>
        <w:t>g</w:t>
      </w:r>
      <w:r w:rsidR="004032FD" w:rsidRPr="00B033A8">
        <w:rPr>
          <w:rFonts w:cs="Times New Roman"/>
        </w:rPr>
        <w:t>í</w:t>
      </w:r>
      <w:r w:rsidRPr="00B033A8">
        <w:rPr>
          <w:rFonts w:cs="Times New Roman"/>
        </w:rPr>
        <w:t>a</w:t>
      </w:r>
    </w:p>
    <w:p w14:paraId="11D5637E" w14:textId="77777777" w:rsidR="00481162" w:rsidRPr="00B033A8" w:rsidRDefault="00481162" w:rsidP="00776641">
      <w:pPr>
        <w:tabs>
          <w:tab w:val="left" w:pos="567"/>
        </w:tabs>
        <w:rPr>
          <w:rFonts w:cs="Times New Roman"/>
        </w:rPr>
      </w:pPr>
    </w:p>
    <w:p w14:paraId="08A0BB93" w14:textId="73DD9CC9" w:rsidR="00481162" w:rsidRPr="00B033A8" w:rsidRDefault="00481162" w:rsidP="00776641">
      <w:pPr>
        <w:numPr>
          <w:ilvl w:val="0"/>
          <w:numId w:val="12"/>
        </w:numPr>
        <w:tabs>
          <w:tab w:val="left" w:pos="567"/>
        </w:tabs>
        <w:ind w:left="0" w:firstLine="0"/>
        <w:rPr>
          <w:rFonts w:cs="Times New Roman"/>
        </w:rPr>
      </w:pPr>
      <w:r w:rsidRPr="00B033A8">
        <w:rPr>
          <w:rFonts w:cs="Times New Roman"/>
          <w:i/>
          <w:iCs/>
        </w:rPr>
        <w:t>Problema jurídico.</w:t>
      </w:r>
      <w:r w:rsidR="00743418" w:rsidRPr="00B033A8">
        <w:rPr>
          <w:rFonts w:cs="Times New Roman"/>
          <w:i/>
          <w:iCs/>
        </w:rPr>
        <w:t xml:space="preserve"> </w:t>
      </w:r>
      <w:r w:rsidR="00743418" w:rsidRPr="00B033A8">
        <w:rPr>
          <w:rFonts w:cs="Times New Roman"/>
        </w:rPr>
        <w:t xml:space="preserve">La Sala Plena debe resolver el siguiente problema jurídico: </w:t>
      </w:r>
    </w:p>
    <w:p w14:paraId="29073DE7" w14:textId="7A6A23AC" w:rsidR="00743418" w:rsidRPr="00B033A8" w:rsidRDefault="002B129F" w:rsidP="00776641">
      <w:pPr>
        <w:tabs>
          <w:tab w:val="left" w:pos="567"/>
        </w:tabs>
        <w:ind w:left="567" w:right="567"/>
        <w:rPr>
          <w:rFonts w:cs="Times New Roman"/>
        </w:rPr>
      </w:pPr>
      <w:r w:rsidRPr="00B033A8">
        <w:rPr>
          <w:rFonts w:cs="Times New Roman"/>
        </w:rPr>
        <w:br/>
        <w:t xml:space="preserve">¿El artículo 410A del Código Penal vulnera el principio de legalidad estricta o tipicidad al </w:t>
      </w:r>
      <w:r w:rsidR="00CB687F" w:rsidRPr="00B033A8">
        <w:rPr>
          <w:rFonts w:cs="Times New Roman"/>
        </w:rPr>
        <w:t xml:space="preserve">haber </w:t>
      </w:r>
      <w:r w:rsidR="000B110A" w:rsidRPr="00B033A8">
        <w:rPr>
          <w:rFonts w:cs="Times New Roman"/>
        </w:rPr>
        <w:t>establecido un delito que sanciona penalmente a la persona que</w:t>
      </w:r>
      <w:r w:rsidR="009B4225" w:rsidRPr="00B033A8">
        <w:rPr>
          <w:rFonts w:cs="Times New Roman"/>
        </w:rPr>
        <w:t xml:space="preserve">, </w:t>
      </w:r>
      <w:r w:rsidR="000B110A" w:rsidRPr="00B033A8">
        <w:rPr>
          <w:rFonts w:cs="Times New Roman"/>
        </w:rPr>
        <w:t>en un proceso de licitación pública, subasta pública, selección abreviada o concurso</w:t>
      </w:r>
      <w:r w:rsidR="009B4225" w:rsidRPr="00B033A8">
        <w:rPr>
          <w:rFonts w:cs="Times New Roman"/>
        </w:rPr>
        <w:t>,</w:t>
      </w:r>
      <w:r w:rsidR="000B110A" w:rsidRPr="00B033A8">
        <w:rPr>
          <w:rFonts w:cs="Times New Roman"/>
        </w:rPr>
        <w:t xml:space="preserve"> se concertare con otro con el fin de “</w:t>
      </w:r>
      <w:r w:rsidR="000B110A" w:rsidRPr="00B033A8">
        <w:rPr>
          <w:rFonts w:cs="Times New Roman"/>
          <w:i/>
          <w:iCs/>
        </w:rPr>
        <w:t>alterar</w:t>
      </w:r>
      <w:r w:rsidR="000B110A" w:rsidRPr="00B033A8">
        <w:rPr>
          <w:rFonts w:cs="Times New Roman"/>
        </w:rPr>
        <w:t xml:space="preserve"> </w:t>
      </w:r>
      <w:r w:rsidR="000B110A" w:rsidRPr="00B033A8">
        <w:rPr>
          <w:rFonts w:cs="Times New Roman"/>
          <w:i/>
          <w:iCs/>
        </w:rPr>
        <w:t>ilícitamente</w:t>
      </w:r>
      <w:r w:rsidR="000B110A" w:rsidRPr="00B033A8">
        <w:rPr>
          <w:rFonts w:cs="Times New Roman"/>
        </w:rPr>
        <w:t>” el procedimiento contractual?</w:t>
      </w:r>
    </w:p>
    <w:p w14:paraId="102C43F2" w14:textId="77777777" w:rsidR="00481162" w:rsidRPr="00B033A8" w:rsidRDefault="00481162" w:rsidP="00776641">
      <w:pPr>
        <w:tabs>
          <w:tab w:val="left" w:pos="567"/>
        </w:tabs>
        <w:rPr>
          <w:rFonts w:cs="Times New Roman"/>
        </w:rPr>
      </w:pPr>
    </w:p>
    <w:p w14:paraId="0EBCE682" w14:textId="3880E58D" w:rsidR="00264EFF" w:rsidRPr="00B033A8" w:rsidRDefault="00DE35B3" w:rsidP="00776641">
      <w:pPr>
        <w:numPr>
          <w:ilvl w:val="0"/>
          <w:numId w:val="12"/>
        </w:numPr>
        <w:tabs>
          <w:tab w:val="left" w:pos="567"/>
        </w:tabs>
        <w:ind w:left="0" w:firstLine="0"/>
        <w:rPr>
          <w:rFonts w:cs="Times New Roman"/>
          <w:szCs w:val="28"/>
        </w:rPr>
      </w:pPr>
      <w:r w:rsidRPr="00B033A8">
        <w:rPr>
          <w:rFonts w:cs="Times New Roman"/>
          <w:szCs w:val="28"/>
        </w:rPr>
        <w:t xml:space="preserve">La Sala </w:t>
      </w:r>
      <w:r w:rsidR="006B3092" w:rsidRPr="00B033A8">
        <w:rPr>
          <w:rFonts w:cs="Times New Roman"/>
          <w:szCs w:val="28"/>
        </w:rPr>
        <w:t xml:space="preserve">Plena </w:t>
      </w:r>
      <w:r w:rsidRPr="00B033A8">
        <w:rPr>
          <w:rFonts w:cs="Times New Roman"/>
          <w:szCs w:val="28"/>
        </w:rPr>
        <w:t>reconoce que algunos intervinientes argumentaron que la norma demandada vulnera</w:t>
      </w:r>
      <w:r w:rsidR="00B17F63" w:rsidRPr="00B033A8">
        <w:rPr>
          <w:rFonts w:cs="Times New Roman"/>
          <w:szCs w:val="28"/>
        </w:rPr>
        <w:t>, además del principio de legalidad estricta,</w:t>
      </w:r>
      <w:r w:rsidRPr="00B033A8">
        <w:rPr>
          <w:rFonts w:cs="Times New Roman"/>
          <w:szCs w:val="28"/>
        </w:rPr>
        <w:t xml:space="preserve"> otros principios constitucionales y derechos fundamentales que también constituyen límites al ejercicio del </w:t>
      </w:r>
      <w:r w:rsidRPr="00B033A8">
        <w:rPr>
          <w:rFonts w:cs="Times New Roman"/>
          <w:i/>
          <w:iCs/>
          <w:szCs w:val="28"/>
        </w:rPr>
        <w:t>ius puniendi</w:t>
      </w:r>
      <w:r w:rsidRPr="00B033A8">
        <w:rPr>
          <w:rFonts w:cs="Times New Roman"/>
          <w:szCs w:val="28"/>
        </w:rPr>
        <w:t xml:space="preserve"> (lesividad, presunción de inocencia</w:t>
      </w:r>
      <w:r w:rsidR="000378B0" w:rsidRPr="00B033A8">
        <w:rPr>
          <w:rFonts w:cs="Times New Roman"/>
          <w:szCs w:val="28"/>
        </w:rPr>
        <w:t>, proporcionalidad</w:t>
      </w:r>
      <w:r w:rsidRPr="00B033A8">
        <w:rPr>
          <w:rFonts w:cs="Times New Roman"/>
          <w:szCs w:val="28"/>
        </w:rPr>
        <w:t xml:space="preserve"> y </w:t>
      </w:r>
      <w:r w:rsidRPr="00B033A8">
        <w:rPr>
          <w:rFonts w:cs="Times New Roman"/>
          <w:i/>
          <w:iCs/>
          <w:szCs w:val="28"/>
        </w:rPr>
        <w:t xml:space="preserve">non bis in </w:t>
      </w:r>
      <w:proofErr w:type="spellStart"/>
      <w:r w:rsidRPr="00B033A8">
        <w:rPr>
          <w:rFonts w:cs="Times New Roman"/>
          <w:i/>
          <w:iCs/>
          <w:szCs w:val="28"/>
        </w:rPr>
        <w:t>idem</w:t>
      </w:r>
      <w:proofErr w:type="spellEnd"/>
      <w:r w:rsidRPr="00B033A8">
        <w:rPr>
          <w:rFonts w:cs="Times New Roman"/>
          <w:szCs w:val="28"/>
        </w:rPr>
        <w:t>). Sin embargo, la Corte circunscribirá el examen de constitucionalidad al cargo por la presunta violación al principio de legalidad estricta o tipicidad</w:t>
      </w:r>
      <w:r w:rsidR="006B3092" w:rsidRPr="00B033A8">
        <w:rPr>
          <w:rFonts w:cs="Times New Roman"/>
          <w:szCs w:val="28"/>
        </w:rPr>
        <w:t>. Esto es así,</w:t>
      </w:r>
      <w:r w:rsidR="00155E36" w:rsidRPr="00B033A8">
        <w:rPr>
          <w:rFonts w:cs="Times New Roman"/>
          <w:szCs w:val="28"/>
        </w:rPr>
        <w:t xml:space="preserve"> por tres razones.</w:t>
      </w:r>
      <w:r w:rsidR="00B13296" w:rsidRPr="00B033A8">
        <w:rPr>
          <w:rFonts w:cs="Times New Roman"/>
          <w:szCs w:val="28"/>
        </w:rPr>
        <w:t xml:space="preserve"> </w:t>
      </w:r>
    </w:p>
    <w:p w14:paraId="798F39C9" w14:textId="77777777" w:rsidR="00264EFF" w:rsidRPr="00B033A8" w:rsidRDefault="00264EFF" w:rsidP="00776641">
      <w:pPr>
        <w:tabs>
          <w:tab w:val="left" w:pos="567"/>
        </w:tabs>
        <w:rPr>
          <w:rFonts w:cs="Times New Roman"/>
          <w:szCs w:val="28"/>
        </w:rPr>
      </w:pPr>
    </w:p>
    <w:p w14:paraId="5E8C4713" w14:textId="237E0515" w:rsidR="00264EFF" w:rsidRPr="00B033A8" w:rsidRDefault="00A123F5" w:rsidP="00776641">
      <w:pPr>
        <w:pStyle w:val="Prrafodelista"/>
        <w:numPr>
          <w:ilvl w:val="1"/>
          <w:numId w:val="13"/>
        </w:numPr>
        <w:tabs>
          <w:tab w:val="left" w:pos="709"/>
        </w:tabs>
        <w:spacing w:line="240" w:lineRule="auto"/>
        <w:ind w:hanging="294"/>
      </w:pPr>
      <w:r w:rsidRPr="00B033A8">
        <w:t>La Corte ha considerado que “carece de competencia para pronunciarse respecto de cargos que no han sido admitidos y, por tanto, cuya aptitud no ha sido constatada previamente”</w:t>
      </w:r>
      <w:r w:rsidRPr="00B033A8">
        <w:rPr>
          <w:vertAlign w:val="superscript"/>
        </w:rPr>
        <w:footnoteReference w:id="63"/>
      </w:r>
      <w:r w:rsidRPr="00B033A8">
        <w:t xml:space="preserve">. </w:t>
      </w:r>
      <w:r w:rsidR="00264EFF" w:rsidRPr="00B033A8">
        <w:t>E</w:t>
      </w:r>
      <w:r w:rsidRPr="00B033A8">
        <w:t xml:space="preserve">n este caso, </w:t>
      </w:r>
      <w:r w:rsidR="002E3ECC" w:rsidRPr="00B033A8">
        <w:t xml:space="preserve">en </w:t>
      </w:r>
      <w:r w:rsidRPr="00B033A8">
        <w:t>el escrito de corrección el</w:t>
      </w:r>
      <w:r w:rsidR="00AF2A4C" w:rsidRPr="00B033A8">
        <w:t xml:space="preserve"> demandante </w:t>
      </w:r>
      <w:r w:rsidR="000378B0" w:rsidRPr="00B033A8">
        <w:t>desistió</w:t>
      </w:r>
      <w:r w:rsidR="00AF2A4C" w:rsidRPr="00B033A8">
        <w:t xml:space="preserve"> expresamente de </w:t>
      </w:r>
      <w:r w:rsidRPr="00B033A8">
        <w:t xml:space="preserve">los </w:t>
      </w:r>
      <w:r w:rsidR="00AF2A4C" w:rsidRPr="00B033A8">
        <w:t xml:space="preserve">cargos relacionados </w:t>
      </w:r>
      <w:r w:rsidR="00B13296" w:rsidRPr="00B033A8">
        <w:t>con la</w:t>
      </w:r>
      <w:r w:rsidR="003064B7" w:rsidRPr="00B033A8">
        <w:t xml:space="preserve"> presunta violación a los principios de </w:t>
      </w:r>
      <w:r w:rsidR="003064B7" w:rsidRPr="00B033A8">
        <w:rPr>
          <w:i/>
          <w:iCs/>
        </w:rPr>
        <w:t>(i)</w:t>
      </w:r>
      <w:r w:rsidR="003064B7" w:rsidRPr="00B033A8">
        <w:t xml:space="preserve"> </w:t>
      </w:r>
      <w:r w:rsidR="003064B7" w:rsidRPr="00B033A8">
        <w:lastRenderedPageBreak/>
        <w:t xml:space="preserve">proporcionalidad, necesidad y subsidiariedad y </w:t>
      </w:r>
      <w:r w:rsidR="003064B7" w:rsidRPr="00B033A8">
        <w:rPr>
          <w:i/>
          <w:iCs/>
        </w:rPr>
        <w:t>(</w:t>
      </w:r>
      <w:proofErr w:type="spellStart"/>
      <w:r w:rsidR="003064B7" w:rsidRPr="00B033A8">
        <w:rPr>
          <w:i/>
          <w:iCs/>
        </w:rPr>
        <w:t>ii</w:t>
      </w:r>
      <w:proofErr w:type="spellEnd"/>
      <w:r w:rsidR="003064B7" w:rsidRPr="00B033A8">
        <w:rPr>
          <w:i/>
          <w:iCs/>
        </w:rPr>
        <w:t xml:space="preserve">) non bis in </w:t>
      </w:r>
      <w:proofErr w:type="spellStart"/>
      <w:r w:rsidR="003064B7" w:rsidRPr="00B033A8">
        <w:rPr>
          <w:i/>
          <w:iCs/>
        </w:rPr>
        <w:t>idem</w:t>
      </w:r>
      <w:proofErr w:type="spellEnd"/>
      <w:r w:rsidR="00AF2A4C" w:rsidRPr="00B033A8">
        <w:t>.</w:t>
      </w:r>
      <w:r w:rsidR="00E63DC1" w:rsidRPr="00B033A8">
        <w:t xml:space="preserve"> Por esta </w:t>
      </w:r>
      <w:r w:rsidR="000378B0" w:rsidRPr="00B033A8">
        <w:t xml:space="preserve">razón, mediante auto de 21 de agosto de 2024, la magistrada sustanciadora rechazó estos cargos. </w:t>
      </w:r>
    </w:p>
    <w:p w14:paraId="36966525" w14:textId="19A08B85" w:rsidR="00264EFF" w:rsidRPr="00B033A8" w:rsidRDefault="00264EFF" w:rsidP="00776641">
      <w:pPr>
        <w:pStyle w:val="Prrafodelista"/>
        <w:numPr>
          <w:ilvl w:val="1"/>
          <w:numId w:val="13"/>
        </w:numPr>
        <w:tabs>
          <w:tab w:val="left" w:pos="709"/>
        </w:tabs>
        <w:spacing w:line="240" w:lineRule="auto"/>
        <w:ind w:hanging="294"/>
      </w:pPr>
      <w:r w:rsidRPr="00B033A8">
        <w:t>L</w:t>
      </w:r>
      <w:r w:rsidR="0076798A" w:rsidRPr="00B033A8">
        <w:t>a jurisprudencia constitucional</w:t>
      </w:r>
      <w:r w:rsidR="0076798A" w:rsidRPr="00B033A8">
        <w:rPr>
          <w:rStyle w:val="Refdenotaalpie"/>
        </w:rPr>
        <w:footnoteReference w:id="64"/>
      </w:r>
      <w:r w:rsidR="0076798A" w:rsidRPr="00B033A8">
        <w:t xml:space="preserve"> ha señalado que</w:t>
      </w:r>
      <w:r w:rsidR="00A123F5" w:rsidRPr="00B033A8">
        <w:t>, en atención al carácter rogado de la acción pública de inconstitucionalidad</w:t>
      </w:r>
      <w:r w:rsidR="0076798A" w:rsidRPr="00B033A8">
        <w:t>, por regla general no es procedente ampliar el parámetro de control a partir de nuevos cargos formulados por los intervinientes.</w:t>
      </w:r>
      <w:r w:rsidR="000B0318" w:rsidRPr="00B033A8">
        <w:t xml:space="preserve"> </w:t>
      </w:r>
      <w:r w:rsidR="00A123F5" w:rsidRPr="00B033A8">
        <w:t xml:space="preserve">Al respecto, la Sala Plena resalta las sentencias </w:t>
      </w:r>
      <w:r w:rsidR="00A123F5" w:rsidRPr="00B033A8">
        <w:rPr>
          <w:lang w:val="es-ES_tradnl"/>
        </w:rPr>
        <w:t>C-078 de 2023 y C-050 de 2024.</w:t>
      </w:r>
    </w:p>
    <w:p w14:paraId="7692D95F" w14:textId="67272C67" w:rsidR="0040754A" w:rsidRPr="00B033A8" w:rsidRDefault="00206C71" w:rsidP="00776641">
      <w:pPr>
        <w:pStyle w:val="Prrafodelista"/>
        <w:numPr>
          <w:ilvl w:val="1"/>
          <w:numId w:val="13"/>
        </w:numPr>
        <w:tabs>
          <w:tab w:val="left" w:pos="709"/>
        </w:tabs>
        <w:spacing w:line="240" w:lineRule="auto"/>
        <w:ind w:hanging="294"/>
      </w:pPr>
      <w:r w:rsidRPr="00B033A8">
        <w:t xml:space="preserve">La jurisprudencia </w:t>
      </w:r>
      <w:r w:rsidR="00062408" w:rsidRPr="00B033A8">
        <w:t>ha</w:t>
      </w:r>
      <w:r w:rsidRPr="00B033A8">
        <w:t xml:space="preserve"> señalado que,</w:t>
      </w:r>
      <w:r w:rsidR="00264EFF" w:rsidRPr="00B033A8">
        <w:t xml:space="preserve"> </w:t>
      </w:r>
      <w:r w:rsidR="002F41AA" w:rsidRPr="00B033A8">
        <w:t>en virtud del artículo 22 del Decreto</w:t>
      </w:r>
      <w:r w:rsidR="00B25C51" w:rsidRPr="00B033A8">
        <w:t xml:space="preserve"> 2067 de 1991,</w:t>
      </w:r>
      <w:r w:rsidR="009E6162" w:rsidRPr="00B033A8">
        <w:t xml:space="preserve"> </w:t>
      </w:r>
      <w:r w:rsidR="006B3092" w:rsidRPr="00B033A8">
        <w:t xml:space="preserve">la Corte </w:t>
      </w:r>
      <w:r w:rsidR="00A123F5" w:rsidRPr="00B033A8">
        <w:t xml:space="preserve">Constitucional </w:t>
      </w:r>
      <w:r w:rsidR="006B3092" w:rsidRPr="00B033A8">
        <w:t>está facultada para</w:t>
      </w:r>
      <w:r w:rsidR="00E33105" w:rsidRPr="00B033A8">
        <w:t>, en casos excepcionales,</w:t>
      </w:r>
      <w:r w:rsidR="006B3092" w:rsidRPr="00B033A8">
        <w:t xml:space="preserve"> </w:t>
      </w:r>
      <w:r w:rsidR="009E6162" w:rsidRPr="00B033A8">
        <w:t>analizar la</w:t>
      </w:r>
      <w:r w:rsidR="00DB45AF" w:rsidRPr="00B033A8">
        <w:t xml:space="preserve"> constitucionalidad de </w:t>
      </w:r>
      <w:r w:rsidRPr="00B033A8">
        <w:t>la norma demandada</w:t>
      </w:r>
      <w:r w:rsidR="00DB45AF" w:rsidRPr="00B033A8">
        <w:t xml:space="preserve"> a la luz de argumentos no planteados en la demanda</w:t>
      </w:r>
      <w:r w:rsidR="009E6162" w:rsidRPr="00B033A8">
        <w:rPr>
          <w:rStyle w:val="Refdenotaalpie"/>
        </w:rPr>
        <w:footnoteReference w:id="65"/>
      </w:r>
      <w:r w:rsidR="009E6162" w:rsidRPr="00B033A8">
        <w:t xml:space="preserve">. </w:t>
      </w:r>
      <w:r w:rsidR="001441A0" w:rsidRPr="00B033A8">
        <w:t>Lo anterio</w:t>
      </w:r>
      <w:r w:rsidR="001A5004" w:rsidRPr="00B033A8">
        <w:t>r</w:t>
      </w:r>
      <w:r w:rsidR="00FF3C28" w:rsidRPr="00B033A8">
        <w:t>,</w:t>
      </w:r>
      <w:r w:rsidR="001441A0" w:rsidRPr="00B033A8">
        <w:t xml:space="preserve"> siempre que</w:t>
      </w:r>
      <w:r w:rsidR="001A5004" w:rsidRPr="00B033A8">
        <w:t>,</w:t>
      </w:r>
      <w:r w:rsidR="001441A0" w:rsidRPr="00B033A8">
        <w:t xml:space="preserve"> a</w:t>
      </w:r>
      <w:r w:rsidR="00FF3C28" w:rsidRPr="00B033A8">
        <w:t xml:space="preserve"> partir de la</w:t>
      </w:r>
      <w:r w:rsidR="001441A0" w:rsidRPr="00B033A8">
        <w:t>s</w:t>
      </w:r>
      <w:r w:rsidR="00FF3C28" w:rsidRPr="00B033A8">
        <w:t xml:space="preserve"> intervenciones</w:t>
      </w:r>
      <w:r w:rsidRPr="00B033A8">
        <w:t xml:space="preserve"> </w:t>
      </w:r>
      <w:r w:rsidR="00FF3C28" w:rsidRPr="00B033A8">
        <w:t>la Corte</w:t>
      </w:r>
      <w:r w:rsidR="00F716E8" w:rsidRPr="00B033A8">
        <w:t xml:space="preserve"> adviert</w:t>
      </w:r>
      <w:r w:rsidR="001441A0" w:rsidRPr="00B033A8">
        <w:t xml:space="preserve">a </w:t>
      </w:r>
      <w:r w:rsidR="00F716E8" w:rsidRPr="00B033A8">
        <w:t xml:space="preserve">un “vicio evidente de </w:t>
      </w:r>
      <w:r w:rsidR="0010189C" w:rsidRPr="00B033A8">
        <w:t>in</w:t>
      </w:r>
      <w:r w:rsidR="00F716E8" w:rsidRPr="00B033A8">
        <w:t>constitucionalidad”</w:t>
      </w:r>
      <w:r w:rsidR="00F716E8" w:rsidRPr="00B033A8">
        <w:rPr>
          <w:rStyle w:val="Refdenotaalpie"/>
        </w:rPr>
        <w:footnoteReference w:id="66"/>
      </w:r>
      <w:r w:rsidR="00F716E8" w:rsidRPr="00B033A8">
        <w:t>.</w:t>
      </w:r>
      <w:r w:rsidR="00EF76DE" w:rsidRPr="00B033A8">
        <w:t xml:space="preserve"> </w:t>
      </w:r>
      <w:r w:rsidR="00A123F5" w:rsidRPr="00B033A8">
        <w:t>En este caso,</w:t>
      </w:r>
      <w:r w:rsidR="001441A0" w:rsidRPr="00B033A8">
        <w:t xml:space="preserve"> </w:t>
      </w:r>
      <w:r w:rsidR="00A123F5" w:rsidRPr="00B033A8">
        <w:t xml:space="preserve">sin embargo, </w:t>
      </w:r>
      <w:r w:rsidR="001441A0" w:rsidRPr="00B033A8">
        <w:t xml:space="preserve">la </w:t>
      </w:r>
      <w:r w:rsidRPr="00B033A8">
        <w:t>Sala Plena</w:t>
      </w:r>
      <w:r w:rsidR="001441A0" w:rsidRPr="00B033A8">
        <w:t xml:space="preserve"> no adviert</w:t>
      </w:r>
      <w:r w:rsidR="009A4555" w:rsidRPr="00B033A8">
        <w:t>e</w:t>
      </w:r>
      <w:r w:rsidR="00A123F5" w:rsidRPr="00B033A8">
        <w:t xml:space="preserve"> </w:t>
      </w:r>
      <w:r w:rsidR="00264EFF" w:rsidRPr="00B033A8">
        <w:t xml:space="preserve">un vicio evidente de </w:t>
      </w:r>
      <w:r w:rsidR="00AD5B6F" w:rsidRPr="00B033A8">
        <w:t>in</w:t>
      </w:r>
      <w:r w:rsidR="00264EFF" w:rsidRPr="00B033A8">
        <w:t>constitucionalidad de la norma demandada.</w:t>
      </w:r>
      <w:r w:rsidR="001441A0" w:rsidRPr="00B033A8">
        <w:t xml:space="preserve"> </w:t>
      </w:r>
    </w:p>
    <w:p w14:paraId="1064BC96" w14:textId="77777777" w:rsidR="00DE35B3" w:rsidRPr="00B033A8" w:rsidRDefault="00DE35B3" w:rsidP="00776641">
      <w:pPr>
        <w:tabs>
          <w:tab w:val="left" w:pos="567"/>
        </w:tabs>
        <w:rPr>
          <w:rFonts w:cs="Times New Roman"/>
        </w:rPr>
      </w:pPr>
    </w:p>
    <w:p w14:paraId="5DDA21EC" w14:textId="075AF325" w:rsidR="009A481C" w:rsidRPr="00B033A8" w:rsidRDefault="00481162" w:rsidP="00776641">
      <w:pPr>
        <w:numPr>
          <w:ilvl w:val="0"/>
          <w:numId w:val="12"/>
        </w:numPr>
        <w:tabs>
          <w:tab w:val="left" w:pos="567"/>
        </w:tabs>
        <w:ind w:left="0" w:firstLine="0"/>
        <w:rPr>
          <w:rFonts w:cs="Times New Roman"/>
        </w:rPr>
      </w:pPr>
      <w:r w:rsidRPr="00B033A8">
        <w:rPr>
          <w:rFonts w:cs="Times New Roman"/>
          <w:i/>
          <w:iCs/>
        </w:rPr>
        <w:t xml:space="preserve">Metodología de la decisión. </w:t>
      </w:r>
      <w:r w:rsidR="00D14E93" w:rsidRPr="00B033A8">
        <w:rPr>
          <w:rFonts w:cs="Times New Roman"/>
        </w:rPr>
        <w:t xml:space="preserve">La Sala Plena seguirá la siguiente metodología para resolver el caso. En primer lugar, </w:t>
      </w:r>
      <w:r w:rsidR="003848B2" w:rsidRPr="00B033A8">
        <w:rPr>
          <w:rFonts w:cs="Times New Roman"/>
        </w:rPr>
        <w:t>se referirá a l</w:t>
      </w:r>
      <w:r w:rsidR="00783BD9" w:rsidRPr="00B033A8">
        <w:rPr>
          <w:rFonts w:cs="Times New Roman"/>
        </w:rPr>
        <w:t>os límites</w:t>
      </w:r>
      <w:r w:rsidR="00B718D5" w:rsidRPr="00B033A8">
        <w:rPr>
          <w:rFonts w:cs="Times New Roman"/>
        </w:rPr>
        <w:t xml:space="preserve"> a la</w:t>
      </w:r>
      <w:r w:rsidR="003848B2" w:rsidRPr="00B033A8">
        <w:rPr>
          <w:rFonts w:cs="Times New Roman"/>
        </w:rPr>
        <w:t xml:space="preserve"> competencia del legislador</w:t>
      </w:r>
      <w:r w:rsidR="00783BD9" w:rsidRPr="00B033A8">
        <w:rPr>
          <w:rFonts w:cs="Times New Roman"/>
        </w:rPr>
        <w:t xml:space="preserve"> para definir la política criminal del </w:t>
      </w:r>
      <w:r w:rsidR="00D26D1B" w:rsidRPr="00B033A8">
        <w:rPr>
          <w:rFonts w:cs="Times New Roman"/>
        </w:rPr>
        <w:t>E</w:t>
      </w:r>
      <w:r w:rsidR="00783BD9" w:rsidRPr="00B033A8">
        <w:rPr>
          <w:rFonts w:cs="Times New Roman"/>
        </w:rPr>
        <w:t>stado, y hará especial énfasis en el principio de legalidad estricta</w:t>
      </w:r>
      <w:r w:rsidR="00D14E93" w:rsidRPr="00B033A8">
        <w:rPr>
          <w:rFonts w:cs="Times New Roman"/>
        </w:rPr>
        <w:t xml:space="preserve"> (</w:t>
      </w:r>
      <w:r w:rsidR="00D14E93" w:rsidRPr="00B033A8">
        <w:rPr>
          <w:rFonts w:cs="Times New Roman"/>
          <w:b/>
          <w:bCs/>
        </w:rPr>
        <w:t xml:space="preserve">sección II.3 </w:t>
      </w:r>
      <w:r w:rsidR="00D14E93" w:rsidRPr="00B033A8">
        <w:rPr>
          <w:rFonts w:cs="Times New Roman"/>
          <w:b/>
          <w:bCs/>
          <w:i/>
          <w:iCs/>
        </w:rPr>
        <w:t>infra</w:t>
      </w:r>
      <w:r w:rsidR="00D14E93" w:rsidRPr="00B033A8">
        <w:rPr>
          <w:rFonts w:cs="Times New Roman"/>
        </w:rPr>
        <w:t xml:space="preserve">). En segundo lugar, </w:t>
      </w:r>
      <w:r w:rsidR="00783BD9" w:rsidRPr="00B033A8">
        <w:rPr>
          <w:rFonts w:cs="Times New Roman"/>
        </w:rPr>
        <w:t>la Sala</w:t>
      </w:r>
      <w:r w:rsidR="009D48AE" w:rsidRPr="00B033A8">
        <w:rPr>
          <w:rFonts w:cs="Times New Roman"/>
        </w:rPr>
        <w:t xml:space="preserve"> </w:t>
      </w:r>
      <w:r w:rsidR="00031B7D" w:rsidRPr="00B033A8">
        <w:rPr>
          <w:rFonts w:cs="Times New Roman"/>
        </w:rPr>
        <w:t>llevará a cabo el examen de constitucionalidad de la norma demandada</w:t>
      </w:r>
      <w:r w:rsidR="00D14E93" w:rsidRPr="00B033A8">
        <w:rPr>
          <w:rFonts w:cs="Times New Roman"/>
        </w:rPr>
        <w:t xml:space="preserve"> (</w:t>
      </w:r>
      <w:r w:rsidR="00D14E93" w:rsidRPr="00B033A8">
        <w:rPr>
          <w:rFonts w:cs="Times New Roman"/>
          <w:b/>
          <w:bCs/>
        </w:rPr>
        <w:t xml:space="preserve">sección II.4 </w:t>
      </w:r>
      <w:r w:rsidR="00D14E93" w:rsidRPr="00B033A8">
        <w:rPr>
          <w:rFonts w:cs="Times New Roman"/>
          <w:b/>
          <w:bCs/>
          <w:i/>
          <w:iCs/>
        </w:rPr>
        <w:t>infra</w:t>
      </w:r>
      <w:r w:rsidR="00D14E93" w:rsidRPr="00B033A8">
        <w:rPr>
          <w:rFonts w:cs="Times New Roman"/>
        </w:rPr>
        <w:t>).</w:t>
      </w:r>
      <w:r w:rsidR="009D48AE" w:rsidRPr="00B033A8">
        <w:rPr>
          <w:rFonts w:cs="Times New Roman"/>
        </w:rPr>
        <w:t xml:space="preserve"> </w:t>
      </w:r>
    </w:p>
    <w:p w14:paraId="5C35F200" w14:textId="77777777" w:rsidR="00031B7D" w:rsidRPr="00B033A8" w:rsidRDefault="00031B7D" w:rsidP="00776641">
      <w:pPr>
        <w:tabs>
          <w:tab w:val="left" w:pos="567"/>
        </w:tabs>
        <w:rPr>
          <w:rFonts w:cs="Times New Roman"/>
        </w:rPr>
      </w:pPr>
    </w:p>
    <w:p w14:paraId="1DCD0605" w14:textId="77777777" w:rsidR="004E3D83" w:rsidRPr="00B033A8" w:rsidRDefault="004E3D83" w:rsidP="00776641">
      <w:pPr>
        <w:pStyle w:val="Ttulo2"/>
        <w:numPr>
          <w:ilvl w:val="0"/>
          <w:numId w:val="15"/>
        </w:numPr>
        <w:ind w:left="567"/>
        <w:rPr>
          <w:rFonts w:cs="Times New Roman"/>
        </w:rPr>
      </w:pPr>
      <w:r w:rsidRPr="00B033A8">
        <w:rPr>
          <w:rFonts w:cs="Times New Roman"/>
        </w:rPr>
        <w:t>Competencia del legislador para crear tipos penales. Reiteración de jurisprudencia</w:t>
      </w:r>
    </w:p>
    <w:p w14:paraId="5D6CB931" w14:textId="77777777" w:rsidR="004E3D83" w:rsidRPr="00B033A8" w:rsidRDefault="004E3D83" w:rsidP="00776641">
      <w:pPr>
        <w:rPr>
          <w:rFonts w:cs="Times New Roman"/>
        </w:rPr>
      </w:pPr>
    </w:p>
    <w:p w14:paraId="2F0982AA" w14:textId="472E97FA" w:rsidR="004E3D83" w:rsidRPr="00B033A8" w:rsidRDefault="004E3D83" w:rsidP="00776641">
      <w:pPr>
        <w:numPr>
          <w:ilvl w:val="0"/>
          <w:numId w:val="12"/>
        </w:numPr>
        <w:tabs>
          <w:tab w:val="left" w:pos="567"/>
        </w:tabs>
        <w:ind w:left="0" w:firstLine="0"/>
        <w:rPr>
          <w:rFonts w:cs="Times New Roman"/>
        </w:rPr>
      </w:pPr>
      <w:r w:rsidRPr="00B033A8">
        <w:rPr>
          <w:rFonts w:cs="Times New Roman"/>
        </w:rPr>
        <w:t>Los artículos 114 y 150.2 de la Constitución le asignan al Congreso de la República la competencia para “</w:t>
      </w:r>
      <w:r w:rsidRPr="00B033A8">
        <w:rPr>
          <w:rFonts w:cs="Times New Roman"/>
          <w:iCs/>
        </w:rPr>
        <w:t>determinar la política criminal del Estado”</w:t>
      </w:r>
      <w:r w:rsidRPr="00B033A8">
        <w:rPr>
          <w:rFonts w:cs="Times New Roman"/>
          <w:iCs/>
          <w:vertAlign w:val="superscript"/>
        </w:rPr>
        <w:footnoteReference w:id="67"/>
      </w:r>
      <w:r w:rsidRPr="00B033A8">
        <w:rPr>
          <w:rFonts w:cs="Times New Roman"/>
          <w:iCs/>
        </w:rPr>
        <w:t xml:space="preserve">. </w:t>
      </w:r>
      <w:r w:rsidRPr="00B033A8">
        <w:rPr>
          <w:rFonts w:cs="Times New Roman"/>
        </w:rPr>
        <w:t>En ejercicio de esta competencia, el legislador cuenta con un amplio margen de configuración normativa para</w:t>
      </w:r>
      <w:r w:rsidRPr="00B033A8">
        <w:rPr>
          <w:rFonts w:cs="Times New Roman"/>
          <w:lang w:val="es-ES"/>
        </w:rPr>
        <w:t xml:space="preserve"> crear, modificar o suprimir tipos penales, establecer modalidades punitivas, graduar penas aplicables y definir las reglas de procedimiento</w:t>
      </w:r>
      <w:r w:rsidRPr="00B033A8">
        <w:rPr>
          <w:rStyle w:val="Refdenotaalpie"/>
          <w:rFonts w:cs="Times New Roman"/>
          <w:lang w:val="es-ES"/>
        </w:rPr>
        <w:footnoteReference w:id="68"/>
      </w:r>
      <w:r w:rsidRPr="00B033A8">
        <w:rPr>
          <w:rFonts w:cs="Times New Roman"/>
          <w:lang w:val="es-ES"/>
        </w:rPr>
        <w:t>.</w:t>
      </w:r>
      <w:r w:rsidRPr="00B033A8">
        <w:rPr>
          <w:rFonts w:cs="Times New Roman"/>
          <w:color w:val="000000"/>
          <w:szCs w:val="28"/>
          <w:shd w:val="clear" w:color="auto" w:fill="FFFFFF"/>
        </w:rPr>
        <w:t xml:space="preserve"> Esta competencia</w:t>
      </w:r>
      <w:r w:rsidRPr="00B033A8">
        <w:rPr>
          <w:rFonts w:cs="Times New Roman"/>
        </w:rPr>
        <w:t xml:space="preserve"> se fundamenta en </w:t>
      </w:r>
      <w:r w:rsidR="00CB5923" w:rsidRPr="00B033A8">
        <w:rPr>
          <w:rFonts w:cs="Times New Roman"/>
        </w:rPr>
        <w:t>el principio</w:t>
      </w:r>
      <w:r w:rsidRPr="00B033A8">
        <w:rPr>
          <w:rFonts w:cs="Times New Roman"/>
        </w:rPr>
        <w:t xml:space="preserve"> democrátic</w:t>
      </w:r>
      <w:r w:rsidR="008B54A2" w:rsidRPr="00B033A8">
        <w:rPr>
          <w:rFonts w:cs="Times New Roman"/>
        </w:rPr>
        <w:t>o</w:t>
      </w:r>
      <w:r w:rsidRPr="00B033A8">
        <w:rPr>
          <w:rFonts w:cs="Times New Roman"/>
        </w:rPr>
        <w:t xml:space="preserve"> y de soberanía popular, dado que exige que “el diseño de las respuestas penales a conductas consideradas reprochables o causantes de perjuicio social sea producto de una discusión que integre al colectivo y en la cual prime la participación”</w:t>
      </w:r>
      <w:r w:rsidRPr="00B033A8">
        <w:rPr>
          <w:rStyle w:val="Refdenotaalpie"/>
          <w:rFonts w:cs="Times New Roman"/>
        </w:rPr>
        <w:footnoteReference w:id="69"/>
      </w:r>
      <w:r w:rsidRPr="00B033A8">
        <w:rPr>
          <w:rFonts w:cs="Times New Roman"/>
        </w:rPr>
        <w:t>. </w:t>
      </w:r>
    </w:p>
    <w:p w14:paraId="1AE682E2" w14:textId="77777777" w:rsidR="004E3D83" w:rsidRPr="00B033A8" w:rsidRDefault="004E3D83" w:rsidP="00776641">
      <w:pPr>
        <w:tabs>
          <w:tab w:val="left" w:pos="567"/>
        </w:tabs>
        <w:rPr>
          <w:rFonts w:cs="Times New Roman"/>
        </w:rPr>
      </w:pPr>
    </w:p>
    <w:p w14:paraId="1837EAC0" w14:textId="77777777" w:rsidR="004E3D83" w:rsidRPr="00B033A8" w:rsidRDefault="004E3D83" w:rsidP="00776641">
      <w:pPr>
        <w:numPr>
          <w:ilvl w:val="0"/>
          <w:numId w:val="12"/>
        </w:numPr>
        <w:tabs>
          <w:tab w:val="left" w:pos="567"/>
        </w:tabs>
        <w:ind w:left="0" w:firstLine="0"/>
        <w:rPr>
          <w:rFonts w:cs="Times New Roman"/>
          <w:lang w:val="es-ES"/>
        </w:rPr>
      </w:pPr>
      <w:r w:rsidRPr="00B033A8">
        <w:rPr>
          <w:rFonts w:cs="Times New Roman"/>
        </w:rPr>
        <w:t>El amplio margen de configuración normativa del legislador en materia penal, sin embargo, no es absoluto</w:t>
      </w:r>
      <w:r w:rsidRPr="00B033A8">
        <w:rPr>
          <w:rStyle w:val="Refdenotaalpie"/>
          <w:rFonts w:cs="Times New Roman"/>
        </w:rPr>
        <w:footnoteReference w:id="70"/>
      </w:r>
      <w:r w:rsidRPr="00B033A8">
        <w:rPr>
          <w:rFonts w:cs="Times New Roman"/>
        </w:rPr>
        <w:t xml:space="preserve">. La Corte Constitucional ha sostenido que </w:t>
      </w:r>
      <w:r w:rsidRPr="00B033A8">
        <w:rPr>
          <w:rFonts w:cs="Times New Roman"/>
        </w:rPr>
        <w:lastRenderedPageBreak/>
        <w:t>en el diseño de la política criminal el legislador está sometido a dos tipos de límites constitucionales: explícitos e implícitos</w:t>
      </w:r>
      <w:r w:rsidRPr="00B033A8">
        <w:rPr>
          <w:rStyle w:val="Refdenotaalpie"/>
          <w:rFonts w:cs="Times New Roman"/>
        </w:rPr>
        <w:footnoteReference w:id="71"/>
      </w:r>
      <w:r w:rsidRPr="00B033A8">
        <w:rPr>
          <w:rFonts w:cs="Times New Roman"/>
        </w:rPr>
        <w:t xml:space="preserve">: </w:t>
      </w:r>
    </w:p>
    <w:p w14:paraId="343588A4" w14:textId="77777777" w:rsidR="004E3D83" w:rsidRPr="00B033A8" w:rsidRDefault="004E3D83" w:rsidP="00776641">
      <w:pPr>
        <w:tabs>
          <w:tab w:val="left" w:pos="567"/>
        </w:tabs>
        <w:rPr>
          <w:rFonts w:cs="Times New Roman"/>
          <w:lang w:val="es-ES"/>
        </w:rPr>
      </w:pPr>
    </w:p>
    <w:p w14:paraId="04C7BA99" w14:textId="66BC9BC6" w:rsidR="004E3D83" w:rsidRPr="00B033A8" w:rsidRDefault="004E3D83" w:rsidP="00776641">
      <w:pPr>
        <w:pStyle w:val="Prrafodelista"/>
        <w:numPr>
          <w:ilvl w:val="0"/>
          <w:numId w:val="16"/>
        </w:numPr>
        <w:tabs>
          <w:tab w:val="left" w:pos="567"/>
        </w:tabs>
        <w:spacing w:line="240" w:lineRule="auto"/>
        <w:ind w:left="567" w:hanging="357"/>
        <w:rPr>
          <w:lang w:val="es-ES"/>
        </w:rPr>
      </w:pPr>
      <w:r w:rsidRPr="00B033A8">
        <w:t xml:space="preserve">Los límites </w:t>
      </w:r>
      <w:r w:rsidRPr="00B033A8">
        <w:rPr>
          <w:i/>
          <w:iCs/>
        </w:rPr>
        <w:t>explícitos</w:t>
      </w:r>
      <w:r w:rsidRPr="00B033A8">
        <w:t xml:space="preserve"> son aquellas</w:t>
      </w:r>
      <w:r w:rsidRPr="00B033A8">
        <w:rPr>
          <w:lang w:val="es-ES"/>
        </w:rPr>
        <w:t xml:space="preserve"> “prohibiciones que de manera expresa le fija la Constitución al legislador”</w:t>
      </w:r>
      <w:r w:rsidRPr="00B033A8">
        <w:rPr>
          <w:rStyle w:val="Refdenotaalpie"/>
          <w:lang w:val="es-ES"/>
        </w:rPr>
        <w:footnoteReference w:id="72"/>
      </w:r>
      <w:r w:rsidRPr="00B033A8">
        <w:rPr>
          <w:lang w:val="es-ES"/>
        </w:rPr>
        <w:t xml:space="preserve"> en materia penal, tales como: </w:t>
      </w:r>
      <w:r w:rsidRPr="00B033A8">
        <w:t>la prohibición de la pena de muerte (art. 11</w:t>
      </w:r>
      <w:r w:rsidR="0091752F" w:rsidRPr="00B033A8">
        <w:t xml:space="preserve"> de la CP</w:t>
      </w:r>
      <w:r w:rsidRPr="00B033A8">
        <w:t>); la prohibición de las penas crueles, inhumanas o degradantes (art. 12</w:t>
      </w:r>
      <w:r w:rsidR="0091752F" w:rsidRPr="00B033A8">
        <w:t xml:space="preserve"> de la CP</w:t>
      </w:r>
      <w:r w:rsidRPr="00B033A8">
        <w:t>) y la prohibición de las penas de destierro, prisión perpetua y confiscación (art. 34</w:t>
      </w:r>
      <w:r w:rsidR="0091752F" w:rsidRPr="00B033A8">
        <w:t xml:space="preserve"> de la CP</w:t>
      </w:r>
      <w:r w:rsidRPr="00B033A8">
        <w:t xml:space="preserve">). </w:t>
      </w:r>
      <w:r w:rsidRPr="00B033A8">
        <w:rPr>
          <w:lang w:val="es-ES"/>
        </w:rPr>
        <w:t xml:space="preserve"> </w:t>
      </w:r>
    </w:p>
    <w:p w14:paraId="7D4E29D7" w14:textId="4873B315" w:rsidR="004E3D83" w:rsidRPr="00B033A8" w:rsidRDefault="004E3D83" w:rsidP="00776641">
      <w:pPr>
        <w:pStyle w:val="Prrafodelista"/>
        <w:numPr>
          <w:ilvl w:val="0"/>
          <w:numId w:val="16"/>
        </w:numPr>
        <w:tabs>
          <w:tab w:val="left" w:pos="567"/>
        </w:tabs>
        <w:spacing w:line="240" w:lineRule="auto"/>
        <w:ind w:left="567" w:hanging="357"/>
        <w:rPr>
          <w:lang w:val="es-ES"/>
        </w:rPr>
      </w:pPr>
      <w:r w:rsidRPr="00B033A8">
        <w:rPr>
          <w:lang w:val="es-ES"/>
        </w:rPr>
        <w:t xml:space="preserve">Los límites </w:t>
      </w:r>
      <w:r w:rsidRPr="00B033A8">
        <w:rPr>
          <w:i/>
          <w:iCs/>
          <w:lang w:val="es-ES"/>
        </w:rPr>
        <w:t>implícitos</w:t>
      </w:r>
      <w:r w:rsidRPr="00B033A8">
        <w:rPr>
          <w:lang w:val="es-ES"/>
        </w:rPr>
        <w:t>, por su parte, son aquellos que le imponen al legislador el deber de “actuar de forma razonable y proporcionada”</w:t>
      </w:r>
      <w:r w:rsidRPr="00B033A8">
        <w:rPr>
          <w:rStyle w:val="Refdenotaalpie"/>
          <w:lang w:val="es-ES"/>
        </w:rPr>
        <w:footnoteReference w:id="73"/>
      </w:r>
      <w:r w:rsidRPr="00B033A8">
        <w:rPr>
          <w:lang w:val="es-ES"/>
        </w:rPr>
        <w:t xml:space="preserve"> para garantizar la protección de los “principios, derechos y deberes establecidos en la Constitución”</w:t>
      </w:r>
      <w:r w:rsidRPr="00B033A8">
        <w:rPr>
          <w:rStyle w:val="Refdenotaalpie"/>
          <w:lang w:val="es-ES"/>
        </w:rPr>
        <w:footnoteReference w:id="74"/>
      </w:r>
      <w:r w:rsidRPr="00B033A8">
        <w:rPr>
          <w:lang w:val="es-ES"/>
        </w:rPr>
        <w:t>. La jurisprudencia ha señalado que dentro de estos límites se encuentra</w:t>
      </w:r>
      <w:r w:rsidR="00441AB5" w:rsidRPr="00B033A8">
        <w:rPr>
          <w:lang w:val="es-ES"/>
        </w:rPr>
        <w:t>n</w:t>
      </w:r>
      <w:r w:rsidRPr="00B033A8">
        <w:rPr>
          <w:lang w:val="es-ES"/>
        </w:rPr>
        <w:t>, entre otros</w:t>
      </w:r>
      <w:r w:rsidRPr="00B033A8">
        <w:rPr>
          <w:rStyle w:val="Refdenotaalpie"/>
          <w:lang w:val="es-ES"/>
        </w:rPr>
        <w:footnoteReference w:id="75"/>
      </w:r>
      <w:r w:rsidRPr="00B033A8">
        <w:rPr>
          <w:lang w:val="es-ES"/>
        </w:rPr>
        <w:t xml:space="preserve">, </w:t>
      </w:r>
      <w:r w:rsidRPr="00B033A8">
        <w:rPr>
          <w:i/>
          <w:iCs/>
          <w:lang w:val="es-ES"/>
        </w:rPr>
        <w:t>(i)</w:t>
      </w:r>
      <w:r w:rsidRPr="00B033A8">
        <w:rPr>
          <w:lang w:val="es-ES"/>
        </w:rPr>
        <w:t xml:space="preserve"> el </w:t>
      </w:r>
      <w:r w:rsidRPr="00B033A8">
        <w:t xml:space="preserve">principio de necesidad o </w:t>
      </w:r>
      <w:r w:rsidRPr="00B033A8">
        <w:rPr>
          <w:i/>
          <w:iCs/>
        </w:rPr>
        <w:t>ultima</w:t>
      </w:r>
      <w:r w:rsidRPr="00B033A8">
        <w:t xml:space="preserve"> </w:t>
      </w:r>
      <w:r w:rsidRPr="00B033A8">
        <w:rPr>
          <w:i/>
          <w:iCs/>
        </w:rPr>
        <w:t>ratio</w:t>
      </w:r>
      <w:r w:rsidRPr="00B033A8">
        <w:t xml:space="preserve"> del derecho penal, </w:t>
      </w:r>
      <w:r w:rsidRPr="00B033A8">
        <w:rPr>
          <w:i/>
          <w:iCs/>
        </w:rPr>
        <w:t>(</w:t>
      </w:r>
      <w:proofErr w:type="spellStart"/>
      <w:r w:rsidRPr="00B033A8">
        <w:rPr>
          <w:i/>
          <w:iCs/>
        </w:rPr>
        <w:t>ii</w:t>
      </w:r>
      <w:proofErr w:type="spellEnd"/>
      <w:r w:rsidRPr="00B033A8">
        <w:rPr>
          <w:i/>
          <w:iCs/>
        </w:rPr>
        <w:t>)</w:t>
      </w:r>
      <w:r w:rsidRPr="00B033A8">
        <w:t xml:space="preserve"> el principio de culpabilidad, </w:t>
      </w:r>
      <w:r w:rsidRPr="00B033A8">
        <w:rPr>
          <w:i/>
          <w:iCs/>
        </w:rPr>
        <w:t>(</w:t>
      </w:r>
      <w:proofErr w:type="spellStart"/>
      <w:r w:rsidRPr="00B033A8">
        <w:rPr>
          <w:i/>
          <w:iCs/>
        </w:rPr>
        <w:t>iii</w:t>
      </w:r>
      <w:proofErr w:type="spellEnd"/>
      <w:r w:rsidRPr="00B033A8">
        <w:rPr>
          <w:i/>
          <w:iCs/>
        </w:rPr>
        <w:t>)</w:t>
      </w:r>
      <w:r w:rsidRPr="00B033A8">
        <w:t xml:space="preserve"> el principio de lesividad, </w:t>
      </w:r>
      <w:r w:rsidRPr="00B033A8">
        <w:rPr>
          <w:i/>
          <w:iCs/>
        </w:rPr>
        <w:t>(</w:t>
      </w:r>
      <w:proofErr w:type="spellStart"/>
      <w:r w:rsidRPr="00B033A8">
        <w:rPr>
          <w:i/>
          <w:iCs/>
        </w:rPr>
        <w:t>iv</w:t>
      </w:r>
      <w:proofErr w:type="spellEnd"/>
      <w:r w:rsidRPr="00B033A8">
        <w:rPr>
          <w:i/>
          <w:iCs/>
        </w:rPr>
        <w:t>)</w:t>
      </w:r>
      <w:r w:rsidRPr="00B033A8">
        <w:t xml:space="preserve"> los principios de razonabilidad y proporcionalidad de la pena y </w:t>
      </w:r>
      <w:r w:rsidRPr="00B033A8">
        <w:rPr>
          <w:i/>
          <w:iCs/>
        </w:rPr>
        <w:t>(v)</w:t>
      </w:r>
      <w:r w:rsidRPr="00B033A8">
        <w:t xml:space="preserve"> el principio de legalidad.</w:t>
      </w:r>
      <w:r w:rsidRPr="00B033A8">
        <w:rPr>
          <w:rStyle w:val="Refdenotaalpie"/>
        </w:rPr>
        <w:footnoteReference w:id="76"/>
      </w:r>
      <w:r w:rsidRPr="00B033A8">
        <w:t>.</w:t>
      </w:r>
    </w:p>
    <w:p w14:paraId="3AA80807" w14:textId="77777777" w:rsidR="004E3D83" w:rsidRPr="00B033A8" w:rsidRDefault="004E3D83" w:rsidP="00776641">
      <w:pPr>
        <w:tabs>
          <w:tab w:val="left" w:pos="567"/>
        </w:tabs>
        <w:rPr>
          <w:rFonts w:cs="Times New Roman"/>
          <w:lang w:val="es-ES"/>
        </w:rPr>
      </w:pPr>
    </w:p>
    <w:p w14:paraId="5B48D62C" w14:textId="77777777" w:rsidR="004E3D83" w:rsidRPr="00B033A8" w:rsidRDefault="004E3D83" w:rsidP="00776641">
      <w:pPr>
        <w:numPr>
          <w:ilvl w:val="0"/>
          <w:numId w:val="12"/>
        </w:numPr>
        <w:tabs>
          <w:tab w:val="left" w:pos="567"/>
        </w:tabs>
        <w:ind w:left="0" w:firstLine="0"/>
        <w:rPr>
          <w:rFonts w:cs="Times New Roman"/>
        </w:rPr>
      </w:pPr>
      <w:r w:rsidRPr="00B033A8">
        <w:rPr>
          <w:rFonts w:cs="Times New Roman"/>
        </w:rPr>
        <w:t>En tales términos, ha dicho la Corte, l</w:t>
      </w:r>
      <w:r w:rsidRPr="00B033A8">
        <w:rPr>
          <w:rFonts w:cs="Times New Roman"/>
          <w:lang w:val="es-ES_tradnl"/>
        </w:rPr>
        <w:t>a Constitución opera como un mecanismo de “control de límites de competencia del legislador, con el fin de evitar excesos punitivos”</w:t>
      </w:r>
      <w:r w:rsidRPr="00B033A8">
        <w:rPr>
          <w:rFonts w:cs="Times New Roman"/>
          <w:vertAlign w:val="superscript"/>
          <w:lang w:val="es-ES_tradnl"/>
        </w:rPr>
        <w:footnoteReference w:id="77"/>
      </w:r>
      <w:r w:rsidRPr="00B033A8">
        <w:rPr>
          <w:rFonts w:cs="Times New Roman"/>
          <w:lang w:val="es-ES_tradnl"/>
        </w:rPr>
        <w:t>. E</w:t>
      </w:r>
      <w:r w:rsidRPr="00B033A8">
        <w:rPr>
          <w:rFonts w:cs="Times New Roman"/>
        </w:rPr>
        <w:t xml:space="preserve">l cumplimiento de estos límites constitucionales es una condición de validez de las normas penales, así como del ejercicio legítimo del </w:t>
      </w:r>
      <w:r w:rsidRPr="00B033A8">
        <w:rPr>
          <w:rFonts w:cs="Times New Roman"/>
          <w:i/>
          <w:iCs/>
        </w:rPr>
        <w:t>ius puniendi</w:t>
      </w:r>
      <w:r w:rsidRPr="00B033A8">
        <w:rPr>
          <w:rFonts w:cs="Times New Roman"/>
        </w:rPr>
        <w:t xml:space="preserve">. </w:t>
      </w:r>
    </w:p>
    <w:p w14:paraId="144D49D4" w14:textId="77777777" w:rsidR="004E3D83" w:rsidRPr="00B033A8" w:rsidRDefault="004E3D83" w:rsidP="00776641">
      <w:pPr>
        <w:tabs>
          <w:tab w:val="left" w:pos="567"/>
        </w:tabs>
        <w:rPr>
          <w:rFonts w:cs="Times New Roman"/>
        </w:rPr>
      </w:pPr>
    </w:p>
    <w:p w14:paraId="7415F672" w14:textId="52FEED94" w:rsidR="004E3D83" w:rsidRPr="00B033A8" w:rsidRDefault="004E3D83" w:rsidP="00776641">
      <w:pPr>
        <w:pStyle w:val="Ttulo3"/>
        <w:numPr>
          <w:ilvl w:val="1"/>
          <w:numId w:val="15"/>
        </w:numPr>
        <w:spacing w:before="0"/>
        <w:ind w:left="709" w:hanging="567"/>
        <w:rPr>
          <w:rFonts w:cs="Times New Roman"/>
        </w:rPr>
      </w:pPr>
      <w:r w:rsidRPr="00B033A8">
        <w:rPr>
          <w:rFonts w:cs="Times New Roman"/>
        </w:rPr>
        <w:t>El principio de legalidad como límite al margen de configuración del legislador en materia penal</w:t>
      </w:r>
    </w:p>
    <w:p w14:paraId="099C689B" w14:textId="77777777" w:rsidR="004E3D83" w:rsidRPr="00B033A8" w:rsidRDefault="004E3D83" w:rsidP="00776641">
      <w:pPr>
        <w:tabs>
          <w:tab w:val="left" w:pos="567"/>
        </w:tabs>
        <w:rPr>
          <w:rFonts w:cs="Times New Roman"/>
        </w:rPr>
      </w:pPr>
    </w:p>
    <w:p w14:paraId="5065B915" w14:textId="77F2891C" w:rsidR="004E3D83" w:rsidRPr="00B033A8" w:rsidRDefault="004E3D83" w:rsidP="00776641">
      <w:pPr>
        <w:numPr>
          <w:ilvl w:val="0"/>
          <w:numId w:val="12"/>
        </w:numPr>
        <w:tabs>
          <w:tab w:val="left" w:pos="567"/>
        </w:tabs>
        <w:ind w:left="0" w:firstLine="0"/>
        <w:rPr>
          <w:rFonts w:cs="Times New Roman"/>
        </w:rPr>
      </w:pPr>
      <w:r w:rsidRPr="00B033A8">
        <w:rPr>
          <w:rFonts w:cs="Times New Roman"/>
          <w:szCs w:val="28"/>
          <w:lang w:val="es-ES_tradnl"/>
        </w:rPr>
        <w:t xml:space="preserve">El principio de legalidad en materia penal, conforme al cual no existe delito ni pena sin ley </w:t>
      </w:r>
      <w:r w:rsidR="008A3395" w:rsidRPr="00B033A8">
        <w:rPr>
          <w:rFonts w:cs="Times New Roman"/>
          <w:szCs w:val="28"/>
          <w:lang w:val="es-ES_tradnl"/>
        </w:rPr>
        <w:t>–</w:t>
      </w:r>
      <w:proofErr w:type="spellStart"/>
      <w:r w:rsidRPr="00B033A8">
        <w:rPr>
          <w:rFonts w:cs="Times New Roman"/>
          <w:i/>
          <w:iCs/>
          <w:szCs w:val="28"/>
          <w:lang w:val="es-ES_tradnl"/>
        </w:rPr>
        <w:t>nullum</w:t>
      </w:r>
      <w:proofErr w:type="spellEnd"/>
      <w:r w:rsidRPr="00B033A8">
        <w:rPr>
          <w:rFonts w:cs="Times New Roman"/>
          <w:i/>
          <w:iCs/>
          <w:szCs w:val="28"/>
          <w:lang w:val="es-ES_tradnl"/>
        </w:rPr>
        <w:t xml:space="preserve"> crimen, </w:t>
      </w:r>
      <w:proofErr w:type="spellStart"/>
      <w:r w:rsidRPr="00B033A8">
        <w:rPr>
          <w:rFonts w:cs="Times New Roman"/>
          <w:i/>
          <w:iCs/>
          <w:szCs w:val="28"/>
          <w:lang w:val="es-ES_tradnl"/>
        </w:rPr>
        <w:t>nulla</w:t>
      </w:r>
      <w:proofErr w:type="spellEnd"/>
      <w:r w:rsidRPr="00B033A8">
        <w:rPr>
          <w:rFonts w:cs="Times New Roman"/>
          <w:i/>
          <w:iCs/>
          <w:szCs w:val="28"/>
          <w:lang w:val="es-ES_tradnl"/>
        </w:rPr>
        <w:t xml:space="preserve"> </w:t>
      </w:r>
      <w:proofErr w:type="spellStart"/>
      <w:r w:rsidRPr="00B033A8">
        <w:rPr>
          <w:rFonts w:cs="Times New Roman"/>
          <w:i/>
          <w:iCs/>
          <w:szCs w:val="28"/>
          <w:lang w:val="es-ES_tradnl"/>
        </w:rPr>
        <w:t>poena</w:t>
      </w:r>
      <w:proofErr w:type="spellEnd"/>
      <w:r w:rsidRPr="00B033A8">
        <w:rPr>
          <w:rFonts w:cs="Times New Roman"/>
          <w:i/>
          <w:iCs/>
          <w:szCs w:val="28"/>
          <w:lang w:val="es-ES_tradnl"/>
        </w:rPr>
        <w:t xml:space="preserve"> sine lege</w:t>
      </w:r>
      <w:r w:rsidR="008A3395" w:rsidRPr="00B033A8">
        <w:rPr>
          <w:rFonts w:cs="Times New Roman"/>
          <w:szCs w:val="28"/>
          <w:lang w:val="es-ES_tradnl"/>
        </w:rPr>
        <w:t>–</w:t>
      </w:r>
      <w:r w:rsidRPr="00B033A8">
        <w:rPr>
          <w:rFonts w:cs="Times New Roman"/>
          <w:szCs w:val="28"/>
          <w:lang w:val="es-ES_tradnl"/>
        </w:rPr>
        <w:t>, está previsto en el inciso 2º del artículo 29 de la Constitución Política. Esta disposición constitucional prescribe que “</w:t>
      </w:r>
      <w:r w:rsidRPr="00B033A8">
        <w:rPr>
          <w:rFonts w:cs="Times New Roman"/>
          <w:szCs w:val="28"/>
        </w:rPr>
        <w:t xml:space="preserve">[n]adie podrá ser juzgado sino conforme a leyes preexistentes al acto que se le imputa, ante juez o tribunal competente y con observancia de la plenitud de las formas propias de cada juicio”. El principio de legalidad </w:t>
      </w:r>
      <w:r w:rsidR="00CA2902" w:rsidRPr="00B033A8">
        <w:rPr>
          <w:rFonts w:cs="Times New Roman"/>
          <w:szCs w:val="28"/>
        </w:rPr>
        <w:t xml:space="preserve">en materia penal </w:t>
      </w:r>
      <w:r w:rsidRPr="00B033A8">
        <w:rPr>
          <w:rFonts w:cs="Times New Roman"/>
          <w:szCs w:val="28"/>
        </w:rPr>
        <w:t xml:space="preserve">también está consagrado en múltiples instrumentos internacionales de derechos humanos que forman parte del bloque de constitucionalidad, a saber: los artículos 15 del Pacto Internacional de Derechos Civiles y Políticos y 9 de la Convención Americana sobre Derechos Humanos. De acuerdo con la jurisprudencia constitucional e interamericana, </w:t>
      </w:r>
      <w:r w:rsidRPr="00B033A8">
        <w:rPr>
          <w:rFonts w:cs="Times New Roman"/>
          <w:szCs w:val="28"/>
          <w:lang w:val="es-ES"/>
        </w:rPr>
        <w:t xml:space="preserve">el principio de legalidad en materia penal es un elemento definitorio del Estado de Derecho, </w:t>
      </w:r>
      <w:r w:rsidRPr="00B033A8">
        <w:rPr>
          <w:rFonts w:cs="Times New Roman"/>
          <w:szCs w:val="28"/>
          <w:lang w:val="es-ES"/>
        </w:rPr>
        <w:lastRenderedPageBreak/>
        <w:t>una las principales conquistas del constitucionalismo democrático y un pilar del sistema de protección de las libertades y derechos fundamentales de las personas frente al ejercicio del poder punitivo del Estado</w:t>
      </w:r>
      <w:r w:rsidRPr="00B033A8">
        <w:rPr>
          <w:rFonts w:cs="Times New Roman"/>
          <w:szCs w:val="28"/>
          <w:vertAlign w:val="superscript"/>
          <w:lang w:val="es-ES"/>
        </w:rPr>
        <w:footnoteReference w:id="78"/>
      </w:r>
      <w:r w:rsidRPr="00B033A8">
        <w:rPr>
          <w:rFonts w:cs="Times New Roman"/>
          <w:szCs w:val="28"/>
          <w:lang w:val="es-ES"/>
        </w:rPr>
        <w:t>.</w:t>
      </w:r>
    </w:p>
    <w:p w14:paraId="697A2C00" w14:textId="77777777" w:rsidR="004E3D83" w:rsidRPr="00B033A8" w:rsidRDefault="004E3D83" w:rsidP="00776641">
      <w:pPr>
        <w:tabs>
          <w:tab w:val="left" w:pos="567"/>
        </w:tabs>
        <w:rPr>
          <w:rFonts w:cs="Times New Roman"/>
        </w:rPr>
      </w:pPr>
    </w:p>
    <w:p w14:paraId="0EF6DFE2" w14:textId="17D165BD" w:rsidR="004E3D83" w:rsidRPr="00B033A8" w:rsidRDefault="004E3D83" w:rsidP="00776641">
      <w:pPr>
        <w:numPr>
          <w:ilvl w:val="0"/>
          <w:numId w:val="12"/>
        </w:numPr>
        <w:tabs>
          <w:tab w:val="left" w:pos="567"/>
        </w:tabs>
        <w:ind w:left="0" w:firstLine="0"/>
        <w:rPr>
          <w:rFonts w:cs="Times New Roman"/>
        </w:rPr>
      </w:pPr>
      <w:r w:rsidRPr="00B033A8">
        <w:rPr>
          <w:rFonts w:cs="Times New Roman"/>
          <w:szCs w:val="28"/>
        </w:rPr>
        <w:t>El principio de legalidad comprende tres subprincipios</w:t>
      </w:r>
      <w:r w:rsidRPr="00B033A8">
        <w:rPr>
          <w:rStyle w:val="Refdenotaalpie"/>
          <w:rFonts w:cs="Times New Roman"/>
          <w:szCs w:val="28"/>
        </w:rPr>
        <w:footnoteReference w:id="79"/>
      </w:r>
      <w:r w:rsidRPr="00B033A8">
        <w:rPr>
          <w:rFonts w:cs="Times New Roman"/>
          <w:szCs w:val="28"/>
        </w:rPr>
        <w:t>. Primero, el principio de reserva legal (</w:t>
      </w:r>
      <w:r w:rsidRPr="00B033A8">
        <w:rPr>
          <w:rFonts w:cs="Times New Roman"/>
          <w:i/>
          <w:iCs/>
          <w:szCs w:val="28"/>
        </w:rPr>
        <w:t xml:space="preserve">lex </w:t>
      </w:r>
      <w:proofErr w:type="spellStart"/>
      <w:r w:rsidRPr="00B033A8">
        <w:rPr>
          <w:rFonts w:cs="Times New Roman"/>
          <w:i/>
          <w:iCs/>
          <w:szCs w:val="28"/>
        </w:rPr>
        <w:t>stricta</w:t>
      </w:r>
      <w:proofErr w:type="spellEnd"/>
      <w:r w:rsidRPr="00B033A8">
        <w:rPr>
          <w:rFonts w:cs="Times New Roman"/>
          <w:szCs w:val="28"/>
        </w:rPr>
        <w:t>)</w:t>
      </w:r>
      <w:r w:rsidR="00881FA5" w:rsidRPr="00B033A8">
        <w:rPr>
          <w:rFonts w:cs="Times New Roman"/>
          <w:szCs w:val="28"/>
        </w:rPr>
        <w:t xml:space="preserve">, </w:t>
      </w:r>
      <w:r w:rsidRPr="00B033A8">
        <w:rPr>
          <w:rFonts w:cs="Times New Roman"/>
          <w:szCs w:val="28"/>
        </w:rPr>
        <w:t>el cual exige que los delitos y las penas estén previstos en una Ley en sentido formal, expedida por el Congreso de la República como órgano de representación popular</w:t>
      </w:r>
      <w:r w:rsidRPr="00B033A8">
        <w:rPr>
          <w:rStyle w:val="Refdenotaalpie"/>
          <w:rFonts w:cs="Times New Roman"/>
        </w:rPr>
        <w:footnoteReference w:id="80"/>
      </w:r>
      <w:r w:rsidRPr="00B033A8">
        <w:rPr>
          <w:rFonts w:cs="Times New Roman"/>
          <w:szCs w:val="28"/>
        </w:rPr>
        <w:t>. Segundo, el principio de irretroactividad de la ley penal (</w:t>
      </w:r>
      <w:r w:rsidRPr="00B033A8">
        <w:rPr>
          <w:rFonts w:cs="Times New Roman"/>
          <w:i/>
          <w:iCs/>
          <w:szCs w:val="28"/>
        </w:rPr>
        <w:t xml:space="preserve">lex </w:t>
      </w:r>
      <w:proofErr w:type="spellStart"/>
      <w:r w:rsidRPr="00B033A8">
        <w:rPr>
          <w:rFonts w:cs="Times New Roman"/>
          <w:i/>
          <w:iCs/>
          <w:szCs w:val="28"/>
        </w:rPr>
        <w:t>praevia</w:t>
      </w:r>
      <w:proofErr w:type="spellEnd"/>
      <w:r w:rsidRPr="00B033A8">
        <w:rPr>
          <w:rFonts w:cs="Times New Roman"/>
          <w:szCs w:val="28"/>
        </w:rPr>
        <w:t>), conforme al cual el tipo penal que prevé el delito y la sanción debe preexistir a la conducta</w:t>
      </w:r>
      <w:r w:rsidRPr="00B033A8">
        <w:rPr>
          <w:rStyle w:val="Refdenotaalpie"/>
          <w:rFonts w:cs="Times New Roman"/>
        </w:rPr>
        <w:footnoteReference w:id="81"/>
      </w:r>
      <w:r w:rsidRPr="00B033A8">
        <w:rPr>
          <w:rFonts w:cs="Times New Roman"/>
          <w:szCs w:val="28"/>
        </w:rPr>
        <w:t xml:space="preserve">: una conducta </w:t>
      </w:r>
      <w:r w:rsidRPr="00B033A8">
        <w:rPr>
          <w:rFonts w:cs="Times New Roman"/>
          <w:szCs w:val="28"/>
          <w:lang w:val="es-AR"/>
        </w:rPr>
        <w:t>no constituye delito ni puede ser objeto de sanción penal si no existe una ley previa que así lo establezca. Tercero, el principio de legalidad estricta o tipicidad (</w:t>
      </w:r>
      <w:r w:rsidRPr="00B033A8">
        <w:rPr>
          <w:rFonts w:cs="Times New Roman"/>
          <w:i/>
          <w:iCs/>
          <w:szCs w:val="28"/>
          <w:lang w:val="es-AR"/>
        </w:rPr>
        <w:t xml:space="preserve">lex </w:t>
      </w:r>
      <w:proofErr w:type="spellStart"/>
      <w:r w:rsidRPr="00B033A8">
        <w:rPr>
          <w:rFonts w:cs="Times New Roman"/>
          <w:i/>
          <w:iCs/>
          <w:szCs w:val="28"/>
          <w:lang w:val="es-AR"/>
        </w:rPr>
        <w:t>certa</w:t>
      </w:r>
      <w:proofErr w:type="spellEnd"/>
      <w:r w:rsidRPr="00B033A8">
        <w:rPr>
          <w:rFonts w:cs="Times New Roman"/>
          <w:szCs w:val="28"/>
          <w:lang w:val="es-AR"/>
        </w:rPr>
        <w:t xml:space="preserve">), el cual </w:t>
      </w:r>
      <w:r w:rsidRPr="00B033A8">
        <w:rPr>
          <w:rFonts w:cs="Times New Roman"/>
          <w:iCs/>
          <w:szCs w:val="28"/>
          <w:lang w:val="es-ES"/>
        </w:rPr>
        <w:t>implica un mandato de claridad y precisión en la tipificación del delito y la sanción</w:t>
      </w:r>
      <w:r w:rsidRPr="00B033A8">
        <w:rPr>
          <w:rFonts w:cs="Times New Roman"/>
          <w:iCs/>
          <w:szCs w:val="28"/>
          <w:vertAlign w:val="superscript"/>
          <w:lang w:val="es-ES"/>
        </w:rPr>
        <w:footnoteReference w:id="82"/>
      </w:r>
      <w:r w:rsidRPr="00B033A8">
        <w:rPr>
          <w:rFonts w:cs="Times New Roman"/>
          <w:iCs/>
          <w:szCs w:val="28"/>
          <w:lang w:val="es-ES"/>
        </w:rPr>
        <w:t xml:space="preserve">. </w:t>
      </w:r>
      <w:r w:rsidRPr="00B033A8">
        <w:rPr>
          <w:rFonts w:cs="Times New Roman"/>
          <w:iCs/>
          <w:szCs w:val="28"/>
        </w:rPr>
        <w:t xml:space="preserve">En síntesis, conforme al principio de legalidad en materia penal, no puede existir crimen ni pena sin </w:t>
      </w:r>
      <w:r w:rsidR="004D73B6" w:rsidRPr="00B033A8">
        <w:rPr>
          <w:rFonts w:cs="Times New Roman"/>
          <w:iCs/>
          <w:szCs w:val="28"/>
        </w:rPr>
        <w:t>l</w:t>
      </w:r>
      <w:r w:rsidRPr="00B033A8">
        <w:rPr>
          <w:rFonts w:cs="Times New Roman"/>
          <w:iCs/>
          <w:szCs w:val="28"/>
        </w:rPr>
        <w:t>ey formal escrita, previa y cierta (</w:t>
      </w:r>
      <w:r w:rsidRPr="00B033A8">
        <w:rPr>
          <w:rFonts w:cs="Times New Roman"/>
          <w:iCs/>
          <w:szCs w:val="28"/>
          <w:lang w:val="es-ES_tradnl"/>
        </w:rPr>
        <w:t>“</w:t>
      </w:r>
      <w:proofErr w:type="spellStart"/>
      <w:r w:rsidRPr="00B033A8">
        <w:rPr>
          <w:rFonts w:cs="Times New Roman"/>
          <w:i/>
          <w:iCs/>
          <w:szCs w:val="28"/>
          <w:lang w:val="es-ES_tradnl"/>
        </w:rPr>
        <w:t>nullum</w:t>
      </w:r>
      <w:proofErr w:type="spellEnd"/>
      <w:r w:rsidRPr="00B033A8">
        <w:rPr>
          <w:rFonts w:cs="Times New Roman"/>
          <w:i/>
          <w:iCs/>
          <w:szCs w:val="28"/>
          <w:lang w:val="es-ES_tradnl"/>
        </w:rPr>
        <w:t xml:space="preserve"> crimen, </w:t>
      </w:r>
      <w:proofErr w:type="spellStart"/>
      <w:r w:rsidRPr="00B033A8">
        <w:rPr>
          <w:rFonts w:cs="Times New Roman"/>
          <w:i/>
          <w:iCs/>
          <w:szCs w:val="28"/>
          <w:lang w:val="es-ES_tradnl"/>
        </w:rPr>
        <w:t>nulla</w:t>
      </w:r>
      <w:proofErr w:type="spellEnd"/>
      <w:r w:rsidRPr="00B033A8">
        <w:rPr>
          <w:rFonts w:cs="Times New Roman"/>
          <w:i/>
          <w:iCs/>
          <w:szCs w:val="28"/>
          <w:lang w:val="es-ES_tradnl"/>
        </w:rPr>
        <w:t xml:space="preserve"> </w:t>
      </w:r>
      <w:proofErr w:type="spellStart"/>
      <w:r w:rsidRPr="00B033A8">
        <w:rPr>
          <w:rFonts w:cs="Times New Roman"/>
          <w:i/>
          <w:iCs/>
          <w:szCs w:val="28"/>
          <w:lang w:val="es-ES_tradnl"/>
        </w:rPr>
        <w:t>poena</w:t>
      </w:r>
      <w:proofErr w:type="spellEnd"/>
      <w:r w:rsidRPr="00B033A8">
        <w:rPr>
          <w:rFonts w:cs="Times New Roman"/>
          <w:i/>
          <w:iCs/>
          <w:szCs w:val="28"/>
          <w:lang w:val="es-ES_tradnl"/>
        </w:rPr>
        <w:t xml:space="preserve"> sine lege </w:t>
      </w:r>
      <w:proofErr w:type="spellStart"/>
      <w:r w:rsidRPr="00B033A8">
        <w:rPr>
          <w:rFonts w:cs="Times New Roman"/>
          <w:i/>
          <w:iCs/>
          <w:szCs w:val="28"/>
          <w:lang w:val="es-ES_tradnl"/>
        </w:rPr>
        <w:t>scripta</w:t>
      </w:r>
      <w:proofErr w:type="spellEnd"/>
      <w:r w:rsidRPr="00B033A8">
        <w:rPr>
          <w:rFonts w:cs="Times New Roman"/>
          <w:i/>
          <w:iCs/>
          <w:szCs w:val="28"/>
          <w:lang w:val="es-ES_tradnl"/>
        </w:rPr>
        <w:t xml:space="preserve">, </w:t>
      </w:r>
      <w:proofErr w:type="spellStart"/>
      <w:r w:rsidRPr="00B033A8">
        <w:rPr>
          <w:rFonts w:cs="Times New Roman"/>
          <w:i/>
          <w:iCs/>
          <w:szCs w:val="28"/>
          <w:lang w:val="es-ES_tradnl"/>
        </w:rPr>
        <w:t>praevia</w:t>
      </w:r>
      <w:proofErr w:type="spellEnd"/>
      <w:r w:rsidRPr="00B033A8">
        <w:rPr>
          <w:rFonts w:cs="Times New Roman"/>
          <w:i/>
          <w:iCs/>
          <w:szCs w:val="28"/>
          <w:lang w:val="es-ES_tradnl"/>
        </w:rPr>
        <w:t xml:space="preserve"> et </w:t>
      </w:r>
      <w:proofErr w:type="spellStart"/>
      <w:r w:rsidRPr="00B033A8">
        <w:rPr>
          <w:rFonts w:cs="Times New Roman"/>
          <w:i/>
          <w:iCs/>
          <w:szCs w:val="28"/>
          <w:lang w:val="es-ES_tradnl"/>
        </w:rPr>
        <w:t>certa</w:t>
      </w:r>
      <w:proofErr w:type="spellEnd"/>
      <w:r w:rsidRPr="00B033A8">
        <w:rPr>
          <w:rFonts w:cs="Times New Roman"/>
          <w:iCs/>
          <w:szCs w:val="28"/>
          <w:lang w:val="es-ES_tradnl"/>
        </w:rPr>
        <w:t>”</w:t>
      </w:r>
      <w:r w:rsidRPr="00B033A8">
        <w:rPr>
          <w:rFonts w:cs="Times New Roman"/>
          <w:iCs/>
          <w:szCs w:val="28"/>
          <w:vertAlign w:val="superscript"/>
          <w:lang w:val="es-ES_tradnl"/>
        </w:rPr>
        <w:footnoteReference w:id="83"/>
      </w:r>
      <w:r w:rsidRPr="00B033A8">
        <w:rPr>
          <w:rFonts w:cs="Times New Roman"/>
          <w:iCs/>
          <w:szCs w:val="28"/>
          <w:lang w:val="es-ES_tradnl"/>
        </w:rPr>
        <w:t xml:space="preserve">). </w:t>
      </w:r>
    </w:p>
    <w:p w14:paraId="2FF79973" w14:textId="77777777" w:rsidR="004E3D83" w:rsidRPr="00B033A8" w:rsidRDefault="004E3D83" w:rsidP="00776641">
      <w:pPr>
        <w:widowControl w:val="0"/>
        <w:tabs>
          <w:tab w:val="left" w:pos="720"/>
          <w:tab w:val="left" w:pos="1440"/>
          <w:tab w:val="left" w:pos="2160"/>
          <w:tab w:val="left" w:pos="2880"/>
          <w:tab w:val="left" w:pos="3600"/>
          <w:tab w:val="left" w:pos="4320"/>
          <w:tab w:val="left" w:pos="5040"/>
          <w:tab w:val="left" w:pos="5760"/>
          <w:tab w:val="left" w:pos="6480"/>
          <w:tab w:val="left" w:pos="7200"/>
        </w:tabs>
        <w:contextualSpacing/>
        <w:rPr>
          <w:rFonts w:cs="Times New Roman"/>
          <w:szCs w:val="28"/>
        </w:rPr>
      </w:pPr>
    </w:p>
    <w:p w14:paraId="48C69B08" w14:textId="0CBD96A9" w:rsidR="004E3D83" w:rsidRPr="00B033A8" w:rsidRDefault="004E3D83" w:rsidP="00776641">
      <w:pPr>
        <w:widowControl w:val="0"/>
        <w:numPr>
          <w:ilvl w:val="0"/>
          <w:numId w:val="12"/>
        </w:numPr>
        <w:tabs>
          <w:tab w:val="left" w:pos="567"/>
          <w:tab w:val="left" w:pos="720"/>
          <w:tab w:val="left" w:pos="1440"/>
          <w:tab w:val="left" w:pos="2160"/>
          <w:tab w:val="left" w:pos="2880"/>
          <w:tab w:val="left" w:pos="3600"/>
          <w:tab w:val="left" w:pos="4320"/>
          <w:tab w:val="left" w:pos="5040"/>
          <w:tab w:val="left" w:pos="5760"/>
          <w:tab w:val="left" w:pos="6480"/>
          <w:tab w:val="left" w:pos="7200"/>
        </w:tabs>
        <w:ind w:left="0" w:firstLine="0"/>
        <w:rPr>
          <w:rFonts w:cs="Times New Roman"/>
          <w:lang w:val="es-ES_tradnl"/>
        </w:rPr>
      </w:pPr>
      <w:r w:rsidRPr="00B033A8">
        <w:rPr>
          <w:rFonts w:cs="Times New Roman"/>
          <w:lang w:val="es-ES_tradnl"/>
        </w:rPr>
        <w:t>El principio de legalidad estricta, tipicidad o taxatividad</w:t>
      </w:r>
      <w:r w:rsidRPr="00B033A8">
        <w:rPr>
          <w:rStyle w:val="Refdenotaalpie"/>
          <w:rFonts w:cs="Times New Roman"/>
          <w:lang w:val="es-ES_tradnl"/>
        </w:rPr>
        <w:footnoteReference w:id="84"/>
      </w:r>
      <w:r w:rsidR="00653C94" w:rsidRPr="00B033A8">
        <w:rPr>
          <w:rFonts w:cs="Times New Roman"/>
          <w:lang w:val="es-ES_tradnl"/>
        </w:rPr>
        <w:t xml:space="preserve">, consagrado en </w:t>
      </w:r>
      <w:r w:rsidR="00653C94" w:rsidRPr="00B033A8">
        <w:rPr>
          <w:rFonts w:cs="Times New Roman"/>
          <w:color w:val="000000" w:themeColor="text1"/>
        </w:rPr>
        <w:t xml:space="preserve">los artículos 6, 28 y 29 de la Constitución Política, </w:t>
      </w:r>
      <w:r w:rsidR="00653205" w:rsidRPr="00B033A8">
        <w:rPr>
          <w:rFonts w:cs="Times New Roman"/>
          <w:lang w:val="es-ES_tradnl"/>
        </w:rPr>
        <w:t>obliga</w:t>
      </w:r>
      <w:r w:rsidRPr="00B033A8">
        <w:rPr>
          <w:rFonts w:cs="Times New Roman"/>
          <w:lang w:val="es-ES_tradnl"/>
        </w:rPr>
        <w:t xml:space="preserve"> al legislador</w:t>
      </w:r>
      <w:r w:rsidR="00653205" w:rsidRPr="00B033A8">
        <w:rPr>
          <w:rFonts w:cs="Times New Roman"/>
          <w:lang w:val="es-ES_tradnl"/>
        </w:rPr>
        <w:t xml:space="preserve"> a</w:t>
      </w:r>
      <w:r w:rsidRPr="00B033A8">
        <w:rPr>
          <w:rFonts w:cs="Times New Roman"/>
          <w:lang w:val="es-ES_tradnl"/>
        </w:rPr>
        <w:t xml:space="preserve"> definir la conducta punible y la sanción de forma clara, precisa e inequívoca</w:t>
      </w:r>
      <w:r w:rsidRPr="00B033A8">
        <w:rPr>
          <w:rStyle w:val="Refdenotaalpie"/>
          <w:rFonts w:cs="Times New Roman"/>
          <w:lang w:val="es-ES_tradnl"/>
        </w:rPr>
        <w:footnoteReference w:id="85"/>
      </w:r>
      <w:r w:rsidRPr="00B033A8">
        <w:rPr>
          <w:rFonts w:cs="Times New Roman"/>
          <w:lang w:val="es-ES_tradnl"/>
        </w:rPr>
        <w:t xml:space="preserve">. </w:t>
      </w:r>
      <w:r w:rsidRPr="00B033A8">
        <w:rPr>
          <w:rFonts w:cs="Times New Roman"/>
        </w:rPr>
        <w:t>Conforme a la jurisprudencia constitucional, este principio tiene dos</w:t>
      </w:r>
      <w:r w:rsidRPr="00B033A8">
        <w:rPr>
          <w:rFonts w:cs="Times New Roman"/>
          <w:iCs/>
          <w:lang w:val="es-ES"/>
        </w:rPr>
        <w:t xml:space="preserve"> dimensiones: una positiva y otra negativa. La dimensión positiva exige que “todos los componentes de un tipo penal (sujetos, verbos rectores, ingredientes subjetivos y objetivos, sanción, agravantes, etc.) deben estar determinados o ser razonablemente determinables por el intérprete”</w:t>
      </w:r>
      <w:r w:rsidRPr="00B033A8">
        <w:rPr>
          <w:rStyle w:val="Refdenotaalpie"/>
          <w:rFonts w:cs="Times New Roman"/>
          <w:iCs/>
          <w:lang w:val="es-ES"/>
        </w:rPr>
        <w:footnoteReference w:id="86"/>
      </w:r>
      <w:r w:rsidRPr="00B033A8">
        <w:rPr>
          <w:rFonts w:cs="Times New Roman"/>
          <w:iCs/>
          <w:lang w:val="es-ES"/>
        </w:rPr>
        <w:t>.</w:t>
      </w:r>
      <w:r w:rsidRPr="00B033A8">
        <w:rPr>
          <w:rFonts w:cs="Times New Roman"/>
          <w:lang w:val="es-ES_tradnl"/>
        </w:rPr>
        <w:t xml:space="preserve"> Esta dimensión busca que las personas conozcan “con exactitud cuáles son las conductas prohibidas”</w:t>
      </w:r>
      <w:r w:rsidRPr="00B033A8">
        <w:rPr>
          <w:rFonts w:cs="Times New Roman"/>
          <w:vertAlign w:val="superscript"/>
          <w:lang w:val="es-ES"/>
        </w:rPr>
        <w:footnoteReference w:id="87"/>
      </w:r>
      <w:r w:rsidRPr="00B033A8">
        <w:rPr>
          <w:rFonts w:cs="Times New Roman"/>
          <w:lang w:val="es-ES"/>
        </w:rPr>
        <w:t xml:space="preserve">, de modo que puedan orientar su </w:t>
      </w:r>
      <w:r w:rsidRPr="00B033A8">
        <w:rPr>
          <w:rFonts w:cs="Times New Roman"/>
          <w:lang w:val="es-CR"/>
        </w:rPr>
        <w:t>comportamiento conforme a un orden jurídico vigente y cierto</w:t>
      </w:r>
      <w:r w:rsidRPr="00B033A8">
        <w:rPr>
          <w:rStyle w:val="Refdenotaalpie"/>
          <w:rFonts w:cs="Times New Roman"/>
          <w:lang w:val="es-CR"/>
        </w:rPr>
        <w:footnoteReference w:id="88"/>
      </w:r>
      <w:r w:rsidRPr="00B033A8">
        <w:rPr>
          <w:rFonts w:cs="Times New Roman"/>
          <w:lang w:val="es-CR"/>
        </w:rPr>
        <w:t xml:space="preserve">. </w:t>
      </w:r>
      <w:r w:rsidRPr="00B033A8">
        <w:rPr>
          <w:rFonts w:cs="Times New Roman"/>
          <w:iCs/>
          <w:lang w:val="es-ES"/>
        </w:rPr>
        <w:t>La</w:t>
      </w:r>
      <w:r w:rsidRPr="00B033A8">
        <w:rPr>
          <w:rFonts w:cs="Times New Roman"/>
          <w:i/>
          <w:lang w:val="es-ES"/>
        </w:rPr>
        <w:t xml:space="preserve"> </w:t>
      </w:r>
      <w:r w:rsidRPr="00B033A8">
        <w:rPr>
          <w:rFonts w:cs="Times New Roman"/>
          <w:iCs/>
          <w:lang w:val="es-ES"/>
        </w:rPr>
        <w:t xml:space="preserve">dimensión negativa, por su parte, prohíbe la vaguedad o </w:t>
      </w:r>
      <w:r w:rsidRPr="00B033A8">
        <w:rPr>
          <w:rFonts w:cs="Times New Roman"/>
          <w:iCs/>
          <w:lang w:val="es-ES"/>
        </w:rPr>
        <w:lastRenderedPageBreak/>
        <w:t>ambigüedad de los tipos penales</w:t>
      </w:r>
      <w:r w:rsidRPr="00B033A8">
        <w:rPr>
          <w:rFonts w:cs="Times New Roman"/>
          <w:vertAlign w:val="superscript"/>
          <w:lang w:val="es-ES_tradnl"/>
        </w:rPr>
        <w:footnoteReference w:id="89"/>
      </w:r>
      <w:r w:rsidRPr="00B033A8">
        <w:rPr>
          <w:rFonts w:cs="Times New Roman"/>
          <w:lang w:val="es-ES_tradnl"/>
        </w:rPr>
        <w:t>, lo que implica que “</w:t>
      </w:r>
      <w:r w:rsidRPr="00B033A8">
        <w:rPr>
          <w:rFonts w:cs="Times New Roman"/>
          <w:iCs/>
          <w:lang w:val="es-ES"/>
        </w:rPr>
        <w:t>son inadmisibles desde el punto de vista constitucional los supuestos de hecho y las penas redactadas en forma incierta o excesivamente indeterminada”</w:t>
      </w:r>
      <w:r w:rsidRPr="00B033A8">
        <w:rPr>
          <w:rStyle w:val="Refdenotaalpie"/>
          <w:rFonts w:cs="Times New Roman"/>
          <w:iCs/>
          <w:lang w:val="es-ES"/>
        </w:rPr>
        <w:footnoteReference w:id="90"/>
      </w:r>
      <w:r w:rsidRPr="00B033A8">
        <w:rPr>
          <w:rFonts w:cs="Times New Roman"/>
          <w:iCs/>
          <w:lang w:val="es-ES"/>
        </w:rPr>
        <w:t xml:space="preserve">. </w:t>
      </w:r>
    </w:p>
    <w:p w14:paraId="06365BF9" w14:textId="77777777" w:rsidR="004E3D83" w:rsidRPr="00B033A8" w:rsidRDefault="004E3D83" w:rsidP="00776641">
      <w:pPr>
        <w:widowControl w:val="0"/>
        <w:tabs>
          <w:tab w:val="left" w:pos="567"/>
          <w:tab w:val="left" w:pos="720"/>
          <w:tab w:val="left" w:pos="1440"/>
          <w:tab w:val="left" w:pos="2160"/>
          <w:tab w:val="left" w:pos="2880"/>
          <w:tab w:val="left" w:pos="3600"/>
          <w:tab w:val="left" w:pos="4320"/>
          <w:tab w:val="left" w:pos="5040"/>
          <w:tab w:val="left" w:pos="5760"/>
          <w:tab w:val="left" w:pos="6480"/>
          <w:tab w:val="left" w:pos="7200"/>
        </w:tabs>
        <w:rPr>
          <w:rFonts w:cs="Times New Roman"/>
          <w:lang w:val="es-ES_tradnl"/>
        </w:rPr>
      </w:pPr>
    </w:p>
    <w:p w14:paraId="6E731FAB" w14:textId="63D8E109" w:rsidR="004E3D83" w:rsidRPr="00B033A8" w:rsidRDefault="004E3D83" w:rsidP="00776641">
      <w:pPr>
        <w:pStyle w:val="Prrafodelista"/>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firstLine="0"/>
        <w:rPr>
          <w:lang w:val="es-ES_tradnl"/>
        </w:rPr>
      </w:pPr>
      <w:r w:rsidRPr="00B033A8">
        <w:rPr>
          <w:lang w:val="es-ES_tradnl"/>
        </w:rPr>
        <w:t xml:space="preserve">La Corte Constitucional ha precisado que el principio de tipicidad no impone al legislador una obligación de claridad y precisión </w:t>
      </w:r>
      <w:r w:rsidRPr="00B033A8">
        <w:rPr>
          <w:i/>
          <w:iCs/>
          <w:lang w:val="es-ES_tradnl"/>
        </w:rPr>
        <w:t>absoluta</w:t>
      </w:r>
      <w:r w:rsidRPr="00B033A8">
        <w:rPr>
          <w:lang w:val="es-ES_tradnl"/>
        </w:rPr>
        <w:t xml:space="preserve"> en la tipificación de la conducta punible y la sanción</w:t>
      </w:r>
      <w:r w:rsidRPr="00B033A8">
        <w:rPr>
          <w:rStyle w:val="Refdenotaalpie"/>
          <w:lang w:val="es-ES_tradnl"/>
        </w:rPr>
        <w:footnoteReference w:id="91"/>
      </w:r>
      <w:r w:rsidRPr="00B033A8">
        <w:rPr>
          <w:lang w:val="es-ES_tradnl"/>
        </w:rPr>
        <w:t>. La indeterminación semántica propia del lenguaje</w:t>
      </w:r>
      <w:r w:rsidRPr="00B033A8">
        <w:rPr>
          <w:rStyle w:val="Refdenotaalpie"/>
          <w:lang w:val="es-ES_tradnl"/>
        </w:rPr>
        <w:footnoteReference w:id="92"/>
      </w:r>
      <w:r w:rsidRPr="00B033A8">
        <w:rPr>
          <w:lang w:val="es-ES_tradnl"/>
        </w:rPr>
        <w:t xml:space="preserve"> y la textura abierta del derecho implican que </w:t>
      </w:r>
      <w:r w:rsidRPr="00B033A8">
        <w:t>“siempre existirán grados de ambigüedad o vaguedad en las normas penales”</w:t>
      </w:r>
      <w:r w:rsidRPr="00B033A8">
        <w:rPr>
          <w:rStyle w:val="Refdenotaalpie"/>
        </w:rPr>
        <w:footnoteReference w:id="93"/>
      </w:r>
      <w:r w:rsidRPr="00B033A8">
        <w:t>; zonas grises de interpretación sobre el alcance de sus elementos que inciden en el proceso de adecuación típica. Esta circunstancia, sin embargo, no supone su inconstitucionalidad. De acuerdo con la jurisprudencia constitucional, la Constitución Política sólo prohíbe las indeterminaciones de la norma penal que sean insuperables</w:t>
      </w:r>
      <w:r w:rsidRPr="00B033A8">
        <w:rPr>
          <w:rStyle w:val="Refdenotaalpie"/>
        </w:rPr>
        <w:footnoteReference w:id="94"/>
      </w:r>
      <w:r w:rsidRPr="00B033A8">
        <w:t>, lo que ocurre si, a partir de las reglas generales de interpretación jurídica, no es posible precisar con un grado razonable de previsibilidad, claridad y precisión los elementos esenciales del tipo</w:t>
      </w:r>
      <w:r w:rsidRPr="00B033A8">
        <w:rPr>
          <w:vertAlign w:val="superscript"/>
          <w:lang w:val="es-ES"/>
        </w:rPr>
        <w:footnoteReference w:id="95"/>
      </w:r>
      <w:r w:rsidRPr="00B033A8">
        <w:rPr>
          <w:lang w:val="es-ES"/>
        </w:rPr>
        <w:t>.</w:t>
      </w:r>
      <w:r w:rsidRPr="00B033A8">
        <w:t xml:space="preserve"> </w:t>
      </w:r>
    </w:p>
    <w:p w14:paraId="5192D683" w14:textId="77777777" w:rsidR="004E3D83" w:rsidRPr="00B033A8" w:rsidRDefault="004E3D83" w:rsidP="00776641">
      <w:pPr>
        <w:rPr>
          <w:rFonts w:cs="Times New Roman"/>
          <w:lang w:val="es-ES_tradnl"/>
        </w:rPr>
      </w:pPr>
    </w:p>
    <w:p w14:paraId="093C2EF1" w14:textId="77777777" w:rsidR="004E3D83" w:rsidRPr="00B033A8" w:rsidRDefault="004E3D83" w:rsidP="00776641">
      <w:pPr>
        <w:pStyle w:val="Prrafodelista"/>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firstLine="0"/>
        <w:rPr>
          <w:lang w:val="es-ES_tradnl"/>
        </w:rPr>
      </w:pPr>
      <w:r w:rsidRPr="00B033A8">
        <w:rPr>
          <w:lang w:val="es-ES_tradnl"/>
        </w:rPr>
        <w:t xml:space="preserve">En el mismo sentido, la Corte ha explicado que el principio </w:t>
      </w:r>
      <w:r w:rsidRPr="00B033A8">
        <w:rPr>
          <w:iCs/>
        </w:rPr>
        <w:t>de tipicidad no excluye por completo la discrecionalidad interpretativa del juez, “sino que la restringe hasta llegar a un grado admisible que garantice la reserva de ley y evite la arbitrariedad”</w:t>
      </w:r>
      <w:r w:rsidRPr="00B033A8">
        <w:rPr>
          <w:rStyle w:val="Refdenotaalpie"/>
          <w:iCs/>
        </w:rPr>
        <w:footnoteReference w:id="96"/>
      </w:r>
      <w:r w:rsidRPr="00B033A8">
        <w:rPr>
          <w:iCs/>
        </w:rPr>
        <w:t>. Pretender que la tipificación de la conducta elimine toda discrecionalidad del operador jurídico, ha dicho la Corte, “es irreal”</w:t>
      </w:r>
      <w:r w:rsidRPr="00B033A8">
        <w:rPr>
          <w:rStyle w:val="Refdenotaalpie"/>
          <w:iCs/>
        </w:rPr>
        <w:footnoteReference w:id="97"/>
      </w:r>
      <w:r w:rsidRPr="00B033A8">
        <w:rPr>
          <w:iCs/>
        </w:rPr>
        <w:t>. Con todo, este tribunal ha enfatizado que el principio de legalidad estricta o tipicidad somete a los jueces al imperio de la ley</w:t>
      </w:r>
      <w:r w:rsidRPr="00B033A8">
        <w:rPr>
          <w:iCs/>
          <w:lang w:val="es-ES_tradnl"/>
        </w:rPr>
        <w:t xml:space="preserve">. En efecto, de este principio se derivan los cánones de interpretación restrictiva de la norma penal y la prohibición de la analogía. Estos cánones garantizan </w:t>
      </w:r>
      <w:r w:rsidRPr="00B033A8">
        <w:rPr>
          <w:iCs/>
          <w:lang w:val="es-ES"/>
        </w:rPr>
        <w:t>que el proceso de adecuación típica tenga un grado óptimo de previsibilidad y aseguran que las autoridades judiciales no reemplacen la voluntad del legislador</w:t>
      </w:r>
      <w:r w:rsidRPr="00B033A8">
        <w:rPr>
          <w:rStyle w:val="Refdenotaalpie"/>
          <w:shd w:val="clear" w:color="auto" w:fill="FFFFFF"/>
        </w:rPr>
        <w:footnoteReference w:id="98"/>
      </w:r>
      <w:r w:rsidRPr="00B033A8">
        <w:rPr>
          <w:iCs/>
          <w:lang w:val="es-ES"/>
        </w:rPr>
        <w:t xml:space="preserve">. </w:t>
      </w:r>
    </w:p>
    <w:p w14:paraId="64E194BD" w14:textId="77777777" w:rsidR="004E3D83" w:rsidRPr="00B033A8" w:rsidRDefault="004E3D83" w:rsidP="00776641">
      <w:pPr>
        <w:rPr>
          <w:rFonts w:cs="Times New Roman"/>
          <w:lang w:val="es-ES_tradnl"/>
        </w:rPr>
      </w:pPr>
    </w:p>
    <w:p w14:paraId="3D13F18C" w14:textId="123DF20F" w:rsidR="004E3D83" w:rsidRPr="00B033A8" w:rsidRDefault="004E3D83" w:rsidP="00776641">
      <w:pPr>
        <w:pStyle w:val="Prrafodelista"/>
        <w:widowControl w:val="0"/>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s>
        <w:spacing w:line="240" w:lineRule="auto"/>
        <w:ind w:left="0" w:firstLine="0"/>
        <w:rPr>
          <w:lang w:val="es-ES_tradnl"/>
        </w:rPr>
      </w:pPr>
      <w:r w:rsidRPr="00B033A8">
        <w:rPr>
          <w:lang w:val="es-ES_tradnl"/>
        </w:rPr>
        <w:t>En síntesis</w:t>
      </w:r>
      <w:r w:rsidRPr="00B033A8">
        <w:rPr>
          <w:iCs/>
          <w:lang w:val="es-ES"/>
        </w:rPr>
        <w:t xml:space="preserve">, el principio de legalidad estricta o tipicidad es un pilar </w:t>
      </w:r>
      <w:r w:rsidRPr="00B033A8">
        <w:rPr>
          <w:iCs/>
          <w:lang w:val="es-ES"/>
        </w:rPr>
        <w:lastRenderedPageBreak/>
        <w:t xml:space="preserve">esencial del sistema de garantismo penal que la Constitución </w:t>
      </w:r>
      <w:r w:rsidR="00075CAE" w:rsidRPr="00B033A8">
        <w:rPr>
          <w:iCs/>
          <w:lang w:val="es-ES"/>
        </w:rPr>
        <w:t xml:space="preserve">Política </w:t>
      </w:r>
      <w:r w:rsidRPr="00B033A8">
        <w:rPr>
          <w:iCs/>
          <w:lang w:val="es-ES"/>
        </w:rPr>
        <w:t>instituye</w:t>
      </w:r>
      <w:r w:rsidRPr="00B033A8">
        <w:rPr>
          <w:rStyle w:val="Refdenotaalpie"/>
          <w:iCs/>
          <w:lang w:val="es-ES"/>
        </w:rPr>
        <w:footnoteReference w:id="99"/>
      </w:r>
      <w:r w:rsidRPr="00B033A8">
        <w:rPr>
          <w:iCs/>
          <w:lang w:val="es-ES"/>
        </w:rPr>
        <w:t>. La exigencia de precisión, claridad y taxatividad en la tipificación del delito tiene una relación inescindible con el derecho fundamental al debido proceso, es una herramienta de control al poder punitivo del Estado, así como un instrumento de garantía de</w:t>
      </w:r>
      <w:r w:rsidRPr="00B033A8">
        <w:rPr>
          <w:iCs/>
        </w:rPr>
        <w:t xml:space="preserve"> la libertad individual y de la seguridad jurídica</w:t>
      </w:r>
      <w:r w:rsidRPr="00B033A8">
        <w:rPr>
          <w:iCs/>
          <w:vertAlign w:val="superscript"/>
        </w:rPr>
        <w:footnoteReference w:id="100"/>
      </w:r>
      <w:r w:rsidRPr="00B033A8">
        <w:rPr>
          <w:iCs/>
        </w:rPr>
        <w:t xml:space="preserve">. </w:t>
      </w:r>
      <w:r w:rsidR="001608EA" w:rsidRPr="00B033A8">
        <w:rPr>
          <w:iCs/>
        </w:rPr>
        <w:t>Al mismo tiempo</w:t>
      </w:r>
      <w:r w:rsidRPr="00B033A8">
        <w:rPr>
          <w:iCs/>
        </w:rPr>
        <w:t>, salvaguarda el derecho a la igualdad, dado que, al garantizar un grado razonable de previsibilidad y objetividad en el proceso de adecuación típica, asegura que “sólo hechos iguales sean objeto del mismo castigo”</w:t>
      </w:r>
      <w:r w:rsidRPr="00B033A8">
        <w:rPr>
          <w:rStyle w:val="Refdenotaalpie"/>
          <w:iCs/>
        </w:rPr>
        <w:footnoteReference w:id="101"/>
      </w:r>
      <w:r w:rsidRPr="00B033A8">
        <w:rPr>
          <w:iCs/>
        </w:rPr>
        <w:t xml:space="preserve">. </w:t>
      </w:r>
    </w:p>
    <w:p w14:paraId="41266E5D" w14:textId="77777777" w:rsidR="004E3D83" w:rsidRPr="00B033A8" w:rsidRDefault="004E3D83" w:rsidP="00776641">
      <w:pPr>
        <w:rPr>
          <w:rFonts w:cs="Times New Roman"/>
          <w:lang w:val="es-ES_tradnl"/>
        </w:rPr>
      </w:pPr>
    </w:p>
    <w:p w14:paraId="7A64ABD7" w14:textId="6BBF691F" w:rsidR="004E3D83" w:rsidRPr="00B033A8" w:rsidRDefault="004E3D83" w:rsidP="00776641">
      <w:pPr>
        <w:pStyle w:val="Ttulo3"/>
        <w:numPr>
          <w:ilvl w:val="1"/>
          <w:numId w:val="15"/>
        </w:numPr>
        <w:spacing w:before="0"/>
        <w:ind w:left="567" w:hanging="567"/>
        <w:rPr>
          <w:rFonts w:cs="Times New Roman"/>
          <w:lang w:val="es-ES_tradnl"/>
        </w:rPr>
      </w:pPr>
      <w:r w:rsidRPr="00B033A8">
        <w:rPr>
          <w:rFonts w:cs="Times New Roman"/>
          <w:lang w:val="es-ES_tradnl"/>
        </w:rPr>
        <w:t>El principio</w:t>
      </w:r>
      <w:r w:rsidR="00BD7031" w:rsidRPr="00B033A8">
        <w:rPr>
          <w:rFonts w:cs="Times New Roman"/>
          <w:lang w:val="es-ES_tradnl"/>
        </w:rPr>
        <w:t xml:space="preserve"> de</w:t>
      </w:r>
      <w:r w:rsidRPr="00B033A8">
        <w:rPr>
          <w:rFonts w:cs="Times New Roman"/>
          <w:lang w:val="es-ES_tradnl"/>
        </w:rPr>
        <w:t xml:space="preserve"> legalidad estricta o tipicidad en tipos penales en blanco y tipos penales abiertos. Reiteración de jurisprudencia </w:t>
      </w:r>
    </w:p>
    <w:p w14:paraId="032150F1" w14:textId="77777777" w:rsidR="004E3D83" w:rsidRPr="00B033A8" w:rsidRDefault="004E3D83" w:rsidP="00776641">
      <w:pPr>
        <w:rPr>
          <w:rFonts w:cs="Times New Roman"/>
          <w:lang w:val="es-ES_tradnl"/>
        </w:rPr>
      </w:pPr>
    </w:p>
    <w:p w14:paraId="302AEE5D" w14:textId="4517E2D2" w:rsidR="004E3D83" w:rsidRPr="00B033A8" w:rsidRDefault="004E3D83" w:rsidP="00776641">
      <w:pPr>
        <w:numPr>
          <w:ilvl w:val="0"/>
          <w:numId w:val="12"/>
        </w:numPr>
        <w:tabs>
          <w:tab w:val="left" w:pos="567"/>
        </w:tabs>
        <w:ind w:left="0" w:firstLine="0"/>
        <w:rPr>
          <w:rFonts w:cs="Times New Roman"/>
        </w:rPr>
      </w:pPr>
      <w:r w:rsidRPr="00B033A8">
        <w:rPr>
          <w:rFonts w:cs="Times New Roman"/>
        </w:rPr>
        <w:t xml:space="preserve">Existen algunas categorías de tipos penales </w:t>
      </w:r>
      <w:r w:rsidR="003D790C" w:rsidRPr="00B033A8">
        <w:rPr>
          <w:rFonts w:cs="Times New Roman"/>
        </w:rPr>
        <w:t>–</w:t>
      </w:r>
      <w:r w:rsidRPr="00B033A8">
        <w:rPr>
          <w:rFonts w:cs="Times New Roman"/>
        </w:rPr>
        <w:t>los tipos penales en blanco y abiertos</w:t>
      </w:r>
      <w:r w:rsidR="003D790C" w:rsidRPr="00B033A8">
        <w:rPr>
          <w:rFonts w:cs="Times New Roman"/>
        </w:rPr>
        <w:t>–</w:t>
      </w:r>
      <w:r w:rsidRPr="00B033A8">
        <w:rPr>
          <w:rFonts w:cs="Times New Roman"/>
        </w:rPr>
        <w:t xml:space="preserve"> que tienen un grado de</w:t>
      </w:r>
      <w:r w:rsidRPr="00B033A8">
        <w:rPr>
          <w:rFonts w:cs="Times New Roman"/>
          <w:lang w:val="es-ES"/>
        </w:rPr>
        <w:t xml:space="preserve"> indeterminación</w:t>
      </w:r>
      <w:r w:rsidRPr="00B033A8">
        <w:rPr>
          <w:rFonts w:cs="Times New Roman"/>
        </w:rPr>
        <w:t xml:space="preserve"> semántica más alto que el ordinario</w:t>
      </w:r>
      <w:r w:rsidRPr="00B033A8">
        <w:rPr>
          <w:rStyle w:val="Refdenotaalpie"/>
          <w:rFonts w:cs="Times New Roman"/>
        </w:rPr>
        <w:footnoteReference w:id="102"/>
      </w:r>
      <w:r w:rsidRPr="00B033A8">
        <w:rPr>
          <w:rFonts w:cs="Times New Roman"/>
        </w:rPr>
        <w:t>. Estos tipos penales generan tensiones con el principio de legalidad</w:t>
      </w:r>
      <w:r w:rsidRPr="00B033A8">
        <w:rPr>
          <w:rStyle w:val="Refdenotaalpie"/>
          <w:rFonts w:cs="Times New Roman"/>
        </w:rPr>
        <w:footnoteReference w:id="103"/>
      </w:r>
      <w:r w:rsidRPr="00B033A8">
        <w:rPr>
          <w:rFonts w:cs="Times New Roman"/>
        </w:rPr>
        <w:t xml:space="preserve">, por lo que la jurisprudencia constitucional ha sostenido que están sometidos a reglas y condiciones </w:t>
      </w:r>
      <w:r w:rsidR="001608EA" w:rsidRPr="00B033A8">
        <w:rPr>
          <w:rFonts w:cs="Times New Roman"/>
        </w:rPr>
        <w:t>específicas</w:t>
      </w:r>
      <w:r w:rsidRPr="00B033A8">
        <w:rPr>
          <w:rFonts w:cs="Times New Roman"/>
        </w:rPr>
        <w:t xml:space="preserve"> de constitucionalidad. En atención al objeto de la presente demanda, a continuación, la Sala Plena reitera y sintetiza el precedente constitucional en relación con el juicio de tipicidad estricta aplicable a cada uno de estos delitos: </w:t>
      </w:r>
    </w:p>
    <w:p w14:paraId="7A074432" w14:textId="77777777" w:rsidR="004E3D83" w:rsidRPr="00B033A8" w:rsidRDefault="004E3D83" w:rsidP="00776641">
      <w:pPr>
        <w:tabs>
          <w:tab w:val="left" w:pos="567"/>
        </w:tabs>
        <w:rPr>
          <w:rFonts w:cs="Times New Roman"/>
        </w:rPr>
      </w:pPr>
    </w:p>
    <w:p w14:paraId="03D01DEA" w14:textId="77777777" w:rsidR="004E3D83" w:rsidRPr="00B033A8" w:rsidRDefault="004E3D83" w:rsidP="00776641">
      <w:pPr>
        <w:pStyle w:val="Ttulo4"/>
        <w:numPr>
          <w:ilvl w:val="0"/>
          <w:numId w:val="17"/>
        </w:numPr>
        <w:spacing w:before="0"/>
        <w:rPr>
          <w:rFonts w:cs="Times New Roman"/>
        </w:rPr>
      </w:pPr>
      <w:r w:rsidRPr="00B033A8">
        <w:rPr>
          <w:rFonts w:cs="Times New Roman"/>
        </w:rPr>
        <w:t xml:space="preserve">Los tipos penales en blanco </w:t>
      </w:r>
    </w:p>
    <w:p w14:paraId="62185520" w14:textId="77777777" w:rsidR="004E3D83" w:rsidRPr="00B033A8" w:rsidRDefault="004E3D83" w:rsidP="00776641">
      <w:pPr>
        <w:rPr>
          <w:rFonts w:cs="Times New Roman"/>
        </w:rPr>
      </w:pPr>
    </w:p>
    <w:p w14:paraId="5A869287" w14:textId="048DCBDF" w:rsidR="004E3D83" w:rsidRPr="00B033A8" w:rsidRDefault="004E3D83" w:rsidP="00776641">
      <w:pPr>
        <w:numPr>
          <w:ilvl w:val="0"/>
          <w:numId w:val="12"/>
        </w:numPr>
        <w:tabs>
          <w:tab w:val="left" w:pos="567"/>
        </w:tabs>
        <w:ind w:left="0" w:firstLine="0"/>
        <w:rPr>
          <w:rFonts w:cs="Times New Roman"/>
        </w:rPr>
      </w:pPr>
      <w:r w:rsidRPr="00B033A8">
        <w:rPr>
          <w:rFonts w:cs="Times New Roman"/>
        </w:rPr>
        <w:t>Los tipos penales en blanco son aquellos en los que la descripción del supuesto de hecho (precepto)</w:t>
      </w:r>
      <w:r w:rsidRPr="00B033A8">
        <w:rPr>
          <w:rStyle w:val="Refdenotaalpie"/>
          <w:rFonts w:cs="Times New Roman"/>
        </w:rPr>
        <w:footnoteReference w:id="104"/>
      </w:r>
      <w:r w:rsidRPr="00B033A8">
        <w:rPr>
          <w:rFonts w:cs="Times New Roman"/>
        </w:rPr>
        <w:t xml:space="preserve"> se encuentra </w:t>
      </w:r>
      <w:r w:rsidRPr="00B033A8">
        <w:rPr>
          <w:rFonts w:cs="Times New Roman"/>
          <w:lang w:val="es-ES"/>
        </w:rPr>
        <w:t>desarrollado total o parcialmente por una norma de carácter extrapenal</w:t>
      </w:r>
      <w:r w:rsidRPr="00B033A8">
        <w:rPr>
          <w:rStyle w:val="Refdenotaalpie"/>
          <w:rFonts w:cs="Times New Roman"/>
          <w:lang w:val="es-ES"/>
        </w:rPr>
        <w:footnoteReference w:id="105"/>
      </w:r>
      <w:r w:rsidRPr="00B033A8">
        <w:rPr>
          <w:rFonts w:cs="Times New Roman"/>
          <w:lang w:val="es-ES"/>
        </w:rPr>
        <w:t xml:space="preserve">. </w:t>
      </w:r>
      <w:r w:rsidRPr="00B033A8">
        <w:rPr>
          <w:rFonts w:cs="Times New Roman"/>
        </w:rPr>
        <w:t>Son tipos penales “incompletos”</w:t>
      </w:r>
      <w:r w:rsidRPr="00B033A8">
        <w:rPr>
          <w:rStyle w:val="Refdenotaalpie"/>
          <w:rFonts w:cs="Times New Roman"/>
        </w:rPr>
        <w:footnoteReference w:id="106"/>
      </w:r>
      <w:r w:rsidRPr="00B033A8">
        <w:rPr>
          <w:rFonts w:cs="Times New Roman"/>
        </w:rPr>
        <w:t xml:space="preserve"> o “imperfectos”</w:t>
      </w:r>
      <w:r w:rsidRPr="00B033A8">
        <w:rPr>
          <w:rStyle w:val="Refdenotaalpie"/>
          <w:rFonts w:cs="Times New Roman"/>
        </w:rPr>
        <w:footnoteReference w:id="107"/>
      </w:r>
      <w:r w:rsidRPr="00B033A8">
        <w:rPr>
          <w:rFonts w:cs="Times New Roman"/>
        </w:rPr>
        <w:t xml:space="preserve"> que exigen que en el proceso de adecuación típica el operador jurídico lleve a cabo un proceso </w:t>
      </w:r>
      <w:r w:rsidR="00B879A4" w:rsidRPr="00B033A8">
        <w:rPr>
          <w:rFonts w:cs="Times New Roman"/>
        </w:rPr>
        <w:t xml:space="preserve">de </w:t>
      </w:r>
      <w:r w:rsidRPr="00B033A8">
        <w:rPr>
          <w:rFonts w:cs="Times New Roman"/>
        </w:rPr>
        <w:t xml:space="preserve">integración del tipo, en el que se acude a normas no penales </w:t>
      </w:r>
      <w:r w:rsidR="00EE1CE3" w:rsidRPr="00B033A8">
        <w:rPr>
          <w:rFonts w:cs="Times New Roman"/>
        </w:rPr>
        <w:t>–</w:t>
      </w:r>
      <w:r w:rsidRPr="00B033A8">
        <w:rPr>
          <w:rFonts w:cs="Times New Roman"/>
          <w:i/>
          <w:iCs/>
        </w:rPr>
        <w:t>normas de remisión</w:t>
      </w:r>
      <w:r w:rsidR="00EE1CE3" w:rsidRPr="00B033A8">
        <w:rPr>
          <w:rFonts w:cs="Times New Roman"/>
        </w:rPr>
        <w:t>–</w:t>
      </w:r>
      <w:r w:rsidRPr="00B033A8">
        <w:rPr>
          <w:rFonts w:cs="Times New Roman"/>
        </w:rPr>
        <w:t xml:space="preserve"> que concretan el alcance de alguno de sus elementos. </w:t>
      </w:r>
      <w:r w:rsidR="007C1647" w:rsidRPr="00B033A8">
        <w:rPr>
          <w:rFonts w:cs="Times New Roman"/>
        </w:rPr>
        <w:t>La</w:t>
      </w:r>
      <w:r w:rsidRPr="00B033A8">
        <w:rPr>
          <w:rFonts w:cs="Times New Roman"/>
        </w:rPr>
        <w:t xml:space="preserve"> Sala de Casación Penal</w:t>
      </w:r>
      <w:r w:rsidRPr="00B033A8">
        <w:rPr>
          <w:rStyle w:val="Refdenotaalpie"/>
          <w:rFonts w:cs="Times New Roman"/>
        </w:rPr>
        <w:footnoteReference w:id="108"/>
      </w:r>
      <w:r w:rsidRPr="00B033A8">
        <w:rPr>
          <w:rFonts w:cs="Times New Roman"/>
        </w:rPr>
        <w:t xml:space="preserve"> y la Corte Constitucional</w:t>
      </w:r>
      <w:r w:rsidRPr="00B033A8">
        <w:rPr>
          <w:rStyle w:val="Refdenotaalpie"/>
          <w:rFonts w:cs="Times New Roman"/>
        </w:rPr>
        <w:footnoteReference w:id="109"/>
      </w:r>
      <w:r w:rsidR="007C1647" w:rsidRPr="00B033A8">
        <w:rPr>
          <w:rFonts w:cs="Times New Roman"/>
        </w:rPr>
        <w:t xml:space="preserve"> han estimado que</w:t>
      </w:r>
      <w:r w:rsidRPr="00B033A8">
        <w:rPr>
          <w:rFonts w:cs="Times New Roman"/>
        </w:rPr>
        <w:t xml:space="preserve"> estos tipos penales tienen dos componentes normativos: </w:t>
      </w:r>
      <w:r w:rsidRPr="00B033A8">
        <w:rPr>
          <w:rFonts w:cs="Times New Roman"/>
          <w:i/>
          <w:iCs/>
        </w:rPr>
        <w:t>(i)</w:t>
      </w:r>
      <w:r w:rsidRPr="00B033A8">
        <w:rPr>
          <w:rFonts w:cs="Times New Roman"/>
        </w:rPr>
        <w:t xml:space="preserve"> la norma penal propiamente dicha o “tipo penal básico” y </w:t>
      </w:r>
      <w:r w:rsidRPr="00B033A8">
        <w:rPr>
          <w:rFonts w:cs="Times New Roman"/>
          <w:i/>
          <w:iCs/>
        </w:rPr>
        <w:t>(</w:t>
      </w:r>
      <w:proofErr w:type="spellStart"/>
      <w:r w:rsidRPr="00B033A8">
        <w:rPr>
          <w:rFonts w:cs="Times New Roman"/>
          <w:i/>
          <w:iCs/>
        </w:rPr>
        <w:t>ii</w:t>
      </w:r>
      <w:proofErr w:type="spellEnd"/>
      <w:r w:rsidRPr="00B033A8">
        <w:rPr>
          <w:rFonts w:cs="Times New Roman"/>
          <w:i/>
          <w:iCs/>
        </w:rPr>
        <w:t>)</w:t>
      </w:r>
      <w:r w:rsidRPr="00B033A8">
        <w:rPr>
          <w:rFonts w:cs="Times New Roman"/>
        </w:rPr>
        <w:t xml:space="preserve"> la “norma de remisión”, esto es, la disposición no penal que se integra al tipo para desarrollar o concretar el significado y alcance de la conducta. </w:t>
      </w:r>
      <w:r w:rsidR="00365F40" w:rsidRPr="00B033A8">
        <w:rPr>
          <w:rFonts w:cs="Times New Roman"/>
        </w:rPr>
        <w:t>Conforme a</w:t>
      </w:r>
      <w:r w:rsidRPr="00B033A8">
        <w:rPr>
          <w:rFonts w:cs="Times New Roman"/>
        </w:rPr>
        <w:t xml:space="preserve"> la jurisprudencia constitucional y ordinaria penal, los tipos penales en blanco pueden clasificarse en función de la jerarquía normativa </w:t>
      </w:r>
      <w:r w:rsidR="00595715" w:rsidRPr="00B033A8">
        <w:rPr>
          <w:rFonts w:cs="Times New Roman"/>
        </w:rPr>
        <w:t xml:space="preserve">de </w:t>
      </w:r>
      <w:r w:rsidRPr="00B033A8">
        <w:rPr>
          <w:rFonts w:cs="Times New Roman"/>
        </w:rPr>
        <w:t xml:space="preserve">la norma de remisión. La remisión es </w:t>
      </w:r>
      <w:r w:rsidRPr="00B033A8">
        <w:rPr>
          <w:rFonts w:cs="Times New Roman"/>
          <w:i/>
          <w:iCs/>
        </w:rPr>
        <w:t>propia</w:t>
      </w:r>
      <w:r w:rsidRPr="00B033A8">
        <w:rPr>
          <w:rFonts w:cs="Times New Roman"/>
        </w:rPr>
        <w:t xml:space="preserve"> cuando el tipo penal remite a una norma de </w:t>
      </w:r>
      <w:r w:rsidRPr="00B033A8">
        <w:rPr>
          <w:rFonts w:cs="Times New Roman"/>
        </w:rPr>
        <w:lastRenderedPageBreak/>
        <w:t>rango legal</w:t>
      </w:r>
      <w:r w:rsidRPr="00B033A8">
        <w:rPr>
          <w:rStyle w:val="Refdenotaalpie"/>
          <w:rFonts w:cs="Times New Roman"/>
        </w:rPr>
        <w:footnoteReference w:id="110"/>
      </w:r>
      <w:r w:rsidRPr="00B033A8">
        <w:rPr>
          <w:rFonts w:cs="Times New Roman"/>
        </w:rPr>
        <w:t xml:space="preserve">. La remisión es </w:t>
      </w:r>
      <w:r w:rsidR="00B44542" w:rsidRPr="00B033A8">
        <w:rPr>
          <w:rFonts w:cs="Times New Roman"/>
          <w:i/>
          <w:iCs/>
        </w:rPr>
        <w:t>im</w:t>
      </w:r>
      <w:r w:rsidRPr="00B033A8">
        <w:rPr>
          <w:rFonts w:cs="Times New Roman"/>
          <w:i/>
          <w:iCs/>
        </w:rPr>
        <w:t>propia</w:t>
      </w:r>
      <w:r w:rsidRPr="00B033A8">
        <w:rPr>
          <w:rFonts w:cs="Times New Roman"/>
          <w:iCs/>
          <w:lang w:val="es-ES"/>
        </w:rPr>
        <w:t xml:space="preserve"> si el tipo penal en blanco remite a normas de </w:t>
      </w:r>
      <w:r w:rsidRPr="00B033A8">
        <w:rPr>
          <w:rFonts w:cs="Times New Roman"/>
        </w:rPr>
        <w:t>rango infra legal, como actos administrativos</w:t>
      </w:r>
      <w:r w:rsidR="000F6187" w:rsidRPr="00B033A8">
        <w:rPr>
          <w:rStyle w:val="Refdenotaalpie"/>
          <w:rFonts w:cs="Times New Roman"/>
        </w:rPr>
        <w:footnoteReference w:id="111"/>
      </w:r>
      <w:r w:rsidRPr="00B033A8">
        <w:rPr>
          <w:rFonts w:cs="Times New Roman"/>
        </w:rPr>
        <w:t>.</w:t>
      </w:r>
    </w:p>
    <w:p w14:paraId="77B02014" w14:textId="77777777" w:rsidR="004E3D83" w:rsidRPr="00B033A8" w:rsidRDefault="004E3D83" w:rsidP="00776641">
      <w:pPr>
        <w:tabs>
          <w:tab w:val="left" w:pos="567"/>
        </w:tabs>
        <w:rPr>
          <w:rFonts w:cs="Times New Roman"/>
        </w:rPr>
      </w:pPr>
    </w:p>
    <w:p w14:paraId="3ACB93B4" w14:textId="46C17E1F" w:rsidR="004E3D83" w:rsidRPr="00B033A8" w:rsidRDefault="004E3D83" w:rsidP="00776641">
      <w:pPr>
        <w:numPr>
          <w:ilvl w:val="0"/>
          <w:numId w:val="12"/>
        </w:numPr>
        <w:tabs>
          <w:tab w:val="left" w:pos="567"/>
        </w:tabs>
        <w:ind w:left="0" w:firstLine="0"/>
        <w:rPr>
          <w:rFonts w:cs="Times New Roman"/>
        </w:rPr>
      </w:pPr>
      <w:r w:rsidRPr="00B033A8">
        <w:rPr>
          <w:rFonts w:cs="Times New Roman"/>
        </w:rPr>
        <w:t xml:space="preserve">Los tipos penales en blanco constituyen una técnica de </w:t>
      </w:r>
      <w:r w:rsidR="00BD0044" w:rsidRPr="00B033A8">
        <w:rPr>
          <w:rFonts w:cs="Times New Roman"/>
        </w:rPr>
        <w:t>tipificación flexible</w:t>
      </w:r>
      <w:r w:rsidRPr="00B033A8">
        <w:rPr>
          <w:rFonts w:cs="Times New Roman"/>
        </w:rPr>
        <w:t xml:space="preserve"> </w:t>
      </w:r>
      <w:r w:rsidRPr="00B033A8">
        <w:rPr>
          <w:rFonts w:cs="Times New Roman"/>
          <w:i/>
          <w:iCs/>
        </w:rPr>
        <w:t>prima facie</w:t>
      </w:r>
      <w:r w:rsidRPr="00B033A8">
        <w:rPr>
          <w:rFonts w:cs="Times New Roman"/>
        </w:rPr>
        <w:t xml:space="preserve"> constitucional</w:t>
      </w:r>
      <w:r w:rsidR="000F1D00" w:rsidRPr="00B033A8">
        <w:rPr>
          <w:rFonts w:cs="Times New Roman"/>
        </w:rPr>
        <w:t xml:space="preserve"> que está</w:t>
      </w:r>
      <w:r w:rsidRPr="00B033A8">
        <w:rPr>
          <w:rFonts w:cs="Times New Roman"/>
        </w:rPr>
        <w:t xml:space="preserve"> amparada por el amplio margen de configuración </w:t>
      </w:r>
      <w:r w:rsidR="00BD0044" w:rsidRPr="00B033A8">
        <w:rPr>
          <w:rFonts w:cs="Times New Roman"/>
        </w:rPr>
        <w:t>del legislador</w:t>
      </w:r>
      <w:r w:rsidR="000F1D00" w:rsidRPr="00B033A8">
        <w:rPr>
          <w:rFonts w:cs="Times New Roman"/>
        </w:rPr>
        <w:t xml:space="preserve"> en materia penal</w:t>
      </w:r>
      <w:r w:rsidRPr="00B033A8">
        <w:rPr>
          <w:rStyle w:val="Refdenotaalpie"/>
          <w:rFonts w:cs="Times New Roman"/>
        </w:rPr>
        <w:footnoteReference w:id="112"/>
      </w:r>
      <w:r w:rsidRPr="00B033A8">
        <w:rPr>
          <w:rFonts w:cs="Times New Roman"/>
        </w:rPr>
        <w:t xml:space="preserve">.  La Corte Constitucional ha reconocido que existen </w:t>
      </w:r>
      <w:r w:rsidRPr="00B033A8">
        <w:rPr>
          <w:rFonts w:cs="Times New Roman"/>
          <w:iCs/>
          <w:lang w:val="es-ES"/>
        </w:rPr>
        <w:t>“ciertos bienes jurídicos que se desarrollan en el marco de actividades sociales variables, dinámicas”</w:t>
      </w:r>
      <w:r w:rsidRPr="00B033A8">
        <w:rPr>
          <w:rStyle w:val="Refdenotaalpie"/>
          <w:rFonts w:cs="Times New Roman"/>
          <w:iCs/>
          <w:lang w:val="es-ES"/>
        </w:rPr>
        <w:footnoteReference w:id="113"/>
      </w:r>
      <w:r w:rsidRPr="00B033A8">
        <w:rPr>
          <w:rFonts w:cs="Times New Roman"/>
          <w:iCs/>
        </w:rPr>
        <w:t>, que impiden al legislador definir de forma taxativa y con absoluta precisión todas las conductas que pueden afectarlos</w:t>
      </w:r>
      <w:r w:rsidRPr="00B033A8">
        <w:rPr>
          <w:rFonts w:cs="Times New Roman"/>
          <w:vertAlign w:val="superscript"/>
        </w:rPr>
        <w:footnoteReference w:id="114"/>
      </w:r>
      <w:r w:rsidRPr="00B033A8">
        <w:rPr>
          <w:rFonts w:cs="Times New Roman"/>
          <w:iCs/>
        </w:rPr>
        <w:t xml:space="preserve">. Esto </w:t>
      </w:r>
      <w:r w:rsidRPr="00B033A8">
        <w:rPr>
          <w:rFonts w:cs="Times New Roman"/>
          <w:iCs/>
          <w:lang w:val="es-ES"/>
        </w:rPr>
        <w:t>es frecuente en asuntos económicos, de comercio exterior, salubridad pública, medio ambiente y recursos naturales</w:t>
      </w:r>
      <w:r w:rsidRPr="00B033A8">
        <w:rPr>
          <w:rFonts w:cs="Times New Roman"/>
          <w:iCs/>
          <w:vertAlign w:val="superscript"/>
          <w:lang w:val="es-ES"/>
        </w:rPr>
        <w:footnoteReference w:id="115"/>
      </w:r>
      <w:r w:rsidRPr="00B033A8">
        <w:rPr>
          <w:rFonts w:cs="Times New Roman"/>
          <w:iCs/>
          <w:lang w:val="es-ES"/>
        </w:rPr>
        <w:t xml:space="preserve">. </w:t>
      </w:r>
      <w:r w:rsidRPr="00B033A8">
        <w:rPr>
          <w:rFonts w:cs="Times New Roman"/>
          <w:iCs/>
        </w:rPr>
        <w:t xml:space="preserve">En estos escenarios, los tipos penales en blanco y, en concreto, los de remisión </w:t>
      </w:r>
      <w:r w:rsidR="001F3236" w:rsidRPr="00B033A8">
        <w:rPr>
          <w:rFonts w:cs="Times New Roman"/>
          <w:i/>
        </w:rPr>
        <w:t>im</w:t>
      </w:r>
      <w:r w:rsidRPr="00B033A8">
        <w:rPr>
          <w:rFonts w:cs="Times New Roman"/>
          <w:i/>
        </w:rPr>
        <w:t>propia</w:t>
      </w:r>
      <w:r w:rsidRPr="00B033A8">
        <w:rPr>
          <w:rFonts w:cs="Times New Roman"/>
          <w:iCs/>
        </w:rPr>
        <w:t>, constituyen una herramienta de tipificación que</w:t>
      </w:r>
      <w:r w:rsidRPr="00B033A8">
        <w:rPr>
          <w:rFonts w:cs="Times New Roman"/>
          <w:iCs/>
          <w:lang w:val="es-ES"/>
        </w:rPr>
        <w:t xml:space="preserve"> permite</w:t>
      </w:r>
      <w:r w:rsidR="006F0BE0" w:rsidRPr="00B033A8">
        <w:rPr>
          <w:rFonts w:cs="Times New Roman"/>
          <w:iCs/>
          <w:lang w:val="es-ES"/>
        </w:rPr>
        <w:t xml:space="preserve"> que</w:t>
      </w:r>
      <w:r w:rsidRPr="00B033A8">
        <w:rPr>
          <w:rFonts w:cs="Times New Roman"/>
          <w:iCs/>
          <w:lang w:val="es-ES"/>
        </w:rPr>
        <w:t xml:space="preserve"> la norma penal se actualice a esas dinámicas variables, </w:t>
      </w:r>
      <w:r w:rsidRPr="00B033A8">
        <w:rPr>
          <w:rFonts w:cs="Times New Roman"/>
          <w:iCs/>
        </w:rPr>
        <w:t>por medio de la remisión a otras normas no penales</w:t>
      </w:r>
      <w:r w:rsidRPr="00B033A8">
        <w:rPr>
          <w:rFonts w:cs="Times New Roman"/>
          <w:iCs/>
          <w:vertAlign w:val="superscript"/>
          <w:lang w:val="es-ES"/>
        </w:rPr>
        <w:footnoteReference w:id="116"/>
      </w:r>
      <w:r w:rsidRPr="00B033A8">
        <w:rPr>
          <w:rFonts w:cs="Times New Roman"/>
          <w:iCs/>
          <w:lang w:val="es-ES"/>
        </w:rPr>
        <w:t xml:space="preserve">. Lo anterior, en el entendido de que las normas de rango infra legal son, por su propia naturaleza, de más fácil ajuste que la ley penal y, por lo tanto, </w:t>
      </w:r>
      <w:r w:rsidRPr="00B033A8">
        <w:rPr>
          <w:rFonts w:cs="Times New Roman"/>
          <w:iCs/>
        </w:rPr>
        <w:t>“permiten la penetración y [actualización] de la sanción en la cada vez más compleja sociedad contemporánea”</w:t>
      </w:r>
      <w:r w:rsidRPr="00B033A8">
        <w:rPr>
          <w:rStyle w:val="Refdenotaalpie"/>
          <w:rFonts w:cs="Times New Roman"/>
          <w:iCs/>
        </w:rPr>
        <w:footnoteReference w:id="117"/>
      </w:r>
      <w:r w:rsidRPr="00B033A8">
        <w:rPr>
          <w:rFonts w:cs="Times New Roman"/>
          <w:iCs/>
        </w:rPr>
        <w:t>. Por lo demás, la administración, como encargada de la ejecución directa de la ley, “interpreta con mayor agilidad la realidad cambiante que el legislador quiso someter a su regla”</w:t>
      </w:r>
      <w:r w:rsidR="001624C1" w:rsidRPr="00B033A8">
        <w:rPr>
          <w:rFonts w:cs="Times New Roman"/>
          <w:iCs/>
        </w:rPr>
        <w:t>,</w:t>
      </w:r>
      <w:r w:rsidRPr="00B033A8">
        <w:rPr>
          <w:rFonts w:cs="Times New Roman"/>
          <w:iCs/>
        </w:rPr>
        <w:t xml:space="preserve"> por lo que “resulta apenas entendible que éste recurra a la normativa administrativa para complementar la voluntad legislativa”</w:t>
      </w:r>
      <w:r w:rsidRPr="00B033A8">
        <w:rPr>
          <w:rStyle w:val="Refdenotaalpie"/>
          <w:rFonts w:cs="Times New Roman"/>
          <w:iCs/>
        </w:rPr>
        <w:footnoteReference w:id="118"/>
      </w:r>
      <w:r w:rsidRPr="00B033A8">
        <w:rPr>
          <w:rFonts w:cs="Times New Roman"/>
          <w:iCs/>
        </w:rPr>
        <w:t xml:space="preserve">. </w:t>
      </w:r>
    </w:p>
    <w:p w14:paraId="2EEE4492" w14:textId="77777777" w:rsidR="004E3D83" w:rsidRPr="00B033A8" w:rsidRDefault="004E3D83" w:rsidP="00776641">
      <w:pPr>
        <w:tabs>
          <w:tab w:val="left" w:pos="567"/>
        </w:tabs>
        <w:rPr>
          <w:rFonts w:cs="Times New Roman"/>
        </w:rPr>
      </w:pPr>
    </w:p>
    <w:p w14:paraId="66D52CF6" w14:textId="54B90462" w:rsidR="005503B6" w:rsidRPr="00B033A8" w:rsidRDefault="004E3D83" w:rsidP="00776641">
      <w:pPr>
        <w:numPr>
          <w:ilvl w:val="0"/>
          <w:numId w:val="12"/>
        </w:numPr>
        <w:tabs>
          <w:tab w:val="left" w:pos="567"/>
        </w:tabs>
        <w:ind w:left="0" w:firstLine="0"/>
        <w:rPr>
          <w:rFonts w:cs="Times New Roman"/>
        </w:rPr>
      </w:pPr>
      <w:r w:rsidRPr="00B033A8">
        <w:rPr>
          <w:rFonts w:cs="Times New Roman"/>
        </w:rPr>
        <w:t>Con todo, la Corte Constitucional ha reconocido que los tipos penales en blanco generan tensiones con el principio de legalidad estricta. Esto es así, porque al no definir de forma definitiva los elementos del tipo</w:t>
      </w:r>
      <w:r w:rsidR="00266E1A" w:rsidRPr="00B033A8">
        <w:rPr>
          <w:rFonts w:cs="Times New Roman"/>
        </w:rPr>
        <w:t xml:space="preserve"> y exigir una remisión a normas extrapenales para completar el tipo, </w:t>
      </w:r>
      <w:r w:rsidRPr="00B033A8">
        <w:rPr>
          <w:rFonts w:cs="Times New Roman"/>
        </w:rPr>
        <w:t xml:space="preserve">introducen un grado de incertidumbre </w:t>
      </w:r>
      <w:r w:rsidR="00B35807" w:rsidRPr="00B033A8">
        <w:rPr>
          <w:rFonts w:cs="Times New Roman"/>
        </w:rPr>
        <w:t>en la</w:t>
      </w:r>
      <w:r w:rsidR="00AD3EEF" w:rsidRPr="00B033A8">
        <w:rPr>
          <w:rFonts w:cs="Times New Roman"/>
        </w:rPr>
        <w:t xml:space="preserve"> determinación de sus elementos esenciales</w:t>
      </w:r>
      <w:r w:rsidRPr="00B033A8">
        <w:rPr>
          <w:rStyle w:val="Refdenotaalpie"/>
          <w:rFonts w:cs="Times New Roman"/>
        </w:rPr>
        <w:footnoteReference w:id="119"/>
      </w:r>
      <w:r w:rsidRPr="00B033A8">
        <w:rPr>
          <w:rFonts w:cs="Times New Roman"/>
        </w:rPr>
        <w:t>. Por esta razón, este tribunal ha desarrollado requisitos que los tipos penales en blanco deben satisfacer para ser compatibles con la exigencia de tipicidad. Estos requisitos</w:t>
      </w:r>
      <w:r w:rsidR="00775024" w:rsidRPr="00B033A8">
        <w:rPr>
          <w:rFonts w:cs="Times New Roman"/>
        </w:rPr>
        <w:t xml:space="preserve"> buscan </w:t>
      </w:r>
      <w:r w:rsidR="003751AB" w:rsidRPr="00B033A8">
        <w:rPr>
          <w:rFonts w:cs="Times New Roman"/>
        </w:rPr>
        <w:t xml:space="preserve">garantizar un grado </w:t>
      </w:r>
      <w:r w:rsidR="00FC4AC4" w:rsidRPr="00B033A8">
        <w:rPr>
          <w:rFonts w:cs="Times New Roman"/>
        </w:rPr>
        <w:t xml:space="preserve">razonable de previsibilidad </w:t>
      </w:r>
      <w:r w:rsidR="003751AB" w:rsidRPr="00B033A8">
        <w:rPr>
          <w:rFonts w:cs="Times New Roman"/>
        </w:rPr>
        <w:t xml:space="preserve">en </w:t>
      </w:r>
      <w:r w:rsidR="00FC4AC4" w:rsidRPr="00B033A8">
        <w:rPr>
          <w:rFonts w:cs="Times New Roman"/>
        </w:rPr>
        <w:t>el proceso de</w:t>
      </w:r>
      <w:r w:rsidR="003751AB" w:rsidRPr="00B033A8">
        <w:rPr>
          <w:rFonts w:cs="Times New Roman"/>
        </w:rPr>
        <w:t xml:space="preserve"> integración del tipo</w:t>
      </w:r>
      <w:r w:rsidRPr="00B033A8">
        <w:rPr>
          <w:rFonts w:cs="Times New Roman"/>
        </w:rPr>
        <w:t xml:space="preserve"> </w:t>
      </w:r>
      <w:r w:rsidR="00FC4AC4" w:rsidRPr="00B033A8">
        <w:rPr>
          <w:rFonts w:cs="Times New Roman"/>
        </w:rPr>
        <w:t>con otras normas no penales</w:t>
      </w:r>
      <w:r w:rsidR="005503B6" w:rsidRPr="00B033A8">
        <w:rPr>
          <w:rFonts w:cs="Times New Roman"/>
        </w:rPr>
        <w:t xml:space="preserve">. </w:t>
      </w:r>
    </w:p>
    <w:p w14:paraId="1B2ACBEF" w14:textId="77777777" w:rsidR="005503B6" w:rsidRPr="00B033A8" w:rsidRDefault="005503B6" w:rsidP="00776641">
      <w:pPr>
        <w:pStyle w:val="Prrafodelista"/>
        <w:spacing w:line="240" w:lineRule="auto"/>
      </w:pPr>
    </w:p>
    <w:p w14:paraId="05C96943" w14:textId="6C5516E6" w:rsidR="004E3D83" w:rsidRPr="00B033A8" w:rsidRDefault="005503B6" w:rsidP="00776641">
      <w:pPr>
        <w:numPr>
          <w:ilvl w:val="0"/>
          <w:numId w:val="12"/>
        </w:numPr>
        <w:tabs>
          <w:tab w:val="left" w:pos="567"/>
        </w:tabs>
        <w:ind w:left="0" w:firstLine="0"/>
        <w:rPr>
          <w:rFonts w:cs="Times New Roman"/>
        </w:rPr>
      </w:pPr>
      <w:r w:rsidRPr="00B033A8">
        <w:rPr>
          <w:rFonts w:cs="Times New Roman"/>
        </w:rPr>
        <w:lastRenderedPageBreak/>
        <w:t>En las sentencias</w:t>
      </w:r>
      <w:r w:rsidR="004E3D83" w:rsidRPr="00B033A8">
        <w:rPr>
          <w:rFonts w:cs="Times New Roman"/>
        </w:rPr>
        <w:t xml:space="preserve"> C-367 y C-411 de 2022, </w:t>
      </w:r>
      <w:r w:rsidRPr="00B033A8">
        <w:rPr>
          <w:rFonts w:cs="Times New Roman"/>
        </w:rPr>
        <w:t xml:space="preserve">así como </w:t>
      </w:r>
      <w:r w:rsidR="00FF002F" w:rsidRPr="00B033A8">
        <w:rPr>
          <w:rFonts w:cs="Times New Roman"/>
        </w:rPr>
        <w:t xml:space="preserve">en la Sentencia </w:t>
      </w:r>
      <w:r w:rsidRPr="00B033A8">
        <w:rPr>
          <w:rFonts w:cs="Times New Roman"/>
        </w:rPr>
        <w:t xml:space="preserve">C-021 de 2023, la Corte Constitucional sistematizó estas exigencias </w:t>
      </w:r>
      <w:r w:rsidR="004E3D83" w:rsidRPr="00B033A8">
        <w:rPr>
          <w:rFonts w:cs="Times New Roman"/>
        </w:rPr>
        <w:t xml:space="preserve">en los términos que se describen en la </w:t>
      </w:r>
      <w:r w:rsidR="00266E1A" w:rsidRPr="00B033A8">
        <w:rPr>
          <w:rFonts w:cs="Times New Roman"/>
        </w:rPr>
        <w:t>siguiente tabla</w:t>
      </w:r>
      <w:r w:rsidR="004E3D83" w:rsidRPr="00B033A8">
        <w:rPr>
          <w:rFonts w:cs="Times New Roman"/>
        </w:rPr>
        <w:t>:</w:t>
      </w:r>
    </w:p>
    <w:p w14:paraId="1AD7E91D" w14:textId="77777777" w:rsidR="004E3D83" w:rsidRPr="00B033A8" w:rsidRDefault="004E3D83" w:rsidP="00776641">
      <w:pPr>
        <w:tabs>
          <w:tab w:val="left" w:pos="567"/>
        </w:tabs>
        <w:rPr>
          <w:rFonts w:cs="Times New Roman"/>
        </w:rPr>
      </w:pPr>
    </w:p>
    <w:tbl>
      <w:tblPr>
        <w:tblStyle w:val="Tablaconcuadrcula"/>
        <w:tblW w:w="0" w:type="auto"/>
        <w:tblLook w:val="04A0" w:firstRow="1" w:lastRow="0" w:firstColumn="1" w:lastColumn="0" w:noHBand="0" w:noVBand="1"/>
      </w:tblPr>
      <w:tblGrid>
        <w:gridCol w:w="8784"/>
      </w:tblGrid>
      <w:tr w:rsidR="004E3D83" w:rsidRPr="00B033A8" w14:paraId="49D3AEC9" w14:textId="77777777" w:rsidTr="004351E8">
        <w:tc>
          <w:tcPr>
            <w:tcW w:w="8784" w:type="dxa"/>
            <w:shd w:val="clear" w:color="auto" w:fill="D9D9D9" w:themeFill="background1" w:themeFillShade="D9"/>
          </w:tcPr>
          <w:p w14:paraId="6816B2BB" w14:textId="77777777" w:rsidR="004E3D83" w:rsidRPr="00B033A8" w:rsidRDefault="004E3D83" w:rsidP="00776641">
            <w:pPr>
              <w:tabs>
                <w:tab w:val="left" w:pos="311"/>
              </w:tabs>
              <w:jc w:val="center"/>
              <w:rPr>
                <w:rFonts w:cs="Times New Roman"/>
                <w:b/>
                <w:bCs/>
                <w:szCs w:val="20"/>
              </w:rPr>
            </w:pPr>
            <w:r w:rsidRPr="00B033A8">
              <w:rPr>
                <w:rFonts w:cs="Times New Roman"/>
                <w:b/>
                <w:bCs/>
                <w:szCs w:val="20"/>
              </w:rPr>
              <w:t>Legalidad estricta de los tipos penales en blanco</w:t>
            </w:r>
          </w:p>
        </w:tc>
      </w:tr>
      <w:tr w:rsidR="004E3D83" w:rsidRPr="00B033A8" w14:paraId="210E44AA" w14:textId="77777777" w:rsidTr="004351E8">
        <w:tc>
          <w:tcPr>
            <w:tcW w:w="8784" w:type="dxa"/>
          </w:tcPr>
          <w:p w14:paraId="58E542B7" w14:textId="166DB065" w:rsidR="004E3D83" w:rsidRPr="00B033A8" w:rsidRDefault="004E3D83" w:rsidP="00776641">
            <w:pPr>
              <w:pStyle w:val="Prrafodelista"/>
              <w:numPr>
                <w:ilvl w:val="0"/>
                <w:numId w:val="18"/>
              </w:numPr>
              <w:tabs>
                <w:tab w:val="left" w:pos="311"/>
              </w:tabs>
              <w:spacing w:line="240" w:lineRule="auto"/>
              <w:ind w:left="284" w:hanging="284"/>
              <w:rPr>
                <w:szCs w:val="20"/>
              </w:rPr>
            </w:pPr>
            <w:r w:rsidRPr="00B033A8">
              <w:rPr>
                <w:szCs w:val="20"/>
              </w:rPr>
              <w:t xml:space="preserve">La norma de remisión debe ser claramente identificable. </w:t>
            </w:r>
            <w:r w:rsidR="00CA4389" w:rsidRPr="00B033A8">
              <w:rPr>
                <w:szCs w:val="20"/>
              </w:rPr>
              <w:t>Es deseable que la remisión sea lo más expresa y explícita posible</w:t>
            </w:r>
            <w:r w:rsidR="00B015E8" w:rsidRPr="00B033A8">
              <w:rPr>
                <w:rStyle w:val="Refdenotaalpie"/>
                <w:szCs w:val="20"/>
              </w:rPr>
              <w:footnoteReference w:id="120"/>
            </w:r>
            <w:r w:rsidR="00CA4389" w:rsidRPr="00B033A8">
              <w:rPr>
                <w:szCs w:val="20"/>
              </w:rPr>
              <w:t>.</w:t>
            </w:r>
            <w:r w:rsidRPr="00B033A8">
              <w:rPr>
                <w:szCs w:val="20"/>
              </w:rPr>
              <w:t xml:space="preserve"> Con todo, la Corte Constitucional ha precisado que </w:t>
            </w:r>
            <w:r w:rsidRPr="00B033A8">
              <w:rPr>
                <w:i/>
                <w:iCs/>
                <w:szCs w:val="20"/>
              </w:rPr>
              <w:t>(a)</w:t>
            </w:r>
            <w:r w:rsidRPr="00B033A8">
              <w:rPr>
                <w:szCs w:val="20"/>
              </w:rPr>
              <w:t xml:space="preserve"> la remisión de los tipos penales “a otros preceptos normativos no debe, necesariamente, ser expresa; es posible que el reenvío sea tácito”</w:t>
            </w:r>
            <w:r w:rsidRPr="00B033A8">
              <w:rPr>
                <w:szCs w:val="20"/>
                <w:vertAlign w:val="superscript"/>
              </w:rPr>
              <w:footnoteReference w:id="121"/>
            </w:r>
            <w:r w:rsidRPr="00B033A8">
              <w:rPr>
                <w:szCs w:val="20"/>
              </w:rPr>
              <w:t xml:space="preserve">; y </w:t>
            </w:r>
            <w:r w:rsidRPr="00B033A8">
              <w:rPr>
                <w:i/>
                <w:iCs/>
                <w:szCs w:val="20"/>
              </w:rPr>
              <w:t>(b)</w:t>
            </w:r>
            <w:r w:rsidRPr="00B033A8">
              <w:rPr>
                <w:szCs w:val="20"/>
              </w:rPr>
              <w:t xml:space="preserve"> es constitucionalmente admisible que el legislador remita una </w:t>
            </w:r>
            <w:r w:rsidR="00483FE6" w:rsidRPr="00B033A8">
              <w:rPr>
                <w:szCs w:val="20"/>
              </w:rPr>
              <w:t>“normativa dispersa, abundante y compleja”</w:t>
            </w:r>
            <w:r w:rsidR="00483FE6" w:rsidRPr="00B033A8">
              <w:rPr>
                <w:rStyle w:val="Refdenotaalpie"/>
                <w:szCs w:val="20"/>
              </w:rPr>
              <w:footnoteReference w:id="122"/>
            </w:r>
            <w:r w:rsidRPr="00B033A8">
              <w:rPr>
                <w:szCs w:val="20"/>
              </w:rPr>
              <w:t xml:space="preserve">. </w:t>
            </w:r>
            <w:r w:rsidR="00E63538" w:rsidRPr="00B033A8">
              <w:rPr>
                <w:szCs w:val="20"/>
              </w:rPr>
              <w:t xml:space="preserve">Lo anterior, siempre que el intérprete y el destinatario de la norma penal puedan </w:t>
            </w:r>
            <w:r w:rsidR="00E63538" w:rsidRPr="00B033A8">
              <w:rPr>
                <w:iCs/>
                <w:szCs w:val="20"/>
                <w:lang w:val="es-ES"/>
              </w:rPr>
              <w:t xml:space="preserve">individualizar </w:t>
            </w:r>
            <w:r w:rsidR="00E63538" w:rsidRPr="00B033A8">
              <w:rPr>
                <w:iCs/>
                <w:szCs w:val="20"/>
              </w:rPr>
              <w:t>“sin ambages, anfibologías o equívocos”</w:t>
            </w:r>
            <w:r w:rsidR="00E63538" w:rsidRPr="00B033A8">
              <w:rPr>
                <w:szCs w:val="20"/>
                <w:vertAlign w:val="superscript"/>
              </w:rPr>
              <w:footnoteReference w:id="123"/>
            </w:r>
            <w:r w:rsidR="00E63538" w:rsidRPr="00B033A8">
              <w:rPr>
                <w:iCs/>
                <w:szCs w:val="20"/>
              </w:rPr>
              <w:t xml:space="preserve"> </w:t>
            </w:r>
            <w:r w:rsidR="00E63538" w:rsidRPr="00B033A8">
              <w:rPr>
                <w:iCs/>
                <w:szCs w:val="20"/>
                <w:lang w:val="es-ES"/>
              </w:rPr>
              <w:t>la norma o normas complementarias que se integran a la disposición penal para</w:t>
            </w:r>
            <w:r w:rsidR="00E63538" w:rsidRPr="00B033A8">
              <w:rPr>
                <w:szCs w:val="20"/>
              </w:rPr>
              <w:t xml:space="preserve"> llevar a cabo el proceso de adecuación típica</w:t>
            </w:r>
            <w:r w:rsidR="00E63538" w:rsidRPr="00B033A8">
              <w:rPr>
                <w:szCs w:val="20"/>
                <w:vertAlign w:val="superscript"/>
              </w:rPr>
              <w:footnoteReference w:id="124"/>
            </w:r>
            <w:r w:rsidR="00E63538" w:rsidRPr="00B033A8">
              <w:rPr>
                <w:szCs w:val="20"/>
              </w:rPr>
              <w:t>.</w:t>
            </w:r>
          </w:p>
          <w:p w14:paraId="6E3D3D52" w14:textId="77777777" w:rsidR="004E3D83" w:rsidRPr="00B033A8" w:rsidRDefault="004E3D83" w:rsidP="00776641">
            <w:pPr>
              <w:pStyle w:val="Prrafodelista"/>
              <w:numPr>
                <w:ilvl w:val="0"/>
                <w:numId w:val="18"/>
              </w:numPr>
              <w:tabs>
                <w:tab w:val="left" w:pos="311"/>
              </w:tabs>
              <w:spacing w:line="240" w:lineRule="auto"/>
              <w:ind w:left="284" w:hanging="284"/>
              <w:rPr>
                <w:szCs w:val="20"/>
              </w:rPr>
            </w:pPr>
            <w:r w:rsidRPr="00B033A8">
              <w:rPr>
                <w:szCs w:val="20"/>
              </w:rPr>
              <w:t>La norma de remisión debe existir y hacer parte “</w:t>
            </w:r>
            <w:r w:rsidRPr="00B033A8">
              <w:rPr>
                <w:szCs w:val="20"/>
                <w:lang w:val="es-ES"/>
              </w:rPr>
              <w:t>del ordenamiento jurídico al momento de realizarse la conducta y de llevarse a cabo el proceso de adecuación típica</w:t>
            </w:r>
            <w:r w:rsidRPr="00B033A8">
              <w:rPr>
                <w:szCs w:val="20"/>
              </w:rPr>
              <w:t>”</w:t>
            </w:r>
            <w:r w:rsidRPr="00B033A8">
              <w:rPr>
                <w:szCs w:val="20"/>
                <w:vertAlign w:val="superscript"/>
              </w:rPr>
              <w:footnoteReference w:id="125"/>
            </w:r>
            <w:r w:rsidRPr="00B033A8">
              <w:rPr>
                <w:szCs w:val="20"/>
              </w:rPr>
              <w:t>. Esta regla admite que la norma complementaria sea expedida “con posterioridad al tipo penal, siempre y cuando la adecuación típica sea posterior a la norma complementaria. Esto garantiza el derecho a ser juzgado solo con base en las leyes preexistentes”</w:t>
            </w:r>
            <w:r w:rsidRPr="00B033A8">
              <w:rPr>
                <w:szCs w:val="20"/>
                <w:vertAlign w:val="superscript"/>
              </w:rPr>
              <w:footnoteReference w:id="126"/>
            </w:r>
            <w:r w:rsidRPr="00B033A8">
              <w:rPr>
                <w:szCs w:val="20"/>
              </w:rPr>
              <w:t>.</w:t>
            </w:r>
          </w:p>
          <w:p w14:paraId="3E6660A2" w14:textId="77777777" w:rsidR="004E3D83" w:rsidRPr="00B033A8" w:rsidRDefault="004E3D83" w:rsidP="00776641">
            <w:pPr>
              <w:pStyle w:val="Prrafodelista"/>
              <w:numPr>
                <w:ilvl w:val="0"/>
                <w:numId w:val="18"/>
              </w:numPr>
              <w:tabs>
                <w:tab w:val="left" w:pos="311"/>
              </w:tabs>
              <w:spacing w:line="240" w:lineRule="auto"/>
              <w:ind w:left="284" w:hanging="284"/>
              <w:rPr>
                <w:szCs w:val="20"/>
              </w:rPr>
            </w:pPr>
            <w:r w:rsidRPr="00B033A8">
              <w:rPr>
                <w:szCs w:val="20"/>
              </w:rPr>
              <w:t xml:space="preserve">La norma de remisión debe permitir </w:t>
            </w:r>
            <w:r w:rsidRPr="00B033A8">
              <w:rPr>
                <w:szCs w:val="20"/>
                <w:lang w:val="es-ES_tradnl"/>
              </w:rPr>
              <w:t>al intérprete “determinar inequívocamente el alcance de la conducta penalizada y la sanción correspondiente”</w:t>
            </w:r>
            <w:r w:rsidRPr="00B033A8">
              <w:rPr>
                <w:szCs w:val="20"/>
                <w:vertAlign w:val="superscript"/>
                <w:lang w:val="es-ES_tradnl"/>
              </w:rPr>
              <w:footnoteReference w:id="127"/>
            </w:r>
            <w:r w:rsidRPr="00B033A8">
              <w:rPr>
                <w:szCs w:val="20"/>
                <w:lang w:val="es-ES_tradnl"/>
              </w:rPr>
              <w:t>,</w:t>
            </w:r>
            <w:r w:rsidRPr="00B033A8">
              <w:rPr>
                <w:szCs w:val="20"/>
              </w:rPr>
              <w:t xml:space="preserve"> sin que haya lugar a “ambigüedades ni a indeterminaciones al respecto”</w:t>
            </w:r>
            <w:r w:rsidRPr="00B033A8">
              <w:rPr>
                <w:szCs w:val="20"/>
                <w:vertAlign w:val="superscript"/>
              </w:rPr>
              <w:footnoteReference w:id="128"/>
            </w:r>
            <w:r w:rsidRPr="00B033A8">
              <w:rPr>
                <w:szCs w:val="20"/>
              </w:rPr>
              <w:t>. La Corte ha precisado que la norma penal puede remitir a sistemas normativos “hiperregulados”</w:t>
            </w:r>
            <w:r w:rsidRPr="00B033A8">
              <w:rPr>
                <w:szCs w:val="20"/>
                <w:vertAlign w:val="superscript"/>
              </w:rPr>
              <w:footnoteReference w:id="129"/>
            </w:r>
            <w:r w:rsidRPr="00B033A8">
              <w:rPr>
                <w:szCs w:val="20"/>
              </w:rPr>
              <w:t>, “abundantes y complejos de entender”</w:t>
            </w:r>
            <w:r w:rsidRPr="00B033A8">
              <w:rPr>
                <w:szCs w:val="20"/>
                <w:vertAlign w:val="superscript"/>
              </w:rPr>
              <w:footnoteReference w:id="130"/>
            </w:r>
            <w:r w:rsidRPr="00B033A8">
              <w:rPr>
                <w:szCs w:val="20"/>
              </w:rPr>
              <w:t xml:space="preserve">. Sin embargo, en estos casos debe garantizarse que la tipicidad </w:t>
            </w:r>
            <w:proofErr w:type="spellStart"/>
            <w:r w:rsidRPr="00B033A8">
              <w:rPr>
                <w:szCs w:val="20"/>
              </w:rPr>
              <w:t>post-remisión</w:t>
            </w:r>
            <w:proofErr w:type="spellEnd"/>
            <w:r w:rsidRPr="00B033A8">
              <w:rPr>
                <w:szCs w:val="20"/>
              </w:rPr>
              <w:t xml:space="preserve"> normativa sea clara y precisa. </w:t>
            </w:r>
          </w:p>
          <w:p w14:paraId="78960BA1" w14:textId="0213ED1E" w:rsidR="004E3D83" w:rsidRPr="00B033A8" w:rsidRDefault="004E3D83" w:rsidP="00776641">
            <w:pPr>
              <w:pStyle w:val="Prrafodelista"/>
              <w:numPr>
                <w:ilvl w:val="0"/>
                <w:numId w:val="18"/>
              </w:numPr>
              <w:tabs>
                <w:tab w:val="left" w:pos="311"/>
              </w:tabs>
              <w:spacing w:line="240" w:lineRule="auto"/>
              <w:ind w:left="284" w:hanging="284"/>
              <w:rPr>
                <w:szCs w:val="20"/>
              </w:rPr>
            </w:pPr>
            <w:r w:rsidRPr="00B033A8">
              <w:rPr>
                <w:szCs w:val="20"/>
              </w:rPr>
              <w:lastRenderedPageBreak/>
              <w:t xml:space="preserve">La Corte Constitucional ha precisado que los tipos penales de remisión </w:t>
            </w:r>
            <w:r w:rsidR="007B2649" w:rsidRPr="00B033A8">
              <w:rPr>
                <w:i/>
                <w:iCs/>
                <w:szCs w:val="20"/>
              </w:rPr>
              <w:t>im</w:t>
            </w:r>
            <w:r w:rsidRPr="00B033A8">
              <w:rPr>
                <w:i/>
                <w:iCs/>
                <w:szCs w:val="20"/>
              </w:rPr>
              <w:t>propia</w:t>
            </w:r>
            <w:r w:rsidRPr="00B033A8">
              <w:rPr>
                <w:szCs w:val="20"/>
              </w:rPr>
              <w:t xml:space="preserve"> deben satisfacer, además de los requisitos anteriores, dos condiciones adicionales:</w:t>
            </w:r>
          </w:p>
          <w:p w14:paraId="2F490518" w14:textId="77777777" w:rsidR="004E3D83" w:rsidRPr="00B033A8" w:rsidRDefault="004E3D83" w:rsidP="00776641">
            <w:pPr>
              <w:pStyle w:val="Prrafodelista"/>
              <w:numPr>
                <w:ilvl w:val="0"/>
                <w:numId w:val="19"/>
              </w:numPr>
              <w:tabs>
                <w:tab w:val="left" w:pos="311"/>
              </w:tabs>
              <w:spacing w:line="240" w:lineRule="auto"/>
              <w:ind w:left="877" w:hanging="567"/>
              <w:rPr>
                <w:szCs w:val="20"/>
              </w:rPr>
            </w:pPr>
            <w:r w:rsidRPr="00B033A8">
              <w:rPr>
                <w:szCs w:val="20"/>
              </w:rPr>
              <w:t>La norma de remisión de rango infra legal debe tener un alcance general y ser de conocimiento público</w:t>
            </w:r>
            <w:r w:rsidRPr="00B033A8">
              <w:rPr>
                <w:szCs w:val="20"/>
                <w:vertAlign w:val="superscript"/>
              </w:rPr>
              <w:footnoteReference w:id="131"/>
            </w:r>
            <w:r w:rsidRPr="00B033A8">
              <w:rPr>
                <w:szCs w:val="20"/>
              </w:rPr>
              <w:t>. Esto, con el fin de garantizar su “oponibilidad social”</w:t>
            </w:r>
            <w:r w:rsidRPr="00B033A8">
              <w:rPr>
                <w:szCs w:val="20"/>
                <w:vertAlign w:val="superscript"/>
              </w:rPr>
              <w:footnoteReference w:id="132"/>
            </w:r>
            <w:r w:rsidRPr="00B033A8">
              <w:rPr>
                <w:szCs w:val="20"/>
              </w:rPr>
              <w:t xml:space="preserve"> y que los ciudadanos “conozcan su contenido”</w:t>
            </w:r>
            <w:r w:rsidRPr="00B033A8">
              <w:rPr>
                <w:szCs w:val="20"/>
                <w:vertAlign w:val="superscript"/>
              </w:rPr>
              <w:footnoteReference w:id="133"/>
            </w:r>
            <w:r w:rsidRPr="00B033A8">
              <w:rPr>
                <w:szCs w:val="20"/>
              </w:rPr>
              <w:t>.</w:t>
            </w:r>
          </w:p>
          <w:p w14:paraId="1F5528E3" w14:textId="77777777" w:rsidR="004E3D83" w:rsidRPr="00B033A8" w:rsidRDefault="004E3D83" w:rsidP="00776641">
            <w:pPr>
              <w:pStyle w:val="Prrafodelista"/>
              <w:numPr>
                <w:ilvl w:val="0"/>
                <w:numId w:val="19"/>
              </w:numPr>
              <w:tabs>
                <w:tab w:val="left" w:pos="311"/>
              </w:tabs>
              <w:spacing w:line="240" w:lineRule="auto"/>
              <w:ind w:left="877" w:hanging="567"/>
              <w:rPr>
                <w:szCs w:val="20"/>
              </w:rPr>
            </w:pPr>
            <w:r w:rsidRPr="00B033A8">
              <w:rPr>
                <w:szCs w:val="20"/>
              </w:rPr>
              <w:t>La norma de remisión debe respetar “los principios y valores constitucionales, sobre la base de los principios de razonabilidad y proporcionalidad”</w:t>
            </w:r>
            <w:r w:rsidRPr="00B033A8">
              <w:rPr>
                <w:szCs w:val="20"/>
                <w:vertAlign w:val="superscript"/>
              </w:rPr>
              <w:footnoteReference w:id="134"/>
            </w:r>
            <w:r w:rsidRPr="00B033A8">
              <w:rPr>
                <w:szCs w:val="20"/>
              </w:rPr>
              <w:t>.</w:t>
            </w:r>
          </w:p>
        </w:tc>
      </w:tr>
    </w:tbl>
    <w:p w14:paraId="3B6CEA13" w14:textId="1E07C176" w:rsidR="004E3D83" w:rsidRPr="00B033A8" w:rsidRDefault="004E3D83" w:rsidP="00776641">
      <w:pPr>
        <w:tabs>
          <w:tab w:val="left" w:pos="567"/>
        </w:tabs>
        <w:jc w:val="center"/>
        <w:rPr>
          <w:rFonts w:cs="Times New Roman"/>
          <w:szCs w:val="16"/>
        </w:rPr>
      </w:pPr>
      <w:r w:rsidRPr="00B033A8">
        <w:rPr>
          <w:rFonts w:cs="Times New Roman"/>
          <w:szCs w:val="16"/>
        </w:rPr>
        <w:lastRenderedPageBreak/>
        <w:t xml:space="preserve">-Tabla </w:t>
      </w:r>
      <w:r w:rsidR="00EB5086" w:rsidRPr="00B033A8">
        <w:rPr>
          <w:rFonts w:cs="Times New Roman"/>
          <w:szCs w:val="16"/>
        </w:rPr>
        <w:t>2</w:t>
      </w:r>
      <w:r w:rsidRPr="00B033A8">
        <w:rPr>
          <w:rFonts w:cs="Times New Roman"/>
          <w:szCs w:val="16"/>
        </w:rPr>
        <w:t>-</w:t>
      </w:r>
    </w:p>
    <w:p w14:paraId="5C5CBD35" w14:textId="77777777" w:rsidR="004E3D83" w:rsidRPr="00B033A8" w:rsidRDefault="004E3D83" w:rsidP="00776641">
      <w:pPr>
        <w:tabs>
          <w:tab w:val="left" w:pos="567"/>
        </w:tabs>
        <w:rPr>
          <w:rFonts w:cs="Times New Roman"/>
        </w:rPr>
      </w:pPr>
    </w:p>
    <w:p w14:paraId="6CD38014" w14:textId="77777777" w:rsidR="004E3D83" w:rsidRPr="00B033A8" w:rsidRDefault="004E3D83" w:rsidP="00776641">
      <w:pPr>
        <w:numPr>
          <w:ilvl w:val="0"/>
          <w:numId w:val="12"/>
        </w:numPr>
        <w:tabs>
          <w:tab w:val="left" w:pos="567"/>
        </w:tabs>
        <w:ind w:left="0" w:firstLine="0"/>
        <w:rPr>
          <w:rFonts w:cs="Times New Roman"/>
        </w:rPr>
      </w:pPr>
      <w:r w:rsidRPr="00B033A8">
        <w:rPr>
          <w:rFonts w:cs="Times New Roman"/>
        </w:rPr>
        <w:t xml:space="preserve">El cumplimiento concurrente de estos requisitos, ha dicho la Corte, es una condición de constitucionalidad y validez de los tipos penales en blanco. </w:t>
      </w:r>
    </w:p>
    <w:p w14:paraId="08E579B4" w14:textId="77777777" w:rsidR="004E3D83" w:rsidRPr="00B033A8" w:rsidRDefault="004E3D83" w:rsidP="00776641">
      <w:pPr>
        <w:tabs>
          <w:tab w:val="left" w:pos="567"/>
        </w:tabs>
        <w:rPr>
          <w:rFonts w:cs="Times New Roman"/>
        </w:rPr>
      </w:pPr>
    </w:p>
    <w:p w14:paraId="667A9A39" w14:textId="48FABA8C" w:rsidR="004E3D83" w:rsidRPr="00B033A8" w:rsidRDefault="004E3D83" w:rsidP="00776641">
      <w:pPr>
        <w:pStyle w:val="Ttulo4"/>
        <w:numPr>
          <w:ilvl w:val="0"/>
          <w:numId w:val="17"/>
        </w:numPr>
        <w:spacing w:before="0"/>
        <w:ind w:hanging="578"/>
        <w:rPr>
          <w:rFonts w:cs="Times New Roman"/>
        </w:rPr>
      </w:pPr>
      <w:r w:rsidRPr="00B033A8">
        <w:rPr>
          <w:rFonts w:cs="Times New Roman"/>
        </w:rPr>
        <w:t>Los tipos penales abiertos</w:t>
      </w:r>
    </w:p>
    <w:p w14:paraId="087B6084" w14:textId="77777777" w:rsidR="004E3D83" w:rsidRPr="00B033A8" w:rsidRDefault="004E3D83" w:rsidP="00776641">
      <w:pPr>
        <w:tabs>
          <w:tab w:val="left" w:pos="567"/>
        </w:tabs>
        <w:rPr>
          <w:rFonts w:cs="Times New Roman"/>
        </w:rPr>
      </w:pPr>
    </w:p>
    <w:p w14:paraId="00325956" w14:textId="1CCD4574" w:rsidR="004E3D83" w:rsidRPr="00B033A8" w:rsidRDefault="004E3D83" w:rsidP="00776641">
      <w:pPr>
        <w:numPr>
          <w:ilvl w:val="0"/>
          <w:numId w:val="12"/>
        </w:numPr>
        <w:tabs>
          <w:tab w:val="left" w:pos="567"/>
        </w:tabs>
        <w:ind w:left="0" w:firstLine="0"/>
        <w:rPr>
          <w:rFonts w:cs="Times New Roman"/>
          <w:lang w:val="es-ES_tradnl"/>
        </w:rPr>
      </w:pPr>
      <w:r w:rsidRPr="00B033A8">
        <w:rPr>
          <w:rFonts w:cs="Times New Roman"/>
        </w:rPr>
        <w:t>Los tipos penales abiertos son aquellos en los que alguno de los elementos estructurales de la conducta punible está definido con expresiones que tienen un alto grado de indeterminación semántica, lo que implica que “</w:t>
      </w:r>
      <w:r w:rsidRPr="00B033A8">
        <w:rPr>
          <w:rFonts w:cs="Times New Roman"/>
          <w:lang w:val="es-ES_tradnl"/>
        </w:rPr>
        <w:t>no existe total precisión de las circunstancias en que la conducta debe realizarse</w:t>
      </w:r>
      <w:r w:rsidRPr="00B033A8">
        <w:rPr>
          <w:rFonts w:cs="Times New Roman"/>
        </w:rPr>
        <w:t>”</w:t>
      </w:r>
      <w:r w:rsidRPr="00B033A8">
        <w:rPr>
          <w:rStyle w:val="Refdenotaalpie"/>
          <w:rFonts w:cs="Times New Roman"/>
        </w:rPr>
        <w:footnoteReference w:id="135"/>
      </w:r>
      <w:r w:rsidRPr="00B033A8">
        <w:rPr>
          <w:rFonts w:cs="Times New Roman"/>
        </w:rPr>
        <w:t>. Como se expuso, todos</w:t>
      </w:r>
      <w:r w:rsidRPr="00B033A8">
        <w:rPr>
          <w:rFonts w:cs="Times New Roman"/>
          <w:lang w:val="es-ES_tradnl"/>
        </w:rPr>
        <w:t xml:space="preserve"> los tipos penales tienen un nivel de indeterminación que es connatural al lenguaje y el derecho. En este sentido, la apertura de las normas penales es, en realidad, una “cuestión de grados: hay tipos más cerrados y tipos más abiertos”</w:t>
      </w:r>
      <w:r w:rsidRPr="00B033A8">
        <w:rPr>
          <w:rStyle w:val="Refdenotaalpie"/>
          <w:rFonts w:cs="Times New Roman"/>
          <w:lang w:val="es-ES_tradnl"/>
        </w:rPr>
        <w:footnoteReference w:id="136"/>
      </w:r>
      <w:r w:rsidRPr="00B033A8">
        <w:rPr>
          <w:rFonts w:cs="Times New Roman"/>
          <w:lang w:val="es-ES_tradnl"/>
        </w:rPr>
        <w:t xml:space="preserve">. Por lo tanto, ha precisado la Corte, la calificación de un tipo penal como abierto </w:t>
      </w:r>
      <w:r w:rsidRPr="00B033A8">
        <w:rPr>
          <w:rFonts w:cs="Times New Roman"/>
          <w:i/>
          <w:iCs/>
          <w:lang w:val="es-ES_tradnl"/>
        </w:rPr>
        <w:t>strictu sensu</w:t>
      </w:r>
      <w:r w:rsidRPr="00B033A8">
        <w:rPr>
          <w:rFonts w:cs="Times New Roman"/>
          <w:lang w:val="es-ES_tradnl"/>
        </w:rPr>
        <w:t xml:space="preserve">, está reservada para aquellas conductas punibles que están tipificadas con un grado de indeterminación mayor al </w:t>
      </w:r>
      <w:r w:rsidR="00B62E63" w:rsidRPr="00B033A8">
        <w:rPr>
          <w:rFonts w:cs="Times New Roman"/>
          <w:lang w:val="es-ES_tradnl"/>
        </w:rPr>
        <w:t>que es connatural al lenguaje</w:t>
      </w:r>
      <w:r w:rsidRPr="00B033A8">
        <w:rPr>
          <w:rFonts w:cs="Times New Roman"/>
          <w:lang w:val="es-ES_tradnl"/>
        </w:rPr>
        <w:t xml:space="preserve">. </w:t>
      </w:r>
    </w:p>
    <w:p w14:paraId="2699E041" w14:textId="77777777" w:rsidR="004E3D83" w:rsidRPr="00B033A8" w:rsidRDefault="004E3D83" w:rsidP="00776641">
      <w:pPr>
        <w:tabs>
          <w:tab w:val="left" w:pos="567"/>
        </w:tabs>
        <w:rPr>
          <w:rFonts w:cs="Times New Roman"/>
        </w:rPr>
      </w:pPr>
    </w:p>
    <w:p w14:paraId="498A8E57" w14:textId="31D09942" w:rsidR="004E3D83" w:rsidRPr="00B033A8" w:rsidRDefault="004E3D83" w:rsidP="00776641">
      <w:pPr>
        <w:numPr>
          <w:ilvl w:val="0"/>
          <w:numId w:val="12"/>
        </w:numPr>
        <w:tabs>
          <w:tab w:val="left" w:pos="567"/>
        </w:tabs>
        <w:ind w:left="0" w:firstLine="0"/>
        <w:rPr>
          <w:rFonts w:cs="Times New Roman"/>
        </w:rPr>
      </w:pPr>
      <w:r w:rsidRPr="00B033A8">
        <w:rPr>
          <w:rFonts w:cs="Times New Roman"/>
        </w:rPr>
        <w:t xml:space="preserve">Los tipos penales abiertos son </w:t>
      </w:r>
      <w:r w:rsidRPr="00B033A8">
        <w:rPr>
          <w:rFonts w:cs="Times New Roman"/>
          <w:i/>
          <w:iCs/>
        </w:rPr>
        <w:t>prima facie</w:t>
      </w:r>
      <w:r w:rsidRPr="00B033A8">
        <w:rPr>
          <w:rFonts w:cs="Times New Roman"/>
        </w:rPr>
        <w:t xml:space="preserve"> constitucionales</w:t>
      </w:r>
      <w:r w:rsidRPr="00B033A8">
        <w:rPr>
          <w:rStyle w:val="Refdenotaalpie"/>
          <w:rFonts w:cs="Times New Roman"/>
        </w:rPr>
        <w:footnoteReference w:id="137"/>
      </w:r>
      <w:r w:rsidRPr="00B033A8">
        <w:rPr>
          <w:rFonts w:cs="Times New Roman"/>
        </w:rPr>
        <w:t xml:space="preserve">. </w:t>
      </w:r>
      <w:r w:rsidR="000A2FEE" w:rsidRPr="00B033A8">
        <w:rPr>
          <w:rFonts w:cs="Times New Roman"/>
        </w:rPr>
        <w:t xml:space="preserve">La </w:t>
      </w:r>
      <w:r w:rsidR="005A498F" w:rsidRPr="00B033A8">
        <w:rPr>
          <w:rFonts w:cs="Times New Roman"/>
        </w:rPr>
        <w:t>jurisprudencia constitucional</w:t>
      </w:r>
      <w:r w:rsidRPr="00B033A8">
        <w:rPr>
          <w:rFonts w:cs="Times New Roman"/>
        </w:rPr>
        <w:t xml:space="preserve"> ha </w:t>
      </w:r>
      <w:r w:rsidR="00BA5160" w:rsidRPr="00B033A8">
        <w:rPr>
          <w:rFonts w:cs="Times New Roman"/>
        </w:rPr>
        <w:t>reconocido</w:t>
      </w:r>
      <w:r w:rsidRPr="00B033A8">
        <w:rPr>
          <w:rFonts w:cs="Times New Roman"/>
        </w:rPr>
        <w:t xml:space="preserve"> que </w:t>
      </w:r>
      <w:r w:rsidRPr="00B033A8">
        <w:rPr>
          <w:rFonts w:cs="Times New Roman"/>
          <w:lang w:val="es-ES_tradnl"/>
        </w:rPr>
        <w:t xml:space="preserve">“no toda la realidad sujeta a regulación penal es susceptible de ser descrita en moldes </w:t>
      </w:r>
      <w:r w:rsidRPr="00B033A8">
        <w:rPr>
          <w:rFonts w:cs="Times New Roman"/>
          <w:iCs/>
          <w:lang w:val="es-ES_tradnl"/>
        </w:rPr>
        <w:t>legales,</w:t>
      </w:r>
      <w:r w:rsidRPr="00B033A8">
        <w:rPr>
          <w:rFonts w:cs="Times New Roman"/>
          <w:i/>
          <w:lang w:val="es-ES_tradnl"/>
        </w:rPr>
        <w:t xml:space="preserve"> </w:t>
      </w:r>
      <w:r w:rsidRPr="00B033A8">
        <w:rPr>
          <w:rFonts w:cs="Times New Roman"/>
          <w:iCs/>
          <w:lang w:val="es-ES_tradnl"/>
        </w:rPr>
        <w:t>cerrados</w:t>
      </w:r>
      <w:r w:rsidRPr="00B033A8">
        <w:rPr>
          <w:rFonts w:cs="Times New Roman"/>
          <w:i/>
          <w:lang w:val="es-ES_tradnl"/>
        </w:rPr>
        <w:t xml:space="preserve"> y </w:t>
      </w:r>
      <w:r w:rsidRPr="00B033A8">
        <w:rPr>
          <w:rFonts w:cs="Times New Roman"/>
          <w:iCs/>
          <w:lang w:val="es-ES_tradnl"/>
        </w:rPr>
        <w:t>completos</w:t>
      </w:r>
      <w:r w:rsidRPr="00B033A8">
        <w:rPr>
          <w:rFonts w:cs="Times New Roman"/>
          <w:lang w:val="es-ES_tradnl"/>
        </w:rPr>
        <w:t>”</w:t>
      </w:r>
      <w:r w:rsidRPr="00B033A8">
        <w:rPr>
          <w:rFonts w:cs="Times New Roman"/>
          <w:vertAlign w:val="superscript"/>
          <w:lang w:val="es-ES_tradnl"/>
        </w:rPr>
        <w:footnoteReference w:id="138"/>
      </w:r>
      <w:r w:rsidRPr="00B033A8">
        <w:rPr>
          <w:rFonts w:cs="Times New Roman"/>
          <w:lang w:val="es-ES_tradnl"/>
        </w:rPr>
        <w:t>. Esto implica que</w:t>
      </w:r>
      <w:r w:rsidRPr="00B033A8">
        <w:rPr>
          <w:rFonts w:cs="Times New Roman"/>
        </w:rPr>
        <w:t xml:space="preserve"> la exigencia constitucional de precisión y claridad en la tipificación de una conducta “sólo es posible hasta donde se lo permite su naturaleza”</w:t>
      </w:r>
      <w:r w:rsidRPr="00B033A8">
        <w:rPr>
          <w:rFonts w:cs="Times New Roman"/>
          <w:vertAlign w:val="superscript"/>
        </w:rPr>
        <w:footnoteReference w:id="139"/>
      </w:r>
      <w:r w:rsidRPr="00B033A8">
        <w:rPr>
          <w:rFonts w:cs="Times New Roman"/>
        </w:rPr>
        <w:t xml:space="preserve">. En este sentido, </w:t>
      </w:r>
      <w:r w:rsidR="005A498F" w:rsidRPr="00B033A8">
        <w:rPr>
          <w:rFonts w:cs="Times New Roman"/>
        </w:rPr>
        <w:t>este tribunal</w:t>
      </w:r>
      <w:r w:rsidRPr="00B033A8">
        <w:rPr>
          <w:rFonts w:cs="Times New Roman"/>
        </w:rPr>
        <w:t xml:space="preserve"> ha reiterado que los tipos penales abiertos se justifican cuando para el legislador es imposible describir la conducta punible de forma absolutamente inequívoca, perfecta y completa. Lo anterior, en atención a la naturaleza dinámica del bien jurídico que busca</w:t>
      </w:r>
      <w:r w:rsidR="005A498F" w:rsidRPr="00B033A8">
        <w:rPr>
          <w:rFonts w:cs="Times New Roman"/>
        </w:rPr>
        <w:t>n</w:t>
      </w:r>
      <w:r w:rsidRPr="00B033A8">
        <w:rPr>
          <w:rFonts w:cs="Times New Roman"/>
        </w:rPr>
        <w:t xml:space="preserve"> </w:t>
      </w:r>
      <w:r w:rsidRPr="00B033A8">
        <w:rPr>
          <w:rFonts w:cs="Times New Roman"/>
        </w:rPr>
        <w:lastRenderedPageBreak/>
        <w:t>proteger o “la multiplicidad de formas” que la conducta punible puede tomar en la realidad</w:t>
      </w:r>
      <w:r w:rsidRPr="00B033A8">
        <w:rPr>
          <w:rStyle w:val="Refdenotaalpie"/>
          <w:rFonts w:cs="Times New Roman"/>
        </w:rPr>
        <w:footnoteReference w:id="140"/>
      </w:r>
      <w:r w:rsidRPr="00B033A8">
        <w:rPr>
          <w:rFonts w:cs="Times New Roman"/>
        </w:rPr>
        <w:t>.</w:t>
      </w:r>
      <w:r w:rsidRPr="00B033A8">
        <w:rPr>
          <w:rFonts w:eastAsia="Times New Roman" w:cs="Times New Roman"/>
          <w:lang w:val="es-ES_tradnl" w:eastAsia="es-ES"/>
        </w:rPr>
        <w:t xml:space="preserve"> </w:t>
      </w:r>
    </w:p>
    <w:p w14:paraId="5B6FA7C7" w14:textId="77777777" w:rsidR="000A2FEE" w:rsidRPr="00B033A8" w:rsidRDefault="000A2FEE" w:rsidP="00776641">
      <w:pPr>
        <w:rPr>
          <w:rFonts w:cs="Times New Roman"/>
        </w:rPr>
      </w:pPr>
    </w:p>
    <w:p w14:paraId="63837B77" w14:textId="4C5882F5" w:rsidR="004E3D83" w:rsidRPr="00B033A8" w:rsidRDefault="00BA5160" w:rsidP="00776641">
      <w:pPr>
        <w:numPr>
          <w:ilvl w:val="0"/>
          <w:numId w:val="12"/>
        </w:numPr>
        <w:tabs>
          <w:tab w:val="left" w:pos="567"/>
        </w:tabs>
        <w:ind w:left="0" w:firstLine="0"/>
        <w:rPr>
          <w:rFonts w:cs="Times New Roman"/>
        </w:rPr>
      </w:pPr>
      <w:r w:rsidRPr="00B033A8">
        <w:rPr>
          <w:rFonts w:cs="Times New Roman"/>
        </w:rPr>
        <w:t>La</w:t>
      </w:r>
      <w:r w:rsidR="000A2FEE" w:rsidRPr="00B033A8">
        <w:rPr>
          <w:rFonts w:cs="Times New Roman"/>
        </w:rPr>
        <w:t xml:space="preserve"> Corte Constitucional ha </w:t>
      </w:r>
      <w:r w:rsidR="00A742C4" w:rsidRPr="00B033A8">
        <w:rPr>
          <w:rFonts w:cs="Times New Roman"/>
        </w:rPr>
        <w:t>reiterado, de forma pacífica y uniforme,</w:t>
      </w:r>
      <w:r w:rsidR="000A2FEE" w:rsidRPr="00B033A8">
        <w:rPr>
          <w:rFonts w:cs="Times New Roman"/>
        </w:rPr>
        <w:t xml:space="preserve"> que la</w:t>
      </w:r>
      <w:r w:rsidR="004E3D83" w:rsidRPr="00B033A8">
        <w:rPr>
          <w:rFonts w:cs="Times New Roman"/>
        </w:rPr>
        <w:t xml:space="preserve"> </w:t>
      </w:r>
      <w:r w:rsidR="004E3D83" w:rsidRPr="00B033A8">
        <w:rPr>
          <w:rFonts w:cs="Times New Roman"/>
          <w:lang w:val="es-ES"/>
        </w:rPr>
        <w:t>inconstitucionalidad de los tipos penales abiertos no deriva de “su indeterminación, sino de la imposibilidad de superarla satisfactoriamente”</w:t>
      </w:r>
      <w:r w:rsidR="004E3D83" w:rsidRPr="00B033A8">
        <w:rPr>
          <w:rStyle w:val="Refdenotaalpie"/>
          <w:rFonts w:cs="Times New Roman"/>
          <w:lang w:val="es-ES"/>
        </w:rPr>
        <w:footnoteReference w:id="141"/>
      </w:r>
      <w:r w:rsidR="004E3D83" w:rsidRPr="00B033A8">
        <w:rPr>
          <w:rFonts w:cs="Times New Roman"/>
          <w:lang w:val="es-ES"/>
        </w:rPr>
        <w:t xml:space="preserve">. </w:t>
      </w:r>
      <w:r w:rsidR="004E3D83" w:rsidRPr="00B033A8">
        <w:rPr>
          <w:rFonts w:cs="Times New Roman"/>
          <w:iCs/>
        </w:rPr>
        <w:t>La indeterminación es insuperable si el grado de vaguedad o ambigüedad es de tal entidad que, pese a los esfuerzos interpretativos, es imposible “</w:t>
      </w:r>
      <w:r w:rsidR="004E3D83" w:rsidRPr="00B033A8">
        <w:rPr>
          <w:rFonts w:cs="Times New Roman"/>
          <w:iCs/>
          <w:lang w:val="es-ES"/>
        </w:rPr>
        <w:t>individualizar los comportamientos prohibidos y sancionados”</w:t>
      </w:r>
      <w:r w:rsidR="004E3D83" w:rsidRPr="00B033A8">
        <w:rPr>
          <w:rFonts w:cs="Times New Roman"/>
          <w:vertAlign w:val="superscript"/>
          <w:lang w:val="es-ES"/>
        </w:rPr>
        <w:footnoteReference w:id="142"/>
      </w:r>
      <w:r w:rsidR="004E3D83" w:rsidRPr="00B033A8">
        <w:rPr>
          <w:rFonts w:cs="Times New Roman"/>
          <w:lang w:val="es-ES"/>
        </w:rPr>
        <w:t xml:space="preserve">. En contraste, </w:t>
      </w:r>
      <w:r w:rsidR="004E3D83" w:rsidRPr="00B033A8">
        <w:rPr>
          <w:rFonts w:cs="Times New Roman"/>
        </w:rPr>
        <w:t>la indeterminación será superable si</w:t>
      </w:r>
      <w:r w:rsidR="00AB6F09" w:rsidRPr="00B033A8">
        <w:rPr>
          <w:rFonts w:cs="Times New Roman"/>
        </w:rPr>
        <w:t xml:space="preserve"> es “moderada”</w:t>
      </w:r>
      <w:r w:rsidR="00780455" w:rsidRPr="00B033A8">
        <w:rPr>
          <w:rStyle w:val="Refdenotaalpie"/>
          <w:rFonts w:cs="Times New Roman"/>
        </w:rPr>
        <w:footnoteReference w:id="143"/>
      </w:r>
      <w:r w:rsidR="00AB6F09" w:rsidRPr="00B033A8">
        <w:rPr>
          <w:rFonts w:cs="Times New Roman"/>
        </w:rPr>
        <w:t>, lo que implica que,</w:t>
      </w:r>
      <w:r w:rsidR="004E3D83" w:rsidRPr="00B033A8">
        <w:rPr>
          <w:rFonts w:cs="Times New Roman"/>
        </w:rPr>
        <w:t xml:space="preserve"> </w:t>
      </w:r>
      <w:r w:rsidR="004E3D83" w:rsidRPr="00B033A8">
        <w:rPr>
          <w:rFonts w:cs="Times New Roman"/>
          <w:iCs/>
        </w:rPr>
        <w:t>mediante un ejercicio de actividad interpretativa ordinaria</w:t>
      </w:r>
      <w:r w:rsidR="00AB6F09" w:rsidRPr="00B033A8">
        <w:rPr>
          <w:rFonts w:cs="Times New Roman"/>
          <w:iCs/>
        </w:rPr>
        <w:t>,</w:t>
      </w:r>
      <w:r w:rsidR="004E3D83" w:rsidRPr="00B033A8">
        <w:rPr>
          <w:rFonts w:cs="Times New Roman"/>
          <w:iCs/>
        </w:rPr>
        <w:t xml:space="preserve"> es posible precisar el alcance de la conducta punible con un grado razonable de precisión</w:t>
      </w:r>
      <w:r w:rsidR="004E3D83" w:rsidRPr="00B033A8">
        <w:rPr>
          <w:rFonts w:cs="Times New Roman"/>
          <w:vertAlign w:val="superscript"/>
        </w:rPr>
        <w:footnoteReference w:id="144"/>
      </w:r>
      <w:r w:rsidR="004E3D83" w:rsidRPr="00B033A8">
        <w:rPr>
          <w:rFonts w:cs="Times New Roman"/>
          <w:iCs/>
        </w:rPr>
        <w:t>. Esto ocurre si existen referentes jurídico-normativos –</w:t>
      </w:r>
      <w:proofErr w:type="spellStart"/>
      <w:r w:rsidR="004E3D83" w:rsidRPr="00B033A8">
        <w:rPr>
          <w:rFonts w:cs="Times New Roman"/>
          <w:i/>
        </w:rPr>
        <w:t>vgr</w:t>
      </w:r>
      <w:proofErr w:type="spellEnd"/>
      <w:r w:rsidR="004E3D83" w:rsidRPr="00B033A8">
        <w:rPr>
          <w:rFonts w:cs="Times New Roman"/>
          <w:iCs/>
        </w:rPr>
        <w:t>., precedentes judiciales de órganos de cierre</w:t>
      </w:r>
      <w:r w:rsidR="004E3D83" w:rsidRPr="00B033A8">
        <w:rPr>
          <w:rFonts w:cs="Times New Roman"/>
          <w:vertAlign w:val="superscript"/>
        </w:rPr>
        <w:footnoteReference w:id="145"/>
      </w:r>
      <w:r w:rsidR="004E3D83" w:rsidRPr="00B033A8">
        <w:rPr>
          <w:rFonts w:cs="Times New Roman"/>
          <w:iCs/>
        </w:rPr>
        <w:t>, antecedentes legislativos</w:t>
      </w:r>
      <w:r w:rsidR="004E3D83" w:rsidRPr="00B033A8">
        <w:rPr>
          <w:rFonts w:cs="Times New Roman"/>
          <w:vertAlign w:val="superscript"/>
        </w:rPr>
        <w:footnoteReference w:id="146"/>
      </w:r>
      <w:r w:rsidR="004E3D83" w:rsidRPr="00B033A8">
        <w:rPr>
          <w:rFonts w:cs="Times New Roman"/>
          <w:iCs/>
        </w:rPr>
        <w:t>, “una larga tradición jurídica en el ordenamiento”</w:t>
      </w:r>
      <w:r w:rsidR="004E3D83" w:rsidRPr="00B033A8">
        <w:rPr>
          <w:rFonts w:cs="Times New Roman"/>
          <w:vertAlign w:val="superscript"/>
        </w:rPr>
        <w:footnoteReference w:id="147"/>
      </w:r>
      <w:r w:rsidR="004E3D83" w:rsidRPr="00B033A8">
        <w:rPr>
          <w:rFonts w:cs="Times New Roman"/>
          <w:iCs/>
        </w:rPr>
        <w:t xml:space="preserve"> o “las denominaciones de los capítulos y títulos del código penal”</w:t>
      </w:r>
      <w:r w:rsidR="004E3D83" w:rsidRPr="00B033A8">
        <w:rPr>
          <w:rFonts w:cs="Times New Roman"/>
          <w:vertAlign w:val="superscript"/>
        </w:rPr>
        <w:footnoteReference w:id="148"/>
      </w:r>
      <w:r w:rsidR="004E3D83" w:rsidRPr="00B033A8">
        <w:rPr>
          <w:rFonts w:cs="Times New Roman"/>
          <w:iCs/>
        </w:rPr>
        <w:t>– que permitan a un “destinatario promedio”</w:t>
      </w:r>
      <w:r w:rsidR="004E3D83" w:rsidRPr="00B033A8">
        <w:rPr>
          <w:rStyle w:val="Refdenotaalpie"/>
          <w:rFonts w:cs="Times New Roman"/>
          <w:iCs/>
        </w:rPr>
        <w:footnoteReference w:id="149"/>
      </w:r>
      <w:r w:rsidR="004E3D83" w:rsidRPr="00B033A8">
        <w:rPr>
          <w:rFonts w:cs="Times New Roman"/>
          <w:iCs/>
        </w:rPr>
        <w:t xml:space="preserve"> determinar el contenido y alcance de la conducta punible y la sanción</w:t>
      </w:r>
      <w:r w:rsidR="004E3D83" w:rsidRPr="00B033A8">
        <w:rPr>
          <w:rFonts w:cs="Times New Roman"/>
          <w:vertAlign w:val="superscript"/>
        </w:rPr>
        <w:footnoteReference w:id="150"/>
      </w:r>
      <w:r w:rsidR="004E3D83" w:rsidRPr="00B033A8">
        <w:rPr>
          <w:rFonts w:cs="Times New Roman"/>
          <w:iCs/>
        </w:rPr>
        <w:t xml:space="preserve">. </w:t>
      </w:r>
    </w:p>
    <w:p w14:paraId="46247898" w14:textId="77777777" w:rsidR="004E3D83" w:rsidRPr="00B033A8" w:rsidRDefault="004E3D83" w:rsidP="00776641">
      <w:pPr>
        <w:rPr>
          <w:rFonts w:cs="Times New Roman"/>
          <w:iCs/>
        </w:rPr>
      </w:pPr>
    </w:p>
    <w:p w14:paraId="00333C6F" w14:textId="7743F726" w:rsidR="004E3D83" w:rsidRPr="00B033A8" w:rsidRDefault="004E3D83" w:rsidP="00776641">
      <w:pPr>
        <w:numPr>
          <w:ilvl w:val="0"/>
          <w:numId w:val="12"/>
        </w:numPr>
        <w:tabs>
          <w:tab w:val="left" w:pos="567"/>
        </w:tabs>
        <w:ind w:left="0" w:firstLine="0"/>
        <w:rPr>
          <w:rFonts w:cs="Times New Roman"/>
        </w:rPr>
      </w:pPr>
      <w:r w:rsidRPr="00B033A8">
        <w:rPr>
          <w:rFonts w:cs="Times New Roman"/>
          <w:iCs/>
        </w:rPr>
        <w:t>El cumplimiento de estos requisitos tiene como finalidad proteger la libertad de los ciudadanos y garantizar el derecho fundamental al debido proceso. Por esta razón, la Corte ha enfatizado que para que la indeterminación se</w:t>
      </w:r>
      <w:r w:rsidR="00BD7031" w:rsidRPr="00B033A8">
        <w:rPr>
          <w:rFonts w:cs="Times New Roman"/>
          <w:iCs/>
        </w:rPr>
        <w:t>a</w:t>
      </w:r>
      <w:r w:rsidRPr="00B033A8">
        <w:rPr>
          <w:rFonts w:cs="Times New Roman"/>
          <w:iCs/>
        </w:rPr>
        <w:t xml:space="preserve"> superable, el resultado de la interpretación del tipo penal abierto debe asegurar a los destinatarios de la ley “un grado admisible de previsibilidad sobre las consecuencias jurídicas de sus comportamientos”</w:t>
      </w:r>
      <w:r w:rsidRPr="00B033A8">
        <w:rPr>
          <w:rFonts w:cs="Times New Roman"/>
          <w:vertAlign w:val="superscript"/>
        </w:rPr>
        <w:footnoteReference w:id="151"/>
      </w:r>
      <w:r w:rsidRPr="00B033A8">
        <w:rPr>
          <w:rFonts w:cs="Times New Roman"/>
        </w:rPr>
        <w:t>. La previsibilidad es, a su turno, una importante salvaguarda del derecho de defensa. Esto es así, dado que la razonable certeza sobre los elementos del tipo “es un presupuesto de la posibilidad de verificar</w:t>
      </w:r>
      <w:r w:rsidRPr="00B033A8">
        <w:rPr>
          <w:rFonts w:cs="Times New Roman"/>
          <w:i/>
          <w:iCs/>
        </w:rPr>
        <w:t> </w:t>
      </w:r>
      <w:r w:rsidRPr="00B033A8">
        <w:rPr>
          <w:rFonts w:cs="Times New Roman"/>
        </w:rPr>
        <w:t>(…)</w:t>
      </w:r>
      <w:r w:rsidRPr="00B033A8">
        <w:rPr>
          <w:rFonts w:cs="Times New Roman"/>
          <w:i/>
          <w:iCs/>
        </w:rPr>
        <w:t> </w:t>
      </w:r>
      <w:r w:rsidRPr="00B033A8">
        <w:rPr>
          <w:rFonts w:cs="Times New Roman"/>
        </w:rPr>
        <w:t>la existencia del hecho; de probar</w:t>
      </w:r>
      <w:r w:rsidRPr="00B033A8">
        <w:rPr>
          <w:rFonts w:cs="Times New Roman"/>
          <w:i/>
          <w:iCs/>
        </w:rPr>
        <w:t xml:space="preserve"> </w:t>
      </w:r>
      <w:r w:rsidRPr="00B033A8">
        <w:rPr>
          <w:rFonts w:cs="Times New Roman"/>
        </w:rPr>
        <w:t>y controvertir</w:t>
      </w:r>
      <w:r w:rsidRPr="00B033A8">
        <w:rPr>
          <w:rFonts w:cs="Times New Roman"/>
          <w:i/>
          <w:iCs/>
        </w:rPr>
        <w:t xml:space="preserve"> </w:t>
      </w:r>
      <w:r w:rsidRPr="00B033A8">
        <w:rPr>
          <w:rFonts w:cs="Times New Roman"/>
        </w:rPr>
        <w:t>las pruebas”</w:t>
      </w:r>
      <w:r w:rsidRPr="00B033A8">
        <w:rPr>
          <w:rStyle w:val="Refdenotaalpie"/>
          <w:rFonts w:cs="Times New Roman"/>
        </w:rPr>
        <w:footnoteReference w:id="152"/>
      </w:r>
      <w:r w:rsidRPr="00B033A8">
        <w:rPr>
          <w:rFonts w:cs="Times New Roman"/>
        </w:rPr>
        <w:t xml:space="preserve"> y de refutar la adecuación típica ante una eventual imputación o acusación por haber cometido el delito</w:t>
      </w:r>
      <w:r w:rsidRPr="00B033A8">
        <w:rPr>
          <w:rFonts w:cs="Times New Roman"/>
          <w:vertAlign w:val="superscript"/>
        </w:rPr>
        <w:footnoteReference w:id="153"/>
      </w:r>
      <w:r w:rsidRPr="00B033A8">
        <w:rPr>
          <w:rFonts w:cs="Times New Roman"/>
        </w:rPr>
        <w:t xml:space="preserve">. </w:t>
      </w:r>
    </w:p>
    <w:p w14:paraId="1D4F4B5A" w14:textId="77777777" w:rsidR="00604B8F" w:rsidRPr="00B033A8" w:rsidRDefault="00604B8F" w:rsidP="00776641">
      <w:pPr>
        <w:rPr>
          <w:rFonts w:cs="Times New Roman"/>
        </w:rPr>
      </w:pPr>
    </w:p>
    <w:p w14:paraId="70E4A0E8" w14:textId="37ACEADA" w:rsidR="00604B8F" w:rsidRPr="00B033A8" w:rsidRDefault="00604B8F" w:rsidP="00776641">
      <w:pPr>
        <w:pStyle w:val="Ttulo3"/>
        <w:numPr>
          <w:ilvl w:val="1"/>
          <w:numId w:val="15"/>
        </w:numPr>
        <w:rPr>
          <w:rFonts w:cs="Times New Roman"/>
        </w:rPr>
      </w:pPr>
      <w:r w:rsidRPr="00B033A8">
        <w:rPr>
          <w:rFonts w:cs="Times New Roman"/>
        </w:rPr>
        <w:lastRenderedPageBreak/>
        <w:t xml:space="preserve">Jurisprudencia relevante </w:t>
      </w:r>
    </w:p>
    <w:p w14:paraId="4CBCD4BC" w14:textId="77777777" w:rsidR="00604B8F" w:rsidRPr="00B033A8" w:rsidRDefault="00604B8F" w:rsidP="00776641">
      <w:pPr>
        <w:rPr>
          <w:rFonts w:cs="Times New Roman"/>
        </w:rPr>
      </w:pPr>
    </w:p>
    <w:p w14:paraId="0EBE09BC" w14:textId="58EA0F33" w:rsidR="004E3D83" w:rsidRPr="00B033A8" w:rsidRDefault="004E3D83" w:rsidP="00776641">
      <w:pPr>
        <w:numPr>
          <w:ilvl w:val="0"/>
          <w:numId w:val="12"/>
        </w:numPr>
        <w:tabs>
          <w:tab w:val="left" w:pos="851"/>
        </w:tabs>
        <w:ind w:left="0" w:firstLine="0"/>
        <w:rPr>
          <w:rFonts w:cs="Times New Roman"/>
        </w:rPr>
      </w:pPr>
      <w:r w:rsidRPr="00B033A8">
        <w:rPr>
          <w:rFonts w:cs="Times New Roman"/>
        </w:rPr>
        <w:t xml:space="preserve">La Corte Constitucional se ha pronunciado en numerosas ocasiones sobre la constitucionalidad de tipos penales en blanco y abiertos a la luz del principio de legalidad estricta. Por su relevancia y similitud con </w:t>
      </w:r>
      <w:r w:rsidR="001E2A27" w:rsidRPr="00B033A8">
        <w:rPr>
          <w:rFonts w:cs="Times New Roman"/>
        </w:rPr>
        <w:t>la demanda objeto de estudio</w:t>
      </w:r>
      <w:r w:rsidRPr="00B033A8">
        <w:rPr>
          <w:rFonts w:cs="Times New Roman"/>
        </w:rPr>
        <w:t>, la Sala resalta las sentencias C-917 de 2001, C-742 de 2012, C-084 de 2013, C-36</w:t>
      </w:r>
      <w:r w:rsidR="004032FD" w:rsidRPr="00B033A8">
        <w:rPr>
          <w:rFonts w:cs="Times New Roman"/>
        </w:rPr>
        <w:t>7</w:t>
      </w:r>
      <w:r w:rsidRPr="00B033A8">
        <w:rPr>
          <w:rFonts w:cs="Times New Roman"/>
        </w:rPr>
        <w:t xml:space="preserve"> de 2022</w:t>
      </w:r>
      <w:r w:rsidR="00E10DB9" w:rsidRPr="00B033A8">
        <w:rPr>
          <w:rFonts w:cs="Times New Roman"/>
        </w:rPr>
        <w:t xml:space="preserve">, </w:t>
      </w:r>
      <w:r w:rsidRPr="00B033A8">
        <w:rPr>
          <w:rFonts w:cs="Times New Roman"/>
        </w:rPr>
        <w:t>C-411 de 2022</w:t>
      </w:r>
      <w:r w:rsidR="00E10DB9" w:rsidRPr="00B033A8">
        <w:rPr>
          <w:rFonts w:cs="Times New Roman"/>
        </w:rPr>
        <w:t xml:space="preserve"> y C-021 de 2023</w:t>
      </w:r>
      <w:r w:rsidRPr="00B033A8">
        <w:rPr>
          <w:rFonts w:cs="Times New Roman"/>
        </w:rPr>
        <w:t>:</w:t>
      </w:r>
    </w:p>
    <w:p w14:paraId="2B883868" w14:textId="77777777" w:rsidR="004E3D83" w:rsidRPr="00B033A8" w:rsidRDefault="004E3D83" w:rsidP="00776641">
      <w:pPr>
        <w:tabs>
          <w:tab w:val="left" w:pos="851"/>
        </w:tabs>
        <w:rPr>
          <w:rFonts w:cs="Times New Roman"/>
        </w:rPr>
      </w:pPr>
    </w:p>
    <w:p w14:paraId="23E8AFB8" w14:textId="77777777" w:rsidR="004E3D83" w:rsidRPr="00B033A8" w:rsidRDefault="004E3D83" w:rsidP="00776641">
      <w:pPr>
        <w:numPr>
          <w:ilvl w:val="0"/>
          <w:numId w:val="12"/>
        </w:numPr>
        <w:tabs>
          <w:tab w:val="left" w:pos="851"/>
        </w:tabs>
        <w:ind w:left="0" w:firstLine="0"/>
        <w:rPr>
          <w:rFonts w:cs="Times New Roman"/>
          <w:u w:val="single"/>
        </w:rPr>
      </w:pPr>
      <w:r w:rsidRPr="00B033A8">
        <w:rPr>
          <w:rFonts w:cs="Times New Roman"/>
          <w:u w:val="single"/>
        </w:rPr>
        <w:t>Sentencia C-917 de 2001.</w:t>
      </w:r>
      <w:r w:rsidRPr="00B033A8">
        <w:rPr>
          <w:rFonts w:cs="Times New Roman"/>
        </w:rPr>
        <w:t xml:space="preserve"> La Corte Constitucional estudió una demanda en contra de, entre otros, el artículo 410 del Código Penal, el cual prevé el delito de celebración de contrato sin cumplimiento de los requisitos legales: </w:t>
      </w:r>
    </w:p>
    <w:p w14:paraId="30A9F9B1" w14:textId="77777777" w:rsidR="004E3D83" w:rsidRPr="00B033A8" w:rsidRDefault="004E3D83" w:rsidP="00776641">
      <w:pPr>
        <w:rPr>
          <w:rFonts w:cs="Times New Roman"/>
          <w:u w:val="single"/>
        </w:rPr>
      </w:pPr>
    </w:p>
    <w:p w14:paraId="03DCB899" w14:textId="0269BACB" w:rsidR="004E3D83" w:rsidRPr="00B033A8" w:rsidRDefault="004E3D83" w:rsidP="00776641">
      <w:pPr>
        <w:ind w:left="851" w:right="618"/>
        <w:rPr>
          <w:rFonts w:eastAsia="Times New Roman" w:cs="Times New Roman"/>
          <w:lang w:eastAsia="es-CO"/>
        </w:rPr>
      </w:pPr>
      <w:r w:rsidRPr="00B033A8">
        <w:rPr>
          <w:rFonts w:eastAsia="Times New Roman" w:cs="Times New Roman"/>
          <w:lang w:eastAsia="es-CO"/>
        </w:rPr>
        <w:t>“</w:t>
      </w:r>
      <w:r w:rsidRPr="00B033A8">
        <w:rPr>
          <w:rFonts w:eastAsia="Times New Roman" w:cs="Times New Roman"/>
          <w:b/>
          <w:bCs/>
          <w:lang w:eastAsia="es-CO"/>
        </w:rPr>
        <w:t>Artículo 410. Contrato sin cumplimiento de requisitos legales</w:t>
      </w:r>
      <w:r w:rsidRPr="00B033A8">
        <w:rPr>
          <w:rFonts w:eastAsia="Times New Roman" w:cs="Times New Roman"/>
          <w:lang w:eastAsia="es-CO"/>
        </w:rPr>
        <w:t xml:space="preserve">. El servidor público que por razón del ejercicio de sus funciones tramite contrato </w:t>
      </w:r>
      <w:r w:rsidRPr="00B033A8">
        <w:rPr>
          <w:rFonts w:eastAsia="Times New Roman" w:cs="Times New Roman"/>
          <w:i/>
          <w:iCs/>
          <w:u w:val="single"/>
          <w:lang w:eastAsia="es-CO"/>
        </w:rPr>
        <w:t>sin observancia de los requisitos legales esenciales o lo celebre o liquide sin verificar el cumplimiento de los mismos</w:t>
      </w:r>
      <w:r w:rsidRPr="00B033A8">
        <w:rPr>
          <w:rFonts w:eastAsia="Times New Roman" w:cs="Times New Roman"/>
          <w:lang w:eastAsia="es-CO"/>
        </w:rPr>
        <w:t>, incurrirá en prisión de cuatro (4) a doce (12) años, multa de cincuenta (50) a doscientos (200) salarios mínimos legales mensuales vigentes, e inhabilitación para el ejercicio de derechos y funciones públicas de cinco (5) a doce (12) años” (subrayado fuera del texto).</w:t>
      </w:r>
    </w:p>
    <w:p w14:paraId="45A26906" w14:textId="77777777" w:rsidR="004E3D83" w:rsidRPr="00B033A8" w:rsidRDefault="004E3D83" w:rsidP="00776641">
      <w:pPr>
        <w:ind w:right="618"/>
        <w:rPr>
          <w:rFonts w:eastAsia="Times New Roman" w:cs="Times New Roman"/>
          <w:szCs w:val="28"/>
          <w:lang w:eastAsia="es-CO"/>
        </w:rPr>
      </w:pPr>
    </w:p>
    <w:p w14:paraId="02A3E1CD" w14:textId="28170C08" w:rsidR="004E3D83" w:rsidRPr="00B033A8" w:rsidRDefault="004E3D83" w:rsidP="00776641">
      <w:pPr>
        <w:numPr>
          <w:ilvl w:val="0"/>
          <w:numId w:val="12"/>
        </w:numPr>
        <w:tabs>
          <w:tab w:val="left" w:pos="851"/>
        </w:tabs>
        <w:ind w:left="0" w:firstLine="0"/>
        <w:rPr>
          <w:rFonts w:cs="Times New Roman"/>
        </w:rPr>
      </w:pPr>
      <w:r w:rsidRPr="00B033A8">
        <w:rPr>
          <w:rFonts w:cs="Times New Roman"/>
        </w:rPr>
        <w:t xml:space="preserve">El demandante argumentaba que el tipo penal desconocía el principio de legalidad estricta </w:t>
      </w:r>
      <w:r w:rsidR="00B93864" w:rsidRPr="00B033A8">
        <w:rPr>
          <w:rFonts w:cs="Times New Roman"/>
        </w:rPr>
        <w:t xml:space="preserve">o </w:t>
      </w:r>
      <w:r w:rsidRPr="00B033A8">
        <w:rPr>
          <w:rFonts w:cs="Times New Roman"/>
        </w:rPr>
        <w:t>tipicidad</w:t>
      </w:r>
      <w:r w:rsidR="00B93864" w:rsidRPr="00B033A8">
        <w:rPr>
          <w:rFonts w:cs="Times New Roman"/>
        </w:rPr>
        <w:t xml:space="preserve">, </w:t>
      </w:r>
      <w:r w:rsidRPr="00B033A8">
        <w:rPr>
          <w:rFonts w:cs="Times New Roman"/>
        </w:rPr>
        <w:t>debido a que la expresión “sin observancia de los requisitos legales esenciales” era vaga e indeterminada. A su juicio, si bien la Ley 80 de 1993 “consagra las reglas y principios a los que el ente estatal debe atenerse, (…) no establece un procedimiento formal riguroso, sino pautas generales”</w:t>
      </w:r>
      <w:r w:rsidR="00B93864" w:rsidRPr="00B033A8">
        <w:rPr>
          <w:rFonts w:cs="Times New Roman"/>
        </w:rPr>
        <w:t xml:space="preserve">. </w:t>
      </w:r>
      <w:r w:rsidRPr="00B033A8">
        <w:rPr>
          <w:rFonts w:cs="Times New Roman"/>
        </w:rPr>
        <w:t>Estas pautas</w:t>
      </w:r>
      <w:r w:rsidR="00B93864" w:rsidRPr="00B033A8">
        <w:rPr>
          <w:rFonts w:cs="Times New Roman"/>
        </w:rPr>
        <w:t>, señalaba el demandante,</w:t>
      </w:r>
      <w:r w:rsidRPr="00B033A8">
        <w:rPr>
          <w:rFonts w:cs="Times New Roman"/>
        </w:rPr>
        <w:t xml:space="preserve"> no permitían diferencia</w:t>
      </w:r>
      <w:r w:rsidR="00B93864" w:rsidRPr="00B033A8">
        <w:rPr>
          <w:rFonts w:cs="Times New Roman"/>
        </w:rPr>
        <w:t>r</w:t>
      </w:r>
      <w:r w:rsidRPr="00B033A8">
        <w:rPr>
          <w:rFonts w:cs="Times New Roman"/>
        </w:rPr>
        <w:t xml:space="preserve"> los requisitos esenciales de los meramente accidentales o naturales. </w:t>
      </w:r>
    </w:p>
    <w:p w14:paraId="641A280C" w14:textId="77777777" w:rsidR="004E3D83" w:rsidRPr="00B033A8" w:rsidRDefault="004E3D83" w:rsidP="00776641">
      <w:pPr>
        <w:tabs>
          <w:tab w:val="left" w:pos="851"/>
        </w:tabs>
        <w:rPr>
          <w:rFonts w:cs="Times New Roman"/>
        </w:rPr>
      </w:pPr>
    </w:p>
    <w:p w14:paraId="5A7F4581" w14:textId="77777777" w:rsidR="004E3D83" w:rsidRPr="00B033A8" w:rsidRDefault="004E3D83" w:rsidP="00776641">
      <w:pPr>
        <w:numPr>
          <w:ilvl w:val="0"/>
          <w:numId w:val="12"/>
        </w:numPr>
        <w:tabs>
          <w:tab w:val="left" w:pos="851"/>
        </w:tabs>
        <w:ind w:left="0" w:firstLine="0"/>
        <w:rPr>
          <w:rFonts w:cs="Times New Roman"/>
        </w:rPr>
      </w:pPr>
      <w:r w:rsidRPr="00B033A8">
        <w:rPr>
          <w:rFonts w:cs="Times New Roman"/>
        </w:rPr>
        <w:t>La Corte Constitucional consideró que la norma demandada era exequible y no vulneraba el principio de legalidad estricta. Esto, porque la indeterminación semántica de la expresión “requisitos legales esenciales” era superable mediante la remisión “</w:t>
      </w:r>
      <w:r w:rsidRPr="00B033A8">
        <w:rPr>
          <w:rFonts w:eastAsia="Times New Roman" w:cs="Times New Roman"/>
          <w:szCs w:val="28"/>
          <w:lang w:eastAsia="es-CO"/>
        </w:rPr>
        <w:t>a la norma legal vigente, en cuanto al establecimiento de tales requisitos en cada uno de los distintos tipos de contrato”. De esta forma, señaló la Corte, “se integra la normatividad en materia vigente para la aplicación de la conducta considerada por la ley como delito, con lo cual, el procesado tiene conocimiento de cuáles son los requisitos legales esenciales de tales contratos, sabe que su inobservancia constituye una conducta punible, ya sea al tramitarlos o en la celebración o al liquidarlos, y puede ejercer a plenitud su derecho de defensa, con lo que se da estricto cumplimiento a los artículos 28 y 29 de la Constitución”.</w:t>
      </w:r>
    </w:p>
    <w:p w14:paraId="5F9A3AFB" w14:textId="77777777" w:rsidR="004E3D83" w:rsidRPr="00B033A8" w:rsidRDefault="004E3D83" w:rsidP="00776641">
      <w:pPr>
        <w:tabs>
          <w:tab w:val="left" w:pos="851"/>
        </w:tabs>
        <w:rPr>
          <w:rFonts w:cs="Times New Roman"/>
          <w:u w:val="single"/>
        </w:rPr>
      </w:pPr>
    </w:p>
    <w:p w14:paraId="3AD59636" w14:textId="3870AFB0" w:rsidR="004E3D83" w:rsidRPr="00B033A8" w:rsidRDefault="004E3D83" w:rsidP="00776641">
      <w:pPr>
        <w:numPr>
          <w:ilvl w:val="0"/>
          <w:numId w:val="12"/>
        </w:numPr>
        <w:tabs>
          <w:tab w:val="left" w:pos="851"/>
        </w:tabs>
        <w:ind w:left="0" w:firstLine="0"/>
        <w:rPr>
          <w:rFonts w:cs="Times New Roman"/>
          <w:u w:val="single"/>
        </w:rPr>
      </w:pPr>
      <w:r w:rsidRPr="00B033A8">
        <w:rPr>
          <w:rFonts w:cs="Times New Roman"/>
          <w:u w:val="single"/>
        </w:rPr>
        <w:t>Sentencia C-742 de 2012</w:t>
      </w:r>
      <w:r w:rsidRPr="00B033A8">
        <w:rPr>
          <w:rFonts w:cs="Times New Roman"/>
        </w:rPr>
        <w:t>. La Corte Constitucional estudió una demanda de constitucionalidad en contra de, entre otr</w:t>
      </w:r>
      <w:r w:rsidR="002F4AA9" w:rsidRPr="00B033A8">
        <w:rPr>
          <w:rFonts w:cs="Times New Roman"/>
        </w:rPr>
        <w:t>o</w:t>
      </w:r>
      <w:r w:rsidRPr="00B033A8">
        <w:rPr>
          <w:rFonts w:cs="Times New Roman"/>
        </w:rPr>
        <w:t xml:space="preserve">s, el artículo 44 de la Ley 1453 de 2011, el cual </w:t>
      </w:r>
      <w:r w:rsidR="00BC28BD" w:rsidRPr="00B033A8">
        <w:rPr>
          <w:rFonts w:cs="Times New Roman"/>
        </w:rPr>
        <w:t>tipificó</w:t>
      </w:r>
      <w:r w:rsidRPr="00B033A8">
        <w:rPr>
          <w:rFonts w:cs="Times New Roman"/>
        </w:rPr>
        <w:t xml:space="preserve"> el delito de obstrucción a vías públicas:</w:t>
      </w:r>
      <w:r w:rsidRPr="00B033A8">
        <w:rPr>
          <w:rFonts w:cs="Times New Roman"/>
          <w:u w:val="single"/>
        </w:rPr>
        <w:t xml:space="preserve"> </w:t>
      </w:r>
    </w:p>
    <w:p w14:paraId="2EF06617" w14:textId="77777777" w:rsidR="004E3D83" w:rsidRPr="00B033A8" w:rsidRDefault="004E3D83" w:rsidP="00776641">
      <w:pPr>
        <w:ind w:right="567"/>
        <w:rPr>
          <w:rFonts w:cs="Times New Roman"/>
          <w:u w:val="single"/>
        </w:rPr>
      </w:pPr>
    </w:p>
    <w:p w14:paraId="57895D57" w14:textId="77777777" w:rsidR="004E3D83" w:rsidRPr="00B033A8" w:rsidRDefault="004E3D83" w:rsidP="00776641">
      <w:pPr>
        <w:pStyle w:val="Prrafodelista"/>
        <w:spacing w:line="240" w:lineRule="auto"/>
        <w:ind w:right="567"/>
        <w:rPr>
          <w:rFonts w:eastAsia="Times New Roman"/>
          <w:szCs w:val="22"/>
          <w:lang w:eastAsia="es-CO"/>
        </w:rPr>
      </w:pPr>
      <w:r w:rsidRPr="00B033A8">
        <w:rPr>
          <w:rFonts w:eastAsia="Times New Roman"/>
          <w:szCs w:val="22"/>
          <w:lang w:eastAsia="es-CO"/>
        </w:rPr>
        <w:lastRenderedPageBreak/>
        <w:t>“A</w:t>
      </w:r>
      <w:r w:rsidRPr="00B033A8">
        <w:rPr>
          <w:rFonts w:eastAsia="Times New Roman"/>
          <w:lang w:eastAsia="es-CO"/>
        </w:rPr>
        <w:t>rtículo</w:t>
      </w:r>
      <w:r w:rsidRPr="00B033A8">
        <w:rPr>
          <w:rFonts w:eastAsia="Times New Roman"/>
          <w:szCs w:val="22"/>
          <w:lang w:eastAsia="es-CO"/>
        </w:rPr>
        <w:t xml:space="preserve"> 44. La Ley 599 de 2000 </w:t>
      </w:r>
      <w:r w:rsidRPr="00B033A8">
        <w:rPr>
          <w:szCs w:val="22"/>
        </w:rPr>
        <w:t>tendrá</w:t>
      </w:r>
      <w:r w:rsidRPr="00B033A8">
        <w:rPr>
          <w:rFonts w:eastAsia="Times New Roman"/>
          <w:szCs w:val="22"/>
          <w:lang w:eastAsia="es-CO"/>
        </w:rPr>
        <w:t xml:space="preserve"> un artículo del siguiente tenor:</w:t>
      </w:r>
    </w:p>
    <w:p w14:paraId="4BCEBC67" w14:textId="77777777" w:rsidR="004E3D83" w:rsidRPr="00B033A8" w:rsidRDefault="004E3D83" w:rsidP="00776641">
      <w:pPr>
        <w:pStyle w:val="Prrafodelista"/>
        <w:spacing w:line="240" w:lineRule="auto"/>
        <w:ind w:right="567"/>
        <w:rPr>
          <w:rFonts w:eastAsia="Times New Roman"/>
          <w:szCs w:val="22"/>
          <w:lang w:eastAsia="es-CO"/>
        </w:rPr>
      </w:pPr>
    </w:p>
    <w:p w14:paraId="551EA78A" w14:textId="451F0539" w:rsidR="004E3D83" w:rsidRPr="00B033A8" w:rsidRDefault="004E3D83" w:rsidP="00776641">
      <w:pPr>
        <w:pStyle w:val="Prrafodelista"/>
        <w:spacing w:line="240" w:lineRule="auto"/>
        <w:ind w:right="567"/>
        <w:rPr>
          <w:rFonts w:eastAsia="Times New Roman"/>
          <w:szCs w:val="22"/>
          <w:lang w:eastAsia="es-CO"/>
        </w:rPr>
      </w:pPr>
      <w:r w:rsidRPr="00B033A8">
        <w:rPr>
          <w:rFonts w:eastAsia="Times New Roman"/>
          <w:b/>
          <w:bCs/>
          <w:szCs w:val="22"/>
          <w:lang w:eastAsia="es-CO"/>
        </w:rPr>
        <w:t>Artículo 353A. Obstrucción a vías públicas que afecten el orden público</w:t>
      </w:r>
      <w:r w:rsidRPr="00B033A8">
        <w:rPr>
          <w:rFonts w:eastAsia="Times New Roman"/>
          <w:szCs w:val="22"/>
          <w:lang w:eastAsia="es-CO"/>
        </w:rPr>
        <w:t xml:space="preserve">. El que por </w:t>
      </w:r>
      <w:r w:rsidRPr="00B033A8">
        <w:rPr>
          <w:rFonts w:eastAsia="Times New Roman"/>
          <w:i/>
          <w:iCs/>
          <w:szCs w:val="22"/>
          <w:u w:val="single"/>
          <w:lang w:eastAsia="es-CO"/>
        </w:rPr>
        <w:t>medios ilícitos</w:t>
      </w:r>
      <w:r w:rsidRPr="00B033A8">
        <w:rPr>
          <w:rFonts w:eastAsia="Times New Roman"/>
          <w:szCs w:val="22"/>
          <w:lang w:eastAsia="es-CO"/>
        </w:rPr>
        <w:t xml:space="preserve"> incite, dirija, constriña o proporcione los medios para obstaculizar de manera temporal o permanente, selectiva o general, las vías o la infraestructura de transporte de tal manera que atente contra la vida humana, la salud pública, la seguridad alimentaria, el medio ambiente o el derecho al trabajo, incurrirá en prisión de veinticuatro (24) a cuarenta y ocho meses (48) y multa de trece (13) a setenta y cinco (75) salarios mínimos legales mensuales vigentes y pérdida de inhabilidad de derechos y funciones públicas por el mismo término de la pena de prisión”</w:t>
      </w:r>
      <w:r w:rsidR="00FE6E90" w:rsidRPr="00B033A8">
        <w:rPr>
          <w:rFonts w:eastAsia="Times New Roman"/>
          <w:lang w:eastAsia="es-CO"/>
        </w:rPr>
        <w:t xml:space="preserve"> (subrayado fuera del texto)</w:t>
      </w:r>
      <w:r w:rsidRPr="00B033A8">
        <w:rPr>
          <w:rFonts w:eastAsia="Times New Roman"/>
          <w:szCs w:val="22"/>
          <w:lang w:eastAsia="es-CO"/>
        </w:rPr>
        <w:t>.</w:t>
      </w:r>
    </w:p>
    <w:p w14:paraId="140E3719" w14:textId="77777777" w:rsidR="004E3D83" w:rsidRPr="00B033A8" w:rsidRDefault="004E3D83" w:rsidP="00776641">
      <w:pPr>
        <w:rPr>
          <w:rFonts w:eastAsia="Times New Roman" w:cs="Times New Roman"/>
          <w:lang w:eastAsia="es-CO"/>
        </w:rPr>
      </w:pPr>
    </w:p>
    <w:p w14:paraId="00646505" w14:textId="68EE265D" w:rsidR="004E3D83" w:rsidRPr="00B033A8" w:rsidRDefault="004E3D83" w:rsidP="00776641">
      <w:pPr>
        <w:numPr>
          <w:ilvl w:val="0"/>
          <w:numId w:val="12"/>
        </w:numPr>
        <w:tabs>
          <w:tab w:val="left" w:pos="851"/>
        </w:tabs>
        <w:ind w:left="0" w:firstLine="0"/>
        <w:rPr>
          <w:rFonts w:cs="Times New Roman"/>
        </w:rPr>
      </w:pPr>
      <w:r w:rsidRPr="00B033A8">
        <w:rPr>
          <w:rFonts w:cs="Times New Roman"/>
        </w:rPr>
        <w:t>El demandante sostenía que, al tipificar la conducta, el legislador había desconocido el principio de legalidad estricta o tipicidad puesto que la indeterminación de, entre otras, la expresión “medios ilícitos”</w:t>
      </w:r>
      <w:r w:rsidR="00F3668F" w:rsidRPr="00B033A8">
        <w:rPr>
          <w:rFonts w:cs="Times New Roman"/>
        </w:rPr>
        <w:t xml:space="preserve">, </w:t>
      </w:r>
      <w:r w:rsidRPr="00B033A8">
        <w:rPr>
          <w:rFonts w:cs="Times New Roman"/>
        </w:rPr>
        <w:t>permit</w:t>
      </w:r>
      <w:r w:rsidR="00F3668F" w:rsidRPr="00B033A8">
        <w:rPr>
          <w:rFonts w:cs="Times New Roman"/>
        </w:rPr>
        <w:t>ía</w:t>
      </w:r>
      <w:r w:rsidRPr="00B033A8">
        <w:rPr>
          <w:rFonts w:cs="Times New Roman"/>
        </w:rPr>
        <w:t xml:space="preserve"> que la norma </w:t>
      </w:r>
      <w:r w:rsidR="00C01C91" w:rsidRPr="00B033A8">
        <w:rPr>
          <w:rFonts w:cs="Times New Roman"/>
        </w:rPr>
        <w:t>fuera</w:t>
      </w:r>
      <w:r w:rsidRPr="00B033A8">
        <w:rPr>
          <w:rFonts w:cs="Times New Roman"/>
        </w:rPr>
        <w:t xml:space="preserve"> interpretada de manera restrictiva en perjuicio del derecho a la protesta social. La Corte Constitucional, encontró que el cargo no </w:t>
      </w:r>
      <w:r w:rsidR="00F3668F" w:rsidRPr="00B033A8">
        <w:rPr>
          <w:rFonts w:cs="Times New Roman"/>
        </w:rPr>
        <w:t>prosperaba</w:t>
      </w:r>
      <w:r w:rsidRPr="00B033A8">
        <w:rPr>
          <w:rFonts w:cs="Times New Roman"/>
        </w:rPr>
        <w:t xml:space="preserve"> porque, pese a que la expresión “medios ilícitos” tenía una relativa vaguedad, en el contexto de</w:t>
      </w:r>
      <w:r w:rsidR="008C513F" w:rsidRPr="00B033A8">
        <w:rPr>
          <w:rFonts w:cs="Times New Roman"/>
        </w:rPr>
        <w:t xml:space="preserve">l tipo penal </w:t>
      </w:r>
      <w:r w:rsidRPr="00B033A8">
        <w:rPr>
          <w:rFonts w:cs="Times New Roman"/>
        </w:rPr>
        <w:t>“su sentido es lo suficientemente claro”</w:t>
      </w:r>
      <w:r w:rsidR="00C01C91" w:rsidRPr="00B033A8">
        <w:rPr>
          <w:rFonts w:cs="Times New Roman"/>
        </w:rPr>
        <w:t>. Al respecto, señaló</w:t>
      </w:r>
      <w:r w:rsidR="00861BC0" w:rsidRPr="00B033A8">
        <w:rPr>
          <w:rFonts w:cs="Times New Roman"/>
        </w:rPr>
        <w:t xml:space="preserve"> lo siguiente: </w:t>
      </w:r>
    </w:p>
    <w:p w14:paraId="2684275E" w14:textId="77777777" w:rsidR="004E3D83" w:rsidRPr="00B033A8" w:rsidRDefault="004E3D83" w:rsidP="00776641">
      <w:pPr>
        <w:tabs>
          <w:tab w:val="left" w:pos="851"/>
        </w:tabs>
        <w:rPr>
          <w:rFonts w:cs="Times New Roman"/>
        </w:rPr>
      </w:pPr>
    </w:p>
    <w:p w14:paraId="36E6FD9E" w14:textId="3591DEF6" w:rsidR="004E3D83" w:rsidRPr="00B033A8" w:rsidRDefault="004E3D83" w:rsidP="00776641">
      <w:pPr>
        <w:tabs>
          <w:tab w:val="left" w:pos="851"/>
        </w:tabs>
        <w:ind w:left="737" w:right="454"/>
        <w:rPr>
          <w:rFonts w:cs="Times New Roman"/>
        </w:rPr>
      </w:pPr>
      <w:r w:rsidRPr="00B033A8">
        <w:rPr>
          <w:rFonts w:cs="Times New Roman"/>
        </w:rPr>
        <w:t>“</w:t>
      </w:r>
      <w:r w:rsidR="00861BC0" w:rsidRPr="00B033A8">
        <w:rPr>
          <w:rFonts w:cs="Times New Roman"/>
        </w:rPr>
        <w:t>[N]</w:t>
      </w:r>
      <w:proofErr w:type="spellStart"/>
      <w:r w:rsidRPr="00B033A8">
        <w:rPr>
          <w:rFonts w:cs="Times New Roman"/>
        </w:rPr>
        <w:t>ótese</w:t>
      </w:r>
      <w:proofErr w:type="spellEnd"/>
      <w:r w:rsidRPr="00B033A8">
        <w:rPr>
          <w:rFonts w:cs="Times New Roman"/>
        </w:rPr>
        <w:t xml:space="preserve"> que, según el precepto, es indispensable que sea “</w:t>
      </w:r>
      <w:r w:rsidRPr="00B033A8">
        <w:rPr>
          <w:rFonts w:cs="Times New Roman"/>
          <w:i/>
          <w:iCs/>
        </w:rPr>
        <w:t>por medios ilícitos</w:t>
      </w:r>
      <w:r w:rsidRPr="00B033A8">
        <w:rPr>
          <w:rFonts w:cs="Times New Roman"/>
        </w:rPr>
        <w:t>” que la persona “</w:t>
      </w:r>
      <w:r w:rsidRPr="00B033A8">
        <w:rPr>
          <w:rFonts w:cs="Times New Roman"/>
          <w:i/>
          <w:iCs/>
        </w:rPr>
        <w:t>incite, dirija, constriña o proporcione los medios</w:t>
      </w:r>
      <w:r w:rsidRPr="00B033A8">
        <w:rPr>
          <w:rFonts w:cs="Times New Roman"/>
        </w:rPr>
        <w:t>” para obstaculizar las vías o la infraestructura de transporte. En ciertos casos muy puntuales quizás podría haber debates en torno a si se dieron estos elementos, pero en términos generales y abstractos no hay ningún exceso de imprecisión en esas palabras, y por ejemplo sería posible advertir cuándo una persona constriñe a otra por medios ilícitos para que obstaculice una vía pública, o cuando la incita. Los verbos cuestionados tienen entonces un sentido gramatical lo suficientemente comprensible, en el control abstracto. (…)</w:t>
      </w:r>
    </w:p>
    <w:p w14:paraId="569C6EAA" w14:textId="77777777" w:rsidR="004E3D83" w:rsidRPr="00B033A8" w:rsidRDefault="004E3D83" w:rsidP="00776641">
      <w:pPr>
        <w:tabs>
          <w:tab w:val="left" w:pos="851"/>
        </w:tabs>
        <w:ind w:left="737" w:right="454"/>
        <w:rPr>
          <w:rFonts w:cs="Times New Roman"/>
        </w:rPr>
      </w:pPr>
      <w:r w:rsidRPr="00B033A8">
        <w:rPr>
          <w:rFonts w:cs="Times New Roman"/>
        </w:rPr>
        <w:t> </w:t>
      </w:r>
    </w:p>
    <w:p w14:paraId="4A4E488C" w14:textId="6235C923" w:rsidR="004E3D83" w:rsidRPr="00B033A8" w:rsidRDefault="004E3D83" w:rsidP="00776641">
      <w:pPr>
        <w:tabs>
          <w:tab w:val="left" w:pos="851"/>
        </w:tabs>
        <w:ind w:left="737" w:right="454"/>
        <w:rPr>
          <w:rFonts w:cs="Times New Roman"/>
        </w:rPr>
      </w:pPr>
      <w:r w:rsidRPr="00B033A8">
        <w:rPr>
          <w:rFonts w:cs="Times New Roman"/>
        </w:rPr>
        <w:t>La expresión “</w:t>
      </w:r>
      <w:r w:rsidRPr="00B033A8">
        <w:rPr>
          <w:rFonts w:cs="Times New Roman"/>
          <w:i/>
          <w:iCs/>
        </w:rPr>
        <w:t>por medios ilícitos</w:t>
      </w:r>
      <w:r w:rsidRPr="00B033A8">
        <w:rPr>
          <w:rFonts w:cs="Times New Roman"/>
        </w:rPr>
        <w:t>”, que el ciudadano califica de demasiado indeterminada, no presenta una oscuridad insuperable.  En efecto, cuando el tipo requiere un actuar “</w:t>
      </w:r>
      <w:r w:rsidRPr="00B033A8">
        <w:rPr>
          <w:rFonts w:cs="Times New Roman"/>
          <w:i/>
          <w:iCs/>
        </w:rPr>
        <w:t>por medios ilícitos</w:t>
      </w:r>
      <w:r w:rsidRPr="00B033A8">
        <w:rPr>
          <w:rFonts w:cs="Times New Roman"/>
        </w:rPr>
        <w:t xml:space="preserve">”, es razonable entender que establece como condición necesaria para la tipicidad de la conducta, que el agente logre la incitación, dirección, constreñimiento, entre otros, como resultado directo de un comportamiento de suyo ilícito. Y en la teoría jurídica de los sistemas de derecho civil, aunque puede haber desacuerdos en aspectos marginales sobre la materia, hay suficiente claridad en torno a que comportamientos ilícitos son aquellos actos que reúnen al </w:t>
      </w:r>
      <w:r w:rsidRPr="00B033A8">
        <w:rPr>
          <w:rFonts w:cs="Times New Roman"/>
        </w:rPr>
        <w:lastRenderedPageBreak/>
        <w:t>menos dos propiedades: que efectivamente están prohibidos, y a los cuales se les enlaza una penalidad coherente con la Constitución”.</w:t>
      </w:r>
    </w:p>
    <w:p w14:paraId="38420611" w14:textId="77777777" w:rsidR="004E3D83" w:rsidRPr="00B033A8" w:rsidRDefault="004E3D83" w:rsidP="00776641">
      <w:pPr>
        <w:rPr>
          <w:rFonts w:cs="Times New Roman"/>
          <w:u w:val="single"/>
        </w:rPr>
      </w:pPr>
    </w:p>
    <w:p w14:paraId="57EF8088" w14:textId="301A53BD" w:rsidR="004E3D83" w:rsidRPr="00B033A8" w:rsidRDefault="004E3D83" w:rsidP="00776641">
      <w:pPr>
        <w:numPr>
          <w:ilvl w:val="0"/>
          <w:numId w:val="12"/>
        </w:numPr>
        <w:tabs>
          <w:tab w:val="left" w:pos="851"/>
        </w:tabs>
        <w:ind w:left="0" w:firstLine="0"/>
        <w:rPr>
          <w:rFonts w:cs="Times New Roman"/>
          <w:u w:val="single"/>
        </w:rPr>
      </w:pPr>
      <w:r w:rsidRPr="00B033A8">
        <w:rPr>
          <w:rFonts w:cs="Times New Roman"/>
          <w:u w:val="single"/>
        </w:rPr>
        <w:t>Sentencia C-084 de 2013</w:t>
      </w:r>
      <w:r w:rsidRPr="00B033A8">
        <w:rPr>
          <w:rFonts w:cs="Times New Roman"/>
          <w:i/>
          <w:iCs/>
        </w:rPr>
        <w:t>.</w:t>
      </w:r>
      <w:r w:rsidRPr="00B033A8">
        <w:rPr>
          <w:rFonts w:cs="Times New Roman"/>
        </w:rPr>
        <w:t xml:space="preserve"> La Corte Constitucional estudió una demanda </w:t>
      </w:r>
      <w:r w:rsidR="008C513F" w:rsidRPr="00B033A8">
        <w:rPr>
          <w:rFonts w:cs="Times New Roman"/>
        </w:rPr>
        <w:t xml:space="preserve">en </w:t>
      </w:r>
      <w:r w:rsidRPr="00B033A8">
        <w:rPr>
          <w:rFonts w:cs="Times New Roman"/>
        </w:rPr>
        <w:t>contra</w:t>
      </w:r>
      <w:r w:rsidR="008C513F" w:rsidRPr="00B033A8">
        <w:rPr>
          <w:rFonts w:cs="Times New Roman"/>
        </w:rPr>
        <w:t xml:space="preserve"> de</w:t>
      </w:r>
      <w:r w:rsidRPr="00B033A8">
        <w:rPr>
          <w:rFonts w:cs="Times New Roman"/>
        </w:rPr>
        <w:t>, entre otros, el artículo 22 de la Ley 1474 de 2011, que creó el tipo penal de “omisión de control en el sector de la salud”:</w:t>
      </w:r>
    </w:p>
    <w:p w14:paraId="1A22D0C1" w14:textId="77777777" w:rsidR="004E3D83" w:rsidRPr="00B033A8" w:rsidRDefault="004E3D83" w:rsidP="00776641">
      <w:pPr>
        <w:tabs>
          <w:tab w:val="left" w:pos="851"/>
        </w:tabs>
        <w:rPr>
          <w:rFonts w:cs="Times New Roman"/>
          <w:u w:val="single"/>
        </w:rPr>
      </w:pPr>
    </w:p>
    <w:p w14:paraId="44AF2C71" w14:textId="6471B606" w:rsidR="004E3D83" w:rsidRPr="00B033A8" w:rsidRDefault="004E3D83" w:rsidP="00776641">
      <w:pPr>
        <w:ind w:left="851" w:right="476"/>
        <w:rPr>
          <w:rFonts w:eastAsia="Times New Roman" w:cs="Times New Roman"/>
          <w:lang w:eastAsia="es-CO"/>
        </w:rPr>
      </w:pPr>
      <w:r w:rsidRPr="00B033A8">
        <w:rPr>
          <w:rFonts w:eastAsia="Times New Roman" w:cs="Times New Roman"/>
          <w:lang w:eastAsia="es-CO"/>
        </w:rPr>
        <w:t>“</w:t>
      </w:r>
      <w:r w:rsidRPr="00B033A8">
        <w:rPr>
          <w:rFonts w:eastAsia="Times New Roman" w:cs="Times New Roman"/>
          <w:b/>
          <w:bCs/>
          <w:lang w:eastAsia="es-CO"/>
        </w:rPr>
        <w:t xml:space="preserve">Artículo 22. </w:t>
      </w:r>
      <w:r w:rsidRPr="00B033A8">
        <w:rPr>
          <w:rFonts w:eastAsia="Times New Roman" w:cs="Times New Roman"/>
          <w:b/>
          <w:bCs/>
          <w:i/>
          <w:iCs/>
          <w:lang w:eastAsia="es-CO"/>
        </w:rPr>
        <w:t>Omisión de control en el sector de la salud.</w:t>
      </w:r>
      <w:r w:rsidRPr="00B033A8">
        <w:rPr>
          <w:rFonts w:eastAsia="Times New Roman" w:cs="Times New Roman"/>
          <w:b/>
          <w:bCs/>
          <w:lang w:eastAsia="es-CO"/>
        </w:rPr>
        <w:t> </w:t>
      </w:r>
      <w:r w:rsidRPr="00B033A8">
        <w:rPr>
          <w:rFonts w:eastAsia="Times New Roman" w:cs="Times New Roman"/>
          <w:lang w:eastAsia="es-CO"/>
        </w:rPr>
        <w:t>La Ley 599 de 2000 tendrá un artículo </w:t>
      </w:r>
      <w:hyperlink r:id="rId9" w:anchor="325B" w:tgtFrame="_blank" w:history="1">
        <w:r w:rsidRPr="00B033A8">
          <w:rPr>
            <w:rFonts w:eastAsia="Times New Roman" w:cs="Times New Roman"/>
            <w:lang w:eastAsia="es-CO"/>
          </w:rPr>
          <w:t>325B</w:t>
        </w:r>
      </w:hyperlink>
      <w:r w:rsidRPr="00B033A8">
        <w:rPr>
          <w:rFonts w:eastAsia="Times New Roman" w:cs="Times New Roman"/>
          <w:lang w:eastAsia="es-CO"/>
        </w:rPr>
        <w:t>, el cual quedará así:</w:t>
      </w:r>
    </w:p>
    <w:p w14:paraId="0F48CAF6" w14:textId="77777777" w:rsidR="004E3D83" w:rsidRPr="00B033A8" w:rsidRDefault="004E3D83" w:rsidP="00776641">
      <w:pPr>
        <w:ind w:left="851" w:right="476"/>
        <w:rPr>
          <w:rFonts w:eastAsia="Times New Roman" w:cs="Times New Roman"/>
          <w:lang w:eastAsia="es-CO"/>
        </w:rPr>
      </w:pPr>
      <w:r w:rsidRPr="00B033A8">
        <w:rPr>
          <w:rFonts w:eastAsia="Times New Roman" w:cs="Times New Roman"/>
          <w:lang w:eastAsia="es-CO"/>
        </w:rPr>
        <w:t> </w:t>
      </w:r>
    </w:p>
    <w:p w14:paraId="769F0606" w14:textId="144C1654" w:rsidR="004E3D83" w:rsidRPr="00B033A8" w:rsidRDefault="004E3D83" w:rsidP="00776641">
      <w:pPr>
        <w:ind w:left="851" w:right="476"/>
        <w:rPr>
          <w:rFonts w:eastAsia="Times New Roman" w:cs="Times New Roman"/>
          <w:lang w:eastAsia="es-CO"/>
        </w:rPr>
      </w:pPr>
      <w:r w:rsidRPr="00B033A8">
        <w:rPr>
          <w:rFonts w:eastAsia="Times New Roman" w:cs="Times New Roman"/>
          <w:lang w:eastAsia="es-CO"/>
        </w:rPr>
        <w:t xml:space="preserve">El empleado o director de una entidad vigilada por la Superintendencia de Salud, que con el fin de ocultar o encubrir un </w:t>
      </w:r>
      <w:r w:rsidRPr="00B033A8">
        <w:rPr>
          <w:rFonts w:eastAsia="Times New Roman" w:cs="Times New Roman"/>
          <w:i/>
          <w:iCs/>
          <w:u w:val="single"/>
          <w:lang w:eastAsia="es-CO"/>
        </w:rPr>
        <w:t>acto de corrupción, omita el cumplimiento de alguno o todos los mecanismos de control establecidos para la prevención y la lucha contra el fraude en el sector de la salud</w:t>
      </w:r>
      <w:r w:rsidRPr="00B033A8">
        <w:rPr>
          <w:rFonts w:eastAsia="Times New Roman" w:cs="Times New Roman"/>
          <w:lang w:eastAsia="es-CO"/>
        </w:rPr>
        <w:t>, incurrirá, por esa sola conducta, en la pena prevista para el artículo </w:t>
      </w:r>
      <w:hyperlink r:id="rId10" w:anchor="325" w:tgtFrame="_blank" w:history="1">
        <w:r w:rsidRPr="00B033A8">
          <w:rPr>
            <w:rFonts w:eastAsia="Times New Roman" w:cs="Times New Roman"/>
            <w:lang w:eastAsia="es-CO"/>
          </w:rPr>
          <w:t>325</w:t>
        </w:r>
      </w:hyperlink>
      <w:r w:rsidRPr="00B033A8">
        <w:rPr>
          <w:rFonts w:eastAsia="Times New Roman" w:cs="Times New Roman"/>
          <w:lang w:eastAsia="es-CO"/>
        </w:rPr>
        <w:t> de la Ley 599 de 2000” (subrayado fuera del texto).</w:t>
      </w:r>
    </w:p>
    <w:p w14:paraId="4DB6F908" w14:textId="77777777" w:rsidR="004E3D83" w:rsidRPr="00B033A8" w:rsidRDefault="004E3D83" w:rsidP="00776641">
      <w:pPr>
        <w:tabs>
          <w:tab w:val="left" w:pos="851"/>
        </w:tabs>
        <w:rPr>
          <w:rFonts w:cs="Times New Roman"/>
          <w:u w:val="single"/>
        </w:rPr>
      </w:pPr>
    </w:p>
    <w:p w14:paraId="7F7C9479" w14:textId="658FD8F3" w:rsidR="004E3D83" w:rsidRPr="00B033A8" w:rsidRDefault="004E3D83" w:rsidP="00776641">
      <w:pPr>
        <w:numPr>
          <w:ilvl w:val="0"/>
          <w:numId w:val="12"/>
        </w:numPr>
        <w:tabs>
          <w:tab w:val="left" w:pos="851"/>
        </w:tabs>
        <w:ind w:left="0" w:firstLine="0"/>
        <w:rPr>
          <w:rFonts w:cs="Times New Roman"/>
          <w:u w:val="single"/>
        </w:rPr>
      </w:pPr>
      <w:r w:rsidRPr="00B033A8">
        <w:rPr>
          <w:rFonts w:cs="Times New Roman"/>
        </w:rPr>
        <w:t xml:space="preserve"> Los demandantes argumentaban que es</w:t>
      </w:r>
      <w:r w:rsidR="008C513F" w:rsidRPr="00B033A8">
        <w:rPr>
          <w:rFonts w:cs="Times New Roman"/>
        </w:rPr>
        <w:t>t</w:t>
      </w:r>
      <w:r w:rsidRPr="00B033A8">
        <w:rPr>
          <w:rFonts w:cs="Times New Roman"/>
        </w:rPr>
        <w:t>a disposición vulneraba el principio de legalidad estricta, porque introdu</w:t>
      </w:r>
      <w:r w:rsidR="008A47DD" w:rsidRPr="00B033A8">
        <w:rPr>
          <w:rFonts w:cs="Times New Roman"/>
        </w:rPr>
        <w:t>jo</w:t>
      </w:r>
      <w:r w:rsidRPr="00B033A8">
        <w:rPr>
          <w:rFonts w:cs="Times New Roman"/>
        </w:rPr>
        <w:t xml:space="preserve"> una prohibición con alto grado de indeterminación, consistente en omitir “el cumplimiento de alguno o todos los mecanismos de control establecidos para la prevención y la lucha contra el fraude en el sector salud”. Señalaron que “si bien la norma condiciona</w:t>
      </w:r>
      <w:r w:rsidR="001B0246" w:rsidRPr="00B033A8">
        <w:rPr>
          <w:rFonts w:cs="Times New Roman"/>
        </w:rPr>
        <w:t>[</w:t>
      </w:r>
      <w:proofErr w:type="spellStart"/>
      <w:r w:rsidR="001B0246" w:rsidRPr="00B033A8">
        <w:rPr>
          <w:rFonts w:cs="Times New Roman"/>
        </w:rPr>
        <w:t>ba</w:t>
      </w:r>
      <w:proofErr w:type="spellEnd"/>
      <w:r w:rsidR="001B0246" w:rsidRPr="00B033A8">
        <w:rPr>
          <w:rFonts w:cs="Times New Roman"/>
        </w:rPr>
        <w:t>]</w:t>
      </w:r>
      <w:r w:rsidRPr="00B033A8">
        <w:rPr>
          <w:rFonts w:cs="Times New Roman"/>
        </w:rPr>
        <w:t xml:space="preserve"> la tipicidad de la conducta a que se efectúe con el fin de ocultar o encubrir un acto de corrupción” esa prevención no era suficiente</w:t>
      </w:r>
      <w:r w:rsidRPr="00B033A8">
        <w:rPr>
          <w:rFonts w:cs="Times New Roman"/>
          <w:i/>
          <w:iCs/>
        </w:rPr>
        <w:t> </w:t>
      </w:r>
      <w:r w:rsidRPr="00B033A8">
        <w:rPr>
          <w:rFonts w:cs="Times New Roman"/>
        </w:rPr>
        <w:t>“porque no existe definición de ‘corrupción’</w:t>
      </w:r>
      <w:r w:rsidRPr="00B033A8">
        <w:rPr>
          <w:rFonts w:cs="Times New Roman"/>
          <w:i/>
          <w:iCs/>
        </w:rPr>
        <w:t> </w:t>
      </w:r>
      <w:r w:rsidRPr="00B033A8">
        <w:rPr>
          <w:rFonts w:cs="Times New Roman"/>
        </w:rPr>
        <w:t>en la norma, ni es posible determinar quién está facultado para señalar cuándo se presenta un acto de corrupción, así que cualquier irregularidad puede estimarse como corrupción”.</w:t>
      </w:r>
    </w:p>
    <w:p w14:paraId="6958EDBA" w14:textId="77777777" w:rsidR="004E3D83" w:rsidRPr="00B033A8" w:rsidRDefault="004E3D83" w:rsidP="00776641">
      <w:pPr>
        <w:tabs>
          <w:tab w:val="left" w:pos="851"/>
        </w:tabs>
        <w:rPr>
          <w:rFonts w:cs="Times New Roman"/>
          <w:u w:val="single"/>
        </w:rPr>
      </w:pPr>
    </w:p>
    <w:p w14:paraId="13A4D782" w14:textId="772D0162" w:rsidR="004E3D83" w:rsidRPr="00B033A8" w:rsidRDefault="004E3D83" w:rsidP="00776641">
      <w:pPr>
        <w:numPr>
          <w:ilvl w:val="0"/>
          <w:numId w:val="12"/>
        </w:numPr>
        <w:tabs>
          <w:tab w:val="left" w:pos="851"/>
        </w:tabs>
        <w:ind w:left="0" w:firstLine="0"/>
        <w:rPr>
          <w:rFonts w:cs="Times New Roman"/>
          <w:u w:val="single"/>
        </w:rPr>
      </w:pPr>
      <w:r w:rsidRPr="00B033A8">
        <w:rPr>
          <w:rFonts w:cs="Times New Roman"/>
        </w:rPr>
        <w:t xml:space="preserve">La Corte declaró la constitucionalidad del artículo 22 de la Ley 1474 de 2011, por considerar que no vulneraba el principio de legalidad estricta. </w:t>
      </w:r>
      <w:r w:rsidR="0060329A" w:rsidRPr="00B033A8">
        <w:rPr>
          <w:rFonts w:cs="Times New Roman"/>
        </w:rPr>
        <w:t>A juicio de la Corte,</w:t>
      </w:r>
      <w:r w:rsidRPr="00B033A8">
        <w:rPr>
          <w:rFonts w:cs="Times New Roman"/>
        </w:rPr>
        <w:t xml:space="preserve"> todos los elementos del tipo penal podían ser determinados a partir de una interpretación sistemática de la Ley 1474 de 2011 y de otras disposiciones de carácter legal </w:t>
      </w:r>
      <w:r w:rsidRPr="00B033A8">
        <w:rPr>
          <w:rFonts w:cs="Times New Roman"/>
          <w:szCs w:val="28"/>
        </w:rPr>
        <w:t>que regulan el servicio de salud y establecen los ámbitos de control de la Superintendencia de Salud.</w:t>
      </w:r>
      <w:r w:rsidRPr="00B033A8">
        <w:rPr>
          <w:rFonts w:cs="Times New Roman"/>
        </w:rPr>
        <w:t xml:space="preserve"> De un lado, </w:t>
      </w:r>
      <w:r w:rsidR="0060329A" w:rsidRPr="00B033A8">
        <w:rPr>
          <w:rFonts w:cs="Times New Roman"/>
        </w:rPr>
        <w:t>refirió</w:t>
      </w:r>
      <w:r w:rsidR="00BF79E4" w:rsidRPr="00B033A8">
        <w:rPr>
          <w:rFonts w:cs="Times New Roman"/>
        </w:rPr>
        <w:t xml:space="preserve"> que el </w:t>
      </w:r>
      <w:r w:rsidRPr="00B033A8">
        <w:rPr>
          <w:rFonts w:cs="Times New Roman"/>
        </w:rPr>
        <w:t>concepto de “actos de corrupción” estaba definido en los artículos 2, 3, 13, 16 y 33 de la Ley 1474 de 2011, como también en la Ley 412 de 2017 y la Ley 970 de 2005. Por otra parte, señaló que era posible “discernir cuáles son los mecanismos que al ser omitidos darían lugar a la tipificación de la conducta punible, como quiera que tanto la Ley 1474 de 2011, como las demás normas legales que establecen los mecanismos para controlar el manejo de los recursos de la salud por las entidades que hacen parte del sistema de seguridad social en salud, permiten conocer con precisión, cuál es la conducta penalmente reprochada”.</w:t>
      </w:r>
    </w:p>
    <w:p w14:paraId="35EC4F06" w14:textId="77777777" w:rsidR="004E3D83" w:rsidRPr="00B033A8" w:rsidRDefault="004E3D83" w:rsidP="00776641">
      <w:pPr>
        <w:tabs>
          <w:tab w:val="left" w:pos="851"/>
        </w:tabs>
        <w:rPr>
          <w:rFonts w:cs="Times New Roman"/>
        </w:rPr>
      </w:pPr>
    </w:p>
    <w:p w14:paraId="45A066E1" w14:textId="7891099D" w:rsidR="004E3D83" w:rsidRPr="00B033A8" w:rsidRDefault="004E3D83" w:rsidP="00776641">
      <w:pPr>
        <w:numPr>
          <w:ilvl w:val="0"/>
          <w:numId w:val="12"/>
        </w:numPr>
        <w:tabs>
          <w:tab w:val="left" w:pos="851"/>
        </w:tabs>
        <w:ind w:left="0" w:firstLine="0"/>
        <w:rPr>
          <w:rFonts w:cs="Times New Roman"/>
        </w:rPr>
      </w:pPr>
      <w:r w:rsidRPr="00B033A8">
        <w:rPr>
          <w:rFonts w:cs="Times New Roman"/>
          <w:u w:val="single"/>
        </w:rPr>
        <w:t>Sentencia C-367 de 2022</w:t>
      </w:r>
      <w:r w:rsidRPr="00B033A8">
        <w:rPr>
          <w:rFonts w:cs="Times New Roman"/>
        </w:rPr>
        <w:t xml:space="preserve">. La Corte examinó una demanda presentada contra los artículos </w:t>
      </w:r>
      <w:r w:rsidRPr="00B033A8">
        <w:rPr>
          <w:rFonts w:cs="Times New Roman"/>
          <w:szCs w:val="28"/>
        </w:rPr>
        <w:t xml:space="preserve">328, 328A, 328B, 328C, 329, 330, 331, 332, 333, 334, y 335 </w:t>
      </w:r>
      <w:r w:rsidRPr="00B033A8">
        <w:rPr>
          <w:rFonts w:cs="Times New Roman"/>
          <w:color w:val="000000" w:themeColor="text1"/>
          <w:szCs w:val="28"/>
        </w:rPr>
        <w:lastRenderedPageBreak/>
        <w:t>del Código Penal. Estas disposiciones crearon, entre otros, los delitos de aprovechamiento ilícito de los recursos naturales renovables, tráfico de fauna, caza ilegal, pesca ilegal y manejo ilícito de especies exóticas. De acuerdo con las disposiciones demandadas, para la configuración del tipo penal estas conductas debían llevarse a cabo “</w:t>
      </w:r>
      <w:r w:rsidRPr="00B033A8">
        <w:rPr>
          <w:rFonts w:cs="Times New Roman"/>
          <w:bCs/>
          <w:iCs/>
          <w:color w:val="000000" w:themeColor="text1"/>
          <w:lang w:val="es-ES"/>
        </w:rPr>
        <w:t>sin permiso de autoridad competente o con incumplimiento de la normatividad existente</w:t>
      </w:r>
      <w:r w:rsidRPr="00B033A8">
        <w:rPr>
          <w:rFonts w:cs="Times New Roman"/>
          <w:color w:val="000000" w:themeColor="text1"/>
          <w:szCs w:val="28"/>
        </w:rPr>
        <w:t xml:space="preserve">”. Así, a título de ejemplo, el delito de aprovechamiento ilícito fue tipificado en los siguientes términos: </w:t>
      </w:r>
    </w:p>
    <w:p w14:paraId="3597AD71" w14:textId="77777777" w:rsidR="004E3D83" w:rsidRPr="00B033A8" w:rsidRDefault="004E3D83" w:rsidP="00776641">
      <w:pPr>
        <w:ind w:right="454"/>
        <w:rPr>
          <w:rFonts w:cs="Times New Roman"/>
        </w:rPr>
      </w:pPr>
    </w:p>
    <w:p w14:paraId="16E58A84" w14:textId="77777777" w:rsidR="004E3D83" w:rsidRPr="00B033A8" w:rsidRDefault="004E3D83" w:rsidP="00776641">
      <w:pPr>
        <w:tabs>
          <w:tab w:val="left" w:pos="851"/>
        </w:tabs>
        <w:ind w:left="794" w:right="454"/>
        <w:rPr>
          <w:rFonts w:cs="Times New Roman"/>
        </w:rPr>
      </w:pPr>
      <w:r w:rsidRPr="00B033A8">
        <w:rPr>
          <w:rFonts w:cs="Times New Roman"/>
          <w:b/>
          <w:bCs/>
          <w:lang w:val="es-ES"/>
        </w:rPr>
        <w:t>“Artículo 328. Aprovechamiento ilícito de los recursos naturales renovables.</w:t>
      </w:r>
      <w:r w:rsidRPr="00B033A8">
        <w:rPr>
          <w:rFonts w:cs="Times New Roman"/>
          <w:lang w:val="es-ES"/>
        </w:rPr>
        <w:t xml:space="preserve"> &lt;Artículo modificado por el artículo 1 de la Ley 2111 de 2021. El nuevo texto es el siguiente:&gt; El que </w:t>
      </w:r>
      <w:r w:rsidRPr="00B033A8">
        <w:rPr>
          <w:rFonts w:cs="Times New Roman"/>
          <w:i/>
          <w:iCs/>
          <w:u w:val="single"/>
          <w:lang w:val="es-ES"/>
        </w:rPr>
        <w:t>con incumplimiento de la normatividad existente</w:t>
      </w:r>
      <w:r w:rsidRPr="00B033A8">
        <w:rPr>
          <w:rFonts w:cs="Times New Roman"/>
          <w:lang w:val="es-ES"/>
        </w:rPr>
        <w:t xml:space="preserve"> se apropie, acceda, capture, mantenga, introduzca, extraiga, explote, aproveche, exporte, transporte, comercie, explore, trafique o de cualquier otro modo se beneficie de los especímenes, productos o partes de los recursos fáunicos, forestales, florísticos, hidrobiológicos, corales, biológicos o genéticos de la biodiversidad colombiana, incurrirá en prisión de sesenta (60) a ciento treinta y cinco (135) meses y multa de ciento treinta y cuatro (134) a cuarenta y tres mil setecientos cincuenta (43.750) salarios mínimos legales mensuales vigentes”.</w:t>
      </w:r>
    </w:p>
    <w:p w14:paraId="7EFFA1D9" w14:textId="77777777" w:rsidR="004E3D83" w:rsidRPr="00B033A8" w:rsidRDefault="004E3D83" w:rsidP="00776641">
      <w:pPr>
        <w:rPr>
          <w:rFonts w:cs="Times New Roman"/>
          <w:color w:val="000000" w:themeColor="text1"/>
        </w:rPr>
      </w:pPr>
    </w:p>
    <w:p w14:paraId="2FF0EF01" w14:textId="4C30C57A" w:rsidR="004E3D83" w:rsidRPr="00B033A8" w:rsidRDefault="004E3D83" w:rsidP="00776641">
      <w:pPr>
        <w:numPr>
          <w:ilvl w:val="0"/>
          <w:numId w:val="12"/>
        </w:numPr>
        <w:tabs>
          <w:tab w:val="left" w:pos="851"/>
        </w:tabs>
        <w:ind w:left="0" w:firstLine="0"/>
        <w:rPr>
          <w:rFonts w:cs="Times New Roman"/>
        </w:rPr>
      </w:pPr>
      <w:r w:rsidRPr="00B033A8">
        <w:rPr>
          <w:rFonts w:cs="Times New Roman"/>
          <w:color w:val="000000" w:themeColor="text1"/>
          <w:szCs w:val="28"/>
        </w:rPr>
        <w:t xml:space="preserve">El demandante argumentaba que estos delitos eran tipos penales en blanco que vulneraban el principio de legalidad estricta o tipicidad. A su juicio, la fórmula de remisión “con incumplimiento de la normatividad vigente” no satisfacía los requisitos desarrollados por la jurisprudencia constitucional para las remisiones propias (precisión, conocimiento público y alcance general), dado que no era posible identificar cuáles eran </w:t>
      </w:r>
      <w:r w:rsidRPr="00B033A8">
        <w:rPr>
          <w:rFonts w:cs="Times New Roman"/>
          <w:i/>
          <w:iCs/>
          <w:color w:val="000000" w:themeColor="text1"/>
          <w:szCs w:val="28"/>
        </w:rPr>
        <w:t>(i)</w:t>
      </w:r>
      <w:r w:rsidRPr="00B033A8">
        <w:rPr>
          <w:rFonts w:cs="Times New Roman"/>
          <w:color w:val="000000" w:themeColor="text1"/>
          <w:szCs w:val="28"/>
        </w:rPr>
        <w:t xml:space="preserve"> las normas ambientales a las que debía acudirse para integrar el tipo y </w:t>
      </w:r>
      <w:r w:rsidRPr="00B033A8">
        <w:rPr>
          <w:rFonts w:cs="Times New Roman"/>
          <w:i/>
          <w:iCs/>
          <w:color w:val="000000" w:themeColor="text1"/>
          <w:szCs w:val="28"/>
        </w:rPr>
        <w:t>(</w:t>
      </w:r>
      <w:proofErr w:type="spellStart"/>
      <w:r w:rsidRPr="00B033A8">
        <w:rPr>
          <w:rFonts w:cs="Times New Roman"/>
          <w:i/>
          <w:iCs/>
          <w:color w:val="000000" w:themeColor="text1"/>
          <w:szCs w:val="28"/>
        </w:rPr>
        <w:t>ii</w:t>
      </w:r>
      <w:proofErr w:type="spellEnd"/>
      <w:r w:rsidRPr="00B033A8">
        <w:rPr>
          <w:rFonts w:cs="Times New Roman"/>
          <w:i/>
          <w:iCs/>
          <w:color w:val="000000" w:themeColor="text1"/>
          <w:szCs w:val="28"/>
        </w:rPr>
        <w:t>)</w:t>
      </w:r>
      <w:r w:rsidRPr="00B033A8">
        <w:rPr>
          <w:rFonts w:cs="Times New Roman"/>
          <w:color w:val="000000" w:themeColor="text1"/>
          <w:szCs w:val="28"/>
        </w:rPr>
        <w:t xml:space="preserve"> </w:t>
      </w:r>
      <w:r w:rsidR="00F63838" w:rsidRPr="00B033A8">
        <w:rPr>
          <w:rFonts w:cs="Times New Roman"/>
          <w:color w:val="000000" w:themeColor="text1"/>
          <w:szCs w:val="28"/>
        </w:rPr>
        <w:t xml:space="preserve">tampoco </w:t>
      </w:r>
      <w:r w:rsidRPr="00B033A8">
        <w:rPr>
          <w:rFonts w:cs="Times New Roman"/>
          <w:color w:val="000000" w:themeColor="text1"/>
          <w:szCs w:val="28"/>
        </w:rPr>
        <w:t xml:space="preserve">las autoridades ambientales que podían expedir la “normatividad vigente”. </w:t>
      </w:r>
    </w:p>
    <w:p w14:paraId="490DC5DD" w14:textId="77777777" w:rsidR="004E3D83" w:rsidRPr="00B033A8" w:rsidRDefault="004E3D83" w:rsidP="00776641">
      <w:pPr>
        <w:tabs>
          <w:tab w:val="left" w:pos="851"/>
        </w:tabs>
        <w:rPr>
          <w:rFonts w:cs="Times New Roman"/>
        </w:rPr>
      </w:pPr>
    </w:p>
    <w:p w14:paraId="306C9A95" w14:textId="77777777" w:rsidR="004E3D83" w:rsidRPr="00B033A8" w:rsidRDefault="004E3D83" w:rsidP="00776641">
      <w:pPr>
        <w:numPr>
          <w:ilvl w:val="0"/>
          <w:numId w:val="12"/>
        </w:numPr>
        <w:tabs>
          <w:tab w:val="left" w:pos="851"/>
        </w:tabs>
        <w:ind w:left="0" w:firstLine="0"/>
        <w:rPr>
          <w:rFonts w:cs="Times New Roman"/>
        </w:rPr>
      </w:pPr>
      <w:r w:rsidRPr="00B033A8">
        <w:rPr>
          <w:rFonts w:cs="Times New Roman"/>
        </w:rPr>
        <w:t xml:space="preserve">La Corte Constitucional consideró que la fórmula de remisión “con incumplimiento de la normatividad vigente” satisfacía los requisitos de alcance general y conocimiento público. Esto, porque “si bien la normatividad existente en materia ambiental puede ser abundante y compleja de entender, lo cierto es que tiene un orden y una lógica que se deriva de la estructura jerárquica de nuestro ordenamiento jurídico”. Sin embargo, encontró que no cumplía plenamente con el requisito de precisión, puesto que el legislador “no determinó cuáles son las autoridades que pueden emitir la ‘normatividad vigente’ a la que remiten los tipos penales”. Habida cuenta de que en “materia ambiental existen autoridades con funciones de distinta índole como prevención, control, vigilancia, regulación (…) un entendimiento amplio de esa remisión normativa permitiría que autoridades ambientales con funciones, por ejemplo, de control y vigilancia emitieran regulaciones que complementaran los tipos penales en blanco, lo cual incumpliría el principio de legalidad y taxatividad en los delitos”. </w:t>
      </w:r>
    </w:p>
    <w:p w14:paraId="5173242A" w14:textId="77777777" w:rsidR="004E3D83" w:rsidRPr="00B033A8" w:rsidRDefault="004E3D83" w:rsidP="00776641">
      <w:pPr>
        <w:rPr>
          <w:rFonts w:cs="Times New Roman"/>
        </w:rPr>
      </w:pPr>
    </w:p>
    <w:p w14:paraId="493F3786" w14:textId="185AB6BB" w:rsidR="004E3D83" w:rsidRPr="00B033A8" w:rsidRDefault="004E3D83" w:rsidP="00776641">
      <w:pPr>
        <w:numPr>
          <w:ilvl w:val="0"/>
          <w:numId w:val="12"/>
        </w:numPr>
        <w:tabs>
          <w:tab w:val="left" w:pos="851"/>
        </w:tabs>
        <w:ind w:left="0" w:firstLine="0"/>
        <w:rPr>
          <w:rFonts w:cs="Times New Roman"/>
        </w:rPr>
      </w:pPr>
      <w:r w:rsidRPr="00B033A8">
        <w:rPr>
          <w:rFonts w:cs="Times New Roman"/>
        </w:rPr>
        <w:lastRenderedPageBreak/>
        <w:t xml:space="preserve">Con todo, la Corte consideró que esta indeterminación no </w:t>
      </w:r>
      <w:r w:rsidR="00243ED1" w:rsidRPr="00B033A8">
        <w:rPr>
          <w:rFonts w:cs="Times New Roman"/>
        </w:rPr>
        <w:t>conducía a</w:t>
      </w:r>
      <w:r w:rsidRPr="00B033A8">
        <w:rPr>
          <w:rFonts w:cs="Times New Roman"/>
        </w:rPr>
        <w:t xml:space="preserve"> la </w:t>
      </w:r>
      <w:proofErr w:type="spellStart"/>
      <w:r w:rsidRPr="00B033A8">
        <w:rPr>
          <w:rFonts w:cs="Times New Roman"/>
        </w:rPr>
        <w:t>inexequibilidad</w:t>
      </w:r>
      <w:proofErr w:type="spellEnd"/>
      <w:r w:rsidRPr="00B033A8">
        <w:rPr>
          <w:rFonts w:cs="Times New Roman"/>
        </w:rPr>
        <w:t xml:space="preserve"> de la norma. Según la Corte, “en desarrollo del principio de conservación del derecho, si esta Corporación encuentra que una norma puede ser interpretada de una manera que resulte respetuosa de la Constitución, entonces, debe emitir un fallo condicionado”. En este sentido, a pesar de que el legislador no determinó de manera precisa </w:t>
      </w:r>
      <w:r w:rsidR="00367F79" w:rsidRPr="00B033A8">
        <w:rPr>
          <w:rFonts w:cs="Times New Roman"/>
          <w:lang w:val="es-ES"/>
        </w:rPr>
        <w:t>cuáles eran</w:t>
      </w:r>
      <w:r w:rsidRPr="00B033A8">
        <w:rPr>
          <w:rFonts w:cs="Times New Roman"/>
          <w:lang w:val="es-ES"/>
        </w:rPr>
        <w:t xml:space="preserve"> las autoridades competentes para emitir la normatividad que complementa los tipos penales en blanco aquí estudiados, “lo cierto es que esa respuesta s</w:t>
      </w:r>
      <w:r w:rsidR="006C7A74" w:rsidRPr="00B033A8">
        <w:rPr>
          <w:rFonts w:cs="Times New Roman"/>
          <w:lang w:val="es-ES"/>
        </w:rPr>
        <w:t>í</w:t>
      </w:r>
      <w:r w:rsidRPr="00B033A8">
        <w:rPr>
          <w:rFonts w:cs="Times New Roman"/>
          <w:lang w:val="es-ES"/>
        </w:rPr>
        <w:t xml:space="preserve"> la brinda el ordenamiento jurídico colombiano, si se efectúa una interpretación armónica de las normas demandadas y la Constitución. </w:t>
      </w:r>
      <w:r w:rsidRPr="00B033A8">
        <w:rPr>
          <w:rFonts w:cs="Times New Roman"/>
        </w:rPr>
        <w:t>Para realizar esa determinación, esta Corte encuentra que el Sistema Nacional Ambiental –SINA</w:t>
      </w:r>
      <w:r w:rsidR="00344931" w:rsidRPr="00B033A8">
        <w:rPr>
          <w:rFonts w:cs="Times New Roman"/>
        </w:rPr>
        <w:t>–</w:t>
      </w:r>
      <w:r w:rsidRPr="00B033A8">
        <w:rPr>
          <w:rFonts w:cs="Times New Roman"/>
        </w:rPr>
        <w:t xml:space="preserve"> es una herramienta indispensable”. </w:t>
      </w:r>
    </w:p>
    <w:p w14:paraId="0B305611" w14:textId="77777777" w:rsidR="000C56ED" w:rsidRPr="00B033A8" w:rsidRDefault="000C56ED" w:rsidP="00776641">
      <w:pPr>
        <w:tabs>
          <w:tab w:val="left" w:pos="851"/>
        </w:tabs>
        <w:rPr>
          <w:rFonts w:cs="Times New Roman"/>
        </w:rPr>
      </w:pPr>
    </w:p>
    <w:p w14:paraId="108026CD" w14:textId="29FAB276" w:rsidR="004E3D83" w:rsidRPr="00B033A8" w:rsidRDefault="004E3D83" w:rsidP="00776641">
      <w:pPr>
        <w:numPr>
          <w:ilvl w:val="0"/>
          <w:numId w:val="12"/>
        </w:numPr>
        <w:tabs>
          <w:tab w:val="left" w:pos="851"/>
        </w:tabs>
        <w:ind w:left="0" w:firstLine="0"/>
        <w:rPr>
          <w:rFonts w:cs="Times New Roman"/>
        </w:rPr>
      </w:pPr>
      <w:r w:rsidRPr="00B033A8">
        <w:rPr>
          <w:rFonts w:cs="Times New Roman"/>
        </w:rPr>
        <w:t xml:space="preserve">La Corte constató que </w:t>
      </w:r>
      <w:r w:rsidRPr="00B033A8">
        <w:rPr>
          <w:rFonts w:cs="Times New Roman"/>
          <w:lang w:val="es-ES"/>
        </w:rPr>
        <w:t>las </w:t>
      </w:r>
      <w:r w:rsidRPr="00B033A8">
        <w:rPr>
          <w:rFonts w:cs="Times New Roman"/>
        </w:rPr>
        <w:t>autoridades ambientales en el país están organizadas bajo el Sistema Nacional Ambiental –SINA</w:t>
      </w:r>
      <w:r w:rsidR="006F7AB0" w:rsidRPr="00B033A8">
        <w:rPr>
          <w:rFonts w:cs="Times New Roman"/>
        </w:rPr>
        <w:t>–</w:t>
      </w:r>
      <w:r w:rsidRPr="00B033A8">
        <w:rPr>
          <w:rFonts w:cs="Times New Roman"/>
        </w:rPr>
        <w:t xml:space="preserve">, que integra autoridades con distintas funciones. En criterio de la Corte, para salvaguardar el principio de tipicidad debía entenderse que “sólo aquellas con poder regulativo son las que pueden entenderse incluidas en la fórmula de remisión impropia que propuso el legislador”. En este sentido, la Corte resolvió declarar la </w:t>
      </w:r>
      <w:proofErr w:type="spellStart"/>
      <w:r w:rsidRPr="00B033A8">
        <w:rPr>
          <w:rFonts w:cs="Times New Roman"/>
        </w:rPr>
        <w:t>exequibilidad</w:t>
      </w:r>
      <w:proofErr w:type="spellEnd"/>
      <w:r w:rsidRPr="00B033A8">
        <w:rPr>
          <w:rFonts w:cs="Times New Roman"/>
        </w:rPr>
        <w:t xml:space="preserve"> condicionada de los tipos penales demandad</w:t>
      </w:r>
      <w:r w:rsidR="00367F79" w:rsidRPr="00B033A8">
        <w:rPr>
          <w:rFonts w:cs="Times New Roman"/>
        </w:rPr>
        <w:t>os</w:t>
      </w:r>
      <w:r w:rsidRPr="00B033A8">
        <w:rPr>
          <w:rFonts w:cs="Times New Roman"/>
        </w:rPr>
        <w:t xml:space="preserve"> en</w:t>
      </w:r>
      <w:r w:rsidR="00367F79" w:rsidRPr="00B033A8">
        <w:rPr>
          <w:rFonts w:cs="Times New Roman"/>
        </w:rPr>
        <w:t xml:space="preserve"> el</w:t>
      </w:r>
      <w:r w:rsidRPr="00B033A8">
        <w:rPr>
          <w:rFonts w:cs="Times New Roman"/>
        </w:rPr>
        <w:t xml:space="preserve"> entendido de que “las normas de reenvío que sean de naturaleza administrativa deben ser expedidas por las instituciones públicas pertenecientes al Sistema Nacional Ambiental con competencias regulatorias; sean precisas, previas a la configuración de la conducta, con alcance general y de conocimiento público”. </w:t>
      </w:r>
    </w:p>
    <w:p w14:paraId="1F5D4CD5" w14:textId="77777777" w:rsidR="004E3D83" w:rsidRPr="00B033A8" w:rsidRDefault="004E3D83" w:rsidP="00776641">
      <w:pPr>
        <w:tabs>
          <w:tab w:val="left" w:pos="851"/>
        </w:tabs>
        <w:rPr>
          <w:rFonts w:cs="Times New Roman"/>
        </w:rPr>
      </w:pPr>
    </w:p>
    <w:p w14:paraId="5959505C" w14:textId="1E746701" w:rsidR="004E3D83" w:rsidRPr="00B033A8" w:rsidRDefault="004E3D83" w:rsidP="00776641">
      <w:pPr>
        <w:numPr>
          <w:ilvl w:val="0"/>
          <w:numId w:val="12"/>
        </w:numPr>
        <w:tabs>
          <w:tab w:val="left" w:pos="851"/>
        </w:tabs>
        <w:ind w:left="0" w:firstLine="0"/>
        <w:rPr>
          <w:rFonts w:cs="Times New Roman"/>
        </w:rPr>
      </w:pPr>
      <w:r w:rsidRPr="00B033A8">
        <w:rPr>
          <w:rFonts w:cs="Times New Roman"/>
          <w:u w:val="single"/>
        </w:rPr>
        <w:t>Sentencia C-411 de 2022</w:t>
      </w:r>
      <w:r w:rsidRPr="00B033A8">
        <w:rPr>
          <w:rFonts w:cs="Times New Roman"/>
        </w:rPr>
        <w:t>. La Corte estudió una demanda de constitucionalidad en contra del artículo 1º de la Ley 2111 de 2022,</w:t>
      </w:r>
      <w:r w:rsidRPr="00B033A8">
        <w:rPr>
          <w:rFonts w:cs="Times New Roman"/>
          <w:i/>
          <w:iCs/>
          <w:color w:val="000000"/>
          <w:szCs w:val="28"/>
          <w:lang w:val="es-ES"/>
        </w:rPr>
        <w:t xml:space="preserve"> </w:t>
      </w:r>
      <w:r w:rsidRPr="00B033A8">
        <w:rPr>
          <w:rFonts w:cs="Times New Roman"/>
          <w:color w:val="000000"/>
          <w:szCs w:val="28"/>
          <w:lang w:val="es-ES"/>
        </w:rPr>
        <w:t>“p</w:t>
      </w:r>
      <w:r w:rsidRPr="00B033A8">
        <w:rPr>
          <w:rFonts w:cs="Times New Roman"/>
          <w:lang w:val="es-ES"/>
        </w:rPr>
        <w:t>or medio de la cual se sustituye el título XI ‘De los delitos contra los recursos naturales y el medio ambiente</w:t>
      </w:r>
      <w:r w:rsidR="00BB1C04" w:rsidRPr="00B033A8">
        <w:rPr>
          <w:rFonts w:cs="Times New Roman"/>
          <w:lang w:val="es-ES"/>
        </w:rPr>
        <w:t>’</w:t>
      </w:r>
      <w:r w:rsidRPr="00B033A8">
        <w:rPr>
          <w:rFonts w:cs="Times New Roman"/>
          <w:lang w:val="es-ES"/>
        </w:rPr>
        <w:t xml:space="preserve"> de la Ley 599 de 2000, se modifica la Ley 906 de 2004 y se dictan otras disposiciones”. En concreto, </w:t>
      </w:r>
      <w:r w:rsidR="00B0047E" w:rsidRPr="00B033A8">
        <w:rPr>
          <w:rFonts w:cs="Times New Roman"/>
          <w:lang w:val="es-ES"/>
        </w:rPr>
        <w:t>en contra del</w:t>
      </w:r>
      <w:r w:rsidRPr="00B033A8">
        <w:rPr>
          <w:rFonts w:cs="Times New Roman"/>
          <w:lang w:val="es-ES"/>
        </w:rPr>
        <w:t xml:space="preserve"> artículo 1º</w:t>
      </w:r>
      <w:r w:rsidR="000D14FB" w:rsidRPr="00B033A8">
        <w:rPr>
          <w:rFonts w:cs="Times New Roman"/>
          <w:lang w:val="es-ES"/>
        </w:rPr>
        <w:t>,</w:t>
      </w:r>
      <w:r w:rsidRPr="00B033A8">
        <w:rPr>
          <w:rFonts w:cs="Times New Roman"/>
          <w:lang w:val="es-ES"/>
        </w:rPr>
        <w:t xml:space="preserve"> </w:t>
      </w:r>
      <w:r w:rsidR="009E129A" w:rsidRPr="00B033A8">
        <w:rPr>
          <w:rFonts w:cs="Times New Roman"/>
          <w:lang w:val="es-ES"/>
        </w:rPr>
        <w:t xml:space="preserve">el cual </w:t>
      </w:r>
      <w:r w:rsidRPr="00B033A8">
        <w:rPr>
          <w:rFonts w:cs="Times New Roman"/>
          <w:lang w:val="es-ES"/>
        </w:rPr>
        <w:t>adicionó</w:t>
      </w:r>
      <w:r w:rsidRPr="00B033A8">
        <w:rPr>
          <w:rFonts w:cs="Times New Roman"/>
        </w:rPr>
        <w:t xml:space="preserve"> </w:t>
      </w:r>
      <w:r w:rsidRPr="00B033A8">
        <w:rPr>
          <w:rFonts w:cs="Times New Roman"/>
          <w:i/>
          <w:iCs/>
        </w:rPr>
        <w:t>(i)</w:t>
      </w:r>
      <w:r w:rsidRPr="00B033A8">
        <w:rPr>
          <w:rFonts w:cs="Times New Roman"/>
        </w:rPr>
        <w:t xml:space="preserve"> el delito de apropiación ilegal de baldíos (art. 337 del Código Penal) y </w:t>
      </w:r>
      <w:r w:rsidRPr="00B033A8">
        <w:rPr>
          <w:rFonts w:cs="Times New Roman"/>
          <w:i/>
          <w:iCs/>
        </w:rPr>
        <w:t>(</w:t>
      </w:r>
      <w:proofErr w:type="spellStart"/>
      <w:r w:rsidRPr="00B033A8">
        <w:rPr>
          <w:rFonts w:cs="Times New Roman"/>
          <w:i/>
          <w:iCs/>
        </w:rPr>
        <w:t>ii</w:t>
      </w:r>
      <w:proofErr w:type="spellEnd"/>
      <w:r w:rsidRPr="00B033A8">
        <w:rPr>
          <w:rFonts w:cs="Times New Roman"/>
          <w:i/>
          <w:iCs/>
        </w:rPr>
        <w:t>)</w:t>
      </w:r>
      <w:r w:rsidRPr="00B033A8">
        <w:rPr>
          <w:rFonts w:cs="Times New Roman"/>
        </w:rPr>
        <w:t xml:space="preserve"> el delito de financiación de la apropiación ilegal de baldíos (art. 337A del Código Penal):  </w:t>
      </w:r>
    </w:p>
    <w:p w14:paraId="526CB01D" w14:textId="77777777" w:rsidR="004E3D83" w:rsidRPr="00B033A8" w:rsidRDefault="004E3D83" w:rsidP="00776641">
      <w:pPr>
        <w:pStyle w:val="Prrafodelista"/>
        <w:spacing w:line="240" w:lineRule="auto"/>
      </w:pPr>
    </w:p>
    <w:p w14:paraId="2EAD2872" w14:textId="77777777" w:rsidR="004E3D83" w:rsidRPr="00B033A8" w:rsidRDefault="004E3D83" w:rsidP="00776641">
      <w:pPr>
        <w:tabs>
          <w:tab w:val="left" w:pos="851"/>
        </w:tabs>
        <w:ind w:left="851" w:right="454"/>
        <w:rPr>
          <w:rFonts w:cs="Times New Roman"/>
          <w:lang w:val="es-ES"/>
        </w:rPr>
      </w:pPr>
      <w:r w:rsidRPr="00B033A8">
        <w:rPr>
          <w:rFonts w:cs="Times New Roman"/>
          <w:b/>
          <w:bCs/>
          <w:lang w:val="es-ES"/>
        </w:rPr>
        <w:t xml:space="preserve">“Artículo 337. </w:t>
      </w:r>
      <w:r w:rsidRPr="00B033A8">
        <w:rPr>
          <w:rFonts w:cs="Times New Roman"/>
          <w:b/>
          <w:bCs/>
          <w:i/>
          <w:iCs/>
          <w:lang w:val="es-ES"/>
        </w:rPr>
        <w:t>Apropiación ilegal de baldíos de la Nación</w:t>
      </w:r>
      <w:r w:rsidRPr="00B033A8">
        <w:rPr>
          <w:rFonts w:cs="Times New Roman"/>
          <w:lang w:val="es-ES"/>
        </w:rPr>
        <w:t xml:space="preserve">. El que usurpe, ocupe, utilice, acumule, tolere, colabore o permita la apropiación de baldíos de la Nación, </w:t>
      </w:r>
      <w:r w:rsidRPr="00B033A8">
        <w:rPr>
          <w:rFonts w:cs="Times New Roman"/>
          <w:i/>
          <w:iCs/>
          <w:u w:val="single"/>
          <w:lang w:val="es-ES"/>
        </w:rPr>
        <w:t>sin el lleno de los requisitos de ley</w:t>
      </w:r>
      <w:r w:rsidRPr="00B033A8">
        <w:rPr>
          <w:rFonts w:cs="Times New Roman"/>
          <w:lang w:val="es-ES"/>
        </w:rPr>
        <w:t xml:space="preserve"> incurrirá en prisión de sesenta (60) a ciento cuarenta y cuatro (144) meses y multa de ciento cuarenta (140) a cincuenta mil (50.000) salarios mínimos legales mensuales vigentes (énfasis añadido)”</w:t>
      </w:r>
    </w:p>
    <w:p w14:paraId="43F56412" w14:textId="77777777" w:rsidR="004E3D83" w:rsidRPr="00B033A8" w:rsidRDefault="004E3D83" w:rsidP="00776641">
      <w:pPr>
        <w:tabs>
          <w:tab w:val="left" w:pos="851"/>
        </w:tabs>
        <w:ind w:left="851" w:right="454"/>
        <w:rPr>
          <w:rFonts w:cs="Times New Roman"/>
        </w:rPr>
      </w:pPr>
    </w:p>
    <w:p w14:paraId="380CEB65" w14:textId="77777777" w:rsidR="004E3D83" w:rsidRPr="00B033A8" w:rsidRDefault="004E3D83" w:rsidP="00776641">
      <w:pPr>
        <w:tabs>
          <w:tab w:val="left" w:pos="851"/>
        </w:tabs>
        <w:ind w:left="851" w:right="454"/>
        <w:jc w:val="center"/>
        <w:rPr>
          <w:rFonts w:cs="Times New Roman"/>
        </w:rPr>
      </w:pPr>
      <w:r w:rsidRPr="00B033A8">
        <w:rPr>
          <w:rFonts w:cs="Times New Roman"/>
        </w:rPr>
        <w:t>(…)</w:t>
      </w:r>
    </w:p>
    <w:p w14:paraId="62AF47E6" w14:textId="77777777" w:rsidR="004E3D83" w:rsidRPr="00B033A8" w:rsidRDefault="004E3D83" w:rsidP="00776641">
      <w:pPr>
        <w:tabs>
          <w:tab w:val="left" w:pos="851"/>
        </w:tabs>
        <w:ind w:left="851" w:right="454"/>
        <w:rPr>
          <w:rFonts w:cs="Times New Roman"/>
        </w:rPr>
      </w:pPr>
    </w:p>
    <w:p w14:paraId="796623F5" w14:textId="77777777" w:rsidR="004E3D83" w:rsidRPr="00B033A8" w:rsidRDefault="004E3D83" w:rsidP="00776641">
      <w:pPr>
        <w:tabs>
          <w:tab w:val="left" w:pos="851"/>
        </w:tabs>
        <w:ind w:left="851" w:right="454"/>
        <w:rPr>
          <w:rFonts w:cs="Times New Roman"/>
        </w:rPr>
      </w:pPr>
      <w:r w:rsidRPr="00B033A8">
        <w:rPr>
          <w:rFonts w:cs="Times New Roman"/>
          <w:b/>
          <w:bCs/>
          <w:lang w:val="es-ES"/>
        </w:rPr>
        <w:t>Artículo 337A.</w:t>
      </w:r>
      <w:r w:rsidRPr="00B033A8">
        <w:rPr>
          <w:rFonts w:cs="Times New Roman"/>
          <w:b/>
          <w:bCs/>
          <w:i/>
          <w:iCs/>
          <w:lang w:val="es-ES"/>
        </w:rPr>
        <w:t xml:space="preserve"> Financiación de la apropiación ilegal de los baldíos de la nación</w:t>
      </w:r>
      <w:r w:rsidRPr="00B033A8">
        <w:rPr>
          <w:rFonts w:cs="Times New Roman"/>
          <w:i/>
          <w:iCs/>
          <w:lang w:val="es-ES"/>
        </w:rPr>
        <w:t xml:space="preserve">. </w:t>
      </w:r>
      <w:r w:rsidRPr="00B033A8">
        <w:rPr>
          <w:rFonts w:cs="Times New Roman"/>
          <w:lang w:val="es-ES"/>
        </w:rPr>
        <w:t xml:space="preserve">El que directa o indirectamente provea, recolecte, entregue, reciba, administre, aporte, custodie o guarde </w:t>
      </w:r>
      <w:r w:rsidRPr="00B033A8">
        <w:rPr>
          <w:rFonts w:cs="Times New Roman"/>
          <w:lang w:val="es-ES"/>
        </w:rPr>
        <w:lastRenderedPageBreak/>
        <w:t>fondos, bienes o recursos, o realice cualquier otro acto que promueva, organice, apoye, mantenga, financie, patrocine, induzca, ordene o dirija la apropiación ilegal de baldíos de la nación descrito en el artículo anterior, incurrirá en prisión de noventa y seis (96) a ciento ochenta (180) meses y multa de trescientos (300) a cincuenta mil (50.000) salarios mínimos legales mensuales vigentes, sin perjuicio del decomiso de los bienes muebles, inmuebles o semovientes encontrados en los baldíos ilegalmente apropiados”.</w:t>
      </w:r>
    </w:p>
    <w:p w14:paraId="5E7E734D" w14:textId="77777777" w:rsidR="004E3D83" w:rsidRPr="00B033A8" w:rsidRDefault="004E3D83" w:rsidP="00776641">
      <w:pPr>
        <w:tabs>
          <w:tab w:val="left" w:pos="851"/>
        </w:tabs>
        <w:rPr>
          <w:rFonts w:cs="Times New Roman"/>
        </w:rPr>
      </w:pPr>
    </w:p>
    <w:p w14:paraId="341A3035" w14:textId="67261AB9" w:rsidR="004E3D83" w:rsidRPr="00B033A8" w:rsidRDefault="004E3D83" w:rsidP="00776641">
      <w:pPr>
        <w:numPr>
          <w:ilvl w:val="0"/>
          <w:numId w:val="12"/>
        </w:numPr>
        <w:tabs>
          <w:tab w:val="left" w:pos="851"/>
        </w:tabs>
        <w:ind w:left="0" w:firstLine="0"/>
        <w:rPr>
          <w:rFonts w:cs="Times New Roman"/>
        </w:rPr>
      </w:pPr>
      <w:r w:rsidRPr="00B033A8">
        <w:rPr>
          <w:rFonts w:cs="Times New Roman"/>
        </w:rPr>
        <w:t>Los demandantes argumentaban que las normas demandadas preveían tipos penales en blanco que desconocían el principio de legalidad estricta o tipicidad. Esto, porque la expresión “sin el lleno de los requisitos de ley” implicaba una ambigüedad y vaguedad que no permitía determinar con claridad y precisión cuál era la conducta punible. La Corte Constitucional consideró que, tal y como lo sostuvieron los demandantes, la fórmula de remisión “sin el lleno de los requisitos de ley” generaba una indeterminación insuperable de la conducta punible. Esta fórmula suponía, señaló la Corte, que el intérprete debía remitirse al régimen de baldíos, el cual, sin embargo, había generado múltiples debates interpretativos</w:t>
      </w:r>
      <w:r w:rsidR="00A70D2A" w:rsidRPr="00B033A8">
        <w:rPr>
          <w:rFonts w:cs="Times New Roman"/>
        </w:rPr>
        <w:t xml:space="preserve"> complejos</w:t>
      </w:r>
      <w:r w:rsidRPr="00B033A8">
        <w:rPr>
          <w:rFonts w:cs="Times New Roman"/>
        </w:rPr>
        <w:t xml:space="preserve"> y, por lo tanto, no aportaba claridad ni precisión en el proceso de adecuación típica: </w:t>
      </w:r>
    </w:p>
    <w:p w14:paraId="6BB835EC" w14:textId="77777777" w:rsidR="004E3D83" w:rsidRPr="00B033A8" w:rsidRDefault="004E3D83" w:rsidP="00776641">
      <w:pPr>
        <w:tabs>
          <w:tab w:val="left" w:pos="851"/>
        </w:tabs>
        <w:rPr>
          <w:rFonts w:cs="Times New Roman"/>
        </w:rPr>
      </w:pPr>
    </w:p>
    <w:p w14:paraId="14F98251" w14:textId="6BA02061" w:rsidR="004E3D83" w:rsidRPr="00B033A8" w:rsidRDefault="004E3D83" w:rsidP="00776641">
      <w:pPr>
        <w:tabs>
          <w:tab w:val="left" w:pos="851"/>
        </w:tabs>
        <w:ind w:left="737" w:right="454"/>
        <w:rPr>
          <w:rFonts w:cs="Times New Roman"/>
        </w:rPr>
      </w:pPr>
      <w:bookmarkStart w:id="6" w:name="_Ref129255044"/>
      <w:r w:rsidRPr="00B033A8">
        <w:rPr>
          <w:rFonts w:cs="Times New Roman"/>
        </w:rPr>
        <w:t>“El régimen de baldíos al que remiten las disposiciones acusadas cuando señala que se castiga la apropiación, utilización, entre otros, de bienes baldíos “</w:t>
      </w:r>
      <w:r w:rsidRPr="00B033A8">
        <w:rPr>
          <w:rFonts w:cs="Times New Roman"/>
          <w:i/>
          <w:iCs/>
        </w:rPr>
        <w:t>sin el lleno de los requisitos de ley</w:t>
      </w:r>
      <w:r w:rsidRPr="00B033A8">
        <w:rPr>
          <w:rFonts w:cs="Times New Roman"/>
        </w:rPr>
        <w:t>” genera discusiones interpretativas complejas, así como valoraciones probatorias amplias, frente a lo cual el ciudadano no está en capacidad de establecer de forma razonable y previa si su proceder se enmarca o no en una conducta criminal. En efecto, el régimen de baldíos, en su integralidad, ha generado discusiones interpretativas y conflictos entre, por una parte, </w:t>
      </w:r>
      <w:r w:rsidRPr="00B033A8">
        <w:rPr>
          <w:rFonts w:cs="Times New Roman"/>
          <w:i/>
          <w:iCs/>
        </w:rPr>
        <w:t>jueces civiles </w:t>
      </w:r>
      <w:r w:rsidRPr="00B033A8">
        <w:rPr>
          <w:rFonts w:cs="Times New Roman"/>
        </w:rPr>
        <w:t>y </w:t>
      </w:r>
      <w:r w:rsidRPr="00B033A8">
        <w:rPr>
          <w:rFonts w:cs="Times New Roman"/>
          <w:i/>
          <w:iCs/>
        </w:rPr>
        <w:t>autoridades administrativas; </w:t>
      </w:r>
      <w:r w:rsidRPr="00B033A8">
        <w:rPr>
          <w:rFonts w:cs="Times New Roman"/>
        </w:rPr>
        <w:t xml:space="preserve">y, por otra, las altas cortes (así lo demuestra la SU-282 de 2022). Estos conflictos podrían trasladarse ahora a la justicia penal, pese a que como se ha señalado la Constitución exige una precisión aún mayor en el campo penal puesto que involucra el máximo poder punitivo del Estado y la eventual sanción de privación de libertad. Tal indeterminación afecta el principio de estricta legalidad de las disposiciones acusadas pues, en síntesis, implicaría que no será fácil saber, antes de la decisión del juez penal, qué conductas están castigadas y cuáles no. Esta conclusión también repercute en el artículo 337A en tanto que este último está atado a la suerte del primero cuando señala que la conducta de financiación ocurre ante la </w:t>
      </w:r>
      <w:r w:rsidR="006B0808" w:rsidRPr="00B033A8">
        <w:rPr>
          <w:rFonts w:cs="Times New Roman"/>
        </w:rPr>
        <w:t>‘</w:t>
      </w:r>
      <w:r w:rsidRPr="00B033A8">
        <w:rPr>
          <w:rFonts w:cs="Times New Roman"/>
          <w:i/>
          <w:iCs/>
        </w:rPr>
        <w:t>apropiación ilegal de baldíos de la nación descrita en el artículo anterior</w:t>
      </w:r>
      <w:bookmarkEnd w:id="6"/>
      <w:r w:rsidR="006B0808" w:rsidRPr="00B033A8">
        <w:rPr>
          <w:rFonts w:cs="Times New Roman"/>
          <w:i/>
          <w:iCs/>
        </w:rPr>
        <w:t>’</w:t>
      </w:r>
      <w:r w:rsidR="001441A0" w:rsidRPr="00B033A8">
        <w:rPr>
          <w:rFonts w:cs="Times New Roman"/>
        </w:rPr>
        <w:t>.</w:t>
      </w:r>
    </w:p>
    <w:p w14:paraId="43092056" w14:textId="77777777" w:rsidR="004E3D83" w:rsidRPr="00B033A8" w:rsidRDefault="004E3D83" w:rsidP="00776641">
      <w:pPr>
        <w:tabs>
          <w:tab w:val="left" w:pos="851"/>
        </w:tabs>
        <w:ind w:left="737" w:right="454"/>
        <w:rPr>
          <w:rFonts w:cs="Times New Roman"/>
        </w:rPr>
      </w:pPr>
      <w:r w:rsidRPr="00B033A8">
        <w:rPr>
          <w:rFonts w:cs="Times New Roman"/>
        </w:rPr>
        <w:t> </w:t>
      </w:r>
    </w:p>
    <w:p w14:paraId="502A64F3" w14:textId="77777777" w:rsidR="004E3D83" w:rsidRPr="00B033A8" w:rsidRDefault="004E3D83" w:rsidP="00776641">
      <w:pPr>
        <w:tabs>
          <w:tab w:val="left" w:pos="851"/>
        </w:tabs>
        <w:ind w:left="737" w:right="454"/>
        <w:rPr>
          <w:rFonts w:cs="Times New Roman"/>
        </w:rPr>
      </w:pPr>
      <w:r w:rsidRPr="00B033A8">
        <w:rPr>
          <w:rFonts w:cs="Times New Roman"/>
        </w:rPr>
        <w:t xml:space="preserve">Así, cabe resaltar que la incertidumbre identificada en el objeto material de la conducta no puede ser superada a partir de una presunción legal sobre la existencia de un bien baldío”. </w:t>
      </w:r>
    </w:p>
    <w:p w14:paraId="056F92BA" w14:textId="77777777" w:rsidR="004E3D83" w:rsidRPr="00B033A8" w:rsidRDefault="004E3D83" w:rsidP="00776641">
      <w:pPr>
        <w:tabs>
          <w:tab w:val="left" w:pos="851"/>
        </w:tabs>
        <w:rPr>
          <w:rFonts w:cs="Times New Roman"/>
        </w:rPr>
      </w:pPr>
    </w:p>
    <w:p w14:paraId="7A5E9EDD" w14:textId="70AF8428" w:rsidR="005735B1" w:rsidRPr="00B033A8" w:rsidRDefault="00FA5260" w:rsidP="00776641">
      <w:pPr>
        <w:numPr>
          <w:ilvl w:val="0"/>
          <w:numId w:val="12"/>
        </w:numPr>
        <w:tabs>
          <w:tab w:val="left" w:pos="851"/>
        </w:tabs>
        <w:ind w:left="0" w:firstLine="0"/>
        <w:rPr>
          <w:rFonts w:cs="Times New Roman"/>
        </w:rPr>
      </w:pPr>
      <w:r w:rsidRPr="00B033A8">
        <w:rPr>
          <w:rFonts w:cs="Times New Roman"/>
          <w:u w:val="single"/>
        </w:rPr>
        <w:t>Sentencia C-021 de 2023</w:t>
      </w:r>
      <w:r w:rsidRPr="00B033A8">
        <w:rPr>
          <w:rFonts w:cs="Times New Roman"/>
        </w:rPr>
        <w:t xml:space="preserve">. </w:t>
      </w:r>
      <w:r w:rsidR="005735B1" w:rsidRPr="00B033A8">
        <w:rPr>
          <w:rFonts w:cs="Times New Roman"/>
        </w:rPr>
        <w:t xml:space="preserve">La Corte estudió una demanda de constitucionalidad en contra del artículo 1º de la Ley 2111 de 2022 el cual, entre otros, estableció el delito de daños a los recursos naturales y ecocidio. Esta conducta quedó tipificada en el artículo 333 del Código Penal en los siguientes términos: </w:t>
      </w:r>
    </w:p>
    <w:p w14:paraId="2410C37D" w14:textId="77777777" w:rsidR="005735B1" w:rsidRPr="00B033A8" w:rsidRDefault="005735B1" w:rsidP="00776641">
      <w:pPr>
        <w:tabs>
          <w:tab w:val="left" w:pos="851"/>
        </w:tabs>
        <w:rPr>
          <w:rFonts w:cs="Times New Roman"/>
          <w:u w:val="single"/>
        </w:rPr>
      </w:pPr>
    </w:p>
    <w:p w14:paraId="411DC051" w14:textId="61F7681C" w:rsidR="00FA5260" w:rsidRPr="00B033A8" w:rsidRDefault="005735B1" w:rsidP="00776641">
      <w:pPr>
        <w:tabs>
          <w:tab w:val="left" w:pos="851"/>
        </w:tabs>
        <w:ind w:left="737" w:right="340"/>
        <w:rPr>
          <w:rFonts w:cs="Times New Roman"/>
        </w:rPr>
      </w:pPr>
      <w:r w:rsidRPr="00B033A8">
        <w:rPr>
          <w:rFonts w:cs="Times New Roman"/>
          <w:b/>
          <w:bCs/>
        </w:rPr>
        <w:t>Artículo 333.</w:t>
      </w:r>
      <w:r w:rsidRPr="00B033A8">
        <w:rPr>
          <w:rFonts w:cs="Times New Roman"/>
        </w:rPr>
        <w:t xml:space="preserve"> </w:t>
      </w:r>
      <w:r w:rsidRPr="00B033A8">
        <w:rPr>
          <w:rFonts w:cs="Times New Roman"/>
          <w:b/>
          <w:bCs/>
          <w:i/>
          <w:iCs/>
        </w:rPr>
        <w:t>Daños en los recursos naturales y ecocidio</w:t>
      </w:r>
      <w:r w:rsidRPr="00B033A8">
        <w:rPr>
          <w:rFonts w:cs="Times New Roman"/>
        </w:rPr>
        <w:t>. El que con incumplimiento de la normatividad existente destruya, inutilice, haga desaparecer o cause un impacto ambiental grave o de cualquier otro modo dañe los recursos naturales a que se refiere este título o a los que estén asociados con estos, incurrirá en prisión de sesenta (60) a ciento treinta y cinco (135) meses y multa de ciento sesenta y siete (167) a dieciocho mil setecientos cincuenta (18.750) salarios mínimos legales mensuales vigentes.</w:t>
      </w:r>
    </w:p>
    <w:p w14:paraId="0554CC9A" w14:textId="77777777" w:rsidR="005735B1" w:rsidRPr="00B033A8" w:rsidRDefault="005735B1" w:rsidP="00776641">
      <w:pPr>
        <w:tabs>
          <w:tab w:val="left" w:pos="851"/>
        </w:tabs>
        <w:ind w:right="340"/>
        <w:rPr>
          <w:rFonts w:cs="Times New Roman"/>
        </w:rPr>
      </w:pPr>
    </w:p>
    <w:p w14:paraId="245C91E2" w14:textId="6B61EADD" w:rsidR="004E3D83" w:rsidRPr="00B033A8" w:rsidRDefault="005735B1" w:rsidP="00776641">
      <w:pPr>
        <w:numPr>
          <w:ilvl w:val="0"/>
          <w:numId w:val="12"/>
        </w:numPr>
        <w:tabs>
          <w:tab w:val="left" w:pos="851"/>
        </w:tabs>
        <w:ind w:left="0" w:firstLine="0"/>
        <w:rPr>
          <w:rFonts w:cs="Times New Roman"/>
        </w:rPr>
      </w:pPr>
      <w:r w:rsidRPr="00B033A8">
        <w:rPr>
          <w:rFonts w:cs="Times New Roman"/>
        </w:rPr>
        <w:t xml:space="preserve">Los demandantes argumentaron que el artículo 333 desconocía el principio de legalidad estricta o tipicidad porque, entre otras, la </w:t>
      </w:r>
      <w:r w:rsidR="005674AD" w:rsidRPr="00B033A8">
        <w:rPr>
          <w:rFonts w:cs="Times New Roman"/>
        </w:rPr>
        <w:t>expresión</w:t>
      </w:r>
      <w:r w:rsidRPr="00B033A8">
        <w:rPr>
          <w:rFonts w:cs="Times New Roman"/>
        </w:rPr>
        <w:t xml:space="preserve"> “</w:t>
      </w:r>
      <w:r w:rsidRPr="00B033A8">
        <w:rPr>
          <w:rFonts w:cs="Times New Roman"/>
          <w:i/>
          <w:iCs/>
        </w:rPr>
        <w:t>con incumplimiento de la normatividad existente</w:t>
      </w:r>
      <w:r w:rsidRPr="00B033A8">
        <w:rPr>
          <w:rFonts w:cs="Times New Roman"/>
        </w:rPr>
        <w:t xml:space="preserve">” </w:t>
      </w:r>
      <w:r w:rsidR="005674AD" w:rsidRPr="00B033A8">
        <w:rPr>
          <w:rFonts w:cs="Times New Roman"/>
        </w:rPr>
        <w:t>no permitía determinar con precisión y claridad la conducta sancionable.</w:t>
      </w:r>
      <w:r w:rsidRPr="00B033A8">
        <w:rPr>
          <w:rFonts w:cs="Times New Roman"/>
        </w:rPr>
        <w:t xml:space="preserve"> </w:t>
      </w:r>
      <w:r w:rsidR="005674AD" w:rsidRPr="00B033A8">
        <w:rPr>
          <w:rFonts w:cs="Times New Roman"/>
        </w:rPr>
        <w:t>La Corte consider</w:t>
      </w:r>
      <w:r w:rsidR="00E250CD" w:rsidRPr="00B033A8">
        <w:rPr>
          <w:rFonts w:cs="Times New Roman"/>
        </w:rPr>
        <w:t>ó</w:t>
      </w:r>
      <w:r w:rsidR="005674AD" w:rsidRPr="00B033A8">
        <w:rPr>
          <w:rFonts w:cs="Times New Roman"/>
        </w:rPr>
        <w:t xml:space="preserve"> que la acusación de los demandantes no debía prosperar. Señaló que el tipo penal contenía una remisión normativa “a partir de la expresión ‘con incumplimiento de la normatividad vigente’ que les permite a los operadores judiciales adecuar su margen de actuación”. Asimismo, refirió que, “como lo señaló recientemente esta corporación en la Sentencia C-367 de 2022, dicha remisión ‘ata a los operadores jurídicos de manera que reduce su margen de actuación arbitraria” y garantiza que adopten “decisiones ajustadas a las condiciones o circunstancias de cada caso concreto, que no pueden ser anticipadas plenamente por la ley, pero deben ser tenidas en cuenta para que la finalidad de la ley penal se cumpla”.</w:t>
      </w:r>
      <w:r w:rsidR="00D72C79" w:rsidRPr="00B033A8">
        <w:rPr>
          <w:rFonts w:cs="Times New Roman"/>
        </w:rPr>
        <w:t xml:space="preserve"> </w:t>
      </w:r>
      <w:r w:rsidR="004E3D83" w:rsidRPr="00B033A8">
        <w:rPr>
          <w:rFonts w:cs="Times New Roman"/>
          <w:color w:val="000000" w:themeColor="text1"/>
          <w:szCs w:val="28"/>
        </w:rPr>
        <w:t xml:space="preserve">Con fundamento en estas consideraciones, la Corte resolvió declarar la </w:t>
      </w:r>
      <w:proofErr w:type="spellStart"/>
      <w:r w:rsidR="004E3D83" w:rsidRPr="00B033A8">
        <w:rPr>
          <w:rFonts w:cs="Times New Roman"/>
          <w:color w:val="000000" w:themeColor="text1"/>
          <w:szCs w:val="28"/>
        </w:rPr>
        <w:t>exequibilidad</w:t>
      </w:r>
      <w:proofErr w:type="spellEnd"/>
      <w:r w:rsidR="004E3D83" w:rsidRPr="00B033A8">
        <w:rPr>
          <w:rFonts w:cs="Times New Roman"/>
          <w:color w:val="000000" w:themeColor="text1"/>
          <w:szCs w:val="28"/>
        </w:rPr>
        <w:t xml:space="preserve"> de las normas demandadas. </w:t>
      </w:r>
    </w:p>
    <w:p w14:paraId="0E555A4E" w14:textId="77777777" w:rsidR="004E3D83" w:rsidRPr="00B033A8" w:rsidRDefault="004E3D83" w:rsidP="00776641">
      <w:pPr>
        <w:tabs>
          <w:tab w:val="left" w:pos="851"/>
        </w:tabs>
        <w:rPr>
          <w:rFonts w:cs="Times New Roman"/>
        </w:rPr>
      </w:pPr>
    </w:p>
    <w:p w14:paraId="0784193B" w14:textId="1BEECF99" w:rsidR="00C14A35" w:rsidRPr="00B033A8" w:rsidRDefault="004E3D83" w:rsidP="00776641">
      <w:pPr>
        <w:numPr>
          <w:ilvl w:val="0"/>
          <w:numId w:val="12"/>
        </w:numPr>
        <w:tabs>
          <w:tab w:val="left" w:pos="851"/>
        </w:tabs>
        <w:ind w:left="0" w:firstLine="0"/>
        <w:rPr>
          <w:rFonts w:cs="Times New Roman"/>
        </w:rPr>
      </w:pPr>
      <w:r w:rsidRPr="00B033A8">
        <w:rPr>
          <w:rFonts w:cs="Times New Roman"/>
          <w:b/>
          <w:bCs/>
          <w:color w:val="000000" w:themeColor="text1"/>
          <w:szCs w:val="28"/>
          <w:u w:val="single"/>
        </w:rPr>
        <w:t>Síntesis de las reglas de decisión</w:t>
      </w:r>
      <w:r w:rsidRPr="00B033A8">
        <w:rPr>
          <w:rFonts w:cs="Times New Roman"/>
          <w:color w:val="000000" w:themeColor="text1"/>
          <w:szCs w:val="28"/>
        </w:rPr>
        <w:t>. La siguiente tabla sintetiza las reglas de decisión</w:t>
      </w:r>
      <w:r w:rsidR="00CD771F" w:rsidRPr="00B033A8">
        <w:rPr>
          <w:rFonts w:cs="Times New Roman"/>
          <w:color w:val="000000" w:themeColor="text1"/>
          <w:szCs w:val="28"/>
        </w:rPr>
        <w:t xml:space="preserve"> relevantes para resolver la presente demanda de inconstitucionalidad: </w:t>
      </w:r>
    </w:p>
    <w:p w14:paraId="71C8A766" w14:textId="77777777" w:rsidR="00C14A35" w:rsidRPr="00B033A8" w:rsidRDefault="00C14A35" w:rsidP="00776641">
      <w:pPr>
        <w:rPr>
          <w:rFonts w:cs="Times New Roman"/>
          <w:color w:val="000000" w:themeColor="text1"/>
        </w:rPr>
      </w:pPr>
    </w:p>
    <w:tbl>
      <w:tblPr>
        <w:tblStyle w:val="Tablaconcuadrcula"/>
        <w:tblW w:w="0" w:type="auto"/>
        <w:tblLook w:val="04A0" w:firstRow="1" w:lastRow="0" w:firstColumn="1" w:lastColumn="0" w:noHBand="0" w:noVBand="1"/>
      </w:tblPr>
      <w:tblGrid>
        <w:gridCol w:w="8784"/>
      </w:tblGrid>
      <w:tr w:rsidR="00480C5D" w:rsidRPr="00B033A8" w14:paraId="4AD1114B" w14:textId="77777777" w:rsidTr="003E2663">
        <w:tc>
          <w:tcPr>
            <w:tcW w:w="8784" w:type="dxa"/>
            <w:shd w:val="clear" w:color="auto" w:fill="D9D9D9" w:themeFill="background1" w:themeFillShade="D9"/>
          </w:tcPr>
          <w:p w14:paraId="1F4590CF" w14:textId="77777777" w:rsidR="00480C5D" w:rsidRPr="00B033A8" w:rsidRDefault="00480C5D" w:rsidP="00776641">
            <w:pPr>
              <w:tabs>
                <w:tab w:val="left" w:pos="311"/>
              </w:tabs>
              <w:jc w:val="center"/>
              <w:rPr>
                <w:rFonts w:cs="Times New Roman"/>
                <w:b/>
                <w:bCs/>
                <w:szCs w:val="20"/>
              </w:rPr>
            </w:pPr>
            <w:r w:rsidRPr="00B033A8">
              <w:rPr>
                <w:rFonts w:cs="Times New Roman"/>
                <w:b/>
                <w:bCs/>
                <w:szCs w:val="20"/>
              </w:rPr>
              <w:t>Síntesis de las reglas de decisión</w:t>
            </w:r>
          </w:p>
        </w:tc>
      </w:tr>
      <w:tr w:rsidR="00480C5D" w:rsidRPr="00B033A8" w14:paraId="46D7BDC9" w14:textId="77777777" w:rsidTr="003E2663">
        <w:tc>
          <w:tcPr>
            <w:tcW w:w="8784" w:type="dxa"/>
          </w:tcPr>
          <w:p w14:paraId="519137A5" w14:textId="77777777" w:rsidR="00480C5D" w:rsidRPr="00B033A8" w:rsidRDefault="00480C5D" w:rsidP="00776641">
            <w:pPr>
              <w:pStyle w:val="Prrafodelista"/>
              <w:numPr>
                <w:ilvl w:val="0"/>
                <w:numId w:val="20"/>
              </w:numPr>
              <w:tabs>
                <w:tab w:val="left" w:pos="311"/>
              </w:tabs>
              <w:spacing w:line="240" w:lineRule="auto"/>
              <w:ind w:left="308" w:hanging="284"/>
              <w:rPr>
                <w:szCs w:val="20"/>
              </w:rPr>
            </w:pPr>
            <w:r w:rsidRPr="00B033A8">
              <w:rPr>
                <w:szCs w:val="20"/>
              </w:rPr>
              <w:t xml:space="preserve">El principio de legalidad estricta, tipicidad o taxatividad, obliga al legislador a definir la conducta punible y la sanción de forma clara, precisa e inequívoca. </w:t>
            </w:r>
          </w:p>
          <w:p w14:paraId="4B10A722" w14:textId="267C0152" w:rsidR="00480C5D" w:rsidRPr="00B033A8" w:rsidRDefault="00480C5D" w:rsidP="00776641">
            <w:pPr>
              <w:pStyle w:val="Prrafodelista"/>
              <w:numPr>
                <w:ilvl w:val="0"/>
                <w:numId w:val="20"/>
              </w:numPr>
              <w:tabs>
                <w:tab w:val="left" w:pos="311"/>
              </w:tabs>
              <w:spacing w:line="240" w:lineRule="auto"/>
              <w:ind w:left="308" w:hanging="284"/>
              <w:rPr>
                <w:szCs w:val="20"/>
              </w:rPr>
            </w:pPr>
            <w:r w:rsidRPr="00B033A8">
              <w:rPr>
                <w:szCs w:val="20"/>
              </w:rPr>
              <w:t>Con todo, la</w:t>
            </w:r>
            <w:r w:rsidRPr="00B033A8">
              <w:rPr>
                <w:szCs w:val="20"/>
                <w:lang w:val="es-ES_tradnl"/>
              </w:rPr>
              <w:t xml:space="preserve"> Corte Constitucional ha precisado que el principio de tipicidad no impone al legislador una obligación de claridad y precisión absoluta en la tipificación de la conducta punible y la sanción</w:t>
            </w:r>
            <w:r w:rsidRPr="00B033A8">
              <w:rPr>
                <w:szCs w:val="20"/>
              </w:rPr>
              <w:t xml:space="preserve">. La jurisprudencia constitucional ha reiterado que </w:t>
            </w:r>
            <w:r w:rsidRPr="00B033A8">
              <w:rPr>
                <w:szCs w:val="20"/>
                <w:lang w:val="es-ES_tradnl"/>
              </w:rPr>
              <w:t xml:space="preserve">“no toda la realidad sujeta a regulación penal es susceptible de ser descrita en moldes </w:t>
            </w:r>
            <w:r w:rsidRPr="00B033A8">
              <w:rPr>
                <w:iCs/>
                <w:szCs w:val="20"/>
                <w:lang w:val="es-ES_tradnl"/>
              </w:rPr>
              <w:t>legales,</w:t>
            </w:r>
            <w:r w:rsidRPr="00B033A8">
              <w:rPr>
                <w:i/>
                <w:szCs w:val="20"/>
                <w:lang w:val="es-ES_tradnl"/>
              </w:rPr>
              <w:t xml:space="preserve"> </w:t>
            </w:r>
            <w:r w:rsidRPr="00B033A8">
              <w:rPr>
                <w:iCs/>
                <w:szCs w:val="20"/>
                <w:lang w:val="es-ES_tradnl"/>
              </w:rPr>
              <w:t>cerrados</w:t>
            </w:r>
            <w:r w:rsidRPr="00B033A8">
              <w:rPr>
                <w:i/>
                <w:szCs w:val="20"/>
                <w:lang w:val="es-ES_tradnl"/>
              </w:rPr>
              <w:t xml:space="preserve"> </w:t>
            </w:r>
            <w:r w:rsidRPr="00B033A8">
              <w:rPr>
                <w:i/>
                <w:szCs w:val="20"/>
                <w:lang w:val="es-ES_tradnl"/>
              </w:rPr>
              <w:lastRenderedPageBreak/>
              <w:t xml:space="preserve">y </w:t>
            </w:r>
            <w:r w:rsidRPr="00B033A8">
              <w:rPr>
                <w:iCs/>
                <w:szCs w:val="20"/>
                <w:lang w:val="es-ES_tradnl"/>
              </w:rPr>
              <w:t>completos</w:t>
            </w:r>
            <w:r w:rsidRPr="00B033A8">
              <w:rPr>
                <w:szCs w:val="20"/>
                <w:lang w:val="es-ES_tradnl"/>
              </w:rPr>
              <w:t>”</w:t>
            </w:r>
            <w:r w:rsidRPr="00B033A8">
              <w:rPr>
                <w:szCs w:val="20"/>
                <w:vertAlign w:val="superscript"/>
                <w:lang w:val="es-ES_tradnl"/>
              </w:rPr>
              <w:footnoteReference w:id="154"/>
            </w:r>
            <w:r w:rsidRPr="00B033A8">
              <w:rPr>
                <w:szCs w:val="20"/>
                <w:lang w:val="es-ES_tradnl"/>
              </w:rPr>
              <w:t>. Esto implica que</w:t>
            </w:r>
            <w:r w:rsidRPr="00B033A8">
              <w:rPr>
                <w:szCs w:val="20"/>
              </w:rPr>
              <w:t xml:space="preserve"> la exigencia constitucional de precisión y claridad en la tipificación de una conducta “sólo es posible hasta donde se lo permite su naturaleza”</w:t>
            </w:r>
            <w:r w:rsidRPr="00B033A8">
              <w:rPr>
                <w:szCs w:val="20"/>
                <w:vertAlign w:val="superscript"/>
              </w:rPr>
              <w:footnoteReference w:id="155"/>
            </w:r>
            <w:r w:rsidRPr="00B033A8">
              <w:rPr>
                <w:szCs w:val="20"/>
              </w:rPr>
              <w:t xml:space="preserve">. </w:t>
            </w:r>
          </w:p>
          <w:p w14:paraId="58E8964C" w14:textId="6F6F5A0B" w:rsidR="00480C5D" w:rsidRPr="00B033A8" w:rsidRDefault="00480C5D" w:rsidP="00776641">
            <w:pPr>
              <w:pStyle w:val="Prrafodelista"/>
              <w:numPr>
                <w:ilvl w:val="0"/>
                <w:numId w:val="20"/>
              </w:numPr>
              <w:tabs>
                <w:tab w:val="left" w:pos="311"/>
              </w:tabs>
              <w:spacing w:line="240" w:lineRule="auto"/>
              <w:ind w:left="308" w:hanging="284"/>
              <w:rPr>
                <w:szCs w:val="20"/>
              </w:rPr>
            </w:pPr>
            <w:r w:rsidRPr="00B033A8">
              <w:rPr>
                <w:szCs w:val="20"/>
              </w:rPr>
              <w:t xml:space="preserve">Los tipos penales en blanco y abiertos son </w:t>
            </w:r>
            <w:r w:rsidRPr="00B033A8">
              <w:rPr>
                <w:i/>
                <w:iCs/>
                <w:szCs w:val="20"/>
              </w:rPr>
              <w:t xml:space="preserve">prima facie </w:t>
            </w:r>
            <w:r w:rsidRPr="00B033A8">
              <w:rPr>
                <w:szCs w:val="20"/>
              </w:rPr>
              <w:t xml:space="preserve">constitucionales. La Corte Constitucional ha reconocido que estos tipos penales son imperfectos o incompletos, dado que emplean fórmulas de tipificación flexibles o de remisión normativa, que generan algún grado de indeterminación o incertidumbre. Sin embargo, esto no implica que sean inconstitucionales. De acuerdo con la jurisprudencia constitucional estos tipos penales serán constitucionales siempre y cuando la indeterminación de la conducta punible sea </w:t>
            </w:r>
            <w:r w:rsidRPr="00B033A8">
              <w:rPr>
                <w:i/>
                <w:iCs/>
                <w:szCs w:val="20"/>
              </w:rPr>
              <w:t>superable</w:t>
            </w:r>
            <w:r w:rsidRPr="00B033A8">
              <w:rPr>
                <w:szCs w:val="20"/>
              </w:rPr>
              <w:t>. Esto ocurre si, a partir de las reglas generales de interpretación jurídica, es posible determinar los elementos esenciales del tipo con un grado razonable de previsibilidad, claridad y precisión.</w:t>
            </w:r>
          </w:p>
          <w:p w14:paraId="6DDABE5E" w14:textId="77777777" w:rsidR="00480C5D" w:rsidRPr="00B033A8" w:rsidRDefault="00480C5D" w:rsidP="00776641">
            <w:pPr>
              <w:pStyle w:val="Prrafodelista"/>
              <w:numPr>
                <w:ilvl w:val="0"/>
                <w:numId w:val="20"/>
              </w:numPr>
              <w:tabs>
                <w:tab w:val="left" w:pos="311"/>
              </w:tabs>
              <w:spacing w:line="240" w:lineRule="auto"/>
              <w:ind w:left="308" w:hanging="284"/>
              <w:rPr>
                <w:szCs w:val="20"/>
              </w:rPr>
            </w:pPr>
            <w:r w:rsidRPr="00B033A8">
              <w:rPr>
                <w:szCs w:val="20"/>
              </w:rPr>
              <w:t xml:space="preserve">La Corte Constitucional ha desarrollado cuatro requisitos que los tipos penales en blanco deben satisfacer para ser compatibles con el principio de legalidad estricta o tipicidad. </w:t>
            </w:r>
          </w:p>
          <w:p w14:paraId="7BC61767" w14:textId="77777777" w:rsidR="00480C5D" w:rsidRPr="00B033A8" w:rsidRDefault="00480C5D" w:rsidP="00776641">
            <w:pPr>
              <w:pStyle w:val="Prrafodelista"/>
              <w:numPr>
                <w:ilvl w:val="0"/>
                <w:numId w:val="21"/>
              </w:numPr>
              <w:tabs>
                <w:tab w:val="left" w:pos="311"/>
              </w:tabs>
              <w:spacing w:line="240" w:lineRule="auto"/>
              <w:ind w:left="733" w:hanging="439"/>
              <w:rPr>
                <w:szCs w:val="20"/>
              </w:rPr>
            </w:pPr>
            <w:r w:rsidRPr="00B033A8">
              <w:rPr>
                <w:szCs w:val="20"/>
              </w:rPr>
              <w:t xml:space="preserve">La norma de remisión debe ser claramente identificable por parte del intérprete y el destinatario de la norma penal. De acuerdo con la Corte, la remisión </w:t>
            </w:r>
            <w:r w:rsidRPr="00B033A8">
              <w:rPr>
                <w:i/>
                <w:iCs/>
                <w:szCs w:val="20"/>
              </w:rPr>
              <w:t>(a)</w:t>
            </w:r>
            <w:r w:rsidRPr="00B033A8">
              <w:rPr>
                <w:szCs w:val="20"/>
              </w:rPr>
              <w:t xml:space="preserve"> no debe ser expresa y </w:t>
            </w:r>
            <w:r w:rsidRPr="00B033A8">
              <w:rPr>
                <w:i/>
                <w:iCs/>
                <w:szCs w:val="20"/>
              </w:rPr>
              <w:t xml:space="preserve">(b) </w:t>
            </w:r>
            <w:r w:rsidRPr="00B033A8">
              <w:rPr>
                <w:szCs w:val="20"/>
              </w:rPr>
              <w:t>puede dirigirse a normatividades diversas, amplias y complejas.</w:t>
            </w:r>
          </w:p>
          <w:p w14:paraId="797CC2F9" w14:textId="77777777" w:rsidR="00480C5D" w:rsidRPr="00B033A8" w:rsidRDefault="00480C5D" w:rsidP="00776641">
            <w:pPr>
              <w:pStyle w:val="Prrafodelista"/>
              <w:numPr>
                <w:ilvl w:val="0"/>
                <w:numId w:val="21"/>
              </w:numPr>
              <w:tabs>
                <w:tab w:val="left" w:pos="311"/>
              </w:tabs>
              <w:spacing w:line="240" w:lineRule="auto"/>
              <w:ind w:left="733" w:hanging="439"/>
              <w:rPr>
                <w:szCs w:val="20"/>
              </w:rPr>
            </w:pPr>
            <w:r w:rsidRPr="00B033A8">
              <w:rPr>
                <w:szCs w:val="20"/>
              </w:rPr>
              <w:t>La norma de remisión debe existir y hacer parte del ordenamiento jurídico al momento de realizarse la conducta y de llevarse a cabo el proceso de adecuación típica.</w:t>
            </w:r>
          </w:p>
          <w:p w14:paraId="4250D4B3" w14:textId="77777777" w:rsidR="00480C5D" w:rsidRPr="00B033A8" w:rsidRDefault="00480C5D" w:rsidP="00776641">
            <w:pPr>
              <w:pStyle w:val="Prrafodelista"/>
              <w:numPr>
                <w:ilvl w:val="0"/>
                <w:numId w:val="21"/>
              </w:numPr>
              <w:tabs>
                <w:tab w:val="left" w:pos="311"/>
              </w:tabs>
              <w:spacing w:line="240" w:lineRule="auto"/>
              <w:ind w:left="733" w:hanging="439"/>
              <w:rPr>
                <w:szCs w:val="20"/>
              </w:rPr>
            </w:pPr>
            <w:r w:rsidRPr="00B033A8">
              <w:rPr>
                <w:szCs w:val="20"/>
              </w:rPr>
              <w:t xml:space="preserve">La norma de remisión debe permitir al intérprete </w:t>
            </w:r>
            <w:r w:rsidRPr="00B033A8">
              <w:rPr>
                <w:szCs w:val="20"/>
                <w:lang w:val="es-ES_tradnl"/>
              </w:rPr>
              <w:t>determinar inequívocamente el alcance de la conducta penalizada y la sanción correspondiente.</w:t>
            </w:r>
          </w:p>
          <w:p w14:paraId="2F99C43B" w14:textId="2655EB13" w:rsidR="00480C5D" w:rsidRPr="00B033A8" w:rsidRDefault="00480C5D" w:rsidP="00776641">
            <w:pPr>
              <w:pStyle w:val="Prrafodelista"/>
              <w:numPr>
                <w:ilvl w:val="0"/>
                <w:numId w:val="21"/>
              </w:numPr>
              <w:tabs>
                <w:tab w:val="left" w:pos="311"/>
              </w:tabs>
              <w:spacing w:line="240" w:lineRule="auto"/>
              <w:ind w:left="733" w:hanging="439"/>
              <w:rPr>
                <w:szCs w:val="20"/>
              </w:rPr>
            </w:pPr>
            <w:r w:rsidRPr="00B033A8">
              <w:rPr>
                <w:szCs w:val="20"/>
              </w:rPr>
              <w:t xml:space="preserve">Los tipos penales en blanco de remisión </w:t>
            </w:r>
            <w:r w:rsidR="0089129B" w:rsidRPr="00B033A8">
              <w:rPr>
                <w:i/>
                <w:iCs/>
                <w:szCs w:val="20"/>
              </w:rPr>
              <w:t>im</w:t>
            </w:r>
            <w:r w:rsidRPr="00B033A8">
              <w:rPr>
                <w:i/>
                <w:iCs/>
                <w:szCs w:val="20"/>
              </w:rPr>
              <w:t>propia</w:t>
            </w:r>
            <w:r w:rsidRPr="00B033A8">
              <w:rPr>
                <w:szCs w:val="20"/>
              </w:rPr>
              <w:t xml:space="preserve"> deben satisfacer dos requisitos adicionales, según los cuales la norma de remisión </w:t>
            </w:r>
            <w:r w:rsidRPr="00B033A8">
              <w:rPr>
                <w:i/>
                <w:iCs/>
                <w:szCs w:val="20"/>
              </w:rPr>
              <w:t>(a)</w:t>
            </w:r>
            <w:r w:rsidRPr="00B033A8">
              <w:rPr>
                <w:szCs w:val="20"/>
              </w:rPr>
              <w:t xml:space="preserve"> debe tener un alcance general y ser de conocimiento público y </w:t>
            </w:r>
            <w:r w:rsidRPr="00B033A8">
              <w:rPr>
                <w:i/>
                <w:iCs/>
                <w:szCs w:val="20"/>
              </w:rPr>
              <w:t>(b)</w:t>
            </w:r>
            <w:r w:rsidRPr="00B033A8">
              <w:rPr>
                <w:szCs w:val="20"/>
              </w:rPr>
              <w:t xml:space="preserve"> respetar los principios y valores constitucionales.</w:t>
            </w:r>
          </w:p>
          <w:p w14:paraId="31FCB5D0" w14:textId="4927FFAF" w:rsidR="00A9276D" w:rsidRPr="00B033A8" w:rsidRDefault="00A9276D" w:rsidP="00776641">
            <w:pPr>
              <w:pStyle w:val="Prrafodelista"/>
              <w:numPr>
                <w:ilvl w:val="0"/>
                <w:numId w:val="20"/>
              </w:numPr>
              <w:tabs>
                <w:tab w:val="left" w:pos="311"/>
              </w:tabs>
              <w:spacing w:line="240" w:lineRule="auto"/>
              <w:ind w:left="308" w:hanging="284"/>
              <w:rPr>
                <w:szCs w:val="20"/>
              </w:rPr>
            </w:pPr>
            <w:r w:rsidRPr="00B033A8">
              <w:rPr>
                <w:szCs w:val="20"/>
              </w:rPr>
              <w:t>Estas reglas jurisprudenciales han sido reiteradas en, entre otras, las sentencias C-917 de 2001, C-742 de 2012, C-084 de 2013, C-36</w:t>
            </w:r>
            <w:r w:rsidR="004032FD" w:rsidRPr="00B033A8">
              <w:rPr>
                <w:szCs w:val="20"/>
              </w:rPr>
              <w:t>7</w:t>
            </w:r>
            <w:r w:rsidRPr="00B033A8">
              <w:rPr>
                <w:szCs w:val="20"/>
              </w:rPr>
              <w:t xml:space="preserve"> de 2022, C-411 de 2022 y C-021 de 2023</w:t>
            </w:r>
            <w:r w:rsidR="00DF36D6" w:rsidRPr="00B033A8">
              <w:rPr>
                <w:szCs w:val="20"/>
              </w:rPr>
              <w:t xml:space="preserve">. En estas decisiones la Corte ha declarado la </w:t>
            </w:r>
            <w:proofErr w:type="spellStart"/>
            <w:r w:rsidR="00DF36D6" w:rsidRPr="00B033A8">
              <w:rPr>
                <w:szCs w:val="20"/>
              </w:rPr>
              <w:t>exequibilidad</w:t>
            </w:r>
            <w:proofErr w:type="spellEnd"/>
            <w:r w:rsidR="00DF36D6" w:rsidRPr="00B033A8">
              <w:rPr>
                <w:szCs w:val="20"/>
              </w:rPr>
              <w:t xml:space="preserve"> de </w:t>
            </w:r>
            <w:r w:rsidR="004A17CC" w:rsidRPr="00B033A8">
              <w:rPr>
                <w:szCs w:val="20"/>
              </w:rPr>
              <w:t xml:space="preserve">tipos penales que, al tipificar la conducta sancionable, emplean </w:t>
            </w:r>
            <w:r w:rsidR="00DF36D6" w:rsidRPr="00B033A8">
              <w:rPr>
                <w:szCs w:val="20"/>
              </w:rPr>
              <w:t>expresiones o fórmulas de remisión normativa tales como “sin el lleno de requisitos legales”, “con</w:t>
            </w:r>
            <w:r w:rsidR="004A17CC" w:rsidRPr="00B033A8">
              <w:rPr>
                <w:szCs w:val="20"/>
              </w:rPr>
              <w:t xml:space="preserve"> incumplimiento de la normatividad vigente”</w:t>
            </w:r>
            <w:r w:rsidR="00D7535D" w:rsidRPr="00B033A8">
              <w:rPr>
                <w:szCs w:val="20"/>
              </w:rPr>
              <w:t xml:space="preserve">, “sin observancia de los requisitos legales esenciales” y “medios ilícitos”. La Corte ha reconocido que estas fórmulas de remisión son comunes en la tipificación de conductas punibles y </w:t>
            </w:r>
            <w:r w:rsidR="00C054A4" w:rsidRPr="00B033A8">
              <w:rPr>
                <w:szCs w:val="20"/>
              </w:rPr>
              <w:t xml:space="preserve">son </w:t>
            </w:r>
            <w:r w:rsidR="00C054A4" w:rsidRPr="00B033A8">
              <w:rPr>
                <w:i/>
                <w:iCs/>
                <w:szCs w:val="20"/>
              </w:rPr>
              <w:t>prima facie</w:t>
            </w:r>
            <w:r w:rsidR="00C054A4" w:rsidRPr="00B033A8">
              <w:rPr>
                <w:szCs w:val="20"/>
              </w:rPr>
              <w:t xml:space="preserve"> constitucionales</w:t>
            </w:r>
            <w:r w:rsidR="00D7535D" w:rsidRPr="00B033A8">
              <w:rPr>
                <w:szCs w:val="20"/>
              </w:rPr>
              <w:t>. Lo anterio</w:t>
            </w:r>
            <w:r w:rsidR="00C054A4" w:rsidRPr="00B033A8">
              <w:rPr>
                <w:szCs w:val="20"/>
              </w:rPr>
              <w:t>r</w:t>
            </w:r>
            <w:r w:rsidR="00D7535D" w:rsidRPr="00B033A8">
              <w:rPr>
                <w:szCs w:val="20"/>
              </w:rPr>
              <w:t xml:space="preserve">, a menos de que su significado no sea determinable o el régimen </w:t>
            </w:r>
            <w:r w:rsidR="00C054A4" w:rsidRPr="00B033A8">
              <w:rPr>
                <w:szCs w:val="20"/>
              </w:rPr>
              <w:t>d</w:t>
            </w:r>
            <w:r w:rsidR="00D7535D" w:rsidRPr="00B033A8">
              <w:rPr>
                <w:szCs w:val="20"/>
              </w:rPr>
              <w:t xml:space="preserve">e remisión carezca de una lógica y </w:t>
            </w:r>
            <w:r w:rsidR="00E80A40" w:rsidRPr="00B033A8">
              <w:rPr>
                <w:szCs w:val="20"/>
              </w:rPr>
              <w:t>coherencia interna</w:t>
            </w:r>
            <w:r w:rsidR="00D7535D" w:rsidRPr="00B033A8">
              <w:rPr>
                <w:szCs w:val="20"/>
              </w:rPr>
              <w:t xml:space="preserve"> que impida precisar </w:t>
            </w:r>
            <w:r w:rsidR="00E80A40" w:rsidRPr="00B033A8">
              <w:rPr>
                <w:szCs w:val="20"/>
              </w:rPr>
              <w:t xml:space="preserve">razonablemente </w:t>
            </w:r>
            <w:r w:rsidR="00D7535D" w:rsidRPr="00B033A8">
              <w:rPr>
                <w:szCs w:val="20"/>
              </w:rPr>
              <w:t xml:space="preserve">el alcance de la conducta punible. </w:t>
            </w:r>
          </w:p>
        </w:tc>
      </w:tr>
    </w:tbl>
    <w:p w14:paraId="176EB1BF" w14:textId="55F7BF2C" w:rsidR="00C14A35" w:rsidRPr="00B033A8" w:rsidRDefault="00C14A35" w:rsidP="00776641">
      <w:pPr>
        <w:tabs>
          <w:tab w:val="left" w:pos="567"/>
        </w:tabs>
        <w:jc w:val="center"/>
        <w:rPr>
          <w:rFonts w:cs="Times New Roman"/>
          <w:szCs w:val="16"/>
        </w:rPr>
      </w:pPr>
      <w:r w:rsidRPr="00B033A8">
        <w:rPr>
          <w:rFonts w:cs="Times New Roman"/>
          <w:szCs w:val="16"/>
        </w:rPr>
        <w:lastRenderedPageBreak/>
        <w:t xml:space="preserve">-Tabla </w:t>
      </w:r>
      <w:r w:rsidR="00EB5086" w:rsidRPr="00B033A8">
        <w:rPr>
          <w:rFonts w:cs="Times New Roman"/>
          <w:szCs w:val="16"/>
        </w:rPr>
        <w:t>3</w:t>
      </w:r>
      <w:r w:rsidRPr="00B033A8">
        <w:rPr>
          <w:rFonts w:cs="Times New Roman"/>
          <w:szCs w:val="16"/>
        </w:rPr>
        <w:t>-</w:t>
      </w:r>
    </w:p>
    <w:p w14:paraId="3B6DE121" w14:textId="77777777" w:rsidR="001441A0" w:rsidRPr="00B033A8" w:rsidRDefault="001441A0" w:rsidP="00776641">
      <w:pPr>
        <w:tabs>
          <w:tab w:val="left" w:pos="567"/>
        </w:tabs>
        <w:rPr>
          <w:rFonts w:cs="Times New Roman"/>
          <w:szCs w:val="28"/>
        </w:rPr>
      </w:pPr>
    </w:p>
    <w:p w14:paraId="10293189" w14:textId="4174F12A" w:rsidR="00331EAC" w:rsidRPr="00B033A8" w:rsidRDefault="00331EAC" w:rsidP="00776641">
      <w:pPr>
        <w:pStyle w:val="Ttulo2"/>
        <w:numPr>
          <w:ilvl w:val="0"/>
          <w:numId w:val="15"/>
        </w:numPr>
        <w:ind w:left="851" w:hanging="567"/>
        <w:rPr>
          <w:rFonts w:cs="Times New Roman"/>
        </w:rPr>
      </w:pPr>
      <w:r w:rsidRPr="00B033A8">
        <w:rPr>
          <w:rFonts w:cs="Times New Roman"/>
        </w:rPr>
        <w:t>Examen de constitucionalidad de la norma demandada</w:t>
      </w:r>
    </w:p>
    <w:p w14:paraId="54328461" w14:textId="77777777" w:rsidR="00FD7233" w:rsidRPr="00B033A8" w:rsidRDefault="00FD7233" w:rsidP="00776641">
      <w:pPr>
        <w:rPr>
          <w:rFonts w:cs="Times New Roman"/>
        </w:rPr>
      </w:pPr>
    </w:p>
    <w:p w14:paraId="1C18EC0B" w14:textId="1A5FD5FF" w:rsidR="00F440BA" w:rsidRPr="00B033A8" w:rsidRDefault="00695008" w:rsidP="00776641">
      <w:pPr>
        <w:pStyle w:val="Prrafodelista"/>
        <w:numPr>
          <w:ilvl w:val="0"/>
          <w:numId w:val="12"/>
        </w:numPr>
        <w:tabs>
          <w:tab w:val="left" w:pos="567"/>
        </w:tabs>
        <w:spacing w:line="240" w:lineRule="auto"/>
        <w:ind w:left="0" w:firstLine="0"/>
      </w:pPr>
      <w:r w:rsidRPr="00B033A8">
        <w:t>En este acápite, l</w:t>
      </w:r>
      <w:r w:rsidR="00113D98" w:rsidRPr="00B033A8">
        <w:t>a Sala Plena</w:t>
      </w:r>
      <w:r w:rsidR="00D50210" w:rsidRPr="00B033A8">
        <w:t xml:space="preserve"> abordará el examen de constitucionalidad de la norma demandada</w:t>
      </w:r>
      <w:r w:rsidRPr="00B033A8">
        <w:t xml:space="preserve"> </w:t>
      </w:r>
      <w:r w:rsidR="00D50210" w:rsidRPr="00B033A8">
        <w:t xml:space="preserve">en </w:t>
      </w:r>
      <w:r w:rsidRPr="00B033A8">
        <w:t>dos</w:t>
      </w:r>
      <w:r w:rsidR="00D50210" w:rsidRPr="00B033A8">
        <w:t xml:space="preserve"> secciones. En la primera, delimitará el contexto y contenido del artículo 410A del Código Penal</w:t>
      </w:r>
      <w:r w:rsidR="004E7E7C" w:rsidRPr="00B033A8">
        <w:t xml:space="preserve"> (</w:t>
      </w:r>
      <w:r w:rsidR="004E7E7C" w:rsidRPr="00B033A8">
        <w:rPr>
          <w:b/>
          <w:bCs/>
          <w:color w:val="000000" w:themeColor="text1"/>
        </w:rPr>
        <w:t xml:space="preserve">sección </w:t>
      </w:r>
      <w:r w:rsidR="004E7E7C" w:rsidRPr="00B033A8">
        <w:rPr>
          <w:b/>
          <w:bCs/>
          <w:color w:val="000000" w:themeColor="text1"/>
        </w:rPr>
        <w:fldChar w:fldCharType="begin"/>
      </w:r>
      <w:r w:rsidR="004E7E7C" w:rsidRPr="00B033A8">
        <w:rPr>
          <w:b/>
          <w:bCs/>
          <w:color w:val="000000" w:themeColor="text1"/>
        </w:rPr>
        <w:instrText xml:space="preserve"> REF _Ref192601335 \r \h </w:instrText>
      </w:r>
      <w:r w:rsidR="00724442" w:rsidRPr="00B033A8">
        <w:rPr>
          <w:b/>
          <w:bCs/>
          <w:color w:val="000000" w:themeColor="text1"/>
        </w:rPr>
        <w:instrText xml:space="preserve"> \* MERGEFORMAT </w:instrText>
      </w:r>
      <w:r w:rsidR="004E7E7C" w:rsidRPr="00B033A8">
        <w:rPr>
          <w:b/>
          <w:bCs/>
          <w:color w:val="000000" w:themeColor="text1"/>
        </w:rPr>
      </w:r>
      <w:r w:rsidR="004E7E7C" w:rsidRPr="00B033A8">
        <w:rPr>
          <w:b/>
          <w:bCs/>
          <w:color w:val="000000" w:themeColor="text1"/>
        </w:rPr>
        <w:fldChar w:fldCharType="separate"/>
      </w:r>
      <w:r w:rsidR="00D543DB" w:rsidRPr="00B033A8">
        <w:rPr>
          <w:b/>
          <w:bCs/>
          <w:color w:val="000000" w:themeColor="text1"/>
        </w:rPr>
        <w:t>4.1</w:t>
      </w:r>
      <w:r w:rsidR="004E7E7C" w:rsidRPr="00B033A8">
        <w:rPr>
          <w:b/>
          <w:bCs/>
          <w:color w:val="000000" w:themeColor="text1"/>
        </w:rPr>
        <w:fldChar w:fldCharType="end"/>
      </w:r>
      <w:r w:rsidR="004E7E7C" w:rsidRPr="00B033A8">
        <w:rPr>
          <w:b/>
          <w:bCs/>
          <w:color w:val="000000" w:themeColor="text1"/>
        </w:rPr>
        <w:t xml:space="preserve"> </w:t>
      </w:r>
      <w:r w:rsidR="004E7E7C" w:rsidRPr="00B033A8">
        <w:rPr>
          <w:b/>
          <w:bCs/>
          <w:i/>
          <w:iCs/>
          <w:color w:val="000000" w:themeColor="text1"/>
        </w:rPr>
        <w:t>infra</w:t>
      </w:r>
      <w:r w:rsidR="004E7E7C" w:rsidRPr="00B033A8">
        <w:rPr>
          <w:b/>
          <w:bCs/>
          <w:color w:val="000000" w:themeColor="text1"/>
        </w:rPr>
        <w:t>)</w:t>
      </w:r>
      <w:r w:rsidR="00D50210" w:rsidRPr="00B033A8">
        <w:t xml:space="preserve">. </w:t>
      </w:r>
      <w:r w:rsidR="00851A08" w:rsidRPr="00B033A8">
        <w:t xml:space="preserve">En concreto, la Sala </w:t>
      </w:r>
      <w:r w:rsidR="00206C71" w:rsidRPr="00B033A8">
        <w:t xml:space="preserve">Plena </w:t>
      </w:r>
      <w:r w:rsidR="00851A08" w:rsidRPr="00B033A8">
        <w:t>se referirá a los antecedentes legislativos y de</w:t>
      </w:r>
      <w:r w:rsidRPr="00B033A8">
        <w:t>scribirá</w:t>
      </w:r>
      <w:r w:rsidR="00851A08" w:rsidRPr="00B033A8">
        <w:t xml:space="preserve"> los elementos</w:t>
      </w:r>
      <w:r w:rsidR="00CD2F6A" w:rsidRPr="00B033A8">
        <w:t xml:space="preserve"> estructurales del tipo penal. En la segunda</w:t>
      </w:r>
      <w:r w:rsidR="004E7D09" w:rsidRPr="00B033A8">
        <w:t xml:space="preserve">, examinará si la disposición demandada vulnera el </w:t>
      </w:r>
      <w:r w:rsidRPr="00B033A8">
        <w:t>principio de legalidad estricta o tipicidad</w:t>
      </w:r>
      <w:r w:rsidR="00F1264B" w:rsidRPr="00B033A8">
        <w:t xml:space="preserve"> </w:t>
      </w:r>
      <w:r w:rsidR="004E7D09" w:rsidRPr="00B033A8">
        <w:t>(</w:t>
      </w:r>
      <w:r w:rsidR="004E7D09" w:rsidRPr="00B033A8">
        <w:rPr>
          <w:b/>
          <w:bCs/>
          <w:color w:val="000000" w:themeColor="text1"/>
        </w:rPr>
        <w:t xml:space="preserve">sección </w:t>
      </w:r>
      <w:r w:rsidR="004E7D09" w:rsidRPr="00B033A8">
        <w:rPr>
          <w:b/>
          <w:bCs/>
          <w:color w:val="000000" w:themeColor="text1"/>
        </w:rPr>
        <w:fldChar w:fldCharType="begin"/>
      </w:r>
      <w:r w:rsidR="004E7D09" w:rsidRPr="00B033A8">
        <w:rPr>
          <w:b/>
          <w:bCs/>
          <w:color w:val="000000" w:themeColor="text1"/>
        </w:rPr>
        <w:instrText xml:space="preserve"> REF _Ref190810180 \r \h </w:instrText>
      </w:r>
      <w:r w:rsidR="00592353" w:rsidRPr="00B033A8">
        <w:rPr>
          <w:b/>
          <w:bCs/>
          <w:color w:val="000000" w:themeColor="text1"/>
        </w:rPr>
        <w:instrText xml:space="preserve"> \* MERGEFORMAT </w:instrText>
      </w:r>
      <w:r w:rsidR="004E7D09" w:rsidRPr="00B033A8">
        <w:rPr>
          <w:b/>
          <w:bCs/>
          <w:color w:val="000000" w:themeColor="text1"/>
        </w:rPr>
      </w:r>
      <w:r w:rsidR="004E7D09" w:rsidRPr="00B033A8">
        <w:rPr>
          <w:b/>
          <w:bCs/>
          <w:color w:val="000000" w:themeColor="text1"/>
        </w:rPr>
        <w:fldChar w:fldCharType="separate"/>
      </w:r>
      <w:r w:rsidR="00D543DB" w:rsidRPr="00B033A8">
        <w:rPr>
          <w:b/>
          <w:bCs/>
          <w:color w:val="000000" w:themeColor="text1"/>
        </w:rPr>
        <w:t>4.2</w:t>
      </w:r>
      <w:r w:rsidR="004E7D09" w:rsidRPr="00B033A8">
        <w:rPr>
          <w:b/>
          <w:bCs/>
          <w:color w:val="000000" w:themeColor="text1"/>
        </w:rPr>
        <w:fldChar w:fldCharType="end"/>
      </w:r>
      <w:r w:rsidR="004E7D09" w:rsidRPr="00B033A8">
        <w:rPr>
          <w:b/>
          <w:bCs/>
          <w:color w:val="000000" w:themeColor="text1"/>
        </w:rPr>
        <w:t xml:space="preserve"> </w:t>
      </w:r>
      <w:r w:rsidR="004E7D09" w:rsidRPr="00B033A8">
        <w:rPr>
          <w:b/>
          <w:bCs/>
          <w:i/>
          <w:iCs/>
          <w:color w:val="000000" w:themeColor="text1"/>
        </w:rPr>
        <w:t>infra</w:t>
      </w:r>
      <w:r w:rsidR="004E7D09" w:rsidRPr="00B033A8">
        <w:rPr>
          <w:b/>
          <w:bCs/>
          <w:color w:val="000000" w:themeColor="text1"/>
        </w:rPr>
        <w:t>)</w:t>
      </w:r>
      <w:r w:rsidR="004E7D09" w:rsidRPr="00B033A8">
        <w:t>.</w:t>
      </w:r>
      <w:r w:rsidR="00D50210" w:rsidRPr="00B033A8">
        <w:t xml:space="preserve"> </w:t>
      </w:r>
    </w:p>
    <w:p w14:paraId="7A28DDDB" w14:textId="77777777" w:rsidR="004E7D09" w:rsidRPr="00B033A8" w:rsidRDefault="004E7D09" w:rsidP="00776641">
      <w:pPr>
        <w:pStyle w:val="Prrafodelista"/>
        <w:tabs>
          <w:tab w:val="left" w:pos="567"/>
        </w:tabs>
        <w:spacing w:line="240" w:lineRule="auto"/>
        <w:ind w:left="0"/>
      </w:pPr>
    </w:p>
    <w:p w14:paraId="7F02FF96" w14:textId="5693848F" w:rsidR="004E3D83" w:rsidRPr="00B033A8" w:rsidRDefault="004E3D83" w:rsidP="00776641">
      <w:pPr>
        <w:pStyle w:val="Ttulo2"/>
        <w:numPr>
          <w:ilvl w:val="1"/>
          <w:numId w:val="15"/>
        </w:numPr>
        <w:ind w:left="851" w:hanging="567"/>
        <w:rPr>
          <w:rFonts w:cs="Times New Roman"/>
        </w:rPr>
      </w:pPr>
      <w:bookmarkStart w:id="7" w:name="_Ref192601335"/>
      <w:r w:rsidRPr="00B033A8">
        <w:rPr>
          <w:rFonts w:cs="Times New Roman"/>
        </w:rPr>
        <w:t>El artículo 410A del Código Penal.</w:t>
      </w:r>
      <w:r w:rsidR="00803399" w:rsidRPr="00B033A8">
        <w:rPr>
          <w:rFonts w:cs="Times New Roman"/>
        </w:rPr>
        <w:t xml:space="preserve"> Contexto y contenido normativo</w:t>
      </w:r>
      <w:bookmarkEnd w:id="7"/>
    </w:p>
    <w:p w14:paraId="15735F44" w14:textId="77777777" w:rsidR="004E3D83" w:rsidRPr="00B033A8" w:rsidRDefault="004E3D83" w:rsidP="00776641">
      <w:pPr>
        <w:tabs>
          <w:tab w:val="left" w:pos="567"/>
        </w:tabs>
        <w:rPr>
          <w:rFonts w:cs="Times New Roman"/>
        </w:rPr>
      </w:pPr>
    </w:p>
    <w:p w14:paraId="0C9E2DDD" w14:textId="643B168B" w:rsidR="000C03CA" w:rsidRPr="00B033A8" w:rsidRDefault="000C03CA" w:rsidP="00776641">
      <w:pPr>
        <w:pStyle w:val="Ttulo3"/>
        <w:numPr>
          <w:ilvl w:val="2"/>
          <w:numId w:val="15"/>
        </w:numPr>
        <w:spacing w:before="0"/>
        <w:ind w:left="1134" w:hanging="708"/>
        <w:rPr>
          <w:rFonts w:cs="Times New Roman"/>
        </w:rPr>
      </w:pPr>
      <w:bookmarkStart w:id="8" w:name="_Ref190810096"/>
      <w:r w:rsidRPr="00B033A8">
        <w:rPr>
          <w:rFonts w:cs="Times New Roman"/>
        </w:rPr>
        <w:t>Antecedentes legislativos</w:t>
      </w:r>
      <w:bookmarkEnd w:id="8"/>
      <w:r w:rsidRPr="00B033A8">
        <w:rPr>
          <w:rFonts w:cs="Times New Roman"/>
        </w:rPr>
        <w:t xml:space="preserve"> </w:t>
      </w:r>
    </w:p>
    <w:p w14:paraId="2B523088" w14:textId="77777777" w:rsidR="000C03CA" w:rsidRPr="00B033A8" w:rsidRDefault="000C03CA" w:rsidP="00776641">
      <w:pPr>
        <w:tabs>
          <w:tab w:val="left" w:pos="851"/>
        </w:tabs>
        <w:rPr>
          <w:rFonts w:cs="Times New Roman"/>
        </w:rPr>
      </w:pPr>
    </w:p>
    <w:p w14:paraId="0B1CA28F" w14:textId="77777777" w:rsidR="000C03CA" w:rsidRPr="00B033A8" w:rsidRDefault="000C03CA" w:rsidP="00776641">
      <w:pPr>
        <w:numPr>
          <w:ilvl w:val="0"/>
          <w:numId w:val="12"/>
        </w:numPr>
        <w:tabs>
          <w:tab w:val="left" w:pos="851"/>
        </w:tabs>
        <w:ind w:left="0" w:firstLine="0"/>
        <w:rPr>
          <w:rFonts w:cs="Times New Roman"/>
        </w:rPr>
      </w:pPr>
      <w:r w:rsidRPr="00B033A8">
        <w:rPr>
          <w:rFonts w:cs="Times New Roman"/>
        </w:rPr>
        <w:t>El 12 de julio de 2011, el Congreso de la República expidió la Ley 1474 de 2011, “por la cual se dictan normas orientadas a fortalecer los mecanismos de prevención, investigación y sanción de actos de corrupción y la efectividad del control de la gestión pública”. Esta ley tuvo como objeto</w:t>
      </w:r>
      <w:r w:rsidRPr="00B033A8">
        <w:rPr>
          <w:rFonts w:cs="Times New Roman"/>
          <w:lang w:eastAsia="es-MX"/>
        </w:rPr>
        <w:t xml:space="preserve"> general </w:t>
      </w:r>
      <w:r w:rsidRPr="00B033A8">
        <w:rPr>
          <w:rFonts w:cs="Times New Roman"/>
        </w:rPr>
        <w:t>“introducir nuevas disposiciones que se ajusten a las necesidades actuales que la lucha contra la corrupción exige, propendiendo subsanar e integrar aquellos aspectos en los cuales se requiere una acción contundente”</w:t>
      </w:r>
      <w:r w:rsidRPr="00B033A8">
        <w:rPr>
          <w:rStyle w:val="Refdenotaalpie"/>
          <w:rFonts w:cs="Times New Roman"/>
        </w:rPr>
        <w:footnoteReference w:id="156"/>
      </w:r>
      <w:r w:rsidRPr="00B033A8">
        <w:rPr>
          <w:rFonts w:cs="Times New Roman"/>
        </w:rPr>
        <w:t xml:space="preserve">. </w:t>
      </w:r>
      <w:r w:rsidRPr="00B033A8">
        <w:rPr>
          <w:rFonts w:cs="Times New Roman"/>
          <w:lang w:eastAsia="es-MX"/>
        </w:rPr>
        <w:t>El capítulo II de la Ley 1474 de 2011 creó “medidas penales en la lucha contra la corrupción pública y privada”</w:t>
      </w:r>
      <w:r w:rsidRPr="00B033A8">
        <w:rPr>
          <w:rStyle w:val="Refdenotaalpie"/>
          <w:rFonts w:cs="Times New Roman"/>
          <w:lang w:eastAsia="es-MX"/>
        </w:rPr>
        <w:footnoteReference w:id="157"/>
      </w:r>
      <w:r w:rsidRPr="00B033A8">
        <w:rPr>
          <w:rFonts w:cs="Times New Roman"/>
          <w:lang w:eastAsia="es-MX"/>
        </w:rPr>
        <w:t xml:space="preserve">. Estas medidas penales se implementaron con la finalidad de: </w:t>
      </w:r>
      <w:r w:rsidRPr="00B033A8">
        <w:rPr>
          <w:rFonts w:cs="Times New Roman"/>
          <w:i/>
          <w:iCs/>
          <w:lang w:eastAsia="es-MX"/>
        </w:rPr>
        <w:t xml:space="preserve">(i) </w:t>
      </w:r>
      <w:r w:rsidRPr="00B033A8">
        <w:rPr>
          <w:rFonts w:cs="Times New Roman"/>
          <w:lang w:eastAsia="es-MX"/>
        </w:rPr>
        <w:t>permitir al Estado</w:t>
      </w:r>
      <w:r w:rsidRPr="00B033A8">
        <w:rPr>
          <w:rFonts w:cs="Times New Roman"/>
        </w:rPr>
        <w:t xml:space="preserve"> </w:t>
      </w:r>
      <w:r w:rsidRPr="00B033A8">
        <w:rPr>
          <w:rFonts w:cs="Times New Roman"/>
          <w:lang w:val="es-MX"/>
        </w:rPr>
        <w:t>“ejercer una</w:t>
      </w:r>
      <w:r w:rsidRPr="00B033A8">
        <w:rPr>
          <w:rFonts w:cs="Times New Roman"/>
        </w:rPr>
        <w:t xml:space="preserve"> </w:t>
      </w:r>
      <w:r w:rsidRPr="00B033A8">
        <w:rPr>
          <w:rFonts w:cs="Times New Roman"/>
          <w:lang w:val="es-MX"/>
        </w:rPr>
        <w:t>represión del fenómeno”</w:t>
      </w:r>
      <w:r w:rsidRPr="00B033A8">
        <w:rPr>
          <w:rStyle w:val="Refdenotaalpie"/>
          <w:rFonts w:cs="Times New Roman"/>
          <w:lang w:val="es-MX"/>
        </w:rPr>
        <w:footnoteReference w:id="158"/>
      </w:r>
      <w:r w:rsidRPr="00B033A8">
        <w:rPr>
          <w:rFonts w:cs="Times New Roman"/>
          <w:lang w:val="es-MX"/>
        </w:rPr>
        <w:t xml:space="preserve"> de la corrupción, </w:t>
      </w:r>
      <w:r w:rsidRPr="00B033A8">
        <w:rPr>
          <w:rFonts w:cs="Times New Roman"/>
          <w:i/>
          <w:iCs/>
          <w:lang w:val="es-MX"/>
        </w:rPr>
        <w:t>(</w:t>
      </w:r>
      <w:proofErr w:type="spellStart"/>
      <w:r w:rsidRPr="00B033A8">
        <w:rPr>
          <w:rFonts w:cs="Times New Roman"/>
          <w:i/>
          <w:iCs/>
          <w:lang w:val="es-MX"/>
        </w:rPr>
        <w:t>ii</w:t>
      </w:r>
      <w:proofErr w:type="spellEnd"/>
      <w:r w:rsidRPr="00B033A8">
        <w:rPr>
          <w:rFonts w:cs="Times New Roman"/>
          <w:i/>
          <w:iCs/>
          <w:lang w:val="es-MX"/>
        </w:rPr>
        <w:t xml:space="preserve">) </w:t>
      </w:r>
      <w:r w:rsidRPr="00B033A8">
        <w:rPr>
          <w:rFonts w:cs="Times New Roman"/>
          <w:lang w:val="es-MX"/>
        </w:rPr>
        <w:t>“hacer un llamado</w:t>
      </w:r>
      <w:r w:rsidRPr="00B033A8">
        <w:rPr>
          <w:rFonts w:cs="Times New Roman"/>
        </w:rPr>
        <w:t xml:space="preserve"> </w:t>
      </w:r>
      <w:r w:rsidRPr="00B033A8">
        <w:rPr>
          <w:rFonts w:cs="Times New Roman"/>
          <w:lang w:val="es-MX"/>
        </w:rPr>
        <w:t>preventivo general a que las personas que</w:t>
      </w:r>
      <w:r w:rsidRPr="00B033A8">
        <w:rPr>
          <w:rFonts w:cs="Times New Roman"/>
        </w:rPr>
        <w:t xml:space="preserve"> </w:t>
      </w:r>
      <w:r w:rsidRPr="00B033A8">
        <w:rPr>
          <w:rFonts w:cs="Times New Roman"/>
          <w:lang w:val="es-MX"/>
        </w:rPr>
        <w:t>piensan incurrir en un acto de corrupción desistan”</w:t>
      </w:r>
      <w:r w:rsidRPr="00B033A8">
        <w:rPr>
          <w:rStyle w:val="Refdenotaalpie"/>
          <w:rFonts w:cs="Times New Roman"/>
          <w:lang w:val="es-MX"/>
        </w:rPr>
        <w:footnoteReference w:id="159"/>
      </w:r>
      <w:r w:rsidRPr="00B033A8">
        <w:rPr>
          <w:rFonts w:cs="Times New Roman"/>
          <w:lang w:val="es-MX"/>
        </w:rPr>
        <w:t xml:space="preserve"> y </w:t>
      </w:r>
      <w:r w:rsidRPr="00B033A8">
        <w:rPr>
          <w:rFonts w:cs="Times New Roman"/>
          <w:i/>
          <w:iCs/>
          <w:lang w:val="es-MX"/>
        </w:rPr>
        <w:t>(</w:t>
      </w:r>
      <w:proofErr w:type="spellStart"/>
      <w:r w:rsidRPr="00B033A8">
        <w:rPr>
          <w:rFonts w:cs="Times New Roman"/>
          <w:i/>
          <w:iCs/>
          <w:lang w:val="es-MX"/>
        </w:rPr>
        <w:t>iii</w:t>
      </w:r>
      <w:proofErr w:type="spellEnd"/>
      <w:r w:rsidRPr="00B033A8">
        <w:rPr>
          <w:rFonts w:cs="Times New Roman"/>
          <w:i/>
          <w:iCs/>
          <w:lang w:val="es-MX"/>
        </w:rPr>
        <w:t>)</w:t>
      </w:r>
      <w:r w:rsidRPr="00B033A8">
        <w:rPr>
          <w:rFonts w:cs="Times New Roman"/>
          <w:lang w:val="es-MX"/>
        </w:rPr>
        <w:t xml:space="preserve"> “</w:t>
      </w:r>
      <w:r w:rsidRPr="00B033A8">
        <w:rPr>
          <w:rFonts w:cs="Times New Roman"/>
        </w:rPr>
        <w:t>evitar la impunidad de eventos que presentan características especiales que los diferencian de otros delitos”</w:t>
      </w:r>
      <w:r w:rsidRPr="00B033A8">
        <w:rPr>
          <w:rStyle w:val="Refdenotaalpie"/>
          <w:rFonts w:cs="Times New Roman"/>
        </w:rPr>
        <w:footnoteReference w:id="160"/>
      </w:r>
      <w:r w:rsidRPr="00B033A8">
        <w:rPr>
          <w:rFonts w:cs="Times New Roman"/>
        </w:rPr>
        <w:t xml:space="preserve">. </w:t>
      </w:r>
    </w:p>
    <w:p w14:paraId="6494F08F" w14:textId="77777777" w:rsidR="000C03CA" w:rsidRPr="00B033A8" w:rsidRDefault="000C03CA" w:rsidP="00776641">
      <w:pPr>
        <w:pStyle w:val="Prrafodelista"/>
        <w:spacing w:line="240" w:lineRule="auto"/>
        <w:rPr>
          <w:lang w:eastAsia="es-MX"/>
        </w:rPr>
      </w:pPr>
    </w:p>
    <w:p w14:paraId="40DD8906" w14:textId="47891DE8" w:rsidR="000C03CA" w:rsidRPr="00B033A8" w:rsidRDefault="000C03CA" w:rsidP="00776641">
      <w:pPr>
        <w:numPr>
          <w:ilvl w:val="0"/>
          <w:numId w:val="12"/>
        </w:numPr>
        <w:tabs>
          <w:tab w:val="left" w:pos="851"/>
        </w:tabs>
        <w:ind w:left="0" w:firstLine="0"/>
        <w:rPr>
          <w:rFonts w:cs="Times New Roman"/>
        </w:rPr>
      </w:pPr>
      <w:bookmarkStart w:id="9" w:name="_Ref190877427"/>
      <w:r w:rsidRPr="00B033A8">
        <w:rPr>
          <w:rFonts w:cs="Times New Roman"/>
          <w:lang w:eastAsia="es-MX"/>
        </w:rPr>
        <w:t>El artículo 27 de la Ley 1474 de 2011, mediante el cual se adicionó el artículo 410A del Código Penal, creó el tipo penal denominado “Acuerdos restrictivos de la competencia”</w:t>
      </w:r>
      <w:r w:rsidRPr="00B033A8">
        <w:rPr>
          <w:rStyle w:val="Refdenotaalpie"/>
          <w:rFonts w:cs="Times New Roman"/>
          <w:lang w:eastAsia="es-MX"/>
        </w:rPr>
        <w:footnoteReference w:id="161"/>
      </w:r>
      <w:r w:rsidRPr="00B033A8">
        <w:rPr>
          <w:rFonts w:cs="Times New Roman"/>
          <w:lang w:eastAsia="es-MX"/>
        </w:rPr>
        <w:t>. De acuerdo con la exposición de motivos, la creación de este tipo penal buscaba “sancionar fundamentalmente los</w:t>
      </w:r>
      <w:r w:rsidRPr="00B033A8">
        <w:rPr>
          <w:rFonts w:cs="Times New Roman"/>
        </w:rPr>
        <w:t xml:space="preserve"> </w:t>
      </w:r>
      <w:r w:rsidRPr="00B033A8">
        <w:rPr>
          <w:rFonts w:cs="Times New Roman"/>
          <w:lang w:eastAsia="es-MX"/>
        </w:rPr>
        <w:t>ya frecuentes casos en los cuales los proponentes</w:t>
      </w:r>
      <w:r w:rsidRPr="00B033A8">
        <w:rPr>
          <w:rFonts w:cs="Times New Roman"/>
        </w:rPr>
        <w:t xml:space="preserve"> </w:t>
      </w:r>
      <w:r w:rsidRPr="00B033A8">
        <w:rPr>
          <w:rFonts w:cs="Times New Roman"/>
          <w:lang w:eastAsia="es-MX"/>
        </w:rPr>
        <w:t>de un proceso precontractual se ponen de acuerdo</w:t>
      </w:r>
      <w:r w:rsidRPr="00B033A8">
        <w:rPr>
          <w:rFonts w:cs="Times New Roman"/>
        </w:rPr>
        <w:t xml:space="preserve"> </w:t>
      </w:r>
      <w:r w:rsidRPr="00B033A8">
        <w:rPr>
          <w:rFonts w:cs="Times New Roman"/>
          <w:lang w:eastAsia="es-MX"/>
        </w:rPr>
        <w:t>para engañar al Estado”</w:t>
      </w:r>
      <w:r w:rsidRPr="00B033A8">
        <w:rPr>
          <w:rStyle w:val="Refdenotaalpie"/>
          <w:rFonts w:cs="Times New Roman"/>
          <w:lang w:eastAsia="es-MX"/>
        </w:rPr>
        <w:footnoteReference w:id="162"/>
      </w:r>
      <w:r w:rsidRPr="00B033A8">
        <w:rPr>
          <w:rFonts w:cs="Times New Roman"/>
          <w:lang w:eastAsia="es-MX"/>
        </w:rPr>
        <w:t>. Durante el trámite legislativo, varios congresistas coincidieron en la importancia de sancionar penalmente “los acuerdos restrictivos de la competencia en materia de contratación”</w:t>
      </w:r>
      <w:r w:rsidRPr="00B033A8">
        <w:rPr>
          <w:rStyle w:val="Refdenotaalpie"/>
          <w:rFonts w:cs="Times New Roman"/>
          <w:lang w:eastAsia="es-MX"/>
        </w:rPr>
        <w:footnoteReference w:id="163"/>
      </w:r>
      <w:r w:rsidRPr="00B033A8">
        <w:rPr>
          <w:rFonts w:cs="Times New Roman"/>
          <w:lang w:eastAsia="es-MX"/>
        </w:rPr>
        <w:t xml:space="preserve"> pública. Esto es, los acuerdos entre proponentes que tuvieran como objeto “restringir la competencia”</w:t>
      </w:r>
      <w:r w:rsidRPr="00B033A8">
        <w:rPr>
          <w:rStyle w:val="Refdenotaalpie"/>
          <w:rFonts w:cs="Times New Roman"/>
          <w:lang w:eastAsia="es-MX"/>
        </w:rPr>
        <w:footnoteReference w:id="164"/>
      </w:r>
      <w:r w:rsidR="000E7988" w:rsidRPr="00B033A8">
        <w:rPr>
          <w:rFonts w:cs="Times New Roman"/>
          <w:lang w:eastAsia="es-MX"/>
        </w:rPr>
        <w:t xml:space="preserve"> y</w:t>
      </w:r>
      <w:r w:rsidRPr="00B033A8">
        <w:rPr>
          <w:rFonts w:cs="Times New Roman"/>
          <w:lang w:eastAsia="es-MX"/>
        </w:rPr>
        <w:t xml:space="preserve"> “</w:t>
      </w:r>
      <w:r w:rsidRPr="00B033A8">
        <w:rPr>
          <w:rFonts w:cs="Times New Roman"/>
        </w:rPr>
        <w:t>establecer barreras artificiales</w:t>
      </w:r>
      <w:r w:rsidRPr="00B033A8">
        <w:rPr>
          <w:rFonts w:cs="Times New Roman"/>
          <w:lang w:eastAsia="es-MX"/>
        </w:rPr>
        <w:t xml:space="preserve">” en </w:t>
      </w:r>
      <w:r w:rsidR="00596D63" w:rsidRPr="00B033A8">
        <w:rPr>
          <w:rFonts w:cs="Times New Roman"/>
          <w:lang w:eastAsia="es-MX"/>
        </w:rPr>
        <w:t xml:space="preserve">los procesos de </w:t>
      </w:r>
      <w:r w:rsidR="00596D63" w:rsidRPr="00B033A8">
        <w:rPr>
          <w:rFonts w:cs="Times New Roman"/>
          <w:lang w:eastAsia="es-MX"/>
        </w:rPr>
        <w:lastRenderedPageBreak/>
        <w:t>contratación con el Estado</w:t>
      </w:r>
      <w:r w:rsidRPr="00B033A8">
        <w:rPr>
          <w:rStyle w:val="Refdenotaalpie"/>
          <w:rFonts w:cs="Times New Roman"/>
          <w:lang w:eastAsia="es-MX"/>
        </w:rPr>
        <w:footnoteReference w:id="165"/>
      </w:r>
      <w:r w:rsidRPr="00B033A8">
        <w:rPr>
          <w:rFonts w:cs="Times New Roman"/>
          <w:lang w:eastAsia="es-MX"/>
        </w:rPr>
        <w:t>. Asimismo, otros congresistas resaltaron que el delito también permitiría sancionar penalmente a los funcionarios públicos que estable</w:t>
      </w:r>
      <w:r w:rsidR="00651DA9" w:rsidRPr="00B033A8">
        <w:rPr>
          <w:rFonts w:cs="Times New Roman"/>
          <w:lang w:eastAsia="es-MX"/>
        </w:rPr>
        <w:t>ciera</w:t>
      </w:r>
      <w:r w:rsidR="00596D63" w:rsidRPr="00B033A8">
        <w:rPr>
          <w:rFonts w:cs="Times New Roman"/>
          <w:lang w:eastAsia="es-MX"/>
        </w:rPr>
        <w:t>n</w:t>
      </w:r>
      <w:r w:rsidRPr="00B033A8">
        <w:rPr>
          <w:rFonts w:cs="Times New Roman"/>
          <w:lang w:eastAsia="es-MX"/>
        </w:rPr>
        <w:t xml:space="preserve"> requisitos </w:t>
      </w:r>
      <w:r w:rsidR="00651DA9" w:rsidRPr="00B033A8">
        <w:rPr>
          <w:rFonts w:cs="Times New Roman"/>
          <w:lang w:eastAsia="es-MX"/>
        </w:rPr>
        <w:t xml:space="preserve">ilegales e </w:t>
      </w:r>
      <w:r w:rsidRPr="00B033A8">
        <w:rPr>
          <w:rFonts w:cs="Times New Roman"/>
          <w:lang w:eastAsia="es-MX"/>
        </w:rPr>
        <w:t>“innecesarios para acceder democráticamente a los contratos y favorecer así a una determinada persona, natural o jurídica, con la adjudicación”</w:t>
      </w:r>
      <w:r w:rsidRPr="00B033A8">
        <w:rPr>
          <w:rStyle w:val="Refdenotaalpie"/>
          <w:rFonts w:cs="Times New Roman"/>
          <w:lang w:eastAsia="es-MX"/>
        </w:rPr>
        <w:footnoteReference w:id="166"/>
      </w:r>
      <w:r w:rsidRPr="00B033A8">
        <w:rPr>
          <w:rFonts w:cs="Times New Roman"/>
          <w:lang w:eastAsia="es-MX"/>
        </w:rPr>
        <w:t>.</w:t>
      </w:r>
      <w:bookmarkEnd w:id="9"/>
    </w:p>
    <w:p w14:paraId="0DDE7450" w14:textId="77777777" w:rsidR="000C03CA" w:rsidRPr="00B033A8" w:rsidRDefault="000C03CA" w:rsidP="00776641">
      <w:pPr>
        <w:pStyle w:val="Prrafodelista"/>
        <w:spacing w:line="240" w:lineRule="auto"/>
      </w:pPr>
    </w:p>
    <w:p w14:paraId="2A20DF54" w14:textId="50ED6E63" w:rsidR="000C03CA" w:rsidRPr="00B033A8" w:rsidRDefault="000C03CA" w:rsidP="00776641">
      <w:pPr>
        <w:numPr>
          <w:ilvl w:val="0"/>
          <w:numId w:val="12"/>
        </w:numPr>
        <w:tabs>
          <w:tab w:val="left" w:pos="851"/>
        </w:tabs>
        <w:ind w:left="0" w:firstLine="0"/>
        <w:rPr>
          <w:rFonts w:cs="Times New Roman"/>
        </w:rPr>
      </w:pPr>
      <w:r w:rsidRPr="00B033A8">
        <w:rPr>
          <w:rFonts w:cs="Times New Roman"/>
        </w:rPr>
        <w:t xml:space="preserve">Este artículo fue objeto de </w:t>
      </w:r>
      <w:r w:rsidR="00596D63" w:rsidRPr="00B033A8">
        <w:rPr>
          <w:rFonts w:cs="Times New Roman"/>
        </w:rPr>
        <w:t>algunas</w:t>
      </w:r>
      <w:r w:rsidRPr="00B033A8">
        <w:rPr>
          <w:rFonts w:cs="Times New Roman"/>
        </w:rPr>
        <w:t xml:space="preserve"> modificaciones durante el trámite legislativo, que se sintetizan en la siguiente tabla:</w:t>
      </w:r>
    </w:p>
    <w:p w14:paraId="4A24712E" w14:textId="77777777" w:rsidR="000C03CA" w:rsidRPr="00B033A8" w:rsidRDefault="000C03CA" w:rsidP="00776641">
      <w:pPr>
        <w:tabs>
          <w:tab w:val="left" w:pos="851"/>
        </w:tabs>
        <w:rPr>
          <w:rFonts w:cs="Times New Roman"/>
        </w:rPr>
      </w:pPr>
    </w:p>
    <w:tbl>
      <w:tblPr>
        <w:tblStyle w:val="Tablaconcuadrcula"/>
        <w:tblW w:w="8789" w:type="dxa"/>
        <w:tblInd w:w="-5" w:type="dxa"/>
        <w:tblLook w:val="04A0" w:firstRow="1" w:lastRow="0" w:firstColumn="1" w:lastColumn="0" w:noHBand="0" w:noVBand="1"/>
      </w:tblPr>
      <w:tblGrid>
        <w:gridCol w:w="1843"/>
        <w:gridCol w:w="1843"/>
        <w:gridCol w:w="1984"/>
        <w:gridCol w:w="3119"/>
      </w:tblGrid>
      <w:tr w:rsidR="000C03CA" w:rsidRPr="00B033A8" w14:paraId="1515FFF8" w14:textId="77777777" w:rsidTr="001D3413">
        <w:tc>
          <w:tcPr>
            <w:tcW w:w="1843" w:type="dxa"/>
            <w:shd w:val="clear" w:color="auto" w:fill="D9D9D9" w:themeFill="background1" w:themeFillShade="D9"/>
            <w:vAlign w:val="center"/>
          </w:tcPr>
          <w:p w14:paraId="7316DF7A" w14:textId="77777777" w:rsidR="000C03CA" w:rsidRPr="00B033A8" w:rsidRDefault="000C03CA" w:rsidP="00776641">
            <w:pPr>
              <w:tabs>
                <w:tab w:val="left" w:pos="851"/>
              </w:tabs>
              <w:jc w:val="center"/>
              <w:rPr>
                <w:rFonts w:cs="Times New Roman"/>
                <w:b/>
                <w:bCs/>
                <w:szCs w:val="20"/>
              </w:rPr>
            </w:pPr>
            <w:r w:rsidRPr="00B033A8">
              <w:rPr>
                <w:rFonts w:cs="Times New Roman"/>
                <w:b/>
                <w:bCs/>
                <w:szCs w:val="20"/>
              </w:rPr>
              <w:t>Proyecto - redacción original</w:t>
            </w:r>
          </w:p>
        </w:tc>
        <w:tc>
          <w:tcPr>
            <w:tcW w:w="1843" w:type="dxa"/>
            <w:shd w:val="clear" w:color="auto" w:fill="D9D9D9" w:themeFill="background1" w:themeFillShade="D9"/>
            <w:vAlign w:val="center"/>
          </w:tcPr>
          <w:p w14:paraId="4F884F7E" w14:textId="77777777" w:rsidR="000C03CA" w:rsidRPr="00B033A8" w:rsidRDefault="000C03CA" w:rsidP="00776641">
            <w:pPr>
              <w:tabs>
                <w:tab w:val="left" w:pos="851"/>
              </w:tabs>
              <w:jc w:val="center"/>
              <w:rPr>
                <w:rFonts w:cs="Times New Roman"/>
                <w:b/>
                <w:bCs/>
                <w:szCs w:val="20"/>
              </w:rPr>
            </w:pPr>
            <w:r w:rsidRPr="00B033A8">
              <w:rPr>
                <w:rFonts w:cs="Times New Roman"/>
                <w:b/>
                <w:bCs/>
                <w:szCs w:val="20"/>
              </w:rPr>
              <w:t>Informe de ponencia para primer debate en el Senado</w:t>
            </w:r>
          </w:p>
        </w:tc>
        <w:tc>
          <w:tcPr>
            <w:tcW w:w="1984" w:type="dxa"/>
            <w:shd w:val="clear" w:color="auto" w:fill="D9D9D9" w:themeFill="background1" w:themeFillShade="D9"/>
            <w:vAlign w:val="center"/>
          </w:tcPr>
          <w:p w14:paraId="3B5E7E7F" w14:textId="77777777" w:rsidR="000C03CA" w:rsidRPr="00B033A8" w:rsidRDefault="000C03CA" w:rsidP="00776641">
            <w:pPr>
              <w:tabs>
                <w:tab w:val="left" w:pos="851"/>
              </w:tabs>
              <w:jc w:val="center"/>
              <w:rPr>
                <w:rFonts w:cs="Times New Roman"/>
                <w:b/>
                <w:bCs/>
                <w:szCs w:val="20"/>
              </w:rPr>
            </w:pPr>
            <w:r w:rsidRPr="00B033A8">
              <w:rPr>
                <w:rFonts w:cs="Times New Roman"/>
                <w:b/>
                <w:bCs/>
                <w:szCs w:val="20"/>
              </w:rPr>
              <w:t>Informe de ponencia para primer debate en Cámara</w:t>
            </w:r>
          </w:p>
        </w:tc>
        <w:tc>
          <w:tcPr>
            <w:tcW w:w="3119" w:type="dxa"/>
            <w:shd w:val="clear" w:color="auto" w:fill="D9D9D9" w:themeFill="background1" w:themeFillShade="D9"/>
            <w:vAlign w:val="center"/>
          </w:tcPr>
          <w:p w14:paraId="3327B34B" w14:textId="77777777" w:rsidR="000C03CA" w:rsidRPr="00B033A8" w:rsidRDefault="000C03CA" w:rsidP="00776641">
            <w:pPr>
              <w:tabs>
                <w:tab w:val="left" w:pos="851"/>
              </w:tabs>
              <w:jc w:val="center"/>
              <w:rPr>
                <w:rFonts w:cs="Times New Roman"/>
                <w:b/>
                <w:bCs/>
                <w:szCs w:val="20"/>
              </w:rPr>
            </w:pPr>
            <w:r w:rsidRPr="00B033A8">
              <w:rPr>
                <w:rFonts w:cs="Times New Roman"/>
                <w:b/>
                <w:bCs/>
                <w:szCs w:val="20"/>
              </w:rPr>
              <w:t>Tercer debate en Cámara</w:t>
            </w:r>
          </w:p>
        </w:tc>
      </w:tr>
      <w:tr w:rsidR="000C03CA" w:rsidRPr="00B033A8" w14:paraId="4AC91769" w14:textId="77777777" w:rsidTr="001D3413">
        <w:tc>
          <w:tcPr>
            <w:tcW w:w="1843" w:type="dxa"/>
          </w:tcPr>
          <w:p w14:paraId="080977A8" w14:textId="77777777" w:rsidR="000C03CA" w:rsidRPr="00B033A8" w:rsidRDefault="000C03CA" w:rsidP="00776641">
            <w:pPr>
              <w:tabs>
                <w:tab w:val="left" w:pos="851"/>
              </w:tabs>
              <w:rPr>
                <w:rFonts w:cs="Times New Roman"/>
                <w:szCs w:val="20"/>
              </w:rPr>
            </w:pPr>
            <w:r w:rsidRPr="00B033A8">
              <w:rPr>
                <w:rFonts w:cs="Times New Roman"/>
                <w:b/>
                <w:bCs/>
                <w:szCs w:val="20"/>
              </w:rPr>
              <w:t>Artículo 30.</w:t>
            </w:r>
            <w:r w:rsidRPr="00B033A8">
              <w:rPr>
                <w:rFonts w:cs="Times New Roman"/>
                <w:szCs w:val="20"/>
              </w:rPr>
              <w:t xml:space="preserve"> </w:t>
            </w:r>
            <w:r w:rsidRPr="00B033A8">
              <w:rPr>
                <w:rFonts w:cs="Times New Roman"/>
                <w:b/>
                <w:bCs/>
                <w:i/>
                <w:iCs/>
                <w:szCs w:val="20"/>
              </w:rPr>
              <w:t>Acuerdos restrictivos de la competencia</w:t>
            </w:r>
            <w:r w:rsidRPr="00B033A8">
              <w:rPr>
                <w:rFonts w:cs="Times New Roman"/>
                <w:szCs w:val="20"/>
              </w:rPr>
              <w:t xml:space="preserve">. </w:t>
            </w:r>
          </w:p>
          <w:p w14:paraId="6E402219" w14:textId="77777777" w:rsidR="000C03CA" w:rsidRPr="00B033A8" w:rsidRDefault="000C03CA" w:rsidP="00776641">
            <w:pPr>
              <w:tabs>
                <w:tab w:val="left" w:pos="851"/>
              </w:tabs>
              <w:rPr>
                <w:rFonts w:cs="Times New Roman"/>
                <w:szCs w:val="20"/>
              </w:rPr>
            </w:pPr>
          </w:p>
          <w:p w14:paraId="2D691085" w14:textId="77777777" w:rsidR="000C03CA" w:rsidRPr="00B033A8" w:rsidRDefault="000C03CA" w:rsidP="00776641">
            <w:pPr>
              <w:tabs>
                <w:tab w:val="left" w:pos="851"/>
              </w:tabs>
              <w:rPr>
                <w:rFonts w:cs="Times New Roman"/>
                <w:szCs w:val="20"/>
              </w:rPr>
            </w:pPr>
            <w:r w:rsidRPr="00B033A8">
              <w:rPr>
                <w:rFonts w:cs="Times New Roman"/>
                <w:szCs w:val="20"/>
              </w:rPr>
              <w:t xml:space="preserve">El que en un proceso de licitación pública, selección abreviada o concurso se concertare con otro proponente con el fin de alterar el procedimiento contractual, incurrirá en prisión de dos (2) a cuatro (4) años y multa de cien (100) a </w:t>
            </w:r>
            <w:r w:rsidRPr="00B033A8">
              <w:rPr>
                <w:rFonts w:cs="Times New Roman"/>
                <w:szCs w:val="20"/>
              </w:rPr>
              <w:lastRenderedPageBreak/>
              <w:t>doscientos (200) salarios mínimos legales mensuales vigentes.</w:t>
            </w:r>
          </w:p>
        </w:tc>
        <w:tc>
          <w:tcPr>
            <w:tcW w:w="1843" w:type="dxa"/>
          </w:tcPr>
          <w:p w14:paraId="32AB8653" w14:textId="77777777" w:rsidR="000C03CA" w:rsidRPr="00B033A8" w:rsidRDefault="000C03CA" w:rsidP="00776641">
            <w:pPr>
              <w:tabs>
                <w:tab w:val="left" w:pos="851"/>
              </w:tabs>
              <w:rPr>
                <w:rFonts w:cs="Times New Roman"/>
                <w:szCs w:val="20"/>
              </w:rPr>
            </w:pPr>
            <w:r w:rsidRPr="00B033A8">
              <w:rPr>
                <w:rFonts w:cs="Times New Roman"/>
                <w:b/>
                <w:bCs/>
                <w:szCs w:val="20"/>
              </w:rPr>
              <w:lastRenderedPageBreak/>
              <w:t xml:space="preserve">Artículo 30. </w:t>
            </w:r>
            <w:r w:rsidRPr="00B033A8">
              <w:rPr>
                <w:rFonts w:cs="Times New Roman"/>
                <w:b/>
                <w:bCs/>
                <w:i/>
                <w:iCs/>
                <w:szCs w:val="20"/>
              </w:rPr>
              <w:t>Acuerdos restrictivos de la competencia</w:t>
            </w:r>
            <w:r w:rsidRPr="00B033A8">
              <w:rPr>
                <w:rFonts w:cs="Times New Roman"/>
                <w:szCs w:val="20"/>
              </w:rPr>
              <w:t>.</w:t>
            </w:r>
          </w:p>
          <w:p w14:paraId="794CE6FB" w14:textId="77777777" w:rsidR="000C03CA" w:rsidRPr="00B033A8" w:rsidRDefault="000C03CA" w:rsidP="00776641">
            <w:pPr>
              <w:tabs>
                <w:tab w:val="left" w:pos="851"/>
              </w:tabs>
              <w:rPr>
                <w:rFonts w:cs="Times New Roman"/>
                <w:szCs w:val="20"/>
              </w:rPr>
            </w:pPr>
          </w:p>
          <w:p w14:paraId="16461A4E" w14:textId="77777777" w:rsidR="000C03CA" w:rsidRPr="00B033A8" w:rsidRDefault="000C03CA" w:rsidP="00776641">
            <w:pPr>
              <w:tabs>
                <w:tab w:val="left" w:pos="851"/>
              </w:tabs>
              <w:rPr>
                <w:rFonts w:cs="Times New Roman"/>
                <w:szCs w:val="20"/>
              </w:rPr>
            </w:pPr>
            <w:r w:rsidRPr="00B033A8">
              <w:rPr>
                <w:rFonts w:cs="Times New Roman"/>
                <w:szCs w:val="20"/>
              </w:rPr>
              <w:t xml:space="preserve">El que en un proceso de licitación pública, selección abreviada o concurso se concertare con otro proponente con el fin de alterar el procedimiento contractual, incurrirá en prisión de dos (2) a cuatro (4) años y multa de cien (100) a </w:t>
            </w:r>
            <w:r w:rsidRPr="00B033A8">
              <w:rPr>
                <w:rFonts w:cs="Times New Roman"/>
                <w:szCs w:val="20"/>
              </w:rPr>
              <w:lastRenderedPageBreak/>
              <w:t xml:space="preserve">doscientos (200) salarios mínimos legales mensuales vigentes </w:t>
            </w:r>
            <w:r w:rsidRPr="00B033A8">
              <w:rPr>
                <w:rFonts w:cs="Times New Roman"/>
                <w:b/>
                <w:bCs/>
                <w:szCs w:val="20"/>
                <w:u w:val="single"/>
              </w:rPr>
              <w:t>e inhabilidad para contratar con entidades estatales por ocho (8) años</w:t>
            </w:r>
            <w:r w:rsidRPr="00B033A8">
              <w:rPr>
                <w:rFonts w:cs="Times New Roman"/>
                <w:szCs w:val="20"/>
              </w:rPr>
              <w:t>.</w:t>
            </w:r>
          </w:p>
        </w:tc>
        <w:tc>
          <w:tcPr>
            <w:tcW w:w="1984" w:type="dxa"/>
          </w:tcPr>
          <w:p w14:paraId="1A6BE433" w14:textId="77777777" w:rsidR="000C03CA" w:rsidRPr="00B033A8" w:rsidRDefault="000C03CA" w:rsidP="00776641">
            <w:pPr>
              <w:tabs>
                <w:tab w:val="left" w:pos="851"/>
              </w:tabs>
              <w:rPr>
                <w:rFonts w:cs="Times New Roman"/>
                <w:szCs w:val="20"/>
              </w:rPr>
            </w:pPr>
            <w:r w:rsidRPr="00B033A8">
              <w:rPr>
                <w:rFonts w:cs="Times New Roman"/>
                <w:b/>
                <w:bCs/>
                <w:szCs w:val="20"/>
              </w:rPr>
              <w:lastRenderedPageBreak/>
              <w:t xml:space="preserve">Artículo 30. </w:t>
            </w:r>
            <w:r w:rsidRPr="00B033A8">
              <w:rPr>
                <w:rFonts w:cs="Times New Roman"/>
                <w:b/>
                <w:bCs/>
                <w:i/>
                <w:iCs/>
                <w:szCs w:val="20"/>
              </w:rPr>
              <w:t>Acuerdos restrictivos de la competencia</w:t>
            </w:r>
            <w:r w:rsidRPr="00B033A8">
              <w:rPr>
                <w:rFonts w:cs="Times New Roman"/>
                <w:szCs w:val="20"/>
              </w:rPr>
              <w:t xml:space="preserve">. </w:t>
            </w:r>
          </w:p>
          <w:p w14:paraId="381E4568" w14:textId="77777777" w:rsidR="000C03CA" w:rsidRPr="00B033A8" w:rsidRDefault="000C03CA" w:rsidP="00776641">
            <w:pPr>
              <w:tabs>
                <w:tab w:val="left" w:pos="851"/>
              </w:tabs>
              <w:rPr>
                <w:rFonts w:cs="Times New Roman"/>
                <w:szCs w:val="20"/>
              </w:rPr>
            </w:pPr>
          </w:p>
          <w:p w14:paraId="7C596831" w14:textId="77777777" w:rsidR="000C03CA" w:rsidRPr="00B033A8" w:rsidRDefault="000C03CA" w:rsidP="00776641">
            <w:pPr>
              <w:tabs>
                <w:tab w:val="left" w:pos="851"/>
              </w:tabs>
              <w:rPr>
                <w:rFonts w:cs="Times New Roman"/>
                <w:szCs w:val="20"/>
              </w:rPr>
            </w:pPr>
            <w:r w:rsidRPr="00B033A8">
              <w:rPr>
                <w:rFonts w:cs="Times New Roman"/>
                <w:szCs w:val="20"/>
              </w:rPr>
              <w:t xml:space="preserve">El que en un proceso de licitación pública, selección abreviada o concurso se concertare con otro proponente con el fin de alterar </w:t>
            </w:r>
            <w:r w:rsidRPr="00B033A8">
              <w:rPr>
                <w:rFonts w:cs="Times New Roman"/>
                <w:b/>
                <w:bCs/>
                <w:szCs w:val="20"/>
                <w:u w:val="single"/>
              </w:rPr>
              <w:t>ilícitamente</w:t>
            </w:r>
            <w:r w:rsidRPr="00B033A8">
              <w:rPr>
                <w:rFonts w:cs="Times New Roman"/>
                <w:szCs w:val="20"/>
              </w:rPr>
              <w:t xml:space="preserve"> el procedimiento contractual, incurrirá en prisión de dos (2) a cuatro (4) años y multa de cien (100) a doscientos</w:t>
            </w:r>
          </w:p>
          <w:p w14:paraId="0CFF0F99" w14:textId="77777777" w:rsidR="000C03CA" w:rsidRPr="00B033A8" w:rsidRDefault="000C03CA" w:rsidP="00776641">
            <w:pPr>
              <w:tabs>
                <w:tab w:val="left" w:pos="851"/>
              </w:tabs>
              <w:rPr>
                <w:rFonts w:cs="Times New Roman"/>
                <w:szCs w:val="20"/>
              </w:rPr>
            </w:pPr>
            <w:r w:rsidRPr="00B033A8">
              <w:rPr>
                <w:rFonts w:cs="Times New Roman"/>
                <w:szCs w:val="20"/>
              </w:rPr>
              <w:lastRenderedPageBreak/>
              <w:t>(200) salarios mínimos legales mensuales vigentes e inhabilidad para contratar con entidades estatales por ocho (8) años.</w:t>
            </w:r>
          </w:p>
        </w:tc>
        <w:tc>
          <w:tcPr>
            <w:tcW w:w="3119" w:type="dxa"/>
          </w:tcPr>
          <w:p w14:paraId="3006145C" w14:textId="77777777" w:rsidR="000C03CA" w:rsidRPr="00B033A8" w:rsidRDefault="000C03CA" w:rsidP="00776641">
            <w:pPr>
              <w:tabs>
                <w:tab w:val="left" w:pos="851"/>
              </w:tabs>
              <w:rPr>
                <w:rFonts w:cs="Times New Roman"/>
                <w:szCs w:val="20"/>
              </w:rPr>
            </w:pPr>
            <w:r w:rsidRPr="00B033A8">
              <w:rPr>
                <w:rFonts w:cs="Times New Roman"/>
                <w:b/>
                <w:bCs/>
                <w:szCs w:val="20"/>
              </w:rPr>
              <w:lastRenderedPageBreak/>
              <w:t xml:space="preserve">Artículo 30. </w:t>
            </w:r>
            <w:r w:rsidRPr="00B033A8">
              <w:rPr>
                <w:rFonts w:cs="Times New Roman"/>
                <w:b/>
                <w:bCs/>
                <w:i/>
                <w:iCs/>
                <w:szCs w:val="20"/>
              </w:rPr>
              <w:t>Acuerdos restrictivos de la competencia</w:t>
            </w:r>
            <w:r w:rsidRPr="00B033A8">
              <w:rPr>
                <w:rFonts w:cs="Times New Roman"/>
                <w:szCs w:val="20"/>
              </w:rPr>
              <w:t xml:space="preserve">. </w:t>
            </w:r>
          </w:p>
          <w:p w14:paraId="7447D49A" w14:textId="77777777" w:rsidR="000C03CA" w:rsidRPr="00B033A8" w:rsidRDefault="000C03CA" w:rsidP="00776641">
            <w:pPr>
              <w:tabs>
                <w:tab w:val="left" w:pos="851"/>
              </w:tabs>
              <w:rPr>
                <w:rFonts w:cs="Times New Roman"/>
                <w:szCs w:val="20"/>
              </w:rPr>
            </w:pPr>
          </w:p>
          <w:p w14:paraId="02B40738" w14:textId="77777777" w:rsidR="000C03CA" w:rsidRPr="00B033A8" w:rsidRDefault="000C03CA" w:rsidP="00776641">
            <w:pPr>
              <w:tabs>
                <w:tab w:val="left" w:pos="851"/>
              </w:tabs>
              <w:rPr>
                <w:rFonts w:cs="Times New Roman"/>
                <w:szCs w:val="20"/>
              </w:rPr>
            </w:pPr>
            <w:r w:rsidRPr="00B033A8">
              <w:rPr>
                <w:rFonts w:cs="Times New Roman"/>
                <w:szCs w:val="20"/>
              </w:rPr>
              <w:t xml:space="preserve">El que en un proceso de licitación pública, </w:t>
            </w:r>
            <w:r w:rsidRPr="00B033A8">
              <w:rPr>
                <w:rFonts w:cs="Times New Roman"/>
                <w:b/>
                <w:bCs/>
                <w:szCs w:val="20"/>
                <w:u w:val="single"/>
              </w:rPr>
              <w:t>subasta pública</w:t>
            </w:r>
            <w:r w:rsidRPr="00B033A8">
              <w:rPr>
                <w:rFonts w:cs="Times New Roman"/>
                <w:szCs w:val="20"/>
              </w:rPr>
              <w:t>, selección abreviada o concurso se concertare con otro con el fin de alterar ilícitamente el procedimiento contractual, incurrirá en prisión de seis (6) a doce (12) años y multa de doscientos (200) a mil (1.000) salarios mínimos legales mensuales vigentes e inhabilidad para contratar con entidades estatales por ocho (8) años.</w:t>
            </w:r>
          </w:p>
          <w:p w14:paraId="4F8598C7" w14:textId="77777777" w:rsidR="000C03CA" w:rsidRPr="00B033A8" w:rsidRDefault="000C03CA" w:rsidP="00776641">
            <w:pPr>
              <w:tabs>
                <w:tab w:val="left" w:pos="851"/>
              </w:tabs>
              <w:rPr>
                <w:rFonts w:cs="Times New Roman"/>
                <w:szCs w:val="20"/>
              </w:rPr>
            </w:pPr>
          </w:p>
          <w:p w14:paraId="5342F54B" w14:textId="0859E21F" w:rsidR="000C03CA" w:rsidRPr="00B033A8" w:rsidRDefault="000C03CA" w:rsidP="00776641">
            <w:pPr>
              <w:tabs>
                <w:tab w:val="left" w:pos="851"/>
              </w:tabs>
              <w:rPr>
                <w:rFonts w:cs="Times New Roman"/>
                <w:b/>
                <w:bCs/>
                <w:szCs w:val="20"/>
                <w:u w:val="single"/>
              </w:rPr>
            </w:pPr>
            <w:r w:rsidRPr="00B033A8">
              <w:rPr>
                <w:rFonts w:cs="Times New Roman"/>
                <w:b/>
                <w:bCs/>
                <w:szCs w:val="20"/>
                <w:u w:val="single"/>
              </w:rPr>
              <w:t xml:space="preserve">Parágrafo. El que en su condición de delator o clemente mediante </w:t>
            </w:r>
            <w:r w:rsidRPr="00B033A8">
              <w:rPr>
                <w:rFonts w:cs="Times New Roman"/>
                <w:b/>
                <w:bCs/>
                <w:szCs w:val="20"/>
                <w:u w:val="single"/>
              </w:rPr>
              <w:lastRenderedPageBreak/>
              <w:t>resolución en firme obtenga exoneración total de la multa a imponer por parte de la Superintendencia de Industria y Comercio en una investigación por acuerdo</w:t>
            </w:r>
            <w:r w:rsidR="006C24AF" w:rsidRPr="00B033A8">
              <w:rPr>
                <w:rFonts w:cs="Times New Roman"/>
                <w:b/>
                <w:bCs/>
                <w:szCs w:val="20"/>
                <w:u w:val="single"/>
              </w:rPr>
              <w:t>s</w:t>
            </w:r>
            <w:r w:rsidRPr="00B033A8">
              <w:rPr>
                <w:rFonts w:cs="Times New Roman"/>
                <w:b/>
                <w:bCs/>
                <w:szCs w:val="20"/>
                <w:u w:val="single"/>
              </w:rPr>
              <w:t xml:space="preserve"> anticompetitivos en un proceso de contratación pública obtendrá los siguientes beneficios: reducción de la pena en una tercera parte, un 40% de la multa a imponer y una inhabilidad para contratar con entidades estatales por cinco (5) años.</w:t>
            </w:r>
          </w:p>
        </w:tc>
      </w:tr>
    </w:tbl>
    <w:p w14:paraId="1F93F6D5" w14:textId="57B8C9B0" w:rsidR="000C03CA" w:rsidRPr="00B033A8" w:rsidRDefault="00695008" w:rsidP="00776641">
      <w:pPr>
        <w:tabs>
          <w:tab w:val="left" w:pos="851"/>
        </w:tabs>
        <w:jc w:val="center"/>
        <w:rPr>
          <w:rFonts w:cs="Times New Roman"/>
          <w:szCs w:val="16"/>
        </w:rPr>
      </w:pPr>
      <w:r w:rsidRPr="00B033A8">
        <w:rPr>
          <w:rFonts w:cs="Times New Roman"/>
          <w:szCs w:val="16"/>
        </w:rPr>
        <w:lastRenderedPageBreak/>
        <w:t>-Tabla 4-</w:t>
      </w:r>
    </w:p>
    <w:p w14:paraId="0A70FB23" w14:textId="77777777" w:rsidR="000C03CA" w:rsidRPr="00B033A8" w:rsidRDefault="000C03CA" w:rsidP="00776641">
      <w:pPr>
        <w:tabs>
          <w:tab w:val="left" w:pos="851"/>
        </w:tabs>
        <w:jc w:val="center"/>
        <w:rPr>
          <w:rFonts w:cs="Times New Roman"/>
          <w:b/>
          <w:bCs/>
        </w:rPr>
      </w:pPr>
    </w:p>
    <w:p w14:paraId="6250CBB9" w14:textId="77777777" w:rsidR="00695008" w:rsidRPr="00B033A8" w:rsidRDefault="00695008" w:rsidP="00776641">
      <w:pPr>
        <w:tabs>
          <w:tab w:val="left" w:pos="851"/>
        </w:tabs>
        <w:rPr>
          <w:rFonts w:cs="Times New Roman"/>
        </w:rPr>
      </w:pPr>
    </w:p>
    <w:p w14:paraId="2B5F1235" w14:textId="4FFCA6FE" w:rsidR="000C03CA" w:rsidRPr="00B033A8" w:rsidRDefault="000C03CA" w:rsidP="00776641">
      <w:pPr>
        <w:numPr>
          <w:ilvl w:val="0"/>
          <w:numId w:val="12"/>
        </w:numPr>
        <w:tabs>
          <w:tab w:val="left" w:pos="851"/>
        </w:tabs>
        <w:ind w:left="0" w:firstLine="0"/>
        <w:rPr>
          <w:rFonts w:cs="Times New Roman"/>
        </w:rPr>
      </w:pPr>
      <w:r w:rsidRPr="00B033A8">
        <w:rPr>
          <w:rFonts w:cs="Times New Roman"/>
        </w:rPr>
        <w:t>La Sala Plena resalta que</w:t>
      </w:r>
      <w:r w:rsidR="00596D63" w:rsidRPr="00B033A8">
        <w:rPr>
          <w:rFonts w:cs="Times New Roman"/>
        </w:rPr>
        <w:t xml:space="preserve"> la tabla 4 </w:t>
      </w:r>
      <w:r w:rsidR="00596D63" w:rsidRPr="00B033A8">
        <w:rPr>
          <w:rFonts w:cs="Times New Roman"/>
          <w:i/>
          <w:iCs/>
        </w:rPr>
        <w:t>supra</w:t>
      </w:r>
      <w:r w:rsidR="00596D63" w:rsidRPr="00B033A8">
        <w:rPr>
          <w:rFonts w:cs="Times New Roman"/>
        </w:rPr>
        <w:t xml:space="preserve"> evidencia que </w:t>
      </w:r>
      <w:r w:rsidRPr="00B033A8">
        <w:rPr>
          <w:rFonts w:cs="Times New Roman"/>
        </w:rPr>
        <w:t xml:space="preserve">en el trámite legislativo se efectuaron dos modificaciones al tipo penal </w:t>
      </w:r>
      <w:r w:rsidR="00596D63" w:rsidRPr="00B033A8">
        <w:rPr>
          <w:rFonts w:cs="Times New Roman"/>
        </w:rPr>
        <w:t>deman</w:t>
      </w:r>
      <w:r w:rsidR="00DA08C5" w:rsidRPr="00B033A8">
        <w:rPr>
          <w:rFonts w:cs="Times New Roman"/>
        </w:rPr>
        <w:t>da</w:t>
      </w:r>
      <w:r w:rsidR="00596D63" w:rsidRPr="00B033A8">
        <w:rPr>
          <w:rFonts w:cs="Times New Roman"/>
        </w:rPr>
        <w:t xml:space="preserve">do </w:t>
      </w:r>
      <w:r w:rsidRPr="00B033A8">
        <w:rPr>
          <w:rFonts w:cs="Times New Roman"/>
        </w:rPr>
        <w:t xml:space="preserve">que son relevantes para </w:t>
      </w:r>
      <w:r w:rsidR="00596D63" w:rsidRPr="00B033A8">
        <w:rPr>
          <w:rFonts w:cs="Times New Roman"/>
        </w:rPr>
        <w:t>resolver la presente demanda</w:t>
      </w:r>
      <w:r w:rsidRPr="00B033A8">
        <w:rPr>
          <w:rFonts w:cs="Times New Roman"/>
        </w:rPr>
        <w:t>:</w:t>
      </w:r>
    </w:p>
    <w:p w14:paraId="794A4056" w14:textId="77777777" w:rsidR="000C03CA" w:rsidRPr="00B033A8" w:rsidRDefault="000C03CA" w:rsidP="00776641">
      <w:pPr>
        <w:tabs>
          <w:tab w:val="left" w:pos="851"/>
        </w:tabs>
        <w:rPr>
          <w:rFonts w:cs="Times New Roman"/>
        </w:rPr>
      </w:pPr>
    </w:p>
    <w:p w14:paraId="30930F37" w14:textId="535A1A32" w:rsidR="000C03CA" w:rsidRPr="00B033A8" w:rsidRDefault="000C03CA" w:rsidP="00776641">
      <w:pPr>
        <w:pStyle w:val="Prrafodelista"/>
        <w:numPr>
          <w:ilvl w:val="0"/>
          <w:numId w:val="22"/>
        </w:numPr>
        <w:tabs>
          <w:tab w:val="left" w:pos="851"/>
        </w:tabs>
        <w:spacing w:line="240" w:lineRule="auto"/>
        <w:ind w:left="714" w:hanging="572"/>
      </w:pPr>
      <w:r w:rsidRPr="00B033A8">
        <w:rPr>
          <w:u w:val="single"/>
        </w:rPr>
        <w:t>Inclusión de la expresión “ilícitamente”</w:t>
      </w:r>
      <w:r w:rsidRPr="00B033A8">
        <w:t>. En el informe de ponencia para tercer debate en la Cámara de Representantes, los ponentes introdujeron una modificación que buscaba precisar “que para que se configure el delito, el acuerdo debe buscar alterar ‘ilícitamente’ el procedimiento contractual”</w:t>
      </w:r>
      <w:r w:rsidRPr="00B033A8">
        <w:rPr>
          <w:rStyle w:val="Refdenotaalpie"/>
        </w:rPr>
        <w:footnoteReference w:id="167"/>
      </w:r>
      <w:r w:rsidRPr="00B033A8">
        <w:t>. Por esta razón, sugirieron una nueva redacción del tipo penal</w:t>
      </w:r>
      <w:r w:rsidR="00816C2D" w:rsidRPr="00B033A8">
        <w:t>,</w:t>
      </w:r>
      <w:r w:rsidRPr="00B033A8">
        <w:t xml:space="preserve"> conforme a la cual la conducta punible </w:t>
      </w:r>
      <w:r w:rsidR="00A8208D" w:rsidRPr="00B033A8">
        <w:t>consistiría</w:t>
      </w:r>
      <w:r w:rsidRPr="00B033A8">
        <w:t xml:space="preserve"> en “concertar[s]e con otro proponente con el fin de alterar </w:t>
      </w:r>
      <w:r w:rsidRPr="00B033A8">
        <w:rPr>
          <w:b/>
          <w:bCs/>
          <w:i/>
          <w:iCs/>
          <w:u w:val="single"/>
        </w:rPr>
        <w:t>ilícitamente</w:t>
      </w:r>
      <w:r w:rsidRPr="00B033A8">
        <w:t xml:space="preserve"> el procedimiento contractual” (énfasis añadido). En criterio de la Sala Plena, esta modificación es relevante porque da cuenta </w:t>
      </w:r>
      <w:r w:rsidR="00DA08C5" w:rsidRPr="00B033A8">
        <w:t xml:space="preserve">de </w:t>
      </w:r>
      <w:r w:rsidRPr="00B033A8">
        <w:t xml:space="preserve">que el legislador no quiso sancionar cualquier </w:t>
      </w:r>
      <w:r w:rsidR="00596D63" w:rsidRPr="00B033A8">
        <w:t xml:space="preserve">conducta </w:t>
      </w:r>
      <w:r w:rsidRPr="00B033A8">
        <w:t xml:space="preserve">que </w:t>
      </w:r>
      <w:r w:rsidR="00596D63" w:rsidRPr="00B033A8">
        <w:t>incidiera en un</w:t>
      </w:r>
      <w:r w:rsidRPr="00B033A8">
        <w:t xml:space="preserve"> procedimiento contractual. Por el contrario, el legislador precis</w:t>
      </w:r>
      <w:r w:rsidR="00C95C9C" w:rsidRPr="00B033A8">
        <w:t>ó</w:t>
      </w:r>
      <w:r w:rsidRPr="00B033A8">
        <w:t xml:space="preserve"> de forma expresa que</w:t>
      </w:r>
      <w:r w:rsidR="003B352A" w:rsidRPr="00B033A8">
        <w:t>,</w:t>
      </w:r>
      <w:r w:rsidRPr="00B033A8">
        <w:t xml:space="preserve"> para la configuración de este delito, el acuerdo entre los sujetos debía tener una finalidad de alteración </w:t>
      </w:r>
      <w:r w:rsidRPr="00B033A8">
        <w:rPr>
          <w:i/>
          <w:iCs/>
        </w:rPr>
        <w:t>ilícita</w:t>
      </w:r>
      <w:r w:rsidRPr="00B033A8">
        <w:t>.</w:t>
      </w:r>
    </w:p>
    <w:p w14:paraId="14BB8115" w14:textId="25FBFF0F" w:rsidR="000C03CA" w:rsidRPr="00B033A8" w:rsidRDefault="000C03CA" w:rsidP="00776641">
      <w:pPr>
        <w:pStyle w:val="Prrafodelista"/>
        <w:numPr>
          <w:ilvl w:val="0"/>
          <w:numId w:val="22"/>
        </w:numPr>
        <w:tabs>
          <w:tab w:val="left" w:pos="851"/>
        </w:tabs>
        <w:spacing w:line="240" w:lineRule="auto"/>
        <w:ind w:left="714" w:hanging="572"/>
      </w:pPr>
      <w:r w:rsidRPr="00B033A8">
        <w:rPr>
          <w:u w:val="single"/>
        </w:rPr>
        <w:t>Adición del parágrafo.</w:t>
      </w:r>
      <w:r w:rsidRPr="00B033A8">
        <w:t xml:space="preserve"> Durante el tercer debate del proyecto en la Comisión Primera de la Cámara de Representantes, por solicitud de la Superintendencia de Industria y Comercio, un grupo de representantes a la Cámara</w:t>
      </w:r>
      <w:r w:rsidRPr="00B033A8">
        <w:rPr>
          <w:rStyle w:val="Refdenotaalpie"/>
        </w:rPr>
        <w:footnoteReference w:id="168"/>
      </w:r>
      <w:r w:rsidRPr="00B033A8">
        <w:t xml:space="preserve"> s</w:t>
      </w:r>
      <w:r w:rsidR="00662276" w:rsidRPr="00B033A8">
        <w:t>u</w:t>
      </w:r>
      <w:r w:rsidRPr="00B033A8">
        <w:t>gi</w:t>
      </w:r>
      <w:r w:rsidR="00662276" w:rsidRPr="00B033A8">
        <w:t>ri</w:t>
      </w:r>
      <w:r w:rsidR="00651541" w:rsidRPr="00B033A8">
        <w:t>ó</w:t>
      </w:r>
      <w:r w:rsidRPr="00B033A8">
        <w:t xml:space="preserve"> incluir un parágrafo que estableciera beneficios </w:t>
      </w:r>
      <w:r w:rsidR="00596D63" w:rsidRPr="00B033A8">
        <w:t xml:space="preserve">penales </w:t>
      </w:r>
      <w:r w:rsidRPr="00B033A8">
        <w:t xml:space="preserve">para quien actuara como delator o clemente ante el proceso </w:t>
      </w:r>
      <w:r w:rsidRPr="00B033A8">
        <w:lastRenderedPageBreak/>
        <w:t>administrativo</w:t>
      </w:r>
      <w:r w:rsidRPr="00B033A8">
        <w:rPr>
          <w:rStyle w:val="Refdenotaalpie"/>
        </w:rPr>
        <w:footnoteReference w:id="169"/>
      </w:r>
      <w:r w:rsidRPr="00B033A8">
        <w:t xml:space="preserve">. </w:t>
      </w:r>
      <w:r w:rsidR="00662276" w:rsidRPr="00B033A8">
        <w:t>Lo anterior,</w:t>
      </w:r>
      <w:r w:rsidRPr="00B033A8">
        <w:t xml:space="preserve"> para estimular que las personas que “participen en esos acuerdos restrictivos de competencia, hagan las correspondientes denuncias”</w:t>
      </w:r>
      <w:r w:rsidRPr="00B033A8">
        <w:rPr>
          <w:vertAlign w:val="superscript"/>
        </w:rPr>
        <w:footnoteReference w:id="170"/>
      </w:r>
      <w:r w:rsidRPr="00B033A8">
        <w:t xml:space="preserve">. </w:t>
      </w:r>
      <w:r w:rsidR="00596D63" w:rsidRPr="00B033A8">
        <w:t xml:space="preserve">A juicio de la Sala, la </w:t>
      </w:r>
      <w:r w:rsidRPr="00B033A8">
        <w:t>inclusión</w:t>
      </w:r>
      <w:r w:rsidR="00596D63" w:rsidRPr="00B033A8">
        <w:t xml:space="preserve"> del parágrafo</w:t>
      </w:r>
      <w:r w:rsidRPr="00B033A8">
        <w:t xml:space="preserve"> permite inferir que el legislador comprendía que el delito sanciona</w:t>
      </w:r>
      <w:r w:rsidR="00596D63" w:rsidRPr="00B033A8">
        <w:t xml:space="preserve">ba </w:t>
      </w:r>
      <w:r w:rsidRPr="00B033A8">
        <w:t xml:space="preserve">penalmente </w:t>
      </w:r>
      <w:r w:rsidR="00596D63" w:rsidRPr="00B033A8">
        <w:t xml:space="preserve">los </w:t>
      </w:r>
      <w:r w:rsidRPr="00B033A8">
        <w:t xml:space="preserve">acuerdos restrictivos de la competencia </w:t>
      </w:r>
      <w:r w:rsidR="00651541" w:rsidRPr="00B033A8">
        <w:t>en procesos de contratación pública</w:t>
      </w:r>
      <w:r w:rsidR="00596D63" w:rsidRPr="00B033A8">
        <w:t xml:space="preserve"> y, de este modo, complementaba las sanciones administrativas para estas conductas</w:t>
      </w:r>
      <w:r w:rsidR="003B352A" w:rsidRPr="00B033A8">
        <w:t xml:space="preserve">, las cuales </w:t>
      </w:r>
      <w:r w:rsidR="00596D63" w:rsidRPr="00B033A8">
        <w:t xml:space="preserve">ya existían en el régimen de protección a la libre competencia. </w:t>
      </w:r>
    </w:p>
    <w:p w14:paraId="7853BCC5" w14:textId="77777777" w:rsidR="000C03CA" w:rsidRPr="00B033A8" w:rsidRDefault="000C03CA" w:rsidP="00776641">
      <w:pPr>
        <w:rPr>
          <w:rFonts w:cs="Times New Roman"/>
        </w:rPr>
      </w:pPr>
    </w:p>
    <w:p w14:paraId="3F7DCFF9" w14:textId="03C23AEC" w:rsidR="000C03CA" w:rsidRPr="00B033A8" w:rsidRDefault="000C03CA" w:rsidP="00776641">
      <w:pPr>
        <w:numPr>
          <w:ilvl w:val="0"/>
          <w:numId w:val="12"/>
        </w:numPr>
        <w:tabs>
          <w:tab w:val="left" w:pos="851"/>
        </w:tabs>
        <w:ind w:left="0" w:firstLine="0"/>
        <w:rPr>
          <w:rFonts w:cs="Times New Roman"/>
        </w:rPr>
      </w:pPr>
      <w:r w:rsidRPr="00B033A8">
        <w:rPr>
          <w:rFonts w:cs="Times New Roman"/>
        </w:rPr>
        <w:t xml:space="preserve">En síntesis, </w:t>
      </w:r>
      <w:r w:rsidR="00651541" w:rsidRPr="00B033A8">
        <w:rPr>
          <w:rFonts w:cs="Times New Roman"/>
        </w:rPr>
        <w:t>de acuerdo con los antecedentes legislativos</w:t>
      </w:r>
      <w:r w:rsidR="00467C8F" w:rsidRPr="00B033A8">
        <w:rPr>
          <w:rFonts w:cs="Times New Roman"/>
        </w:rPr>
        <w:t>,</w:t>
      </w:r>
      <w:r w:rsidR="00651541" w:rsidRPr="00B033A8">
        <w:rPr>
          <w:rFonts w:cs="Times New Roman"/>
        </w:rPr>
        <w:t xml:space="preserve"> </w:t>
      </w:r>
      <w:r w:rsidR="00C53138" w:rsidRPr="00B033A8">
        <w:rPr>
          <w:rFonts w:cs="Times New Roman"/>
        </w:rPr>
        <w:t>la creación del tipo penal denominado “Acuerdos restrictivos de la competencia” tuvo com</w:t>
      </w:r>
      <w:r w:rsidR="00A8013E" w:rsidRPr="00B033A8">
        <w:rPr>
          <w:rFonts w:cs="Times New Roman"/>
        </w:rPr>
        <w:t>o objeto sancionar las conductas anticompetitivas en los procesos de contratación pública. Lo anterio</w:t>
      </w:r>
      <w:r w:rsidR="00633960" w:rsidRPr="00B033A8">
        <w:rPr>
          <w:rFonts w:cs="Times New Roman"/>
        </w:rPr>
        <w:t>r</w:t>
      </w:r>
      <w:r w:rsidR="00A8013E" w:rsidRPr="00B033A8">
        <w:rPr>
          <w:rFonts w:cs="Times New Roman"/>
        </w:rPr>
        <w:t>, en un contexto m</w:t>
      </w:r>
      <w:r w:rsidR="00DA08C5" w:rsidRPr="00B033A8">
        <w:rPr>
          <w:rFonts w:cs="Times New Roman"/>
        </w:rPr>
        <w:t>á</w:t>
      </w:r>
      <w:r w:rsidR="00A8013E" w:rsidRPr="00B033A8">
        <w:rPr>
          <w:rFonts w:cs="Times New Roman"/>
        </w:rPr>
        <w:t xml:space="preserve">s general de lucha contra la corrupción privada y pública </w:t>
      </w:r>
      <w:r w:rsidR="00633960" w:rsidRPr="00B033A8">
        <w:rPr>
          <w:rFonts w:cs="Times New Roman"/>
        </w:rPr>
        <w:t xml:space="preserve">que buscaba fortalecer la capacidad del Estado para </w:t>
      </w:r>
      <w:r w:rsidR="003E5736" w:rsidRPr="00B033A8">
        <w:rPr>
          <w:rFonts w:cs="Times New Roman"/>
        </w:rPr>
        <w:t>reprimir de forma más efectiva</w:t>
      </w:r>
      <w:r w:rsidR="00B3479F" w:rsidRPr="00B033A8">
        <w:rPr>
          <w:rFonts w:cs="Times New Roman"/>
        </w:rPr>
        <w:t xml:space="preserve"> </w:t>
      </w:r>
      <w:r w:rsidR="003E5736" w:rsidRPr="00B033A8">
        <w:rPr>
          <w:rFonts w:cs="Times New Roman"/>
        </w:rPr>
        <w:t xml:space="preserve">y contundente </w:t>
      </w:r>
      <w:r w:rsidR="0069554B" w:rsidRPr="00B033A8">
        <w:rPr>
          <w:rFonts w:cs="Times New Roman"/>
        </w:rPr>
        <w:t xml:space="preserve">este fenómeno. </w:t>
      </w:r>
    </w:p>
    <w:p w14:paraId="58A0476A" w14:textId="77777777" w:rsidR="000C03CA" w:rsidRPr="00B033A8" w:rsidRDefault="000C03CA" w:rsidP="00776641">
      <w:pPr>
        <w:rPr>
          <w:rFonts w:cs="Times New Roman"/>
        </w:rPr>
      </w:pPr>
    </w:p>
    <w:p w14:paraId="17E0A40C" w14:textId="00765B5C" w:rsidR="000C03CA" w:rsidRPr="00B033A8" w:rsidRDefault="000C03CA" w:rsidP="00776641">
      <w:pPr>
        <w:pStyle w:val="Ttulo3"/>
        <w:numPr>
          <w:ilvl w:val="2"/>
          <w:numId w:val="15"/>
        </w:numPr>
        <w:spacing w:before="0"/>
        <w:ind w:left="1134" w:hanging="708"/>
        <w:rPr>
          <w:rFonts w:cs="Times New Roman"/>
        </w:rPr>
      </w:pPr>
      <w:bookmarkStart w:id="10" w:name="_Ref190810100"/>
      <w:r w:rsidRPr="00B033A8">
        <w:rPr>
          <w:rFonts w:cs="Times New Roman"/>
        </w:rPr>
        <w:t>Elementos del tipo penal</w:t>
      </w:r>
      <w:r w:rsidR="00A23C41" w:rsidRPr="00B033A8">
        <w:rPr>
          <w:rFonts w:cs="Times New Roman"/>
        </w:rPr>
        <w:t xml:space="preserve"> demandado</w:t>
      </w:r>
      <w:bookmarkEnd w:id="10"/>
      <w:r w:rsidR="00A23C41" w:rsidRPr="00B033A8">
        <w:rPr>
          <w:rFonts w:cs="Times New Roman"/>
        </w:rPr>
        <w:t xml:space="preserve"> </w:t>
      </w:r>
    </w:p>
    <w:p w14:paraId="20022179" w14:textId="77777777" w:rsidR="000C03CA" w:rsidRPr="00B033A8" w:rsidRDefault="000C03CA" w:rsidP="00776641">
      <w:pPr>
        <w:tabs>
          <w:tab w:val="left" w:pos="851"/>
        </w:tabs>
        <w:rPr>
          <w:rFonts w:cs="Times New Roman"/>
        </w:rPr>
      </w:pPr>
    </w:p>
    <w:p w14:paraId="0CCAF2E1" w14:textId="2C84DE01" w:rsidR="000C03CA" w:rsidRPr="00B033A8" w:rsidRDefault="000C03CA" w:rsidP="00776641">
      <w:pPr>
        <w:numPr>
          <w:ilvl w:val="0"/>
          <w:numId w:val="12"/>
        </w:numPr>
        <w:tabs>
          <w:tab w:val="left" w:pos="851"/>
        </w:tabs>
        <w:ind w:left="0" w:firstLine="0"/>
        <w:rPr>
          <w:rFonts w:cs="Times New Roman"/>
        </w:rPr>
      </w:pPr>
      <w:r w:rsidRPr="00B033A8">
        <w:rPr>
          <w:rFonts w:cs="Times New Roman"/>
        </w:rPr>
        <w:t>La norma demandada es el artículo 410A del Código Penal, adicionado por el artículo 27 de la Ley 1474 de 2011. Este tipo penal forma parte del Capítulo Cuarto, “de la celebración indebida de contratos”, del Título XV, “delitos contra la administración Pública”, del Código Penal</w:t>
      </w:r>
      <w:r w:rsidR="00C37CD8" w:rsidRPr="00B033A8">
        <w:rPr>
          <w:rFonts w:cs="Times New Roman"/>
        </w:rPr>
        <w:t xml:space="preserve">. Esta conducta fue tipificada por el legislador en los siguientes términos: </w:t>
      </w:r>
    </w:p>
    <w:p w14:paraId="60D465FF" w14:textId="77777777" w:rsidR="000C03CA" w:rsidRPr="00B033A8" w:rsidRDefault="000C03CA" w:rsidP="00776641">
      <w:pPr>
        <w:rPr>
          <w:rFonts w:cs="Times New Roman"/>
        </w:rPr>
      </w:pPr>
    </w:p>
    <w:p w14:paraId="4F59D3AF" w14:textId="77777777" w:rsidR="000C03CA" w:rsidRPr="00B033A8" w:rsidRDefault="000C03CA" w:rsidP="00776641">
      <w:pPr>
        <w:tabs>
          <w:tab w:val="left" w:pos="851"/>
        </w:tabs>
        <w:ind w:left="851" w:right="335"/>
        <w:rPr>
          <w:rFonts w:cs="Times New Roman"/>
          <w:szCs w:val="20"/>
        </w:rPr>
      </w:pPr>
      <w:r w:rsidRPr="00B033A8">
        <w:rPr>
          <w:rFonts w:cs="Times New Roman"/>
          <w:szCs w:val="20"/>
        </w:rPr>
        <w:t>“</w:t>
      </w:r>
      <w:r w:rsidRPr="00B033A8">
        <w:rPr>
          <w:rFonts w:cs="Times New Roman"/>
          <w:b/>
          <w:bCs/>
          <w:szCs w:val="20"/>
        </w:rPr>
        <w:t xml:space="preserve">Artículo 410A. </w:t>
      </w:r>
      <w:r w:rsidRPr="00B033A8">
        <w:rPr>
          <w:rFonts w:cs="Times New Roman"/>
          <w:b/>
          <w:bCs/>
          <w:i/>
          <w:iCs/>
          <w:szCs w:val="20"/>
        </w:rPr>
        <w:t>Acuerdos restrictivos de la competencia</w:t>
      </w:r>
      <w:r w:rsidRPr="00B033A8">
        <w:rPr>
          <w:rFonts w:cs="Times New Roman"/>
          <w:szCs w:val="20"/>
        </w:rPr>
        <w:t>. El que en un proceso de licitación pública, subasta pública, selección abreviada o concurso se concertare con otro con el fin de alterar ilícitamente el procedimiento contractual, incurrirá en prisión de seis (6) a doce (12) años y multa de doscientos (200) a mil (1.000) salarios mínimos legales mensuales vigentes e inhabilidad para contratar con entidades estatales por ocho (8) años.</w:t>
      </w:r>
    </w:p>
    <w:p w14:paraId="441AB791" w14:textId="77777777" w:rsidR="000C03CA" w:rsidRPr="00B033A8" w:rsidRDefault="000C03CA" w:rsidP="00776641">
      <w:pPr>
        <w:tabs>
          <w:tab w:val="left" w:pos="851"/>
        </w:tabs>
        <w:ind w:left="851" w:right="335"/>
        <w:rPr>
          <w:rFonts w:cs="Times New Roman"/>
          <w:szCs w:val="20"/>
        </w:rPr>
      </w:pPr>
    </w:p>
    <w:p w14:paraId="50010B18" w14:textId="77777777" w:rsidR="000C03CA" w:rsidRPr="00B033A8" w:rsidRDefault="000C03CA" w:rsidP="00776641">
      <w:pPr>
        <w:tabs>
          <w:tab w:val="left" w:pos="851"/>
        </w:tabs>
        <w:ind w:left="851" w:right="335"/>
        <w:rPr>
          <w:rFonts w:cs="Times New Roman"/>
          <w:szCs w:val="20"/>
        </w:rPr>
      </w:pPr>
      <w:r w:rsidRPr="00B033A8">
        <w:rPr>
          <w:rFonts w:cs="Times New Roman"/>
          <w:szCs w:val="20"/>
          <w:u w:val="single"/>
        </w:rPr>
        <w:t>Parágrafo</w:t>
      </w:r>
      <w:r w:rsidRPr="00B033A8">
        <w:rPr>
          <w:rFonts w:cs="Times New Roman"/>
          <w:szCs w:val="20"/>
        </w:rPr>
        <w:t>. El que en su condición de delator o clemente mediante resolución en firme obtenga exoneración total de la multa a imponer por parte de la Superintendencia de Industria y Comercio en una investigación por acuerdo anticompetitivos en un proceso de contratación pública obtendrá los siguientes beneficios: reducción de la pena en una tercera parte, un 40% de la multa a imponer y una inhabilidad para contratar con entidades estatales por cinco (5) años”.</w:t>
      </w:r>
    </w:p>
    <w:p w14:paraId="53137441" w14:textId="77777777" w:rsidR="000C03CA" w:rsidRPr="00B033A8" w:rsidRDefault="000C03CA" w:rsidP="00776641">
      <w:pPr>
        <w:tabs>
          <w:tab w:val="left" w:pos="851"/>
        </w:tabs>
        <w:rPr>
          <w:rFonts w:cs="Times New Roman"/>
        </w:rPr>
      </w:pPr>
    </w:p>
    <w:p w14:paraId="21BF6D27" w14:textId="6F2F0F0E" w:rsidR="002A2DDF" w:rsidRPr="00B033A8" w:rsidRDefault="000C03CA" w:rsidP="00776641">
      <w:pPr>
        <w:numPr>
          <w:ilvl w:val="0"/>
          <w:numId w:val="12"/>
        </w:numPr>
        <w:tabs>
          <w:tab w:val="left" w:pos="851"/>
        </w:tabs>
        <w:ind w:left="0" w:firstLine="0"/>
        <w:rPr>
          <w:rFonts w:cs="Times New Roman"/>
        </w:rPr>
      </w:pPr>
      <w:r w:rsidRPr="00B033A8">
        <w:rPr>
          <w:rFonts w:cs="Times New Roman"/>
        </w:rPr>
        <w:t>La jurisprudencia constitucional ha señalado que los tipos penales “</w:t>
      </w:r>
      <w:r w:rsidRPr="00B033A8">
        <w:rPr>
          <w:rFonts w:cs="Times New Roman"/>
          <w:szCs w:val="28"/>
          <w:lang w:val="es-ES_tradnl" w:eastAsia="es-CO"/>
        </w:rPr>
        <w:t xml:space="preserve">constituyen el mecanismo mediante el cual el legislador describe en forma </w:t>
      </w:r>
      <w:r w:rsidRPr="00B033A8">
        <w:rPr>
          <w:rFonts w:cs="Times New Roman"/>
          <w:szCs w:val="28"/>
          <w:lang w:val="es-ES_tradnl" w:eastAsia="es-CO"/>
        </w:rPr>
        <w:lastRenderedPageBreak/>
        <w:t>abstracta las conductas humanas que son objeto de reproche social y de punición</w:t>
      </w:r>
      <w:r w:rsidRPr="00B033A8">
        <w:rPr>
          <w:rFonts w:cs="Times New Roman"/>
        </w:rPr>
        <w:t xml:space="preserve">”. Los tipos penales </w:t>
      </w:r>
      <w:r w:rsidR="005735B1" w:rsidRPr="00B033A8">
        <w:rPr>
          <w:rFonts w:cs="Times New Roman"/>
        </w:rPr>
        <w:t xml:space="preserve">se </w:t>
      </w:r>
      <w:r w:rsidRPr="00B033A8">
        <w:rPr>
          <w:rFonts w:cs="Times New Roman"/>
        </w:rPr>
        <w:t>componen por una estructura bipartita: el precepto</w:t>
      </w:r>
      <w:r w:rsidR="00596D63" w:rsidRPr="00B033A8">
        <w:rPr>
          <w:rFonts w:cs="Times New Roman"/>
        </w:rPr>
        <w:t xml:space="preserve"> </w:t>
      </w:r>
      <w:r w:rsidRPr="00B033A8">
        <w:rPr>
          <w:rFonts w:cs="Times New Roman"/>
        </w:rPr>
        <w:t>y la sanción</w:t>
      </w:r>
      <w:r w:rsidRPr="00B033A8">
        <w:rPr>
          <w:rStyle w:val="Refdenotaalpie"/>
          <w:rFonts w:cs="Times New Roman"/>
        </w:rPr>
        <w:footnoteReference w:id="171"/>
      </w:r>
      <w:r w:rsidRPr="00B033A8">
        <w:rPr>
          <w:rFonts w:cs="Times New Roman"/>
        </w:rPr>
        <w:t xml:space="preserve">. El precepto, a su vez, se compone por: </w:t>
      </w:r>
      <w:r w:rsidRPr="00B033A8">
        <w:rPr>
          <w:rFonts w:cs="Times New Roman"/>
          <w:i/>
          <w:iCs/>
        </w:rPr>
        <w:t>(i)</w:t>
      </w:r>
      <w:r w:rsidRPr="00B033A8">
        <w:rPr>
          <w:rFonts w:cs="Times New Roman"/>
        </w:rPr>
        <w:t xml:space="preserve"> el sujeto activo</w:t>
      </w:r>
      <w:r w:rsidRPr="00B033A8">
        <w:rPr>
          <w:rStyle w:val="Refdenotaalpie"/>
          <w:rFonts w:cs="Times New Roman"/>
        </w:rPr>
        <w:footnoteReference w:id="172"/>
      </w:r>
      <w:r w:rsidRPr="00B033A8">
        <w:rPr>
          <w:rFonts w:cs="Times New Roman"/>
        </w:rPr>
        <w:t xml:space="preserve">; </w:t>
      </w:r>
      <w:r w:rsidRPr="00B033A8">
        <w:rPr>
          <w:rFonts w:cs="Times New Roman"/>
          <w:i/>
          <w:iCs/>
        </w:rPr>
        <w:t>(</w:t>
      </w:r>
      <w:proofErr w:type="spellStart"/>
      <w:r w:rsidRPr="00B033A8">
        <w:rPr>
          <w:rFonts w:cs="Times New Roman"/>
          <w:i/>
          <w:iCs/>
        </w:rPr>
        <w:t>ii</w:t>
      </w:r>
      <w:proofErr w:type="spellEnd"/>
      <w:r w:rsidRPr="00B033A8">
        <w:rPr>
          <w:rFonts w:cs="Times New Roman"/>
          <w:i/>
          <w:iCs/>
        </w:rPr>
        <w:t>)</w:t>
      </w:r>
      <w:r w:rsidRPr="00B033A8">
        <w:rPr>
          <w:rFonts w:cs="Times New Roman"/>
        </w:rPr>
        <w:t xml:space="preserve"> el sujeto pasivo</w:t>
      </w:r>
      <w:r w:rsidRPr="00B033A8">
        <w:rPr>
          <w:rStyle w:val="Refdenotaalpie"/>
          <w:rFonts w:cs="Times New Roman"/>
        </w:rPr>
        <w:footnoteReference w:id="173"/>
      </w:r>
      <w:r w:rsidR="00BD2A0C" w:rsidRPr="00B033A8">
        <w:rPr>
          <w:rFonts w:cs="Times New Roman"/>
        </w:rPr>
        <w:t xml:space="preserve"> y</w:t>
      </w:r>
      <w:r w:rsidRPr="00B033A8">
        <w:rPr>
          <w:rFonts w:cs="Times New Roman"/>
        </w:rPr>
        <w:t xml:space="preserve"> </w:t>
      </w:r>
      <w:r w:rsidRPr="00B033A8">
        <w:rPr>
          <w:rFonts w:cs="Times New Roman"/>
          <w:i/>
          <w:iCs/>
        </w:rPr>
        <w:t>(</w:t>
      </w:r>
      <w:proofErr w:type="spellStart"/>
      <w:r w:rsidRPr="00B033A8">
        <w:rPr>
          <w:rFonts w:cs="Times New Roman"/>
          <w:i/>
          <w:iCs/>
        </w:rPr>
        <w:t>iii</w:t>
      </w:r>
      <w:proofErr w:type="spellEnd"/>
      <w:r w:rsidRPr="00B033A8">
        <w:rPr>
          <w:rFonts w:cs="Times New Roman"/>
          <w:i/>
          <w:iCs/>
        </w:rPr>
        <w:t>)</w:t>
      </w:r>
      <w:r w:rsidRPr="00B033A8">
        <w:rPr>
          <w:rFonts w:cs="Times New Roman"/>
        </w:rPr>
        <w:t xml:space="preserve"> la </w:t>
      </w:r>
      <w:r w:rsidR="00934673" w:rsidRPr="00B033A8">
        <w:rPr>
          <w:rFonts w:cs="Times New Roman"/>
        </w:rPr>
        <w:t>acción o verbo rector</w:t>
      </w:r>
      <w:r w:rsidRPr="00B033A8">
        <w:rPr>
          <w:rStyle w:val="Refdenotaalpie"/>
          <w:rFonts w:cs="Times New Roman"/>
        </w:rPr>
        <w:footnoteReference w:id="174"/>
      </w:r>
      <w:r w:rsidRPr="00B033A8">
        <w:rPr>
          <w:rFonts w:cs="Times New Roman"/>
        </w:rPr>
        <w:t xml:space="preserve">. </w:t>
      </w:r>
    </w:p>
    <w:p w14:paraId="57F9033A" w14:textId="77777777" w:rsidR="002A2DDF" w:rsidRPr="00B033A8" w:rsidRDefault="002A2DDF" w:rsidP="00776641">
      <w:pPr>
        <w:tabs>
          <w:tab w:val="left" w:pos="851"/>
        </w:tabs>
        <w:rPr>
          <w:rFonts w:cs="Times New Roman"/>
        </w:rPr>
      </w:pPr>
    </w:p>
    <w:p w14:paraId="2C5FC7F8" w14:textId="2BC4E245" w:rsidR="000C03CA" w:rsidRPr="00B033A8" w:rsidRDefault="000C03CA" w:rsidP="00776641">
      <w:pPr>
        <w:numPr>
          <w:ilvl w:val="0"/>
          <w:numId w:val="12"/>
        </w:numPr>
        <w:tabs>
          <w:tab w:val="left" w:pos="851"/>
        </w:tabs>
        <w:ind w:left="0" w:firstLine="0"/>
        <w:rPr>
          <w:rFonts w:cs="Times New Roman"/>
        </w:rPr>
      </w:pPr>
      <w:r w:rsidRPr="00B033A8">
        <w:rPr>
          <w:rFonts w:cs="Times New Roman"/>
        </w:rPr>
        <w:t>La siguiente tabla sintetiza los elementos estructurales del tipo penal demandad</w:t>
      </w:r>
      <w:r w:rsidR="00BD2A0C" w:rsidRPr="00B033A8">
        <w:rPr>
          <w:rFonts w:cs="Times New Roman"/>
        </w:rPr>
        <w:t>o</w:t>
      </w:r>
      <w:r w:rsidR="00596D63" w:rsidRPr="00B033A8">
        <w:rPr>
          <w:rFonts w:cs="Times New Roman"/>
        </w:rPr>
        <w:t xml:space="preserve">, que el legislador denominó “acuerdos restrictivos de la competencia”: </w:t>
      </w:r>
    </w:p>
    <w:p w14:paraId="71872D36" w14:textId="77777777" w:rsidR="000C03CA" w:rsidRPr="00B033A8" w:rsidRDefault="000C03CA" w:rsidP="00776641">
      <w:pPr>
        <w:tabs>
          <w:tab w:val="left" w:pos="851"/>
        </w:tabs>
        <w:rPr>
          <w:rFonts w:cs="Times New Roman"/>
        </w:rPr>
      </w:pPr>
    </w:p>
    <w:tbl>
      <w:tblPr>
        <w:tblStyle w:val="Tablaconcuadrcula"/>
        <w:tblW w:w="0" w:type="auto"/>
        <w:tblLook w:val="04A0" w:firstRow="1" w:lastRow="0" w:firstColumn="1" w:lastColumn="0" w:noHBand="0" w:noVBand="1"/>
      </w:tblPr>
      <w:tblGrid>
        <w:gridCol w:w="1781"/>
        <w:gridCol w:w="7049"/>
      </w:tblGrid>
      <w:tr w:rsidR="000C03CA" w:rsidRPr="00B033A8" w14:paraId="15E2D6BB" w14:textId="77777777" w:rsidTr="004351E8">
        <w:tc>
          <w:tcPr>
            <w:tcW w:w="8830" w:type="dxa"/>
            <w:gridSpan w:val="2"/>
            <w:shd w:val="clear" w:color="auto" w:fill="D9D9D9" w:themeFill="background1" w:themeFillShade="D9"/>
          </w:tcPr>
          <w:p w14:paraId="69DE72B1" w14:textId="01A859A4" w:rsidR="000C03CA" w:rsidRPr="00B033A8" w:rsidRDefault="000C03CA" w:rsidP="00776641">
            <w:pPr>
              <w:tabs>
                <w:tab w:val="left" w:pos="851"/>
              </w:tabs>
              <w:jc w:val="center"/>
              <w:rPr>
                <w:rFonts w:cs="Times New Roman"/>
                <w:b/>
                <w:bCs/>
              </w:rPr>
            </w:pPr>
            <w:r w:rsidRPr="00B033A8">
              <w:rPr>
                <w:rFonts w:cs="Times New Roman"/>
                <w:b/>
                <w:bCs/>
              </w:rPr>
              <w:t xml:space="preserve">Artículo 410A del Cogido penal: </w:t>
            </w:r>
            <w:r w:rsidR="002A2DDF" w:rsidRPr="00B033A8">
              <w:rPr>
                <w:rFonts w:cs="Times New Roman"/>
                <w:b/>
                <w:bCs/>
              </w:rPr>
              <w:t>“</w:t>
            </w:r>
            <w:r w:rsidRPr="00B033A8">
              <w:rPr>
                <w:rFonts w:cs="Times New Roman"/>
                <w:b/>
                <w:bCs/>
              </w:rPr>
              <w:t>acuerdos restrictivos de la competencia</w:t>
            </w:r>
            <w:r w:rsidR="002A2DDF" w:rsidRPr="00B033A8">
              <w:rPr>
                <w:rFonts w:cs="Times New Roman"/>
                <w:b/>
                <w:bCs/>
              </w:rPr>
              <w:t>”</w:t>
            </w:r>
          </w:p>
        </w:tc>
      </w:tr>
      <w:tr w:rsidR="000C03CA" w:rsidRPr="00B033A8" w14:paraId="3857709E" w14:textId="77777777" w:rsidTr="00A123F5">
        <w:tc>
          <w:tcPr>
            <w:tcW w:w="1781" w:type="dxa"/>
            <w:shd w:val="clear" w:color="auto" w:fill="D9D9D9" w:themeFill="background1" w:themeFillShade="D9"/>
            <w:vAlign w:val="center"/>
          </w:tcPr>
          <w:p w14:paraId="6747F05E" w14:textId="77777777" w:rsidR="000C03CA" w:rsidRPr="00B033A8" w:rsidRDefault="000C03CA" w:rsidP="00776641">
            <w:pPr>
              <w:tabs>
                <w:tab w:val="left" w:pos="851"/>
              </w:tabs>
              <w:jc w:val="center"/>
              <w:rPr>
                <w:rFonts w:cs="Times New Roman"/>
                <w:b/>
                <w:bCs/>
              </w:rPr>
            </w:pPr>
            <w:r w:rsidRPr="00B033A8">
              <w:rPr>
                <w:rFonts w:cs="Times New Roman"/>
                <w:b/>
                <w:bCs/>
              </w:rPr>
              <w:t>Sujeto activo</w:t>
            </w:r>
          </w:p>
        </w:tc>
        <w:tc>
          <w:tcPr>
            <w:tcW w:w="7049" w:type="dxa"/>
          </w:tcPr>
          <w:p w14:paraId="4DDD2814" w14:textId="05D04CCB" w:rsidR="000C03CA" w:rsidRPr="00B033A8" w:rsidRDefault="000C03CA" w:rsidP="00776641">
            <w:pPr>
              <w:tabs>
                <w:tab w:val="left" w:pos="851"/>
              </w:tabs>
              <w:rPr>
                <w:rFonts w:cs="Times New Roman"/>
              </w:rPr>
            </w:pPr>
            <w:r w:rsidRPr="00B033A8">
              <w:rPr>
                <w:rFonts w:cs="Times New Roman"/>
              </w:rPr>
              <w:t xml:space="preserve">El sujeto activo es indeterminado </w:t>
            </w:r>
            <w:r w:rsidR="00D543DB" w:rsidRPr="00B033A8">
              <w:rPr>
                <w:rFonts w:cs="Times New Roman"/>
              </w:rPr>
              <w:t>–</w:t>
            </w:r>
            <w:r w:rsidRPr="00B033A8">
              <w:rPr>
                <w:rFonts w:cs="Times New Roman"/>
              </w:rPr>
              <w:t>no calificado</w:t>
            </w:r>
            <w:r w:rsidR="00D543DB" w:rsidRPr="00B033A8">
              <w:rPr>
                <w:rFonts w:cs="Times New Roman"/>
              </w:rPr>
              <w:t>–</w:t>
            </w:r>
            <w:r w:rsidRPr="00B033A8">
              <w:rPr>
                <w:rFonts w:cs="Times New Roman"/>
              </w:rPr>
              <w:t xml:space="preserve"> y plurisubjetivo. Lo primero</w:t>
            </w:r>
            <w:r w:rsidR="00BB1A4C" w:rsidRPr="00B033A8">
              <w:rPr>
                <w:rFonts w:cs="Times New Roman"/>
              </w:rPr>
              <w:t xml:space="preserve"> </w:t>
            </w:r>
            <w:r w:rsidR="00534D03" w:rsidRPr="00B033A8">
              <w:rPr>
                <w:rFonts w:cs="Times New Roman"/>
              </w:rPr>
              <w:t>–</w:t>
            </w:r>
            <w:r w:rsidRPr="00B033A8">
              <w:rPr>
                <w:rFonts w:cs="Times New Roman"/>
                <w:i/>
                <w:iCs/>
              </w:rPr>
              <w:t>indeterminado</w:t>
            </w:r>
            <w:r w:rsidR="00534D03" w:rsidRPr="00B033A8">
              <w:rPr>
                <w:rFonts w:cs="Times New Roman"/>
                <w:i/>
                <w:iCs/>
              </w:rPr>
              <w:t>–</w:t>
            </w:r>
            <w:r w:rsidRPr="00B033A8">
              <w:rPr>
                <w:rFonts w:cs="Times New Roman"/>
              </w:rPr>
              <w:t xml:space="preserve">, porque la norma penal utiliza la expresión “el que”, lo que </w:t>
            </w:r>
            <w:r w:rsidR="00596D63" w:rsidRPr="00B033A8">
              <w:rPr>
                <w:rFonts w:cs="Times New Roman"/>
              </w:rPr>
              <w:t xml:space="preserve">supone </w:t>
            </w:r>
            <w:r w:rsidRPr="00B033A8">
              <w:rPr>
                <w:rFonts w:cs="Times New Roman"/>
              </w:rPr>
              <w:t xml:space="preserve">que cualquier persona puede realizar la conducta punible, con independencia de su condición jurídica. Lo segundo </w:t>
            </w:r>
            <w:r w:rsidR="00534D03" w:rsidRPr="00B033A8">
              <w:rPr>
                <w:rFonts w:cs="Times New Roman"/>
              </w:rPr>
              <w:t>–</w:t>
            </w:r>
            <w:r w:rsidRPr="00B033A8">
              <w:rPr>
                <w:rFonts w:cs="Times New Roman"/>
                <w:i/>
                <w:iCs/>
              </w:rPr>
              <w:t>plurisubjetivo</w:t>
            </w:r>
            <w:r w:rsidR="00534D03" w:rsidRPr="00B033A8">
              <w:rPr>
                <w:rFonts w:cs="Times New Roman"/>
              </w:rPr>
              <w:t>–</w:t>
            </w:r>
            <w:r w:rsidRPr="00B033A8">
              <w:rPr>
                <w:rFonts w:cs="Times New Roman"/>
              </w:rPr>
              <w:t xml:space="preserve"> porque la disposición emplea la expresión “con otro”, </w:t>
            </w:r>
            <w:r w:rsidR="00D04FDD" w:rsidRPr="00B033A8">
              <w:rPr>
                <w:rFonts w:cs="Times New Roman"/>
              </w:rPr>
              <w:t xml:space="preserve">por </w:t>
            </w:r>
            <w:r w:rsidRPr="00B033A8">
              <w:rPr>
                <w:rFonts w:cs="Times New Roman"/>
              </w:rPr>
              <w:t xml:space="preserve">lo que exige una concertación entre dos o más sujetos activos. </w:t>
            </w:r>
          </w:p>
        </w:tc>
      </w:tr>
      <w:tr w:rsidR="000C03CA" w:rsidRPr="00B033A8" w14:paraId="2BB5131A" w14:textId="77777777" w:rsidTr="00A123F5">
        <w:tc>
          <w:tcPr>
            <w:tcW w:w="1781" w:type="dxa"/>
            <w:shd w:val="clear" w:color="auto" w:fill="D9D9D9" w:themeFill="background1" w:themeFillShade="D9"/>
            <w:vAlign w:val="center"/>
          </w:tcPr>
          <w:p w14:paraId="0D881FB7" w14:textId="77777777" w:rsidR="000C03CA" w:rsidRPr="00B033A8" w:rsidRDefault="000C03CA" w:rsidP="00776641">
            <w:pPr>
              <w:tabs>
                <w:tab w:val="left" w:pos="851"/>
              </w:tabs>
              <w:jc w:val="center"/>
              <w:rPr>
                <w:rFonts w:cs="Times New Roman"/>
                <w:b/>
                <w:bCs/>
              </w:rPr>
            </w:pPr>
            <w:r w:rsidRPr="00B033A8">
              <w:rPr>
                <w:rFonts w:cs="Times New Roman"/>
                <w:b/>
                <w:bCs/>
              </w:rPr>
              <w:t>Sujeto pasivo</w:t>
            </w:r>
          </w:p>
        </w:tc>
        <w:tc>
          <w:tcPr>
            <w:tcW w:w="7049" w:type="dxa"/>
          </w:tcPr>
          <w:p w14:paraId="3A355971" w14:textId="7E4B62F4" w:rsidR="000C03CA" w:rsidRPr="00B033A8" w:rsidRDefault="000C03CA" w:rsidP="00776641">
            <w:pPr>
              <w:tabs>
                <w:tab w:val="left" w:pos="851"/>
              </w:tabs>
              <w:rPr>
                <w:rFonts w:cs="Times New Roman"/>
              </w:rPr>
            </w:pPr>
            <w:r w:rsidRPr="00B033A8">
              <w:rPr>
                <w:rFonts w:cs="Times New Roman"/>
              </w:rPr>
              <w:t>El sujeto pasivo es el Estado, como titular del bien jurídico de la administración pública.</w:t>
            </w:r>
          </w:p>
        </w:tc>
      </w:tr>
      <w:tr w:rsidR="00A3088E" w:rsidRPr="00B033A8" w14:paraId="7576D3E4" w14:textId="77777777" w:rsidTr="00A123F5">
        <w:tc>
          <w:tcPr>
            <w:tcW w:w="1781" w:type="dxa"/>
            <w:shd w:val="clear" w:color="auto" w:fill="D9D9D9" w:themeFill="background1" w:themeFillShade="D9"/>
            <w:vAlign w:val="center"/>
          </w:tcPr>
          <w:p w14:paraId="282D9DA8" w14:textId="7A4F5F9E" w:rsidR="00A3088E" w:rsidRPr="00B033A8" w:rsidDel="00215177" w:rsidRDefault="00A3088E" w:rsidP="00776641">
            <w:pPr>
              <w:tabs>
                <w:tab w:val="left" w:pos="851"/>
              </w:tabs>
              <w:jc w:val="center"/>
              <w:rPr>
                <w:rFonts w:cs="Times New Roman"/>
                <w:b/>
                <w:bCs/>
              </w:rPr>
            </w:pPr>
            <w:r w:rsidRPr="00B033A8">
              <w:rPr>
                <w:rFonts w:cs="Times New Roman"/>
                <w:b/>
                <w:bCs/>
              </w:rPr>
              <w:t>Acción o verbo rector</w:t>
            </w:r>
          </w:p>
        </w:tc>
        <w:tc>
          <w:tcPr>
            <w:tcW w:w="7049" w:type="dxa"/>
          </w:tcPr>
          <w:p w14:paraId="7905FAE3" w14:textId="5E2ACD5F" w:rsidR="00A3088E" w:rsidRPr="00B033A8" w:rsidRDefault="00A3088E" w:rsidP="00776641">
            <w:pPr>
              <w:tabs>
                <w:tab w:val="left" w:pos="851"/>
              </w:tabs>
              <w:rPr>
                <w:rFonts w:cs="Times New Roman"/>
                <w:iCs/>
                <w:lang w:val="es-ES"/>
              </w:rPr>
            </w:pPr>
            <w:r w:rsidRPr="00B033A8">
              <w:rPr>
                <w:rFonts w:cs="Times New Roman"/>
                <w:iCs/>
                <w:lang w:val="es-ES"/>
              </w:rPr>
              <w:t>Concertarse.</w:t>
            </w:r>
          </w:p>
        </w:tc>
      </w:tr>
      <w:tr w:rsidR="0060572E" w:rsidRPr="00B033A8" w14:paraId="30B5856B" w14:textId="77777777" w:rsidTr="00A123F5">
        <w:tc>
          <w:tcPr>
            <w:tcW w:w="1781" w:type="dxa"/>
            <w:shd w:val="clear" w:color="auto" w:fill="D9D9D9" w:themeFill="background1" w:themeFillShade="D9"/>
            <w:vAlign w:val="center"/>
          </w:tcPr>
          <w:p w14:paraId="4EA21122" w14:textId="4BB48B12" w:rsidR="0060572E" w:rsidRPr="00B033A8" w:rsidRDefault="0060572E" w:rsidP="00776641">
            <w:pPr>
              <w:tabs>
                <w:tab w:val="left" w:pos="851"/>
              </w:tabs>
              <w:jc w:val="center"/>
              <w:rPr>
                <w:rFonts w:cs="Times New Roman"/>
                <w:b/>
                <w:bCs/>
              </w:rPr>
            </w:pPr>
            <w:r w:rsidRPr="00B033A8">
              <w:rPr>
                <w:rFonts w:cs="Times New Roman"/>
                <w:b/>
                <w:bCs/>
              </w:rPr>
              <w:t>Ingredientes normativos</w:t>
            </w:r>
          </w:p>
        </w:tc>
        <w:tc>
          <w:tcPr>
            <w:tcW w:w="7049" w:type="dxa"/>
          </w:tcPr>
          <w:p w14:paraId="19E8B5C8" w14:textId="6C46980B" w:rsidR="00206C71" w:rsidRPr="00B033A8" w:rsidRDefault="00A3088E" w:rsidP="00776641">
            <w:pPr>
              <w:pStyle w:val="Prrafodelista"/>
              <w:numPr>
                <w:ilvl w:val="0"/>
                <w:numId w:val="23"/>
              </w:numPr>
              <w:tabs>
                <w:tab w:val="left" w:pos="379"/>
              </w:tabs>
              <w:spacing w:line="240" w:lineRule="auto"/>
              <w:ind w:left="238" w:hanging="283"/>
              <w:rPr>
                <w:iCs/>
                <w:lang w:val="es-ES"/>
              </w:rPr>
            </w:pPr>
            <w:r w:rsidRPr="00B033A8">
              <w:rPr>
                <w:iCs/>
                <w:lang w:val="es-ES"/>
              </w:rPr>
              <w:t>U</w:t>
            </w:r>
            <w:r w:rsidR="0060572E" w:rsidRPr="00B033A8">
              <w:rPr>
                <w:iCs/>
                <w:lang w:val="es-ES"/>
              </w:rPr>
              <w:t>n proceso contractual de licitación pública, subasta pública, selección abreviada o concurso</w:t>
            </w:r>
            <w:r w:rsidRPr="00B033A8">
              <w:rPr>
                <w:iCs/>
                <w:lang w:val="es-ES"/>
              </w:rPr>
              <w:t>.</w:t>
            </w:r>
            <w:r w:rsidR="0060572E" w:rsidRPr="00B033A8">
              <w:rPr>
                <w:iCs/>
                <w:lang w:val="es-ES"/>
              </w:rPr>
              <w:t xml:space="preserve"> </w:t>
            </w:r>
            <w:r w:rsidR="00E1358C" w:rsidRPr="00B033A8">
              <w:rPr>
                <w:iCs/>
                <w:lang w:val="es-ES"/>
              </w:rPr>
              <w:t>Estas modalidades de contratación con el Estado están definidas en el artículo 2º de la Ley 1150 de 2007</w:t>
            </w:r>
            <w:r w:rsidR="00693ED1" w:rsidRPr="00B033A8">
              <w:rPr>
                <w:iCs/>
                <w:lang w:val="es-ES"/>
              </w:rPr>
              <w:t xml:space="preserve">. </w:t>
            </w:r>
          </w:p>
          <w:p w14:paraId="3A7835D2" w14:textId="2A2CF611" w:rsidR="0060572E" w:rsidRPr="00B033A8" w:rsidRDefault="00A3088E" w:rsidP="00776641">
            <w:pPr>
              <w:pStyle w:val="Prrafodelista"/>
              <w:numPr>
                <w:ilvl w:val="0"/>
                <w:numId w:val="23"/>
              </w:numPr>
              <w:tabs>
                <w:tab w:val="left" w:pos="379"/>
              </w:tabs>
              <w:spacing w:line="240" w:lineRule="auto"/>
              <w:ind w:left="238" w:hanging="283"/>
              <w:rPr>
                <w:iCs/>
                <w:lang w:val="es-ES"/>
              </w:rPr>
            </w:pPr>
            <w:r w:rsidRPr="00B033A8">
              <w:rPr>
                <w:iCs/>
                <w:lang w:val="es-ES"/>
              </w:rPr>
              <w:t>L</w:t>
            </w:r>
            <w:r w:rsidR="0060572E" w:rsidRPr="00B033A8">
              <w:rPr>
                <w:iCs/>
                <w:lang w:val="es-ES"/>
              </w:rPr>
              <w:t>a finalidad de “alterar ilícitamente”.</w:t>
            </w:r>
          </w:p>
        </w:tc>
      </w:tr>
      <w:tr w:rsidR="000C03CA" w:rsidRPr="00B033A8" w14:paraId="2590B1FA" w14:textId="77777777" w:rsidTr="00A123F5">
        <w:tc>
          <w:tcPr>
            <w:tcW w:w="1781" w:type="dxa"/>
            <w:shd w:val="clear" w:color="auto" w:fill="D9D9D9" w:themeFill="background1" w:themeFillShade="D9"/>
            <w:vAlign w:val="center"/>
          </w:tcPr>
          <w:p w14:paraId="46CA59E6" w14:textId="77777777" w:rsidR="000C03CA" w:rsidRPr="00B033A8" w:rsidRDefault="000C03CA" w:rsidP="00776641">
            <w:pPr>
              <w:tabs>
                <w:tab w:val="left" w:pos="851"/>
              </w:tabs>
              <w:jc w:val="center"/>
              <w:rPr>
                <w:rFonts w:cs="Times New Roman"/>
                <w:b/>
                <w:bCs/>
              </w:rPr>
            </w:pPr>
            <w:r w:rsidRPr="00B033A8">
              <w:rPr>
                <w:rFonts w:cs="Times New Roman"/>
                <w:b/>
                <w:bCs/>
              </w:rPr>
              <w:t>Sanción</w:t>
            </w:r>
          </w:p>
        </w:tc>
        <w:tc>
          <w:tcPr>
            <w:tcW w:w="7049" w:type="dxa"/>
          </w:tcPr>
          <w:p w14:paraId="5BE7AA37" w14:textId="77777777" w:rsidR="000C03CA" w:rsidRPr="00B033A8" w:rsidRDefault="000C03CA" w:rsidP="00BB1A4C">
            <w:pPr>
              <w:tabs>
                <w:tab w:val="left" w:pos="851"/>
              </w:tabs>
              <w:rPr>
                <w:rFonts w:cs="Times New Roman"/>
              </w:rPr>
            </w:pPr>
            <w:r w:rsidRPr="00B033A8">
              <w:rPr>
                <w:rFonts w:cs="Times New Roman"/>
              </w:rPr>
              <w:t>La persona que sea encontrada penalmente responsable por la conducta descrita en el tipo penal incurrirá en las siguientes sanciones:</w:t>
            </w:r>
          </w:p>
          <w:p w14:paraId="4096A731" w14:textId="77777777" w:rsidR="00206C71" w:rsidRPr="00B033A8" w:rsidRDefault="000C03CA" w:rsidP="00BB1A4C">
            <w:pPr>
              <w:pStyle w:val="Prrafodelista"/>
              <w:numPr>
                <w:ilvl w:val="0"/>
                <w:numId w:val="24"/>
              </w:numPr>
              <w:tabs>
                <w:tab w:val="left" w:pos="738"/>
              </w:tabs>
              <w:spacing w:line="240" w:lineRule="auto"/>
              <w:ind w:left="238" w:hanging="284"/>
            </w:pPr>
            <w:r w:rsidRPr="00B033A8">
              <w:t xml:space="preserve">Pena de prisión de seis (6) a doce (12) años. </w:t>
            </w:r>
          </w:p>
          <w:p w14:paraId="0222BB65" w14:textId="77777777" w:rsidR="00206C71" w:rsidRPr="00B033A8" w:rsidRDefault="000C03CA" w:rsidP="00BB1A4C">
            <w:pPr>
              <w:pStyle w:val="Prrafodelista"/>
              <w:numPr>
                <w:ilvl w:val="0"/>
                <w:numId w:val="24"/>
              </w:numPr>
              <w:tabs>
                <w:tab w:val="left" w:pos="738"/>
              </w:tabs>
              <w:spacing w:line="240" w:lineRule="auto"/>
              <w:ind w:left="238" w:hanging="284"/>
            </w:pPr>
            <w:r w:rsidRPr="00B033A8">
              <w:t xml:space="preserve">Multa de doscientos (200) a mil (1.000) salarios mínimos legales mensuales vigentes. </w:t>
            </w:r>
          </w:p>
          <w:p w14:paraId="490CBB39" w14:textId="4BC93C7F" w:rsidR="000C03CA" w:rsidRPr="00B033A8" w:rsidRDefault="000C03CA" w:rsidP="00BB1A4C">
            <w:pPr>
              <w:pStyle w:val="Prrafodelista"/>
              <w:numPr>
                <w:ilvl w:val="0"/>
                <w:numId w:val="24"/>
              </w:numPr>
              <w:tabs>
                <w:tab w:val="left" w:pos="738"/>
              </w:tabs>
              <w:spacing w:line="240" w:lineRule="auto"/>
              <w:ind w:left="238" w:hanging="284"/>
            </w:pPr>
            <w:r w:rsidRPr="00B033A8">
              <w:t>Inhabilidad para contratar con entidades estatales por ocho (8) años</w:t>
            </w:r>
          </w:p>
          <w:p w14:paraId="25255DEA" w14:textId="50E13FEF" w:rsidR="003B352A" w:rsidRPr="00B033A8" w:rsidRDefault="003B352A" w:rsidP="0018407E">
            <w:pPr>
              <w:tabs>
                <w:tab w:val="left" w:pos="596"/>
              </w:tabs>
              <w:rPr>
                <w:rFonts w:cs="Times New Roman"/>
              </w:rPr>
            </w:pPr>
            <w:r w:rsidRPr="00B033A8">
              <w:rPr>
                <w:rFonts w:cs="Times New Roman"/>
              </w:rPr>
              <w:lastRenderedPageBreak/>
              <w:t>*El parágrafo establece una circunstancia de reducción de la pena para los delatores o clementes en las investigaciones administrativas que lleva a cabo a la SIC por acuerdos anticompetitivos en proceso de contratación pública</w:t>
            </w:r>
            <w:r w:rsidR="00BB1A4C" w:rsidRPr="00B033A8">
              <w:rPr>
                <w:rFonts w:cs="Times New Roman"/>
              </w:rPr>
              <w:t>.</w:t>
            </w:r>
          </w:p>
        </w:tc>
      </w:tr>
    </w:tbl>
    <w:p w14:paraId="661BB2E7" w14:textId="0B3F71CA" w:rsidR="009C14D5" w:rsidRPr="00B033A8" w:rsidRDefault="009C14D5" w:rsidP="00776641">
      <w:pPr>
        <w:tabs>
          <w:tab w:val="left" w:pos="567"/>
        </w:tabs>
        <w:jc w:val="center"/>
        <w:rPr>
          <w:rFonts w:cs="Times New Roman"/>
          <w:szCs w:val="16"/>
        </w:rPr>
      </w:pPr>
      <w:r w:rsidRPr="00B033A8">
        <w:rPr>
          <w:rFonts w:cs="Times New Roman"/>
          <w:szCs w:val="16"/>
        </w:rPr>
        <w:lastRenderedPageBreak/>
        <w:t xml:space="preserve">-Tabla </w:t>
      </w:r>
      <w:r w:rsidR="00695008" w:rsidRPr="00B033A8">
        <w:rPr>
          <w:rFonts w:cs="Times New Roman"/>
          <w:szCs w:val="16"/>
        </w:rPr>
        <w:t>5</w:t>
      </w:r>
      <w:r w:rsidRPr="00B033A8">
        <w:rPr>
          <w:rFonts w:cs="Times New Roman"/>
          <w:szCs w:val="16"/>
        </w:rPr>
        <w:t>-</w:t>
      </w:r>
    </w:p>
    <w:p w14:paraId="1BFD154C" w14:textId="77777777" w:rsidR="00753471" w:rsidRPr="00B033A8" w:rsidRDefault="00753471" w:rsidP="00776641">
      <w:pPr>
        <w:tabs>
          <w:tab w:val="left" w:pos="567"/>
        </w:tabs>
        <w:jc w:val="center"/>
        <w:rPr>
          <w:rFonts w:cs="Times New Roman"/>
          <w:szCs w:val="28"/>
        </w:rPr>
      </w:pPr>
    </w:p>
    <w:p w14:paraId="55FB97E8" w14:textId="7E3B42CC" w:rsidR="002E3E0B" w:rsidRPr="00B033A8" w:rsidRDefault="00FD7233" w:rsidP="00776641">
      <w:pPr>
        <w:pStyle w:val="Ttulo2"/>
        <w:numPr>
          <w:ilvl w:val="1"/>
          <w:numId w:val="15"/>
        </w:numPr>
        <w:rPr>
          <w:rFonts w:cs="Times New Roman"/>
        </w:rPr>
      </w:pPr>
      <w:bookmarkStart w:id="11" w:name="_Ref190810180"/>
      <w:r w:rsidRPr="00B033A8">
        <w:rPr>
          <w:rFonts w:cs="Times New Roman"/>
        </w:rPr>
        <w:t>Caso concreto</w:t>
      </w:r>
      <w:bookmarkEnd w:id="11"/>
    </w:p>
    <w:p w14:paraId="6A25712A" w14:textId="77777777" w:rsidR="00FD7233" w:rsidRPr="00B033A8" w:rsidRDefault="00FD7233" w:rsidP="00776641">
      <w:pPr>
        <w:rPr>
          <w:rFonts w:cs="Times New Roman"/>
        </w:rPr>
      </w:pPr>
    </w:p>
    <w:p w14:paraId="6BA460AE" w14:textId="75F18C8D" w:rsidR="002511DB" w:rsidRPr="00B033A8" w:rsidRDefault="00E005EC"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El demandante y algunos intervinientes</w:t>
      </w:r>
      <w:r w:rsidRPr="00B033A8">
        <w:rPr>
          <w:rStyle w:val="Refdenotaalpie"/>
          <w:rFonts w:cs="Times New Roman"/>
          <w:color w:val="000000" w:themeColor="text1"/>
        </w:rPr>
        <w:footnoteReference w:id="175"/>
      </w:r>
      <w:r w:rsidRPr="00B033A8">
        <w:rPr>
          <w:rFonts w:cs="Times New Roman"/>
          <w:color w:val="000000" w:themeColor="text1"/>
        </w:rPr>
        <w:t xml:space="preserve"> consideran que el artículo 410A del Código Penal vulnera el principio de legalidad estricta</w:t>
      </w:r>
      <w:r w:rsidR="002942DE" w:rsidRPr="00B033A8">
        <w:rPr>
          <w:rFonts w:cs="Times New Roman"/>
          <w:color w:val="000000" w:themeColor="text1"/>
        </w:rPr>
        <w:t xml:space="preserve"> </w:t>
      </w:r>
      <w:r w:rsidRPr="00B033A8">
        <w:rPr>
          <w:rFonts w:cs="Times New Roman"/>
          <w:color w:val="000000" w:themeColor="text1"/>
        </w:rPr>
        <w:t xml:space="preserve">previsto en </w:t>
      </w:r>
      <w:r w:rsidR="009876F9" w:rsidRPr="00B033A8">
        <w:rPr>
          <w:rFonts w:cs="Times New Roman"/>
          <w:color w:val="000000" w:themeColor="text1"/>
        </w:rPr>
        <w:t>los artículos 6, 28 y 29 de la Constitución Política</w:t>
      </w:r>
      <w:r w:rsidRPr="00B033A8">
        <w:rPr>
          <w:rFonts w:cs="Times New Roman"/>
          <w:color w:val="000000" w:themeColor="text1"/>
        </w:rPr>
        <w:t>. A su juicio, la expresión “alterar ilícitamente” genera una indeterminación insuperable de la conducta sancionable</w:t>
      </w:r>
      <w:r w:rsidR="00790666" w:rsidRPr="00B033A8">
        <w:rPr>
          <w:rFonts w:cs="Times New Roman"/>
          <w:color w:val="000000" w:themeColor="text1"/>
        </w:rPr>
        <w:t xml:space="preserve">, </w:t>
      </w:r>
      <w:r w:rsidRPr="00B033A8">
        <w:rPr>
          <w:rFonts w:cs="Times New Roman"/>
          <w:color w:val="000000" w:themeColor="text1"/>
        </w:rPr>
        <w:t xml:space="preserve">porque no </w:t>
      </w:r>
      <w:r w:rsidR="00596D63" w:rsidRPr="00B033A8">
        <w:rPr>
          <w:rFonts w:cs="Times New Roman"/>
          <w:color w:val="000000" w:themeColor="text1"/>
        </w:rPr>
        <w:t xml:space="preserve">está </w:t>
      </w:r>
      <w:r w:rsidRPr="00B033A8">
        <w:rPr>
          <w:rFonts w:cs="Times New Roman"/>
          <w:color w:val="000000" w:themeColor="text1"/>
        </w:rPr>
        <w:t>definid</w:t>
      </w:r>
      <w:r w:rsidR="00596D63" w:rsidRPr="00B033A8">
        <w:rPr>
          <w:rFonts w:cs="Times New Roman"/>
          <w:color w:val="000000" w:themeColor="text1"/>
        </w:rPr>
        <w:t xml:space="preserve">a </w:t>
      </w:r>
      <w:r w:rsidRPr="00B033A8">
        <w:rPr>
          <w:rFonts w:cs="Times New Roman"/>
          <w:color w:val="000000" w:themeColor="text1"/>
        </w:rPr>
        <w:t xml:space="preserve">en la ley y tiene tal grado de vaguedad y ambigüedad que no permite a los destinatarios de la norma conocer cuáles son las conductas que podrían dar lugar a responsabilidad penal. </w:t>
      </w:r>
      <w:r w:rsidR="00790666" w:rsidRPr="00B033A8">
        <w:rPr>
          <w:rFonts w:cs="Times New Roman"/>
          <w:color w:val="000000" w:themeColor="text1"/>
        </w:rPr>
        <w:t>Por otro lado</w:t>
      </w:r>
      <w:r w:rsidR="00F5054E" w:rsidRPr="00B033A8">
        <w:rPr>
          <w:rFonts w:cs="Times New Roman"/>
          <w:color w:val="000000" w:themeColor="text1"/>
        </w:rPr>
        <w:t>,</w:t>
      </w:r>
      <w:r w:rsidR="00790666" w:rsidRPr="00B033A8">
        <w:rPr>
          <w:rFonts w:cs="Times New Roman"/>
          <w:color w:val="000000" w:themeColor="text1"/>
        </w:rPr>
        <w:t xml:space="preserve"> sostienen que</w:t>
      </w:r>
      <w:r w:rsidR="00F5054E" w:rsidRPr="00B033A8">
        <w:rPr>
          <w:rFonts w:cs="Times New Roman"/>
          <w:color w:val="000000" w:themeColor="text1"/>
        </w:rPr>
        <w:t xml:space="preserve"> </w:t>
      </w:r>
      <w:r w:rsidR="00790666" w:rsidRPr="00B033A8">
        <w:rPr>
          <w:rFonts w:cs="Times New Roman"/>
          <w:color w:val="000000" w:themeColor="text1"/>
        </w:rPr>
        <w:t>la norma demandada</w:t>
      </w:r>
      <w:r w:rsidR="00F5054E" w:rsidRPr="00B033A8">
        <w:rPr>
          <w:rFonts w:cs="Times New Roman"/>
          <w:color w:val="000000" w:themeColor="text1"/>
        </w:rPr>
        <w:t xml:space="preserve"> no satisface los requisitos de tipicidad </w:t>
      </w:r>
      <w:r w:rsidR="007B1519" w:rsidRPr="00B033A8">
        <w:rPr>
          <w:rFonts w:cs="Times New Roman"/>
          <w:color w:val="000000" w:themeColor="text1"/>
        </w:rPr>
        <w:t xml:space="preserve">de los tipos penales en blanco que han sido </w:t>
      </w:r>
      <w:r w:rsidR="00F5054E" w:rsidRPr="00B033A8">
        <w:rPr>
          <w:rFonts w:cs="Times New Roman"/>
          <w:color w:val="000000" w:themeColor="text1"/>
        </w:rPr>
        <w:t>desarrollados por la jurisprudencia constitucional</w:t>
      </w:r>
      <w:r w:rsidR="007B1519" w:rsidRPr="00B033A8">
        <w:rPr>
          <w:rFonts w:cs="Times New Roman"/>
          <w:color w:val="000000" w:themeColor="text1"/>
        </w:rPr>
        <w:t xml:space="preserve">. </w:t>
      </w:r>
    </w:p>
    <w:p w14:paraId="72E21374" w14:textId="77777777" w:rsidR="001E07CB" w:rsidRPr="00B033A8" w:rsidRDefault="001E07CB" w:rsidP="00776641">
      <w:pPr>
        <w:rPr>
          <w:rFonts w:cs="Times New Roman"/>
          <w:color w:val="000000" w:themeColor="text1"/>
        </w:rPr>
      </w:pPr>
    </w:p>
    <w:p w14:paraId="307A1A1F" w14:textId="5F92DB77" w:rsidR="001E07CB" w:rsidRPr="00B033A8" w:rsidRDefault="00E005EC"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 xml:space="preserve">La </w:t>
      </w:r>
      <w:r w:rsidR="002942DE" w:rsidRPr="00B033A8">
        <w:rPr>
          <w:rFonts w:cs="Times New Roman"/>
          <w:color w:val="000000" w:themeColor="text1"/>
        </w:rPr>
        <w:t>Corte</w:t>
      </w:r>
      <w:r w:rsidRPr="00B033A8">
        <w:rPr>
          <w:rFonts w:cs="Times New Roman"/>
          <w:color w:val="000000" w:themeColor="text1"/>
        </w:rPr>
        <w:t xml:space="preserve"> discrepa de la posición de</w:t>
      </w:r>
      <w:r w:rsidR="00491179" w:rsidRPr="00B033A8">
        <w:rPr>
          <w:rFonts w:cs="Times New Roman"/>
          <w:color w:val="000000" w:themeColor="text1"/>
        </w:rPr>
        <w:t xml:space="preserve">l demandante </w:t>
      </w:r>
      <w:r w:rsidRPr="00B033A8">
        <w:rPr>
          <w:rFonts w:cs="Times New Roman"/>
          <w:color w:val="000000" w:themeColor="text1"/>
        </w:rPr>
        <w:t xml:space="preserve">y los intervinientes que solicitan declarar la </w:t>
      </w:r>
      <w:proofErr w:type="spellStart"/>
      <w:r w:rsidRPr="00B033A8">
        <w:rPr>
          <w:rFonts w:cs="Times New Roman"/>
          <w:color w:val="000000" w:themeColor="text1"/>
        </w:rPr>
        <w:t>inexequibilidad</w:t>
      </w:r>
      <w:proofErr w:type="spellEnd"/>
      <w:r w:rsidRPr="00B033A8">
        <w:rPr>
          <w:rFonts w:cs="Times New Roman"/>
          <w:color w:val="000000" w:themeColor="text1"/>
        </w:rPr>
        <w:t xml:space="preserve"> de la norma demandada. </w:t>
      </w:r>
      <w:r w:rsidR="00CF49E6" w:rsidRPr="00B033A8">
        <w:rPr>
          <w:rFonts w:cs="Times New Roman"/>
          <w:color w:val="000000" w:themeColor="text1"/>
        </w:rPr>
        <w:t xml:space="preserve">La </w:t>
      </w:r>
      <w:r w:rsidR="001E07CB" w:rsidRPr="00B033A8">
        <w:rPr>
          <w:rFonts w:cs="Times New Roman"/>
          <w:color w:val="000000" w:themeColor="text1"/>
        </w:rPr>
        <w:t xml:space="preserve">Sala Plena </w:t>
      </w:r>
      <w:r w:rsidR="00CF49E6" w:rsidRPr="00B033A8">
        <w:rPr>
          <w:rFonts w:cs="Times New Roman"/>
          <w:color w:val="000000" w:themeColor="text1"/>
        </w:rPr>
        <w:t xml:space="preserve">reitera que </w:t>
      </w:r>
      <w:r w:rsidR="001E07CB" w:rsidRPr="00B033A8">
        <w:rPr>
          <w:rFonts w:cs="Times New Roman"/>
          <w:color w:val="000000" w:themeColor="text1"/>
        </w:rPr>
        <w:t xml:space="preserve">la jurisprudencia constitucional </w:t>
      </w:r>
      <w:r w:rsidR="00DF1577" w:rsidRPr="00B033A8">
        <w:rPr>
          <w:rFonts w:cs="Times New Roman"/>
          <w:color w:val="000000" w:themeColor="text1"/>
        </w:rPr>
        <w:t>ha estimado</w:t>
      </w:r>
      <w:r w:rsidR="001E07CB" w:rsidRPr="00B033A8">
        <w:rPr>
          <w:rFonts w:cs="Times New Roman"/>
          <w:color w:val="000000" w:themeColor="text1"/>
        </w:rPr>
        <w:t xml:space="preserve"> que es común que los tipos penales en blanco contengan expresiones </w:t>
      </w:r>
      <w:r w:rsidR="00790666" w:rsidRPr="00B033A8">
        <w:rPr>
          <w:rFonts w:cs="Times New Roman"/>
          <w:color w:val="000000" w:themeColor="text1"/>
        </w:rPr>
        <w:t xml:space="preserve">con una moderada indeterminación semántica </w:t>
      </w:r>
      <w:r w:rsidR="001E07CB" w:rsidRPr="00B033A8">
        <w:rPr>
          <w:rFonts w:cs="Times New Roman"/>
          <w:color w:val="000000" w:themeColor="text1"/>
        </w:rPr>
        <w:t>tales como “con incumplimiento de la normatividad existente”</w:t>
      </w:r>
      <w:r w:rsidR="001E07CB" w:rsidRPr="00B033A8">
        <w:rPr>
          <w:rFonts w:cs="Times New Roman"/>
          <w:color w:val="000000" w:themeColor="text1"/>
          <w:vertAlign w:val="superscript"/>
        </w:rPr>
        <w:footnoteReference w:id="176"/>
      </w:r>
      <w:r w:rsidR="001E07CB" w:rsidRPr="00B033A8">
        <w:rPr>
          <w:rFonts w:cs="Times New Roman"/>
          <w:color w:val="000000" w:themeColor="text1"/>
        </w:rPr>
        <w:t>, “sin el lleno de los requisitos de ley”</w:t>
      </w:r>
      <w:r w:rsidR="001E07CB" w:rsidRPr="00B033A8">
        <w:rPr>
          <w:rFonts w:cs="Times New Roman"/>
          <w:color w:val="000000" w:themeColor="text1"/>
          <w:vertAlign w:val="superscript"/>
        </w:rPr>
        <w:footnoteReference w:id="177"/>
      </w:r>
      <w:r w:rsidR="001E07CB" w:rsidRPr="00B033A8">
        <w:rPr>
          <w:rFonts w:cs="Times New Roman"/>
          <w:color w:val="000000" w:themeColor="text1"/>
        </w:rPr>
        <w:t xml:space="preserve"> , así como “con incumplimiento de la normatividad existente”</w:t>
      </w:r>
      <w:r w:rsidR="001E07CB" w:rsidRPr="00B033A8">
        <w:rPr>
          <w:rFonts w:cs="Times New Roman"/>
          <w:color w:val="000000" w:themeColor="text1"/>
          <w:vertAlign w:val="superscript"/>
        </w:rPr>
        <w:footnoteReference w:id="178"/>
      </w:r>
      <w:r w:rsidR="001E07CB" w:rsidRPr="00B033A8">
        <w:rPr>
          <w:rFonts w:cs="Times New Roman"/>
          <w:color w:val="000000" w:themeColor="text1"/>
        </w:rPr>
        <w:t xml:space="preserve">. Estas expresiones, constituyen fórmulas de reenvío normativo que exigen al intérprete integrar el tipo penal con otras normas extrapenales para precisar el alcance de la conducta sancionable. </w:t>
      </w:r>
      <w:r w:rsidR="00DF1577" w:rsidRPr="00B033A8">
        <w:rPr>
          <w:rFonts w:cs="Times New Roman"/>
          <w:color w:val="000000" w:themeColor="text1"/>
        </w:rPr>
        <w:t>En el mismo sentido, l</w:t>
      </w:r>
      <w:r w:rsidR="00B63ED9" w:rsidRPr="00B033A8">
        <w:rPr>
          <w:rFonts w:cs="Times New Roman"/>
          <w:color w:val="000000" w:themeColor="text1"/>
        </w:rPr>
        <w:t>a Corte Constitucional</w:t>
      </w:r>
      <w:r w:rsidR="001E07CB" w:rsidRPr="00B033A8">
        <w:rPr>
          <w:rFonts w:cs="Times New Roman"/>
          <w:color w:val="000000" w:themeColor="text1"/>
        </w:rPr>
        <w:t xml:space="preserve"> ha señalado que el término “ilicitud” es una expresión recurrente en el Código Penal</w:t>
      </w:r>
      <w:r w:rsidR="001E07CB" w:rsidRPr="00B033A8">
        <w:rPr>
          <w:rStyle w:val="Refdenotaalpie"/>
          <w:rFonts w:cs="Times New Roman"/>
          <w:color w:val="000000" w:themeColor="text1"/>
        </w:rPr>
        <w:footnoteReference w:id="179"/>
      </w:r>
      <w:r w:rsidR="001E07CB" w:rsidRPr="00B033A8">
        <w:rPr>
          <w:rFonts w:cs="Times New Roman"/>
          <w:color w:val="000000" w:themeColor="text1"/>
        </w:rPr>
        <w:t xml:space="preserve"> que</w:t>
      </w:r>
      <w:r w:rsidR="00B63ED9" w:rsidRPr="00B033A8">
        <w:rPr>
          <w:rFonts w:cs="Times New Roman"/>
          <w:color w:val="000000" w:themeColor="text1"/>
        </w:rPr>
        <w:t>:</w:t>
      </w:r>
      <w:r w:rsidR="001E07CB" w:rsidRPr="00B033A8">
        <w:rPr>
          <w:rFonts w:cs="Times New Roman"/>
          <w:color w:val="000000" w:themeColor="text1"/>
        </w:rPr>
        <w:t xml:space="preserve"> </w:t>
      </w:r>
      <w:r w:rsidR="001E07CB" w:rsidRPr="00B033A8">
        <w:rPr>
          <w:rFonts w:cs="Times New Roman"/>
          <w:i/>
          <w:iCs/>
          <w:color w:val="000000" w:themeColor="text1"/>
        </w:rPr>
        <w:t>(i)</w:t>
      </w:r>
      <w:r w:rsidR="001E07CB" w:rsidRPr="00B033A8">
        <w:rPr>
          <w:rFonts w:cs="Times New Roman"/>
          <w:color w:val="000000" w:themeColor="text1"/>
        </w:rPr>
        <w:t xml:space="preserve"> implica que la conducta sancionable debe estar prohibida por la ley</w:t>
      </w:r>
      <w:r w:rsidR="001E07CB" w:rsidRPr="00B033A8">
        <w:rPr>
          <w:rStyle w:val="Refdenotaalpie"/>
          <w:rFonts w:cs="Times New Roman"/>
          <w:color w:val="000000" w:themeColor="text1"/>
        </w:rPr>
        <w:footnoteReference w:id="180"/>
      </w:r>
      <w:r w:rsidR="001E07CB" w:rsidRPr="00B033A8">
        <w:rPr>
          <w:rFonts w:cs="Times New Roman"/>
          <w:color w:val="000000" w:themeColor="text1"/>
        </w:rPr>
        <w:t xml:space="preserve"> y </w:t>
      </w:r>
      <w:r w:rsidR="001E07CB" w:rsidRPr="00B033A8">
        <w:rPr>
          <w:rFonts w:cs="Times New Roman"/>
          <w:i/>
          <w:iCs/>
          <w:color w:val="000000" w:themeColor="text1"/>
        </w:rPr>
        <w:t>(</w:t>
      </w:r>
      <w:proofErr w:type="spellStart"/>
      <w:r w:rsidR="001E07CB" w:rsidRPr="00B033A8">
        <w:rPr>
          <w:rFonts w:cs="Times New Roman"/>
          <w:i/>
          <w:iCs/>
          <w:color w:val="000000" w:themeColor="text1"/>
        </w:rPr>
        <w:t>ii</w:t>
      </w:r>
      <w:proofErr w:type="spellEnd"/>
      <w:r w:rsidR="001E07CB" w:rsidRPr="00B033A8">
        <w:rPr>
          <w:rFonts w:cs="Times New Roman"/>
          <w:i/>
          <w:iCs/>
          <w:color w:val="000000" w:themeColor="text1"/>
        </w:rPr>
        <w:t>)</w:t>
      </w:r>
      <w:r w:rsidR="001E07CB" w:rsidRPr="00B033A8">
        <w:rPr>
          <w:rFonts w:cs="Times New Roman"/>
          <w:color w:val="000000" w:themeColor="text1"/>
        </w:rPr>
        <w:t xml:space="preserve"> exige al intérprete remitirse a otras normas</w:t>
      </w:r>
      <w:r w:rsidR="00C35A4A" w:rsidRPr="00B033A8">
        <w:rPr>
          <w:rFonts w:cs="Times New Roman"/>
          <w:color w:val="000000" w:themeColor="text1"/>
        </w:rPr>
        <w:t xml:space="preserve"> o</w:t>
      </w:r>
      <w:r w:rsidR="001E07CB" w:rsidRPr="00B033A8">
        <w:rPr>
          <w:rFonts w:cs="Times New Roman"/>
          <w:color w:val="000000" w:themeColor="text1"/>
        </w:rPr>
        <w:t xml:space="preserve"> regímenes </w:t>
      </w:r>
      <w:r w:rsidR="00C35A4A" w:rsidRPr="00B033A8">
        <w:rPr>
          <w:rFonts w:cs="Times New Roman"/>
          <w:color w:val="000000" w:themeColor="text1"/>
        </w:rPr>
        <w:t xml:space="preserve">normativos </w:t>
      </w:r>
      <w:r w:rsidR="001E07CB" w:rsidRPr="00B033A8">
        <w:rPr>
          <w:rFonts w:cs="Times New Roman"/>
          <w:color w:val="000000" w:themeColor="text1"/>
        </w:rPr>
        <w:t>extrapenales (ambiental, de la contratación estatal, de policía etc</w:t>
      </w:r>
      <w:r w:rsidR="00B63ED9" w:rsidRPr="00B033A8">
        <w:rPr>
          <w:rFonts w:cs="Times New Roman"/>
          <w:color w:val="000000" w:themeColor="text1"/>
        </w:rPr>
        <w:t>.</w:t>
      </w:r>
      <w:r w:rsidR="001E07CB" w:rsidRPr="00B033A8">
        <w:rPr>
          <w:rFonts w:cs="Times New Roman"/>
          <w:color w:val="000000" w:themeColor="text1"/>
        </w:rPr>
        <w:t xml:space="preserve">) para integrar el tipo y precisar </w:t>
      </w:r>
      <w:r w:rsidR="00DF1577" w:rsidRPr="00B033A8">
        <w:rPr>
          <w:rFonts w:cs="Times New Roman"/>
          <w:color w:val="000000" w:themeColor="text1"/>
        </w:rPr>
        <w:t xml:space="preserve">cuáles son las conductas </w:t>
      </w:r>
      <w:r w:rsidR="0043211E" w:rsidRPr="00B033A8">
        <w:rPr>
          <w:rFonts w:cs="Times New Roman"/>
          <w:color w:val="000000" w:themeColor="text1"/>
        </w:rPr>
        <w:t>prohibidas por la ley</w:t>
      </w:r>
      <w:r w:rsidR="00DF1577" w:rsidRPr="00B033A8">
        <w:rPr>
          <w:rFonts w:cs="Times New Roman"/>
          <w:color w:val="000000" w:themeColor="text1"/>
        </w:rPr>
        <w:t xml:space="preserve"> que son punibles.</w:t>
      </w:r>
      <w:r w:rsidR="001E07CB" w:rsidRPr="00B033A8">
        <w:rPr>
          <w:rFonts w:cs="Times New Roman"/>
          <w:color w:val="000000" w:themeColor="text1"/>
        </w:rPr>
        <w:t xml:space="preserve"> </w:t>
      </w:r>
    </w:p>
    <w:p w14:paraId="05C6ED7B" w14:textId="77777777" w:rsidR="003E556A" w:rsidRPr="00B033A8" w:rsidRDefault="003E556A" w:rsidP="00776641">
      <w:pPr>
        <w:tabs>
          <w:tab w:val="left" w:pos="851"/>
        </w:tabs>
        <w:rPr>
          <w:rFonts w:cs="Times New Roman"/>
          <w:color w:val="000000" w:themeColor="text1"/>
        </w:rPr>
      </w:pPr>
    </w:p>
    <w:p w14:paraId="6A603DC3" w14:textId="50915DD1" w:rsidR="00C35A4A" w:rsidRPr="00B033A8" w:rsidRDefault="0067491C"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 xml:space="preserve">La </w:t>
      </w:r>
      <w:r w:rsidR="009F5971" w:rsidRPr="00B033A8">
        <w:rPr>
          <w:rFonts w:cs="Times New Roman"/>
          <w:color w:val="000000" w:themeColor="text1"/>
        </w:rPr>
        <w:t xml:space="preserve">Sala Plena </w:t>
      </w:r>
      <w:r w:rsidRPr="00B033A8">
        <w:rPr>
          <w:rFonts w:cs="Times New Roman"/>
          <w:color w:val="000000" w:themeColor="text1"/>
        </w:rPr>
        <w:t>considera que</w:t>
      </w:r>
      <w:r w:rsidR="00B63ED9" w:rsidRPr="00B033A8">
        <w:rPr>
          <w:rFonts w:cs="Times New Roman"/>
          <w:color w:val="000000" w:themeColor="text1"/>
        </w:rPr>
        <w:t xml:space="preserve"> esto </w:t>
      </w:r>
      <w:r w:rsidR="00035705" w:rsidRPr="00B033A8">
        <w:rPr>
          <w:rFonts w:cs="Times New Roman"/>
          <w:color w:val="000000" w:themeColor="text1"/>
        </w:rPr>
        <w:t xml:space="preserve">es </w:t>
      </w:r>
      <w:r w:rsidR="00B63ED9" w:rsidRPr="00B033A8">
        <w:rPr>
          <w:rFonts w:cs="Times New Roman"/>
          <w:color w:val="000000" w:themeColor="text1"/>
        </w:rPr>
        <w:t>lo que ocurre en este caso. E</w:t>
      </w:r>
      <w:r w:rsidRPr="00B033A8">
        <w:rPr>
          <w:rFonts w:cs="Times New Roman"/>
          <w:color w:val="000000" w:themeColor="text1"/>
        </w:rPr>
        <w:t>l artículo 410A del Código Penal prevé un tipo penal en blanco</w:t>
      </w:r>
      <w:r w:rsidR="00B63ED9" w:rsidRPr="00B033A8">
        <w:rPr>
          <w:rFonts w:cs="Times New Roman"/>
          <w:color w:val="000000" w:themeColor="text1"/>
        </w:rPr>
        <w:t xml:space="preserve">, </w:t>
      </w:r>
      <w:r w:rsidR="0027015E" w:rsidRPr="00B033A8">
        <w:rPr>
          <w:rFonts w:cs="Times New Roman"/>
          <w:color w:val="000000" w:themeColor="text1"/>
        </w:rPr>
        <w:t xml:space="preserve">porque </w:t>
      </w:r>
      <w:r w:rsidR="00BC25EE" w:rsidRPr="00B033A8">
        <w:rPr>
          <w:rFonts w:cs="Times New Roman"/>
          <w:color w:val="000000" w:themeColor="text1"/>
        </w:rPr>
        <w:t xml:space="preserve">el </w:t>
      </w:r>
      <w:proofErr w:type="spellStart"/>
      <w:r w:rsidR="00BC25EE" w:rsidRPr="00B033A8">
        <w:rPr>
          <w:rFonts w:cs="Times New Roman"/>
          <w:i/>
          <w:iCs/>
          <w:color w:val="000000" w:themeColor="text1"/>
        </w:rPr>
        <w:t>nomen</w:t>
      </w:r>
      <w:proofErr w:type="spellEnd"/>
      <w:r w:rsidR="00BC25EE" w:rsidRPr="00B033A8">
        <w:rPr>
          <w:rFonts w:cs="Times New Roman"/>
          <w:i/>
          <w:iCs/>
          <w:color w:val="000000" w:themeColor="text1"/>
        </w:rPr>
        <w:t xml:space="preserve"> </w:t>
      </w:r>
      <w:r w:rsidR="00BC25EE" w:rsidRPr="00B033A8">
        <w:rPr>
          <w:rFonts w:cs="Times New Roman"/>
          <w:i/>
          <w:iCs/>
          <w:color w:val="000000" w:themeColor="text1"/>
        </w:rPr>
        <w:lastRenderedPageBreak/>
        <w:t>iuris</w:t>
      </w:r>
      <w:r w:rsidR="00BC25EE" w:rsidRPr="00B033A8">
        <w:rPr>
          <w:rFonts w:cs="Times New Roman"/>
          <w:color w:val="000000" w:themeColor="text1"/>
        </w:rPr>
        <w:t xml:space="preserve"> del tipo penal </w:t>
      </w:r>
      <w:r w:rsidR="008C52A8" w:rsidRPr="00B033A8">
        <w:rPr>
          <w:rFonts w:cs="Times New Roman"/>
          <w:color w:val="000000" w:themeColor="text1"/>
        </w:rPr>
        <w:t>–</w:t>
      </w:r>
      <w:r w:rsidR="00BC25EE" w:rsidRPr="00B033A8">
        <w:rPr>
          <w:rFonts w:cs="Times New Roman"/>
          <w:color w:val="000000" w:themeColor="text1"/>
        </w:rPr>
        <w:t>acuerdos restrictivos de la competencia</w:t>
      </w:r>
      <w:r w:rsidR="008C52A8" w:rsidRPr="00B033A8">
        <w:rPr>
          <w:rFonts w:cs="Times New Roman"/>
          <w:color w:val="000000" w:themeColor="text1"/>
        </w:rPr>
        <w:t>–</w:t>
      </w:r>
      <w:r w:rsidR="00BC25EE" w:rsidRPr="00B033A8">
        <w:rPr>
          <w:rFonts w:cs="Times New Roman"/>
          <w:color w:val="000000" w:themeColor="text1"/>
        </w:rPr>
        <w:t xml:space="preserve">, en conjunto con </w:t>
      </w:r>
      <w:r w:rsidR="00151850" w:rsidRPr="00B033A8">
        <w:rPr>
          <w:rFonts w:cs="Times New Roman"/>
          <w:color w:val="000000" w:themeColor="text1"/>
        </w:rPr>
        <w:t>la expresión “ilícitamente”</w:t>
      </w:r>
      <w:r w:rsidR="00BC25EE" w:rsidRPr="00B033A8">
        <w:rPr>
          <w:rFonts w:cs="Times New Roman"/>
          <w:color w:val="000000" w:themeColor="text1"/>
        </w:rPr>
        <w:t>, constituyen</w:t>
      </w:r>
      <w:r w:rsidR="00151850" w:rsidRPr="00B033A8">
        <w:rPr>
          <w:rFonts w:cs="Times New Roman"/>
          <w:color w:val="000000" w:themeColor="text1"/>
        </w:rPr>
        <w:t xml:space="preserve"> una fórmula de reenvío normativo </w:t>
      </w:r>
      <w:r w:rsidR="002511DB" w:rsidRPr="00B033A8">
        <w:rPr>
          <w:rFonts w:cs="Times New Roman"/>
          <w:color w:val="000000" w:themeColor="text1"/>
        </w:rPr>
        <w:t>a</w:t>
      </w:r>
      <w:r w:rsidR="00022062" w:rsidRPr="00B033A8">
        <w:rPr>
          <w:rFonts w:cs="Times New Roman"/>
          <w:color w:val="000000" w:themeColor="text1"/>
        </w:rPr>
        <w:t xml:space="preserve"> </w:t>
      </w:r>
      <w:r w:rsidR="003A5E93" w:rsidRPr="00B033A8">
        <w:rPr>
          <w:rFonts w:cs="Times New Roman"/>
          <w:color w:val="000000" w:themeColor="text1"/>
        </w:rPr>
        <w:t>una norma extrapenal</w:t>
      </w:r>
      <w:r w:rsidR="00B63ED9" w:rsidRPr="00B033A8">
        <w:rPr>
          <w:rFonts w:cs="Times New Roman"/>
          <w:color w:val="000000" w:themeColor="text1"/>
        </w:rPr>
        <w:t>. Como se expuso</w:t>
      </w:r>
      <w:r w:rsidR="008C0A05" w:rsidRPr="00B033A8">
        <w:rPr>
          <w:rFonts w:cs="Times New Roman"/>
          <w:color w:val="000000" w:themeColor="text1"/>
        </w:rPr>
        <w:t>,</w:t>
      </w:r>
      <w:r w:rsidR="00B63ED9" w:rsidRPr="00B033A8">
        <w:rPr>
          <w:rFonts w:cs="Times New Roman"/>
          <w:color w:val="000000" w:themeColor="text1"/>
        </w:rPr>
        <w:t xml:space="preserve"> la Corte Constitucional ha </w:t>
      </w:r>
      <w:r w:rsidR="00DF1577" w:rsidRPr="00B033A8">
        <w:rPr>
          <w:rFonts w:cs="Times New Roman"/>
          <w:color w:val="000000" w:themeColor="text1"/>
        </w:rPr>
        <w:t>estimado</w:t>
      </w:r>
      <w:r w:rsidR="00B63ED9" w:rsidRPr="00B033A8">
        <w:rPr>
          <w:rFonts w:cs="Times New Roman"/>
          <w:color w:val="000000" w:themeColor="text1"/>
        </w:rPr>
        <w:t xml:space="preserve"> que los tipos penales</w:t>
      </w:r>
      <w:r w:rsidR="007B1519" w:rsidRPr="00B033A8">
        <w:rPr>
          <w:rFonts w:cs="Times New Roman"/>
          <w:color w:val="000000" w:themeColor="text1"/>
        </w:rPr>
        <w:t xml:space="preserve"> en blanco</w:t>
      </w:r>
      <w:r w:rsidR="00B63ED9" w:rsidRPr="00B033A8">
        <w:rPr>
          <w:rFonts w:cs="Times New Roman"/>
          <w:color w:val="000000" w:themeColor="text1"/>
        </w:rPr>
        <w:t xml:space="preserve"> que utilicen estas fórmulas de reenvío normativo </w:t>
      </w:r>
      <w:r w:rsidR="007B1519" w:rsidRPr="00B033A8">
        <w:rPr>
          <w:rFonts w:cs="Times New Roman"/>
          <w:color w:val="000000" w:themeColor="text1"/>
        </w:rPr>
        <w:t xml:space="preserve">no son </w:t>
      </w:r>
      <w:r w:rsidR="007B1519" w:rsidRPr="00B033A8">
        <w:rPr>
          <w:rFonts w:cs="Times New Roman"/>
          <w:i/>
          <w:iCs/>
          <w:color w:val="000000" w:themeColor="text1"/>
        </w:rPr>
        <w:t>per se</w:t>
      </w:r>
      <w:r w:rsidR="007B1519" w:rsidRPr="00B033A8">
        <w:rPr>
          <w:rFonts w:cs="Times New Roman"/>
          <w:color w:val="000000" w:themeColor="text1"/>
        </w:rPr>
        <w:t xml:space="preserve"> inconstitucionales. Sin embargo,</w:t>
      </w:r>
      <w:r w:rsidR="00790666" w:rsidRPr="00B033A8">
        <w:rPr>
          <w:rFonts w:cs="Times New Roman"/>
          <w:color w:val="000000" w:themeColor="text1"/>
        </w:rPr>
        <w:t xml:space="preserve"> ha enfatizado que</w:t>
      </w:r>
      <w:r w:rsidR="007B1519" w:rsidRPr="00B033A8">
        <w:rPr>
          <w:rFonts w:cs="Times New Roman"/>
          <w:color w:val="000000" w:themeColor="text1"/>
        </w:rPr>
        <w:t xml:space="preserve"> deben satisfacer </w:t>
      </w:r>
      <w:r w:rsidR="00B63ED9" w:rsidRPr="00B033A8">
        <w:rPr>
          <w:rFonts w:cs="Times New Roman"/>
          <w:color w:val="000000" w:themeColor="text1"/>
        </w:rPr>
        <w:t xml:space="preserve">tres </w:t>
      </w:r>
      <w:r w:rsidR="007B1519" w:rsidRPr="00B033A8">
        <w:rPr>
          <w:rFonts w:cs="Times New Roman"/>
          <w:color w:val="000000" w:themeColor="text1"/>
        </w:rPr>
        <w:t xml:space="preserve">estrictos </w:t>
      </w:r>
      <w:r w:rsidR="00B63ED9" w:rsidRPr="00B033A8">
        <w:rPr>
          <w:rFonts w:cs="Times New Roman"/>
          <w:color w:val="000000" w:themeColor="text1"/>
        </w:rPr>
        <w:t>requisitos</w:t>
      </w:r>
      <w:r w:rsidR="007B1519" w:rsidRPr="00B033A8">
        <w:rPr>
          <w:rFonts w:cs="Times New Roman"/>
          <w:color w:val="000000" w:themeColor="text1"/>
        </w:rPr>
        <w:t xml:space="preserve"> de tipicidad</w:t>
      </w:r>
      <w:r w:rsidR="00790666" w:rsidRPr="00B033A8">
        <w:rPr>
          <w:rFonts w:cs="Times New Roman"/>
          <w:color w:val="000000" w:themeColor="text1"/>
        </w:rPr>
        <w:t xml:space="preserve"> que condicionan su constitucionalidad</w:t>
      </w:r>
      <w:r w:rsidR="00B63ED9" w:rsidRPr="00B033A8">
        <w:rPr>
          <w:rFonts w:cs="Times New Roman"/>
          <w:color w:val="000000" w:themeColor="text1"/>
        </w:rPr>
        <w:t xml:space="preserve">: </w:t>
      </w:r>
    </w:p>
    <w:p w14:paraId="092E55AF" w14:textId="77777777" w:rsidR="00C35A4A" w:rsidRPr="00B033A8" w:rsidRDefault="00C35A4A" w:rsidP="00776641">
      <w:pPr>
        <w:rPr>
          <w:rFonts w:cs="Times New Roman"/>
          <w:color w:val="000000" w:themeColor="text1"/>
        </w:rPr>
      </w:pPr>
    </w:p>
    <w:p w14:paraId="0476BC6C" w14:textId="77777777" w:rsidR="00B63ED9" w:rsidRPr="00B033A8" w:rsidRDefault="00B63ED9" w:rsidP="00776641">
      <w:pPr>
        <w:pStyle w:val="Prrafodelista"/>
        <w:numPr>
          <w:ilvl w:val="0"/>
          <w:numId w:val="25"/>
        </w:numPr>
        <w:tabs>
          <w:tab w:val="left" w:pos="851"/>
        </w:tabs>
        <w:spacing w:line="240" w:lineRule="auto"/>
        <w:ind w:left="721" w:hanging="579"/>
        <w:rPr>
          <w:color w:val="000000" w:themeColor="text1"/>
        </w:rPr>
      </w:pPr>
      <w:r w:rsidRPr="00B033A8">
        <w:rPr>
          <w:color w:val="000000" w:themeColor="text1"/>
        </w:rPr>
        <w:t>La</w:t>
      </w:r>
      <w:r w:rsidR="00AE68BA" w:rsidRPr="00B033A8">
        <w:rPr>
          <w:color w:val="000000" w:themeColor="text1"/>
        </w:rPr>
        <w:t xml:space="preserve"> norma de remisión debe ser claramente identificable. </w:t>
      </w:r>
    </w:p>
    <w:p w14:paraId="06791EC5" w14:textId="77777777" w:rsidR="00B63ED9" w:rsidRPr="00B033A8" w:rsidRDefault="00B63ED9" w:rsidP="00776641">
      <w:pPr>
        <w:pStyle w:val="Prrafodelista"/>
        <w:numPr>
          <w:ilvl w:val="0"/>
          <w:numId w:val="25"/>
        </w:numPr>
        <w:tabs>
          <w:tab w:val="left" w:pos="851"/>
        </w:tabs>
        <w:spacing w:line="240" w:lineRule="auto"/>
        <w:ind w:left="721" w:hanging="579"/>
        <w:rPr>
          <w:color w:val="000000" w:themeColor="text1"/>
        </w:rPr>
      </w:pPr>
      <w:r w:rsidRPr="00B033A8">
        <w:rPr>
          <w:color w:val="000000" w:themeColor="text1"/>
        </w:rPr>
        <w:t xml:space="preserve">La </w:t>
      </w:r>
      <w:r w:rsidR="00AE68BA" w:rsidRPr="00B033A8">
        <w:rPr>
          <w:color w:val="000000" w:themeColor="text1"/>
        </w:rPr>
        <w:t>norma de remisión debe existir y hacer parte “del ordenamiento jurídico al momento de realizarse la conducta y de llevarse a cabo el proceso de adecuación típica”</w:t>
      </w:r>
      <w:r w:rsidR="00BC7A92" w:rsidRPr="00B033A8">
        <w:rPr>
          <w:rStyle w:val="Refdenotaalpie"/>
          <w:color w:val="000000" w:themeColor="text1"/>
        </w:rPr>
        <w:footnoteReference w:id="181"/>
      </w:r>
      <w:r w:rsidR="00AE68BA" w:rsidRPr="00B033A8">
        <w:rPr>
          <w:color w:val="000000" w:themeColor="text1"/>
        </w:rPr>
        <w:t xml:space="preserve">. </w:t>
      </w:r>
    </w:p>
    <w:p w14:paraId="0F9F95DA" w14:textId="07E48FCD" w:rsidR="00AE68BA" w:rsidRPr="00B033A8" w:rsidRDefault="00B63ED9" w:rsidP="00776641">
      <w:pPr>
        <w:pStyle w:val="Prrafodelista"/>
        <w:numPr>
          <w:ilvl w:val="0"/>
          <w:numId w:val="25"/>
        </w:numPr>
        <w:tabs>
          <w:tab w:val="left" w:pos="851"/>
        </w:tabs>
        <w:spacing w:line="240" w:lineRule="auto"/>
        <w:ind w:left="721" w:hanging="579"/>
        <w:rPr>
          <w:color w:val="000000" w:themeColor="text1"/>
        </w:rPr>
      </w:pPr>
      <w:r w:rsidRPr="00B033A8">
        <w:rPr>
          <w:color w:val="000000" w:themeColor="text1"/>
        </w:rPr>
        <w:t xml:space="preserve">La </w:t>
      </w:r>
      <w:r w:rsidR="00AE68BA" w:rsidRPr="00B033A8">
        <w:rPr>
          <w:color w:val="000000" w:themeColor="text1"/>
        </w:rPr>
        <w:t xml:space="preserve">norma de remisión debe permitir al intérprete determinar con razonable precisión, claridad y previsibilidad el alcance de la conducta </w:t>
      </w:r>
      <w:r w:rsidR="00017233" w:rsidRPr="00B033A8">
        <w:rPr>
          <w:color w:val="000000" w:themeColor="text1"/>
        </w:rPr>
        <w:t>sancionable</w:t>
      </w:r>
      <w:r w:rsidR="00AE68BA" w:rsidRPr="00B033A8">
        <w:rPr>
          <w:color w:val="000000" w:themeColor="text1"/>
        </w:rPr>
        <w:t xml:space="preserve">. Además, en los tipos de remisión </w:t>
      </w:r>
      <w:r w:rsidR="009B333E" w:rsidRPr="00B033A8">
        <w:rPr>
          <w:i/>
          <w:iCs/>
          <w:color w:val="000000" w:themeColor="text1"/>
        </w:rPr>
        <w:t>im</w:t>
      </w:r>
      <w:r w:rsidR="00AE68BA" w:rsidRPr="00B033A8">
        <w:rPr>
          <w:i/>
          <w:iCs/>
          <w:color w:val="000000" w:themeColor="text1"/>
        </w:rPr>
        <w:t>propia</w:t>
      </w:r>
      <w:r w:rsidR="00AE68BA" w:rsidRPr="00B033A8">
        <w:rPr>
          <w:color w:val="000000" w:themeColor="text1"/>
        </w:rPr>
        <w:t>, la norma de remisión de rango infra legal debe</w:t>
      </w:r>
      <w:r w:rsidRPr="00B033A8">
        <w:rPr>
          <w:color w:val="000000" w:themeColor="text1"/>
        </w:rPr>
        <w:t xml:space="preserve"> (a)</w:t>
      </w:r>
      <w:r w:rsidR="00AE68BA" w:rsidRPr="00B033A8">
        <w:rPr>
          <w:color w:val="000000" w:themeColor="text1"/>
        </w:rPr>
        <w:t xml:space="preserve"> tener un alcance general</w:t>
      </w:r>
      <w:r w:rsidRPr="00B033A8">
        <w:rPr>
          <w:color w:val="000000" w:themeColor="text1"/>
        </w:rPr>
        <w:t>, (b)</w:t>
      </w:r>
      <w:r w:rsidR="00AE68BA" w:rsidRPr="00B033A8">
        <w:rPr>
          <w:color w:val="000000" w:themeColor="text1"/>
        </w:rPr>
        <w:t xml:space="preserve"> ser de conocimiento público, así </w:t>
      </w:r>
      <w:r w:rsidR="00B438CE" w:rsidRPr="00B033A8">
        <w:rPr>
          <w:color w:val="000000" w:themeColor="text1"/>
        </w:rPr>
        <w:t xml:space="preserve">como </w:t>
      </w:r>
      <w:r w:rsidRPr="00B033A8">
        <w:rPr>
          <w:color w:val="000000" w:themeColor="text1"/>
        </w:rPr>
        <w:t xml:space="preserve">(c) </w:t>
      </w:r>
      <w:r w:rsidR="00AE68BA" w:rsidRPr="00B033A8">
        <w:rPr>
          <w:color w:val="000000" w:themeColor="text1"/>
        </w:rPr>
        <w:t xml:space="preserve">respetar los principios y valores constitucionales. </w:t>
      </w:r>
    </w:p>
    <w:p w14:paraId="0EE2321E" w14:textId="7FCEC1EE" w:rsidR="00B63ED9" w:rsidRPr="00B033A8" w:rsidRDefault="00B63ED9" w:rsidP="00776641">
      <w:pPr>
        <w:tabs>
          <w:tab w:val="left" w:pos="851"/>
        </w:tabs>
        <w:rPr>
          <w:rFonts w:cs="Times New Roman"/>
          <w:color w:val="000000" w:themeColor="text1"/>
        </w:rPr>
      </w:pPr>
    </w:p>
    <w:p w14:paraId="39F2D59A" w14:textId="67588C79" w:rsidR="00B63ED9" w:rsidRPr="00B033A8" w:rsidRDefault="00B63ED9"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 xml:space="preserve">Por las razones que a continuación se exponen, la Corte considera que el artículo 410A del Código Penal cumple </w:t>
      </w:r>
      <w:r w:rsidR="00017233" w:rsidRPr="00B033A8">
        <w:rPr>
          <w:rFonts w:cs="Times New Roman"/>
          <w:color w:val="000000" w:themeColor="text1"/>
        </w:rPr>
        <w:t>estos</w:t>
      </w:r>
      <w:r w:rsidRPr="00B033A8">
        <w:rPr>
          <w:rFonts w:cs="Times New Roman"/>
          <w:color w:val="000000" w:themeColor="text1"/>
        </w:rPr>
        <w:t xml:space="preserve"> requisitos y, por lo tanto, no vulnera el principio de legalidad </w:t>
      </w:r>
      <w:r w:rsidR="00017233" w:rsidRPr="00B033A8">
        <w:rPr>
          <w:rFonts w:cs="Times New Roman"/>
          <w:color w:val="000000" w:themeColor="text1"/>
        </w:rPr>
        <w:t>estricta</w:t>
      </w:r>
      <w:r w:rsidRPr="00B033A8">
        <w:rPr>
          <w:rFonts w:cs="Times New Roman"/>
          <w:color w:val="000000" w:themeColor="text1"/>
        </w:rPr>
        <w:t xml:space="preserve"> o tipicidad. </w:t>
      </w:r>
    </w:p>
    <w:p w14:paraId="6514E14C" w14:textId="77777777" w:rsidR="004324EC" w:rsidRPr="00B033A8" w:rsidRDefault="004324EC" w:rsidP="00776641">
      <w:pPr>
        <w:tabs>
          <w:tab w:val="left" w:pos="851"/>
        </w:tabs>
        <w:rPr>
          <w:rFonts w:cs="Times New Roman"/>
          <w:color w:val="000000" w:themeColor="text1"/>
        </w:rPr>
      </w:pPr>
    </w:p>
    <w:p w14:paraId="647B5C31" w14:textId="57BDA329" w:rsidR="00E005EC" w:rsidRPr="00B033A8" w:rsidRDefault="00E005EC" w:rsidP="00776641">
      <w:pPr>
        <w:pStyle w:val="Ttulo5"/>
        <w:numPr>
          <w:ilvl w:val="0"/>
          <w:numId w:val="26"/>
        </w:numPr>
        <w:spacing w:before="0"/>
        <w:ind w:left="851" w:hanging="491"/>
        <w:rPr>
          <w:rFonts w:cs="Times New Roman"/>
          <w:b w:val="0"/>
          <w:bCs/>
          <w:u w:val="single"/>
        </w:rPr>
      </w:pPr>
      <w:r w:rsidRPr="00B033A8">
        <w:rPr>
          <w:rFonts w:cs="Times New Roman"/>
          <w:b w:val="0"/>
          <w:bCs/>
          <w:u w:val="single"/>
        </w:rPr>
        <w:t xml:space="preserve">La norma de remisión es claramente identificable </w:t>
      </w:r>
    </w:p>
    <w:p w14:paraId="1A03AEC5" w14:textId="77777777" w:rsidR="00CF78E5" w:rsidRPr="00B033A8" w:rsidRDefault="00CF78E5" w:rsidP="00776641">
      <w:pPr>
        <w:tabs>
          <w:tab w:val="left" w:pos="851"/>
        </w:tabs>
        <w:rPr>
          <w:rFonts w:cs="Times New Roman"/>
          <w:color w:val="000000" w:themeColor="text1"/>
        </w:rPr>
      </w:pPr>
    </w:p>
    <w:p w14:paraId="754C4CAD" w14:textId="5C592B03" w:rsidR="00DF1577" w:rsidRPr="00B033A8" w:rsidRDefault="00CF78E5"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El demandante argumenta que la norma de remisión no es claramente identificable</w:t>
      </w:r>
      <w:r w:rsidR="009E7C3A" w:rsidRPr="00B033A8">
        <w:rPr>
          <w:rFonts w:cs="Times New Roman"/>
          <w:color w:val="000000" w:themeColor="text1"/>
        </w:rPr>
        <w:t>,</w:t>
      </w:r>
      <w:r w:rsidRPr="00B033A8">
        <w:rPr>
          <w:rFonts w:cs="Times New Roman"/>
          <w:color w:val="000000" w:themeColor="text1"/>
        </w:rPr>
        <w:t xml:space="preserve"> por </w:t>
      </w:r>
      <w:r w:rsidR="00017233" w:rsidRPr="00B033A8">
        <w:rPr>
          <w:rFonts w:cs="Times New Roman"/>
          <w:color w:val="000000" w:themeColor="text1"/>
        </w:rPr>
        <w:t>tres</w:t>
      </w:r>
      <w:r w:rsidRPr="00B033A8">
        <w:rPr>
          <w:rFonts w:cs="Times New Roman"/>
          <w:color w:val="000000" w:themeColor="text1"/>
        </w:rPr>
        <w:t xml:space="preserve"> razones principales. </w:t>
      </w:r>
      <w:r w:rsidR="00FA14DA" w:rsidRPr="00B033A8">
        <w:rPr>
          <w:rFonts w:cs="Times New Roman"/>
          <w:color w:val="000000" w:themeColor="text1"/>
        </w:rPr>
        <w:t>De un lado,</w:t>
      </w:r>
      <w:r w:rsidR="00017233" w:rsidRPr="00B033A8">
        <w:rPr>
          <w:rFonts w:cs="Times New Roman"/>
          <w:color w:val="000000" w:themeColor="text1"/>
        </w:rPr>
        <w:t xml:space="preserve"> el legislador no definió de forma </w:t>
      </w:r>
      <w:r w:rsidR="00017233" w:rsidRPr="00B033A8">
        <w:rPr>
          <w:rFonts w:cs="Times New Roman"/>
          <w:i/>
          <w:iCs/>
          <w:color w:val="000000" w:themeColor="text1"/>
        </w:rPr>
        <w:t>expresa</w:t>
      </w:r>
      <w:r w:rsidR="00017233" w:rsidRPr="00B033A8">
        <w:rPr>
          <w:rFonts w:cs="Times New Roman"/>
          <w:color w:val="000000" w:themeColor="text1"/>
        </w:rPr>
        <w:t xml:space="preserve"> cuál es la norma de remisión</w:t>
      </w:r>
      <w:r w:rsidR="007B1519" w:rsidRPr="00B033A8">
        <w:rPr>
          <w:rFonts w:cs="Times New Roman"/>
          <w:color w:val="000000" w:themeColor="text1"/>
        </w:rPr>
        <w:t xml:space="preserve"> a la que el intérprete debe remitirse para determinar que conductas constituyen una concertación con la finalidad de alterar ilícitamente el proceso contractual</w:t>
      </w:r>
      <w:r w:rsidR="00017233" w:rsidRPr="00B033A8">
        <w:rPr>
          <w:rFonts w:cs="Times New Roman"/>
          <w:color w:val="000000" w:themeColor="text1"/>
        </w:rPr>
        <w:t xml:space="preserve">. </w:t>
      </w:r>
      <w:r w:rsidR="007B1519" w:rsidRPr="00B033A8">
        <w:rPr>
          <w:rFonts w:cs="Times New Roman"/>
          <w:color w:val="000000" w:themeColor="text1"/>
        </w:rPr>
        <w:t>Por otra parte</w:t>
      </w:r>
      <w:r w:rsidRPr="00B033A8">
        <w:rPr>
          <w:rFonts w:cs="Times New Roman"/>
          <w:color w:val="000000" w:themeColor="text1"/>
        </w:rPr>
        <w:t xml:space="preserve">, </w:t>
      </w:r>
      <w:r w:rsidR="00DF1577" w:rsidRPr="00B033A8">
        <w:rPr>
          <w:rFonts w:cs="Times New Roman"/>
          <w:color w:val="000000" w:themeColor="text1"/>
        </w:rPr>
        <w:t>s</w:t>
      </w:r>
      <w:r w:rsidR="007B1519" w:rsidRPr="00B033A8">
        <w:rPr>
          <w:rFonts w:cs="Times New Roman"/>
          <w:color w:val="000000" w:themeColor="text1"/>
        </w:rPr>
        <w:t xml:space="preserve">ostiene </w:t>
      </w:r>
      <w:r w:rsidR="00DF1577" w:rsidRPr="00B033A8">
        <w:rPr>
          <w:rFonts w:cs="Times New Roman"/>
          <w:color w:val="000000" w:themeColor="text1"/>
        </w:rPr>
        <w:t>que no es procedente el renvío al régimen general de la competencia</w:t>
      </w:r>
      <w:r w:rsidR="00FA14DA" w:rsidRPr="00B033A8">
        <w:rPr>
          <w:rFonts w:cs="Times New Roman"/>
          <w:color w:val="000000" w:themeColor="text1"/>
        </w:rPr>
        <w:t xml:space="preserve"> y, en concreto,</w:t>
      </w:r>
      <w:r w:rsidR="00DF1577" w:rsidRPr="00B033A8">
        <w:rPr>
          <w:rFonts w:cs="Times New Roman"/>
          <w:color w:val="000000" w:themeColor="text1"/>
        </w:rPr>
        <w:t xml:space="preserve"> </w:t>
      </w:r>
      <w:r w:rsidR="00FA14DA" w:rsidRPr="00B033A8">
        <w:rPr>
          <w:rFonts w:cs="Times New Roman"/>
          <w:color w:val="000000" w:themeColor="text1"/>
        </w:rPr>
        <w:t xml:space="preserve">al </w:t>
      </w:r>
      <w:r w:rsidR="00DF1577" w:rsidRPr="00B033A8">
        <w:rPr>
          <w:rFonts w:cs="Times New Roman"/>
          <w:color w:val="000000" w:themeColor="text1"/>
        </w:rPr>
        <w:t>art</w:t>
      </w:r>
      <w:r w:rsidR="00FA14DA" w:rsidRPr="00B033A8">
        <w:rPr>
          <w:rFonts w:cs="Times New Roman"/>
          <w:color w:val="000000" w:themeColor="text1"/>
        </w:rPr>
        <w:t>ículo</w:t>
      </w:r>
      <w:r w:rsidR="00DF1577" w:rsidRPr="00B033A8">
        <w:rPr>
          <w:rFonts w:cs="Times New Roman"/>
          <w:color w:val="000000" w:themeColor="text1"/>
        </w:rPr>
        <w:t xml:space="preserve"> 47 del Decreto 2153 de 1992, el cual prohíbe los acuerdos restrictivos de la competencia. Esto, porque el tipo penal demandado protege el bien jurídico de la administración pública </w:t>
      </w:r>
      <w:r w:rsidR="00F54348" w:rsidRPr="00B033A8">
        <w:rPr>
          <w:rFonts w:cs="Times New Roman"/>
          <w:color w:val="000000" w:themeColor="text1"/>
        </w:rPr>
        <w:t>–</w:t>
      </w:r>
      <w:r w:rsidR="00DF1577" w:rsidRPr="00B033A8">
        <w:rPr>
          <w:rFonts w:cs="Times New Roman"/>
          <w:color w:val="000000" w:themeColor="text1"/>
        </w:rPr>
        <w:t>no la libre competencia</w:t>
      </w:r>
      <w:r w:rsidR="00F54348" w:rsidRPr="00B033A8">
        <w:rPr>
          <w:rFonts w:cs="Times New Roman"/>
          <w:color w:val="000000" w:themeColor="text1"/>
        </w:rPr>
        <w:t>–</w:t>
      </w:r>
      <w:r w:rsidR="00DF1577" w:rsidRPr="00B033A8">
        <w:rPr>
          <w:rFonts w:cs="Times New Roman"/>
          <w:color w:val="000000" w:themeColor="text1"/>
        </w:rPr>
        <w:t xml:space="preserve">. </w:t>
      </w:r>
      <w:r w:rsidR="00FA14DA" w:rsidRPr="00B033A8">
        <w:rPr>
          <w:rFonts w:cs="Times New Roman"/>
          <w:color w:val="000000" w:themeColor="text1"/>
        </w:rPr>
        <w:t>Por último</w:t>
      </w:r>
      <w:r w:rsidR="00DF1577" w:rsidRPr="00B033A8">
        <w:rPr>
          <w:rFonts w:cs="Times New Roman"/>
          <w:color w:val="000000" w:themeColor="text1"/>
        </w:rPr>
        <w:t xml:space="preserve">, la remisión </w:t>
      </w:r>
      <w:r w:rsidR="00FA14DA" w:rsidRPr="00B033A8">
        <w:rPr>
          <w:rFonts w:cs="Times New Roman"/>
          <w:color w:val="000000" w:themeColor="text1"/>
        </w:rPr>
        <w:t>al régimen general de la libre competencia, señala el demandante,</w:t>
      </w:r>
      <w:r w:rsidR="00DF1577" w:rsidRPr="00B033A8">
        <w:rPr>
          <w:rFonts w:cs="Times New Roman"/>
          <w:color w:val="000000" w:themeColor="text1"/>
        </w:rPr>
        <w:t xml:space="preserve"> no permite determinar con suficiente precisión y claridad qué conductas constituy</w:t>
      </w:r>
      <w:r w:rsidR="005C151A" w:rsidRPr="00B033A8">
        <w:rPr>
          <w:rFonts w:cs="Times New Roman"/>
          <w:color w:val="000000" w:themeColor="text1"/>
        </w:rPr>
        <w:t>e</w:t>
      </w:r>
      <w:r w:rsidR="00DF1577" w:rsidRPr="00B033A8">
        <w:rPr>
          <w:rFonts w:cs="Times New Roman"/>
          <w:color w:val="000000" w:themeColor="text1"/>
        </w:rPr>
        <w:t xml:space="preserve">n una concertación con la finalidad de </w:t>
      </w:r>
      <w:r w:rsidR="009778CB" w:rsidRPr="00B033A8">
        <w:rPr>
          <w:rFonts w:cs="Times New Roman"/>
          <w:color w:val="000000" w:themeColor="text1"/>
        </w:rPr>
        <w:t>“</w:t>
      </w:r>
      <w:r w:rsidR="00DF1577" w:rsidRPr="00B033A8">
        <w:rPr>
          <w:rFonts w:cs="Times New Roman"/>
          <w:color w:val="000000" w:themeColor="text1"/>
        </w:rPr>
        <w:t>alterar ilícitamente</w:t>
      </w:r>
      <w:r w:rsidR="00C435B9" w:rsidRPr="00B033A8">
        <w:rPr>
          <w:rFonts w:cs="Times New Roman"/>
          <w:color w:val="000000" w:themeColor="text1"/>
        </w:rPr>
        <w:t>”</w:t>
      </w:r>
      <w:r w:rsidR="00DF1577" w:rsidRPr="00B033A8">
        <w:rPr>
          <w:rFonts w:cs="Times New Roman"/>
          <w:color w:val="000000" w:themeColor="text1"/>
        </w:rPr>
        <w:t xml:space="preserve"> el procedimiento contractual. Esto es así, porque el régimen de la competencia prohíbe múltiples actos, conductas y acuerdos restrictivos de la competencia </w:t>
      </w:r>
      <w:r w:rsidR="00C73211" w:rsidRPr="00B033A8">
        <w:rPr>
          <w:rFonts w:cs="Times New Roman"/>
          <w:color w:val="000000" w:themeColor="text1"/>
        </w:rPr>
        <w:t>en la contratación pública y privada, sin que sea</w:t>
      </w:r>
      <w:r w:rsidR="00DF1577" w:rsidRPr="00B033A8">
        <w:rPr>
          <w:rFonts w:cs="Times New Roman"/>
          <w:color w:val="000000" w:themeColor="text1"/>
        </w:rPr>
        <w:t xml:space="preserve"> posible identificar </w:t>
      </w:r>
      <w:r w:rsidR="00FA14DA" w:rsidRPr="00B033A8">
        <w:rPr>
          <w:rFonts w:cs="Times New Roman"/>
          <w:color w:val="000000" w:themeColor="text1"/>
        </w:rPr>
        <w:t xml:space="preserve">cuáles son punibles conforme al artículo 410A del Código Penal. </w:t>
      </w:r>
      <w:r w:rsidR="00DF1577" w:rsidRPr="00B033A8">
        <w:rPr>
          <w:rFonts w:cs="Times New Roman"/>
          <w:color w:val="000000" w:themeColor="text1"/>
        </w:rPr>
        <w:t xml:space="preserve"> </w:t>
      </w:r>
    </w:p>
    <w:p w14:paraId="0EB62D36" w14:textId="77777777" w:rsidR="00CF78E5" w:rsidRPr="00B033A8" w:rsidRDefault="00CF78E5" w:rsidP="00776641">
      <w:pPr>
        <w:tabs>
          <w:tab w:val="left" w:pos="851"/>
        </w:tabs>
        <w:rPr>
          <w:rFonts w:cs="Times New Roman"/>
          <w:color w:val="000000" w:themeColor="text1"/>
        </w:rPr>
      </w:pPr>
    </w:p>
    <w:p w14:paraId="168B20DA" w14:textId="7DFA3F58" w:rsidR="003A03E6" w:rsidRPr="00B033A8" w:rsidRDefault="0015625A"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 xml:space="preserve">La Sala Plena no </w:t>
      </w:r>
      <w:r w:rsidR="003A03E6" w:rsidRPr="00B033A8">
        <w:rPr>
          <w:rFonts w:cs="Times New Roman"/>
          <w:color w:val="000000" w:themeColor="text1"/>
        </w:rPr>
        <w:t>comparte</w:t>
      </w:r>
      <w:r w:rsidRPr="00B033A8">
        <w:rPr>
          <w:rFonts w:cs="Times New Roman"/>
          <w:color w:val="000000" w:themeColor="text1"/>
        </w:rPr>
        <w:t xml:space="preserve"> la </w:t>
      </w:r>
      <w:r w:rsidR="003A03E6" w:rsidRPr="00B033A8">
        <w:rPr>
          <w:rFonts w:cs="Times New Roman"/>
          <w:color w:val="000000" w:themeColor="text1"/>
        </w:rPr>
        <w:t>argumentación del demandante</w:t>
      </w:r>
      <w:r w:rsidR="00393701" w:rsidRPr="00B033A8">
        <w:rPr>
          <w:rFonts w:cs="Times New Roman"/>
          <w:color w:val="000000" w:themeColor="text1"/>
        </w:rPr>
        <w:t xml:space="preserve">, </w:t>
      </w:r>
      <w:r w:rsidR="003A03E6" w:rsidRPr="00B033A8">
        <w:rPr>
          <w:rFonts w:cs="Times New Roman"/>
          <w:color w:val="000000" w:themeColor="text1"/>
        </w:rPr>
        <w:t xml:space="preserve">por </w:t>
      </w:r>
      <w:r w:rsidR="00017233" w:rsidRPr="00B033A8">
        <w:rPr>
          <w:rFonts w:cs="Times New Roman"/>
          <w:color w:val="000000" w:themeColor="text1"/>
        </w:rPr>
        <w:t>tres</w:t>
      </w:r>
      <w:r w:rsidR="003A03E6" w:rsidRPr="00B033A8">
        <w:rPr>
          <w:rFonts w:cs="Times New Roman"/>
          <w:color w:val="000000" w:themeColor="text1"/>
        </w:rPr>
        <w:t xml:space="preserve"> razones: </w:t>
      </w:r>
    </w:p>
    <w:p w14:paraId="07A1F8FC" w14:textId="77777777" w:rsidR="000B4AC2" w:rsidRPr="00B033A8" w:rsidRDefault="000B4AC2" w:rsidP="00776641">
      <w:pPr>
        <w:tabs>
          <w:tab w:val="left" w:pos="851"/>
        </w:tabs>
        <w:rPr>
          <w:rFonts w:cs="Times New Roman"/>
          <w:color w:val="000000" w:themeColor="text1"/>
        </w:rPr>
      </w:pPr>
    </w:p>
    <w:p w14:paraId="4CB7F60F" w14:textId="77777777" w:rsidR="00FA14DA" w:rsidRPr="00B033A8" w:rsidRDefault="00E1353C" w:rsidP="00776641">
      <w:pPr>
        <w:numPr>
          <w:ilvl w:val="0"/>
          <w:numId w:val="12"/>
        </w:numPr>
        <w:tabs>
          <w:tab w:val="left" w:pos="851"/>
        </w:tabs>
        <w:ind w:left="0" w:firstLine="0"/>
        <w:rPr>
          <w:rFonts w:cs="Times New Roman"/>
          <w:color w:val="000000" w:themeColor="text1"/>
        </w:rPr>
      </w:pPr>
      <w:bookmarkStart w:id="12" w:name="_Ref192585823"/>
      <w:r w:rsidRPr="00B033A8">
        <w:rPr>
          <w:rFonts w:cs="Times New Roman"/>
          <w:color w:val="000000" w:themeColor="text1"/>
          <w:u w:val="single"/>
        </w:rPr>
        <w:lastRenderedPageBreak/>
        <w:t>Primero</w:t>
      </w:r>
      <w:r w:rsidRPr="00B033A8">
        <w:rPr>
          <w:rFonts w:cs="Times New Roman"/>
          <w:i/>
          <w:iCs/>
          <w:color w:val="000000" w:themeColor="text1"/>
        </w:rPr>
        <w:t xml:space="preserve">. </w:t>
      </w:r>
      <w:r w:rsidR="00FA14DA" w:rsidRPr="00B033A8">
        <w:rPr>
          <w:rFonts w:cs="Times New Roman"/>
          <w:color w:val="000000" w:themeColor="text1"/>
        </w:rPr>
        <w:t>El principio de legalidad estricta</w:t>
      </w:r>
      <w:r w:rsidR="00017233" w:rsidRPr="00B033A8">
        <w:rPr>
          <w:rFonts w:cs="Times New Roman"/>
          <w:color w:val="000000" w:themeColor="text1"/>
        </w:rPr>
        <w:t xml:space="preserve"> no impone al legislador la obligación de definir de forma </w:t>
      </w:r>
      <w:r w:rsidR="00017233" w:rsidRPr="00B033A8">
        <w:rPr>
          <w:rFonts w:cs="Times New Roman"/>
          <w:i/>
          <w:iCs/>
          <w:color w:val="000000" w:themeColor="text1"/>
        </w:rPr>
        <w:t>expresa</w:t>
      </w:r>
      <w:r w:rsidR="00017233" w:rsidRPr="00B033A8">
        <w:rPr>
          <w:rFonts w:cs="Times New Roman"/>
          <w:color w:val="000000" w:themeColor="text1"/>
        </w:rPr>
        <w:t xml:space="preserve"> la norma de remisión. </w:t>
      </w:r>
      <w:r w:rsidR="00FA14DA" w:rsidRPr="00B033A8">
        <w:rPr>
          <w:rFonts w:cs="Times New Roman"/>
          <w:color w:val="000000" w:themeColor="text1"/>
        </w:rPr>
        <w:t>Al respecto, la Sala Plena resalta que e</w:t>
      </w:r>
      <w:r w:rsidR="00017233" w:rsidRPr="00B033A8">
        <w:rPr>
          <w:rFonts w:cs="Times New Roman"/>
          <w:color w:val="000000" w:themeColor="text1"/>
        </w:rPr>
        <w:t>n la sentencia C-411 de 2022</w:t>
      </w:r>
      <w:r w:rsidR="00686E2A" w:rsidRPr="00B033A8">
        <w:rPr>
          <w:rFonts w:cs="Times New Roman"/>
          <w:color w:val="000000" w:themeColor="text1"/>
        </w:rPr>
        <w:t>,</w:t>
      </w:r>
      <w:r w:rsidR="00017233" w:rsidRPr="00B033A8">
        <w:rPr>
          <w:rFonts w:cs="Times New Roman"/>
          <w:color w:val="000000" w:themeColor="text1"/>
        </w:rPr>
        <w:t xml:space="preserve"> la Corte Constitucional precisó </w:t>
      </w:r>
      <w:r w:rsidR="00686E2A" w:rsidRPr="00B033A8">
        <w:rPr>
          <w:rFonts w:cs="Times New Roman"/>
          <w:color w:val="000000" w:themeColor="text1"/>
        </w:rPr>
        <w:t xml:space="preserve">que </w:t>
      </w:r>
      <w:r w:rsidR="00017233" w:rsidRPr="00B033A8">
        <w:rPr>
          <w:rFonts w:cs="Times New Roman"/>
          <w:color w:val="000000" w:themeColor="text1"/>
        </w:rPr>
        <w:t>la remisión de los tipos penales</w:t>
      </w:r>
      <w:r w:rsidR="00FA14DA" w:rsidRPr="00B033A8">
        <w:rPr>
          <w:rFonts w:cs="Times New Roman"/>
          <w:color w:val="000000" w:themeColor="text1"/>
        </w:rPr>
        <w:t xml:space="preserve"> en blanco</w:t>
      </w:r>
      <w:r w:rsidR="00017233" w:rsidRPr="00B033A8">
        <w:rPr>
          <w:rFonts w:cs="Times New Roman"/>
          <w:color w:val="000000" w:themeColor="text1"/>
        </w:rPr>
        <w:t xml:space="preserve"> “a otros preceptos normativos no debe, necesariamente, ser expresa; es posible que el reenvío sea tácito”.</w:t>
      </w:r>
      <w:r w:rsidRPr="00B033A8">
        <w:rPr>
          <w:rFonts w:cs="Times New Roman"/>
          <w:color w:val="000000" w:themeColor="text1"/>
        </w:rPr>
        <w:t xml:space="preserve"> Lo anterior, siempre que el intérprete pueda </w:t>
      </w:r>
      <w:r w:rsidRPr="00B033A8">
        <w:rPr>
          <w:rFonts w:cs="Times New Roman"/>
          <w:iCs/>
          <w:color w:val="000000" w:themeColor="text1"/>
          <w:lang w:val="es-ES"/>
        </w:rPr>
        <w:t xml:space="preserve">individualizar </w:t>
      </w:r>
      <w:r w:rsidRPr="00B033A8">
        <w:rPr>
          <w:rFonts w:cs="Times New Roman"/>
          <w:iCs/>
          <w:color w:val="000000" w:themeColor="text1"/>
        </w:rPr>
        <w:t>“sin ambages, anfibologías o equívocos”</w:t>
      </w:r>
      <w:r w:rsidRPr="00B033A8">
        <w:rPr>
          <w:rFonts w:cs="Times New Roman"/>
          <w:color w:val="000000" w:themeColor="text1"/>
          <w:vertAlign w:val="superscript"/>
        </w:rPr>
        <w:footnoteReference w:id="182"/>
      </w:r>
      <w:r w:rsidRPr="00B033A8">
        <w:rPr>
          <w:rFonts w:cs="Times New Roman"/>
          <w:iCs/>
          <w:color w:val="000000" w:themeColor="text1"/>
        </w:rPr>
        <w:t xml:space="preserve"> </w:t>
      </w:r>
      <w:r w:rsidRPr="00B033A8">
        <w:rPr>
          <w:rFonts w:cs="Times New Roman"/>
          <w:iCs/>
          <w:color w:val="000000" w:themeColor="text1"/>
          <w:lang w:val="es-ES"/>
        </w:rPr>
        <w:t>las normas complementarias que se integran a la disposición penal</w:t>
      </w:r>
      <w:r w:rsidRPr="00B033A8">
        <w:rPr>
          <w:rFonts w:cs="Times New Roman"/>
          <w:color w:val="000000" w:themeColor="text1"/>
          <w:vertAlign w:val="superscript"/>
        </w:rPr>
        <w:footnoteReference w:id="183"/>
      </w:r>
      <w:r w:rsidRPr="00B033A8">
        <w:rPr>
          <w:rFonts w:cs="Times New Roman"/>
          <w:color w:val="000000" w:themeColor="text1"/>
        </w:rPr>
        <w:t xml:space="preserve">. En este sentido, a diferencia de lo que sugiere el demandante, la inexistencia de una remisión expresa no implica, </w:t>
      </w:r>
      <w:r w:rsidRPr="00B033A8">
        <w:rPr>
          <w:rFonts w:cs="Times New Roman"/>
          <w:i/>
          <w:iCs/>
          <w:color w:val="000000" w:themeColor="text1"/>
        </w:rPr>
        <w:t>per se</w:t>
      </w:r>
      <w:r w:rsidRPr="00B033A8">
        <w:rPr>
          <w:rFonts w:cs="Times New Roman"/>
          <w:color w:val="000000" w:themeColor="text1"/>
        </w:rPr>
        <w:t xml:space="preserve">, que el artículo 410A del Código Penal desconozca el principio de legalidad estricta o tipicidad. </w:t>
      </w:r>
    </w:p>
    <w:p w14:paraId="48678959" w14:textId="77777777" w:rsidR="00FA14DA" w:rsidRPr="00B033A8" w:rsidRDefault="00FA14DA" w:rsidP="00776641">
      <w:pPr>
        <w:rPr>
          <w:rFonts w:cs="Times New Roman"/>
          <w:color w:val="000000" w:themeColor="text1"/>
          <w:u w:val="single"/>
        </w:rPr>
      </w:pPr>
    </w:p>
    <w:p w14:paraId="0BEBCC82" w14:textId="7B16BD2E" w:rsidR="009D4AA7" w:rsidRPr="00B033A8" w:rsidRDefault="00E1353C"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u w:val="single"/>
        </w:rPr>
        <w:t>Segundo</w:t>
      </w:r>
      <w:r w:rsidRPr="00B033A8">
        <w:rPr>
          <w:rFonts w:cs="Times New Roman"/>
          <w:i/>
          <w:iCs/>
          <w:color w:val="000000" w:themeColor="text1"/>
        </w:rPr>
        <w:t>.</w:t>
      </w:r>
      <w:r w:rsidR="00E734E0" w:rsidRPr="00B033A8">
        <w:rPr>
          <w:rFonts w:cs="Times New Roman"/>
          <w:i/>
          <w:iCs/>
          <w:color w:val="000000" w:themeColor="text1"/>
        </w:rPr>
        <w:t xml:space="preserve"> </w:t>
      </w:r>
      <w:r w:rsidR="00686E2A" w:rsidRPr="00B033A8">
        <w:rPr>
          <w:rFonts w:cs="Times New Roman"/>
          <w:color w:val="000000" w:themeColor="text1"/>
        </w:rPr>
        <w:t xml:space="preserve">La Sala Plena considera que una interpretación sistemática del </w:t>
      </w:r>
      <w:r w:rsidR="00A56143" w:rsidRPr="00B033A8">
        <w:rPr>
          <w:rFonts w:cs="Times New Roman"/>
          <w:color w:val="000000" w:themeColor="text1"/>
        </w:rPr>
        <w:t>artículo 410A del Código Penal</w:t>
      </w:r>
      <w:r w:rsidR="00584702" w:rsidRPr="00B033A8">
        <w:rPr>
          <w:rFonts w:cs="Times New Roman"/>
          <w:color w:val="000000" w:themeColor="text1"/>
        </w:rPr>
        <w:t xml:space="preserve"> </w:t>
      </w:r>
      <w:r w:rsidR="00686E2A" w:rsidRPr="00B033A8">
        <w:rPr>
          <w:rFonts w:cs="Times New Roman"/>
          <w:color w:val="000000" w:themeColor="text1"/>
        </w:rPr>
        <w:t xml:space="preserve">permite concluir, sin </w:t>
      </w:r>
      <w:r w:rsidR="00A56143" w:rsidRPr="00B033A8">
        <w:rPr>
          <w:rFonts w:cs="Times New Roman"/>
          <w:color w:val="000000" w:themeColor="text1"/>
        </w:rPr>
        <w:t>ambages</w:t>
      </w:r>
      <w:r w:rsidR="00686E2A" w:rsidRPr="00B033A8">
        <w:rPr>
          <w:rFonts w:cs="Times New Roman"/>
          <w:color w:val="000000" w:themeColor="text1"/>
        </w:rPr>
        <w:t xml:space="preserve"> ni equívocos, que la norma de remisión </w:t>
      </w:r>
      <w:r w:rsidR="00E734E0" w:rsidRPr="00B033A8">
        <w:rPr>
          <w:rFonts w:cs="Times New Roman"/>
          <w:color w:val="000000" w:themeColor="text1"/>
        </w:rPr>
        <w:t xml:space="preserve">que </w:t>
      </w:r>
      <w:r w:rsidR="00835CEF" w:rsidRPr="00B033A8">
        <w:rPr>
          <w:rFonts w:cs="Times New Roman"/>
          <w:color w:val="000000" w:themeColor="text1"/>
        </w:rPr>
        <w:t>se integra</w:t>
      </w:r>
      <w:r w:rsidR="00E734E0" w:rsidRPr="00B033A8">
        <w:rPr>
          <w:rFonts w:cs="Times New Roman"/>
          <w:color w:val="000000" w:themeColor="text1"/>
        </w:rPr>
        <w:t xml:space="preserve"> al tipo penal </w:t>
      </w:r>
      <w:r w:rsidR="00686E2A" w:rsidRPr="00B033A8">
        <w:rPr>
          <w:rFonts w:cs="Times New Roman"/>
          <w:color w:val="000000" w:themeColor="text1"/>
        </w:rPr>
        <w:t xml:space="preserve">para determinar que conductas constituyen una concertación con la finalidad de alterar ilícitamente </w:t>
      </w:r>
      <w:r w:rsidR="00155784" w:rsidRPr="00B033A8">
        <w:rPr>
          <w:rFonts w:cs="Times New Roman"/>
          <w:color w:val="000000" w:themeColor="text1"/>
        </w:rPr>
        <w:t xml:space="preserve">los procesos </w:t>
      </w:r>
      <w:r w:rsidR="00E1358C" w:rsidRPr="00B033A8">
        <w:rPr>
          <w:rFonts w:cs="Times New Roman"/>
          <w:color w:val="000000" w:themeColor="text1"/>
        </w:rPr>
        <w:t>de licitación pública, subasta pública</w:t>
      </w:r>
      <w:r w:rsidR="00E734E0" w:rsidRPr="00B033A8">
        <w:rPr>
          <w:rFonts w:cs="Times New Roman"/>
          <w:color w:val="000000" w:themeColor="text1"/>
        </w:rPr>
        <w:t xml:space="preserve">, </w:t>
      </w:r>
      <w:r w:rsidR="00E1358C" w:rsidRPr="00B033A8">
        <w:rPr>
          <w:rFonts w:cs="Times New Roman"/>
          <w:color w:val="000000" w:themeColor="text1"/>
        </w:rPr>
        <w:t>selección abreviada o concurso</w:t>
      </w:r>
      <w:r w:rsidR="00686E2A" w:rsidRPr="00B033A8">
        <w:rPr>
          <w:rFonts w:cs="Times New Roman"/>
          <w:color w:val="000000" w:themeColor="text1"/>
        </w:rPr>
        <w:t>, es</w:t>
      </w:r>
      <w:r w:rsidR="00B438CE" w:rsidRPr="00B033A8">
        <w:rPr>
          <w:rFonts w:cs="Times New Roman"/>
          <w:color w:val="000000" w:themeColor="text1"/>
        </w:rPr>
        <w:t xml:space="preserve"> </w:t>
      </w:r>
      <w:r w:rsidR="00686E2A" w:rsidRPr="00B033A8">
        <w:rPr>
          <w:rFonts w:cs="Times New Roman"/>
          <w:color w:val="000000" w:themeColor="text1"/>
        </w:rPr>
        <w:t xml:space="preserve">el artículo 47.9 del Decreto 2153 de 1992. </w:t>
      </w:r>
      <w:r w:rsidR="003A5664" w:rsidRPr="00B033A8">
        <w:rPr>
          <w:rFonts w:cs="Times New Roman"/>
          <w:color w:val="000000" w:themeColor="text1"/>
        </w:rPr>
        <w:t xml:space="preserve">Esta norma prohíbe de forma expresa los acuerdos restrictivos de la competencia en procesos de contratación pública, también denominados </w:t>
      </w:r>
      <w:r w:rsidR="003A5664" w:rsidRPr="00B033A8">
        <w:rPr>
          <w:rFonts w:cs="Times New Roman"/>
          <w:i/>
          <w:iCs/>
          <w:color w:val="000000" w:themeColor="text1"/>
        </w:rPr>
        <w:t>acuerdos colusorios</w:t>
      </w:r>
      <w:r w:rsidR="003A5664" w:rsidRPr="00B033A8">
        <w:rPr>
          <w:rFonts w:cs="Times New Roman"/>
          <w:color w:val="000000" w:themeColor="text1"/>
        </w:rPr>
        <w:t xml:space="preserve">. </w:t>
      </w:r>
    </w:p>
    <w:p w14:paraId="1FD7C1F2" w14:textId="77777777" w:rsidR="004D1079" w:rsidRPr="00B033A8" w:rsidRDefault="004D1079" w:rsidP="00776641">
      <w:pPr>
        <w:rPr>
          <w:rFonts w:cs="Times New Roman"/>
          <w:color w:val="000000" w:themeColor="text1"/>
        </w:rPr>
      </w:pPr>
    </w:p>
    <w:p w14:paraId="6E0A6529" w14:textId="4EC4D163" w:rsidR="004D1079" w:rsidRPr="00B033A8" w:rsidRDefault="004D1079"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 xml:space="preserve">La Corte Constitucional considera que es posible identificar de forma clara e inequívoca </w:t>
      </w:r>
      <w:r w:rsidR="009778CB" w:rsidRPr="00B033A8">
        <w:rPr>
          <w:rFonts w:cs="Times New Roman"/>
          <w:color w:val="000000" w:themeColor="text1"/>
        </w:rPr>
        <w:t xml:space="preserve">que el artículo 47.9 de la Ley 2153 de 1992 es </w:t>
      </w:r>
      <w:r w:rsidRPr="00B033A8">
        <w:rPr>
          <w:rFonts w:cs="Times New Roman"/>
          <w:color w:val="000000" w:themeColor="text1"/>
        </w:rPr>
        <w:t>la norma de remisión</w:t>
      </w:r>
      <w:r w:rsidR="009778CB" w:rsidRPr="00B033A8">
        <w:rPr>
          <w:rFonts w:cs="Times New Roman"/>
          <w:color w:val="000000" w:themeColor="text1"/>
        </w:rPr>
        <w:t>, con fundamento en:</w:t>
      </w:r>
      <w:r w:rsidRPr="00B033A8">
        <w:rPr>
          <w:rFonts w:cs="Times New Roman"/>
          <w:color w:val="000000" w:themeColor="text1"/>
        </w:rPr>
        <w:t xml:space="preserve"> </w:t>
      </w:r>
      <w:r w:rsidRPr="00B033A8">
        <w:rPr>
          <w:rFonts w:cs="Times New Roman"/>
          <w:i/>
          <w:iCs/>
          <w:color w:val="000000" w:themeColor="text1"/>
        </w:rPr>
        <w:t>(a)</w:t>
      </w:r>
      <w:r w:rsidRPr="00B033A8">
        <w:rPr>
          <w:rFonts w:cs="Times New Roman"/>
          <w:color w:val="000000" w:themeColor="text1"/>
        </w:rPr>
        <w:t xml:space="preserve"> el título o </w:t>
      </w:r>
      <w:proofErr w:type="spellStart"/>
      <w:r w:rsidRPr="00B033A8">
        <w:rPr>
          <w:rFonts w:cs="Times New Roman"/>
          <w:i/>
          <w:iCs/>
          <w:color w:val="000000" w:themeColor="text1"/>
        </w:rPr>
        <w:t>nomen</w:t>
      </w:r>
      <w:proofErr w:type="spellEnd"/>
      <w:r w:rsidRPr="00B033A8">
        <w:rPr>
          <w:rFonts w:cs="Times New Roman"/>
          <w:i/>
          <w:iCs/>
          <w:color w:val="000000" w:themeColor="text1"/>
        </w:rPr>
        <w:t xml:space="preserve"> iuris</w:t>
      </w:r>
      <w:r w:rsidRPr="00B033A8">
        <w:rPr>
          <w:rFonts w:cs="Times New Roman"/>
          <w:color w:val="000000" w:themeColor="text1"/>
        </w:rPr>
        <w:t xml:space="preserve">, </w:t>
      </w:r>
      <w:r w:rsidRPr="00B033A8">
        <w:rPr>
          <w:rFonts w:cs="Times New Roman"/>
          <w:i/>
          <w:iCs/>
          <w:color w:val="000000" w:themeColor="text1"/>
        </w:rPr>
        <w:t>(b)</w:t>
      </w:r>
      <w:r w:rsidRPr="00B033A8">
        <w:rPr>
          <w:rFonts w:cs="Times New Roman"/>
          <w:color w:val="000000" w:themeColor="text1"/>
        </w:rPr>
        <w:t xml:space="preserve"> el parágrafo y </w:t>
      </w:r>
      <w:r w:rsidRPr="00B033A8">
        <w:rPr>
          <w:rFonts w:cs="Times New Roman"/>
          <w:i/>
          <w:iCs/>
          <w:color w:val="000000" w:themeColor="text1"/>
        </w:rPr>
        <w:t>(c)</w:t>
      </w:r>
      <w:r w:rsidRPr="00B033A8">
        <w:rPr>
          <w:rFonts w:cs="Times New Roman"/>
          <w:color w:val="000000" w:themeColor="text1"/>
        </w:rPr>
        <w:t xml:space="preserve"> los antecedentes legislativos del tipo penal demandado: </w:t>
      </w:r>
    </w:p>
    <w:p w14:paraId="33F6A7F8" w14:textId="77777777" w:rsidR="00A56143" w:rsidRPr="00B033A8" w:rsidRDefault="00A56143" w:rsidP="00776641">
      <w:pPr>
        <w:tabs>
          <w:tab w:val="left" w:pos="851"/>
        </w:tabs>
        <w:rPr>
          <w:rFonts w:cs="Times New Roman"/>
          <w:color w:val="000000" w:themeColor="text1"/>
        </w:rPr>
      </w:pPr>
    </w:p>
    <w:p w14:paraId="11D101A6" w14:textId="2C7297E1" w:rsidR="009D4AA7" w:rsidRPr="00B033A8" w:rsidRDefault="009B69EA"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 xml:space="preserve">(a) </w:t>
      </w:r>
      <w:r w:rsidR="00E1353C" w:rsidRPr="00B033A8">
        <w:rPr>
          <w:rFonts w:cs="Times New Roman"/>
          <w:color w:val="000000" w:themeColor="text1"/>
        </w:rPr>
        <w:t xml:space="preserve">El </w:t>
      </w:r>
      <w:r w:rsidR="000C006A" w:rsidRPr="00B033A8">
        <w:rPr>
          <w:rFonts w:cs="Times New Roman"/>
          <w:color w:val="000000" w:themeColor="text1"/>
        </w:rPr>
        <w:t xml:space="preserve">título o </w:t>
      </w:r>
      <w:proofErr w:type="spellStart"/>
      <w:r w:rsidR="000C006A" w:rsidRPr="00B033A8">
        <w:rPr>
          <w:rFonts w:cs="Times New Roman"/>
          <w:i/>
          <w:iCs/>
          <w:color w:val="000000" w:themeColor="text1"/>
        </w:rPr>
        <w:t>nomen</w:t>
      </w:r>
      <w:proofErr w:type="spellEnd"/>
      <w:r w:rsidR="000C006A" w:rsidRPr="00B033A8">
        <w:rPr>
          <w:rFonts w:cs="Times New Roman"/>
          <w:i/>
          <w:iCs/>
          <w:color w:val="000000" w:themeColor="text1"/>
        </w:rPr>
        <w:t xml:space="preserve"> iuris</w:t>
      </w:r>
      <w:r w:rsidR="000C006A" w:rsidRPr="00B033A8">
        <w:rPr>
          <w:rFonts w:cs="Times New Roman"/>
          <w:color w:val="000000" w:themeColor="text1"/>
        </w:rPr>
        <w:t xml:space="preserve"> del tipo penal </w:t>
      </w:r>
      <w:r w:rsidR="00E1353C" w:rsidRPr="00B033A8">
        <w:rPr>
          <w:rFonts w:cs="Times New Roman"/>
          <w:color w:val="000000" w:themeColor="text1"/>
        </w:rPr>
        <w:t>previsto en el artículo 410</w:t>
      </w:r>
      <w:r w:rsidR="00B438CE" w:rsidRPr="00B033A8">
        <w:rPr>
          <w:rFonts w:cs="Times New Roman"/>
          <w:color w:val="000000" w:themeColor="text1"/>
        </w:rPr>
        <w:t>A</w:t>
      </w:r>
      <w:r w:rsidR="00E1353C" w:rsidRPr="00B033A8">
        <w:rPr>
          <w:rFonts w:cs="Times New Roman"/>
          <w:color w:val="000000" w:themeColor="text1"/>
        </w:rPr>
        <w:t xml:space="preserve"> </w:t>
      </w:r>
      <w:r w:rsidRPr="00B033A8">
        <w:rPr>
          <w:rFonts w:cs="Times New Roman"/>
          <w:color w:val="000000" w:themeColor="text1"/>
        </w:rPr>
        <w:t xml:space="preserve">del Código Penal </w:t>
      </w:r>
      <w:r w:rsidR="000C006A" w:rsidRPr="00B033A8">
        <w:rPr>
          <w:rFonts w:cs="Times New Roman"/>
          <w:color w:val="000000" w:themeColor="text1"/>
        </w:rPr>
        <w:t>es</w:t>
      </w:r>
      <w:r w:rsidR="004D1079" w:rsidRPr="00B033A8">
        <w:rPr>
          <w:rFonts w:cs="Times New Roman"/>
          <w:color w:val="000000" w:themeColor="text1"/>
        </w:rPr>
        <w:t xml:space="preserve"> </w:t>
      </w:r>
      <w:r w:rsidR="000C006A" w:rsidRPr="00B033A8">
        <w:rPr>
          <w:rFonts w:cs="Times New Roman"/>
          <w:color w:val="000000" w:themeColor="text1"/>
        </w:rPr>
        <w:t xml:space="preserve">“acuerdos restrictivos de la competencia”. </w:t>
      </w:r>
      <w:r w:rsidR="004D1079" w:rsidRPr="00B033A8">
        <w:rPr>
          <w:rFonts w:cs="Times New Roman"/>
          <w:color w:val="000000" w:themeColor="text1"/>
        </w:rPr>
        <w:t xml:space="preserve">Tal y como lo señala el </w:t>
      </w:r>
      <w:r w:rsidR="009778CB" w:rsidRPr="00B033A8">
        <w:rPr>
          <w:rFonts w:cs="Times New Roman"/>
          <w:color w:val="000000" w:themeColor="text1"/>
        </w:rPr>
        <w:t>Ministerio Público</w:t>
      </w:r>
      <w:r w:rsidR="004D1079" w:rsidRPr="00B033A8">
        <w:rPr>
          <w:rFonts w:cs="Times New Roman"/>
          <w:color w:val="000000" w:themeColor="text1"/>
        </w:rPr>
        <w:t>, e</w:t>
      </w:r>
      <w:r w:rsidR="00A56143" w:rsidRPr="00B033A8">
        <w:rPr>
          <w:rFonts w:cs="Times New Roman"/>
          <w:color w:val="000000" w:themeColor="text1"/>
        </w:rPr>
        <w:t>ste es un término legal definido en el régimen general de la competencia.</w:t>
      </w:r>
      <w:r w:rsidR="008C0A05" w:rsidRPr="00B033A8">
        <w:rPr>
          <w:rFonts w:cs="Times New Roman"/>
          <w:color w:val="000000" w:themeColor="text1"/>
        </w:rPr>
        <w:t xml:space="preserve"> </w:t>
      </w:r>
      <w:r w:rsidR="00835CEF" w:rsidRPr="00B033A8">
        <w:rPr>
          <w:rFonts w:cs="Times New Roman"/>
          <w:color w:val="000000" w:themeColor="text1"/>
        </w:rPr>
        <w:t>El artículo 1° de la Ley 155 de 1959 –</w:t>
      </w:r>
      <w:r w:rsidR="00835CEF" w:rsidRPr="00B033A8">
        <w:rPr>
          <w:rFonts w:cs="Times New Roman"/>
          <w:i/>
          <w:iCs/>
          <w:color w:val="000000" w:themeColor="text1"/>
        </w:rPr>
        <w:t>prohibición general</w:t>
      </w:r>
      <w:r w:rsidR="00835CEF" w:rsidRPr="00B033A8">
        <w:rPr>
          <w:rFonts w:cs="Times New Roman"/>
          <w:color w:val="000000" w:themeColor="text1"/>
        </w:rPr>
        <w:t>– dispone que “[q]</w:t>
      </w:r>
      <w:proofErr w:type="spellStart"/>
      <w:r w:rsidR="00835CEF" w:rsidRPr="00B033A8">
        <w:rPr>
          <w:rFonts w:cs="Times New Roman"/>
          <w:color w:val="000000" w:themeColor="text1"/>
        </w:rPr>
        <w:t>uedan</w:t>
      </w:r>
      <w:proofErr w:type="spellEnd"/>
      <w:r w:rsidR="00835CEF" w:rsidRPr="00B033A8">
        <w:rPr>
          <w:rFonts w:cs="Times New Roman"/>
          <w:color w:val="000000" w:themeColor="text1"/>
        </w:rPr>
        <w:t xml:space="preserve"> prohibidos los </w:t>
      </w:r>
      <w:r w:rsidR="00835CEF" w:rsidRPr="00B033A8">
        <w:rPr>
          <w:rFonts w:cs="Times New Roman"/>
          <w:i/>
          <w:iCs/>
          <w:color w:val="000000" w:themeColor="text1"/>
        </w:rPr>
        <w:t>acuerdos</w:t>
      </w:r>
      <w:r w:rsidR="00835CEF" w:rsidRPr="00B033A8">
        <w:rPr>
          <w:rFonts w:cs="Times New Roman"/>
          <w:color w:val="000000" w:themeColor="text1"/>
        </w:rPr>
        <w:t xml:space="preserve"> o convenios que directa o indirectamente tengan por objeto limitar la producción, abastecimiento, distribución o consumo de materias primas, productos, mercancías o servicios nacionales o extranjeros, y en general toda clase de prácticas, procedimientos o sistemas tendientes a limitar la libre competencia, con el propósito de determinar o mantener precios inequitativos en perjuicio de los consumidores y de los productores de materias primas”</w:t>
      </w:r>
      <w:r w:rsidR="00B438CE" w:rsidRPr="00B033A8">
        <w:rPr>
          <w:rFonts w:cs="Times New Roman"/>
          <w:color w:val="000000" w:themeColor="text1"/>
        </w:rPr>
        <w:t xml:space="preserve"> (énfasis añadido)</w:t>
      </w:r>
      <w:r w:rsidR="00835CEF" w:rsidRPr="00B033A8">
        <w:rPr>
          <w:rFonts w:cs="Times New Roman"/>
          <w:color w:val="000000" w:themeColor="text1"/>
        </w:rPr>
        <w:t xml:space="preserve">. </w:t>
      </w:r>
      <w:r w:rsidR="009D4AA7" w:rsidRPr="00B033A8">
        <w:rPr>
          <w:rFonts w:cs="Times New Roman"/>
          <w:color w:val="000000" w:themeColor="text1"/>
        </w:rPr>
        <w:t xml:space="preserve">Por su parte, el Decreto 2153 de 1993 </w:t>
      </w:r>
      <w:r w:rsidR="009D4AA7" w:rsidRPr="00B033A8">
        <w:rPr>
          <w:rFonts w:cs="Times New Roman"/>
          <w:i/>
          <w:iCs/>
          <w:color w:val="000000" w:themeColor="text1"/>
        </w:rPr>
        <w:t>(i)</w:t>
      </w:r>
      <w:r w:rsidR="009D4AA7" w:rsidRPr="00B033A8">
        <w:rPr>
          <w:rFonts w:cs="Times New Roman"/>
          <w:color w:val="000000" w:themeColor="text1"/>
        </w:rPr>
        <w:t xml:space="preserve"> </w:t>
      </w:r>
      <w:r w:rsidR="008C0A05" w:rsidRPr="00B033A8">
        <w:rPr>
          <w:rFonts w:cs="Times New Roman"/>
          <w:color w:val="000000" w:themeColor="text1"/>
        </w:rPr>
        <w:t>define los acuerdos</w:t>
      </w:r>
      <w:r w:rsidR="008C0A05" w:rsidRPr="00B033A8">
        <w:rPr>
          <w:rFonts w:cs="Times New Roman"/>
          <w:i/>
          <w:iCs/>
          <w:color w:val="000000" w:themeColor="text1"/>
        </w:rPr>
        <w:t xml:space="preserve"> </w:t>
      </w:r>
      <w:r w:rsidR="008C0A05" w:rsidRPr="00B033A8">
        <w:rPr>
          <w:rFonts w:cs="Times New Roman"/>
          <w:color w:val="000000" w:themeColor="text1"/>
        </w:rPr>
        <w:t>como “[t]</w:t>
      </w:r>
      <w:proofErr w:type="spellStart"/>
      <w:r w:rsidR="008C0A05" w:rsidRPr="00B033A8">
        <w:rPr>
          <w:rFonts w:cs="Times New Roman"/>
          <w:color w:val="000000" w:themeColor="text1"/>
        </w:rPr>
        <w:t>odo</w:t>
      </w:r>
      <w:proofErr w:type="spellEnd"/>
      <w:r w:rsidR="008C0A05" w:rsidRPr="00B033A8">
        <w:rPr>
          <w:rFonts w:cs="Times New Roman"/>
          <w:color w:val="000000" w:themeColor="text1"/>
        </w:rPr>
        <w:t xml:space="preserve"> contrato, convenio, </w:t>
      </w:r>
      <w:r w:rsidR="008C0A05" w:rsidRPr="00B033A8">
        <w:rPr>
          <w:rFonts w:cs="Times New Roman"/>
          <w:i/>
          <w:iCs/>
          <w:color w:val="000000" w:themeColor="text1"/>
        </w:rPr>
        <w:t>concertación</w:t>
      </w:r>
      <w:r w:rsidR="008C0A05" w:rsidRPr="00B033A8">
        <w:rPr>
          <w:rFonts w:cs="Times New Roman"/>
          <w:color w:val="000000" w:themeColor="text1"/>
        </w:rPr>
        <w:t xml:space="preserve">, práctica </w:t>
      </w:r>
      <w:r w:rsidR="008C0A05" w:rsidRPr="00B033A8">
        <w:rPr>
          <w:rFonts w:cs="Times New Roman"/>
          <w:i/>
          <w:iCs/>
          <w:color w:val="000000" w:themeColor="text1"/>
        </w:rPr>
        <w:t>concertada</w:t>
      </w:r>
      <w:r w:rsidR="008C0A05" w:rsidRPr="00B033A8">
        <w:rPr>
          <w:rFonts w:cs="Times New Roman"/>
          <w:color w:val="000000" w:themeColor="text1"/>
        </w:rPr>
        <w:t xml:space="preserve"> o conscientemente paralela entre dos o más empresas”</w:t>
      </w:r>
      <w:r w:rsidR="009D4AA7" w:rsidRPr="00B033A8">
        <w:rPr>
          <w:rFonts w:cs="Times New Roman"/>
          <w:color w:val="000000" w:themeColor="text1"/>
        </w:rPr>
        <w:t xml:space="preserve"> (art. 45) y </w:t>
      </w:r>
      <w:r w:rsidR="009D4AA7" w:rsidRPr="00B033A8">
        <w:rPr>
          <w:rFonts w:cs="Times New Roman"/>
          <w:i/>
          <w:iCs/>
          <w:color w:val="000000" w:themeColor="text1"/>
        </w:rPr>
        <w:t>(</w:t>
      </w:r>
      <w:proofErr w:type="spellStart"/>
      <w:r w:rsidR="009D4AA7" w:rsidRPr="00B033A8">
        <w:rPr>
          <w:rFonts w:cs="Times New Roman"/>
          <w:i/>
          <w:iCs/>
          <w:color w:val="000000" w:themeColor="text1"/>
        </w:rPr>
        <w:t>ii</w:t>
      </w:r>
      <w:proofErr w:type="spellEnd"/>
      <w:r w:rsidR="009D4AA7" w:rsidRPr="00B033A8">
        <w:rPr>
          <w:rFonts w:cs="Times New Roman"/>
          <w:i/>
          <w:iCs/>
          <w:color w:val="000000" w:themeColor="text1"/>
        </w:rPr>
        <w:t>)</w:t>
      </w:r>
      <w:r w:rsidR="009D4AA7" w:rsidRPr="00B033A8">
        <w:rPr>
          <w:rFonts w:cs="Times New Roman"/>
          <w:color w:val="000000" w:themeColor="text1"/>
        </w:rPr>
        <w:t xml:space="preserve"> establece un listado indicativo de acuerdo</w:t>
      </w:r>
      <w:r w:rsidR="007B1519" w:rsidRPr="00B033A8">
        <w:rPr>
          <w:rFonts w:cs="Times New Roman"/>
          <w:color w:val="000000" w:themeColor="text1"/>
        </w:rPr>
        <w:t>s</w:t>
      </w:r>
      <w:r w:rsidR="009D4AA7" w:rsidRPr="00B033A8">
        <w:rPr>
          <w:rFonts w:cs="Times New Roman"/>
          <w:color w:val="000000" w:themeColor="text1"/>
        </w:rPr>
        <w:t xml:space="preserve"> </w:t>
      </w:r>
      <w:r w:rsidR="007B1519" w:rsidRPr="00B033A8">
        <w:rPr>
          <w:rFonts w:cs="Times New Roman"/>
          <w:color w:val="000000" w:themeColor="text1"/>
        </w:rPr>
        <w:t xml:space="preserve">que se consideran </w:t>
      </w:r>
      <w:r w:rsidR="009D4AA7" w:rsidRPr="00B033A8">
        <w:rPr>
          <w:rFonts w:cs="Times New Roman"/>
          <w:color w:val="000000" w:themeColor="text1"/>
        </w:rPr>
        <w:t xml:space="preserve">contrarios a la competencia (art. 47). </w:t>
      </w:r>
    </w:p>
    <w:p w14:paraId="1A38E804" w14:textId="77777777" w:rsidR="009D4AA7" w:rsidRPr="00B033A8" w:rsidRDefault="009D4AA7" w:rsidP="00776641">
      <w:pPr>
        <w:rPr>
          <w:rFonts w:cs="Times New Roman"/>
          <w:color w:val="000000" w:themeColor="text1"/>
        </w:rPr>
      </w:pPr>
    </w:p>
    <w:p w14:paraId="457BD327" w14:textId="4A479F5C" w:rsidR="00E734E0" w:rsidRPr="00B033A8" w:rsidRDefault="000C006A"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 xml:space="preserve">La Corte reconoce que, en estricto sentido, el título </w:t>
      </w:r>
      <w:r w:rsidR="009778CB" w:rsidRPr="00B033A8">
        <w:rPr>
          <w:rFonts w:cs="Times New Roman"/>
          <w:color w:val="000000" w:themeColor="text1"/>
        </w:rPr>
        <w:t xml:space="preserve">o </w:t>
      </w:r>
      <w:proofErr w:type="spellStart"/>
      <w:r w:rsidR="009778CB" w:rsidRPr="00B033A8">
        <w:rPr>
          <w:rFonts w:cs="Times New Roman"/>
          <w:i/>
          <w:iCs/>
          <w:color w:val="000000" w:themeColor="text1"/>
        </w:rPr>
        <w:t>nomen</w:t>
      </w:r>
      <w:proofErr w:type="spellEnd"/>
      <w:r w:rsidR="009778CB" w:rsidRPr="00B033A8">
        <w:rPr>
          <w:rFonts w:cs="Times New Roman"/>
          <w:i/>
          <w:iCs/>
          <w:color w:val="000000" w:themeColor="text1"/>
        </w:rPr>
        <w:t xml:space="preserve"> iuris</w:t>
      </w:r>
      <w:r w:rsidR="009778CB" w:rsidRPr="00B033A8">
        <w:rPr>
          <w:rFonts w:cs="Times New Roman"/>
          <w:color w:val="000000" w:themeColor="text1"/>
        </w:rPr>
        <w:t xml:space="preserve"> </w:t>
      </w:r>
      <w:r w:rsidRPr="00B033A8">
        <w:rPr>
          <w:rFonts w:cs="Times New Roman"/>
          <w:color w:val="000000" w:themeColor="text1"/>
        </w:rPr>
        <w:t xml:space="preserve">de los tipos penales no es un elemento del precepto o supuesto de hecho. No obstante, la jurisprudencia constitucional ha señalado que </w:t>
      </w:r>
      <w:r w:rsidRPr="00B033A8">
        <w:rPr>
          <w:rFonts w:cs="Times New Roman"/>
          <w:iCs/>
        </w:rPr>
        <w:t xml:space="preserve">“las denominaciones de los </w:t>
      </w:r>
      <w:r w:rsidRPr="00B033A8">
        <w:rPr>
          <w:rFonts w:cs="Times New Roman"/>
          <w:iCs/>
        </w:rPr>
        <w:lastRenderedPageBreak/>
        <w:t>capítulos y títulos del código penal”</w:t>
      </w:r>
      <w:r w:rsidRPr="00B033A8">
        <w:rPr>
          <w:rFonts w:cs="Times New Roman"/>
          <w:vertAlign w:val="superscript"/>
        </w:rPr>
        <w:footnoteReference w:id="184"/>
      </w:r>
      <w:r w:rsidRPr="00B033A8">
        <w:rPr>
          <w:rFonts w:cs="Times New Roman"/>
          <w:iCs/>
        </w:rPr>
        <w:t xml:space="preserve"> son referentes jurídico-normativos que permiten delimitar el contenido y alcance de la conducta sancionada. Asimismo, </w:t>
      </w:r>
      <w:r w:rsidRPr="00B033A8">
        <w:rPr>
          <w:rFonts w:cs="Times New Roman"/>
          <w:color w:val="000000" w:themeColor="text1"/>
        </w:rPr>
        <w:t>es razonable inferir que</w:t>
      </w:r>
      <w:r w:rsidR="00B438CE" w:rsidRPr="00B033A8">
        <w:rPr>
          <w:rFonts w:cs="Times New Roman"/>
          <w:color w:val="000000" w:themeColor="text1"/>
        </w:rPr>
        <w:t>, en los tipos penales en blanco,</w:t>
      </w:r>
      <w:r w:rsidRPr="00B033A8">
        <w:rPr>
          <w:rFonts w:cs="Times New Roman"/>
          <w:color w:val="000000" w:themeColor="text1"/>
        </w:rPr>
        <w:t xml:space="preserve"> el título o </w:t>
      </w:r>
      <w:proofErr w:type="spellStart"/>
      <w:r w:rsidRPr="00B033A8">
        <w:rPr>
          <w:rFonts w:cs="Times New Roman"/>
          <w:i/>
          <w:iCs/>
          <w:color w:val="000000" w:themeColor="text1"/>
        </w:rPr>
        <w:t>nomen</w:t>
      </w:r>
      <w:proofErr w:type="spellEnd"/>
      <w:r w:rsidRPr="00B033A8">
        <w:rPr>
          <w:rFonts w:cs="Times New Roman"/>
          <w:i/>
          <w:iCs/>
          <w:color w:val="000000" w:themeColor="text1"/>
        </w:rPr>
        <w:t xml:space="preserve"> iuris</w:t>
      </w:r>
      <w:r w:rsidRPr="00B033A8">
        <w:rPr>
          <w:rFonts w:cs="Times New Roman"/>
          <w:color w:val="000000" w:themeColor="text1"/>
        </w:rPr>
        <w:t xml:space="preserve"> es un elemento indicativo del régimen de re</w:t>
      </w:r>
      <w:r w:rsidR="00E1353C" w:rsidRPr="00B033A8">
        <w:rPr>
          <w:rFonts w:cs="Times New Roman"/>
          <w:color w:val="000000" w:themeColor="text1"/>
        </w:rPr>
        <w:t>envío</w:t>
      </w:r>
      <w:r w:rsidRPr="00B033A8">
        <w:rPr>
          <w:rFonts w:cs="Times New Roman"/>
          <w:color w:val="000000" w:themeColor="text1"/>
        </w:rPr>
        <w:t xml:space="preserve"> al cual el intérprete debe remitirse para desarrollar o precisar los elementos de la conducta sancionable.</w:t>
      </w:r>
      <w:bookmarkEnd w:id="12"/>
      <w:r w:rsidR="009D4AA7" w:rsidRPr="00B033A8">
        <w:rPr>
          <w:rFonts w:cs="Times New Roman"/>
          <w:color w:val="000000" w:themeColor="text1"/>
        </w:rPr>
        <w:t xml:space="preserve"> </w:t>
      </w:r>
    </w:p>
    <w:p w14:paraId="418AED4A" w14:textId="77777777" w:rsidR="009D4AA7" w:rsidRPr="00B033A8" w:rsidRDefault="009D4AA7" w:rsidP="00776641">
      <w:pPr>
        <w:tabs>
          <w:tab w:val="left" w:pos="851"/>
        </w:tabs>
        <w:rPr>
          <w:rFonts w:cs="Times New Roman"/>
          <w:color w:val="000000" w:themeColor="text1"/>
        </w:rPr>
      </w:pPr>
    </w:p>
    <w:p w14:paraId="6D570C55" w14:textId="24395B05" w:rsidR="009D4AA7" w:rsidRPr="00B033A8" w:rsidRDefault="009D4AA7"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 xml:space="preserve">Ahora bien, la Sala Plena reconoce </w:t>
      </w:r>
      <w:r w:rsidR="003B586B" w:rsidRPr="00B033A8">
        <w:rPr>
          <w:rFonts w:cs="Times New Roman"/>
          <w:color w:val="000000" w:themeColor="text1"/>
        </w:rPr>
        <w:t xml:space="preserve">que </w:t>
      </w:r>
      <w:r w:rsidRPr="00B033A8">
        <w:rPr>
          <w:rFonts w:cs="Times New Roman"/>
          <w:color w:val="000000" w:themeColor="text1"/>
        </w:rPr>
        <w:t>el artículo 47</w:t>
      </w:r>
      <w:r w:rsidRPr="00B033A8">
        <w:rPr>
          <w:rFonts w:cs="Times New Roman"/>
          <w:i/>
          <w:iCs/>
          <w:color w:val="000000" w:themeColor="text1"/>
        </w:rPr>
        <w:t xml:space="preserve"> </w:t>
      </w:r>
      <w:r w:rsidRPr="00B033A8">
        <w:rPr>
          <w:rFonts w:cs="Times New Roman"/>
          <w:color w:val="000000" w:themeColor="text1"/>
        </w:rPr>
        <w:t>del Decreto 2153 de 1992 prevé un listado enunciativo</w:t>
      </w:r>
      <w:r w:rsidRPr="00B033A8">
        <w:rPr>
          <w:rFonts w:cs="Times New Roman"/>
          <w:color w:val="000000" w:themeColor="text1"/>
          <w:vertAlign w:val="superscript"/>
        </w:rPr>
        <w:footnoteReference w:id="185"/>
      </w:r>
      <w:r w:rsidRPr="00B033A8">
        <w:rPr>
          <w:rFonts w:cs="Times New Roman"/>
          <w:color w:val="000000" w:themeColor="text1"/>
        </w:rPr>
        <w:t xml:space="preserve"> de los acuerdos que “se consideran contrarios a la libre competencia”:</w:t>
      </w:r>
    </w:p>
    <w:p w14:paraId="3F81091F" w14:textId="77777777" w:rsidR="009D4AA7" w:rsidRPr="00B033A8" w:rsidRDefault="009D4AA7" w:rsidP="00776641">
      <w:pPr>
        <w:ind w:right="454"/>
        <w:rPr>
          <w:rFonts w:eastAsia="Times New Roman" w:cs="Times New Roman"/>
          <w:color w:val="4B4949"/>
          <w:szCs w:val="28"/>
          <w:lang w:eastAsia="es-CO"/>
        </w:rPr>
      </w:pPr>
    </w:p>
    <w:p w14:paraId="5447C7FF" w14:textId="77777777" w:rsidR="009D4AA7" w:rsidRPr="00B033A8" w:rsidRDefault="009D4AA7" w:rsidP="00776641">
      <w:pPr>
        <w:ind w:left="737" w:right="454"/>
        <w:rPr>
          <w:rFonts w:eastAsia="Times New Roman" w:cs="Times New Roman"/>
          <w:szCs w:val="20"/>
          <w:lang w:eastAsia="es-CO"/>
        </w:rPr>
      </w:pPr>
      <w:r w:rsidRPr="00B033A8">
        <w:rPr>
          <w:rFonts w:eastAsia="Times New Roman" w:cs="Times New Roman"/>
          <w:szCs w:val="20"/>
          <w:lang w:eastAsia="es-CO"/>
        </w:rPr>
        <w:t>“</w:t>
      </w:r>
      <w:r w:rsidRPr="00B033A8">
        <w:rPr>
          <w:rFonts w:eastAsia="Times New Roman" w:cs="Times New Roman"/>
          <w:b/>
          <w:bCs/>
          <w:szCs w:val="20"/>
          <w:lang w:eastAsia="es-CO"/>
        </w:rPr>
        <w:t>ARTICULO 47. ACUERDOS CONTRARIOS A LA LIBRE COMPETENCIA</w:t>
      </w:r>
      <w:r w:rsidRPr="00B033A8">
        <w:rPr>
          <w:rFonts w:eastAsia="Times New Roman" w:cs="Times New Roman"/>
          <w:szCs w:val="20"/>
          <w:lang w:eastAsia="es-CO"/>
        </w:rPr>
        <w:t>. Para el cumplimiento de las funciones a que se refiere el artículo 44 del presente Decreto se consideran contrarios a la libre competencia, entre otros, los siguientes acuerdos:</w:t>
      </w:r>
    </w:p>
    <w:p w14:paraId="60D06464" w14:textId="77777777" w:rsidR="009D4AA7" w:rsidRPr="00B033A8" w:rsidRDefault="009D4AA7" w:rsidP="00776641">
      <w:pPr>
        <w:ind w:left="737" w:right="454"/>
        <w:rPr>
          <w:rFonts w:eastAsia="Times New Roman" w:cs="Times New Roman"/>
          <w:szCs w:val="20"/>
          <w:lang w:eastAsia="es-CO"/>
        </w:rPr>
      </w:pPr>
    </w:p>
    <w:p w14:paraId="35A8399A" w14:textId="77777777" w:rsidR="009D4AA7" w:rsidRPr="00B033A8" w:rsidRDefault="009D4AA7" w:rsidP="00776641">
      <w:pPr>
        <w:ind w:left="737" w:right="454"/>
        <w:rPr>
          <w:rFonts w:eastAsia="Times New Roman" w:cs="Times New Roman"/>
          <w:szCs w:val="20"/>
          <w:lang w:eastAsia="es-CO"/>
        </w:rPr>
      </w:pPr>
      <w:r w:rsidRPr="00B033A8">
        <w:rPr>
          <w:rFonts w:eastAsia="Times New Roman" w:cs="Times New Roman"/>
          <w:szCs w:val="20"/>
          <w:lang w:eastAsia="es-CO"/>
        </w:rPr>
        <w:t>1. Los que tengan por objeto o tengan como efecto la fijación directa o indirecta de precios.</w:t>
      </w:r>
    </w:p>
    <w:p w14:paraId="11B6AAA8" w14:textId="77777777" w:rsidR="009D4AA7" w:rsidRPr="00B033A8" w:rsidRDefault="009D4AA7" w:rsidP="00776641">
      <w:pPr>
        <w:ind w:left="737" w:right="454"/>
        <w:rPr>
          <w:rFonts w:eastAsia="Times New Roman" w:cs="Times New Roman"/>
          <w:szCs w:val="20"/>
          <w:lang w:eastAsia="es-CO"/>
        </w:rPr>
      </w:pPr>
      <w:r w:rsidRPr="00B033A8">
        <w:rPr>
          <w:rFonts w:eastAsia="Times New Roman" w:cs="Times New Roman"/>
          <w:szCs w:val="20"/>
          <w:lang w:eastAsia="es-CO"/>
        </w:rPr>
        <w:t>2. Los que tengan por objeto o tengan como efecto determinar condiciones de venta o comercialización discriminatoria para con terceros.</w:t>
      </w:r>
    </w:p>
    <w:p w14:paraId="27BD9D1D" w14:textId="77777777" w:rsidR="009D4AA7" w:rsidRPr="00B033A8" w:rsidRDefault="009D4AA7" w:rsidP="00776641">
      <w:pPr>
        <w:ind w:left="737" w:right="454"/>
        <w:rPr>
          <w:rFonts w:eastAsia="Times New Roman" w:cs="Times New Roman"/>
          <w:szCs w:val="20"/>
          <w:lang w:eastAsia="es-CO"/>
        </w:rPr>
      </w:pPr>
      <w:r w:rsidRPr="00B033A8">
        <w:rPr>
          <w:rFonts w:eastAsia="Times New Roman" w:cs="Times New Roman"/>
          <w:szCs w:val="20"/>
          <w:lang w:eastAsia="es-CO"/>
        </w:rPr>
        <w:t>3. Los que tengan por objeto o tengan como efecto la repartición de mercados entre productores o entre distribuidores.</w:t>
      </w:r>
    </w:p>
    <w:p w14:paraId="30413036" w14:textId="77777777" w:rsidR="009D4AA7" w:rsidRPr="00B033A8" w:rsidRDefault="009D4AA7" w:rsidP="00776641">
      <w:pPr>
        <w:ind w:left="737" w:right="454"/>
        <w:rPr>
          <w:rFonts w:eastAsia="Times New Roman" w:cs="Times New Roman"/>
          <w:szCs w:val="20"/>
          <w:lang w:eastAsia="es-CO"/>
        </w:rPr>
      </w:pPr>
      <w:r w:rsidRPr="00B033A8">
        <w:rPr>
          <w:rFonts w:eastAsia="Times New Roman" w:cs="Times New Roman"/>
          <w:szCs w:val="20"/>
          <w:lang w:eastAsia="es-CO"/>
        </w:rPr>
        <w:t>4. Los que tengan por objeto o tengan como efecto la asignación de cuotas de producción o de suministro.</w:t>
      </w:r>
    </w:p>
    <w:p w14:paraId="4FE356D1" w14:textId="77777777" w:rsidR="009D4AA7" w:rsidRPr="00B033A8" w:rsidRDefault="009D4AA7" w:rsidP="00776641">
      <w:pPr>
        <w:ind w:left="737" w:right="454"/>
        <w:rPr>
          <w:rFonts w:eastAsia="Times New Roman" w:cs="Times New Roman"/>
          <w:szCs w:val="20"/>
          <w:lang w:eastAsia="es-CO"/>
        </w:rPr>
      </w:pPr>
      <w:r w:rsidRPr="00B033A8">
        <w:rPr>
          <w:rFonts w:eastAsia="Times New Roman" w:cs="Times New Roman"/>
          <w:szCs w:val="20"/>
          <w:lang w:eastAsia="es-CO"/>
        </w:rPr>
        <w:t>5. Los que tengan por objeto o tengan como efecto la asignación, repartición o limitación de fuentes de abastecimiento de insumos productivos.</w:t>
      </w:r>
    </w:p>
    <w:p w14:paraId="5F86698A" w14:textId="77777777" w:rsidR="009D4AA7" w:rsidRPr="00B033A8" w:rsidRDefault="009D4AA7" w:rsidP="00776641">
      <w:pPr>
        <w:ind w:left="737" w:right="454"/>
        <w:rPr>
          <w:rFonts w:eastAsia="Times New Roman" w:cs="Times New Roman"/>
          <w:szCs w:val="20"/>
          <w:lang w:eastAsia="es-CO"/>
        </w:rPr>
      </w:pPr>
      <w:r w:rsidRPr="00B033A8">
        <w:rPr>
          <w:rFonts w:eastAsia="Times New Roman" w:cs="Times New Roman"/>
          <w:szCs w:val="20"/>
          <w:lang w:eastAsia="es-CO"/>
        </w:rPr>
        <w:t>6. Los que tengan por objeto o tengan como efecto la limitación a los desarrollos técnicos.</w:t>
      </w:r>
    </w:p>
    <w:p w14:paraId="428BB643" w14:textId="77777777" w:rsidR="009D4AA7" w:rsidRPr="00B033A8" w:rsidRDefault="009D4AA7" w:rsidP="00776641">
      <w:pPr>
        <w:ind w:left="737" w:right="454"/>
        <w:rPr>
          <w:rFonts w:eastAsia="Times New Roman" w:cs="Times New Roman"/>
          <w:szCs w:val="20"/>
          <w:lang w:eastAsia="es-CO"/>
        </w:rPr>
      </w:pPr>
      <w:r w:rsidRPr="00B033A8">
        <w:rPr>
          <w:rFonts w:eastAsia="Times New Roman" w:cs="Times New Roman"/>
          <w:szCs w:val="20"/>
          <w:lang w:eastAsia="es-CO"/>
        </w:rPr>
        <w:t>7. Los que tengan por objeto o tengan como efecto subordinar el suministro de un producto a la aceptación de obligaciones adicionales que por su naturaleza no constituían el objeto del negocio, sin perjuicio de lo establecido en otras disposiciones.</w:t>
      </w:r>
    </w:p>
    <w:p w14:paraId="04DC0E19" w14:textId="77777777" w:rsidR="009D4AA7" w:rsidRPr="00B033A8" w:rsidRDefault="009D4AA7" w:rsidP="00776641">
      <w:pPr>
        <w:ind w:left="737" w:right="454"/>
        <w:rPr>
          <w:rFonts w:eastAsia="Times New Roman" w:cs="Times New Roman"/>
          <w:szCs w:val="20"/>
          <w:lang w:eastAsia="es-CO"/>
        </w:rPr>
      </w:pPr>
      <w:r w:rsidRPr="00B033A8">
        <w:rPr>
          <w:rFonts w:eastAsia="Times New Roman" w:cs="Times New Roman"/>
          <w:szCs w:val="20"/>
          <w:lang w:eastAsia="es-CO"/>
        </w:rPr>
        <w:t>8. Los que tengan por objeto o tengan como efecto abstenerse de producir un bien o servicio o afectar sus niveles de producción.</w:t>
      </w:r>
    </w:p>
    <w:p w14:paraId="09157BD3" w14:textId="77777777" w:rsidR="009D4AA7" w:rsidRPr="00B033A8" w:rsidRDefault="009D4AA7" w:rsidP="00776641">
      <w:pPr>
        <w:ind w:left="737" w:right="454"/>
        <w:rPr>
          <w:rFonts w:eastAsia="Times New Roman" w:cs="Times New Roman"/>
          <w:szCs w:val="20"/>
          <w:lang w:eastAsia="es-CO"/>
        </w:rPr>
      </w:pPr>
      <w:r w:rsidRPr="00B033A8">
        <w:rPr>
          <w:rFonts w:eastAsia="Times New Roman" w:cs="Times New Roman"/>
          <w:szCs w:val="20"/>
          <w:lang w:eastAsia="es-CO"/>
        </w:rPr>
        <w:t xml:space="preserve">9. </w:t>
      </w:r>
      <w:r w:rsidRPr="00B033A8">
        <w:rPr>
          <w:rFonts w:eastAsia="Times New Roman" w:cs="Times New Roman"/>
          <w:b/>
          <w:bCs/>
          <w:szCs w:val="20"/>
          <w:u w:val="single"/>
          <w:lang w:eastAsia="es-CO"/>
        </w:rPr>
        <w:t>Los que tengan por objeto la colusión en las licitaciones o concursos o los que tengan como efecto la distribución de adjudicaciones de contratos, distribución de concursos o fijación de términos de las propuestas</w:t>
      </w:r>
      <w:r w:rsidRPr="00B033A8">
        <w:rPr>
          <w:rFonts w:eastAsia="Times New Roman" w:cs="Times New Roman"/>
          <w:szCs w:val="20"/>
          <w:lang w:eastAsia="es-CO"/>
        </w:rPr>
        <w:t xml:space="preserve"> (subrayado fuera del texto).</w:t>
      </w:r>
    </w:p>
    <w:p w14:paraId="183BFD9C" w14:textId="6ED94607" w:rsidR="009D4AA7" w:rsidRPr="00B033A8" w:rsidRDefault="009D4AA7" w:rsidP="00776641">
      <w:pPr>
        <w:ind w:left="737" w:right="454"/>
        <w:rPr>
          <w:rFonts w:eastAsia="Times New Roman" w:cs="Times New Roman"/>
          <w:szCs w:val="20"/>
          <w:lang w:eastAsia="es-CO"/>
        </w:rPr>
      </w:pPr>
      <w:r w:rsidRPr="00B033A8">
        <w:rPr>
          <w:rFonts w:eastAsia="Times New Roman" w:cs="Times New Roman"/>
          <w:szCs w:val="20"/>
          <w:lang w:eastAsia="es-CO"/>
        </w:rPr>
        <w:t>10. &lt;Numeral adicionado por el artículo </w:t>
      </w:r>
      <w:hyperlink r:id="rId11" w:anchor="16" w:history="1">
        <w:r w:rsidRPr="00B033A8">
          <w:rPr>
            <w:rFonts w:eastAsia="Times New Roman" w:cs="Times New Roman"/>
            <w:szCs w:val="20"/>
            <w:u w:val="single"/>
            <w:lang w:eastAsia="es-CO"/>
          </w:rPr>
          <w:t>16</w:t>
        </w:r>
      </w:hyperlink>
      <w:r w:rsidRPr="00B033A8">
        <w:rPr>
          <w:rFonts w:eastAsia="Times New Roman" w:cs="Times New Roman"/>
          <w:szCs w:val="20"/>
          <w:lang w:eastAsia="es-CO"/>
        </w:rPr>
        <w:t xml:space="preserve"> de la Ley 590 de 2000. El nuevo texto es el siguiente:&gt; Los que tengan por objeto o tengan </w:t>
      </w:r>
      <w:r w:rsidRPr="00B033A8">
        <w:rPr>
          <w:rFonts w:eastAsia="Times New Roman" w:cs="Times New Roman"/>
          <w:szCs w:val="20"/>
          <w:lang w:eastAsia="es-CO"/>
        </w:rPr>
        <w:lastRenderedPageBreak/>
        <w:t>como efecto impedir a terceros el acceso a los mercados o a los canales de comercialización.</w:t>
      </w:r>
    </w:p>
    <w:p w14:paraId="507D06BD" w14:textId="77777777" w:rsidR="009D4AA7" w:rsidRPr="00B033A8" w:rsidRDefault="009D4AA7" w:rsidP="00776641">
      <w:pPr>
        <w:rPr>
          <w:rFonts w:cs="Times New Roman"/>
          <w:color w:val="000000" w:themeColor="text1"/>
        </w:rPr>
      </w:pPr>
    </w:p>
    <w:p w14:paraId="67785BEC" w14:textId="3298FE0C" w:rsidR="009D4AA7" w:rsidRPr="00B033A8" w:rsidRDefault="009D4AA7"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 xml:space="preserve">La Sala Plena advierte y reconoce que el artículo 47 prevé múltiples tipos de acuerdos que se consideran contrarios a la libre competencia. Los acuerdos restrictivos de la competencia en procesos de contratación pública, que están prohibidos en el numeral 9º, son apenas </w:t>
      </w:r>
      <w:r w:rsidR="007B1519" w:rsidRPr="00B033A8">
        <w:rPr>
          <w:rFonts w:cs="Times New Roman"/>
          <w:color w:val="000000" w:themeColor="text1"/>
        </w:rPr>
        <w:t>un tipo</w:t>
      </w:r>
      <w:r w:rsidRPr="00B033A8">
        <w:rPr>
          <w:rFonts w:cs="Times New Roman"/>
          <w:color w:val="000000" w:themeColor="text1"/>
        </w:rPr>
        <w:t xml:space="preserve"> de acuerdo anticompetitivo.</w:t>
      </w:r>
      <w:r w:rsidR="00C73211" w:rsidRPr="00B033A8">
        <w:rPr>
          <w:rFonts w:cs="Times New Roman"/>
          <w:color w:val="000000" w:themeColor="text1"/>
        </w:rPr>
        <w:t xml:space="preserve"> Asimismo, la Sala Plena </w:t>
      </w:r>
      <w:r w:rsidR="00E0144A" w:rsidRPr="00B033A8">
        <w:rPr>
          <w:rFonts w:cs="Times New Roman"/>
          <w:color w:val="000000" w:themeColor="text1"/>
        </w:rPr>
        <w:t xml:space="preserve">observa </w:t>
      </w:r>
      <w:r w:rsidR="00C73211" w:rsidRPr="00B033A8">
        <w:rPr>
          <w:rFonts w:cs="Times New Roman"/>
          <w:color w:val="000000" w:themeColor="text1"/>
        </w:rPr>
        <w:t>que el numeral 9</w:t>
      </w:r>
      <w:r w:rsidR="00410A35" w:rsidRPr="00B033A8">
        <w:rPr>
          <w:rFonts w:cs="Times New Roman"/>
          <w:color w:val="000000" w:themeColor="text1"/>
        </w:rPr>
        <w:t>°</w:t>
      </w:r>
      <w:r w:rsidR="00C73211" w:rsidRPr="00B033A8">
        <w:rPr>
          <w:rFonts w:cs="Times New Roman"/>
          <w:color w:val="000000" w:themeColor="text1"/>
        </w:rPr>
        <w:t xml:space="preserve"> del artículo 47 prohíbe los acuerdos restrictivos de la competencia en procesos de contratación privada</w:t>
      </w:r>
      <w:r w:rsidR="007B1519" w:rsidRPr="00B033A8">
        <w:rPr>
          <w:rFonts w:cs="Times New Roman"/>
          <w:color w:val="000000" w:themeColor="text1"/>
        </w:rPr>
        <w:t xml:space="preserve"> y pública</w:t>
      </w:r>
      <w:r w:rsidR="00C73211" w:rsidRPr="00B033A8">
        <w:rPr>
          <w:rFonts w:cs="Times New Roman"/>
          <w:color w:val="000000" w:themeColor="text1"/>
        </w:rPr>
        <w:t xml:space="preserve">. </w:t>
      </w:r>
      <w:r w:rsidRPr="00B033A8">
        <w:rPr>
          <w:rFonts w:cs="Times New Roman"/>
          <w:color w:val="000000" w:themeColor="text1"/>
        </w:rPr>
        <w:t xml:space="preserve">Sin embargo, </w:t>
      </w:r>
      <w:r w:rsidR="00C73211" w:rsidRPr="00B033A8">
        <w:rPr>
          <w:rFonts w:cs="Times New Roman"/>
          <w:color w:val="000000" w:themeColor="text1"/>
        </w:rPr>
        <w:t xml:space="preserve">contrario a los sostenido por el demandante, </w:t>
      </w:r>
      <w:r w:rsidRPr="00B033A8">
        <w:rPr>
          <w:rFonts w:cs="Times New Roman"/>
          <w:color w:val="000000" w:themeColor="text1"/>
        </w:rPr>
        <w:t>la Sala Plena considera que esto no implica que</w:t>
      </w:r>
      <w:r w:rsidR="00C73211" w:rsidRPr="00B033A8">
        <w:rPr>
          <w:rFonts w:cs="Times New Roman"/>
          <w:color w:val="000000" w:themeColor="text1"/>
        </w:rPr>
        <w:t xml:space="preserve"> </w:t>
      </w:r>
      <w:r w:rsidRPr="00B033A8">
        <w:rPr>
          <w:rFonts w:cs="Times New Roman"/>
          <w:color w:val="000000" w:themeColor="text1"/>
        </w:rPr>
        <w:t>el artículo 410A del Código Penal prev</w:t>
      </w:r>
      <w:r w:rsidR="00C73211" w:rsidRPr="00B033A8">
        <w:rPr>
          <w:rFonts w:cs="Times New Roman"/>
          <w:color w:val="000000" w:themeColor="text1"/>
        </w:rPr>
        <w:t>ea</w:t>
      </w:r>
      <w:r w:rsidRPr="00B033A8">
        <w:rPr>
          <w:rFonts w:cs="Times New Roman"/>
          <w:color w:val="000000" w:themeColor="text1"/>
        </w:rPr>
        <w:t xml:space="preserve"> un reenvío al artículo 47 en general</w:t>
      </w:r>
      <w:r w:rsidR="00C73211" w:rsidRPr="00B033A8">
        <w:rPr>
          <w:rFonts w:cs="Times New Roman"/>
          <w:color w:val="000000" w:themeColor="text1"/>
        </w:rPr>
        <w:t xml:space="preserve"> y, por lo tanto, sancione penalmente cualquier tipo de acuerdo anticompetitivo.</w:t>
      </w:r>
      <w:r w:rsidRPr="00B033A8">
        <w:rPr>
          <w:rFonts w:cs="Times New Roman"/>
          <w:color w:val="000000" w:themeColor="text1"/>
        </w:rPr>
        <w:t xml:space="preserve"> En criterio de la </w:t>
      </w:r>
      <w:r w:rsidR="00835CEF" w:rsidRPr="00B033A8">
        <w:rPr>
          <w:rFonts w:cs="Times New Roman"/>
          <w:color w:val="000000" w:themeColor="text1"/>
        </w:rPr>
        <w:t>Corte</w:t>
      </w:r>
      <w:r w:rsidRPr="00B033A8">
        <w:rPr>
          <w:rFonts w:cs="Times New Roman"/>
          <w:color w:val="000000" w:themeColor="text1"/>
        </w:rPr>
        <w:t xml:space="preserve">, una lectura sistemática del tipo penal permite concluir que el artículo 410A del Código Penal </w:t>
      </w:r>
      <w:r w:rsidR="004D1079" w:rsidRPr="00B033A8">
        <w:rPr>
          <w:rFonts w:cs="Times New Roman"/>
          <w:color w:val="000000" w:themeColor="text1"/>
        </w:rPr>
        <w:t>se integra, exclusivamente, con el</w:t>
      </w:r>
      <w:r w:rsidRPr="00B033A8">
        <w:rPr>
          <w:rFonts w:cs="Times New Roman"/>
          <w:color w:val="000000" w:themeColor="text1"/>
        </w:rPr>
        <w:t xml:space="preserve"> artículo 47.9 del Decreto 2153 de 1992</w:t>
      </w:r>
      <w:r w:rsidR="00B43DA4" w:rsidRPr="00B033A8">
        <w:rPr>
          <w:rFonts w:cs="Times New Roman"/>
          <w:color w:val="000000" w:themeColor="text1"/>
        </w:rPr>
        <w:t xml:space="preserve">, que prevé una prohibición de los acuerdos restrictivos de la competencia en procesos de contratación </w:t>
      </w:r>
      <w:r w:rsidR="00B43DA4" w:rsidRPr="00B033A8">
        <w:rPr>
          <w:rFonts w:cs="Times New Roman"/>
          <w:i/>
          <w:iCs/>
          <w:color w:val="000000" w:themeColor="text1"/>
        </w:rPr>
        <w:t>pública</w:t>
      </w:r>
      <w:r w:rsidRPr="00B033A8">
        <w:rPr>
          <w:rFonts w:cs="Times New Roman"/>
          <w:color w:val="000000" w:themeColor="text1"/>
        </w:rPr>
        <w:t>. Esto</w:t>
      </w:r>
      <w:r w:rsidR="00835CEF" w:rsidRPr="00B033A8">
        <w:rPr>
          <w:rFonts w:cs="Times New Roman"/>
          <w:color w:val="000000" w:themeColor="text1"/>
        </w:rPr>
        <w:t xml:space="preserve"> porque:</w:t>
      </w:r>
    </w:p>
    <w:p w14:paraId="0F6B4FB8" w14:textId="77777777" w:rsidR="009D4AA7" w:rsidRPr="00B033A8" w:rsidRDefault="009D4AA7" w:rsidP="00776641">
      <w:pPr>
        <w:tabs>
          <w:tab w:val="left" w:pos="851"/>
        </w:tabs>
        <w:rPr>
          <w:rFonts w:cs="Times New Roman"/>
          <w:color w:val="000000" w:themeColor="text1"/>
        </w:rPr>
      </w:pPr>
    </w:p>
    <w:p w14:paraId="22DDF74C" w14:textId="4ECC7185" w:rsidR="009D4AA7" w:rsidRPr="00B033A8" w:rsidRDefault="009D4AA7" w:rsidP="00776641">
      <w:pPr>
        <w:pStyle w:val="Prrafodelista"/>
        <w:numPr>
          <w:ilvl w:val="0"/>
          <w:numId w:val="16"/>
        </w:numPr>
        <w:tabs>
          <w:tab w:val="left" w:pos="993"/>
        </w:tabs>
        <w:spacing w:line="240" w:lineRule="auto"/>
        <w:ind w:left="851" w:hanging="357"/>
        <w:rPr>
          <w:color w:val="000000" w:themeColor="text1"/>
        </w:rPr>
      </w:pPr>
      <w:r w:rsidRPr="00B033A8">
        <w:rPr>
          <w:color w:val="000000" w:themeColor="text1"/>
        </w:rPr>
        <w:t>Los acuerdos restrictivos a la competencia que están listados en los numeral</w:t>
      </w:r>
      <w:r w:rsidR="004617A6" w:rsidRPr="00B033A8">
        <w:rPr>
          <w:color w:val="000000" w:themeColor="text1"/>
        </w:rPr>
        <w:t>es</w:t>
      </w:r>
      <w:r w:rsidRPr="00B033A8">
        <w:rPr>
          <w:color w:val="000000" w:themeColor="text1"/>
        </w:rPr>
        <w:t xml:space="preserve"> 1º-8º y 10º no tienen lugar en el marco de procesos de contratación. El numeral 9º del artículo 47 </w:t>
      </w:r>
      <w:r w:rsidR="007B1519" w:rsidRPr="00B033A8">
        <w:rPr>
          <w:color w:val="000000" w:themeColor="text1"/>
        </w:rPr>
        <w:t xml:space="preserve">del Decreto 2153 de 1992 </w:t>
      </w:r>
      <w:r w:rsidRPr="00B033A8">
        <w:rPr>
          <w:color w:val="000000" w:themeColor="text1"/>
        </w:rPr>
        <w:t xml:space="preserve">es el único numeral que se refiere a acuerdos restrictivos </w:t>
      </w:r>
      <w:r w:rsidR="00BC25EE" w:rsidRPr="00B033A8">
        <w:rPr>
          <w:color w:val="000000" w:themeColor="text1"/>
        </w:rPr>
        <w:t xml:space="preserve">de la competencia </w:t>
      </w:r>
      <w:r w:rsidRPr="00B033A8">
        <w:rPr>
          <w:color w:val="000000" w:themeColor="text1"/>
        </w:rPr>
        <w:t xml:space="preserve">en el marco de procesos de contratación. </w:t>
      </w:r>
    </w:p>
    <w:p w14:paraId="43BB72EE" w14:textId="2EFE9265" w:rsidR="00D85242" w:rsidRPr="00B033A8" w:rsidRDefault="009D4AA7" w:rsidP="00776641">
      <w:pPr>
        <w:pStyle w:val="Prrafodelista"/>
        <w:numPr>
          <w:ilvl w:val="0"/>
          <w:numId w:val="16"/>
        </w:numPr>
        <w:tabs>
          <w:tab w:val="left" w:pos="993"/>
        </w:tabs>
        <w:spacing w:line="240" w:lineRule="auto"/>
        <w:ind w:left="851" w:hanging="357"/>
        <w:rPr>
          <w:color w:val="000000" w:themeColor="text1"/>
        </w:rPr>
      </w:pPr>
      <w:r w:rsidRPr="00B033A8">
        <w:rPr>
          <w:color w:val="auto"/>
        </w:rPr>
        <w:t xml:space="preserve">El inciso 1º del artículo 410A del Código Penal sanciona, exclusivamente, la concertación que tenga la finalidad de alterar ilícitamente procesos de contratación </w:t>
      </w:r>
      <w:r w:rsidRPr="00B033A8">
        <w:rPr>
          <w:i/>
          <w:iCs/>
          <w:color w:val="auto"/>
        </w:rPr>
        <w:t>pública</w:t>
      </w:r>
      <w:r w:rsidRPr="00B033A8">
        <w:rPr>
          <w:color w:val="auto"/>
        </w:rPr>
        <w:t>, a saber: la licitación pública, subasta pública, selección abreviada o concurso. Estas modalidades de contratación estatal están definidas en el artículo 2º de la Ley 1150 de 20</w:t>
      </w:r>
      <w:r w:rsidR="004D1079" w:rsidRPr="00B033A8">
        <w:rPr>
          <w:color w:val="auto"/>
        </w:rPr>
        <w:t>07</w:t>
      </w:r>
      <w:r w:rsidR="00C73211" w:rsidRPr="00B033A8">
        <w:rPr>
          <w:color w:val="auto"/>
        </w:rPr>
        <w:t xml:space="preserve"> “[p]</w:t>
      </w:r>
      <w:proofErr w:type="spellStart"/>
      <w:r w:rsidR="00C73211" w:rsidRPr="00B033A8">
        <w:rPr>
          <w:color w:val="auto"/>
        </w:rPr>
        <w:t>or</w:t>
      </w:r>
      <w:proofErr w:type="spellEnd"/>
      <w:r w:rsidR="00C73211" w:rsidRPr="00B033A8">
        <w:rPr>
          <w:color w:val="auto"/>
        </w:rPr>
        <w:t xml:space="preserve"> medio de la cual se introducen medidas para la eficiencia y la transparencia en la Ley </w:t>
      </w:r>
      <w:hyperlink r:id="rId12" w:anchor="1" w:history="1">
        <w:r w:rsidR="00C73211" w:rsidRPr="00B033A8">
          <w:rPr>
            <w:rStyle w:val="Hipervnculo"/>
            <w:color w:val="auto"/>
            <w:u w:val="none"/>
          </w:rPr>
          <w:t>80</w:t>
        </w:r>
      </w:hyperlink>
      <w:r w:rsidR="00C73211" w:rsidRPr="00B033A8">
        <w:rPr>
          <w:color w:val="auto"/>
        </w:rPr>
        <w:t> de 1993 y se dictan otras disposiciones generales sobre la contratación con Recursos Públicos”.</w:t>
      </w:r>
      <w:r w:rsidR="00693ED1" w:rsidRPr="00B033A8">
        <w:rPr>
          <w:color w:val="auto"/>
        </w:rPr>
        <w:t xml:space="preserve"> La definición y reglas aplicables a estas modalidades de contratación estatal son referentes normativos ineludibles para delimitar el alcance de la conducta punible.   </w:t>
      </w:r>
    </w:p>
    <w:p w14:paraId="3271EBD4" w14:textId="1506B12F" w:rsidR="008B6ABC" w:rsidRPr="00B033A8" w:rsidRDefault="008B6ABC" w:rsidP="00776641">
      <w:pPr>
        <w:pStyle w:val="Prrafodelista"/>
        <w:numPr>
          <w:ilvl w:val="0"/>
          <w:numId w:val="16"/>
        </w:numPr>
        <w:tabs>
          <w:tab w:val="left" w:pos="993"/>
        </w:tabs>
        <w:spacing w:line="240" w:lineRule="auto"/>
        <w:ind w:left="851" w:hanging="357"/>
        <w:rPr>
          <w:color w:val="000000" w:themeColor="text1"/>
        </w:rPr>
      </w:pPr>
      <w:r w:rsidRPr="00B033A8">
        <w:rPr>
          <w:color w:val="auto"/>
        </w:rPr>
        <w:t xml:space="preserve">El principio de legalidad estricta o tipicidad exige interpretar los tipos penales de forma restrictiva. </w:t>
      </w:r>
    </w:p>
    <w:p w14:paraId="2ACCFE83" w14:textId="77777777" w:rsidR="00D85242" w:rsidRPr="00B033A8" w:rsidRDefault="00D85242" w:rsidP="00776641">
      <w:pPr>
        <w:tabs>
          <w:tab w:val="left" w:pos="993"/>
        </w:tabs>
        <w:rPr>
          <w:rFonts w:cs="Times New Roman"/>
        </w:rPr>
      </w:pPr>
    </w:p>
    <w:p w14:paraId="348EFC7F" w14:textId="49290F9E" w:rsidR="009B69EA" w:rsidRPr="00B033A8" w:rsidRDefault="00D85242" w:rsidP="00776641">
      <w:pPr>
        <w:numPr>
          <w:ilvl w:val="0"/>
          <w:numId w:val="12"/>
        </w:numPr>
        <w:tabs>
          <w:tab w:val="left" w:pos="851"/>
        </w:tabs>
        <w:ind w:left="0" w:firstLine="0"/>
        <w:rPr>
          <w:rFonts w:cs="Times New Roman"/>
          <w:color w:val="000000" w:themeColor="text1"/>
        </w:rPr>
      </w:pPr>
      <w:r w:rsidRPr="00B033A8">
        <w:rPr>
          <w:rFonts w:cs="Times New Roman"/>
        </w:rPr>
        <w:t xml:space="preserve">En tales términos, </w:t>
      </w:r>
      <w:r w:rsidR="007B1519" w:rsidRPr="00B033A8">
        <w:rPr>
          <w:rFonts w:cs="Times New Roman"/>
        </w:rPr>
        <w:t xml:space="preserve">la Corte encuentra que </w:t>
      </w:r>
      <w:r w:rsidRPr="00B033A8">
        <w:rPr>
          <w:rFonts w:cs="Times New Roman"/>
        </w:rPr>
        <w:t xml:space="preserve">la interpretación </w:t>
      </w:r>
      <w:r w:rsidR="00F5054E" w:rsidRPr="00B033A8">
        <w:rPr>
          <w:rFonts w:cs="Times New Roman"/>
        </w:rPr>
        <w:t>conjunta</w:t>
      </w:r>
      <w:r w:rsidRPr="00B033A8">
        <w:rPr>
          <w:rFonts w:cs="Times New Roman"/>
        </w:rPr>
        <w:t xml:space="preserve"> del </w:t>
      </w:r>
      <w:proofErr w:type="spellStart"/>
      <w:r w:rsidR="00F5054E" w:rsidRPr="00B033A8">
        <w:rPr>
          <w:rFonts w:cs="Times New Roman"/>
          <w:i/>
          <w:iCs/>
        </w:rPr>
        <w:t>nomen</w:t>
      </w:r>
      <w:proofErr w:type="spellEnd"/>
      <w:r w:rsidR="00F5054E" w:rsidRPr="00B033A8">
        <w:rPr>
          <w:rFonts w:cs="Times New Roman"/>
          <w:i/>
          <w:iCs/>
        </w:rPr>
        <w:t xml:space="preserve"> iuris</w:t>
      </w:r>
      <w:r w:rsidR="00F5054E" w:rsidRPr="00B033A8">
        <w:rPr>
          <w:rFonts w:cs="Times New Roman"/>
        </w:rPr>
        <w:t xml:space="preserve"> y el inciso 1º del artículo </w:t>
      </w:r>
      <w:r w:rsidRPr="00B033A8">
        <w:rPr>
          <w:rFonts w:cs="Times New Roman"/>
        </w:rPr>
        <w:t xml:space="preserve">410A </w:t>
      </w:r>
      <w:r w:rsidR="00B438CE" w:rsidRPr="00B033A8">
        <w:rPr>
          <w:rFonts w:cs="Times New Roman"/>
        </w:rPr>
        <w:t xml:space="preserve">del Código Penal </w:t>
      </w:r>
      <w:r w:rsidRPr="00B033A8">
        <w:rPr>
          <w:rFonts w:cs="Times New Roman"/>
        </w:rPr>
        <w:t>permite concluir que</w:t>
      </w:r>
      <w:r w:rsidR="00B438CE" w:rsidRPr="00B033A8">
        <w:rPr>
          <w:rFonts w:cs="Times New Roman"/>
        </w:rPr>
        <w:t xml:space="preserve"> </w:t>
      </w:r>
      <w:r w:rsidRPr="00B033A8">
        <w:rPr>
          <w:rFonts w:cs="Times New Roman"/>
        </w:rPr>
        <w:t xml:space="preserve">el tipo penal </w:t>
      </w:r>
      <w:r w:rsidR="00E6131E" w:rsidRPr="00B033A8">
        <w:rPr>
          <w:rFonts w:cs="Times New Roman"/>
        </w:rPr>
        <w:t xml:space="preserve">se integra, exclusivamente, con el artículo 47.9 del </w:t>
      </w:r>
      <w:r w:rsidR="00F5054E" w:rsidRPr="00B033A8">
        <w:rPr>
          <w:rFonts w:cs="Times New Roman"/>
        </w:rPr>
        <w:t>Decreto 2153 de 1992</w:t>
      </w:r>
      <w:r w:rsidR="007B73D5" w:rsidRPr="00B033A8">
        <w:rPr>
          <w:rFonts w:cs="Times New Roman"/>
        </w:rPr>
        <w:t xml:space="preserve">, </w:t>
      </w:r>
      <w:r w:rsidR="00E6131E" w:rsidRPr="00B033A8">
        <w:rPr>
          <w:rFonts w:cs="Times New Roman"/>
        </w:rPr>
        <w:t>el cual prohíbe</w:t>
      </w:r>
      <w:r w:rsidRPr="00B033A8">
        <w:rPr>
          <w:rFonts w:cs="Times New Roman"/>
        </w:rPr>
        <w:t xml:space="preserve"> los acuerdos restrictivos de la competencia en procesos de contratación pública. </w:t>
      </w:r>
    </w:p>
    <w:p w14:paraId="18DBC9B0" w14:textId="77777777" w:rsidR="00835CEF" w:rsidRPr="00B033A8" w:rsidRDefault="00835CEF" w:rsidP="00776641">
      <w:pPr>
        <w:pStyle w:val="Prrafodelista"/>
        <w:tabs>
          <w:tab w:val="left" w:pos="993"/>
        </w:tabs>
        <w:spacing w:line="240" w:lineRule="auto"/>
        <w:ind w:left="851"/>
        <w:rPr>
          <w:color w:val="000000" w:themeColor="text1"/>
        </w:rPr>
      </w:pPr>
    </w:p>
    <w:p w14:paraId="221E01C8" w14:textId="156369CE" w:rsidR="00F17D7D" w:rsidRPr="00B033A8" w:rsidRDefault="009B69EA"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 xml:space="preserve">(b) </w:t>
      </w:r>
      <w:r w:rsidR="00F17D7D" w:rsidRPr="00B033A8">
        <w:rPr>
          <w:rFonts w:cs="Times New Roman"/>
          <w:color w:val="000000" w:themeColor="text1"/>
        </w:rPr>
        <w:t xml:space="preserve">El parágrafo del artículo 410A del Código Penal establece un beneficio de reducción de la pena a la persona que “en su condición de delator o clemente mediante resolución en firme obtenga exoneración total de la multa a imponer por parte de la Superintendencia de Industria y Comercio en una </w:t>
      </w:r>
      <w:r w:rsidR="00F17D7D" w:rsidRPr="00B033A8">
        <w:rPr>
          <w:rFonts w:cs="Times New Roman"/>
          <w:color w:val="000000" w:themeColor="text1"/>
        </w:rPr>
        <w:lastRenderedPageBreak/>
        <w:t xml:space="preserve">investigación por </w:t>
      </w:r>
      <w:r w:rsidR="00F17D7D" w:rsidRPr="00B033A8">
        <w:rPr>
          <w:rFonts w:cs="Times New Roman"/>
          <w:i/>
          <w:iCs/>
          <w:color w:val="000000" w:themeColor="text1"/>
        </w:rPr>
        <w:t>acuerdos anticompetitivos en un</w:t>
      </w:r>
      <w:r w:rsidR="00F17D7D" w:rsidRPr="00B033A8">
        <w:rPr>
          <w:rFonts w:cs="Times New Roman"/>
          <w:color w:val="000000" w:themeColor="text1"/>
        </w:rPr>
        <w:t xml:space="preserve"> </w:t>
      </w:r>
      <w:r w:rsidR="00F17D7D" w:rsidRPr="00B033A8">
        <w:rPr>
          <w:rFonts w:cs="Times New Roman"/>
          <w:i/>
          <w:iCs/>
          <w:color w:val="000000" w:themeColor="text1"/>
        </w:rPr>
        <w:t>proceso de contratación pública</w:t>
      </w:r>
      <w:r w:rsidR="00F17D7D" w:rsidRPr="00B033A8">
        <w:rPr>
          <w:rFonts w:cs="Times New Roman"/>
          <w:color w:val="000000" w:themeColor="text1"/>
        </w:rPr>
        <w:t xml:space="preserve">”. </w:t>
      </w:r>
      <w:r w:rsidR="00F5054E" w:rsidRPr="00B033A8">
        <w:rPr>
          <w:rFonts w:cs="Times New Roman"/>
          <w:color w:val="000000" w:themeColor="text1"/>
        </w:rPr>
        <w:t xml:space="preserve">En </w:t>
      </w:r>
      <w:r w:rsidR="00142707" w:rsidRPr="00B033A8">
        <w:rPr>
          <w:rFonts w:cs="Times New Roman"/>
          <w:color w:val="000000" w:themeColor="text1"/>
        </w:rPr>
        <w:t>criterio de</w:t>
      </w:r>
      <w:r w:rsidR="00F5054E" w:rsidRPr="00B033A8">
        <w:rPr>
          <w:rFonts w:cs="Times New Roman"/>
          <w:color w:val="000000" w:themeColor="text1"/>
        </w:rPr>
        <w:t xml:space="preserve"> l</w:t>
      </w:r>
      <w:r w:rsidR="00835CEF" w:rsidRPr="00B033A8">
        <w:rPr>
          <w:rFonts w:cs="Times New Roman"/>
          <w:color w:val="000000" w:themeColor="text1"/>
        </w:rPr>
        <w:t>a Sala Plena</w:t>
      </w:r>
      <w:r w:rsidR="00142707" w:rsidRPr="00B033A8">
        <w:rPr>
          <w:rFonts w:cs="Times New Roman"/>
          <w:color w:val="000000" w:themeColor="text1"/>
        </w:rPr>
        <w:t>,</w:t>
      </w:r>
      <w:r w:rsidR="00835CEF" w:rsidRPr="00B033A8">
        <w:rPr>
          <w:rFonts w:cs="Times New Roman"/>
          <w:color w:val="000000" w:themeColor="text1"/>
        </w:rPr>
        <w:t xml:space="preserve"> </w:t>
      </w:r>
      <w:r w:rsidR="00142707" w:rsidRPr="00B033A8">
        <w:rPr>
          <w:rFonts w:cs="Times New Roman"/>
          <w:color w:val="000000" w:themeColor="text1"/>
        </w:rPr>
        <w:t>el</w:t>
      </w:r>
      <w:r w:rsidR="003A5664" w:rsidRPr="00B033A8">
        <w:rPr>
          <w:rFonts w:cs="Times New Roman"/>
          <w:color w:val="000000" w:themeColor="text1"/>
        </w:rPr>
        <w:t xml:space="preserve"> parágrafo </w:t>
      </w:r>
      <w:r w:rsidR="00C73211" w:rsidRPr="00B033A8">
        <w:rPr>
          <w:rFonts w:cs="Times New Roman"/>
          <w:color w:val="000000" w:themeColor="text1"/>
        </w:rPr>
        <w:t>confirma</w:t>
      </w:r>
      <w:r w:rsidR="003A5664" w:rsidRPr="00B033A8">
        <w:rPr>
          <w:rFonts w:cs="Times New Roman"/>
          <w:color w:val="000000" w:themeColor="text1"/>
        </w:rPr>
        <w:t xml:space="preserve">, sin lugar a equívocos, </w:t>
      </w:r>
      <w:r w:rsidR="00BC25EE" w:rsidRPr="00B033A8">
        <w:rPr>
          <w:rFonts w:cs="Times New Roman"/>
          <w:color w:val="000000" w:themeColor="text1"/>
        </w:rPr>
        <w:t xml:space="preserve">que la norma de remisión que debe </w:t>
      </w:r>
      <w:r w:rsidR="00544B01" w:rsidRPr="00B033A8">
        <w:rPr>
          <w:rFonts w:cs="Times New Roman"/>
          <w:color w:val="000000" w:themeColor="text1"/>
        </w:rPr>
        <w:t>integrarse</w:t>
      </w:r>
      <w:r w:rsidR="00BC25EE" w:rsidRPr="00B033A8">
        <w:rPr>
          <w:rFonts w:cs="Times New Roman"/>
          <w:color w:val="000000" w:themeColor="text1"/>
        </w:rPr>
        <w:t xml:space="preserve"> al tipo penal es</w:t>
      </w:r>
      <w:r w:rsidR="009778CB" w:rsidRPr="00B033A8">
        <w:rPr>
          <w:rFonts w:cs="Times New Roman"/>
          <w:color w:val="000000" w:themeColor="text1"/>
        </w:rPr>
        <w:t xml:space="preserve"> </w:t>
      </w:r>
      <w:r w:rsidR="00BC25EE" w:rsidRPr="00B033A8">
        <w:rPr>
          <w:rFonts w:cs="Times New Roman"/>
          <w:color w:val="000000" w:themeColor="text1"/>
        </w:rPr>
        <w:t>e</w:t>
      </w:r>
      <w:r w:rsidR="009778CB" w:rsidRPr="00B033A8">
        <w:rPr>
          <w:rFonts w:cs="Times New Roman"/>
          <w:color w:val="000000" w:themeColor="text1"/>
        </w:rPr>
        <w:t xml:space="preserve">l artículo </w:t>
      </w:r>
      <w:r w:rsidR="00393701" w:rsidRPr="00B033A8">
        <w:rPr>
          <w:rFonts w:cs="Times New Roman"/>
          <w:color w:val="000000" w:themeColor="text1"/>
        </w:rPr>
        <w:t>47.9 del Decreto 2153 de 1992</w:t>
      </w:r>
      <w:r w:rsidR="009778CB" w:rsidRPr="00B033A8">
        <w:rPr>
          <w:rFonts w:cs="Times New Roman"/>
          <w:color w:val="000000" w:themeColor="text1"/>
        </w:rPr>
        <w:t>, el cual prohíbe</w:t>
      </w:r>
      <w:r w:rsidR="007B73D5" w:rsidRPr="00B033A8">
        <w:rPr>
          <w:rFonts w:cs="Times New Roman"/>
          <w:color w:val="000000" w:themeColor="text1"/>
        </w:rPr>
        <w:t>, justamente,</w:t>
      </w:r>
      <w:r w:rsidR="009778CB" w:rsidRPr="00B033A8">
        <w:rPr>
          <w:rFonts w:cs="Times New Roman"/>
          <w:color w:val="000000" w:themeColor="text1"/>
        </w:rPr>
        <w:t xml:space="preserve"> los acuerdos </w:t>
      </w:r>
      <w:r w:rsidR="007B73D5" w:rsidRPr="00B033A8">
        <w:rPr>
          <w:rFonts w:cs="Times New Roman"/>
          <w:color w:val="000000" w:themeColor="text1"/>
        </w:rPr>
        <w:t xml:space="preserve">anticompetitivos </w:t>
      </w:r>
      <w:r w:rsidR="009778CB" w:rsidRPr="00B033A8">
        <w:rPr>
          <w:rFonts w:cs="Times New Roman"/>
          <w:color w:val="000000" w:themeColor="text1"/>
        </w:rPr>
        <w:t xml:space="preserve">en procesos de contratación pública. </w:t>
      </w:r>
    </w:p>
    <w:p w14:paraId="74371B56" w14:textId="77777777" w:rsidR="00F17D7D" w:rsidRPr="00B033A8" w:rsidRDefault="00F17D7D" w:rsidP="00776641">
      <w:pPr>
        <w:rPr>
          <w:rFonts w:cs="Times New Roman"/>
          <w:color w:val="000000" w:themeColor="text1"/>
        </w:rPr>
      </w:pPr>
    </w:p>
    <w:p w14:paraId="70B9E348" w14:textId="1CD9657B" w:rsidR="007B73D5" w:rsidRPr="00B033A8" w:rsidRDefault="00431975"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 xml:space="preserve">(c) Los antecedentes legislativos de la Ley 1474 de 2011 </w:t>
      </w:r>
      <w:r w:rsidR="00142707" w:rsidRPr="00B033A8">
        <w:rPr>
          <w:rFonts w:cs="Times New Roman"/>
          <w:color w:val="000000" w:themeColor="text1"/>
        </w:rPr>
        <w:t xml:space="preserve">demuestran </w:t>
      </w:r>
      <w:r w:rsidRPr="00B033A8">
        <w:rPr>
          <w:rFonts w:cs="Times New Roman"/>
          <w:color w:val="000000" w:themeColor="text1"/>
        </w:rPr>
        <w:t xml:space="preserve">que el legislador estableció el tipo penal con el propósito de sancionar penalmente los acuerdos anticompetitivos en procesos de contratación pública, también denominados acuerdos colusorios. Como se expuso (ver párr. </w:t>
      </w:r>
      <w:r w:rsidRPr="00B033A8">
        <w:rPr>
          <w:rFonts w:cs="Times New Roman"/>
          <w:color w:val="000000" w:themeColor="text1"/>
        </w:rPr>
        <w:fldChar w:fldCharType="begin"/>
      </w:r>
      <w:r w:rsidRPr="00B033A8">
        <w:rPr>
          <w:rFonts w:cs="Times New Roman"/>
          <w:color w:val="000000" w:themeColor="text1"/>
        </w:rPr>
        <w:instrText xml:space="preserve"> REF _Ref190877427 \r \h  \* MERGEFORMAT </w:instrText>
      </w:r>
      <w:r w:rsidRPr="00B033A8">
        <w:rPr>
          <w:rFonts w:cs="Times New Roman"/>
          <w:color w:val="000000" w:themeColor="text1"/>
        </w:rPr>
      </w:r>
      <w:r w:rsidRPr="00B033A8">
        <w:rPr>
          <w:rFonts w:cs="Times New Roman"/>
          <w:color w:val="000000" w:themeColor="text1"/>
        </w:rPr>
        <w:fldChar w:fldCharType="separate"/>
      </w:r>
      <w:r w:rsidR="00386CD3" w:rsidRPr="00B033A8">
        <w:rPr>
          <w:rFonts w:cs="Times New Roman"/>
          <w:color w:val="000000" w:themeColor="text1"/>
        </w:rPr>
        <w:t>77</w:t>
      </w:r>
      <w:r w:rsidRPr="00B033A8">
        <w:rPr>
          <w:rFonts w:cs="Times New Roman"/>
          <w:color w:val="000000" w:themeColor="text1"/>
        </w:rPr>
        <w:fldChar w:fldCharType="end"/>
      </w:r>
      <w:r w:rsidRPr="00B033A8">
        <w:rPr>
          <w:rFonts w:cs="Times New Roman"/>
          <w:color w:val="000000" w:themeColor="text1"/>
        </w:rPr>
        <w:t xml:space="preserve"> </w:t>
      </w:r>
      <w:r w:rsidRPr="00B033A8">
        <w:rPr>
          <w:rFonts w:cs="Times New Roman"/>
          <w:i/>
          <w:iCs/>
          <w:color w:val="000000" w:themeColor="text1"/>
        </w:rPr>
        <w:t>supra</w:t>
      </w:r>
      <w:r w:rsidRPr="00B033A8">
        <w:rPr>
          <w:rFonts w:cs="Times New Roman"/>
          <w:color w:val="000000" w:themeColor="text1"/>
        </w:rPr>
        <w:t>), en la exposición de motivos se explicó que la creación de este tipo penal buscaba “sancionar fundamentalmente los ya frecuentes casos en los cuales los proponentes de un proceso precontractual se ponen de acuerdo para engañar al Estado”</w:t>
      </w:r>
      <w:r w:rsidRPr="00B033A8">
        <w:rPr>
          <w:rFonts w:cs="Times New Roman"/>
          <w:color w:val="000000" w:themeColor="text1"/>
          <w:vertAlign w:val="superscript"/>
        </w:rPr>
        <w:footnoteReference w:id="186"/>
      </w:r>
      <w:r w:rsidRPr="00B033A8">
        <w:rPr>
          <w:rFonts w:cs="Times New Roman"/>
          <w:color w:val="000000" w:themeColor="text1"/>
        </w:rPr>
        <w:t xml:space="preserve">. </w:t>
      </w:r>
      <w:r w:rsidR="00D85242" w:rsidRPr="00B033A8">
        <w:rPr>
          <w:rFonts w:cs="Times New Roman"/>
          <w:color w:val="000000" w:themeColor="text1"/>
        </w:rPr>
        <w:t>Asimismo, durante el trámite legislativo los congresistas justificaron la creación del delito en la importancia de sancionar penalmente los acuerdos restrictivos de la competencia en materia de contratación pública</w:t>
      </w:r>
      <w:r w:rsidR="00D85242" w:rsidRPr="00B033A8">
        <w:rPr>
          <w:rStyle w:val="Refdenotaalpie"/>
          <w:rFonts w:cs="Times New Roman"/>
          <w:color w:val="000000" w:themeColor="text1"/>
        </w:rPr>
        <w:footnoteReference w:id="187"/>
      </w:r>
      <w:r w:rsidR="00D85242" w:rsidRPr="00B033A8">
        <w:rPr>
          <w:rFonts w:cs="Times New Roman"/>
          <w:color w:val="000000" w:themeColor="text1"/>
        </w:rPr>
        <w:t>.</w:t>
      </w:r>
    </w:p>
    <w:p w14:paraId="26514003" w14:textId="77777777" w:rsidR="007B73D5" w:rsidRPr="00B033A8" w:rsidRDefault="007B73D5" w:rsidP="00776641">
      <w:pPr>
        <w:pStyle w:val="Prrafodelista"/>
        <w:spacing w:line="240" w:lineRule="auto"/>
        <w:rPr>
          <w:color w:val="000000" w:themeColor="text1"/>
        </w:rPr>
      </w:pPr>
    </w:p>
    <w:p w14:paraId="25B078EE" w14:textId="11308127" w:rsidR="009554F1" w:rsidRPr="00B033A8" w:rsidRDefault="007B73D5"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 xml:space="preserve">Por </w:t>
      </w:r>
      <w:r w:rsidR="009554F1" w:rsidRPr="00B033A8">
        <w:rPr>
          <w:rFonts w:cs="Times New Roman"/>
          <w:color w:val="000000" w:themeColor="text1"/>
        </w:rPr>
        <w:t>último</w:t>
      </w:r>
      <w:r w:rsidR="00A252D9" w:rsidRPr="00B033A8">
        <w:rPr>
          <w:rFonts w:cs="Times New Roman"/>
          <w:color w:val="000000" w:themeColor="text1"/>
        </w:rPr>
        <w:t>,</w:t>
      </w:r>
      <w:r w:rsidRPr="00B033A8">
        <w:rPr>
          <w:rFonts w:cs="Times New Roman"/>
          <w:color w:val="000000" w:themeColor="text1"/>
        </w:rPr>
        <w:t xml:space="preserve"> la Sala Plena </w:t>
      </w:r>
      <w:r w:rsidR="00142707" w:rsidRPr="00B033A8">
        <w:rPr>
          <w:rFonts w:cs="Times New Roman"/>
          <w:color w:val="000000" w:themeColor="text1"/>
        </w:rPr>
        <w:t>resalta</w:t>
      </w:r>
      <w:r w:rsidRPr="00B033A8">
        <w:rPr>
          <w:rFonts w:cs="Times New Roman"/>
          <w:color w:val="000000" w:themeColor="text1"/>
        </w:rPr>
        <w:t xml:space="preserve"> que, contrario a los sostenido por el demandante, </w:t>
      </w:r>
      <w:r w:rsidR="00A252D9" w:rsidRPr="00B033A8">
        <w:rPr>
          <w:rFonts w:cs="Times New Roman"/>
          <w:color w:val="000000" w:themeColor="text1"/>
        </w:rPr>
        <w:t xml:space="preserve">la remisión al artículo 47.9 del Decreto 2153 de 1992 es compatible con el bien jurídico que el </w:t>
      </w:r>
      <w:r w:rsidR="00F5054E" w:rsidRPr="00B033A8">
        <w:rPr>
          <w:rFonts w:cs="Times New Roman"/>
          <w:color w:val="000000" w:themeColor="text1"/>
        </w:rPr>
        <w:t>tipo penal previsto en el</w:t>
      </w:r>
      <w:r w:rsidR="00A252D9" w:rsidRPr="00B033A8">
        <w:rPr>
          <w:rFonts w:cs="Times New Roman"/>
          <w:color w:val="000000" w:themeColor="text1"/>
        </w:rPr>
        <w:t xml:space="preserve"> 410A del Código Penal </w:t>
      </w:r>
      <w:r w:rsidR="00F5054E" w:rsidRPr="00B033A8">
        <w:rPr>
          <w:rFonts w:cs="Times New Roman"/>
          <w:color w:val="000000" w:themeColor="text1"/>
        </w:rPr>
        <w:t xml:space="preserve">busca </w:t>
      </w:r>
      <w:r w:rsidR="00A252D9" w:rsidRPr="00B033A8">
        <w:rPr>
          <w:rFonts w:cs="Times New Roman"/>
          <w:color w:val="000000" w:themeColor="text1"/>
        </w:rPr>
        <w:t>protege</w:t>
      </w:r>
      <w:r w:rsidR="00F5054E" w:rsidRPr="00B033A8">
        <w:rPr>
          <w:rFonts w:cs="Times New Roman"/>
          <w:color w:val="000000" w:themeColor="text1"/>
        </w:rPr>
        <w:t>r</w:t>
      </w:r>
      <w:r w:rsidR="00A252D9" w:rsidRPr="00B033A8">
        <w:rPr>
          <w:rFonts w:cs="Times New Roman"/>
          <w:color w:val="000000" w:themeColor="text1"/>
        </w:rPr>
        <w:t xml:space="preserve">. </w:t>
      </w:r>
    </w:p>
    <w:p w14:paraId="7E1C1208" w14:textId="77777777" w:rsidR="009554F1" w:rsidRPr="00B033A8" w:rsidRDefault="009554F1" w:rsidP="00776641">
      <w:pPr>
        <w:pStyle w:val="Prrafodelista"/>
        <w:spacing w:line="240" w:lineRule="auto"/>
        <w:rPr>
          <w:color w:val="000000" w:themeColor="text1"/>
        </w:rPr>
      </w:pPr>
    </w:p>
    <w:p w14:paraId="0890278F" w14:textId="2E73D201" w:rsidR="006E4319" w:rsidRPr="00B033A8" w:rsidRDefault="009554F1"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E</w:t>
      </w:r>
      <w:r w:rsidR="00A252D9" w:rsidRPr="00B033A8">
        <w:rPr>
          <w:rFonts w:cs="Times New Roman"/>
          <w:color w:val="000000" w:themeColor="text1"/>
        </w:rPr>
        <w:t xml:space="preserve">l artículo 410A del Código Penal forma parte del Capítulo Cuarto, “de la celebración indebida de contratos”, del Título XV, “delitos contra la administración Pública”. Esto implica que el bien jurídico protegido es, justamente, la administración pública. A juicio de la Sala Plena, la integración del tipo penal con la prohibición de los acuerdos restrictivos de la competencia </w:t>
      </w:r>
      <w:r w:rsidR="00F5054E" w:rsidRPr="00B033A8">
        <w:rPr>
          <w:rFonts w:cs="Times New Roman"/>
          <w:color w:val="000000" w:themeColor="text1"/>
        </w:rPr>
        <w:t xml:space="preserve">en procesos de contratación pública </w:t>
      </w:r>
      <w:r w:rsidR="00A252D9" w:rsidRPr="00B033A8">
        <w:rPr>
          <w:rFonts w:cs="Times New Roman"/>
          <w:color w:val="000000" w:themeColor="text1"/>
        </w:rPr>
        <w:t xml:space="preserve">contribuye a la protección de </w:t>
      </w:r>
      <w:r w:rsidR="00B438CE" w:rsidRPr="00B033A8">
        <w:rPr>
          <w:rFonts w:cs="Times New Roman"/>
          <w:color w:val="000000" w:themeColor="text1"/>
        </w:rPr>
        <w:t xml:space="preserve">la administración pública en </w:t>
      </w:r>
      <w:r w:rsidR="00F5054E" w:rsidRPr="00B033A8">
        <w:rPr>
          <w:rFonts w:cs="Times New Roman"/>
          <w:color w:val="000000" w:themeColor="text1"/>
        </w:rPr>
        <w:t>la celebración de contratos</w:t>
      </w:r>
      <w:r w:rsidR="00A252D9" w:rsidRPr="00B033A8">
        <w:rPr>
          <w:rFonts w:cs="Times New Roman"/>
          <w:color w:val="000000" w:themeColor="text1"/>
        </w:rPr>
        <w:t xml:space="preserve">. Esto es así, porque la prohibición de los acuerdos restrictivos de la competencia en procesos de contratación pública no sólo busca garantizar la libre competencia, sino que también protege </w:t>
      </w:r>
      <w:r w:rsidR="00142707" w:rsidRPr="00B033A8">
        <w:rPr>
          <w:rFonts w:cs="Times New Roman"/>
          <w:color w:val="000000" w:themeColor="text1"/>
        </w:rPr>
        <w:t>los principios de la función administrativa (art. 209 de la CP) y, en concreto, de la contratación estatal (</w:t>
      </w:r>
      <w:r w:rsidR="00BC25EE" w:rsidRPr="00B033A8">
        <w:rPr>
          <w:rFonts w:cs="Times New Roman"/>
          <w:color w:val="000000" w:themeColor="text1"/>
        </w:rPr>
        <w:t xml:space="preserve">Título II de la </w:t>
      </w:r>
      <w:r w:rsidR="00142707" w:rsidRPr="00B033A8">
        <w:rPr>
          <w:rFonts w:cs="Times New Roman"/>
          <w:color w:val="000000" w:themeColor="text1"/>
        </w:rPr>
        <w:t xml:space="preserve">Ley 80 de 1993). </w:t>
      </w:r>
    </w:p>
    <w:p w14:paraId="1D4A5AAA" w14:textId="77777777" w:rsidR="006E4319" w:rsidRPr="00B033A8" w:rsidRDefault="006E4319" w:rsidP="00776641">
      <w:pPr>
        <w:pStyle w:val="Prrafodelista"/>
        <w:spacing w:line="240" w:lineRule="auto"/>
        <w:rPr>
          <w:color w:val="000000" w:themeColor="text1"/>
        </w:rPr>
      </w:pPr>
    </w:p>
    <w:p w14:paraId="59199409" w14:textId="6DC472CA" w:rsidR="00D85242" w:rsidRPr="00B033A8" w:rsidRDefault="00142707"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Al respecto, la SIC ha reiterado que</w:t>
      </w:r>
      <w:r w:rsidR="00A252D9" w:rsidRPr="00B033A8">
        <w:rPr>
          <w:rFonts w:cs="Times New Roman"/>
          <w:color w:val="000000" w:themeColor="text1"/>
        </w:rPr>
        <w:t xml:space="preserve"> los acuerdos anticompetitivos en procesos contractuales públicos producen, entre otros, los siguientes efectos nocivos</w:t>
      </w:r>
      <w:r w:rsidRPr="00B033A8">
        <w:rPr>
          <w:rFonts w:cs="Times New Roman"/>
          <w:color w:val="000000" w:themeColor="text1"/>
        </w:rPr>
        <w:t xml:space="preserve"> para los intereses del Estado</w:t>
      </w:r>
      <w:r w:rsidR="00A252D9" w:rsidRPr="00B033A8">
        <w:rPr>
          <w:rFonts w:cs="Times New Roman"/>
          <w:color w:val="000000" w:themeColor="text1"/>
        </w:rPr>
        <w:t>: “</w:t>
      </w:r>
      <w:r w:rsidR="00A252D9" w:rsidRPr="00B033A8">
        <w:rPr>
          <w:rFonts w:cs="Times New Roman"/>
          <w:i/>
          <w:iCs/>
          <w:color w:val="000000" w:themeColor="text1"/>
        </w:rPr>
        <w:t xml:space="preserve">(i) </w:t>
      </w:r>
      <w:r w:rsidR="00A252D9" w:rsidRPr="00B033A8">
        <w:rPr>
          <w:rFonts w:cs="Times New Roman"/>
          <w:color w:val="000000" w:themeColor="text1"/>
        </w:rPr>
        <w:t>limita</w:t>
      </w:r>
      <w:r w:rsidR="00F5054E" w:rsidRPr="00B033A8">
        <w:rPr>
          <w:rFonts w:cs="Times New Roman"/>
          <w:color w:val="000000" w:themeColor="text1"/>
        </w:rPr>
        <w:t>n</w:t>
      </w:r>
      <w:r w:rsidR="00A252D9" w:rsidRPr="00B033A8">
        <w:rPr>
          <w:rFonts w:cs="Times New Roman"/>
          <w:color w:val="000000" w:themeColor="text1"/>
        </w:rPr>
        <w:t xml:space="preserve"> la competencia y la participación de otros proponentes en un proceso de selección justo y regido por los principios d</w:t>
      </w:r>
      <w:r w:rsidR="00CA78E5" w:rsidRPr="00B033A8">
        <w:rPr>
          <w:rFonts w:cs="Times New Roman"/>
          <w:color w:val="000000" w:themeColor="text1"/>
        </w:rPr>
        <w:t>e</w:t>
      </w:r>
      <w:r w:rsidR="00A252D9" w:rsidRPr="00B033A8">
        <w:rPr>
          <w:rFonts w:cs="Times New Roman"/>
          <w:color w:val="000000" w:themeColor="text1"/>
        </w:rPr>
        <w:t xml:space="preserve"> igualdad y transparencia, </w:t>
      </w:r>
      <w:r w:rsidR="00A252D9" w:rsidRPr="00B033A8">
        <w:rPr>
          <w:rFonts w:cs="Times New Roman"/>
          <w:i/>
          <w:iCs/>
          <w:color w:val="000000" w:themeColor="text1"/>
        </w:rPr>
        <w:t>(</w:t>
      </w:r>
      <w:proofErr w:type="spellStart"/>
      <w:r w:rsidR="00A252D9" w:rsidRPr="00B033A8">
        <w:rPr>
          <w:rFonts w:cs="Times New Roman"/>
          <w:i/>
          <w:iCs/>
          <w:color w:val="000000" w:themeColor="text1"/>
        </w:rPr>
        <w:t>ii</w:t>
      </w:r>
      <w:proofErr w:type="spellEnd"/>
      <w:r w:rsidR="00A252D9" w:rsidRPr="00B033A8">
        <w:rPr>
          <w:rFonts w:cs="Times New Roman"/>
          <w:i/>
          <w:iCs/>
          <w:color w:val="000000" w:themeColor="text1"/>
        </w:rPr>
        <w:t>)</w:t>
      </w:r>
      <w:r w:rsidR="00A252D9" w:rsidRPr="00B033A8">
        <w:rPr>
          <w:rFonts w:cs="Times New Roman"/>
          <w:color w:val="000000" w:themeColor="text1"/>
        </w:rPr>
        <w:t xml:space="preserve"> el Estado resulta afectado por </w:t>
      </w:r>
      <w:r w:rsidR="002A49AA" w:rsidRPr="00B033A8">
        <w:rPr>
          <w:rFonts w:cs="Times New Roman"/>
          <w:color w:val="000000" w:themeColor="text1"/>
        </w:rPr>
        <w:t xml:space="preserve">el </w:t>
      </w:r>
      <w:r w:rsidR="00A252D9" w:rsidRPr="00B033A8">
        <w:rPr>
          <w:rFonts w:cs="Times New Roman"/>
          <w:color w:val="000000" w:themeColor="text1"/>
        </w:rPr>
        <w:t xml:space="preserve">incremento de los costos que representa la participación de proponentes no idóneos, </w:t>
      </w:r>
      <w:r w:rsidR="00A252D9" w:rsidRPr="00B033A8">
        <w:rPr>
          <w:rFonts w:cs="Times New Roman"/>
          <w:i/>
          <w:iCs/>
          <w:color w:val="000000" w:themeColor="text1"/>
        </w:rPr>
        <w:t>(</w:t>
      </w:r>
      <w:proofErr w:type="spellStart"/>
      <w:r w:rsidR="00A252D9" w:rsidRPr="00B033A8">
        <w:rPr>
          <w:rFonts w:cs="Times New Roman"/>
          <w:i/>
          <w:iCs/>
          <w:color w:val="000000" w:themeColor="text1"/>
        </w:rPr>
        <w:t>iii</w:t>
      </w:r>
      <w:proofErr w:type="spellEnd"/>
      <w:r w:rsidR="00A252D9" w:rsidRPr="00B033A8">
        <w:rPr>
          <w:rFonts w:cs="Times New Roman"/>
          <w:i/>
          <w:iCs/>
          <w:color w:val="000000" w:themeColor="text1"/>
        </w:rPr>
        <w:t>)</w:t>
      </w:r>
      <w:r w:rsidR="00A252D9" w:rsidRPr="00B033A8">
        <w:rPr>
          <w:rFonts w:cs="Times New Roman"/>
          <w:color w:val="000000" w:themeColor="text1"/>
        </w:rPr>
        <w:t xml:space="preserve"> se generan asimetrías de información entre los proponentes, </w:t>
      </w:r>
      <w:r w:rsidR="00A252D9" w:rsidRPr="00B033A8">
        <w:rPr>
          <w:rFonts w:cs="Times New Roman"/>
          <w:i/>
          <w:iCs/>
          <w:color w:val="000000" w:themeColor="text1"/>
        </w:rPr>
        <w:t>(</w:t>
      </w:r>
      <w:proofErr w:type="spellStart"/>
      <w:r w:rsidR="00A252D9" w:rsidRPr="00B033A8">
        <w:rPr>
          <w:rFonts w:cs="Times New Roman"/>
          <w:i/>
          <w:iCs/>
          <w:color w:val="000000" w:themeColor="text1"/>
        </w:rPr>
        <w:t>iv</w:t>
      </w:r>
      <w:proofErr w:type="spellEnd"/>
      <w:r w:rsidR="00A252D9" w:rsidRPr="00B033A8">
        <w:rPr>
          <w:rFonts w:cs="Times New Roman"/>
          <w:i/>
          <w:iCs/>
          <w:color w:val="000000" w:themeColor="text1"/>
        </w:rPr>
        <w:t xml:space="preserve">) </w:t>
      </w:r>
      <w:r w:rsidR="00A252D9" w:rsidRPr="00B033A8">
        <w:rPr>
          <w:rFonts w:cs="Times New Roman"/>
          <w:color w:val="000000" w:themeColor="text1"/>
        </w:rPr>
        <w:t xml:space="preserve">pueden incrementarse injustificadamente los precios de los productos o reducirse su calidad; y </w:t>
      </w:r>
      <w:r w:rsidR="00A252D9" w:rsidRPr="00B033A8">
        <w:rPr>
          <w:rFonts w:cs="Times New Roman"/>
          <w:i/>
          <w:iCs/>
          <w:color w:val="000000" w:themeColor="text1"/>
        </w:rPr>
        <w:t xml:space="preserve">(v) </w:t>
      </w:r>
      <w:r w:rsidR="00A252D9" w:rsidRPr="00B033A8">
        <w:rPr>
          <w:rFonts w:cs="Times New Roman"/>
          <w:color w:val="000000" w:themeColor="text1"/>
        </w:rPr>
        <w:t xml:space="preserve">se afecta negativamente el bienestar social al darse una pérdida </w:t>
      </w:r>
      <w:r w:rsidR="009554F1" w:rsidRPr="00B033A8">
        <w:rPr>
          <w:rFonts w:cs="Times New Roman"/>
          <w:color w:val="000000" w:themeColor="text1"/>
        </w:rPr>
        <w:t>irrecuperable</w:t>
      </w:r>
      <w:r w:rsidR="00A252D9" w:rsidRPr="00B033A8">
        <w:rPr>
          <w:rFonts w:cs="Times New Roman"/>
          <w:color w:val="000000" w:themeColor="text1"/>
        </w:rPr>
        <w:t xml:space="preserve"> en el </w:t>
      </w:r>
      <w:r w:rsidR="009554F1" w:rsidRPr="00B033A8">
        <w:rPr>
          <w:rFonts w:cs="Times New Roman"/>
          <w:color w:val="000000" w:themeColor="text1"/>
        </w:rPr>
        <w:t>mercado</w:t>
      </w:r>
      <w:r w:rsidR="00A252D9" w:rsidRPr="00B033A8">
        <w:rPr>
          <w:rFonts w:cs="Times New Roman"/>
          <w:color w:val="000000" w:themeColor="text1"/>
        </w:rPr>
        <w:t xml:space="preserve"> de bienes debido al aumento de las </w:t>
      </w:r>
      <w:r w:rsidR="00A252D9" w:rsidRPr="00B033A8">
        <w:rPr>
          <w:rFonts w:cs="Times New Roman"/>
          <w:color w:val="000000" w:themeColor="text1"/>
        </w:rPr>
        <w:lastRenderedPageBreak/>
        <w:t>utilidades percibidas por los participantes colu</w:t>
      </w:r>
      <w:r w:rsidR="009554F1" w:rsidRPr="00B033A8">
        <w:rPr>
          <w:rFonts w:cs="Times New Roman"/>
          <w:color w:val="000000" w:themeColor="text1"/>
        </w:rPr>
        <w:t>d</w:t>
      </w:r>
      <w:r w:rsidR="00A252D9" w:rsidRPr="00B033A8">
        <w:rPr>
          <w:rFonts w:cs="Times New Roman"/>
          <w:color w:val="000000" w:themeColor="text1"/>
        </w:rPr>
        <w:t>idos”</w:t>
      </w:r>
      <w:r w:rsidR="009554F1" w:rsidRPr="00B033A8">
        <w:rPr>
          <w:rStyle w:val="Refdenotaalpie"/>
          <w:rFonts w:cs="Times New Roman"/>
          <w:color w:val="000000" w:themeColor="text1"/>
        </w:rPr>
        <w:footnoteReference w:id="188"/>
      </w:r>
      <w:r w:rsidR="00A252D9" w:rsidRPr="00B033A8">
        <w:rPr>
          <w:rFonts w:cs="Times New Roman"/>
          <w:color w:val="000000" w:themeColor="text1"/>
        </w:rPr>
        <w:t xml:space="preserve">. </w:t>
      </w:r>
      <w:r w:rsidR="00DB5CE6" w:rsidRPr="00B033A8">
        <w:rPr>
          <w:rFonts w:cs="Times New Roman"/>
          <w:color w:val="000000" w:themeColor="text1"/>
        </w:rPr>
        <w:t xml:space="preserve">Asimismo, conforme a la </w:t>
      </w:r>
      <w:r w:rsidR="00B63903" w:rsidRPr="00B033A8">
        <w:rPr>
          <w:rFonts w:cs="Times New Roman"/>
          <w:color w:val="000000" w:themeColor="text1"/>
        </w:rPr>
        <w:t>doctrina</w:t>
      </w:r>
      <w:r w:rsidR="00DB5CE6" w:rsidRPr="00B033A8">
        <w:rPr>
          <w:rFonts w:cs="Times New Roman"/>
          <w:color w:val="000000" w:themeColor="text1"/>
        </w:rPr>
        <w:t xml:space="preserve"> de la SIC y de la OCDE,</w:t>
      </w:r>
      <w:r w:rsidR="00CA78E5" w:rsidRPr="00B033A8">
        <w:rPr>
          <w:rFonts w:cs="Times New Roman"/>
          <w:color w:val="000000" w:themeColor="text1"/>
        </w:rPr>
        <w:t xml:space="preserve"> los acuerdos restrictivos de la competencia</w:t>
      </w:r>
      <w:r w:rsidR="00C538E8" w:rsidRPr="00B033A8">
        <w:rPr>
          <w:rFonts w:cs="Times New Roman"/>
          <w:color w:val="000000" w:themeColor="text1"/>
        </w:rPr>
        <w:t xml:space="preserve"> “</w:t>
      </w:r>
      <w:r w:rsidR="00C538E8" w:rsidRPr="00B033A8">
        <w:rPr>
          <w:rFonts w:cs="Times New Roman"/>
        </w:rPr>
        <w:t>afectan valores como la selección objetiva, la eficiencia y eficacia del uso de los recursos públicos para el cumplimiento de los fines Estatales y la confianza misma que los administrados tienen en la administración. En estos términos, la colusión en procesos públicos de selección se convierte en una de las prácticas restrictivas de la competencia más nocivas para el Estado”</w:t>
      </w:r>
      <w:r w:rsidR="00C538E8" w:rsidRPr="00B033A8">
        <w:rPr>
          <w:rStyle w:val="Refdenotaalpie"/>
          <w:rFonts w:cs="Times New Roman"/>
        </w:rPr>
        <w:footnoteReference w:id="189"/>
      </w:r>
      <w:r w:rsidR="00C538E8" w:rsidRPr="00B033A8">
        <w:rPr>
          <w:rFonts w:cs="Times New Roman"/>
        </w:rPr>
        <w:t>.</w:t>
      </w:r>
    </w:p>
    <w:p w14:paraId="3A0935E4" w14:textId="77777777" w:rsidR="00393701" w:rsidRPr="00B033A8" w:rsidRDefault="00393701" w:rsidP="00776641">
      <w:pPr>
        <w:tabs>
          <w:tab w:val="left" w:pos="851"/>
        </w:tabs>
        <w:rPr>
          <w:rFonts w:cs="Times New Roman"/>
          <w:color w:val="000000" w:themeColor="text1"/>
        </w:rPr>
      </w:pPr>
    </w:p>
    <w:p w14:paraId="3F84003C" w14:textId="76A28014" w:rsidR="00E005EC" w:rsidRPr="00B033A8" w:rsidRDefault="00142707" w:rsidP="00776641">
      <w:pPr>
        <w:numPr>
          <w:ilvl w:val="0"/>
          <w:numId w:val="12"/>
        </w:numPr>
        <w:ind w:left="0" w:firstLine="0"/>
        <w:rPr>
          <w:rFonts w:cs="Times New Roman"/>
          <w:color w:val="000000" w:themeColor="text1"/>
        </w:rPr>
      </w:pPr>
      <w:r w:rsidRPr="00B033A8">
        <w:rPr>
          <w:rFonts w:cs="Times New Roman"/>
          <w:color w:val="000000" w:themeColor="text1"/>
        </w:rPr>
        <w:t>En síntesis, c</w:t>
      </w:r>
      <w:r w:rsidR="00E005EC" w:rsidRPr="00B033A8">
        <w:rPr>
          <w:rFonts w:cs="Times New Roman"/>
          <w:color w:val="000000" w:themeColor="text1"/>
        </w:rPr>
        <w:t xml:space="preserve">on fundamento en </w:t>
      </w:r>
      <w:r w:rsidR="000B4AC2" w:rsidRPr="00B033A8">
        <w:rPr>
          <w:rFonts w:cs="Times New Roman"/>
          <w:color w:val="000000" w:themeColor="text1"/>
        </w:rPr>
        <w:t>estas</w:t>
      </w:r>
      <w:r w:rsidR="00E005EC" w:rsidRPr="00B033A8">
        <w:rPr>
          <w:rFonts w:cs="Times New Roman"/>
          <w:color w:val="000000" w:themeColor="text1"/>
        </w:rPr>
        <w:t xml:space="preserve"> consideraciones, la Corte concluye que</w:t>
      </w:r>
      <w:r w:rsidR="00A0305D" w:rsidRPr="00B033A8">
        <w:rPr>
          <w:rFonts w:cs="Times New Roman"/>
          <w:color w:val="000000" w:themeColor="text1"/>
        </w:rPr>
        <w:t xml:space="preserve"> </w:t>
      </w:r>
      <w:r w:rsidR="00485EB0" w:rsidRPr="00B033A8">
        <w:rPr>
          <w:rFonts w:cs="Times New Roman"/>
          <w:color w:val="000000" w:themeColor="text1"/>
        </w:rPr>
        <w:t>es claramente identificable</w:t>
      </w:r>
      <w:r w:rsidR="00BC25EE" w:rsidRPr="00B033A8">
        <w:rPr>
          <w:rFonts w:cs="Times New Roman"/>
          <w:color w:val="000000" w:themeColor="text1"/>
        </w:rPr>
        <w:t xml:space="preserve"> que la norma de remisión que se integra</w:t>
      </w:r>
      <w:r w:rsidR="001420ED" w:rsidRPr="00B033A8">
        <w:rPr>
          <w:rFonts w:cs="Times New Roman"/>
          <w:color w:val="000000" w:themeColor="text1"/>
        </w:rPr>
        <w:t xml:space="preserve"> al</w:t>
      </w:r>
      <w:r w:rsidR="00BC25EE" w:rsidRPr="00B033A8">
        <w:rPr>
          <w:rFonts w:cs="Times New Roman"/>
          <w:color w:val="000000" w:themeColor="text1"/>
        </w:rPr>
        <w:t xml:space="preserve"> tipo penal demandado es el artículo 47</w:t>
      </w:r>
      <w:r w:rsidR="0079056A" w:rsidRPr="00B033A8">
        <w:rPr>
          <w:rFonts w:cs="Times New Roman"/>
          <w:color w:val="000000" w:themeColor="text1"/>
        </w:rPr>
        <w:t>.9</w:t>
      </w:r>
      <w:r w:rsidR="00BC25EE" w:rsidRPr="00B033A8">
        <w:rPr>
          <w:rFonts w:cs="Times New Roman"/>
          <w:color w:val="000000" w:themeColor="text1"/>
        </w:rPr>
        <w:t xml:space="preserve"> del Decreto 2153 de 1992. </w:t>
      </w:r>
      <w:r w:rsidR="001420ED" w:rsidRPr="00B033A8">
        <w:rPr>
          <w:rFonts w:cs="Times New Roman"/>
          <w:color w:val="000000" w:themeColor="text1"/>
        </w:rPr>
        <w:t>En este sentido, p</w:t>
      </w:r>
      <w:r w:rsidR="00A0305D" w:rsidRPr="00B033A8">
        <w:rPr>
          <w:rFonts w:cs="Times New Roman"/>
          <w:color w:val="000000" w:themeColor="text1"/>
        </w:rPr>
        <w:t xml:space="preserve">ara </w:t>
      </w:r>
      <w:r w:rsidR="00BC25EE" w:rsidRPr="00B033A8">
        <w:rPr>
          <w:rFonts w:cs="Times New Roman"/>
          <w:color w:val="000000" w:themeColor="text1"/>
        </w:rPr>
        <w:t>determinar</w:t>
      </w:r>
      <w:r w:rsidR="00E005EC" w:rsidRPr="00B033A8">
        <w:rPr>
          <w:rFonts w:cs="Times New Roman"/>
          <w:color w:val="000000" w:themeColor="text1"/>
        </w:rPr>
        <w:t xml:space="preserve"> la</w:t>
      </w:r>
      <w:r w:rsidR="000B4AC2" w:rsidRPr="00B033A8">
        <w:rPr>
          <w:rFonts w:cs="Times New Roman"/>
          <w:color w:val="000000" w:themeColor="text1"/>
        </w:rPr>
        <w:t>s conductas que, de acuerdo con el artículo 410A del Código Penal, constituyen una</w:t>
      </w:r>
      <w:r w:rsidR="00EC033B" w:rsidRPr="00B033A8">
        <w:rPr>
          <w:rFonts w:cs="Times New Roman"/>
          <w:color w:val="000000" w:themeColor="text1"/>
        </w:rPr>
        <w:t xml:space="preserve"> concertación con </w:t>
      </w:r>
      <w:r w:rsidR="00A0305D" w:rsidRPr="00B033A8">
        <w:rPr>
          <w:rFonts w:cs="Times New Roman"/>
          <w:color w:val="000000" w:themeColor="text1"/>
        </w:rPr>
        <w:t xml:space="preserve">la </w:t>
      </w:r>
      <w:r w:rsidR="00EC033B" w:rsidRPr="00B033A8">
        <w:rPr>
          <w:rFonts w:cs="Times New Roman"/>
          <w:color w:val="000000" w:themeColor="text1"/>
        </w:rPr>
        <w:t>finalidad de</w:t>
      </w:r>
      <w:r w:rsidR="000B4AC2" w:rsidRPr="00B033A8">
        <w:rPr>
          <w:rFonts w:cs="Times New Roman"/>
          <w:color w:val="000000" w:themeColor="text1"/>
        </w:rPr>
        <w:t xml:space="preserve"> altera</w:t>
      </w:r>
      <w:r w:rsidR="00A0305D" w:rsidRPr="00B033A8">
        <w:rPr>
          <w:rFonts w:cs="Times New Roman"/>
          <w:color w:val="000000" w:themeColor="text1"/>
        </w:rPr>
        <w:t xml:space="preserve">r ilícitamente </w:t>
      </w:r>
      <w:r w:rsidR="000B4AC2" w:rsidRPr="00B033A8">
        <w:rPr>
          <w:rFonts w:cs="Times New Roman"/>
          <w:color w:val="000000" w:themeColor="text1"/>
        </w:rPr>
        <w:t xml:space="preserve">los procesos de </w:t>
      </w:r>
      <w:r w:rsidR="00A0305D" w:rsidRPr="00B033A8">
        <w:rPr>
          <w:rFonts w:cs="Times New Roman"/>
          <w:color w:val="000000" w:themeColor="text1"/>
        </w:rPr>
        <w:t>licitación pública, subasta pública, concurso y selección abreviada</w:t>
      </w:r>
      <w:r w:rsidR="000B4AC2" w:rsidRPr="00B033A8">
        <w:rPr>
          <w:rFonts w:cs="Times New Roman"/>
          <w:color w:val="000000" w:themeColor="text1"/>
        </w:rPr>
        <w:t xml:space="preserve">, </w:t>
      </w:r>
      <w:r w:rsidR="00A0305D" w:rsidRPr="00B033A8">
        <w:rPr>
          <w:rFonts w:cs="Times New Roman"/>
          <w:color w:val="000000" w:themeColor="text1"/>
        </w:rPr>
        <w:t xml:space="preserve">el intérprete debe remitirse </w:t>
      </w:r>
      <w:r w:rsidR="000B4AC2" w:rsidRPr="00B033A8">
        <w:rPr>
          <w:rFonts w:cs="Times New Roman"/>
          <w:color w:val="000000" w:themeColor="text1"/>
        </w:rPr>
        <w:t xml:space="preserve">al </w:t>
      </w:r>
      <w:r w:rsidR="008B4FCE" w:rsidRPr="00B033A8">
        <w:rPr>
          <w:rFonts w:cs="Times New Roman"/>
          <w:color w:val="000000" w:themeColor="text1"/>
        </w:rPr>
        <w:t>artículo 47.9 del Decreto 2153 de 1992</w:t>
      </w:r>
      <w:r w:rsidR="00BC25EE" w:rsidRPr="00B033A8">
        <w:rPr>
          <w:rFonts w:cs="Times New Roman"/>
          <w:color w:val="000000" w:themeColor="text1"/>
        </w:rPr>
        <w:t>,</w:t>
      </w:r>
      <w:r w:rsidRPr="00B033A8">
        <w:rPr>
          <w:rFonts w:cs="Times New Roman"/>
          <w:color w:val="000000" w:themeColor="text1"/>
        </w:rPr>
        <w:t xml:space="preserve"> el cual prohíbe los acuerdos restrictivos de la competencia en procesos de contratación pública. </w:t>
      </w:r>
      <w:r w:rsidR="00E005EC" w:rsidRPr="00B033A8">
        <w:rPr>
          <w:rFonts w:cs="Times New Roman"/>
          <w:color w:val="000000" w:themeColor="text1"/>
        </w:rPr>
        <w:t xml:space="preserve"> </w:t>
      </w:r>
    </w:p>
    <w:p w14:paraId="22CCB95C" w14:textId="77777777" w:rsidR="008B4FCE" w:rsidRPr="00B033A8" w:rsidRDefault="008B4FCE" w:rsidP="00776641">
      <w:pPr>
        <w:tabs>
          <w:tab w:val="left" w:pos="851"/>
        </w:tabs>
        <w:rPr>
          <w:rFonts w:cs="Times New Roman"/>
          <w:color w:val="000000" w:themeColor="text1"/>
        </w:rPr>
      </w:pPr>
    </w:p>
    <w:p w14:paraId="4609E5B9" w14:textId="367EDC22" w:rsidR="00E005EC" w:rsidRPr="00B033A8" w:rsidRDefault="00E005EC" w:rsidP="00776641">
      <w:pPr>
        <w:pStyle w:val="Ttulo5"/>
        <w:numPr>
          <w:ilvl w:val="0"/>
          <w:numId w:val="26"/>
        </w:numPr>
        <w:spacing w:before="0"/>
        <w:ind w:left="851" w:hanging="491"/>
        <w:rPr>
          <w:rFonts w:cs="Times New Roman"/>
          <w:b w:val="0"/>
          <w:bCs/>
          <w:u w:val="single"/>
        </w:rPr>
      </w:pPr>
      <w:r w:rsidRPr="00B033A8">
        <w:rPr>
          <w:rFonts w:cs="Times New Roman"/>
          <w:b w:val="0"/>
          <w:bCs/>
          <w:u w:val="single"/>
        </w:rPr>
        <w:t xml:space="preserve">La norma de remisión </w:t>
      </w:r>
      <w:r w:rsidR="00E1358C" w:rsidRPr="00B033A8">
        <w:rPr>
          <w:rFonts w:cs="Times New Roman"/>
          <w:b w:val="0"/>
          <w:bCs/>
          <w:u w:val="single"/>
        </w:rPr>
        <w:t xml:space="preserve">tiene rango legal y </w:t>
      </w:r>
      <w:r w:rsidR="00137000" w:rsidRPr="00B033A8">
        <w:rPr>
          <w:rFonts w:cs="Times New Roman"/>
          <w:b w:val="0"/>
          <w:bCs/>
          <w:u w:val="single"/>
        </w:rPr>
        <w:t xml:space="preserve">es </w:t>
      </w:r>
      <w:r w:rsidRPr="00B033A8">
        <w:rPr>
          <w:rFonts w:cs="Times New Roman"/>
          <w:b w:val="0"/>
          <w:bCs/>
          <w:u w:val="single"/>
        </w:rPr>
        <w:t xml:space="preserve">anterior a la </w:t>
      </w:r>
      <w:r w:rsidR="007B2649" w:rsidRPr="00B033A8">
        <w:rPr>
          <w:rFonts w:cs="Times New Roman"/>
          <w:b w:val="0"/>
          <w:bCs/>
          <w:u w:val="single"/>
        </w:rPr>
        <w:t>realización de la conducta</w:t>
      </w:r>
      <w:r w:rsidRPr="00B033A8">
        <w:rPr>
          <w:rFonts w:cs="Times New Roman"/>
          <w:b w:val="0"/>
          <w:bCs/>
          <w:u w:val="single"/>
        </w:rPr>
        <w:t xml:space="preserve"> </w:t>
      </w:r>
    </w:p>
    <w:p w14:paraId="04BEC194" w14:textId="77777777" w:rsidR="00E005EC" w:rsidRPr="00B033A8" w:rsidRDefault="00E005EC" w:rsidP="00776641">
      <w:pPr>
        <w:tabs>
          <w:tab w:val="left" w:pos="851"/>
        </w:tabs>
        <w:rPr>
          <w:rFonts w:cs="Times New Roman"/>
          <w:color w:val="000000" w:themeColor="text1"/>
          <w:u w:val="single"/>
        </w:rPr>
      </w:pPr>
    </w:p>
    <w:p w14:paraId="7319735A" w14:textId="4A5CDF6F" w:rsidR="00483A73" w:rsidRPr="00B033A8" w:rsidRDefault="00E005EC"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 xml:space="preserve">La Sala </w:t>
      </w:r>
      <w:r w:rsidR="00C72D79" w:rsidRPr="00B033A8">
        <w:rPr>
          <w:rFonts w:cs="Times New Roman"/>
          <w:color w:val="000000" w:themeColor="text1"/>
        </w:rPr>
        <w:t xml:space="preserve">Plena </w:t>
      </w:r>
      <w:r w:rsidRPr="00B033A8">
        <w:rPr>
          <w:rFonts w:cs="Times New Roman"/>
          <w:color w:val="000000" w:themeColor="text1"/>
        </w:rPr>
        <w:t>constata que la norma</w:t>
      </w:r>
      <w:r w:rsidR="00F7138A" w:rsidRPr="00B033A8">
        <w:rPr>
          <w:rFonts w:cs="Times New Roman"/>
          <w:color w:val="000000" w:themeColor="text1"/>
        </w:rPr>
        <w:t xml:space="preserve"> de remisión –</w:t>
      </w:r>
      <w:r w:rsidR="004A2F39" w:rsidRPr="00B033A8">
        <w:rPr>
          <w:rFonts w:cs="Times New Roman"/>
          <w:color w:val="000000" w:themeColor="text1"/>
        </w:rPr>
        <w:t xml:space="preserve">artículo 47.9 del </w:t>
      </w:r>
      <w:r w:rsidRPr="00B033A8">
        <w:rPr>
          <w:rFonts w:cs="Times New Roman"/>
          <w:color w:val="000000" w:themeColor="text1"/>
        </w:rPr>
        <w:t>Decreto 2153 de 1992</w:t>
      </w:r>
      <w:r w:rsidR="006536BF" w:rsidRPr="00B033A8">
        <w:rPr>
          <w:rFonts w:cs="Times New Roman"/>
          <w:color w:val="000000" w:themeColor="text1"/>
        </w:rPr>
        <w:t>–</w:t>
      </w:r>
      <w:r w:rsidRPr="00B033A8">
        <w:rPr>
          <w:rFonts w:cs="Times New Roman"/>
          <w:color w:val="000000" w:themeColor="text1"/>
        </w:rPr>
        <w:t xml:space="preserve"> </w:t>
      </w:r>
      <w:r w:rsidR="006828DB" w:rsidRPr="00B033A8">
        <w:rPr>
          <w:rFonts w:cs="Times New Roman"/>
          <w:color w:val="000000" w:themeColor="text1"/>
        </w:rPr>
        <w:t xml:space="preserve">es una norma de rango </w:t>
      </w:r>
      <w:r w:rsidR="00E1358C" w:rsidRPr="00B033A8">
        <w:rPr>
          <w:rFonts w:cs="Times New Roman"/>
          <w:color w:val="000000" w:themeColor="text1"/>
        </w:rPr>
        <w:t>legal</w:t>
      </w:r>
      <w:r w:rsidR="006828DB" w:rsidRPr="00B033A8">
        <w:rPr>
          <w:rFonts w:cs="Times New Roman"/>
          <w:color w:val="000000" w:themeColor="text1"/>
        </w:rPr>
        <w:t xml:space="preserve">, lo que implica que el delito demandado es un tipo penal en blanco de remisión </w:t>
      </w:r>
      <w:r w:rsidR="006828DB" w:rsidRPr="00B033A8">
        <w:rPr>
          <w:rFonts w:cs="Times New Roman"/>
          <w:i/>
          <w:iCs/>
          <w:color w:val="000000" w:themeColor="text1"/>
        </w:rPr>
        <w:t>propia</w:t>
      </w:r>
      <w:r w:rsidR="006828DB" w:rsidRPr="00B033A8">
        <w:rPr>
          <w:rFonts w:cs="Times New Roman"/>
          <w:color w:val="000000" w:themeColor="text1"/>
        </w:rPr>
        <w:t>.</w:t>
      </w:r>
      <w:r w:rsidR="00483A73" w:rsidRPr="00B033A8">
        <w:rPr>
          <w:rFonts w:cs="Times New Roman"/>
          <w:color w:val="000000" w:themeColor="text1"/>
        </w:rPr>
        <w:t xml:space="preserve"> </w:t>
      </w:r>
      <w:r w:rsidR="00E6131E" w:rsidRPr="00B033A8">
        <w:rPr>
          <w:rFonts w:cs="Times New Roman"/>
          <w:color w:val="000000" w:themeColor="text1"/>
        </w:rPr>
        <w:t>La</w:t>
      </w:r>
      <w:r w:rsidR="00483A73" w:rsidRPr="00B033A8">
        <w:rPr>
          <w:rFonts w:cs="Times New Roman"/>
          <w:color w:val="000000" w:themeColor="text1"/>
        </w:rPr>
        <w:t xml:space="preserve"> </w:t>
      </w:r>
      <w:r w:rsidR="00E6131E" w:rsidRPr="00B033A8">
        <w:rPr>
          <w:rFonts w:cs="Times New Roman"/>
          <w:color w:val="000000" w:themeColor="text1"/>
        </w:rPr>
        <w:t>Corte</w:t>
      </w:r>
      <w:r w:rsidR="00483A73" w:rsidRPr="00B033A8">
        <w:rPr>
          <w:rFonts w:cs="Times New Roman"/>
          <w:color w:val="000000" w:themeColor="text1"/>
        </w:rPr>
        <w:t xml:space="preserve"> resalta que la jurisprudencia constitucional y del Consejo de Estado han sostenido que el Decreto 2153 de 1992 es un decreto con fuerza material de ley</w:t>
      </w:r>
      <w:r w:rsidR="00E6131E" w:rsidRPr="00B033A8">
        <w:rPr>
          <w:rFonts w:cs="Times New Roman"/>
          <w:color w:val="000000" w:themeColor="text1"/>
        </w:rPr>
        <w:t xml:space="preserve">, </w:t>
      </w:r>
      <w:r w:rsidR="00483A73" w:rsidRPr="00B033A8">
        <w:rPr>
          <w:rFonts w:cs="Times New Roman"/>
          <w:color w:val="000000" w:themeColor="text1"/>
        </w:rPr>
        <w:t xml:space="preserve">por tres razones. </w:t>
      </w:r>
      <w:r w:rsidR="00483A73" w:rsidRPr="00B033A8">
        <w:rPr>
          <w:rFonts w:cs="Times New Roman"/>
          <w:i/>
          <w:iCs/>
          <w:color w:val="000000" w:themeColor="text1"/>
        </w:rPr>
        <w:t>Primero</w:t>
      </w:r>
      <w:r w:rsidR="00483A73" w:rsidRPr="00B033A8">
        <w:rPr>
          <w:rFonts w:cs="Times New Roman"/>
          <w:color w:val="000000" w:themeColor="text1"/>
        </w:rPr>
        <w:t>,</w:t>
      </w:r>
      <w:r w:rsidR="00483A73" w:rsidRPr="00B033A8">
        <w:rPr>
          <w:rFonts w:cs="Times New Roman"/>
          <w:i/>
          <w:iCs/>
          <w:color w:val="000000" w:themeColor="text1"/>
        </w:rPr>
        <w:t xml:space="preserve"> </w:t>
      </w:r>
      <w:r w:rsidR="00483A73" w:rsidRPr="00B033A8">
        <w:rPr>
          <w:rFonts w:cs="Times New Roman"/>
          <w:color w:val="000000" w:themeColor="text1"/>
        </w:rPr>
        <w:t xml:space="preserve">el </w:t>
      </w:r>
      <w:proofErr w:type="gramStart"/>
      <w:r w:rsidR="00483A73" w:rsidRPr="00B033A8">
        <w:rPr>
          <w:rFonts w:cs="Times New Roman"/>
          <w:color w:val="000000" w:themeColor="text1"/>
        </w:rPr>
        <w:t>Presidente</w:t>
      </w:r>
      <w:proofErr w:type="gramEnd"/>
      <w:r w:rsidR="00483A73" w:rsidRPr="00B033A8">
        <w:rPr>
          <w:rFonts w:cs="Times New Roman"/>
          <w:color w:val="000000" w:themeColor="text1"/>
        </w:rPr>
        <w:t xml:space="preserve"> de la República expidió el Decreto 2153 de 1992 en ejercicio de la facultad prevista en el artículo 20 transitorio de la Constitución Política. Est</w:t>
      </w:r>
      <w:r w:rsidR="00753471" w:rsidRPr="00B033A8">
        <w:rPr>
          <w:rFonts w:cs="Times New Roman"/>
          <w:color w:val="000000" w:themeColor="text1"/>
        </w:rPr>
        <w:t>a</w:t>
      </w:r>
      <w:r w:rsidR="00483A73" w:rsidRPr="00B033A8">
        <w:rPr>
          <w:rFonts w:cs="Times New Roman"/>
          <w:color w:val="000000" w:themeColor="text1"/>
        </w:rPr>
        <w:t xml:space="preserve"> </w:t>
      </w:r>
      <w:r w:rsidR="00753471" w:rsidRPr="00B033A8">
        <w:rPr>
          <w:rFonts w:cs="Times New Roman"/>
          <w:color w:val="000000" w:themeColor="text1"/>
        </w:rPr>
        <w:t xml:space="preserve">disposición constitucional </w:t>
      </w:r>
      <w:r w:rsidR="00483A73" w:rsidRPr="00B033A8">
        <w:rPr>
          <w:rFonts w:cs="Times New Roman"/>
          <w:color w:val="000000" w:themeColor="text1"/>
        </w:rPr>
        <w:t xml:space="preserve">otorgó al Gobierno Nacional la competencia para que, dentro de los 18 meses siguientes a partir de la entrada en vigencia de la Constitución, suprimiera, fusionara o reestructurara entidades de la rama ejecutiva. Esta es una </w:t>
      </w:r>
      <w:r w:rsidR="00142707" w:rsidRPr="00B033A8">
        <w:rPr>
          <w:rFonts w:cs="Times New Roman"/>
          <w:color w:val="000000" w:themeColor="text1"/>
        </w:rPr>
        <w:t>competencia</w:t>
      </w:r>
      <w:r w:rsidR="00753471" w:rsidRPr="00B033A8">
        <w:rPr>
          <w:rFonts w:cs="Times New Roman"/>
          <w:color w:val="000000" w:themeColor="text1"/>
        </w:rPr>
        <w:t xml:space="preserve"> que</w:t>
      </w:r>
      <w:r w:rsidR="00483A73" w:rsidRPr="00B033A8">
        <w:rPr>
          <w:rFonts w:cs="Times New Roman"/>
          <w:color w:val="000000" w:themeColor="text1"/>
        </w:rPr>
        <w:t>, en principio, corresponde al Congreso de la República, de conformidad con los artículos 150.7 y 189.15 y 189.16 de la Constitución Política. Por esto, los decretos expedidos en ejercicio de estas facultades tienen “la misma fuerza o entidad normativa de la ley, lo que equivale a decir que desde los puntos de vista material y jerárquico constituyen actos de naturaleza o categoría legislativa”</w:t>
      </w:r>
      <w:r w:rsidR="00483A73" w:rsidRPr="00B033A8">
        <w:rPr>
          <w:rFonts w:cs="Times New Roman"/>
          <w:color w:val="000000" w:themeColor="text1"/>
          <w:vertAlign w:val="superscript"/>
        </w:rPr>
        <w:footnoteReference w:id="190"/>
      </w:r>
      <w:r w:rsidR="00483A73" w:rsidRPr="00B033A8">
        <w:rPr>
          <w:rFonts w:cs="Times New Roman"/>
          <w:color w:val="000000" w:themeColor="text1"/>
        </w:rPr>
        <w:t xml:space="preserve">. </w:t>
      </w:r>
      <w:r w:rsidR="00483A73" w:rsidRPr="00B033A8">
        <w:rPr>
          <w:rFonts w:cs="Times New Roman"/>
          <w:i/>
          <w:iCs/>
          <w:color w:val="000000" w:themeColor="text1"/>
        </w:rPr>
        <w:t>Segundo</w:t>
      </w:r>
      <w:r w:rsidR="00483A73" w:rsidRPr="00B033A8">
        <w:rPr>
          <w:rFonts w:cs="Times New Roman"/>
          <w:color w:val="000000" w:themeColor="text1"/>
        </w:rPr>
        <w:t xml:space="preserve">, la jurisprudencia constitucional, –sentencias C-1126 de 2008 y C-032 de 2017– ha señalado expresamente que el Decreto </w:t>
      </w:r>
      <w:r w:rsidR="000A53DB" w:rsidRPr="00B033A8">
        <w:rPr>
          <w:rFonts w:cs="Times New Roman"/>
          <w:color w:val="000000" w:themeColor="text1"/>
        </w:rPr>
        <w:t xml:space="preserve">2153 </w:t>
      </w:r>
      <w:r w:rsidR="00483A73" w:rsidRPr="00B033A8">
        <w:rPr>
          <w:rFonts w:cs="Times New Roman"/>
          <w:color w:val="000000" w:themeColor="text1"/>
        </w:rPr>
        <w:t xml:space="preserve">de 1992 tiene fuerza material de ley. </w:t>
      </w:r>
      <w:r w:rsidR="00483A73" w:rsidRPr="00B033A8">
        <w:rPr>
          <w:rFonts w:cs="Times New Roman"/>
          <w:i/>
          <w:iCs/>
          <w:color w:val="000000" w:themeColor="text1"/>
        </w:rPr>
        <w:t>Tercero</w:t>
      </w:r>
      <w:r w:rsidR="00483A73" w:rsidRPr="00B033A8">
        <w:rPr>
          <w:rFonts w:cs="Times New Roman"/>
          <w:color w:val="000000" w:themeColor="text1"/>
        </w:rPr>
        <w:t xml:space="preserve">, la Sala advierte que el Decreto 2153 de 1992 ha sido objeto de modificaciones </w:t>
      </w:r>
      <w:r w:rsidR="00483A73" w:rsidRPr="00B033A8">
        <w:rPr>
          <w:rFonts w:cs="Times New Roman"/>
          <w:color w:val="000000" w:themeColor="text1"/>
        </w:rPr>
        <w:lastRenderedPageBreak/>
        <w:t xml:space="preserve">por medio de leyes </w:t>
      </w:r>
      <w:r w:rsidR="008C529B" w:rsidRPr="00B033A8">
        <w:rPr>
          <w:rFonts w:cs="Times New Roman"/>
          <w:color w:val="000000" w:themeColor="text1"/>
        </w:rPr>
        <w:t>–</w:t>
      </w:r>
      <w:r w:rsidR="00483A73" w:rsidRPr="00B033A8">
        <w:rPr>
          <w:rFonts w:cs="Times New Roman"/>
          <w:color w:val="000000" w:themeColor="text1"/>
        </w:rPr>
        <w:t>no actos administrativos</w:t>
      </w:r>
      <w:r w:rsidR="008C529B" w:rsidRPr="00B033A8">
        <w:rPr>
          <w:rFonts w:cs="Times New Roman"/>
          <w:color w:val="000000" w:themeColor="text1"/>
        </w:rPr>
        <w:t>–</w:t>
      </w:r>
      <w:r w:rsidR="00483A73" w:rsidRPr="00B033A8">
        <w:rPr>
          <w:rFonts w:cs="Times New Roman"/>
          <w:color w:val="000000" w:themeColor="text1"/>
        </w:rPr>
        <w:t xml:space="preserve"> (</w:t>
      </w:r>
      <w:proofErr w:type="spellStart"/>
      <w:r w:rsidR="00483A73" w:rsidRPr="00B033A8">
        <w:rPr>
          <w:rFonts w:cs="Times New Roman"/>
          <w:i/>
          <w:iCs/>
          <w:color w:val="000000" w:themeColor="text1"/>
        </w:rPr>
        <w:t>vrg</w:t>
      </w:r>
      <w:proofErr w:type="spellEnd"/>
      <w:r w:rsidR="00483A73" w:rsidRPr="00B033A8">
        <w:rPr>
          <w:rFonts w:cs="Times New Roman"/>
          <w:color w:val="000000" w:themeColor="text1"/>
        </w:rPr>
        <w:t>. Ley 1340 de 200</w:t>
      </w:r>
      <w:r w:rsidR="008B6ABC" w:rsidRPr="00B033A8">
        <w:rPr>
          <w:rFonts w:cs="Times New Roman"/>
          <w:color w:val="000000" w:themeColor="text1"/>
        </w:rPr>
        <w:t>9</w:t>
      </w:r>
      <w:r w:rsidR="00483A73" w:rsidRPr="00B033A8">
        <w:rPr>
          <w:rFonts w:cs="Times New Roman"/>
          <w:color w:val="000000" w:themeColor="text1"/>
        </w:rPr>
        <w:t xml:space="preserve">). Lo anterior, </w:t>
      </w:r>
      <w:r w:rsidR="00E6131E" w:rsidRPr="00B033A8">
        <w:rPr>
          <w:rFonts w:cs="Times New Roman"/>
          <w:color w:val="000000" w:themeColor="text1"/>
        </w:rPr>
        <w:t xml:space="preserve">justamente </w:t>
      </w:r>
      <w:r w:rsidR="00483A73" w:rsidRPr="00B033A8">
        <w:rPr>
          <w:rFonts w:cs="Times New Roman"/>
          <w:color w:val="000000" w:themeColor="text1"/>
        </w:rPr>
        <w:t>bajo la premisa de que tiene fuer</w:t>
      </w:r>
      <w:r w:rsidR="008C529B" w:rsidRPr="00B033A8">
        <w:rPr>
          <w:rFonts w:cs="Times New Roman"/>
          <w:color w:val="000000" w:themeColor="text1"/>
        </w:rPr>
        <w:t>z</w:t>
      </w:r>
      <w:r w:rsidR="00483A73" w:rsidRPr="00B033A8">
        <w:rPr>
          <w:rFonts w:cs="Times New Roman"/>
          <w:color w:val="000000" w:themeColor="text1"/>
        </w:rPr>
        <w:t xml:space="preserve">a material de ley. </w:t>
      </w:r>
    </w:p>
    <w:p w14:paraId="71A43C90" w14:textId="77777777" w:rsidR="00E1358C" w:rsidRPr="00B033A8" w:rsidRDefault="00E1358C" w:rsidP="00776641">
      <w:pPr>
        <w:tabs>
          <w:tab w:val="left" w:pos="851"/>
        </w:tabs>
        <w:rPr>
          <w:rFonts w:cs="Times New Roman"/>
          <w:color w:val="000000" w:themeColor="text1"/>
        </w:rPr>
      </w:pPr>
    </w:p>
    <w:p w14:paraId="2514F64D" w14:textId="7EA92EEE" w:rsidR="00E005EC" w:rsidRPr="00B033A8" w:rsidRDefault="00483A73" w:rsidP="00776641">
      <w:pPr>
        <w:numPr>
          <w:ilvl w:val="0"/>
          <w:numId w:val="12"/>
        </w:numPr>
        <w:tabs>
          <w:tab w:val="left" w:pos="851"/>
        </w:tabs>
        <w:ind w:left="0" w:firstLine="0"/>
        <w:rPr>
          <w:rFonts w:cs="Times New Roman"/>
          <w:color w:val="000000" w:themeColor="text1"/>
        </w:rPr>
      </w:pPr>
      <w:r w:rsidRPr="00B033A8">
        <w:rPr>
          <w:rFonts w:cs="Times New Roman"/>
          <w:color w:val="000000" w:themeColor="text1"/>
        </w:rPr>
        <w:t xml:space="preserve">Por otro lado, la Corte </w:t>
      </w:r>
      <w:r w:rsidR="00E6131E" w:rsidRPr="00B033A8">
        <w:rPr>
          <w:rFonts w:cs="Times New Roman"/>
          <w:color w:val="000000" w:themeColor="text1"/>
        </w:rPr>
        <w:t>constata</w:t>
      </w:r>
      <w:r w:rsidRPr="00B033A8">
        <w:rPr>
          <w:rFonts w:cs="Times New Roman"/>
          <w:color w:val="000000" w:themeColor="text1"/>
        </w:rPr>
        <w:t xml:space="preserve"> que el Decreto 2153 de 1992 fue expedido con anterioridad </w:t>
      </w:r>
      <w:r w:rsidR="00C452F2" w:rsidRPr="00B033A8">
        <w:rPr>
          <w:rFonts w:cs="Times New Roman"/>
          <w:color w:val="000000" w:themeColor="text1"/>
        </w:rPr>
        <w:t xml:space="preserve">al artículo 410A de la Ley 599 de 2000, el cual fue adicionado por el artículo 27 de la Ley 1474 de 2011. </w:t>
      </w:r>
      <w:r w:rsidR="00E005EC" w:rsidRPr="00B033A8">
        <w:rPr>
          <w:rFonts w:cs="Times New Roman"/>
          <w:color w:val="000000" w:themeColor="text1"/>
        </w:rPr>
        <w:t>En todo caso, la Corte precisa que si</w:t>
      </w:r>
      <w:r w:rsidR="000B4AC2" w:rsidRPr="00B033A8">
        <w:rPr>
          <w:rFonts w:cs="Times New Roman"/>
          <w:color w:val="000000" w:themeColor="text1"/>
        </w:rPr>
        <w:t>,</w:t>
      </w:r>
      <w:r w:rsidR="00E005EC" w:rsidRPr="00B033A8">
        <w:rPr>
          <w:rFonts w:cs="Times New Roman"/>
          <w:color w:val="000000" w:themeColor="text1"/>
        </w:rPr>
        <w:t xml:space="preserve"> en el futuro, el legislador modifica </w:t>
      </w:r>
      <w:r w:rsidR="00C452F2" w:rsidRPr="00B033A8">
        <w:rPr>
          <w:rFonts w:cs="Times New Roman"/>
          <w:color w:val="000000" w:themeColor="text1"/>
        </w:rPr>
        <w:t>el artículo 47.9 del Decreto 2153</w:t>
      </w:r>
      <w:r w:rsidR="004A2F39" w:rsidRPr="00B033A8">
        <w:rPr>
          <w:rFonts w:cs="Times New Roman"/>
          <w:color w:val="000000" w:themeColor="text1"/>
        </w:rPr>
        <w:t>,</w:t>
      </w:r>
      <w:r w:rsidR="00A0305D" w:rsidRPr="00B033A8">
        <w:rPr>
          <w:rFonts w:cs="Times New Roman"/>
          <w:color w:val="000000" w:themeColor="text1"/>
        </w:rPr>
        <w:t xml:space="preserve"> </w:t>
      </w:r>
      <w:r w:rsidR="00E005EC" w:rsidRPr="00B033A8">
        <w:rPr>
          <w:rFonts w:cs="Times New Roman"/>
          <w:color w:val="000000" w:themeColor="text1"/>
        </w:rPr>
        <w:t>el proceso de adecuación típica del artículo 410A del Código Penal deberá llevarse a cabo a partir de la norma existente al momento de la realización de la conducta.</w:t>
      </w:r>
    </w:p>
    <w:p w14:paraId="3039AFE8" w14:textId="77777777" w:rsidR="00E005EC" w:rsidRPr="00B033A8" w:rsidRDefault="00E005EC" w:rsidP="00776641">
      <w:pPr>
        <w:tabs>
          <w:tab w:val="left" w:pos="851"/>
        </w:tabs>
        <w:rPr>
          <w:rFonts w:cs="Times New Roman"/>
          <w:color w:val="000000" w:themeColor="text1"/>
          <w:u w:val="single"/>
        </w:rPr>
      </w:pPr>
    </w:p>
    <w:p w14:paraId="301E1925" w14:textId="4390BAD6" w:rsidR="00E005EC" w:rsidRPr="00B033A8" w:rsidRDefault="00E005EC" w:rsidP="00776641">
      <w:pPr>
        <w:pStyle w:val="Ttulo5"/>
        <w:numPr>
          <w:ilvl w:val="0"/>
          <w:numId w:val="26"/>
        </w:numPr>
        <w:spacing w:before="0"/>
        <w:ind w:left="851" w:hanging="567"/>
        <w:rPr>
          <w:rFonts w:cs="Times New Roman"/>
          <w:b w:val="0"/>
          <w:bCs/>
          <w:u w:val="single"/>
        </w:rPr>
      </w:pPr>
      <w:r w:rsidRPr="00B033A8">
        <w:rPr>
          <w:rFonts w:cs="Times New Roman"/>
          <w:b w:val="0"/>
          <w:bCs/>
          <w:u w:val="single"/>
        </w:rPr>
        <w:t>La norma de remisión permite determinar de forma clara y precisa el alcance de la conducta</w:t>
      </w:r>
      <w:r w:rsidR="00695008" w:rsidRPr="00B033A8">
        <w:rPr>
          <w:rFonts w:cs="Times New Roman"/>
          <w:b w:val="0"/>
          <w:bCs/>
          <w:u w:val="single"/>
        </w:rPr>
        <w:t xml:space="preserve"> sancionable</w:t>
      </w:r>
    </w:p>
    <w:p w14:paraId="0DB76D52" w14:textId="77777777" w:rsidR="00E005EC" w:rsidRPr="00B033A8" w:rsidRDefault="00E005EC" w:rsidP="00776641">
      <w:pPr>
        <w:rPr>
          <w:rFonts w:cs="Times New Roman"/>
          <w:color w:val="000000" w:themeColor="text1"/>
        </w:rPr>
      </w:pPr>
    </w:p>
    <w:p w14:paraId="130377AC" w14:textId="2681F141" w:rsidR="00016CC3" w:rsidRPr="00B033A8" w:rsidRDefault="00E005EC" w:rsidP="00776641">
      <w:pPr>
        <w:pStyle w:val="Prrafodelista"/>
        <w:numPr>
          <w:ilvl w:val="0"/>
          <w:numId w:val="12"/>
        </w:numPr>
        <w:spacing w:line="240" w:lineRule="auto"/>
        <w:ind w:left="0" w:firstLine="0"/>
      </w:pPr>
      <w:r w:rsidRPr="00B033A8">
        <w:rPr>
          <w:color w:val="000000" w:themeColor="text1"/>
        </w:rPr>
        <w:t>La Sala Plena considera que, a partir de la remisión a</w:t>
      </w:r>
      <w:r w:rsidR="00D45919" w:rsidRPr="00B033A8">
        <w:rPr>
          <w:color w:val="000000" w:themeColor="text1"/>
        </w:rPr>
        <w:t>l</w:t>
      </w:r>
      <w:r w:rsidRPr="00B033A8">
        <w:rPr>
          <w:color w:val="000000" w:themeColor="text1"/>
        </w:rPr>
        <w:t xml:space="preserve"> </w:t>
      </w:r>
      <w:r w:rsidR="00160DAA" w:rsidRPr="00B033A8">
        <w:rPr>
          <w:color w:val="000000" w:themeColor="text1"/>
        </w:rPr>
        <w:t xml:space="preserve">artículo 47.9 del Decreto 2153 de 1992, </w:t>
      </w:r>
      <w:r w:rsidRPr="00B033A8">
        <w:rPr>
          <w:color w:val="000000" w:themeColor="text1"/>
        </w:rPr>
        <w:t>es posible determinar de forma clara y precisa</w:t>
      </w:r>
      <w:r w:rsidR="00753471" w:rsidRPr="00B033A8">
        <w:rPr>
          <w:color w:val="000000" w:themeColor="text1"/>
        </w:rPr>
        <w:t xml:space="preserve"> el alcance de la conducta sancionable. </w:t>
      </w:r>
      <w:r w:rsidR="00E6131E" w:rsidRPr="00B033A8">
        <w:rPr>
          <w:color w:val="000000" w:themeColor="text1"/>
        </w:rPr>
        <w:t xml:space="preserve">Esto es así, porque el artículo 47.9 del Decreto 2153 prevé una prohibición clara e inequívoca de los acuerdos restrictivos de la competencia en procesos de contratación pública. </w:t>
      </w:r>
      <w:r w:rsidR="00160DAA" w:rsidRPr="00B033A8">
        <w:rPr>
          <w:color w:val="000000" w:themeColor="text1"/>
        </w:rPr>
        <w:t>L</w:t>
      </w:r>
      <w:r w:rsidR="00A65667" w:rsidRPr="00B033A8">
        <w:rPr>
          <w:color w:val="000000" w:themeColor="text1"/>
        </w:rPr>
        <w:t xml:space="preserve">a definición </w:t>
      </w:r>
      <w:r w:rsidR="00160DAA" w:rsidRPr="00B033A8">
        <w:rPr>
          <w:color w:val="000000" w:themeColor="text1"/>
        </w:rPr>
        <w:t xml:space="preserve">y elementos </w:t>
      </w:r>
      <w:r w:rsidRPr="00B033A8">
        <w:rPr>
          <w:color w:val="000000" w:themeColor="text1"/>
        </w:rPr>
        <w:t>de los acuerdos restrictivos a la competencia en procedimientos contractuales públicos</w:t>
      </w:r>
      <w:r w:rsidR="00623B37" w:rsidRPr="00B033A8">
        <w:rPr>
          <w:color w:val="000000" w:themeColor="text1"/>
        </w:rPr>
        <w:t xml:space="preserve"> </w:t>
      </w:r>
      <w:r w:rsidRPr="00B033A8">
        <w:rPr>
          <w:color w:val="000000" w:themeColor="text1"/>
        </w:rPr>
        <w:t>ha</w:t>
      </w:r>
      <w:r w:rsidR="001E47CF" w:rsidRPr="00B033A8">
        <w:rPr>
          <w:color w:val="000000" w:themeColor="text1"/>
        </w:rPr>
        <w:t>n</w:t>
      </w:r>
      <w:r w:rsidRPr="00B033A8">
        <w:rPr>
          <w:color w:val="000000" w:themeColor="text1"/>
        </w:rPr>
        <w:t xml:space="preserve"> sido desarrollad</w:t>
      </w:r>
      <w:r w:rsidR="001E47CF" w:rsidRPr="00B033A8">
        <w:rPr>
          <w:color w:val="000000" w:themeColor="text1"/>
        </w:rPr>
        <w:t>os</w:t>
      </w:r>
      <w:r w:rsidRPr="00B033A8">
        <w:rPr>
          <w:color w:val="000000" w:themeColor="text1"/>
        </w:rPr>
        <w:t xml:space="preserve"> </w:t>
      </w:r>
      <w:r w:rsidR="00160DAA" w:rsidRPr="00B033A8">
        <w:rPr>
          <w:color w:val="000000" w:themeColor="text1"/>
        </w:rPr>
        <w:t xml:space="preserve">de forma consistente </w:t>
      </w:r>
      <w:r w:rsidRPr="00B033A8">
        <w:rPr>
          <w:color w:val="000000" w:themeColor="text1"/>
        </w:rPr>
        <w:t xml:space="preserve">por </w:t>
      </w:r>
      <w:r w:rsidR="00A65667" w:rsidRPr="00B033A8">
        <w:rPr>
          <w:color w:val="000000" w:themeColor="text1"/>
        </w:rPr>
        <w:t>la Superintendencia de Industria y Comercio –máxima autoridad de competencia–</w:t>
      </w:r>
      <w:r w:rsidRPr="00B033A8">
        <w:rPr>
          <w:color w:val="000000" w:themeColor="text1"/>
        </w:rPr>
        <w:t>. E</w:t>
      </w:r>
      <w:r w:rsidR="00753471" w:rsidRPr="00B033A8">
        <w:rPr>
          <w:color w:val="000000" w:themeColor="text1"/>
        </w:rPr>
        <w:t>n criterio de la Sala Plena, e</w:t>
      </w:r>
      <w:r w:rsidRPr="00B033A8">
        <w:rPr>
          <w:color w:val="000000" w:themeColor="text1"/>
        </w:rPr>
        <w:t xml:space="preserve">stos referentes normativos </w:t>
      </w:r>
      <w:r w:rsidR="00A0305D" w:rsidRPr="00B033A8">
        <w:rPr>
          <w:color w:val="000000" w:themeColor="text1"/>
        </w:rPr>
        <w:t xml:space="preserve">precisan el alcance de la expresión “alterar ilícitamente” </w:t>
      </w:r>
      <w:r w:rsidR="002E2219" w:rsidRPr="00B033A8">
        <w:rPr>
          <w:color w:val="000000" w:themeColor="text1"/>
        </w:rPr>
        <w:t xml:space="preserve">prevista en el </w:t>
      </w:r>
      <w:r w:rsidR="00265AB1" w:rsidRPr="00B033A8">
        <w:rPr>
          <w:color w:val="000000" w:themeColor="text1"/>
        </w:rPr>
        <w:t xml:space="preserve">artículo </w:t>
      </w:r>
      <w:r w:rsidR="002E2219" w:rsidRPr="00B033A8">
        <w:rPr>
          <w:color w:val="000000" w:themeColor="text1"/>
        </w:rPr>
        <w:t xml:space="preserve">410A del Código Penal </w:t>
      </w:r>
      <w:r w:rsidR="00A0305D" w:rsidRPr="00B033A8">
        <w:rPr>
          <w:color w:val="000000" w:themeColor="text1"/>
        </w:rPr>
        <w:t xml:space="preserve">y, en este sentido, </w:t>
      </w:r>
      <w:r w:rsidRPr="00B033A8">
        <w:rPr>
          <w:color w:val="000000" w:themeColor="text1"/>
        </w:rPr>
        <w:t xml:space="preserve">dotan el proceso de adecuación típica de un grado razonable </w:t>
      </w:r>
      <w:r w:rsidR="000B4AC2" w:rsidRPr="00B033A8">
        <w:rPr>
          <w:color w:val="000000" w:themeColor="text1"/>
        </w:rPr>
        <w:t xml:space="preserve">de </w:t>
      </w:r>
      <w:r w:rsidRPr="00B033A8">
        <w:rPr>
          <w:color w:val="000000" w:themeColor="text1"/>
        </w:rPr>
        <w:t xml:space="preserve">previsibilidad y objetividad, lo que permite que un destinatario promedio </w:t>
      </w:r>
      <w:r w:rsidRPr="00B033A8">
        <w:rPr>
          <w:iCs/>
          <w:color w:val="000000" w:themeColor="text1"/>
        </w:rPr>
        <w:t xml:space="preserve">pueda determinar el contenido y alcance de la conducta punible. </w:t>
      </w:r>
      <w:r w:rsidR="00016CC3" w:rsidRPr="00B033A8">
        <w:t xml:space="preserve"> </w:t>
      </w:r>
    </w:p>
    <w:p w14:paraId="4ADC6427" w14:textId="77777777" w:rsidR="00861405" w:rsidRPr="00B033A8" w:rsidRDefault="00861405" w:rsidP="00776641">
      <w:pPr>
        <w:tabs>
          <w:tab w:val="left" w:pos="851"/>
        </w:tabs>
        <w:rPr>
          <w:rFonts w:cs="Times New Roman"/>
          <w:szCs w:val="28"/>
        </w:rPr>
      </w:pPr>
    </w:p>
    <w:p w14:paraId="09DB990A" w14:textId="2D467801" w:rsidR="00E6131E" w:rsidRPr="00B033A8" w:rsidRDefault="00275EB0" w:rsidP="00776641">
      <w:pPr>
        <w:pStyle w:val="Prrafodelista"/>
        <w:numPr>
          <w:ilvl w:val="0"/>
          <w:numId w:val="12"/>
        </w:numPr>
        <w:spacing w:line="240" w:lineRule="auto"/>
        <w:ind w:left="0" w:firstLine="0"/>
      </w:pPr>
      <w:r w:rsidRPr="00B033A8">
        <w:t>Al respecto, la</w:t>
      </w:r>
      <w:r w:rsidR="00861405" w:rsidRPr="00B033A8">
        <w:t xml:space="preserve"> Corte resalta que</w:t>
      </w:r>
      <w:r w:rsidR="00E005EC" w:rsidRPr="00B033A8">
        <w:t xml:space="preserve"> </w:t>
      </w:r>
      <w:r w:rsidR="002E2219" w:rsidRPr="00B033A8">
        <w:t xml:space="preserve">la SIC ha </w:t>
      </w:r>
      <w:r w:rsidR="00E6131E" w:rsidRPr="00B033A8">
        <w:t>señalado de forma consistente</w:t>
      </w:r>
      <w:r w:rsidRPr="00B033A8">
        <w:t xml:space="preserve"> que</w:t>
      </w:r>
      <w:r w:rsidR="002E2219" w:rsidRPr="00B033A8">
        <w:t xml:space="preserve"> </w:t>
      </w:r>
      <w:r w:rsidR="00623CAA" w:rsidRPr="00B033A8">
        <w:t>el</w:t>
      </w:r>
      <w:r w:rsidR="001F7AC7" w:rsidRPr="00B033A8">
        <w:t xml:space="preserve"> 47.9 </w:t>
      </w:r>
      <w:r w:rsidRPr="00B033A8">
        <w:t xml:space="preserve">del Decreto 2153 de 1992 </w:t>
      </w:r>
      <w:r w:rsidR="001F7AC7" w:rsidRPr="00B033A8">
        <w:t xml:space="preserve">prohíbe dos tipos de </w:t>
      </w:r>
      <w:r w:rsidR="00623CAA" w:rsidRPr="00B033A8">
        <w:t xml:space="preserve">acuerdos restrictivos de la competencia </w:t>
      </w:r>
      <w:r w:rsidRPr="00B033A8">
        <w:t>en</w:t>
      </w:r>
      <w:r w:rsidR="00E6131E" w:rsidRPr="00B033A8">
        <w:t xml:space="preserve"> cualquier tipo de</w:t>
      </w:r>
      <w:r w:rsidRPr="00B033A8">
        <w:t xml:space="preserve"> </w:t>
      </w:r>
      <w:r w:rsidR="00623CAA" w:rsidRPr="00B033A8">
        <w:t xml:space="preserve">proceso de </w:t>
      </w:r>
      <w:r w:rsidR="00E6131E" w:rsidRPr="00B033A8">
        <w:t xml:space="preserve">selección o </w:t>
      </w:r>
      <w:r w:rsidR="00623CAA" w:rsidRPr="00B033A8">
        <w:t xml:space="preserve">contratación </w:t>
      </w:r>
      <w:r w:rsidR="00142707" w:rsidRPr="00B033A8">
        <w:t>con el Estado</w:t>
      </w:r>
      <w:r w:rsidR="00E6131E" w:rsidRPr="00B033A8">
        <w:rPr>
          <w:vertAlign w:val="superscript"/>
        </w:rPr>
        <w:footnoteReference w:id="191"/>
      </w:r>
      <w:r w:rsidR="00753471" w:rsidRPr="00B033A8">
        <w:rPr>
          <w:color w:val="000000" w:themeColor="text1"/>
        </w:rPr>
        <w:t>:</w:t>
      </w:r>
    </w:p>
    <w:p w14:paraId="23E5E4E4" w14:textId="77777777" w:rsidR="00E005EC" w:rsidRPr="00B033A8" w:rsidRDefault="00E005EC" w:rsidP="00776641">
      <w:pPr>
        <w:pStyle w:val="Prrafodelista"/>
        <w:spacing w:line="240" w:lineRule="auto"/>
        <w:ind w:left="0"/>
      </w:pPr>
    </w:p>
    <w:p w14:paraId="300B400C" w14:textId="5A920802" w:rsidR="001F7AC7" w:rsidRPr="00B033A8" w:rsidRDefault="00E005EC" w:rsidP="00776641">
      <w:pPr>
        <w:pStyle w:val="Prrafodelista"/>
        <w:spacing w:line="240" w:lineRule="auto"/>
        <w:ind w:right="454"/>
        <w:rPr>
          <w:color w:val="000000" w:themeColor="text1"/>
        </w:rPr>
      </w:pPr>
      <w:r w:rsidRPr="00B033A8">
        <w:rPr>
          <w:color w:val="000000" w:themeColor="text1"/>
        </w:rPr>
        <w:t>“</w:t>
      </w:r>
      <w:r w:rsidR="001F7AC7" w:rsidRPr="00B033A8">
        <w:rPr>
          <w:color w:val="000000" w:themeColor="text1"/>
        </w:rPr>
        <w:t xml:space="preserve">La normatividad referida describe dos tipos de conductas anticompetitivas. En primer lugar, considera anticompetitivo y reprochable todo acuerdo que ‘tenga por objeto’ la colusión en las licitaciones o concursos. En segundo lugar, se considera contrario a la libre competencia, aquel acuerdo que tenga por efecto: </w:t>
      </w:r>
      <w:r w:rsidR="00CC21AD" w:rsidRPr="00B033A8">
        <w:rPr>
          <w:color w:val="000000" w:themeColor="text1"/>
        </w:rPr>
        <w:t xml:space="preserve">(i) </w:t>
      </w:r>
      <w:r w:rsidR="001F7AC7" w:rsidRPr="00B033A8">
        <w:rPr>
          <w:color w:val="000000" w:themeColor="text1"/>
        </w:rPr>
        <w:t>la distribución de adjudicaciones de contratos, (</w:t>
      </w:r>
      <w:proofErr w:type="spellStart"/>
      <w:r w:rsidR="001F7AC7" w:rsidRPr="00B033A8">
        <w:rPr>
          <w:color w:val="000000" w:themeColor="text1"/>
        </w:rPr>
        <w:t>ii</w:t>
      </w:r>
      <w:proofErr w:type="spellEnd"/>
      <w:r w:rsidR="001F7AC7" w:rsidRPr="00B033A8">
        <w:rPr>
          <w:color w:val="000000" w:themeColor="text1"/>
        </w:rPr>
        <w:t>) distribución de concursos o (</w:t>
      </w:r>
      <w:proofErr w:type="spellStart"/>
      <w:r w:rsidR="001F7AC7" w:rsidRPr="00B033A8">
        <w:rPr>
          <w:color w:val="000000" w:themeColor="text1"/>
        </w:rPr>
        <w:t>iii</w:t>
      </w:r>
      <w:proofErr w:type="spellEnd"/>
      <w:r w:rsidR="001F7AC7" w:rsidRPr="00B033A8">
        <w:rPr>
          <w:color w:val="000000" w:themeColor="text1"/>
        </w:rPr>
        <w:t>) la fijación de términos de las propuestas</w:t>
      </w:r>
      <w:r w:rsidR="00D062C4" w:rsidRPr="00B033A8">
        <w:rPr>
          <w:color w:val="000000" w:themeColor="text1"/>
        </w:rPr>
        <w:t>”</w:t>
      </w:r>
      <w:r w:rsidR="00D062C4" w:rsidRPr="00B033A8">
        <w:rPr>
          <w:rStyle w:val="Refdenotaalpie"/>
          <w:color w:val="000000" w:themeColor="text1"/>
        </w:rPr>
        <w:footnoteReference w:id="192"/>
      </w:r>
      <w:r w:rsidR="001F7AC7" w:rsidRPr="00B033A8">
        <w:rPr>
          <w:color w:val="000000" w:themeColor="text1"/>
        </w:rPr>
        <w:t xml:space="preserve">. </w:t>
      </w:r>
    </w:p>
    <w:p w14:paraId="7168BEC2" w14:textId="77777777" w:rsidR="001F7AC7" w:rsidRPr="00B033A8" w:rsidRDefault="001F7AC7" w:rsidP="00776641">
      <w:pPr>
        <w:ind w:right="454"/>
        <w:rPr>
          <w:rFonts w:cs="Times New Roman"/>
          <w:color w:val="000000" w:themeColor="text1"/>
          <w:szCs w:val="28"/>
        </w:rPr>
      </w:pPr>
    </w:p>
    <w:p w14:paraId="4D8ECAE0" w14:textId="62BFB578" w:rsidR="00411423" w:rsidRPr="00B033A8" w:rsidRDefault="001F7AC7" w:rsidP="00776641">
      <w:pPr>
        <w:pStyle w:val="Prrafodelista"/>
        <w:numPr>
          <w:ilvl w:val="0"/>
          <w:numId w:val="12"/>
        </w:numPr>
        <w:spacing w:line="240" w:lineRule="auto"/>
        <w:ind w:left="0" w:firstLine="0"/>
        <w:rPr>
          <w:color w:val="000000" w:themeColor="text1"/>
        </w:rPr>
      </w:pPr>
      <w:r w:rsidRPr="00B033A8">
        <w:rPr>
          <w:color w:val="000000" w:themeColor="text1"/>
        </w:rPr>
        <w:lastRenderedPageBreak/>
        <w:t>La SIC ha precisado el alcance y elementos de cada</w:t>
      </w:r>
      <w:r w:rsidR="00623CAA" w:rsidRPr="00B033A8">
        <w:rPr>
          <w:color w:val="000000" w:themeColor="text1"/>
        </w:rPr>
        <w:t xml:space="preserve"> una de estas </w:t>
      </w:r>
      <w:r w:rsidRPr="00B033A8">
        <w:rPr>
          <w:color w:val="000000" w:themeColor="text1"/>
        </w:rPr>
        <w:t>conducta</w:t>
      </w:r>
      <w:r w:rsidR="00623CAA" w:rsidRPr="00B033A8">
        <w:rPr>
          <w:color w:val="000000" w:themeColor="text1"/>
        </w:rPr>
        <w:t>s</w:t>
      </w:r>
      <w:r w:rsidRPr="00B033A8">
        <w:rPr>
          <w:color w:val="000000" w:themeColor="text1"/>
        </w:rPr>
        <w:t xml:space="preserve">. </w:t>
      </w:r>
      <w:r w:rsidR="00E6131E" w:rsidRPr="00B033A8">
        <w:rPr>
          <w:color w:val="000000" w:themeColor="text1"/>
        </w:rPr>
        <w:t>Según la SIC,</w:t>
      </w:r>
      <w:r w:rsidRPr="00B033A8">
        <w:rPr>
          <w:color w:val="000000" w:themeColor="text1"/>
        </w:rPr>
        <w:t xml:space="preserve"> la </w:t>
      </w:r>
      <w:r w:rsidRPr="00B033A8">
        <w:rPr>
          <w:i/>
          <w:iCs/>
          <w:color w:val="000000" w:themeColor="text1"/>
        </w:rPr>
        <w:t>colusión</w:t>
      </w:r>
      <w:r w:rsidRPr="00B033A8">
        <w:rPr>
          <w:color w:val="000000" w:themeColor="text1"/>
        </w:rPr>
        <w:t xml:space="preserve"> </w:t>
      </w:r>
      <w:r w:rsidR="00E63538" w:rsidRPr="00B033A8">
        <w:rPr>
          <w:color w:val="000000" w:themeColor="text1"/>
        </w:rPr>
        <w:t xml:space="preserve">es </w:t>
      </w:r>
      <w:r w:rsidRPr="00B033A8">
        <w:rPr>
          <w:color w:val="000000" w:themeColor="text1"/>
        </w:rPr>
        <w:t>“la acción o efecto de coludir, es decir, el hecho o circunstancia de pactar contra un tercero”</w:t>
      </w:r>
      <w:r w:rsidRPr="00B033A8">
        <w:rPr>
          <w:color w:val="000000" w:themeColor="text1"/>
          <w:vertAlign w:val="superscript"/>
        </w:rPr>
        <w:footnoteReference w:id="193"/>
      </w:r>
      <w:r w:rsidRPr="00B033A8">
        <w:rPr>
          <w:color w:val="000000" w:themeColor="text1"/>
        </w:rPr>
        <w:t>.</w:t>
      </w:r>
      <w:r w:rsidR="00D062C4" w:rsidRPr="00B033A8">
        <w:rPr>
          <w:color w:val="000000" w:themeColor="text1"/>
        </w:rPr>
        <w:t xml:space="preserve"> </w:t>
      </w:r>
      <w:r w:rsidR="00275EB0" w:rsidRPr="00B033A8">
        <w:rPr>
          <w:color w:val="000000" w:themeColor="text1"/>
        </w:rPr>
        <w:t>Asimismo</w:t>
      </w:r>
      <w:r w:rsidRPr="00B033A8">
        <w:rPr>
          <w:color w:val="000000" w:themeColor="text1"/>
        </w:rPr>
        <w:t xml:space="preserve">, </w:t>
      </w:r>
      <w:r w:rsidR="00623CAA" w:rsidRPr="00B033A8">
        <w:rPr>
          <w:color w:val="000000" w:themeColor="text1"/>
        </w:rPr>
        <w:t xml:space="preserve">ha </w:t>
      </w:r>
      <w:r w:rsidR="00E6131E" w:rsidRPr="00B033A8">
        <w:rPr>
          <w:color w:val="000000" w:themeColor="text1"/>
        </w:rPr>
        <w:t>aclarado</w:t>
      </w:r>
      <w:r w:rsidR="00623CAA" w:rsidRPr="00B033A8">
        <w:rPr>
          <w:color w:val="000000" w:themeColor="text1"/>
        </w:rPr>
        <w:t xml:space="preserve"> </w:t>
      </w:r>
      <w:r w:rsidRPr="00B033A8">
        <w:rPr>
          <w:color w:val="000000" w:themeColor="text1"/>
        </w:rPr>
        <w:t xml:space="preserve">que “se entiende ‘por objeto’ la potencialidad que tiene una conducta de causar un daño a un mercado, sin que para ello sea necesario que produzca el resultado esperado”. </w:t>
      </w:r>
      <w:r w:rsidR="00D062C4" w:rsidRPr="00B033A8">
        <w:rPr>
          <w:color w:val="000000" w:themeColor="text1"/>
        </w:rPr>
        <w:t xml:space="preserve">En este sentido, </w:t>
      </w:r>
      <w:r w:rsidR="00275EB0" w:rsidRPr="00B033A8">
        <w:rPr>
          <w:color w:val="000000" w:themeColor="text1"/>
        </w:rPr>
        <w:t>de acuerdo con la doctrina de la SIC,</w:t>
      </w:r>
      <w:r w:rsidR="00D062C4" w:rsidRPr="00B033A8">
        <w:rPr>
          <w:color w:val="000000" w:themeColor="text1"/>
        </w:rPr>
        <w:t xml:space="preserve"> </w:t>
      </w:r>
      <w:r w:rsidR="00275EB0" w:rsidRPr="00B033A8">
        <w:rPr>
          <w:color w:val="000000" w:themeColor="text1"/>
        </w:rPr>
        <w:t>el artículo 47.9 del Decreto 2153</w:t>
      </w:r>
      <w:r w:rsidR="00E6131E" w:rsidRPr="00B033A8">
        <w:rPr>
          <w:color w:val="000000" w:themeColor="text1"/>
        </w:rPr>
        <w:t xml:space="preserve"> de 1992</w:t>
      </w:r>
      <w:r w:rsidR="00275EB0" w:rsidRPr="00B033A8">
        <w:rPr>
          <w:color w:val="000000" w:themeColor="text1"/>
        </w:rPr>
        <w:t xml:space="preserve"> sanciona a los sujetos que</w:t>
      </w:r>
      <w:r w:rsidR="00D062C4" w:rsidRPr="00B033A8">
        <w:rPr>
          <w:color w:val="000000" w:themeColor="text1"/>
        </w:rPr>
        <w:t xml:space="preserve"> </w:t>
      </w:r>
      <w:r w:rsidR="00411423" w:rsidRPr="00B033A8">
        <w:rPr>
          <w:color w:val="000000" w:themeColor="text1"/>
        </w:rPr>
        <w:t>“</w:t>
      </w:r>
      <w:r w:rsidR="00D062C4" w:rsidRPr="00B033A8">
        <w:rPr>
          <w:color w:val="000000" w:themeColor="text1"/>
        </w:rPr>
        <w:t>realicen un acuerdo que tenga el objeto de modificar artificialmente los resultados de la adjudicación, defraudando así no solo el interés público que atañe el cumplimiento de los fines estatales, sino los de los demás proponentes que participan en la competencia por ese mercado”</w:t>
      </w:r>
      <w:r w:rsidR="00D062C4" w:rsidRPr="00B033A8">
        <w:rPr>
          <w:rStyle w:val="Refdenotaalpie"/>
          <w:color w:val="000000" w:themeColor="text1"/>
        </w:rPr>
        <w:footnoteReference w:id="194"/>
      </w:r>
      <w:r w:rsidR="00D062C4" w:rsidRPr="00B033A8">
        <w:rPr>
          <w:color w:val="000000" w:themeColor="text1"/>
        </w:rPr>
        <w:t xml:space="preserve">. </w:t>
      </w:r>
      <w:r w:rsidRPr="00B033A8">
        <w:rPr>
          <w:color w:val="000000" w:themeColor="text1"/>
        </w:rPr>
        <w:t xml:space="preserve">Por </w:t>
      </w:r>
      <w:r w:rsidR="00D062C4" w:rsidRPr="00B033A8">
        <w:rPr>
          <w:color w:val="000000" w:themeColor="text1"/>
        </w:rPr>
        <w:t xml:space="preserve">otra parte, </w:t>
      </w:r>
      <w:r w:rsidR="00275EB0" w:rsidRPr="00B033A8">
        <w:rPr>
          <w:color w:val="000000" w:themeColor="text1"/>
        </w:rPr>
        <w:t>la SIC ha</w:t>
      </w:r>
      <w:r w:rsidR="00D062C4" w:rsidRPr="00B033A8">
        <w:rPr>
          <w:color w:val="000000" w:themeColor="text1"/>
        </w:rPr>
        <w:t xml:space="preserve"> </w:t>
      </w:r>
      <w:r w:rsidR="00275EB0" w:rsidRPr="00B033A8">
        <w:rPr>
          <w:color w:val="000000" w:themeColor="text1"/>
        </w:rPr>
        <w:t>aclarado</w:t>
      </w:r>
      <w:r w:rsidR="00D062C4" w:rsidRPr="00B033A8">
        <w:rPr>
          <w:color w:val="000000" w:themeColor="text1"/>
        </w:rPr>
        <w:t xml:space="preserve"> que</w:t>
      </w:r>
      <w:r w:rsidRPr="00B033A8">
        <w:rPr>
          <w:color w:val="000000" w:themeColor="text1"/>
        </w:rPr>
        <w:t xml:space="preserve"> </w:t>
      </w:r>
      <w:r w:rsidR="00D062C4" w:rsidRPr="00B033A8">
        <w:rPr>
          <w:color w:val="000000" w:themeColor="text1"/>
        </w:rPr>
        <w:t>“</w:t>
      </w:r>
      <w:r w:rsidRPr="00B033A8">
        <w:rPr>
          <w:color w:val="000000" w:themeColor="text1"/>
        </w:rPr>
        <w:t xml:space="preserve">la conducta </w:t>
      </w:r>
      <w:r w:rsidR="00D062C4" w:rsidRPr="00B033A8">
        <w:rPr>
          <w:color w:val="000000" w:themeColor="text1"/>
        </w:rPr>
        <w:t>‘</w:t>
      </w:r>
      <w:r w:rsidRPr="00B033A8">
        <w:rPr>
          <w:i/>
          <w:iCs/>
          <w:color w:val="000000" w:themeColor="text1"/>
        </w:rPr>
        <w:t>por efecto</w:t>
      </w:r>
      <w:r w:rsidR="00D062C4" w:rsidRPr="00B033A8">
        <w:rPr>
          <w:color w:val="000000" w:themeColor="text1"/>
        </w:rPr>
        <w:t>’</w:t>
      </w:r>
      <w:r w:rsidRPr="00B033A8">
        <w:rPr>
          <w:color w:val="000000" w:themeColor="text1"/>
        </w:rPr>
        <w:t>, es aquella que permite verificar el resultado lesivo sobre la libre competencia en el mercado con independencia de la intención inicial de los agentes</w:t>
      </w:r>
      <w:r w:rsidR="00D062C4" w:rsidRPr="00B033A8">
        <w:rPr>
          <w:color w:val="000000" w:themeColor="text1"/>
        </w:rPr>
        <w:t>”</w:t>
      </w:r>
      <w:r w:rsidR="00411423" w:rsidRPr="00B033A8">
        <w:rPr>
          <w:rStyle w:val="Refdenotaalpie"/>
          <w:color w:val="000000" w:themeColor="text1"/>
        </w:rPr>
        <w:footnoteReference w:id="195"/>
      </w:r>
      <w:r w:rsidR="00D062C4" w:rsidRPr="00B033A8">
        <w:rPr>
          <w:color w:val="000000" w:themeColor="text1"/>
        </w:rPr>
        <w:t>.</w:t>
      </w:r>
      <w:r w:rsidR="00275EB0" w:rsidRPr="00B033A8">
        <w:rPr>
          <w:color w:val="000000" w:themeColor="text1"/>
        </w:rPr>
        <w:t xml:space="preserve"> </w:t>
      </w:r>
    </w:p>
    <w:p w14:paraId="13BED5B5" w14:textId="77777777" w:rsidR="00411423" w:rsidRPr="00B033A8" w:rsidRDefault="00411423" w:rsidP="00776641">
      <w:pPr>
        <w:pStyle w:val="Prrafodelista"/>
        <w:spacing w:line="240" w:lineRule="auto"/>
        <w:ind w:left="0"/>
        <w:rPr>
          <w:color w:val="000000" w:themeColor="text1"/>
        </w:rPr>
      </w:pPr>
    </w:p>
    <w:p w14:paraId="7CE5487A" w14:textId="5F97ACDF" w:rsidR="00E005EC" w:rsidRPr="00B033A8" w:rsidRDefault="00D20F0A" w:rsidP="00776641">
      <w:pPr>
        <w:pStyle w:val="Prrafodelista"/>
        <w:numPr>
          <w:ilvl w:val="0"/>
          <w:numId w:val="12"/>
        </w:numPr>
        <w:spacing w:line="240" w:lineRule="auto"/>
        <w:ind w:left="0" w:firstLine="0"/>
        <w:rPr>
          <w:color w:val="000000" w:themeColor="text1"/>
        </w:rPr>
      </w:pPr>
      <w:r w:rsidRPr="00B033A8">
        <w:rPr>
          <w:color w:val="000000" w:themeColor="text1"/>
        </w:rPr>
        <w:t>De acuerdo con la doctrina de la SIC,</w:t>
      </w:r>
      <w:r w:rsidR="00411423" w:rsidRPr="00B033A8">
        <w:rPr>
          <w:color w:val="000000" w:themeColor="text1"/>
        </w:rPr>
        <w:t xml:space="preserve"> </w:t>
      </w:r>
      <w:r w:rsidR="00623CAA" w:rsidRPr="00B033A8">
        <w:rPr>
          <w:color w:val="000000" w:themeColor="text1"/>
        </w:rPr>
        <w:t xml:space="preserve">los </w:t>
      </w:r>
      <w:r w:rsidR="00411423" w:rsidRPr="00B033A8">
        <w:rPr>
          <w:color w:val="000000" w:themeColor="text1"/>
        </w:rPr>
        <w:t xml:space="preserve">acuerdos anticompetitivos </w:t>
      </w:r>
      <w:r w:rsidR="00623CAA" w:rsidRPr="00B033A8">
        <w:rPr>
          <w:color w:val="000000" w:themeColor="text1"/>
        </w:rPr>
        <w:t xml:space="preserve">que el artículo 47.9 del Decreto 2153 de 1992 prohíbe </w:t>
      </w:r>
      <w:r w:rsidR="00411423" w:rsidRPr="00B033A8">
        <w:rPr>
          <w:color w:val="000000" w:themeColor="text1"/>
        </w:rPr>
        <w:t>se denominan internacionalmente “</w:t>
      </w:r>
      <w:r w:rsidR="00E005EC" w:rsidRPr="00B033A8">
        <w:rPr>
          <w:color w:val="000000" w:themeColor="text1"/>
        </w:rPr>
        <w:t>colusión en procesos de contratación pública (</w:t>
      </w:r>
      <w:proofErr w:type="spellStart"/>
      <w:r w:rsidR="00E005EC" w:rsidRPr="00B033A8">
        <w:rPr>
          <w:i/>
          <w:iCs/>
          <w:color w:val="000000" w:themeColor="text1"/>
        </w:rPr>
        <w:t>bid</w:t>
      </w:r>
      <w:proofErr w:type="spellEnd"/>
      <w:r w:rsidR="00E005EC" w:rsidRPr="00B033A8">
        <w:rPr>
          <w:i/>
          <w:iCs/>
          <w:color w:val="000000" w:themeColor="text1"/>
        </w:rPr>
        <w:t xml:space="preserve"> </w:t>
      </w:r>
      <w:proofErr w:type="spellStart"/>
      <w:r w:rsidR="00E005EC" w:rsidRPr="00B033A8">
        <w:rPr>
          <w:i/>
          <w:iCs/>
          <w:color w:val="000000" w:themeColor="text1"/>
        </w:rPr>
        <w:t>rigging</w:t>
      </w:r>
      <w:proofErr w:type="spellEnd"/>
      <w:r w:rsidR="00E005EC" w:rsidRPr="00B033A8">
        <w:rPr>
          <w:color w:val="000000" w:themeColor="text1"/>
        </w:rPr>
        <w:t xml:space="preserve"> o </w:t>
      </w:r>
      <w:proofErr w:type="spellStart"/>
      <w:r w:rsidR="00E005EC" w:rsidRPr="00B033A8">
        <w:rPr>
          <w:i/>
          <w:iCs/>
          <w:color w:val="000000" w:themeColor="text1"/>
        </w:rPr>
        <w:t>collusive</w:t>
      </w:r>
      <w:proofErr w:type="spellEnd"/>
      <w:r w:rsidR="00E005EC" w:rsidRPr="00B033A8">
        <w:rPr>
          <w:i/>
          <w:iCs/>
          <w:color w:val="000000" w:themeColor="text1"/>
        </w:rPr>
        <w:t xml:space="preserve"> </w:t>
      </w:r>
      <w:proofErr w:type="spellStart"/>
      <w:r w:rsidR="00E005EC" w:rsidRPr="00B033A8">
        <w:rPr>
          <w:i/>
          <w:iCs/>
          <w:color w:val="000000" w:themeColor="text1"/>
        </w:rPr>
        <w:t>tendering</w:t>
      </w:r>
      <w:proofErr w:type="spellEnd"/>
      <w:r w:rsidR="00E005EC" w:rsidRPr="00B033A8">
        <w:rPr>
          <w:color w:val="000000" w:themeColor="text1"/>
        </w:rPr>
        <w:t xml:space="preserve"> en inglés)</w:t>
      </w:r>
      <w:r w:rsidR="00623CAA" w:rsidRPr="00B033A8">
        <w:rPr>
          <w:color w:val="000000" w:themeColor="text1"/>
        </w:rPr>
        <w:t>”</w:t>
      </w:r>
      <w:r w:rsidR="00275EB0" w:rsidRPr="00B033A8">
        <w:rPr>
          <w:color w:val="000000" w:themeColor="text1"/>
        </w:rPr>
        <w:t>. Esta conducta es</w:t>
      </w:r>
      <w:r w:rsidR="00E005EC" w:rsidRPr="00B033A8">
        <w:rPr>
          <w:color w:val="000000" w:themeColor="text1"/>
        </w:rPr>
        <w:t xml:space="preserve"> </w:t>
      </w:r>
      <w:r w:rsidR="00275EB0" w:rsidRPr="00B033A8">
        <w:rPr>
          <w:color w:val="000000" w:themeColor="text1"/>
        </w:rPr>
        <w:t>“</w:t>
      </w:r>
      <w:r w:rsidR="00E005EC" w:rsidRPr="00B033A8">
        <w:rPr>
          <w:color w:val="000000" w:themeColor="text1"/>
        </w:rPr>
        <w:t>una de las infracciones a la libre competencia de mayor impacto, debido a que no solo vulnera el derecho colectivo constitucional a la libre competencia económica, también los bienes y los recursos públicos”</w:t>
      </w:r>
      <w:r w:rsidR="00E005EC" w:rsidRPr="00B033A8">
        <w:rPr>
          <w:rStyle w:val="Refdenotaalpie"/>
          <w:color w:val="000000" w:themeColor="text1"/>
        </w:rPr>
        <w:footnoteReference w:id="196"/>
      </w:r>
      <w:r w:rsidR="00E005EC" w:rsidRPr="00B033A8">
        <w:rPr>
          <w:color w:val="000000" w:themeColor="text1"/>
        </w:rPr>
        <w:t>.</w:t>
      </w:r>
      <w:r w:rsidR="00411423" w:rsidRPr="00B033A8">
        <w:rPr>
          <w:color w:val="000000" w:themeColor="text1"/>
        </w:rPr>
        <w:t xml:space="preserve"> </w:t>
      </w:r>
      <w:r w:rsidR="00275EB0" w:rsidRPr="00B033A8">
        <w:rPr>
          <w:color w:val="000000" w:themeColor="text1"/>
        </w:rPr>
        <w:t>Por otro lado</w:t>
      </w:r>
      <w:r w:rsidR="00411423" w:rsidRPr="00B033A8">
        <w:rPr>
          <w:color w:val="000000" w:themeColor="text1"/>
        </w:rPr>
        <w:t>, la SIC ha identificado</w:t>
      </w:r>
      <w:r w:rsidR="002C056F" w:rsidRPr="00B033A8">
        <w:rPr>
          <w:color w:val="000000" w:themeColor="text1"/>
        </w:rPr>
        <w:t xml:space="preserve">: </w:t>
      </w:r>
      <w:r w:rsidR="00411423" w:rsidRPr="00B033A8">
        <w:rPr>
          <w:i/>
          <w:iCs/>
          <w:color w:val="000000" w:themeColor="text1"/>
        </w:rPr>
        <w:t>(i)</w:t>
      </w:r>
      <w:r w:rsidR="00411423" w:rsidRPr="00B033A8">
        <w:rPr>
          <w:color w:val="000000" w:themeColor="text1"/>
        </w:rPr>
        <w:t xml:space="preserve"> </w:t>
      </w:r>
      <w:r w:rsidR="00623CAA" w:rsidRPr="00B033A8">
        <w:rPr>
          <w:color w:val="000000" w:themeColor="text1"/>
        </w:rPr>
        <w:t>ejemplos recurrentes</w:t>
      </w:r>
      <w:r w:rsidR="00275EB0" w:rsidRPr="00B033A8">
        <w:rPr>
          <w:color w:val="000000" w:themeColor="text1"/>
        </w:rPr>
        <w:t xml:space="preserve"> o usuales</w:t>
      </w:r>
      <w:r w:rsidR="00623CAA" w:rsidRPr="00B033A8">
        <w:rPr>
          <w:color w:val="000000" w:themeColor="text1"/>
        </w:rPr>
        <w:t xml:space="preserve"> </w:t>
      </w:r>
      <w:r w:rsidR="00275EB0" w:rsidRPr="00B033A8">
        <w:rPr>
          <w:color w:val="000000" w:themeColor="text1"/>
        </w:rPr>
        <w:t xml:space="preserve">de </w:t>
      </w:r>
      <w:r w:rsidR="00623CAA" w:rsidRPr="00B033A8">
        <w:rPr>
          <w:color w:val="000000" w:themeColor="text1"/>
        </w:rPr>
        <w:t>acuerdos colusorios,</w:t>
      </w:r>
      <w:r w:rsidR="004B09BF" w:rsidRPr="00B033A8">
        <w:rPr>
          <w:color w:val="000000" w:themeColor="text1"/>
        </w:rPr>
        <w:t xml:space="preserve"> </w:t>
      </w:r>
      <w:r w:rsidR="004B09BF" w:rsidRPr="00B033A8">
        <w:rPr>
          <w:i/>
          <w:iCs/>
          <w:color w:val="000000" w:themeColor="text1"/>
        </w:rPr>
        <w:t>(</w:t>
      </w:r>
      <w:proofErr w:type="spellStart"/>
      <w:r w:rsidR="004B09BF" w:rsidRPr="00B033A8">
        <w:rPr>
          <w:i/>
          <w:iCs/>
          <w:color w:val="000000" w:themeColor="text1"/>
        </w:rPr>
        <w:t>ii</w:t>
      </w:r>
      <w:proofErr w:type="spellEnd"/>
      <w:r w:rsidR="004B09BF" w:rsidRPr="00B033A8">
        <w:rPr>
          <w:i/>
          <w:iCs/>
          <w:color w:val="000000" w:themeColor="text1"/>
        </w:rPr>
        <w:t>)</w:t>
      </w:r>
      <w:r w:rsidR="004B09BF" w:rsidRPr="00B033A8">
        <w:rPr>
          <w:color w:val="000000" w:themeColor="text1"/>
        </w:rPr>
        <w:t xml:space="preserve"> </w:t>
      </w:r>
      <w:r w:rsidR="000B5655" w:rsidRPr="00B033A8">
        <w:rPr>
          <w:color w:val="000000" w:themeColor="text1"/>
        </w:rPr>
        <w:t xml:space="preserve">señales de advertencia </w:t>
      </w:r>
      <w:r w:rsidR="00623CAA" w:rsidRPr="00B033A8">
        <w:rPr>
          <w:color w:val="000000" w:themeColor="text1"/>
        </w:rPr>
        <w:t>“</w:t>
      </w:r>
      <w:r w:rsidR="000B5655" w:rsidRPr="00B033A8">
        <w:rPr>
          <w:color w:val="000000" w:themeColor="text1"/>
        </w:rPr>
        <w:t xml:space="preserve">que de presentarse sirven para detectar una posible conducta colusoria”; </w:t>
      </w:r>
      <w:r w:rsidR="000B5655" w:rsidRPr="00B033A8">
        <w:rPr>
          <w:i/>
          <w:iCs/>
          <w:color w:val="000000" w:themeColor="text1"/>
        </w:rPr>
        <w:t>(</w:t>
      </w:r>
      <w:proofErr w:type="spellStart"/>
      <w:r w:rsidR="000B5655" w:rsidRPr="00B033A8">
        <w:rPr>
          <w:i/>
          <w:iCs/>
          <w:color w:val="000000" w:themeColor="text1"/>
        </w:rPr>
        <w:t>iii</w:t>
      </w:r>
      <w:proofErr w:type="spellEnd"/>
      <w:r w:rsidR="000B5655" w:rsidRPr="00B033A8">
        <w:rPr>
          <w:i/>
          <w:iCs/>
          <w:color w:val="000000" w:themeColor="text1"/>
        </w:rPr>
        <w:t>)</w:t>
      </w:r>
      <w:r w:rsidR="000B5655" w:rsidRPr="00B033A8">
        <w:rPr>
          <w:color w:val="000000" w:themeColor="text1"/>
        </w:rPr>
        <w:t xml:space="preserve"> estrategias y </w:t>
      </w:r>
      <w:r w:rsidR="00275EB0" w:rsidRPr="00B033A8">
        <w:rPr>
          <w:color w:val="000000" w:themeColor="text1"/>
        </w:rPr>
        <w:t>“</w:t>
      </w:r>
      <w:r w:rsidR="000B5655" w:rsidRPr="00B033A8">
        <w:rPr>
          <w:color w:val="000000" w:themeColor="text1"/>
        </w:rPr>
        <w:t>esquemas de colusión que suelen usar los proponentes para lograr la adjudicación</w:t>
      </w:r>
      <w:r w:rsidR="00275EB0" w:rsidRPr="00B033A8">
        <w:rPr>
          <w:color w:val="000000" w:themeColor="text1"/>
        </w:rPr>
        <w:t>”</w:t>
      </w:r>
      <w:r w:rsidR="000B5655" w:rsidRPr="00B033A8">
        <w:rPr>
          <w:color w:val="000000" w:themeColor="text1"/>
        </w:rPr>
        <w:t xml:space="preserve"> y</w:t>
      </w:r>
      <w:r w:rsidR="00753471" w:rsidRPr="00B033A8">
        <w:rPr>
          <w:color w:val="000000" w:themeColor="text1"/>
        </w:rPr>
        <w:t>, por último,</w:t>
      </w:r>
      <w:r w:rsidR="000B5655" w:rsidRPr="00B033A8">
        <w:rPr>
          <w:color w:val="000000" w:themeColor="text1"/>
        </w:rPr>
        <w:t xml:space="preserve"> </w:t>
      </w:r>
      <w:r w:rsidR="000B5655" w:rsidRPr="00B033A8">
        <w:rPr>
          <w:i/>
          <w:iCs/>
          <w:color w:val="000000" w:themeColor="text1"/>
        </w:rPr>
        <w:t>(</w:t>
      </w:r>
      <w:proofErr w:type="spellStart"/>
      <w:r w:rsidR="000B5655" w:rsidRPr="00B033A8">
        <w:rPr>
          <w:i/>
          <w:iCs/>
          <w:color w:val="000000" w:themeColor="text1"/>
        </w:rPr>
        <w:t>iv</w:t>
      </w:r>
      <w:proofErr w:type="spellEnd"/>
      <w:r w:rsidR="000B5655" w:rsidRPr="00B033A8">
        <w:rPr>
          <w:i/>
          <w:iCs/>
          <w:color w:val="000000" w:themeColor="text1"/>
        </w:rPr>
        <w:t>)</w:t>
      </w:r>
      <w:r w:rsidR="00EA485C" w:rsidRPr="00B033A8">
        <w:rPr>
          <w:color w:val="000000" w:themeColor="text1"/>
        </w:rPr>
        <w:t xml:space="preserve"> factores que </w:t>
      </w:r>
      <w:r w:rsidR="00623CAA" w:rsidRPr="00B033A8">
        <w:rPr>
          <w:color w:val="000000" w:themeColor="text1"/>
        </w:rPr>
        <w:t>“</w:t>
      </w:r>
      <w:r w:rsidR="00EA485C" w:rsidRPr="00B033A8">
        <w:rPr>
          <w:color w:val="000000" w:themeColor="text1"/>
        </w:rPr>
        <w:t>aumentan el riesgo de colusión en los procesos de selección contractual</w:t>
      </w:r>
      <w:r w:rsidR="00623CAA" w:rsidRPr="00B033A8">
        <w:rPr>
          <w:color w:val="000000" w:themeColor="text1"/>
        </w:rPr>
        <w:t>”</w:t>
      </w:r>
      <w:r w:rsidR="009625B9" w:rsidRPr="00B033A8">
        <w:rPr>
          <w:rStyle w:val="Refdenotaalpie"/>
          <w:color w:val="000000" w:themeColor="text1"/>
        </w:rPr>
        <w:footnoteReference w:id="197"/>
      </w:r>
      <w:r w:rsidR="001C1C86" w:rsidRPr="00B033A8">
        <w:rPr>
          <w:color w:val="000000" w:themeColor="text1"/>
        </w:rPr>
        <w:t>.</w:t>
      </w:r>
      <w:r w:rsidR="00275EB0" w:rsidRPr="00B033A8">
        <w:rPr>
          <w:color w:val="000000" w:themeColor="text1"/>
        </w:rPr>
        <w:t xml:space="preserve"> La siguiente tabla sintetiza </w:t>
      </w:r>
      <w:r w:rsidR="00160C67" w:rsidRPr="00B033A8">
        <w:rPr>
          <w:color w:val="000000" w:themeColor="text1"/>
        </w:rPr>
        <w:t xml:space="preserve">la </w:t>
      </w:r>
      <w:r w:rsidR="00275EB0" w:rsidRPr="00B033A8">
        <w:rPr>
          <w:color w:val="000000" w:themeColor="text1"/>
        </w:rPr>
        <w:t>doctrina de la SIC en relación con estos puntos</w:t>
      </w:r>
      <w:r w:rsidR="0018407E" w:rsidRPr="00B033A8">
        <w:rPr>
          <w:rStyle w:val="Refdenotaalpie"/>
          <w:color w:val="000000" w:themeColor="text1"/>
        </w:rPr>
        <w:footnoteReference w:id="198"/>
      </w:r>
      <w:r w:rsidR="00275EB0" w:rsidRPr="00B033A8">
        <w:rPr>
          <w:color w:val="000000" w:themeColor="text1"/>
        </w:rPr>
        <w:t xml:space="preserve">: </w:t>
      </w:r>
    </w:p>
    <w:p w14:paraId="2FB3434A" w14:textId="77777777" w:rsidR="00411423" w:rsidRPr="00B033A8" w:rsidRDefault="00411423" w:rsidP="00776641">
      <w:pPr>
        <w:pStyle w:val="Prrafodelista"/>
        <w:spacing w:line="240" w:lineRule="auto"/>
        <w:rPr>
          <w:color w:val="000000" w:themeColor="text1"/>
        </w:rPr>
      </w:pPr>
    </w:p>
    <w:tbl>
      <w:tblPr>
        <w:tblStyle w:val="Tablaconcuadrcula"/>
        <w:tblW w:w="0" w:type="auto"/>
        <w:tblLook w:val="04A0" w:firstRow="1" w:lastRow="0" w:firstColumn="1" w:lastColumn="0" w:noHBand="0" w:noVBand="1"/>
      </w:tblPr>
      <w:tblGrid>
        <w:gridCol w:w="1616"/>
        <w:gridCol w:w="7214"/>
      </w:tblGrid>
      <w:tr w:rsidR="002C056F" w:rsidRPr="00B033A8" w14:paraId="580E9783" w14:textId="77777777" w:rsidTr="0040094B">
        <w:tc>
          <w:tcPr>
            <w:tcW w:w="8828" w:type="dxa"/>
            <w:gridSpan w:val="2"/>
            <w:shd w:val="clear" w:color="auto" w:fill="D9D9D9" w:themeFill="background1" w:themeFillShade="D9"/>
            <w:vAlign w:val="center"/>
          </w:tcPr>
          <w:p w14:paraId="63CD5A50" w14:textId="405B8BBA" w:rsidR="002C056F" w:rsidRPr="00B033A8" w:rsidRDefault="002C056F" w:rsidP="00776641">
            <w:pPr>
              <w:pStyle w:val="Prrafodelista"/>
              <w:spacing w:line="240" w:lineRule="auto"/>
              <w:ind w:left="0"/>
              <w:jc w:val="center"/>
              <w:rPr>
                <w:b/>
                <w:bCs/>
                <w:szCs w:val="20"/>
              </w:rPr>
            </w:pPr>
            <w:r w:rsidRPr="00B033A8">
              <w:rPr>
                <w:b/>
                <w:bCs/>
                <w:szCs w:val="20"/>
              </w:rPr>
              <w:t>Elementos de la colusión en procesos de contratación pública</w:t>
            </w:r>
          </w:p>
        </w:tc>
      </w:tr>
      <w:tr w:rsidR="00E348F6" w:rsidRPr="00B033A8" w14:paraId="5BDFB2C9" w14:textId="77777777" w:rsidTr="00275EB0">
        <w:tc>
          <w:tcPr>
            <w:tcW w:w="1271" w:type="dxa"/>
            <w:shd w:val="clear" w:color="auto" w:fill="D9D9D9" w:themeFill="background1" w:themeFillShade="D9"/>
            <w:vAlign w:val="center"/>
          </w:tcPr>
          <w:p w14:paraId="617CD380" w14:textId="10487523" w:rsidR="00E348F6" w:rsidRPr="00B033A8" w:rsidRDefault="00623CAA" w:rsidP="00776641">
            <w:pPr>
              <w:pStyle w:val="Prrafodelista"/>
              <w:spacing w:line="240" w:lineRule="auto"/>
              <w:ind w:left="0"/>
              <w:jc w:val="center"/>
              <w:rPr>
                <w:b/>
                <w:bCs/>
                <w:color w:val="auto"/>
                <w:szCs w:val="20"/>
              </w:rPr>
            </w:pPr>
            <w:r w:rsidRPr="00B033A8">
              <w:rPr>
                <w:b/>
                <w:bCs/>
                <w:color w:val="auto"/>
                <w:szCs w:val="20"/>
              </w:rPr>
              <w:t>Conductas colusorias</w:t>
            </w:r>
          </w:p>
        </w:tc>
        <w:tc>
          <w:tcPr>
            <w:tcW w:w="7557" w:type="dxa"/>
          </w:tcPr>
          <w:p w14:paraId="6C4AC53F" w14:textId="233D5FB6" w:rsidR="00747EBF" w:rsidRPr="00B033A8" w:rsidRDefault="00747EBF" w:rsidP="00776641">
            <w:pPr>
              <w:pStyle w:val="Prrafodelista"/>
              <w:numPr>
                <w:ilvl w:val="0"/>
                <w:numId w:val="27"/>
              </w:numPr>
              <w:spacing w:line="240" w:lineRule="auto"/>
              <w:ind w:left="182" w:hanging="219"/>
              <w:rPr>
                <w:szCs w:val="20"/>
              </w:rPr>
            </w:pPr>
            <w:r w:rsidRPr="00B033A8">
              <w:rPr>
                <w:szCs w:val="20"/>
              </w:rPr>
              <w:t xml:space="preserve">Intercambios de </w:t>
            </w:r>
            <w:r w:rsidR="002F586A" w:rsidRPr="00B033A8">
              <w:rPr>
                <w:szCs w:val="20"/>
              </w:rPr>
              <w:t xml:space="preserve">información sensible sobre las posturas </w:t>
            </w:r>
            <w:r w:rsidR="0015247A" w:rsidRPr="00B033A8">
              <w:rPr>
                <w:szCs w:val="20"/>
              </w:rPr>
              <w:t>de</w:t>
            </w:r>
            <w:r w:rsidR="002F586A" w:rsidRPr="00B033A8">
              <w:rPr>
                <w:szCs w:val="20"/>
              </w:rPr>
              <w:t xml:space="preserve"> cada oferente</w:t>
            </w:r>
            <w:r w:rsidRPr="00B033A8">
              <w:rPr>
                <w:szCs w:val="20"/>
              </w:rPr>
              <w:t>.</w:t>
            </w:r>
            <w:r w:rsidR="002F586A" w:rsidRPr="00B033A8">
              <w:rPr>
                <w:szCs w:val="20"/>
              </w:rPr>
              <w:t xml:space="preserve"> </w:t>
            </w:r>
          </w:p>
          <w:p w14:paraId="2AF8D74A" w14:textId="7A914F7E" w:rsidR="00747EBF" w:rsidRPr="00B033A8" w:rsidRDefault="00747EBF" w:rsidP="00776641">
            <w:pPr>
              <w:pStyle w:val="Prrafodelista"/>
              <w:numPr>
                <w:ilvl w:val="0"/>
                <w:numId w:val="27"/>
              </w:numPr>
              <w:spacing w:line="240" w:lineRule="auto"/>
              <w:ind w:left="182" w:hanging="219"/>
              <w:rPr>
                <w:szCs w:val="20"/>
              </w:rPr>
            </w:pPr>
            <w:r w:rsidRPr="00B033A8">
              <w:rPr>
                <w:szCs w:val="20"/>
              </w:rPr>
              <w:t>Los oferentes se abstienen</w:t>
            </w:r>
            <w:r w:rsidR="002F586A" w:rsidRPr="00B033A8">
              <w:rPr>
                <w:szCs w:val="20"/>
              </w:rPr>
              <w:t xml:space="preserve"> o no presentan propuestas</w:t>
            </w:r>
            <w:r w:rsidR="00623CAA" w:rsidRPr="00B033A8">
              <w:rPr>
                <w:szCs w:val="20"/>
              </w:rPr>
              <w:t>.</w:t>
            </w:r>
          </w:p>
          <w:p w14:paraId="73077B1D" w14:textId="074AC87A" w:rsidR="00747EBF" w:rsidRPr="00B033A8" w:rsidRDefault="00747EBF" w:rsidP="00776641">
            <w:pPr>
              <w:pStyle w:val="Prrafodelista"/>
              <w:numPr>
                <w:ilvl w:val="0"/>
                <w:numId w:val="27"/>
              </w:numPr>
              <w:spacing w:line="240" w:lineRule="auto"/>
              <w:ind w:left="182" w:hanging="219"/>
              <w:rPr>
                <w:szCs w:val="20"/>
              </w:rPr>
            </w:pPr>
            <w:r w:rsidRPr="00B033A8">
              <w:rPr>
                <w:szCs w:val="20"/>
              </w:rPr>
              <w:t>Los oferentes</w:t>
            </w:r>
            <w:r w:rsidR="002F586A" w:rsidRPr="00B033A8">
              <w:rPr>
                <w:szCs w:val="20"/>
              </w:rPr>
              <w:t xml:space="preserve"> retiran las ofertas presentadas</w:t>
            </w:r>
            <w:r w:rsidR="00623CAA" w:rsidRPr="00B033A8">
              <w:rPr>
                <w:szCs w:val="20"/>
              </w:rPr>
              <w:t>.</w:t>
            </w:r>
          </w:p>
          <w:p w14:paraId="358E47EC" w14:textId="17EA73B9" w:rsidR="00747EBF" w:rsidRPr="00B033A8" w:rsidRDefault="00747EBF" w:rsidP="00776641">
            <w:pPr>
              <w:pStyle w:val="Prrafodelista"/>
              <w:numPr>
                <w:ilvl w:val="0"/>
                <w:numId w:val="27"/>
              </w:numPr>
              <w:spacing w:line="240" w:lineRule="auto"/>
              <w:ind w:left="182" w:hanging="219"/>
              <w:rPr>
                <w:szCs w:val="20"/>
              </w:rPr>
            </w:pPr>
            <w:r w:rsidRPr="00B033A8">
              <w:rPr>
                <w:szCs w:val="20"/>
              </w:rPr>
              <w:t>Los oferentes</w:t>
            </w:r>
            <w:r w:rsidR="002F586A" w:rsidRPr="00B033A8">
              <w:rPr>
                <w:szCs w:val="20"/>
              </w:rPr>
              <w:t xml:space="preserve"> presentan propuestas destinadas al fracaso </w:t>
            </w:r>
            <w:r w:rsidRPr="00B033A8">
              <w:rPr>
                <w:szCs w:val="20"/>
              </w:rPr>
              <w:t>–</w:t>
            </w:r>
            <w:r w:rsidR="002F586A" w:rsidRPr="00B033A8">
              <w:rPr>
                <w:szCs w:val="20"/>
              </w:rPr>
              <w:t>propuestas complementarias</w:t>
            </w:r>
            <w:r w:rsidRPr="00B033A8">
              <w:rPr>
                <w:szCs w:val="20"/>
              </w:rPr>
              <w:t>–.</w:t>
            </w:r>
          </w:p>
          <w:p w14:paraId="0C831625" w14:textId="77777777" w:rsidR="007E6A35" w:rsidRPr="00B033A8" w:rsidRDefault="00747EBF" w:rsidP="00776641">
            <w:pPr>
              <w:pStyle w:val="Prrafodelista"/>
              <w:numPr>
                <w:ilvl w:val="0"/>
                <w:numId w:val="27"/>
              </w:numPr>
              <w:spacing w:line="240" w:lineRule="auto"/>
              <w:ind w:left="182" w:hanging="219"/>
              <w:rPr>
                <w:szCs w:val="20"/>
              </w:rPr>
            </w:pPr>
            <w:r w:rsidRPr="00B033A8">
              <w:rPr>
                <w:szCs w:val="20"/>
              </w:rPr>
              <w:lastRenderedPageBreak/>
              <w:t>E</w:t>
            </w:r>
            <w:r w:rsidR="002F586A" w:rsidRPr="00B033A8">
              <w:rPr>
                <w:szCs w:val="20"/>
              </w:rPr>
              <w:t>n licitaciones repetidas en el tiempo, se organizan para repartirse los contratos a lo largo del tiempo</w:t>
            </w:r>
            <w:r w:rsidR="007E6A35" w:rsidRPr="00B033A8">
              <w:rPr>
                <w:szCs w:val="20"/>
              </w:rPr>
              <w:t>.</w:t>
            </w:r>
            <w:r w:rsidR="002F586A" w:rsidRPr="00B033A8">
              <w:rPr>
                <w:szCs w:val="20"/>
              </w:rPr>
              <w:t xml:space="preserve"> </w:t>
            </w:r>
          </w:p>
          <w:p w14:paraId="0CCAD1CF" w14:textId="2B8205C9" w:rsidR="00E348F6" w:rsidRPr="00B033A8" w:rsidRDefault="007E6A35" w:rsidP="00776641">
            <w:pPr>
              <w:pStyle w:val="Prrafodelista"/>
              <w:numPr>
                <w:ilvl w:val="0"/>
                <w:numId w:val="27"/>
              </w:numPr>
              <w:spacing w:line="240" w:lineRule="auto"/>
              <w:ind w:left="182" w:hanging="219"/>
              <w:rPr>
                <w:szCs w:val="20"/>
              </w:rPr>
            </w:pPr>
            <w:r w:rsidRPr="00B033A8">
              <w:rPr>
                <w:szCs w:val="20"/>
              </w:rPr>
              <w:t>A</w:t>
            </w:r>
            <w:r w:rsidR="002F586A" w:rsidRPr="00B033A8">
              <w:rPr>
                <w:szCs w:val="20"/>
              </w:rPr>
              <w:t xml:space="preserve"> efectos de distribuir el excedente generado entre los miembros del acuerdo, el adjudicatario puede tomar la posición de licitante en una segunda subasta efectuada sólo entre los miembros del acuerdo, </w:t>
            </w:r>
            <w:proofErr w:type="gramStart"/>
            <w:r w:rsidR="002F586A" w:rsidRPr="00B033A8">
              <w:rPr>
                <w:szCs w:val="20"/>
              </w:rPr>
              <w:t>que</w:t>
            </w:r>
            <w:proofErr w:type="gramEnd"/>
            <w:r w:rsidR="002F586A" w:rsidRPr="00B033A8">
              <w:rPr>
                <w:szCs w:val="20"/>
              </w:rPr>
              <w:t xml:space="preserve"> a diferencia de la primera subasta, presentan propuestas realmente competitivas.</w:t>
            </w:r>
          </w:p>
        </w:tc>
      </w:tr>
      <w:tr w:rsidR="00E348F6" w:rsidRPr="00B033A8" w14:paraId="45BC7377" w14:textId="77777777" w:rsidTr="00275EB0">
        <w:tc>
          <w:tcPr>
            <w:tcW w:w="1271" w:type="dxa"/>
            <w:shd w:val="clear" w:color="auto" w:fill="D9D9D9" w:themeFill="background1" w:themeFillShade="D9"/>
            <w:vAlign w:val="center"/>
          </w:tcPr>
          <w:p w14:paraId="2FDAB8E4" w14:textId="5AF9AA8A" w:rsidR="00E348F6" w:rsidRPr="00B033A8" w:rsidRDefault="00E348F6" w:rsidP="00776641">
            <w:pPr>
              <w:pStyle w:val="Prrafodelista"/>
              <w:spacing w:line="240" w:lineRule="auto"/>
              <w:ind w:left="0"/>
              <w:jc w:val="center"/>
              <w:rPr>
                <w:b/>
                <w:bCs/>
                <w:color w:val="auto"/>
                <w:szCs w:val="20"/>
              </w:rPr>
            </w:pPr>
            <w:r w:rsidRPr="00B033A8">
              <w:rPr>
                <w:b/>
                <w:bCs/>
                <w:color w:val="auto"/>
                <w:szCs w:val="20"/>
              </w:rPr>
              <w:lastRenderedPageBreak/>
              <w:t xml:space="preserve">Señales de advertencia </w:t>
            </w:r>
          </w:p>
        </w:tc>
        <w:tc>
          <w:tcPr>
            <w:tcW w:w="7557" w:type="dxa"/>
          </w:tcPr>
          <w:p w14:paraId="604DF0F4" w14:textId="77777777" w:rsidR="00F03A8D" w:rsidRPr="00B033A8" w:rsidRDefault="00F03A8D" w:rsidP="00776641">
            <w:pPr>
              <w:pStyle w:val="Prrafodelista"/>
              <w:numPr>
                <w:ilvl w:val="0"/>
                <w:numId w:val="27"/>
              </w:numPr>
              <w:spacing w:line="240" w:lineRule="auto"/>
              <w:ind w:left="175" w:hanging="219"/>
              <w:rPr>
                <w:szCs w:val="20"/>
                <w:lang w:val="es-ES_tradnl"/>
              </w:rPr>
            </w:pPr>
            <w:r w:rsidRPr="00B033A8">
              <w:rPr>
                <w:szCs w:val="20"/>
              </w:rPr>
              <w:t>Se presentan cotizaciones similares para la elaboración de los estudios previos.</w:t>
            </w:r>
          </w:p>
          <w:p w14:paraId="2921B59B" w14:textId="77777777" w:rsidR="00F03A8D" w:rsidRPr="00B033A8" w:rsidRDefault="00F03A8D" w:rsidP="00776641">
            <w:pPr>
              <w:pStyle w:val="Prrafodelista"/>
              <w:numPr>
                <w:ilvl w:val="0"/>
                <w:numId w:val="27"/>
              </w:numPr>
              <w:spacing w:line="240" w:lineRule="auto"/>
              <w:ind w:left="175" w:hanging="219"/>
              <w:rPr>
                <w:szCs w:val="20"/>
                <w:lang w:val="es-ES_tradnl"/>
              </w:rPr>
            </w:pPr>
            <w:r w:rsidRPr="00B033A8">
              <w:rPr>
                <w:szCs w:val="20"/>
              </w:rPr>
              <w:t xml:space="preserve">Observaciones muy similares al proyecto de pliego de condiciones. </w:t>
            </w:r>
          </w:p>
          <w:p w14:paraId="0D40C38B" w14:textId="77777777" w:rsidR="00F03A8D" w:rsidRPr="00B033A8" w:rsidRDefault="00F03A8D" w:rsidP="00776641">
            <w:pPr>
              <w:pStyle w:val="Prrafodelista"/>
              <w:numPr>
                <w:ilvl w:val="0"/>
                <w:numId w:val="27"/>
              </w:numPr>
              <w:spacing w:line="240" w:lineRule="auto"/>
              <w:ind w:left="175" w:hanging="219"/>
              <w:rPr>
                <w:szCs w:val="20"/>
                <w:lang w:val="es-ES_tradnl"/>
              </w:rPr>
            </w:pPr>
            <w:r w:rsidRPr="00B033A8">
              <w:rPr>
                <w:szCs w:val="20"/>
              </w:rPr>
              <w:t xml:space="preserve">Entrega de varias propuestas por parte de una misma persona. </w:t>
            </w:r>
          </w:p>
          <w:p w14:paraId="089A62DF" w14:textId="77777777" w:rsidR="00F03A8D" w:rsidRPr="00B033A8" w:rsidRDefault="00F03A8D" w:rsidP="00776641">
            <w:pPr>
              <w:pStyle w:val="Prrafodelista"/>
              <w:numPr>
                <w:ilvl w:val="0"/>
                <w:numId w:val="27"/>
              </w:numPr>
              <w:spacing w:line="240" w:lineRule="auto"/>
              <w:ind w:left="175" w:hanging="219"/>
              <w:rPr>
                <w:szCs w:val="20"/>
                <w:lang w:val="es-ES_tradnl"/>
              </w:rPr>
            </w:pPr>
            <w:r w:rsidRPr="00B033A8">
              <w:rPr>
                <w:szCs w:val="20"/>
              </w:rPr>
              <w:t xml:space="preserve">Similitud de errores en la propuesta. </w:t>
            </w:r>
          </w:p>
          <w:p w14:paraId="25CFC168" w14:textId="77777777" w:rsidR="00F03A8D" w:rsidRPr="00B033A8" w:rsidRDefault="00F03A8D" w:rsidP="00776641">
            <w:pPr>
              <w:pStyle w:val="Prrafodelista"/>
              <w:numPr>
                <w:ilvl w:val="0"/>
                <w:numId w:val="27"/>
              </w:numPr>
              <w:spacing w:line="240" w:lineRule="auto"/>
              <w:ind w:left="175" w:hanging="219"/>
              <w:rPr>
                <w:szCs w:val="20"/>
                <w:lang w:val="es-ES_tradnl"/>
              </w:rPr>
            </w:pPr>
            <w:r w:rsidRPr="00B033A8">
              <w:rPr>
                <w:szCs w:val="20"/>
              </w:rPr>
              <w:t xml:space="preserve">Formatos similares en las propuestas cuando no son provistos por la entidad. </w:t>
            </w:r>
          </w:p>
          <w:p w14:paraId="2E3B75B2" w14:textId="77777777" w:rsidR="00F03A8D" w:rsidRPr="00B033A8" w:rsidRDefault="00F03A8D" w:rsidP="00776641">
            <w:pPr>
              <w:pStyle w:val="Prrafodelista"/>
              <w:numPr>
                <w:ilvl w:val="0"/>
                <w:numId w:val="27"/>
              </w:numPr>
              <w:spacing w:line="240" w:lineRule="auto"/>
              <w:ind w:left="175" w:hanging="219"/>
              <w:rPr>
                <w:szCs w:val="20"/>
                <w:lang w:val="es-ES_tradnl"/>
              </w:rPr>
            </w:pPr>
            <w:r w:rsidRPr="00B033A8">
              <w:rPr>
                <w:szCs w:val="20"/>
              </w:rPr>
              <w:t xml:space="preserve">Datos, certificaciones y personal idéntico entre distintos proponentes. </w:t>
            </w:r>
          </w:p>
          <w:p w14:paraId="3A1EE902" w14:textId="77777777" w:rsidR="00F03A8D" w:rsidRPr="00B033A8" w:rsidRDefault="00F03A8D" w:rsidP="00776641">
            <w:pPr>
              <w:pStyle w:val="Prrafodelista"/>
              <w:numPr>
                <w:ilvl w:val="0"/>
                <w:numId w:val="27"/>
              </w:numPr>
              <w:spacing w:line="240" w:lineRule="auto"/>
              <w:ind w:left="175" w:hanging="219"/>
              <w:rPr>
                <w:szCs w:val="20"/>
                <w:lang w:val="es-ES_tradnl"/>
              </w:rPr>
            </w:pPr>
            <w:r w:rsidRPr="00B033A8">
              <w:rPr>
                <w:szCs w:val="20"/>
              </w:rPr>
              <w:t xml:space="preserve">Documentos presentados con números consecutivos o expedidos con poco tiempo de diferencia o simultáneamente. </w:t>
            </w:r>
          </w:p>
          <w:p w14:paraId="4EDDC62C" w14:textId="77777777" w:rsidR="00F03A8D" w:rsidRPr="00B033A8" w:rsidRDefault="00F03A8D" w:rsidP="00776641">
            <w:pPr>
              <w:pStyle w:val="Prrafodelista"/>
              <w:numPr>
                <w:ilvl w:val="0"/>
                <w:numId w:val="27"/>
              </w:numPr>
              <w:spacing w:line="240" w:lineRule="auto"/>
              <w:ind w:left="175" w:hanging="219"/>
              <w:rPr>
                <w:szCs w:val="20"/>
                <w:lang w:val="es-ES_tradnl"/>
              </w:rPr>
            </w:pPr>
            <w:r w:rsidRPr="00B033A8">
              <w:rPr>
                <w:szCs w:val="20"/>
              </w:rPr>
              <w:t>Observaciones similares al informe de evaluación de las propuestas.</w:t>
            </w:r>
          </w:p>
          <w:p w14:paraId="2D0854A9" w14:textId="77777777" w:rsidR="00F03A8D" w:rsidRPr="00B033A8" w:rsidRDefault="00F03A8D" w:rsidP="00776641">
            <w:pPr>
              <w:pStyle w:val="Prrafodelista"/>
              <w:numPr>
                <w:ilvl w:val="0"/>
                <w:numId w:val="27"/>
              </w:numPr>
              <w:spacing w:line="240" w:lineRule="auto"/>
              <w:ind w:left="175" w:hanging="219"/>
              <w:rPr>
                <w:szCs w:val="20"/>
                <w:lang w:val="es-ES_tradnl"/>
              </w:rPr>
            </w:pPr>
            <w:r w:rsidRPr="00B033A8">
              <w:rPr>
                <w:szCs w:val="20"/>
              </w:rPr>
              <w:t xml:space="preserve">Subcontratación de proponentes rivales una vez adjudicado el contrato. </w:t>
            </w:r>
          </w:p>
          <w:p w14:paraId="33A4A698" w14:textId="77777777" w:rsidR="00F03A8D" w:rsidRPr="00B033A8" w:rsidRDefault="00F03A8D" w:rsidP="00776641">
            <w:pPr>
              <w:pStyle w:val="Prrafodelista"/>
              <w:numPr>
                <w:ilvl w:val="0"/>
                <w:numId w:val="27"/>
              </w:numPr>
              <w:spacing w:line="240" w:lineRule="auto"/>
              <w:ind w:left="175" w:hanging="219"/>
              <w:rPr>
                <w:szCs w:val="20"/>
                <w:lang w:val="es-ES_tradnl"/>
              </w:rPr>
            </w:pPr>
            <w:r w:rsidRPr="00B033A8">
              <w:rPr>
                <w:szCs w:val="20"/>
              </w:rPr>
              <w:t xml:space="preserve">El adjudicatario es el mismo a lo largo del tiempo o en varios procesos. </w:t>
            </w:r>
          </w:p>
          <w:p w14:paraId="4E97EED5" w14:textId="77777777" w:rsidR="00F03A8D" w:rsidRPr="00B033A8" w:rsidRDefault="00F03A8D" w:rsidP="00776641">
            <w:pPr>
              <w:pStyle w:val="Prrafodelista"/>
              <w:numPr>
                <w:ilvl w:val="0"/>
                <w:numId w:val="27"/>
              </w:numPr>
              <w:spacing w:line="240" w:lineRule="auto"/>
              <w:ind w:left="175" w:hanging="219"/>
              <w:rPr>
                <w:szCs w:val="20"/>
                <w:lang w:val="es-ES_tradnl"/>
              </w:rPr>
            </w:pPr>
            <w:r w:rsidRPr="00B033A8">
              <w:rPr>
                <w:szCs w:val="20"/>
              </w:rPr>
              <w:t xml:space="preserve">Potenciales proponentes que, teniendo la capacidad, no se presentan al proceso sin mediar razón. </w:t>
            </w:r>
          </w:p>
          <w:p w14:paraId="35B24483" w14:textId="77777777" w:rsidR="00F03A8D" w:rsidRPr="00B033A8" w:rsidRDefault="00F03A8D" w:rsidP="00776641">
            <w:pPr>
              <w:pStyle w:val="Prrafodelista"/>
              <w:numPr>
                <w:ilvl w:val="0"/>
                <w:numId w:val="27"/>
              </w:numPr>
              <w:spacing w:line="240" w:lineRule="auto"/>
              <w:ind w:left="175" w:hanging="219"/>
              <w:rPr>
                <w:szCs w:val="20"/>
                <w:lang w:val="es-ES_tradnl"/>
              </w:rPr>
            </w:pPr>
            <w:r w:rsidRPr="00B033A8">
              <w:rPr>
                <w:szCs w:val="20"/>
              </w:rPr>
              <w:t xml:space="preserve">Retiro sistemático de proponentes al proceso. </w:t>
            </w:r>
          </w:p>
          <w:p w14:paraId="12FB14FB" w14:textId="77777777" w:rsidR="00F03A8D" w:rsidRPr="00B033A8" w:rsidRDefault="00F03A8D" w:rsidP="00776641">
            <w:pPr>
              <w:pStyle w:val="Prrafodelista"/>
              <w:numPr>
                <w:ilvl w:val="0"/>
                <w:numId w:val="27"/>
              </w:numPr>
              <w:spacing w:line="240" w:lineRule="auto"/>
              <w:ind w:left="175" w:hanging="219"/>
              <w:rPr>
                <w:szCs w:val="20"/>
                <w:lang w:val="es-ES_tradnl"/>
              </w:rPr>
            </w:pPr>
            <w:r w:rsidRPr="00B033A8">
              <w:rPr>
                <w:szCs w:val="20"/>
              </w:rPr>
              <w:t xml:space="preserve">Proponentes que se presentan constantemente y nunca son adjudicatarios. </w:t>
            </w:r>
          </w:p>
          <w:p w14:paraId="4560AE49" w14:textId="77777777" w:rsidR="00F03A8D" w:rsidRPr="00B033A8" w:rsidRDefault="00F03A8D" w:rsidP="00776641">
            <w:pPr>
              <w:pStyle w:val="Prrafodelista"/>
              <w:numPr>
                <w:ilvl w:val="0"/>
                <w:numId w:val="27"/>
              </w:numPr>
              <w:spacing w:line="240" w:lineRule="auto"/>
              <w:ind w:left="175" w:hanging="219"/>
              <w:rPr>
                <w:szCs w:val="20"/>
                <w:lang w:val="es-ES_tradnl"/>
              </w:rPr>
            </w:pPr>
            <w:r w:rsidRPr="00B033A8">
              <w:rPr>
                <w:szCs w:val="20"/>
              </w:rPr>
              <w:t xml:space="preserve">Proponentes que dejan de presentarse en consorcios o uniones temporales que solían conformar, para ahora hacerlo de forma independiente. </w:t>
            </w:r>
          </w:p>
          <w:p w14:paraId="290AFCD7" w14:textId="77777777" w:rsidR="00F03A8D" w:rsidRPr="00B033A8" w:rsidRDefault="00F03A8D" w:rsidP="00776641">
            <w:pPr>
              <w:pStyle w:val="Prrafodelista"/>
              <w:numPr>
                <w:ilvl w:val="0"/>
                <w:numId w:val="27"/>
              </w:numPr>
              <w:spacing w:line="240" w:lineRule="auto"/>
              <w:ind w:left="175" w:hanging="219"/>
              <w:rPr>
                <w:szCs w:val="20"/>
                <w:lang w:val="es-ES_tradnl"/>
              </w:rPr>
            </w:pPr>
            <w:r w:rsidRPr="00B033A8">
              <w:rPr>
                <w:szCs w:val="20"/>
              </w:rPr>
              <w:t xml:space="preserve">Ofertas muy diferentes en procesos de similares condiciones. </w:t>
            </w:r>
          </w:p>
          <w:p w14:paraId="74F3BD92" w14:textId="0B453477" w:rsidR="00F03A8D" w:rsidRPr="00B033A8" w:rsidRDefault="00F03A8D" w:rsidP="00776641">
            <w:pPr>
              <w:pStyle w:val="Prrafodelista"/>
              <w:numPr>
                <w:ilvl w:val="0"/>
                <w:numId w:val="27"/>
              </w:numPr>
              <w:spacing w:line="240" w:lineRule="auto"/>
              <w:ind w:left="175" w:hanging="219"/>
              <w:rPr>
                <w:szCs w:val="20"/>
                <w:lang w:val="es-ES_tradnl"/>
              </w:rPr>
            </w:pPr>
            <w:r w:rsidRPr="00B033A8">
              <w:rPr>
                <w:szCs w:val="20"/>
              </w:rPr>
              <w:t xml:space="preserve">Cambio en la conducta de los habituales oferentes ante el ingreso de uno nuevo. </w:t>
            </w:r>
          </w:p>
        </w:tc>
      </w:tr>
      <w:tr w:rsidR="00E348F6" w:rsidRPr="00B033A8" w14:paraId="5B9D8B0F" w14:textId="77777777" w:rsidTr="00275EB0">
        <w:tc>
          <w:tcPr>
            <w:tcW w:w="1271" w:type="dxa"/>
            <w:shd w:val="clear" w:color="auto" w:fill="D9D9D9" w:themeFill="background1" w:themeFillShade="D9"/>
            <w:vAlign w:val="center"/>
          </w:tcPr>
          <w:p w14:paraId="69A66595" w14:textId="37104F25" w:rsidR="00E348F6" w:rsidRPr="00B033A8" w:rsidRDefault="00E348F6" w:rsidP="00776641">
            <w:pPr>
              <w:pStyle w:val="Prrafodelista"/>
              <w:spacing w:line="240" w:lineRule="auto"/>
              <w:ind w:left="0"/>
              <w:jc w:val="center"/>
              <w:rPr>
                <w:b/>
                <w:bCs/>
                <w:color w:val="auto"/>
                <w:szCs w:val="20"/>
              </w:rPr>
            </w:pPr>
            <w:r w:rsidRPr="00B033A8">
              <w:rPr>
                <w:b/>
                <w:bCs/>
                <w:color w:val="auto"/>
                <w:szCs w:val="20"/>
              </w:rPr>
              <w:t xml:space="preserve">Estrategias y esquemas de colusión </w:t>
            </w:r>
          </w:p>
        </w:tc>
        <w:tc>
          <w:tcPr>
            <w:tcW w:w="7557" w:type="dxa"/>
          </w:tcPr>
          <w:p w14:paraId="56681C30" w14:textId="76C38227" w:rsidR="00F725DA" w:rsidRPr="00B033A8" w:rsidRDefault="00F725DA" w:rsidP="00776641">
            <w:pPr>
              <w:pStyle w:val="Prrafodelista"/>
              <w:numPr>
                <w:ilvl w:val="0"/>
                <w:numId w:val="27"/>
              </w:numPr>
              <w:spacing w:line="240" w:lineRule="auto"/>
              <w:ind w:left="182" w:hanging="219"/>
              <w:rPr>
                <w:szCs w:val="20"/>
                <w:lang w:val="es-ES_tradnl"/>
              </w:rPr>
            </w:pPr>
            <w:r w:rsidRPr="00B033A8">
              <w:rPr>
                <w:szCs w:val="20"/>
              </w:rPr>
              <w:t xml:space="preserve">Posturas encubiertas que sirven para simular la existencia de competencia, o ayudan a que las medias que se utilizan para la adjudicación </w:t>
            </w:r>
            <w:r w:rsidR="00A762FD" w:rsidRPr="00B033A8">
              <w:rPr>
                <w:szCs w:val="20"/>
              </w:rPr>
              <w:t>–</w:t>
            </w:r>
            <w:r w:rsidRPr="00B033A8">
              <w:rPr>
                <w:szCs w:val="20"/>
              </w:rPr>
              <w:t>media aritmética, geométrica, etc.</w:t>
            </w:r>
            <w:r w:rsidR="00A762FD" w:rsidRPr="00B033A8">
              <w:rPr>
                <w:szCs w:val="20"/>
              </w:rPr>
              <w:t>–</w:t>
            </w:r>
            <w:r w:rsidRPr="00B033A8">
              <w:rPr>
                <w:szCs w:val="20"/>
              </w:rPr>
              <w:t xml:space="preserve"> se muevan a favor de una oferta. </w:t>
            </w:r>
          </w:p>
          <w:p w14:paraId="730E4656" w14:textId="77777777" w:rsidR="00F725DA" w:rsidRPr="00B033A8" w:rsidRDefault="00F725DA" w:rsidP="00776641">
            <w:pPr>
              <w:pStyle w:val="Prrafodelista"/>
              <w:numPr>
                <w:ilvl w:val="0"/>
                <w:numId w:val="27"/>
              </w:numPr>
              <w:spacing w:line="240" w:lineRule="auto"/>
              <w:ind w:left="182" w:hanging="219"/>
              <w:rPr>
                <w:szCs w:val="20"/>
                <w:lang w:val="es-ES_tradnl"/>
              </w:rPr>
            </w:pPr>
            <w:r w:rsidRPr="00B033A8">
              <w:rPr>
                <w:szCs w:val="20"/>
              </w:rPr>
              <w:t xml:space="preserve">Supresión de ofertas o no presentación de las mismas cuando surten todo el proceso precontractual, sin que haya evidencia de un motivo racional para ello. </w:t>
            </w:r>
          </w:p>
          <w:p w14:paraId="05AD3679" w14:textId="77777777" w:rsidR="00F725DA" w:rsidRPr="00B033A8" w:rsidRDefault="00F725DA" w:rsidP="00776641">
            <w:pPr>
              <w:pStyle w:val="Prrafodelista"/>
              <w:numPr>
                <w:ilvl w:val="0"/>
                <w:numId w:val="27"/>
              </w:numPr>
              <w:spacing w:line="240" w:lineRule="auto"/>
              <w:ind w:left="182" w:hanging="219"/>
              <w:rPr>
                <w:szCs w:val="20"/>
                <w:lang w:val="es-ES_tradnl"/>
              </w:rPr>
            </w:pPr>
            <w:r w:rsidRPr="00B033A8">
              <w:rPr>
                <w:szCs w:val="20"/>
              </w:rPr>
              <w:t xml:space="preserve">Rotación de ofertas en las que se van distribuyendo a través del tiempo, así como de los distintos procesos, la adjudicación de los contratos. </w:t>
            </w:r>
          </w:p>
          <w:p w14:paraId="2F93FEAA" w14:textId="610F82B7" w:rsidR="00E348F6" w:rsidRPr="00B033A8" w:rsidRDefault="00F725DA" w:rsidP="00776641">
            <w:pPr>
              <w:pStyle w:val="Prrafodelista"/>
              <w:numPr>
                <w:ilvl w:val="0"/>
                <w:numId w:val="27"/>
              </w:numPr>
              <w:spacing w:line="240" w:lineRule="auto"/>
              <w:ind w:left="182" w:hanging="219"/>
              <w:rPr>
                <w:szCs w:val="20"/>
              </w:rPr>
            </w:pPr>
            <w:r w:rsidRPr="00B033A8">
              <w:rPr>
                <w:szCs w:val="20"/>
              </w:rPr>
              <w:lastRenderedPageBreak/>
              <w:t>Asignación de procesos de selección por criterios territoriales, tipos de entidad, tipos de procesos, etc.</w:t>
            </w:r>
          </w:p>
        </w:tc>
      </w:tr>
      <w:tr w:rsidR="00E348F6" w:rsidRPr="00B033A8" w14:paraId="0586FC41" w14:textId="77777777" w:rsidTr="00275EB0">
        <w:tc>
          <w:tcPr>
            <w:tcW w:w="1271" w:type="dxa"/>
            <w:shd w:val="clear" w:color="auto" w:fill="D9D9D9" w:themeFill="background1" w:themeFillShade="D9"/>
            <w:vAlign w:val="center"/>
          </w:tcPr>
          <w:p w14:paraId="45ECAD58" w14:textId="07B8FE36" w:rsidR="00E348F6" w:rsidRPr="00B033A8" w:rsidRDefault="00E348F6" w:rsidP="00776641">
            <w:pPr>
              <w:pStyle w:val="Prrafodelista"/>
              <w:spacing w:line="240" w:lineRule="auto"/>
              <w:ind w:left="0"/>
              <w:jc w:val="center"/>
              <w:rPr>
                <w:b/>
                <w:bCs/>
                <w:color w:val="auto"/>
                <w:szCs w:val="20"/>
              </w:rPr>
            </w:pPr>
            <w:r w:rsidRPr="00B033A8">
              <w:rPr>
                <w:b/>
                <w:bCs/>
                <w:color w:val="auto"/>
                <w:szCs w:val="20"/>
              </w:rPr>
              <w:lastRenderedPageBreak/>
              <w:t xml:space="preserve">Factores que aumentan el riesgo de colusión </w:t>
            </w:r>
          </w:p>
        </w:tc>
        <w:tc>
          <w:tcPr>
            <w:tcW w:w="7557" w:type="dxa"/>
          </w:tcPr>
          <w:p w14:paraId="569D30E2" w14:textId="27C7442D" w:rsidR="005F12DE" w:rsidRPr="00B033A8" w:rsidRDefault="005F12DE" w:rsidP="00776641">
            <w:pPr>
              <w:pStyle w:val="Prrafodelista"/>
              <w:numPr>
                <w:ilvl w:val="0"/>
                <w:numId w:val="27"/>
              </w:numPr>
              <w:spacing w:line="240" w:lineRule="auto"/>
              <w:ind w:left="182" w:hanging="219"/>
              <w:rPr>
                <w:szCs w:val="20"/>
                <w:lang w:val="es-ES_tradnl"/>
              </w:rPr>
            </w:pPr>
            <w:r w:rsidRPr="00B033A8">
              <w:rPr>
                <w:szCs w:val="20"/>
              </w:rPr>
              <w:t>Pocos proveedores del bien o servicio a contratar.</w:t>
            </w:r>
          </w:p>
          <w:p w14:paraId="67692BAF" w14:textId="77777777" w:rsidR="005F12DE" w:rsidRPr="00B033A8" w:rsidRDefault="005F12DE" w:rsidP="00776641">
            <w:pPr>
              <w:pStyle w:val="Prrafodelista"/>
              <w:numPr>
                <w:ilvl w:val="0"/>
                <w:numId w:val="27"/>
              </w:numPr>
              <w:spacing w:line="240" w:lineRule="auto"/>
              <w:ind w:left="182" w:hanging="219"/>
              <w:rPr>
                <w:szCs w:val="20"/>
                <w:lang w:val="es-ES_tradnl"/>
              </w:rPr>
            </w:pPr>
            <w:r w:rsidRPr="00B033A8">
              <w:rPr>
                <w:szCs w:val="20"/>
              </w:rPr>
              <w:t xml:space="preserve">Necesidad periódica de adquirir el bien o servicio. </w:t>
            </w:r>
          </w:p>
          <w:p w14:paraId="48BDD3C2" w14:textId="77777777" w:rsidR="005F12DE" w:rsidRPr="00B033A8" w:rsidRDefault="005F12DE" w:rsidP="00776641">
            <w:pPr>
              <w:pStyle w:val="Prrafodelista"/>
              <w:numPr>
                <w:ilvl w:val="0"/>
                <w:numId w:val="27"/>
              </w:numPr>
              <w:spacing w:line="240" w:lineRule="auto"/>
              <w:ind w:left="182" w:hanging="219"/>
              <w:rPr>
                <w:szCs w:val="20"/>
                <w:lang w:val="es-ES_tradnl"/>
              </w:rPr>
            </w:pPr>
            <w:r w:rsidRPr="00B033A8">
              <w:rPr>
                <w:szCs w:val="20"/>
              </w:rPr>
              <w:t xml:space="preserve">Pocos sustitutos que puedan satisfacer la necesidad de la entidad contratante. </w:t>
            </w:r>
          </w:p>
          <w:p w14:paraId="357184A1" w14:textId="77777777" w:rsidR="005F12DE" w:rsidRPr="00B033A8" w:rsidRDefault="005F12DE" w:rsidP="00776641">
            <w:pPr>
              <w:pStyle w:val="Prrafodelista"/>
              <w:numPr>
                <w:ilvl w:val="0"/>
                <w:numId w:val="27"/>
              </w:numPr>
              <w:spacing w:line="240" w:lineRule="auto"/>
              <w:ind w:left="182" w:hanging="219"/>
              <w:rPr>
                <w:szCs w:val="20"/>
                <w:lang w:val="es-ES_tradnl"/>
              </w:rPr>
            </w:pPr>
            <w:r w:rsidRPr="00B033A8">
              <w:rPr>
                <w:szCs w:val="20"/>
              </w:rPr>
              <w:t xml:space="preserve">La inexistencia o poco cambio tecnológico. </w:t>
            </w:r>
          </w:p>
          <w:p w14:paraId="5EF9F572" w14:textId="77777777" w:rsidR="005F12DE" w:rsidRPr="00B033A8" w:rsidRDefault="005F12DE" w:rsidP="00776641">
            <w:pPr>
              <w:pStyle w:val="Prrafodelista"/>
              <w:numPr>
                <w:ilvl w:val="0"/>
                <w:numId w:val="27"/>
              </w:numPr>
              <w:spacing w:line="240" w:lineRule="auto"/>
              <w:ind w:left="182" w:hanging="219"/>
              <w:rPr>
                <w:szCs w:val="20"/>
                <w:lang w:val="es-ES_tradnl"/>
              </w:rPr>
            </w:pPr>
            <w:r w:rsidRPr="00B033A8">
              <w:rPr>
                <w:szCs w:val="20"/>
              </w:rPr>
              <w:t xml:space="preserve">Estabilidad en formatos y formas de evaluación. </w:t>
            </w:r>
          </w:p>
          <w:p w14:paraId="3649F1E7" w14:textId="77777777" w:rsidR="005F12DE" w:rsidRPr="00B033A8" w:rsidRDefault="005F12DE" w:rsidP="00776641">
            <w:pPr>
              <w:pStyle w:val="Prrafodelista"/>
              <w:numPr>
                <w:ilvl w:val="0"/>
                <w:numId w:val="27"/>
              </w:numPr>
              <w:spacing w:line="240" w:lineRule="auto"/>
              <w:ind w:left="182" w:hanging="219"/>
              <w:rPr>
                <w:szCs w:val="20"/>
                <w:lang w:val="es-ES_tradnl"/>
              </w:rPr>
            </w:pPr>
            <w:r w:rsidRPr="00B033A8">
              <w:rPr>
                <w:szCs w:val="20"/>
              </w:rPr>
              <w:t xml:space="preserve">Fijación de barreras innecesarias a la entrada por medio de requisitos excesivos. </w:t>
            </w:r>
          </w:p>
          <w:p w14:paraId="4DD1FC70" w14:textId="55399AE2" w:rsidR="005F12DE" w:rsidRPr="00B033A8" w:rsidRDefault="005F12DE" w:rsidP="00776641">
            <w:pPr>
              <w:pStyle w:val="Prrafodelista"/>
              <w:numPr>
                <w:ilvl w:val="0"/>
                <w:numId w:val="27"/>
              </w:numPr>
              <w:spacing w:line="240" w:lineRule="auto"/>
              <w:ind w:left="182" w:hanging="219"/>
              <w:rPr>
                <w:szCs w:val="20"/>
                <w:lang w:val="es-ES_tradnl"/>
              </w:rPr>
            </w:pPr>
            <w:r w:rsidRPr="00B033A8">
              <w:rPr>
                <w:szCs w:val="20"/>
              </w:rPr>
              <w:t xml:space="preserve">Facilitación de contacto entre proponentes </w:t>
            </w:r>
            <w:r w:rsidR="00A762FD" w:rsidRPr="00B033A8">
              <w:rPr>
                <w:szCs w:val="20"/>
              </w:rPr>
              <w:t>–</w:t>
            </w:r>
            <w:r w:rsidRPr="00B033A8">
              <w:rPr>
                <w:szCs w:val="20"/>
              </w:rPr>
              <w:t>actuales o potenciales</w:t>
            </w:r>
            <w:r w:rsidR="00A762FD" w:rsidRPr="00B033A8">
              <w:rPr>
                <w:szCs w:val="20"/>
              </w:rPr>
              <w:t>–</w:t>
            </w:r>
            <w:r w:rsidRPr="00B033A8">
              <w:rPr>
                <w:szCs w:val="20"/>
              </w:rPr>
              <w:t>.</w:t>
            </w:r>
          </w:p>
          <w:p w14:paraId="23C2DC37" w14:textId="1DF7A958" w:rsidR="00E348F6" w:rsidRPr="00B033A8" w:rsidRDefault="005F12DE" w:rsidP="00776641">
            <w:pPr>
              <w:pStyle w:val="Prrafodelista"/>
              <w:numPr>
                <w:ilvl w:val="0"/>
                <w:numId w:val="27"/>
              </w:numPr>
              <w:spacing w:line="240" w:lineRule="auto"/>
              <w:ind w:left="182" w:hanging="219"/>
              <w:rPr>
                <w:szCs w:val="20"/>
              </w:rPr>
            </w:pPr>
            <w:r w:rsidRPr="00B033A8">
              <w:rPr>
                <w:szCs w:val="20"/>
              </w:rPr>
              <w:t>Uso de fórmulas de fácil manipulación o muy sensibles a ofertas irracionales.</w:t>
            </w:r>
          </w:p>
        </w:tc>
      </w:tr>
    </w:tbl>
    <w:p w14:paraId="18EDFE0C" w14:textId="4E4792AE" w:rsidR="00F1617C" w:rsidRPr="00B033A8" w:rsidRDefault="00F1617C" w:rsidP="00776641">
      <w:pPr>
        <w:tabs>
          <w:tab w:val="left" w:pos="567"/>
        </w:tabs>
        <w:jc w:val="center"/>
        <w:rPr>
          <w:rFonts w:cs="Times New Roman"/>
          <w:szCs w:val="16"/>
        </w:rPr>
      </w:pPr>
      <w:r w:rsidRPr="00B033A8">
        <w:rPr>
          <w:rFonts w:cs="Times New Roman"/>
          <w:szCs w:val="16"/>
        </w:rPr>
        <w:t>-Tabla 6-</w:t>
      </w:r>
    </w:p>
    <w:p w14:paraId="5E216006" w14:textId="77777777" w:rsidR="009102C4" w:rsidRPr="00B033A8" w:rsidRDefault="009102C4" w:rsidP="009102C4">
      <w:pPr>
        <w:pStyle w:val="Prrafodelista"/>
        <w:tabs>
          <w:tab w:val="left" w:pos="851"/>
        </w:tabs>
        <w:spacing w:line="240" w:lineRule="auto"/>
        <w:ind w:left="0"/>
        <w:rPr>
          <w:color w:val="000000" w:themeColor="text1"/>
        </w:rPr>
      </w:pPr>
    </w:p>
    <w:p w14:paraId="7C20D806" w14:textId="59391523" w:rsidR="00160C67" w:rsidRPr="00B033A8" w:rsidRDefault="00E005EC" w:rsidP="00776641">
      <w:pPr>
        <w:pStyle w:val="Prrafodelista"/>
        <w:numPr>
          <w:ilvl w:val="0"/>
          <w:numId w:val="12"/>
        </w:numPr>
        <w:tabs>
          <w:tab w:val="left" w:pos="851"/>
        </w:tabs>
        <w:spacing w:line="240" w:lineRule="auto"/>
        <w:ind w:left="0" w:firstLine="0"/>
        <w:rPr>
          <w:color w:val="000000" w:themeColor="text1"/>
        </w:rPr>
      </w:pPr>
      <w:r w:rsidRPr="00B033A8">
        <w:rPr>
          <w:color w:val="000000" w:themeColor="text1"/>
        </w:rPr>
        <w:t xml:space="preserve">Ahora bien, la </w:t>
      </w:r>
      <w:r w:rsidR="00D05637" w:rsidRPr="00B033A8">
        <w:rPr>
          <w:color w:val="000000" w:themeColor="text1"/>
        </w:rPr>
        <w:t>Corte</w:t>
      </w:r>
      <w:r w:rsidR="009F198C" w:rsidRPr="00B033A8">
        <w:rPr>
          <w:color w:val="000000" w:themeColor="text1"/>
        </w:rPr>
        <w:t xml:space="preserve"> </w:t>
      </w:r>
      <w:r w:rsidRPr="00B033A8">
        <w:rPr>
          <w:color w:val="000000" w:themeColor="text1"/>
        </w:rPr>
        <w:t xml:space="preserve">reconoce que la definición de los acuerdos </w:t>
      </w:r>
      <w:r w:rsidR="00160C67" w:rsidRPr="00B033A8">
        <w:rPr>
          <w:color w:val="000000" w:themeColor="text1"/>
        </w:rPr>
        <w:t xml:space="preserve">restrictivos de la competencia </w:t>
      </w:r>
      <w:r w:rsidR="00A65667" w:rsidRPr="00B033A8">
        <w:rPr>
          <w:color w:val="000000" w:themeColor="text1"/>
        </w:rPr>
        <w:t>en procesos de contratación pública</w:t>
      </w:r>
      <w:r w:rsidRPr="00B033A8">
        <w:rPr>
          <w:color w:val="000000" w:themeColor="text1"/>
        </w:rPr>
        <w:t xml:space="preserve"> abarca una amplia gama de </w:t>
      </w:r>
      <w:r w:rsidR="001D2BA3" w:rsidRPr="00B033A8">
        <w:rPr>
          <w:color w:val="000000" w:themeColor="text1"/>
        </w:rPr>
        <w:t>conductas</w:t>
      </w:r>
      <w:r w:rsidRPr="00B033A8">
        <w:rPr>
          <w:color w:val="000000" w:themeColor="text1"/>
        </w:rPr>
        <w:t xml:space="preserve"> que no pueden ser definid</w:t>
      </w:r>
      <w:r w:rsidR="00B006D0" w:rsidRPr="00B033A8">
        <w:rPr>
          <w:color w:val="000000" w:themeColor="text1"/>
        </w:rPr>
        <w:t>a</w:t>
      </w:r>
      <w:r w:rsidRPr="00B033A8">
        <w:rPr>
          <w:color w:val="000000" w:themeColor="text1"/>
        </w:rPr>
        <w:t xml:space="preserve">s de forma taxativa y definitiva. </w:t>
      </w:r>
      <w:r w:rsidR="00D20F0A" w:rsidRPr="00B033A8">
        <w:rPr>
          <w:color w:val="000000" w:themeColor="text1"/>
        </w:rPr>
        <w:t xml:space="preserve">Asimismo, la Corte advierte que es posible que, en algunos casos, </w:t>
      </w:r>
      <w:r w:rsidR="00142707" w:rsidRPr="00B033A8">
        <w:rPr>
          <w:color w:val="000000" w:themeColor="text1"/>
        </w:rPr>
        <w:t>se generen</w:t>
      </w:r>
      <w:r w:rsidR="00D20F0A" w:rsidRPr="00B033A8">
        <w:rPr>
          <w:color w:val="000000" w:themeColor="text1"/>
        </w:rPr>
        <w:t xml:space="preserve"> debates razonables sobre la configuración de </w:t>
      </w:r>
      <w:r w:rsidR="00753471" w:rsidRPr="00B033A8">
        <w:rPr>
          <w:color w:val="000000" w:themeColor="text1"/>
        </w:rPr>
        <w:t>esta conducta</w:t>
      </w:r>
      <w:r w:rsidR="00D20F0A" w:rsidRPr="00B033A8">
        <w:rPr>
          <w:color w:val="000000" w:themeColor="text1"/>
        </w:rPr>
        <w:t xml:space="preserve">. </w:t>
      </w:r>
      <w:r w:rsidRPr="00B033A8">
        <w:rPr>
          <w:color w:val="000000" w:themeColor="text1"/>
        </w:rPr>
        <w:t>Sin embargo, a diferencia de lo que afirma el demandante, la Corte considera que esto no implica que</w:t>
      </w:r>
      <w:r w:rsidR="00160C67" w:rsidRPr="00B033A8">
        <w:rPr>
          <w:color w:val="000000" w:themeColor="text1"/>
        </w:rPr>
        <w:t xml:space="preserve"> la remisión al </w:t>
      </w:r>
      <w:r w:rsidR="00623CAA" w:rsidRPr="00B033A8">
        <w:rPr>
          <w:color w:val="000000" w:themeColor="text1"/>
        </w:rPr>
        <w:t>artículo 47.9 del decreto 2153 de 1992</w:t>
      </w:r>
      <w:r w:rsidR="00160C67" w:rsidRPr="00B033A8">
        <w:rPr>
          <w:color w:val="000000" w:themeColor="text1"/>
        </w:rPr>
        <w:t xml:space="preserve"> </w:t>
      </w:r>
      <w:r w:rsidR="00D20F0A" w:rsidRPr="00B033A8">
        <w:rPr>
          <w:color w:val="000000" w:themeColor="text1"/>
        </w:rPr>
        <w:t>sea inútil y no</w:t>
      </w:r>
      <w:r w:rsidR="00160C67" w:rsidRPr="00B033A8">
        <w:rPr>
          <w:color w:val="000000" w:themeColor="text1"/>
        </w:rPr>
        <w:t xml:space="preserve"> contribuya a superar la moderada indeterminación semántica de la expresión “alterar ilícitamente”. </w:t>
      </w:r>
      <w:r w:rsidRPr="00B033A8">
        <w:rPr>
          <w:color w:val="000000" w:themeColor="text1"/>
        </w:rPr>
        <w:t xml:space="preserve">En criterio de la Sala Plena, </w:t>
      </w:r>
      <w:r w:rsidR="00160C67" w:rsidRPr="00B033A8">
        <w:rPr>
          <w:color w:val="000000" w:themeColor="text1"/>
        </w:rPr>
        <w:t xml:space="preserve">habida cuenta de claridad de la prohibición de los acuerdos restrictivos de la competencia en procesos de contratación pública y el desarrollo de la SIC en la materia, </w:t>
      </w:r>
      <w:r w:rsidRPr="00B033A8">
        <w:rPr>
          <w:color w:val="000000" w:themeColor="text1"/>
        </w:rPr>
        <w:t xml:space="preserve">la integración del tipo penal </w:t>
      </w:r>
      <w:r w:rsidR="00D20F0A" w:rsidRPr="00B033A8">
        <w:rPr>
          <w:color w:val="000000" w:themeColor="text1"/>
        </w:rPr>
        <w:t>demandado</w:t>
      </w:r>
      <w:r w:rsidR="000B0FCF" w:rsidRPr="00B033A8">
        <w:rPr>
          <w:color w:val="000000" w:themeColor="text1"/>
        </w:rPr>
        <w:t xml:space="preserve"> </w:t>
      </w:r>
      <w:r w:rsidRPr="00B033A8">
        <w:rPr>
          <w:color w:val="000000" w:themeColor="text1"/>
        </w:rPr>
        <w:t>con el</w:t>
      </w:r>
      <w:r w:rsidR="00A65667" w:rsidRPr="00B033A8">
        <w:rPr>
          <w:color w:val="000000" w:themeColor="text1"/>
        </w:rPr>
        <w:t xml:space="preserve"> artículo 47.9 del Decreto 2153 de 1992</w:t>
      </w:r>
      <w:r w:rsidRPr="00B033A8">
        <w:rPr>
          <w:color w:val="000000" w:themeColor="text1"/>
        </w:rPr>
        <w:t xml:space="preserve"> garantiza que la conducta</w:t>
      </w:r>
      <w:r w:rsidR="000B0FCF" w:rsidRPr="00B033A8">
        <w:rPr>
          <w:color w:val="000000" w:themeColor="text1"/>
        </w:rPr>
        <w:t xml:space="preserve"> sancionable</w:t>
      </w:r>
      <w:r w:rsidRPr="00B033A8">
        <w:rPr>
          <w:color w:val="000000" w:themeColor="text1"/>
        </w:rPr>
        <w:t xml:space="preserve"> tenga un grado razonable de precisión</w:t>
      </w:r>
      <w:r w:rsidR="00D20F0A" w:rsidRPr="00B033A8">
        <w:rPr>
          <w:color w:val="000000" w:themeColor="text1"/>
        </w:rPr>
        <w:t xml:space="preserve"> </w:t>
      </w:r>
      <w:r w:rsidRPr="00B033A8">
        <w:rPr>
          <w:color w:val="000000" w:themeColor="text1"/>
        </w:rPr>
        <w:t xml:space="preserve">que es compatible con el principio de legalidad estricta o tipicidad. </w:t>
      </w:r>
    </w:p>
    <w:p w14:paraId="116F7240" w14:textId="77777777" w:rsidR="00BF41A4" w:rsidRPr="00B033A8" w:rsidRDefault="00BF41A4" w:rsidP="00776641">
      <w:pPr>
        <w:pStyle w:val="Prrafodelista"/>
        <w:tabs>
          <w:tab w:val="left" w:pos="851"/>
        </w:tabs>
        <w:spacing w:line="240" w:lineRule="auto"/>
        <w:ind w:left="0"/>
        <w:rPr>
          <w:color w:val="000000" w:themeColor="text1"/>
        </w:rPr>
      </w:pPr>
    </w:p>
    <w:p w14:paraId="20A1A8D9" w14:textId="35E0FEB8" w:rsidR="00E005EC" w:rsidRPr="00B033A8" w:rsidRDefault="00E005EC" w:rsidP="00776641">
      <w:pPr>
        <w:pStyle w:val="Prrafodelista"/>
        <w:numPr>
          <w:ilvl w:val="0"/>
          <w:numId w:val="12"/>
        </w:numPr>
        <w:tabs>
          <w:tab w:val="left" w:pos="851"/>
        </w:tabs>
        <w:spacing w:line="240" w:lineRule="auto"/>
        <w:ind w:left="0" w:firstLine="0"/>
        <w:rPr>
          <w:color w:val="000000" w:themeColor="text1"/>
        </w:rPr>
      </w:pPr>
      <w:r w:rsidRPr="00B033A8">
        <w:rPr>
          <w:color w:val="000000" w:themeColor="text1"/>
        </w:rPr>
        <w:t>La Sala Plena reitera que, conforme a la jurisprudencia constitucional el grado de “determinación de una conducta sólo es posible hasta donde se lo permite su naturaleza”</w:t>
      </w:r>
      <w:r w:rsidRPr="00B033A8">
        <w:rPr>
          <w:rStyle w:val="Refdenotaalpie"/>
          <w:color w:val="000000" w:themeColor="text1"/>
        </w:rPr>
        <w:footnoteReference w:id="199"/>
      </w:r>
      <w:r w:rsidRPr="00B033A8">
        <w:rPr>
          <w:color w:val="000000" w:themeColor="text1"/>
        </w:rPr>
        <w:t>. Esto, en la medida que “no toda la realidad sujeta a regulación penal es susceptible de ser descrita en moldes </w:t>
      </w:r>
      <w:r w:rsidRPr="00B033A8">
        <w:rPr>
          <w:i/>
          <w:iCs/>
          <w:color w:val="000000" w:themeColor="text1"/>
        </w:rPr>
        <w:t>legales</w:t>
      </w:r>
      <w:r w:rsidRPr="00B033A8">
        <w:rPr>
          <w:color w:val="000000" w:themeColor="text1"/>
        </w:rPr>
        <w:t xml:space="preserve">, </w:t>
      </w:r>
      <w:r w:rsidRPr="00B033A8">
        <w:rPr>
          <w:i/>
          <w:iCs/>
          <w:color w:val="000000" w:themeColor="text1"/>
        </w:rPr>
        <w:t>cerrados</w:t>
      </w:r>
      <w:r w:rsidRPr="00B033A8">
        <w:rPr>
          <w:color w:val="000000" w:themeColor="text1"/>
        </w:rPr>
        <w:t xml:space="preserve"> y </w:t>
      </w:r>
      <w:r w:rsidRPr="00B033A8">
        <w:rPr>
          <w:i/>
          <w:iCs/>
          <w:color w:val="000000" w:themeColor="text1"/>
        </w:rPr>
        <w:t>completos</w:t>
      </w:r>
      <w:r w:rsidRPr="00B033A8">
        <w:rPr>
          <w:color w:val="000000" w:themeColor="text1"/>
        </w:rPr>
        <w:t>”</w:t>
      </w:r>
      <w:r w:rsidRPr="00B033A8">
        <w:rPr>
          <w:rStyle w:val="Refdenotaalpie"/>
          <w:color w:val="000000" w:themeColor="text1"/>
        </w:rPr>
        <w:footnoteReference w:id="200"/>
      </w:r>
      <w:r w:rsidRPr="00B033A8">
        <w:rPr>
          <w:color w:val="000000" w:themeColor="text1"/>
        </w:rPr>
        <w:t xml:space="preserve">. Por esta razón, la Corte Constitucional ha reiterado que es posible que el legislador acuda a fórmulas de tipificación flexibles que se adecúen a la naturaleza dinámica y cambiante del fenómeno criminal que busca combatir. </w:t>
      </w:r>
    </w:p>
    <w:p w14:paraId="74D7404E" w14:textId="77777777" w:rsidR="00E005EC" w:rsidRPr="00B033A8" w:rsidRDefault="00E005EC" w:rsidP="00776641">
      <w:pPr>
        <w:rPr>
          <w:rFonts w:cs="Times New Roman"/>
          <w:color w:val="000000" w:themeColor="text1"/>
        </w:rPr>
      </w:pPr>
    </w:p>
    <w:p w14:paraId="00CAE860" w14:textId="30D65725" w:rsidR="00E005EC" w:rsidRPr="00B033A8" w:rsidRDefault="00E005EC" w:rsidP="00776641">
      <w:pPr>
        <w:pStyle w:val="Prrafodelista"/>
        <w:numPr>
          <w:ilvl w:val="0"/>
          <w:numId w:val="12"/>
        </w:numPr>
        <w:spacing w:line="240" w:lineRule="auto"/>
        <w:ind w:left="0" w:firstLine="0"/>
        <w:rPr>
          <w:color w:val="000000" w:themeColor="text1"/>
        </w:rPr>
      </w:pPr>
      <w:r w:rsidRPr="00B033A8">
        <w:rPr>
          <w:color w:val="000000" w:themeColor="text1"/>
        </w:rPr>
        <w:t xml:space="preserve">Pues bien, </w:t>
      </w:r>
      <w:r w:rsidR="00D05637" w:rsidRPr="00B033A8">
        <w:rPr>
          <w:color w:val="000000" w:themeColor="text1"/>
        </w:rPr>
        <w:t>para la Corte</w:t>
      </w:r>
      <w:r w:rsidRPr="00B033A8">
        <w:rPr>
          <w:color w:val="000000" w:themeColor="text1"/>
        </w:rPr>
        <w:t xml:space="preserve"> esto es justamente lo que ocurre en este caso. Tal y como lo </w:t>
      </w:r>
      <w:r w:rsidR="000B0FCF" w:rsidRPr="00B033A8">
        <w:rPr>
          <w:color w:val="000000" w:themeColor="text1"/>
        </w:rPr>
        <w:t>resaltaron las intervenciones de</w:t>
      </w:r>
      <w:r w:rsidRPr="00B033A8">
        <w:rPr>
          <w:color w:val="000000" w:themeColor="text1"/>
        </w:rPr>
        <w:t xml:space="preserve"> la SIC y Colombia Compra Eficiente, l</w:t>
      </w:r>
      <w:r w:rsidR="00623CAA" w:rsidRPr="00B033A8">
        <w:rPr>
          <w:color w:val="000000" w:themeColor="text1"/>
        </w:rPr>
        <w:t>a</w:t>
      </w:r>
      <w:r w:rsidRPr="00B033A8">
        <w:rPr>
          <w:color w:val="000000" w:themeColor="text1"/>
        </w:rPr>
        <w:t xml:space="preserve"> colusión en procesos de contratación </w:t>
      </w:r>
      <w:r w:rsidR="000B0FCF" w:rsidRPr="00B033A8">
        <w:rPr>
          <w:color w:val="000000" w:themeColor="text1"/>
        </w:rPr>
        <w:t xml:space="preserve">con el Estado </w:t>
      </w:r>
      <w:r w:rsidRPr="00B033A8">
        <w:rPr>
          <w:color w:val="000000" w:themeColor="text1"/>
        </w:rPr>
        <w:t>“es una conducta que se caracteriza por ser dinámica”. Esto significa que “puede materializarse a través de diferentes actuaciones, siempre que estas sean coordinadas e idóneas. Por</w:t>
      </w:r>
      <w:r w:rsidR="00E16147" w:rsidRPr="00B033A8">
        <w:rPr>
          <w:color w:val="000000" w:themeColor="text1"/>
        </w:rPr>
        <w:t xml:space="preserve"> lo</w:t>
      </w:r>
      <w:r w:rsidRPr="00B033A8">
        <w:rPr>
          <w:color w:val="000000" w:themeColor="text1"/>
        </w:rPr>
        <w:t xml:space="preserve"> </w:t>
      </w:r>
      <w:r w:rsidRPr="00B033A8">
        <w:rPr>
          <w:color w:val="000000" w:themeColor="text1"/>
        </w:rPr>
        <w:lastRenderedPageBreak/>
        <w:t>tanto, no se limita a un conjunto específico de comportamientos o un número limitado de conductas”</w:t>
      </w:r>
      <w:r w:rsidRPr="00B033A8">
        <w:rPr>
          <w:color w:val="000000" w:themeColor="text1"/>
          <w:vertAlign w:val="superscript"/>
        </w:rPr>
        <w:footnoteReference w:id="201"/>
      </w:r>
      <w:r w:rsidRPr="00B033A8">
        <w:rPr>
          <w:color w:val="000000" w:themeColor="text1"/>
        </w:rPr>
        <w:t xml:space="preserve">. En tales términos, </w:t>
      </w:r>
      <w:r w:rsidR="000B0FCF" w:rsidRPr="00B033A8">
        <w:rPr>
          <w:color w:val="000000" w:themeColor="text1"/>
        </w:rPr>
        <w:t xml:space="preserve">la Corte considera que </w:t>
      </w:r>
      <w:r w:rsidRPr="00B033A8">
        <w:rPr>
          <w:color w:val="000000" w:themeColor="text1"/>
        </w:rPr>
        <w:t xml:space="preserve">tipificar esta conducta por medio de un tipo penal en blanco es una opción regulatoria que permite que la ley </w:t>
      </w:r>
      <w:r w:rsidR="000B0FCF" w:rsidRPr="00B033A8">
        <w:rPr>
          <w:color w:val="000000" w:themeColor="text1"/>
        </w:rPr>
        <w:t>penal “</w:t>
      </w:r>
      <w:r w:rsidRPr="00B033A8">
        <w:rPr>
          <w:color w:val="000000" w:themeColor="text1"/>
        </w:rPr>
        <w:t>se adapte a las distintas formas de colusión que puedan surgir, al tiempo que garantiza que las prácticas que afectan negativamente la transparencia y la competencia en los procesos de selección sean sancionadas de manera efectiva”</w:t>
      </w:r>
      <w:r w:rsidRPr="00B033A8">
        <w:rPr>
          <w:color w:val="000000" w:themeColor="text1"/>
          <w:vertAlign w:val="superscript"/>
        </w:rPr>
        <w:footnoteReference w:id="202"/>
      </w:r>
      <w:r w:rsidRPr="00B033A8">
        <w:rPr>
          <w:color w:val="000000" w:themeColor="text1"/>
        </w:rPr>
        <w:t xml:space="preserve">. </w:t>
      </w:r>
    </w:p>
    <w:p w14:paraId="4C822E6B" w14:textId="77777777" w:rsidR="000B0FCF" w:rsidRPr="00B033A8" w:rsidRDefault="000B0FCF" w:rsidP="00776641">
      <w:pPr>
        <w:rPr>
          <w:rFonts w:cs="Times New Roman"/>
          <w:color w:val="000000" w:themeColor="text1"/>
        </w:rPr>
      </w:pPr>
    </w:p>
    <w:p w14:paraId="5DDBA823" w14:textId="72EFE819" w:rsidR="000C56ED" w:rsidRPr="00B033A8" w:rsidRDefault="000B0FCF" w:rsidP="00776641">
      <w:pPr>
        <w:pStyle w:val="Prrafodelista"/>
        <w:numPr>
          <w:ilvl w:val="0"/>
          <w:numId w:val="12"/>
        </w:numPr>
        <w:spacing w:line="240" w:lineRule="auto"/>
        <w:ind w:left="0" w:firstLine="0"/>
        <w:rPr>
          <w:color w:val="000000" w:themeColor="text1"/>
        </w:rPr>
      </w:pPr>
      <w:r w:rsidRPr="00B033A8">
        <w:rPr>
          <w:color w:val="000000" w:themeColor="text1"/>
        </w:rPr>
        <w:t xml:space="preserve">Por último, la Sala Plena resalta que, contrario a lo que sostiene el demandante, esta línea de argumentación no contraría la regla de decisión </w:t>
      </w:r>
      <w:r w:rsidR="00BB0E0B" w:rsidRPr="00B033A8">
        <w:rPr>
          <w:color w:val="000000" w:themeColor="text1"/>
        </w:rPr>
        <w:t xml:space="preserve">de </w:t>
      </w:r>
      <w:r w:rsidR="000C56ED" w:rsidRPr="00B033A8">
        <w:rPr>
          <w:color w:val="000000" w:themeColor="text1"/>
        </w:rPr>
        <w:t>la</w:t>
      </w:r>
      <w:r w:rsidRPr="00B033A8">
        <w:rPr>
          <w:color w:val="000000" w:themeColor="text1"/>
        </w:rPr>
        <w:t xml:space="preserve"> </w:t>
      </w:r>
      <w:r w:rsidR="00A65667" w:rsidRPr="00B033A8">
        <w:rPr>
          <w:color w:val="000000" w:themeColor="text1"/>
        </w:rPr>
        <w:t xml:space="preserve">sentencia </w:t>
      </w:r>
      <w:r w:rsidRPr="00B033A8">
        <w:rPr>
          <w:color w:val="000000" w:themeColor="text1"/>
        </w:rPr>
        <w:t xml:space="preserve">C-411 de 2022. </w:t>
      </w:r>
      <w:r w:rsidR="00BB0E0B" w:rsidRPr="00B033A8">
        <w:rPr>
          <w:color w:val="000000" w:themeColor="text1"/>
        </w:rPr>
        <w:t>Como se expuso</w:t>
      </w:r>
      <w:r w:rsidR="00D20F0A" w:rsidRPr="00B033A8">
        <w:rPr>
          <w:color w:val="000000" w:themeColor="text1"/>
        </w:rPr>
        <w:t xml:space="preserve">, </w:t>
      </w:r>
      <w:r w:rsidR="00BB0E0B" w:rsidRPr="00B033A8">
        <w:rPr>
          <w:color w:val="000000" w:themeColor="text1"/>
        </w:rPr>
        <w:t xml:space="preserve">en </w:t>
      </w:r>
      <w:r w:rsidR="000C56ED" w:rsidRPr="00B033A8">
        <w:rPr>
          <w:color w:val="000000" w:themeColor="text1"/>
        </w:rPr>
        <w:t xml:space="preserve">esta </w:t>
      </w:r>
      <w:r w:rsidR="009F198C" w:rsidRPr="00B033A8">
        <w:rPr>
          <w:color w:val="000000" w:themeColor="text1"/>
        </w:rPr>
        <w:t xml:space="preserve">decisión </w:t>
      </w:r>
      <w:r w:rsidR="00BB0E0B" w:rsidRPr="00B033A8">
        <w:rPr>
          <w:color w:val="000000" w:themeColor="text1"/>
        </w:rPr>
        <w:t>la Corte declaró inexequible</w:t>
      </w:r>
      <w:r w:rsidR="00F84BDA" w:rsidRPr="00B033A8">
        <w:rPr>
          <w:color w:val="000000" w:themeColor="text1"/>
        </w:rPr>
        <w:t>s</w:t>
      </w:r>
      <w:r w:rsidR="00BB0E0B" w:rsidRPr="00B033A8">
        <w:rPr>
          <w:color w:val="000000" w:themeColor="text1"/>
        </w:rPr>
        <w:t xml:space="preserve"> los </w:t>
      </w:r>
      <w:r w:rsidR="000C56ED" w:rsidRPr="00B033A8">
        <w:rPr>
          <w:color w:val="000000" w:themeColor="text1"/>
        </w:rPr>
        <w:t xml:space="preserve">tipos penales en blanco </w:t>
      </w:r>
      <w:r w:rsidR="00BB0E0B" w:rsidRPr="00B033A8">
        <w:rPr>
          <w:color w:val="000000" w:themeColor="text1"/>
        </w:rPr>
        <w:t>del régimen</w:t>
      </w:r>
      <w:r w:rsidR="003860AA" w:rsidRPr="00B033A8">
        <w:rPr>
          <w:color w:val="000000" w:themeColor="text1"/>
        </w:rPr>
        <w:t xml:space="preserve"> de</w:t>
      </w:r>
      <w:r w:rsidR="00BB0E0B" w:rsidRPr="00B033A8">
        <w:rPr>
          <w:color w:val="000000" w:themeColor="text1"/>
        </w:rPr>
        <w:t xml:space="preserve"> baldíos, los cuales </w:t>
      </w:r>
      <w:r w:rsidR="000C56ED" w:rsidRPr="00B033A8">
        <w:rPr>
          <w:color w:val="000000" w:themeColor="text1"/>
        </w:rPr>
        <w:t xml:space="preserve">sancionaban, entre otras, la apropiación de baldíos “sin el lleno de los requisitos de ley”. </w:t>
      </w:r>
      <w:r w:rsidR="00160C67" w:rsidRPr="00B033A8">
        <w:rPr>
          <w:color w:val="000000" w:themeColor="text1"/>
        </w:rPr>
        <w:t xml:space="preserve">La Corte consideró que </w:t>
      </w:r>
      <w:r w:rsidR="00753471" w:rsidRPr="00B033A8">
        <w:rPr>
          <w:color w:val="000000" w:themeColor="text1"/>
        </w:rPr>
        <w:t>la</w:t>
      </w:r>
      <w:r w:rsidR="007C18F2" w:rsidRPr="00B033A8">
        <w:rPr>
          <w:color w:val="000000" w:themeColor="text1"/>
        </w:rPr>
        <w:t>s</w:t>
      </w:r>
      <w:r w:rsidR="00753471" w:rsidRPr="00B033A8">
        <w:rPr>
          <w:color w:val="000000" w:themeColor="text1"/>
        </w:rPr>
        <w:t xml:space="preserve"> norma</w:t>
      </w:r>
      <w:r w:rsidR="007C18F2" w:rsidRPr="00B033A8">
        <w:rPr>
          <w:color w:val="000000" w:themeColor="text1"/>
        </w:rPr>
        <w:t>s</w:t>
      </w:r>
      <w:r w:rsidR="00753471" w:rsidRPr="00B033A8">
        <w:rPr>
          <w:color w:val="000000" w:themeColor="text1"/>
        </w:rPr>
        <w:t xml:space="preserve"> demandada</w:t>
      </w:r>
      <w:r w:rsidR="007C18F2" w:rsidRPr="00B033A8">
        <w:rPr>
          <w:color w:val="000000" w:themeColor="text1"/>
        </w:rPr>
        <w:t>s</w:t>
      </w:r>
      <w:r w:rsidR="00753471" w:rsidRPr="00B033A8">
        <w:rPr>
          <w:color w:val="000000" w:themeColor="text1"/>
        </w:rPr>
        <w:t xml:space="preserve"> desconocía</w:t>
      </w:r>
      <w:r w:rsidR="007C18F2" w:rsidRPr="00B033A8">
        <w:rPr>
          <w:color w:val="000000" w:themeColor="text1"/>
        </w:rPr>
        <w:t>n</w:t>
      </w:r>
      <w:r w:rsidR="00753471" w:rsidRPr="00B033A8">
        <w:rPr>
          <w:color w:val="000000" w:themeColor="text1"/>
        </w:rPr>
        <w:t xml:space="preserve"> el principio de legalidad estricta </w:t>
      </w:r>
      <w:r w:rsidR="00160C67" w:rsidRPr="00B033A8">
        <w:rPr>
          <w:color w:val="000000" w:themeColor="text1"/>
        </w:rPr>
        <w:t>porque</w:t>
      </w:r>
      <w:r w:rsidR="00623CAA" w:rsidRPr="00B033A8">
        <w:rPr>
          <w:color w:val="000000" w:themeColor="text1"/>
        </w:rPr>
        <w:t xml:space="preserve"> </w:t>
      </w:r>
      <w:r w:rsidR="000C56ED" w:rsidRPr="00B033A8">
        <w:rPr>
          <w:color w:val="000000" w:themeColor="text1"/>
        </w:rPr>
        <w:t xml:space="preserve">“el régimen de baldíos al que remiten las disposiciones acusadas cuando señala que se castiga la apropiación, utilización, entre otros, de bienes baldíos </w:t>
      </w:r>
      <w:r w:rsidR="00C2451F" w:rsidRPr="00B033A8">
        <w:rPr>
          <w:color w:val="000000" w:themeColor="text1"/>
        </w:rPr>
        <w:t>‘</w:t>
      </w:r>
      <w:r w:rsidR="000C56ED" w:rsidRPr="00B033A8">
        <w:rPr>
          <w:i/>
          <w:iCs/>
          <w:color w:val="000000" w:themeColor="text1"/>
        </w:rPr>
        <w:t>sin el lleno de los requisitos de ley</w:t>
      </w:r>
      <w:r w:rsidR="00C2451F" w:rsidRPr="00B033A8">
        <w:rPr>
          <w:color w:val="000000" w:themeColor="text1"/>
        </w:rPr>
        <w:t>’</w:t>
      </w:r>
      <w:r w:rsidR="000C56ED" w:rsidRPr="00B033A8">
        <w:rPr>
          <w:color w:val="000000" w:themeColor="text1"/>
        </w:rPr>
        <w:t xml:space="preserve"> genera discusiones interpretativas complejas, así como valoraciones probatorias amplias, frente a lo cual el ciudadano no está en capacidad de establecer de forma razonable y previa si su proceder se enmarca o no en una conducta criminal</w:t>
      </w:r>
      <w:r w:rsidR="00A65667" w:rsidRPr="00B033A8">
        <w:rPr>
          <w:color w:val="000000" w:themeColor="text1"/>
        </w:rPr>
        <w:t>”</w:t>
      </w:r>
      <w:r w:rsidR="000C56ED" w:rsidRPr="00B033A8">
        <w:rPr>
          <w:color w:val="000000" w:themeColor="text1"/>
        </w:rPr>
        <w:t>. En efecto,</w:t>
      </w:r>
      <w:r w:rsidR="00A65667" w:rsidRPr="00B033A8">
        <w:rPr>
          <w:color w:val="000000" w:themeColor="text1"/>
        </w:rPr>
        <w:t xml:space="preserve"> señaló la Corte,</w:t>
      </w:r>
      <w:r w:rsidR="000C56ED" w:rsidRPr="00B033A8">
        <w:rPr>
          <w:color w:val="000000" w:themeColor="text1"/>
        </w:rPr>
        <w:t xml:space="preserve"> </w:t>
      </w:r>
      <w:r w:rsidR="00A65667" w:rsidRPr="00B033A8">
        <w:rPr>
          <w:color w:val="000000" w:themeColor="text1"/>
        </w:rPr>
        <w:t>“</w:t>
      </w:r>
      <w:r w:rsidR="000C56ED" w:rsidRPr="00B033A8">
        <w:rPr>
          <w:color w:val="000000" w:themeColor="text1"/>
        </w:rPr>
        <w:t>el régimen de baldíos, en su integralidad, ha generado discusiones interpretativas y conflictos entre, por una parte,</w:t>
      </w:r>
      <w:r w:rsidR="000C56ED" w:rsidRPr="00B033A8">
        <w:rPr>
          <w:i/>
          <w:iCs/>
          <w:color w:val="000000" w:themeColor="text1"/>
        </w:rPr>
        <w:t> jueces</w:t>
      </w:r>
      <w:r w:rsidR="00C404A5" w:rsidRPr="00B033A8">
        <w:rPr>
          <w:i/>
          <w:iCs/>
          <w:color w:val="000000" w:themeColor="text1"/>
        </w:rPr>
        <w:t xml:space="preserve"> </w:t>
      </w:r>
      <w:r w:rsidR="000C56ED" w:rsidRPr="00B033A8">
        <w:rPr>
          <w:i/>
          <w:iCs/>
          <w:color w:val="000000" w:themeColor="text1"/>
        </w:rPr>
        <w:t>civiles </w:t>
      </w:r>
      <w:r w:rsidR="000C56ED" w:rsidRPr="00B033A8">
        <w:rPr>
          <w:color w:val="000000" w:themeColor="text1"/>
        </w:rPr>
        <w:t>y </w:t>
      </w:r>
      <w:r w:rsidR="000C56ED" w:rsidRPr="00B033A8">
        <w:rPr>
          <w:i/>
          <w:iCs/>
          <w:color w:val="000000" w:themeColor="text1"/>
        </w:rPr>
        <w:t>autoridades administrativas; </w:t>
      </w:r>
      <w:r w:rsidR="000C56ED" w:rsidRPr="00B033A8">
        <w:rPr>
          <w:color w:val="000000" w:themeColor="text1"/>
        </w:rPr>
        <w:t xml:space="preserve">y, por otra, las altas cortes (así lo demuestra la SU-282 de 2022)”. </w:t>
      </w:r>
    </w:p>
    <w:p w14:paraId="4ECE27D2" w14:textId="77777777" w:rsidR="000C56ED" w:rsidRPr="00B033A8" w:rsidRDefault="000C56ED" w:rsidP="00776641">
      <w:pPr>
        <w:rPr>
          <w:rFonts w:cs="Times New Roman"/>
          <w:color w:val="000000" w:themeColor="text1"/>
        </w:rPr>
      </w:pPr>
    </w:p>
    <w:p w14:paraId="15FDB95C" w14:textId="4070C281" w:rsidR="00160C67" w:rsidRPr="00B033A8" w:rsidRDefault="000C56ED" w:rsidP="00776641">
      <w:pPr>
        <w:pStyle w:val="Prrafodelista"/>
        <w:numPr>
          <w:ilvl w:val="0"/>
          <w:numId w:val="12"/>
        </w:numPr>
        <w:spacing w:line="240" w:lineRule="auto"/>
        <w:ind w:left="0" w:firstLine="0"/>
        <w:rPr>
          <w:color w:val="000000" w:themeColor="text1"/>
        </w:rPr>
      </w:pPr>
      <w:r w:rsidRPr="00B033A8">
        <w:rPr>
          <w:color w:val="000000" w:themeColor="text1"/>
        </w:rPr>
        <w:t xml:space="preserve">En criterio de la Sala Plena, esto no ocurre en este caso. </w:t>
      </w:r>
      <w:r w:rsidR="00C077DA" w:rsidRPr="00B033A8">
        <w:rPr>
          <w:color w:val="000000" w:themeColor="text1"/>
        </w:rPr>
        <w:t>La</w:t>
      </w:r>
      <w:r w:rsidR="00947093" w:rsidRPr="00B033A8">
        <w:rPr>
          <w:color w:val="000000" w:themeColor="text1"/>
        </w:rPr>
        <w:t xml:space="preserve"> prohibición de los acuerdos </w:t>
      </w:r>
      <w:r w:rsidR="00623CAA" w:rsidRPr="00B033A8">
        <w:rPr>
          <w:color w:val="000000" w:themeColor="text1"/>
        </w:rPr>
        <w:t>restrictivos de la competencia</w:t>
      </w:r>
      <w:r w:rsidRPr="00B033A8">
        <w:rPr>
          <w:color w:val="000000" w:themeColor="text1"/>
        </w:rPr>
        <w:t xml:space="preserve"> </w:t>
      </w:r>
      <w:r w:rsidR="00947093" w:rsidRPr="00B033A8">
        <w:rPr>
          <w:color w:val="000000" w:themeColor="text1"/>
        </w:rPr>
        <w:t xml:space="preserve">en procesos de contratación pública está prevista de forma expresa </w:t>
      </w:r>
      <w:r w:rsidR="009F198C" w:rsidRPr="00B033A8">
        <w:rPr>
          <w:color w:val="000000" w:themeColor="text1"/>
        </w:rPr>
        <w:t xml:space="preserve">y clara </w:t>
      </w:r>
      <w:r w:rsidR="00275EB0" w:rsidRPr="00B033A8">
        <w:rPr>
          <w:color w:val="000000" w:themeColor="text1"/>
        </w:rPr>
        <w:t xml:space="preserve">en el </w:t>
      </w:r>
      <w:r w:rsidR="00753471" w:rsidRPr="00B033A8">
        <w:rPr>
          <w:color w:val="000000" w:themeColor="text1"/>
        </w:rPr>
        <w:t xml:space="preserve">artículo </w:t>
      </w:r>
      <w:r w:rsidR="00275EB0" w:rsidRPr="00B033A8">
        <w:rPr>
          <w:color w:val="000000" w:themeColor="text1"/>
        </w:rPr>
        <w:t>47.9 del Decreto 2153 de 1992</w:t>
      </w:r>
      <w:r w:rsidR="00947093" w:rsidRPr="00B033A8">
        <w:rPr>
          <w:color w:val="000000" w:themeColor="text1"/>
        </w:rPr>
        <w:t xml:space="preserve">. </w:t>
      </w:r>
      <w:r w:rsidR="00275EB0" w:rsidRPr="00B033A8">
        <w:rPr>
          <w:color w:val="000000" w:themeColor="text1"/>
        </w:rPr>
        <w:t xml:space="preserve">Por lo demás, la Sala Plena reitera que el artículo 2º de la Ley 1150 de 2007 define los procesos de licitación pública, subasta pública, selección abreviada o concurso. </w:t>
      </w:r>
      <w:r w:rsidR="009F198C" w:rsidRPr="00B033A8">
        <w:rPr>
          <w:color w:val="000000" w:themeColor="text1"/>
        </w:rPr>
        <w:t>M</w:t>
      </w:r>
      <w:r w:rsidR="00947093" w:rsidRPr="00B033A8">
        <w:rPr>
          <w:color w:val="000000" w:themeColor="text1"/>
        </w:rPr>
        <w:t>ás allá de las discusiones interpretativas que puedan darse en un caso concreto, las cuales se derivan de la naturaleza abierta del lenguaje y el derecho,</w:t>
      </w:r>
      <w:r w:rsidR="00160C67" w:rsidRPr="00B033A8">
        <w:rPr>
          <w:color w:val="000000" w:themeColor="text1"/>
        </w:rPr>
        <w:t xml:space="preserve"> la prohibición de estos acuerdos es clara y la</w:t>
      </w:r>
      <w:r w:rsidR="00947093" w:rsidRPr="00B033A8">
        <w:rPr>
          <w:color w:val="000000" w:themeColor="text1"/>
        </w:rPr>
        <w:t xml:space="preserve"> </w:t>
      </w:r>
      <w:r w:rsidR="00C077DA" w:rsidRPr="00B033A8">
        <w:rPr>
          <w:color w:val="000000" w:themeColor="text1"/>
        </w:rPr>
        <w:t xml:space="preserve">SIC </w:t>
      </w:r>
      <w:r w:rsidR="00D20F0A" w:rsidRPr="00B033A8">
        <w:rPr>
          <w:color w:val="000000" w:themeColor="text1"/>
        </w:rPr>
        <w:t xml:space="preserve">ha desarrollado sus elementos de forma consistente. </w:t>
      </w:r>
      <w:r w:rsidR="00C077DA" w:rsidRPr="00B033A8">
        <w:rPr>
          <w:color w:val="000000" w:themeColor="text1"/>
        </w:rPr>
        <w:t xml:space="preserve">Por lo demás, </w:t>
      </w:r>
      <w:r w:rsidR="0086663A" w:rsidRPr="00B033A8">
        <w:rPr>
          <w:color w:val="000000" w:themeColor="text1"/>
        </w:rPr>
        <w:t>en contraste con el</w:t>
      </w:r>
      <w:r w:rsidR="00C077DA" w:rsidRPr="00B033A8">
        <w:rPr>
          <w:color w:val="000000" w:themeColor="text1"/>
        </w:rPr>
        <w:t xml:space="preserve"> régimen de baldíos</w:t>
      </w:r>
      <w:r w:rsidR="000A53CA" w:rsidRPr="00B033A8">
        <w:rPr>
          <w:color w:val="000000" w:themeColor="text1"/>
        </w:rPr>
        <w:t>,</w:t>
      </w:r>
      <w:r w:rsidR="00C077DA" w:rsidRPr="00B033A8">
        <w:rPr>
          <w:color w:val="000000" w:themeColor="text1"/>
        </w:rPr>
        <w:t xml:space="preserve"> el régimen de protección de la libre competencia tiene un orden lógico y estructura jerárquica coherente, compuest</w:t>
      </w:r>
      <w:r w:rsidR="0086663A" w:rsidRPr="00B033A8">
        <w:rPr>
          <w:color w:val="000000" w:themeColor="text1"/>
        </w:rPr>
        <w:t>o</w:t>
      </w:r>
      <w:r w:rsidR="000A53CA" w:rsidRPr="00B033A8">
        <w:rPr>
          <w:color w:val="000000" w:themeColor="text1"/>
        </w:rPr>
        <w:t xml:space="preserve"> por</w:t>
      </w:r>
      <w:r w:rsidR="00A0305D" w:rsidRPr="00B033A8">
        <w:rPr>
          <w:color w:val="000000" w:themeColor="text1"/>
        </w:rPr>
        <w:t>:</w:t>
      </w:r>
      <w:r w:rsidR="000A53CA" w:rsidRPr="00B033A8">
        <w:rPr>
          <w:color w:val="000000" w:themeColor="text1"/>
        </w:rPr>
        <w:t xml:space="preserve"> </w:t>
      </w:r>
      <w:r w:rsidRPr="00B033A8">
        <w:rPr>
          <w:i/>
          <w:iCs/>
          <w:color w:val="000000" w:themeColor="text1"/>
        </w:rPr>
        <w:t>(i)</w:t>
      </w:r>
      <w:r w:rsidRPr="00B033A8">
        <w:rPr>
          <w:color w:val="000000" w:themeColor="text1"/>
        </w:rPr>
        <w:t xml:space="preserve"> una prohibición general de las prácticas restrictivas de la competencia (art. 1 de la ley 155 de 1959), y </w:t>
      </w:r>
      <w:r w:rsidRPr="00B033A8">
        <w:rPr>
          <w:i/>
          <w:iCs/>
          <w:color w:val="000000" w:themeColor="text1"/>
        </w:rPr>
        <w:t>(</w:t>
      </w:r>
      <w:proofErr w:type="spellStart"/>
      <w:r w:rsidRPr="00B033A8">
        <w:rPr>
          <w:i/>
          <w:iCs/>
          <w:color w:val="000000" w:themeColor="text1"/>
        </w:rPr>
        <w:t>ii</w:t>
      </w:r>
      <w:proofErr w:type="spellEnd"/>
      <w:r w:rsidRPr="00B033A8">
        <w:rPr>
          <w:i/>
          <w:iCs/>
          <w:color w:val="000000" w:themeColor="text1"/>
        </w:rPr>
        <w:t>)</w:t>
      </w:r>
      <w:r w:rsidRPr="00B033A8">
        <w:rPr>
          <w:color w:val="000000" w:themeColor="text1"/>
        </w:rPr>
        <w:t xml:space="preserve"> un listado de prácticas que son, </w:t>
      </w:r>
      <w:r w:rsidRPr="00B033A8">
        <w:rPr>
          <w:i/>
          <w:iCs/>
          <w:color w:val="000000" w:themeColor="text1"/>
        </w:rPr>
        <w:t>per se</w:t>
      </w:r>
      <w:r w:rsidRPr="00B033A8">
        <w:rPr>
          <w:color w:val="000000" w:themeColor="text1"/>
        </w:rPr>
        <w:t xml:space="preserve">, </w:t>
      </w:r>
      <w:r w:rsidR="000A53CA" w:rsidRPr="00B033A8">
        <w:rPr>
          <w:color w:val="000000" w:themeColor="text1"/>
        </w:rPr>
        <w:t>contrarias</w:t>
      </w:r>
      <w:r w:rsidRPr="00B033A8">
        <w:rPr>
          <w:color w:val="000000" w:themeColor="text1"/>
        </w:rPr>
        <w:t xml:space="preserve"> a la libre </w:t>
      </w:r>
      <w:r w:rsidR="000A53CA" w:rsidRPr="00B033A8">
        <w:rPr>
          <w:color w:val="000000" w:themeColor="text1"/>
        </w:rPr>
        <w:t>competencia (art. 45, 46 y 47 del Decreto 2</w:t>
      </w:r>
      <w:r w:rsidR="00531E6B" w:rsidRPr="00B033A8">
        <w:rPr>
          <w:color w:val="000000" w:themeColor="text1"/>
        </w:rPr>
        <w:t>1</w:t>
      </w:r>
      <w:r w:rsidR="000A53CA" w:rsidRPr="00B033A8">
        <w:rPr>
          <w:color w:val="000000" w:themeColor="text1"/>
        </w:rPr>
        <w:t>53 de 1992</w:t>
      </w:r>
      <w:r w:rsidR="000256D6" w:rsidRPr="00B033A8">
        <w:rPr>
          <w:color w:val="000000" w:themeColor="text1"/>
        </w:rPr>
        <w:t xml:space="preserve"> y demás normas complementarias y modificatorias</w:t>
      </w:r>
      <w:r w:rsidR="00A0305D" w:rsidRPr="00B033A8">
        <w:rPr>
          <w:color w:val="000000" w:themeColor="text1"/>
        </w:rPr>
        <w:t>)</w:t>
      </w:r>
      <w:r w:rsidR="000900A7" w:rsidRPr="00B033A8">
        <w:rPr>
          <w:color w:val="000000" w:themeColor="text1"/>
        </w:rPr>
        <w:t>.</w:t>
      </w:r>
      <w:r w:rsidR="000A53CA" w:rsidRPr="00B033A8">
        <w:rPr>
          <w:color w:val="000000" w:themeColor="text1"/>
        </w:rPr>
        <w:t xml:space="preserve"> </w:t>
      </w:r>
    </w:p>
    <w:p w14:paraId="01885922" w14:textId="77777777" w:rsidR="00160C67" w:rsidRPr="00B033A8" w:rsidRDefault="00160C67" w:rsidP="00776641">
      <w:pPr>
        <w:pStyle w:val="Prrafodelista"/>
        <w:spacing w:line="240" w:lineRule="auto"/>
        <w:ind w:left="0"/>
        <w:rPr>
          <w:color w:val="000000" w:themeColor="text1"/>
        </w:rPr>
      </w:pPr>
    </w:p>
    <w:p w14:paraId="6A4B4B9D" w14:textId="6F1F33CF" w:rsidR="000C56ED" w:rsidRPr="00B033A8" w:rsidRDefault="000A53CA" w:rsidP="00776641">
      <w:pPr>
        <w:pStyle w:val="Prrafodelista"/>
        <w:numPr>
          <w:ilvl w:val="0"/>
          <w:numId w:val="12"/>
        </w:numPr>
        <w:spacing w:line="240" w:lineRule="auto"/>
        <w:ind w:left="0" w:firstLine="0"/>
        <w:rPr>
          <w:color w:val="000000" w:themeColor="text1"/>
        </w:rPr>
      </w:pPr>
      <w:r w:rsidRPr="00B033A8">
        <w:rPr>
          <w:color w:val="000000" w:themeColor="text1"/>
        </w:rPr>
        <w:t xml:space="preserve">En este sentido, a diferencia de la </w:t>
      </w:r>
      <w:r w:rsidR="00815729" w:rsidRPr="00B033A8">
        <w:rPr>
          <w:color w:val="000000" w:themeColor="text1"/>
        </w:rPr>
        <w:t>S</w:t>
      </w:r>
      <w:r w:rsidRPr="00B033A8">
        <w:rPr>
          <w:color w:val="000000" w:themeColor="text1"/>
        </w:rPr>
        <w:t xml:space="preserve">entencia C-411 de 2022, </w:t>
      </w:r>
      <w:r w:rsidR="00AE73EF" w:rsidRPr="00B033A8">
        <w:rPr>
          <w:color w:val="000000" w:themeColor="text1"/>
        </w:rPr>
        <w:t>la norma de remisión</w:t>
      </w:r>
      <w:r w:rsidRPr="00B033A8">
        <w:rPr>
          <w:color w:val="000000" w:themeColor="text1"/>
        </w:rPr>
        <w:t xml:space="preserve"> en este caso no genera debates interpretativos irresolubles que impidan al </w:t>
      </w:r>
      <w:r w:rsidR="0086663A" w:rsidRPr="00B033A8">
        <w:rPr>
          <w:color w:val="000000" w:themeColor="text1"/>
        </w:rPr>
        <w:t>operador</w:t>
      </w:r>
      <w:r w:rsidRPr="00B033A8">
        <w:rPr>
          <w:color w:val="000000" w:themeColor="text1"/>
        </w:rPr>
        <w:t xml:space="preserve"> delimitar la conducta sancionable. Por el contrario,</w:t>
      </w:r>
      <w:r w:rsidR="000047AD" w:rsidRPr="00B033A8">
        <w:rPr>
          <w:color w:val="000000" w:themeColor="text1"/>
        </w:rPr>
        <w:t xml:space="preserve"> por las razones que se expusieron,</w:t>
      </w:r>
      <w:r w:rsidRPr="00B033A8">
        <w:rPr>
          <w:color w:val="000000" w:themeColor="text1"/>
        </w:rPr>
        <w:t xml:space="preserve"> la integración del tipo penal previsto en el artículo 410A del </w:t>
      </w:r>
      <w:r w:rsidRPr="00B033A8">
        <w:rPr>
          <w:color w:val="000000" w:themeColor="text1"/>
        </w:rPr>
        <w:lastRenderedPageBreak/>
        <w:t xml:space="preserve">Código Penal con </w:t>
      </w:r>
      <w:r w:rsidR="0086663A" w:rsidRPr="00B033A8">
        <w:rPr>
          <w:color w:val="000000" w:themeColor="text1"/>
        </w:rPr>
        <w:t>el artículo 47.9 del Decreto 2153 de 1992</w:t>
      </w:r>
      <w:r w:rsidRPr="00B033A8">
        <w:rPr>
          <w:color w:val="000000" w:themeColor="text1"/>
        </w:rPr>
        <w:t xml:space="preserve"> </w:t>
      </w:r>
      <w:r w:rsidR="00A0305D" w:rsidRPr="00B033A8">
        <w:rPr>
          <w:color w:val="000000" w:themeColor="text1"/>
        </w:rPr>
        <w:t xml:space="preserve">precisa razonablemente el alcance de la expresión “alterar ilícitamente”, lo que </w:t>
      </w:r>
      <w:r w:rsidRPr="00B033A8">
        <w:rPr>
          <w:color w:val="000000" w:themeColor="text1"/>
        </w:rPr>
        <w:t xml:space="preserve">dota de </w:t>
      </w:r>
      <w:r w:rsidR="007C18F2" w:rsidRPr="00B033A8">
        <w:rPr>
          <w:color w:val="000000" w:themeColor="text1"/>
        </w:rPr>
        <w:t>claridad</w:t>
      </w:r>
      <w:r w:rsidRPr="00B033A8">
        <w:rPr>
          <w:color w:val="000000" w:themeColor="text1"/>
        </w:rPr>
        <w:t xml:space="preserve"> y previsibilidad el proceso de adecuación típica. </w:t>
      </w:r>
    </w:p>
    <w:p w14:paraId="03415DE8" w14:textId="77777777" w:rsidR="00E005EC" w:rsidRPr="00B033A8" w:rsidRDefault="00E005EC" w:rsidP="00776641">
      <w:pPr>
        <w:pStyle w:val="Prrafodelista"/>
        <w:tabs>
          <w:tab w:val="left" w:pos="851"/>
        </w:tabs>
        <w:spacing w:line="240" w:lineRule="auto"/>
        <w:ind w:left="0"/>
        <w:rPr>
          <w:color w:val="000000" w:themeColor="text1"/>
        </w:rPr>
      </w:pPr>
    </w:p>
    <w:p w14:paraId="3F3C6837" w14:textId="7722D4D8" w:rsidR="00454986" w:rsidRPr="00B033A8" w:rsidRDefault="00E005EC" w:rsidP="00776641">
      <w:pPr>
        <w:pStyle w:val="Prrafodelista"/>
        <w:numPr>
          <w:ilvl w:val="0"/>
          <w:numId w:val="12"/>
        </w:numPr>
        <w:tabs>
          <w:tab w:val="left" w:pos="851"/>
        </w:tabs>
        <w:spacing w:line="240" w:lineRule="auto"/>
        <w:ind w:left="0" w:firstLine="0"/>
      </w:pPr>
      <w:r w:rsidRPr="00B033A8">
        <w:rPr>
          <w:b/>
          <w:bCs/>
          <w:color w:val="000000" w:themeColor="text1"/>
          <w:u w:val="single"/>
        </w:rPr>
        <w:t>Conclusión</w:t>
      </w:r>
      <w:r w:rsidRPr="00B033A8">
        <w:rPr>
          <w:b/>
          <w:bCs/>
          <w:color w:val="000000" w:themeColor="text1"/>
        </w:rPr>
        <w:t xml:space="preserve">. </w:t>
      </w:r>
      <w:r w:rsidR="004A34F1" w:rsidRPr="00B033A8">
        <w:rPr>
          <w:color w:val="000000" w:themeColor="text1"/>
        </w:rPr>
        <w:t xml:space="preserve">En síntesis, la Sala Plena concluye que el artículo 410A </w:t>
      </w:r>
      <w:r w:rsidR="001420ED" w:rsidRPr="00B033A8">
        <w:rPr>
          <w:color w:val="000000" w:themeColor="text1"/>
        </w:rPr>
        <w:t xml:space="preserve">del Código Penal </w:t>
      </w:r>
      <w:r w:rsidR="004A34F1" w:rsidRPr="00B033A8">
        <w:rPr>
          <w:color w:val="000000" w:themeColor="text1"/>
        </w:rPr>
        <w:t xml:space="preserve">no vulnera el principio de legalidad estricta. </w:t>
      </w:r>
      <w:r w:rsidR="001420ED" w:rsidRPr="00B033A8">
        <w:rPr>
          <w:color w:val="000000" w:themeColor="text1"/>
        </w:rPr>
        <w:t>Contrario a lo sostenido por el demandante, l</w:t>
      </w:r>
      <w:r w:rsidR="004A34F1" w:rsidRPr="00B033A8">
        <w:rPr>
          <w:color w:val="000000" w:themeColor="text1"/>
        </w:rPr>
        <w:t xml:space="preserve">a Corte </w:t>
      </w:r>
      <w:r w:rsidR="00454986" w:rsidRPr="00B033A8">
        <w:rPr>
          <w:color w:val="000000" w:themeColor="text1"/>
        </w:rPr>
        <w:t xml:space="preserve">Constitucional considera que </w:t>
      </w:r>
      <w:r w:rsidR="001420ED" w:rsidRPr="00B033A8">
        <w:rPr>
          <w:color w:val="000000" w:themeColor="text1"/>
        </w:rPr>
        <w:t xml:space="preserve">la norma demandada prevé un tipo penal en blanco </w:t>
      </w:r>
      <w:r w:rsidR="00454986" w:rsidRPr="00B033A8">
        <w:rPr>
          <w:color w:val="000000" w:themeColor="text1"/>
        </w:rPr>
        <w:t xml:space="preserve">que satisface los requisitos de </w:t>
      </w:r>
      <w:r w:rsidR="007C18F2" w:rsidRPr="00B033A8">
        <w:rPr>
          <w:color w:val="000000" w:themeColor="text1"/>
        </w:rPr>
        <w:t>tipicidad</w:t>
      </w:r>
      <w:r w:rsidR="00454986" w:rsidRPr="00B033A8">
        <w:rPr>
          <w:color w:val="000000" w:themeColor="text1"/>
        </w:rPr>
        <w:t xml:space="preserve"> </w:t>
      </w:r>
      <w:r w:rsidR="001420ED" w:rsidRPr="00B033A8">
        <w:rPr>
          <w:color w:val="000000" w:themeColor="text1"/>
        </w:rPr>
        <w:t>desarrollados por</w:t>
      </w:r>
      <w:r w:rsidR="007C18F2" w:rsidRPr="00B033A8">
        <w:rPr>
          <w:color w:val="000000" w:themeColor="text1"/>
        </w:rPr>
        <w:t xml:space="preserve"> la jurisprudencia constitucional</w:t>
      </w:r>
      <w:r w:rsidR="00454986" w:rsidRPr="00B033A8">
        <w:rPr>
          <w:color w:val="000000" w:themeColor="text1"/>
        </w:rPr>
        <w:t xml:space="preserve">. Primero, la norma de remisión es claramente identificable. Esto, porque una interpretación sistemática del </w:t>
      </w:r>
      <w:proofErr w:type="spellStart"/>
      <w:r w:rsidR="00454986" w:rsidRPr="00B033A8">
        <w:rPr>
          <w:i/>
          <w:iCs/>
          <w:color w:val="000000" w:themeColor="text1"/>
        </w:rPr>
        <w:t>nomen</w:t>
      </w:r>
      <w:proofErr w:type="spellEnd"/>
      <w:r w:rsidR="00454986" w:rsidRPr="00B033A8">
        <w:rPr>
          <w:i/>
          <w:iCs/>
          <w:color w:val="000000" w:themeColor="text1"/>
        </w:rPr>
        <w:t xml:space="preserve"> iuris</w:t>
      </w:r>
      <w:r w:rsidR="00454986" w:rsidRPr="00B033A8">
        <w:rPr>
          <w:color w:val="000000" w:themeColor="text1"/>
        </w:rPr>
        <w:t>, el inciso 1º</w:t>
      </w:r>
      <w:r w:rsidR="00753471" w:rsidRPr="00B033A8">
        <w:rPr>
          <w:color w:val="000000" w:themeColor="text1"/>
        </w:rPr>
        <w:t>,</w:t>
      </w:r>
      <w:r w:rsidR="00454986" w:rsidRPr="00B033A8">
        <w:rPr>
          <w:color w:val="000000" w:themeColor="text1"/>
        </w:rPr>
        <w:t xml:space="preserve"> el parágrafo</w:t>
      </w:r>
      <w:r w:rsidR="00861BB8" w:rsidRPr="00B033A8">
        <w:rPr>
          <w:color w:val="000000" w:themeColor="text1"/>
        </w:rPr>
        <w:t xml:space="preserve"> y los antecedentes legislativos</w:t>
      </w:r>
      <w:r w:rsidR="00454986" w:rsidRPr="00B033A8">
        <w:rPr>
          <w:color w:val="000000" w:themeColor="text1"/>
        </w:rPr>
        <w:t xml:space="preserve"> de la norma demandada permiten inferir, sin lugar a equívocos, que el tipo penal debe integrarse, exclusivamente, con el artículo 47.9 del Decreto 2153 de 1992, el cual prohíbe los acuerdos restrictivos de la competencia en procesos de contratación pública, también denominados acuerdos colusorios. Segundo, el artículo 47.9 del Decreto 2153 de 1992 tiene rango material de ley y es anterior a la tipificación de la conducta punible. Tercero, la norma de remisión permite al intérprete determinar inequívocamente el alcance de la conducta penalizada. </w:t>
      </w:r>
      <w:r w:rsidR="00CA4389" w:rsidRPr="00B033A8">
        <w:rPr>
          <w:color w:val="000000" w:themeColor="text1"/>
        </w:rPr>
        <w:t xml:space="preserve">En efecto, </w:t>
      </w:r>
      <w:r w:rsidR="00CA4389" w:rsidRPr="00B033A8">
        <w:rPr>
          <w:i/>
          <w:iCs/>
          <w:color w:val="000000" w:themeColor="text1"/>
        </w:rPr>
        <w:t>(i)</w:t>
      </w:r>
      <w:r w:rsidR="00454986" w:rsidRPr="00B033A8">
        <w:rPr>
          <w:color w:val="000000" w:themeColor="text1"/>
        </w:rPr>
        <w:t xml:space="preserve"> el artículo 47.9 de 2152 prevé una prohibición clara y precisa de los acuerdos restrictivos de la competencia en procesos de contratación pública</w:t>
      </w:r>
      <w:r w:rsidR="00CA4389" w:rsidRPr="00B033A8">
        <w:rPr>
          <w:color w:val="000000" w:themeColor="text1"/>
        </w:rPr>
        <w:t xml:space="preserve"> y </w:t>
      </w:r>
      <w:r w:rsidR="00CA4389" w:rsidRPr="00B033A8">
        <w:rPr>
          <w:i/>
          <w:iCs/>
          <w:color w:val="000000" w:themeColor="text1"/>
        </w:rPr>
        <w:t>(</w:t>
      </w:r>
      <w:proofErr w:type="spellStart"/>
      <w:r w:rsidR="00CA4389" w:rsidRPr="00B033A8">
        <w:rPr>
          <w:i/>
          <w:iCs/>
          <w:color w:val="000000" w:themeColor="text1"/>
        </w:rPr>
        <w:t>ii</w:t>
      </w:r>
      <w:proofErr w:type="spellEnd"/>
      <w:r w:rsidR="00CA4389" w:rsidRPr="00B033A8">
        <w:rPr>
          <w:i/>
          <w:iCs/>
          <w:color w:val="000000" w:themeColor="text1"/>
        </w:rPr>
        <w:t>)</w:t>
      </w:r>
      <w:r w:rsidR="00CA4389" w:rsidRPr="00B033A8">
        <w:rPr>
          <w:color w:val="000000" w:themeColor="text1"/>
        </w:rPr>
        <w:t xml:space="preserve"> </w:t>
      </w:r>
      <w:r w:rsidR="00454986" w:rsidRPr="00B033A8">
        <w:rPr>
          <w:color w:val="000000" w:themeColor="text1"/>
        </w:rPr>
        <w:t xml:space="preserve">la SIC </w:t>
      </w:r>
      <w:r w:rsidR="009233EB" w:rsidRPr="00B033A8">
        <w:rPr>
          <w:color w:val="000000" w:themeColor="text1"/>
        </w:rPr>
        <w:t>–</w:t>
      </w:r>
      <w:r w:rsidR="00CA4389" w:rsidRPr="00B033A8">
        <w:rPr>
          <w:color w:val="000000" w:themeColor="text1"/>
        </w:rPr>
        <w:t>máxima autoridad de competencia</w:t>
      </w:r>
      <w:r w:rsidR="009233EB" w:rsidRPr="00B033A8">
        <w:rPr>
          <w:color w:val="000000" w:themeColor="text1"/>
        </w:rPr>
        <w:t>–</w:t>
      </w:r>
      <w:r w:rsidR="00CA4389" w:rsidRPr="00B033A8">
        <w:rPr>
          <w:color w:val="000000" w:themeColor="text1"/>
        </w:rPr>
        <w:t xml:space="preserve"> </w:t>
      </w:r>
      <w:r w:rsidR="00454986" w:rsidRPr="00B033A8">
        <w:rPr>
          <w:color w:val="000000" w:themeColor="text1"/>
        </w:rPr>
        <w:t>ha delimitado y desarrollado los elementos de estos acuerdos</w:t>
      </w:r>
      <w:r w:rsidR="00CA4389" w:rsidRPr="00B033A8">
        <w:rPr>
          <w:color w:val="000000" w:themeColor="text1"/>
        </w:rPr>
        <w:t xml:space="preserve"> de forma consistente</w:t>
      </w:r>
      <w:r w:rsidR="007C18F2" w:rsidRPr="00B033A8">
        <w:rPr>
          <w:color w:val="000000" w:themeColor="text1"/>
        </w:rPr>
        <w:t>, clara y precisa</w:t>
      </w:r>
      <w:r w:rsidR="00CA4389" w:rsidRPr="00B033A8">
        <w:rPr>
          <w:color w:val="000000" w:themeColor="text1"/>
        </w:rPr>
        <w:t>. Por esta</w:t>
      </w:r>
      <w:r w:rsidR="00AA5B13" w:rsidRPr="00B033A8">
        <w:rPr>
          <w:color w:val="000000" w:themeColor="text1"/>
        </w:rPr>
        <w:t>s</w:t>
      </w:r>
      <w:r w:rsidR="00CA4389" w:rsidRPr="00B033A8">
        <w:rPr>
          <w:color w:val="000000" w:themeColor="text1"/>
        </w:rPr>
        <w:t xml:space="preserve"> raz</w:t>
      </w:r>
      <w:r w:rsidR="00AA5B13" w:rsidRPr="00B033A8">
        <w:rPr>
          <w:color w:val="000000" w:themeColor="text1"/>
        </w:rPr>
        <w:t>o</w:t>
      </w:r>
      <w:r w:rsidR="00CA4389" w:rsidRPr="00B033A8">
        <w:rPr>
          <w:color w:val="000000" w:themeColor="text1"/>
        </w:rPr>
        <w:t>n</w:t>
      </w:r>
      <w:r w:rsidR="00AA5B13" w:rsidRPr="00B033A8">
        <w:rPr>
          <w:color w:val="000000" w:themeColor="text1"/>
        </w:rPr>
        <w:t>es</w:t>
      </w:r>
      <w:r w:rsidR="00CA4389" w:rsidRPr="00B033A8">
        <w:rPr>
          <w:color w:val="000000" w:themeColor="text1"/>
        </w:rPr>
        <w:t xml:space="preserve">, la Corte declarará la </w:t>
      </w:r>
      <w:proofErr w:type="spellStart"/>
      <w:r w:rsidR="00CA4389" w:rsidRPr="00B033A8">
        <w:rPr>
          <w:color w:val="000000" w:themeColor="text1"/>
        </w:rPr>
        <w:t>exequibuilidad</w:t>
      </w:r>
      <w:proofErr w:type="spellEnd"/>
      <w:r w:rsidR="00CA4389" w:rsidRPr="00B033A8">
        <w:rPr>
          <w:color w:val="000000" w:themeColor="text1"/>
        </w:rPr>
        <w:t xml:space="preserve"> del artículo 410A del Código Penal.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285"/>
      </w:tblGrid>
      <w:tr w:rsidR="00454986" w:rsidRPr="00B033A8" w14:paraId="7EA69F4E" w14:textId="77777777">
        <w:trPr>
          <w:trHeight w:val="205"/>
        </w:trPr>
        <w:tc>
          <w:tcPr>
            <w:tcW w:w="8285" w:type="dxa"/>
          </w:tcPr>
          <w:p w14:paraId="0239CE29" w14:textId="77777777" w:rsidR="00454986" w:rsidRPr="00B033A8" w:rsidRDefault="00454986" w:rsidP="00776641">
            <w:pPr>
              <w:pStyle w:val="Prrafodelista"/>
              <w:tabs>
                <w:tab w:val="left" w:pos="851"/>
              </w:tabs>
              <w:spacing w:line="240" w:lineRule="auto"/>
              <w:ind w:left="0"/>
              <w:rPr>
                <w:color w:val="000000" w:themeColor="text1"/>
              </w:rPr>
            </w:pPr>
          </w:p>
        </w:tc>
      </w:tr>
    </w:tbl>
    <w:p w14:paraId="386B03CC" w14:textId="12F6D78F" w:rsidR="0058665B" w:rsidRPr="00B033A8" w:rsidRDefault="0058665B" w:rsidP="00776641">
      <w:pPr>
        <w:pStyle w:val="Ttulo1"/>
        <w:numPr>
          <w:ilvl w:val="0"/>
          <w:numId w:val="10"/>
        </w:numPr>
        <w:spacing w:before="0"/>
        <w:ind w:left="567"/>
        <w:rPr>
          <w:rFonts w:cs="Times New Roman"/>
        </w:rPr>
      </w:pPr>
      <w:r w:rsidRPr="00B033A8">
        <w:rPr>
          <w:rFonts w:cs="Times New Roman"/>
        </w:rPr>
        <w:t xml:space="preserve">DECISIÓN </w:t>
      </w:r>
    </w:p>
    <w:p w14:paraId="7C7D8DE2" w14:textId="77777777" w:rsidR="0058665B" w:rsidRPr="00B033A8" w:rsidRDefault="0058665B" w:rsidP="00776641">
      <w:pPr>
        <w:rPr>
          <w:rFonts w:cs="Times New Roman"/>
        </w:rPr>
      </w:pPr>
    </w:p>
    <w:p w14:paraId="77B92311" w14:textId="77777777" w:rsidR="0058665B" w:rsidRPr="00B033A8" w:rsidRDefault="0058665B" w:rsidP="00776641">
      <w:pPr>
        <w:rPr>
          <w:rFonts w:cs="Times New Roman"/>
          <w:color w:val="000000" w:themeColor="text1"/>
        </w:rPr>
      </w:pPr>
      <w:r w:rsidRPr="00B033A8">
        <w:rPr>
          <w:rFonts w:cs="Times New Roman"/>
          <w:color w:val="000000" w:themeColor="text1"/>
        </w:rPr>
        <w:t>La Corte Constitucional de Colombia, administrando justicia en nombre del pueblo y por mandato de la Constitución,</w:t>
      </w:r>
    </w:p>
    <w:p w14:paraId="148328B5" w14:textId="77777777" w:rsidR="0058665B" w:rsidRPr="00B033A8" w:rsidRDefault="0058665B" w:rsidP="00776641">
      <w:pPr>
        <w:pStyle w:val="Prrafodelista"/>
        <w:spacing w:line="240" w:lineRule="auto"/>
        <w:rPr>
          <w:color w:val="000000" w:themeColor="text1"/>
        </w:rPr>
      </w:pPr>
      <w:r w:rsidRPr="00B033A8">
        <w:rPr>
          <w:color w:val="000000" w:themeColor="text1"/>
        </w:rPr>
        <w:t> </w:t>
      </w:r>
    </w:p>
    <w:p w14:paraId="06BD6007" w14:textId="77777777" w:rsidR="0058665B" w:rsidRPr="00B033A8" w:rsidRDefault="0058665B" w:rsidP="00776641">
      <w:pPr>
        <w:pStyle w:val="Prrafodelista"/>
        <w:spacing w:line="240" w:lineRule="auto"/>
        <w:jc w:val="center"/>
        <w:rPr>
          <w:color w:val="000000" w:themeColor="text1"/>
        </w:rPr>
      </w:pPr>
      <w:r w:rsidRPr="00B033A8">
        <w:rPr>
          <w:b/>
          <w:bCs/>
          <w:color w:val="000000" w:themeColor="text1"/>
        </w:rPr>
        <w:t>RESUELVE:</w:t>
      </w:r>
    </w:p>
    <w:p w14:paraId="2A19AFD5" w14:textId="77777777" w:rsidR="0058665B" w:rsidRPr="00B033A8" w:rsidRDefault="0058665B" w:rsidP="00776641">
      <w:pPr>
        <w:rPr>
          <w:rFonts w:cs="Times New Roman"/>
          <w:color w:val="000000" w:themeColor="text1"/>
        </w:rPr>
      </w:pPr>
    </w:p>
    <w:p w14:paraId="7A3E716F" w14:textId="1A8D0FD3" w:rsidR="004B0302" w:rsidRPr="00B033A8" w:rsidRDefault="00437FBF" w:rsidP="00776641">
      <w:pPr>
        <w:rPr>
          <w:rFonts w:cs="Times New Roman"/>
          <w:iCs/>
          <w:color w:val="000000" w:themeColor="text1"/>
        </w:rPr>
      </w:pPr>
      <w:r w:rsidRPr="00B033A8">
        <w:rPr>
          <w:rFonts w:cs="Times New Roman"/>
          <w:b/>
          <w:bCs/>
          <w:color w:val="000000" w:themeColor="text1"/>
        </w:rPr>
        <w:t>ÚNICO</w:t>
      </w:r>
      <w:r w:rsidR="0058665B" w:rsidRPr="00B033A8">
        <w:rPr>
          <w:rFonts w:cs="Times New Roman"/>
          <w:b/>
          <w:bCs/>
          <w:color w:val="000000" w:themeColor="text1"/>
        </w:rPr>
        <w:t>.</w:t>
      </w:r>
      <w:r w:rsidR="0058665B" w:rsidRPr="00B033A8">
        <w:rPr>
          <w:rFonts w:cs="Times New Roman"/>
          <w:color w:val="000000" w:themeColor="text1"/>
        </w:rPr>
        <w:t xml:space="preserve"> Declarar</w:t>
      </w:r>
      <w:r w:rsidR="0058665B" w:rsidRPr="00B033A8">
        <w:rPr>
          <w:rFonts w:cs="Times New Roman"/>
          <w:b/>
          <w:bCs/>
          <w:color w:val="000000" w:themeColor="text1"/>
        </w:rPr>
        <w:t xml:space="preserve"> EXEQUIBLE </w:t>
      </w:r>
      <w:r w:rsidRPr="00B033A8">
        <w:rPr>
          <w:rFonts w:cs="Times New Roman"/>
          <w:color w:val="000000" w:themeColor="text1"/>
        </w:rPr>
        <w:t>el artículo 410A de l</w:t>
      </w:r>
      <w:r w:rsidR="004B0302" w:rsidRPr="00B033A8">
        <w:rPr>
          <w:rFonts w:cs="Times New Roman"/>
          <w:color w:val="000000" w:themeColor="text1"/>
        </w:rPr>
        <w:t>a</w:t>
      </w:r>
      <w:r w:rsidRPr="00B033A8">
        <w:rPr>
          <w:rFonts w:cs="Times New Roman"/>
          <w:color w:val="000000" w:themeColor="text1"/>
        </w:rPr>
        <w:t xml:space="preserve"> Ley 599</w:t>
      </w:r>
      <w:r w:rsidR="004B0302" w:rsidRPr="00B033A8">
        <w:rPr>
          <w:rFonts w:cs="Times New Roman"/>
          <w:iCs/>
          <w:color w:val="000000" w:themeColor="text1"/>
        </w:rPr>
        <w:t xml:space="preserve"> </w:t>
      </w:r>
      <w:r w:rsidR="004B0302" w:rsidRPr="00B033A8">
        <w:rPr>
          <w:rFonts w:cs="Times New Roman"/>
          <w:color w:val="000000" w:themeColor="text1"/>
          <w:szCs w:val="28"/>
        </w:rPr>
        <w:t>de 2000, “por la cual se expide el Código Penal”, adicionado por el artículo 27 de la Ley 1474 de 2011</w:t>
      </w:r>
      <w:r w:rsidR="004B0302" w:rsidRPr="00B033A8">
        <w:rPr>
          <w:rFonts w:cs="Times New Roman"/>
          <w:iCs/>
          <w:color w:val="000000" w:themeColor="text1"/>
        </w:rPr>
        <w:t xml:space="preserve">, </w:t>
      </w:r>
      <w:r w:rsidR="00CA4389" w:rsidRPr="00B033A8">
        <w:rPr>
          <w:rFonts w:cs="Times New Roman"/>
        </w:rPr>
        <w:t>respecto</w:t>
      </w:r>
      <w:r w:rsidR="004B0302" w:rsidRPr="00B033A8">
        <w:rPr>
          <w:rFonts w:cs="Times New Roman"/>
        </w:rPr>
        <w:t xml:space="preserve"> </w:t>
      </w:r>
      <w:r w:rsidR="001E2544" w:rsidRPr="00B033A8">
        <w:rPr>
          <w:rFonts w:cs="Times New Roman"/>
        </w:rPr>
        <w:t>d</w:t>
      </w:r>
      <w:r w:rsidR="004B0302" w:rsidRPr="00B033A8">
        <w:rPr>
          <w:rFonts w:cs="Times New Roman"/>
        </w:rPr>
        <w:t>el cargo por</w:t>
      </w:r>
      <w:r w:rsidR="004B0302" w:rsidRPr="00B033A8">
        <w:rPr>
          <w:rFonts w:cs="Times New Roman"/>
          <w:iCs/>
        </w:rPr>
        <w:t xml:space="preserve"> la presunta vulneración del </w:t>
      </w:r>
      <w:r w:rsidR="00695008" w:rsidRPr="00B033A8">
        <w:rPr>
          <w:rFonts w:cs="Times New Roman"/>
          <w:iCs/>
        </w:rPr>
        <w:t>principio de legalidad estricta o tipicidad</w:t>
      </w:r>
      <w:r w:rsidR="00320C2F" w:rsidRPr="00B033A8">
        <w:rPr>
          <w:rFonts w:cs="Times New Roman"/>
          <w:iCs/>
        </w:rPr>
        <w:t xml:space="preserve"> en materia penal</w:t>
      </w:r>
      <w:r w:rsidR="00CA4389" w:rsidRPr="00B033A8">
        <w:rPr>
          <w:rFonts w:cs="Times New Roman"/>
          <w:iCs/>
        </w:rPr>
        <w:t xml:space="preserve">. </w:t>
      </w:r>
    </w:p>
    <w:p w14:paraId="405378A3" w14:textId="77777777" w:rsidR="0058665B" w:rsidRPr="00B033A8" w:rsidRDefault="0058665B" w:rsidP="00776641">
      <w:pPr>
        <w:rPr>
          <w:rFonts w:cs="Times New Roman"/>
          <w:color w:val="000000" w:themeColor="text1"/>
        </w:rPr>
      </w:pPr>
    </w:p>
    <w:p w14:paraId="3B72A685" w14:textId="697793B4" w:rsidR="0058665B" w:rsidRPr="00B033A8" w:rsidRDefault="0058665B" w:rsidP="00776641">
      <w:pPr>
        <w:rPr>
          <w:rFonts w:cs="Times New Roman"/>
          <w:color w:val="000000" w:themeColor="text1"/>
        </w:rPr>
      </w:pPr>
      <w:r w:rsidRPr="00B033A8">
        <w:rPr>
          <w:rFonts w:cs="Times New Roman"/>
          <w:color w:val="000000" w:themeColor="text1"/>
        </w:rPr>
        <w:t xml:space="preserve">Notifíquese, comuníquese y cúmplase, </w:t>
      </w:r>
    </w:p>
    <w:p w14:paraId="2B6A44DF" w14:textId="26E0E8BE" w:rsidR="00C61D5A" w:rsidRPr="00B033A8" w:rsidRDefault="00C61D5A" w:rsidP="00776641">
      <w:pPr>
        <w:rPr>
          <w:rFonts w:cs="Times New Roman"/>
          <w:color w:val="000000" w:themeColor="text1"/>
        </w:rPr>
      </w:pPr>
    </w:p>
    <w:p w14:paraId="1D4D90AD" w14:textId="494A4E57" w:rsidR="00C61D5A" w:rsidRPr="00B033A8" w:rsidRDefault="00C61D5A" w:rsidP="00776641">
      <w:pPr>
        <w:rPr>
          <w:rFonts w:cs="Times New Roman"/>
          <w:color w:val="000000" w:themeColor="text1"/>
        </w:rPr>
      </w:pPr>
    </w:p>
    <w:p w14:paraId="69930C43" w14:textId="4405A2D2" w:rsidR="00C61D5A" w:rsidRPr="00B033A8" w:rsidRDefault="00C61D5A" w:rsidP="00C61D5A">
      <w:pPr>
        <w:jc w:val="center"/>
        <w:rPr>
          <w:rFonts w:cs="Times New Roman"/>
          <w:color w:val="000000" w:themeColor="text1"/>
        </w:rPr>
      </w:pPr>
      <w:r w:rsidRPr="00B033A8">
        <w:rPr>
          <w:rFonts w:cs="Times New Roman"/>
          <w:color w:val="000000" w:themeColor="text1"/>
        </w:rPr>
        <w:t>JORGE ENRIQUE IBÁÑEZ NAJAR</w:t>
      </w:r>
    </w:p>
    <w:p w14:paraId="274436FF" w14:textId="067089EF" w:rsidR="00C61D5A" w:rsidRPr="00B033A8" w:rsidRDefault="00C61D5A" w:rsidP="00C61D5A">
      <w:pPr>
        <w:jc w:val="center"/>
        <w:rPr>
          <w:rFonts w:cs="Times New Roman"/>
          <w:color w:val="000000" w:themeColor="text1"/>
        </w:rPr>
      </w:pPr>
      <w:r w:rsidRPr="00B033A8">
        <w:rPr>
          <w:rFonts w:cs="Times New Roman"/>
          <w:color w:val="000000" w:themeColor="text1"/>
        </w:rPr>
        <w:t>Presidente</w:t>
      </w:r>
    </w:p>
    <w:p w14:paraId="26684DCC" w14:textId="05C7C4C6" w:rsidR="00C61D5A" w:rsidRPr="00B033A8" w:rsidRDefault="00C61D5A" w:rsidP="00C61D5A">
      <w:pPr>
        <w:jc w:val="center"/>
        <w:rPr>
          <w:rFonts w:cs="Times New Roman"/>
          <w:color w:val="000000" w:themeColor="text1"/>
        </w:rPr>
      </w:pPr>
      <w:r w:rsidRPr="00B033A8">
        <w:rPr>
          <w:rFonts w:cs="Times New Roman"/>
          <w:color w:val="000000" w:themeColor="text1"/>
        </w:rPr>
        <w:t>Con aclaración de voto</w:t>
      </w:r>
    </w:p>
    <w:p w14:paraId="5BD49E45" w14:textId="06C89BB4" w:rsidR="00C61D5A" w:rsidRPr="00B033A8" w:rsidRDefault="00C61D5A" w:rsidP="00C61D5A">
      <w:pPr>
        <w:jc w:val="center"/>
        <w:rPr>
          <w:rFonts w:cs="Times New Roman"/>
          <w:color w:val="000000" w:themeColor="text1"/>
        </w:rPr>
      </w:pPr>
    </w:p>
    <w:p w14:paraId="590A0BAD" w14:textId="716ECA08" w:rsidR="00C61D5A" w:rsidRPr="00B033A8" w:rsidRDefault="00C61D5A" w:rsidP="00C61D5A">
      <w:pPr>
        <w:jc w:val="center"/>
        <w:rPr>
          <w:rFonts w:cs="Times New Roman"/>
          <w:color w:val="000000" w:themeColor="text1"/>
        </w:rPr>
      </w:pPr>
    </w:p>
    <w:p w14:paraId="42497B1C" w14:textId="5BBE4EC9" w:rsidR="00C61D5A" w:rsidRPr="00B033A8" w:rsidRDefault="00C61D5A" w:rsidP="00C61D5A">
      <w:pPr>
        <w:jc w:val="center"/>
        <w:rPr>
          <w:rFonts w:cs="Times New Roman"/>
          <w:color w:val="000000" w:themeColor="text1"/>
        </w:rPr>
      </w:pPr>
    </w:p>
    <w:p w14:paraId="2EE16184" w14:textId="1766DF65" w:rsidR="00C61D5A" w:rsidRPr="00B033A8" w:rsidRDefault="00C61D5A" w:rsidP="00C61D5A">
      <w:pPr>
        <w:jc w:val="center"/>
        <w:rPr>
          <w:rFonts w:cs="Times New Roman"/>
          <w:color w:val="000000" w:themeColor="text1"/>
        </w:rPr>
      </w:pPr>
    </w:p>
    <w:p w14:paraId="6094E262" w14:textId="4ABDA863" w:rsidR="00C61D5A" w:rsidRPr="00B033A8" w:rsidRDefault="00C61D5A" w:rsidP="00C61D5A">
      <w:pPr>
        <w:jc w:val="center"/>
        <w:rPr>
          <w:rFonts w:cs="Times New Roman"/>
          <w:color w:val="000000" w:themeColor="text1"/>
        </w:rPr>
      </w:pPr>
    </w:p>
    <w:p w14:paraId="0722C3CD" w14:textId="4F616230" w:rsidR="00C61D5A" w:rsidRPr="00B033A8" w:rsidRDefault="00C61D5A" w:rsidP="00C61D5A">
      <w:pPr>
        <w:jc w:val="center"/>
        <w:rPr>
          <w:rFonts w:cs="Times New Roman"/>
          <w:color w:val="000000" w:themeColor="text1"/>
        </w:rPr>
      </w:pPr>
      <w:r w:rsidRPr="00B033A8">
        <w:rPr>
          <w:rFonts w:cs="Times New Roman"/>
          <w:color w:val="000000" w:themeColor="text1"/>
        </w:rPr>
        <w:t>NATALIA ÁNGEL CABO</w:t>
      </w:r>
    </w:p>
    <w:p w14:paraId="6600BB4E" w14:textId="3E32587A" w:rsidR="00C61D5A" w:rsidRPr="00B033A8" w:rsidRDefault="00C61D5A" w:rsidP="00C61D5A">
      <w:pPr>
        <w:jc w:val="center"/>
        <w:rPr>
          <w:rFonts w:cs="Times New Roman"/>
          <w:color w:val="000000" w:themeColor="text1"/>
        </w:rPr>
      </w:pPr>
      <w:r w:rsidRPr="00B033A8">
        <w:rPr>
          <w:rFonts w:cs="Times New Roman"/>
          <w:color w:val="000000" w:themeColor="text1"/>
        </w:rPr>
        <w:t>Magistrada</w:t>
      </w:r>
    </w:p>
    <w:p w14:paraId="2C79099A" w14:textId="4807F23A" w:rsidR="00C61D5A" w:rsidRPr="00B033A8" w:rsidRDefault="00C61D5A" w:rsidP="00C61D5A">
      <w:pPr>
        <w:jc w:val="center"/>
        <w:rPr>
          <w:rFonts w:cs="Times New Roman"/>
          <w:color w:val="000000" w:themeColor="text1"/>
        </w:rPr>
      </w:pPr>
      <w:r w:rsidRPr="00B033A8">
        <w:rPr>
          <w:rFonts w:cs="Times New Roman"/>
          <w:color w:val="000000" w:themeColor="text1"/>
        </w:rPr>
        <w:t>Con aclaración de voto</w:t>
      </w:r>
    </w:p>
    <w:p w14:paraId="73E48996" w14:textId="6B50C3DA" w:rsidR="00C61D5A" w:rsidRPr="00B033A8" w:rsidRDefault="00C61D5A" w:rsidP="00C61D5A">
      <w:pPr>
        <w:jc w:val="center"/>
        <w:rPr>
          <w:rFonts w:cs="Times New Roman"/>
          <w:color w:val="000000" w:themeColor="text1"/>
        </w:rPr>
      </w:pPr>
    </w:p>
    <w:p w14:paraId="1476858C" w14:textId="21EE0F5F" w:rsidR="00C61D5A" w:rsidRPr="00B033A8" w:rsidRDefault="00C61D5A" w:rsidP="00C61D5A">
      <w:pPr>
        <w:jc w:val="center"/>
        <w:rPr>
          <w:rFonts w:cs="Times New Roman"/>
          <w:color w:val="000000" w:themeColor="text1"/>
        </w:rPr>
      </w:pPr>
    </w:p>
    <w:p w14:paraId="44D07C3D" w14:textId="0D3B0A01" w:rsidR="00C61D5A" w:rsidRPr="00B033A8" w:rsidRDefault="00C61D5A" w:rsidP="00C61D5A">
      <w:pPr>
        <w:jc w:val="center"/>
        <w:rPr>
          <w:rFonts w:cs="Times New Roman"/>
          <w:color w:val="000000" w:themeColor="text1"/>
        </w:rPr>
      </w:pPr>
    </w:p>
    <w:p w14:paraId="294586CA" w14:textId="76246D99" w:rsidR="00C61D5A" w:rsidRPr="00B033A8" w:rsidRDefault="00C61D5A" w:rsidP="00C61D5A">
      <w:pPr>
        <w:jc w:val="center"/>
        <w:rPr>
          <w:rFonts w:cs="Times New Roman"/>
          <w:color w:val="000000" w:themeColor="text1"/>
        </w:rPr>
      </w:pPr>
      <w:r w:rsidRPr="00B033A8">
        <w:rPr>
          <w:rFonts w:cs="Times New Roman"/>
          <w:color w:val="000000" w:themeColor="text1"/>
        </w:rPr>
        <w:t>JUAN CARLOS CORTÉS GONZÁLEZ</w:t>
      </w:r>
    </w:p>
    <w:p w14:paraId="6E8D78B2" w14:textId="20B9E232" w:rsidR="00C61D5A" w:rsidRPr="00B033A8" w:rsidRDefault="00C61D5A" w:rsidP="00C61D5A">
      <w:pPr>
        <w:jc w:val="center"/>
        <w:rPr>
          <w:rFonts w:cs="Times New Roman"/>
          <w:color w:val="000000" w:themeColor="text1"/>
        </w:rPr>
      </w:pPr>
      <w:r w:rsidRPr="00B033A8">
        <w:rPr>
          <w:rFonts w:cs="Times New Roman"/>
          <w:color w:val="000000" w:themeColor="text1"/>
        </w:rPr>
        <w:t xml:space="preserve">Magistrado </w:t>
      </w:r>
    </w:p>
    <w:p w14:paraId="1627492C" w14:textId="29CF5E40" w:rsidR="00C61D5A" w:rsidRPr="00B033A8" w:rsidRDefault="00C61D5A" w:rsidP="00C61D5A">
      <w:pPr>
        <w:jc w:val="center"/>
        <w:rPr>
          <w:rFonts w:cs="Times New Roman"/>
          <w:color w:val="000000" w:themeColor="text1"/>
        </w:rPr>
      </w:pPr>
      <w:r w:rsidRPr="00B033A8">
        <w:rPr>
          <w:rFonts w:cs="Times New Roman"/>
          <w:color w:val="000000" w:themeColor="text1"/>
        </w:rPr>
        <w:t xml:space="preserve">Con Aclaración de voto </w:t>
      </w:r>
    </w:p>
    <w:p w14:paraId="135F7F1D" w14:textId="61A5E62A" w:rsidR="00C61D5A" w:rsidRPr="00B033A8" w:rsidRDefault="00C61D5A" w:rsidP="00C61D5A">
      <w:pPr>
        <w:jc w:val="center"/>
        <w:rPr>
          <w:rFonts w:cs="Times New Roman"/>
          <w:color w:val="000000" w:themeColor="text1"/>
        </w:rPr>
      </w:pPr>
    </w:p>
    <w:p w14:paraId="347BB366" w14:textId="089E173E" w:rsidR="00C61D5A" w:rsidRPr="00B033A8" w:rsidRDefault="00C61D5A" w:rsidP="00C61D5A">
      <w:pPr>
        <w:jc w:val="center"/>
        <w:rPr>
          <w:rFonts w:cs="Times New Roman"/>
          <w:color w:val="000000" w:themeColor="text1"/>
        </w:rPr>
      </w:pPr>
    </w:p>
    <w:p w14:paraId="33EE4811" w14:textId="574F83E6" w:rsidR="00C61D5A" w:rsidRPr="00B033A8" w:rsidRDefault="00C61D5A" w:rsidP="00C61D5A">
      <w:pPr>
        <w:jc w:val="center"/>
        <w:rPr>
          <w:rFonts w:cs="Times New Roman"/>
          <w:color w:val="000000" w:themeColor="text1"/>
        </w:rPr>
      </w:pPr>
    </w:p>
    <w:p w14:paraId="7392CBEB" w14:textId="31BBD64E" w:rsidR="00C61D5A" w:rsidRPr="00B033A8" w:rsidRDefault="00C61D5A" w:rsidP="00C61D5A">
      <w:pPr>
        <w:jc w:val="center"/>
        <w:rPr>
          <w:rFonts w:cs="Times New Roman"/>
          <w:color w:val="000000" w:themeColor="text1"/>
        </w:rPr>
      </w:pPr>
      <w:r w:rsidRPr="00B033A8">
        <w:rPr>
          <w:rFonts w:cs="Times New Roman"/>
          <w:color w:val="000000" w:themeColor="text1"/>
        </w:rPr>
        <w:t>DIANA FAJARDO RIVERA</w:t>
      </w:r>
    </w:p>
    <w:p w14:paraId="0E194927" w14:textId="67D70DEE" w:rsidR="00C61D5A" w:rsidRPr="00B033A8" w:rsidRDefault="00C61D5A" w:rsidP="00C61D5A">
      <w:pPr>
        <w:jc w:val="center"/>
        <w:rPr>
          <w:rFonts w:cs="Times New Roman"/>
          <w:color w:val="000000" w:themeColor="text1"/>
        </w:rPr>
      </w:pPr>
      <w:r w:rsidRPr="00B033A8">
        <w:rPr>
          <w:rFonts w:cs="Times New Roman"/>
          <w:color w:val="000000" w:themeColor="text1"/>
        </w:rPr>
        <w:t>Magistrada</w:t>
      </w:r>
    </w:p>
    <w:p w14:paraId="403E5D5F" w14:textId="5D55ACE3" w:rsidR="00C61D5A" w:rsidRPr="00B033A8" w:rsidRDefault="00C61D5A" w:rsidP="00C61D5A">
      <w:pPr>
        <w:jc w:val="center"/>
        <w:rPr>
          <w:rFonts w:cs="Times New Roman"/>
          <w:color w:val="000000" w:themeColor="text1"/>
        </w:rPr>
      </w:pPr>
    </w:p>
    <w:p w14:paraId="3AD6677E" w14:textId="4E4D1D3F" w:rsidR="00C61D5A" w:rsidRPr="00B033A8" w:rsidRDefault="00C61D5A" w:rsidP="00C61D5A">
      <w:pPr>
        <w:jc w:val="center"/>
        <w:rPr>
          <w:rFonts w:cs="Times New Roman"/>
          <w:color w:val="000000" w:themeColor="text1"/>
        </w:rPr>
      </w:pPr>
    </w:p>
    <w:p w14:paraId="7F67D6DF" w14:textId="4DAB12CF" w:rsidR="00C61D5A" w:rsidRPr="00B033A8" w:rsidRDefault="00C61D5A" w:rsidP="00C61D5A">
      <w:pPr>
        <w:jc w:val="center"/>
        <w:rPr>
          <w:rFonts w:cs="Times New Roman"/>
          <w:color w:val="000000" w:themeColor="text1"/>
        </w:rPr>
      </w:pPr>
    </w:p>
    <w:p w14:paraId="55209089" w14:textId="44EB550C" w:rsidR="00C61D5A" w:rsidRPr="00B033A8" w:rsidRDefault="00C61D5A" w:rsidP="00C61D5A">
      <w:pPr>
        <w:jc w:val="center"/>
        <w:rPr>
          <w:rFonts w:cs="Times New Roman"/>
          <w:color w:val="000000" w:themeColor="text1"/>
        </w:rPr>
      </w:pPr>
      <w:r w:rsidRPr="00B033A8">
        <w:rPr>
          <w:rFonts w:cs="Times New Roman"/>
          <w:color w:val="000000" w:themeColor="text1"/>
        </w:rPr>
        <w:t>VLADIMIR FERNÁNDEZ ANDRADE</w:t>
      </w:r>
    </w:p>
    <w:p w14:paraId="132A8A46" w14:textId="4F5D506F" w:rsidR="00C61D5A" w:rsidRPr="00B033A8" w:rsidRDefault="00C61D5A" w:rsidP="00C61D5A">
      <w:pPr>
        <w:jc w:val="center"/>
        <w:rPr>
          <w:rFonts w:cs="Times New Roman"/>
          <w:color w:val="000000" w:themeColor="text1"/>
        </w:rPr>
      </w:pPr>
      <w:r w:rsidRPr="00B033A8">
        <w:rPr>
          <w:rFonts w:cs="Times New Roman"/>
          <w:color w:val="000000" w:themeColor="text1"/>
        </w:rPr>
        <w:t>Magistrado</w:t>
      </w:r>
    </w:p>
    <w:p w14:paraId="49E38FE9" w14:textId="30A5728F" w:rsidR="00C61D5A" w:rsidRPr="00B033A8" w:rsidRDefault="00C61D5A" w:rsidP="00C61D5A">
      <w:pPr>
        <w:jc w:val="center"/>
        <w:rPr>
          <w:rFonts w:cs="Times New Roman"/>
          <w:color w:val="000000" w:themeColor="text1"/>
        </w:rPr>
      </w:pPr>
    </w:p>
    <w:p w14:paraId="5628B370" w14:textId="7278A135" w:rsidR="00C61D5A" w:rsidRPr="00B033A8" w:rsidRDefault="00C61D5A" w:rsidP="00C61D5A">
      <w:pPr>
        <w:jc w:val="center"/>
        <w:rPr>
          <w:rFonts w:cs="Times New Roman"/>
          <w:color w:val="000000" w:themeColor="text1"/>
        </w:rPr>
      </w:pPr>
    </w:p>
    <w:p w14:paraId="18CD6013" w14:textId="19EB6915" w:rsidR="00C61D5A" w:rsidRPr="00B033A8" w:rsidRDefault="00C61D5A" w:rsidP="00C61D5A">
      <w:pPr>
        <w:jc w:val="center"/>
        <w:rPr>
          <w:rFonts w:cs="Times New Roman"/>
          <w:color w:val="000000" w:themeColor="text1"/>
        </w:rPr>
      </w:pPr>
    </w:p>
    <w:p w14:paraId="470F4A62" w14:textId="134758A7" w:rsidR="00C61D5A" w:rsidRPr="00B033A8" w:rsidRDefault="00C61D5A" w:rsidP="00C61D5A">
      <w:pPr>
        <w:jc w:val="center"/>
        <w:rPr>
          <w:rFonts w:cs="Times New Roman"/>
          <w:color w:val="000000" w:themeColor="text1"/>
        </w:rPr>
      </w:pPr>
      <w:r w:rsidRPr="00B033A8">
        <w:rPr>
          <w:rFonts w:cs="Times New Roman"/>
          <w:color w:val="000000" w:themeColor="text1"/>
        </w:rPr>
        <w:t>PAOLA ANDREA MENESES MOSQUERA</w:t>
      </w:r>
    </w:p>
    <w:p w14:paraId="3320AC86" w14:textId="71FFB71F" w:rsidR="00C61D5A" w:rsidRPr="00B033A8" w:rsidRDefault="00C61D5A" w:rsidP="00C61D5A">
      <w:pPr>
        <w:jc w:val="center"/>
        <w:rPr>
          <w:rFonts w:cs="Times New Roman"/>
          <w:color w:val="000000" w:themeColor="text1"/>
        </w:rPr>
      </w:pPr>
      <w:r w:rsidRPr="00B033A8">
        <w:rPr>
          <w:rFonts w:cs="Times New Roman"/>
          <w:color w:val="000000" w:themeColor="text1"/>
        </w:rPr>
        <w:t>Magistrada</w:t>
      </w:r>
    </w:p>
    <w:p w14:paraId="7A211F1D" w14:textId="23307C0A" w:rsidR="00C61D5A" w:rsidRPr="00B033A8" w:rsidRDefault="00C61D5A" w:rsidP="00C61D5A">
      <w:pPr>
        <w:jc w:val="center"/>
        <w:rPr>
          <w:rFonts w:cs="Times New Roman"/>
          <w:color w:val="000000" w:themeColor="text1"/>
        </w:rPr>
      </w:pPr>
    </w:p>
    <w:p w14:paraId="1613464E" w14:textId="7C7CDA6D" w:rsidR="00C61D5A" w:rsidRPr="00B033A8" w:rsidRDefault="00C61D5A" w:rsidP="00C61D5A">
      <w:pPr>
        <w:jc w:val="center"/>
        <w:rPr>
          <w:rFonts w:cs="Times New Roman"/>
          <w:color w:val="000000" w:themeColor="text1"/>
        </w:rPr>
      </w:pPr>
    </w:p>
    <w:p w14:paraId="5CD47B5C" w14:textId="5E8D6AB0" w:rsidR="00C61D5A" w:rsidRPr="00B033A8" w:rsidRDefault="00C61D5A" w:rsidP="00C61D5A">
      <w:pPr>
        <w:jc w:val="center"/>
        <w:rPr>
          <w:rFonts w:cs="Times New Roman"/>
          <w:color w:val="000000" w:themeColor="text1"/>
        </w:rPr>
      </w:pPr>
    </w:p>
    <w:p w14:paraId="79A75338" w14:textId="3B9B5116" w:rsidR="00C61D5A" w:rsidRPr="00B033A8" w:rsidRDefault="00C61D5A" w:rsidP="00C61D5A">
      <w:pPr>
        <w:jc w:val="center"/>
        <w:rPr>
          <w:rFonts w:cs="Times New Roman"/>
          <w:color w:val="000000" w:themeColor="text1"/>
        </w:rPr>
      </w:pPr>
      <w:r w:rsidRPr="00B033A8">
        <w:rPr>
          <w:rFonts w:cs="Times New Roman"/>
          <w:color w:val="000000" w:themeColor="text1"/>
        </w:rPr>
        <w:t>CRISTINA PARDO SCHLESINGER</w:t>
      </w:r>
    </w:p>
    <w:p w14:paraId="50828E8F" w14:textId="1AFE8359" w:rsidR="00C61D5A" w:rsidRPr="00B033A8" w:rsidRDefault="00C61D5A" w:rsidP="00C61D5A">
      <w:pPr>
        <w:jc w:val="center"/>
        <w:rPr>
          <w:rFonts w:cs="Times New Roman"/>
          <w:color w:val="000000" w:themeColor="text1"/>
        </w:rPr>
      </w:pPr>
      <w:r w:rsidRPr="00B033A8">
        <w:rPr>
          <w:rFonts w:cs="Times New Roman"/>
          <w:color w:val="000000" w:themeColor="text1"/>
        </w:rPr>
        <w:t>Magistrada</w:t>
      </w:r>
    </w:p>
    <w:p w14:paraId="3101A634" w14:textId="0D136A88" w:rsidR="00C61D5A" w:rsidRPr="00B033A8" w:rsidRDefault="00C61D5A" w:rsidP="00C61D5A">
      <w:pPr>
        <w:jc w:val="center"/>
        <w:rPr>
          <w:rFonts w:cs="Times New Roman"/>
          <w:color w:val="000000" w:themeColor="text1"/>
        </w:rPr>
      </w:pPr>
      <w:r w:rsidRPr="00B033A8">
        <w:rPr>
          <w:rFonts w:cs="Times New Roman"/>
          <w:color w:val="000000" w:themeColor="text1"/>
        </w:rPr>
        <w:t>Con impedimento aceptado</w:t>
      </w:r>
    </w:p>
    <w:p w14:paraId="3CEAA63E" w14:textId="6504F794" w:rsidR="00C61D5A" w:rsidRPr="00B033A8" w:rsidRDefault="00C61D5A" w:rsidP="00C61D5A">
      <w:pPr>
        <w:jc w:val="center"/>
        <w:rPr>
          <w:rFonts w:cs="Times New Roman"/>
          <w:color w:val="000000" w:themeColor="text1"/>
        </w:rPr>
      </w:pPr>
    </w:p>
    <w:p w14:paraId="0A9AE1DA" w14:textId="72D7300C" w:rsidR="00C61D5A" w:rsidRPr="00B033A8" w:rsidRDefault="00C61D5A" w:rsidP="00C61D5A">
      <w:pPr>
        <w:jc w:val="center"/>
        <w:rPr>
          <w:rFonts w:cs="Times New Roman"/>
          <w:color w:val="000000" w:themeColor="text1"/>
        </w:rPr>
      </w:pPr>
    </w:p>
    <w:p w14:paraId="445B43FB" w14:textId="7C4BC554" w:rsidR="00C61D5A" w:rsidRPr="00B033A8" w:rsidRDefault="00C61D5A" w:rsidP="00C61D5A">
      <w:pPr>
        <w:jc w:val="center"/>
        <w:rPr>
          <w:rFonts w:cs="Times New Roman"/>
          <w:color w:val="000000" w:themeColor="text1"/>
        </w:rPr>
      </w:pPr>
    </w:p>
    <w:p w14:paraId="266AA9E8" w14:textId="150059F1" w:rsidR="00C61D5A" w:rsidRPr="00B033A8" w:rsidRDefault="00C61D5A" w:rsidP="00C61D5A">
      <w:pPr>
        <w:jc w:val="center"/>
        <w:rPr>
          <w:rFonts w:cs="Times New Roman"/>
          <w:color w:val="000000" w:themeColor="text1"/>
        </w:rPr>
      </w:pPr>
      <w:r w:rsidRPr="00B033A8">
        <w:rPr>
          <w:rFonts w:cs="Times New Roman"/>
          <w:color w:val="000000" w:themeColor="text1"/>
        </w:rPr>
        <w:t>MIGUEL POLO ROSERO</w:t>
      </w:r>
    </w:p>
    <w:p w14:paraId="49873F94" w14:textId="3E08A016" w:rsidR="00C61D5A" w:rsidRPr="00B033A8" w:rsidRDefault="00C61D5A" w:rsidP="00C61D5A">
      <w:pPr>
        <w:jc w:val="center"/>
        <w:rPr>
          <w:rFonts w:cs="Times New Roman"/>
          <w:color w:val="000000" w:themeColor="text1"/>
        </w:rPr>
      </w:pPr>
      <w:r w:rsidRPr="00B033A8">
        <w:rPr>
          <w:rFonts w:cs="Times New Roman"/>
          <w:color w:val="000000" w:themeColor="text1"/>
        </w:rPr>
        <w:t>Magistrado</w:t>
      </w:r>
    </w:p>
    <w:p w14:paraId="6BF246E1" w14:textId="71326399" w:rsidR="00C61D5A" w:rsidRPr="00B033A8" w:rsidRDefault="00C61D5A" w:rsidP="00C61D5A">
      <w:pPr>
        <w:jc w:val="center"/>
        <w:rPr>
          <w:rFonts w:cs="Times New Roman"/>
          <w:color w:val="000000" w:themeColor="text1"/>
        </w:rPr>
      </w:pPr>
    </w:p>
    <w:p w14:paraId="3523CBC2" w14:textId="394CAFF6" w:rsidR="00C61D5A" w:rsidRPr="00B033A8" w:rsidRDefault="00C61D5A" w:rsidP="00C61D5A">
      <w:pPr>
        <w:jc w:val="center"/>
        <w:rPr>
          <w:rFonts w:cs="Times New Roman"/>
          <w:color w:val="000000" w:themeColor="text1"/>
        </w:rPr>
      </w:pPr>
    </w:p>
    <w:p w14:paraId="4E074C14" w14:textId="08FE81B2" w:rsidR="00C61D5A" w:rsidRPr="00B033A8" w:rsidRDefault="00C61D5A" w:rsidP="00C61D5A">
      <w:pPr>
        <w:jc w:val="center"/>
        <w:rPr>
          <w:rFonts w:cs="Times New Roman"/>
          <w:color w:val="000000" w:themeColor="text1"/>
        </w:rPr>
      </w:pPr>
    </w:p>
    <w:p w14:paraId="3F606C95" w14:textId="41F83F31" w:rsidR="00C61D5A" w:rsidRPr="00B033A8" w:rsidRDefault="00C61D5A" w:rsidP="00C61D5A">
      <w:pPr>
        <w:jc w:val="center"/>
        <w:rPr>
          <w:rFonts w:cs="Times New Roman"/>
          <w:color w:val="000000" w:themeColor="text1"/>
        </w:rPr>
      </w:pPr>
      <w:r w:rsidRPr="00B033A8">
        <w:rPr>
          <w:rFonts w:cs="Times New Roman"/>
          <w:color w:val="000000" w:themeColor="text1"/>
        </w:rPr>
        <w:t>JOSE FERNANDO REYES CUARTAS</w:t>
      </w:r>
    </w:p>
    <w:p w14:paraId="6B9D1CBB" w14:textId="6C7781FB" w:rsidR="00C61D5A" w:rsidRPr="00B033A8" w:rsidRDefault="00C61D5A" w:rsidP="00C61D5A">
      <w:pPr>
        <w:jc w:val="center"/>
        <w:rPr>
          <w:rFonts w:cs="Times New Roman"/>
          <w:color w:val="000000" w:themeColor="text1"/>
        </w:rPr>
      </w:pPr>
      <w:r w:rsidRPr="00B033A8">
        <w:rPr>
          <w:rFonts w:cs="Times New Roman"/>
          <w:color w:val="000000" w:themeColor="text1"/>
        </w:rPr>
        <w:t>Magistrado</w:t>
      </w:r>
    </w:p>
    <w:p w14:paraId="3FC25872" w14:textId="0EB2DF77" w:rsidR="00C61D5A" w:rsidRPr="00B033A8" w:rsidRDefault="00C61D5A" w:rsidP="00C61D5A">
      <w:pPr>
        <w:jc w:val="center"/>
        <w:rPr>
          <w:rFonts w:cs="Times New Roman"/>
          <w:color w:val="000000" w:themeColor="text1"/>
        </w:rPr>
      </w:pPr>
    </w:p>
    <w:p w14:paraId="7F3394C5" w14:textId="78DF40C6" w:rsidR="00C61D5A" w:rsidRPr="00B033A8" w:rsidRDefault="00C61D5A" w:rsidP="00C61D5A">
      <w:pPr>
        <w:jc w:val="center"/>
        <w:rPr>
          <w:rFonts w:cs="Times New Roman"/>
          <w:color w:val="000000" w:themeColor="text1"/>
        </w:rPr>
      </w:pPr>
    </w:p>
    <w:p w14:paraId="27C4EBD6" w14:textId="4898269E" w:rsidR="00C61D5A" w:rsidRPr="00B033A8" w:rsidRDefault="00C61D5A" w:rsidP="00C61D5A">
      <w:pPr>
        <w:jc w:val="center"/>
        <w:rPr>
          <w:rFonts w:cs="Times New Roman"/>
          <w:color w:val="000000" w:themeColor="text1"/>
        </w:rPr>
      </w:pPr>
    </w:p>
    <w:p w14:paraId="162B1AE1" w14:textId="0123B730" w:rsidR="00C61D5A" w:rsidRPr="00B033A8" w:rsidRDefault="00C61D5A" w:rsidP="00C61D5A">
      <w:pPr>
        <w:jc w:val="center"/>
        <w:rPr>
          <w:rFonts w:cs="Times New Roman"/>
          <w:color w:val="000000" w:themeColor="text1"/>
        </w:rPr>
      </w:pPr>
      <w:r w:rsidRPr="00B033A8">
        <w:rPr>
          <w:rFonts w:cs="Times New Roman"/>
          <w:color w:val="000000" w:themeColor="text1"/>
        </w:rPr>
        <w:t>ANDREA LILIANA ROMERO LOPEZ</w:t>
      </w:r>
    </w:p>
    <w:p w14:paraId="52375439" w14:textId="33CC221F" w:rsidR="00C61D5A" w:rsidRPr="00B033A8" w:rsidRDefault="00C61D5A" w:rsidP="00C61D5A">
      <w:pPr>
        <w:jc w:val="center"/>
        <w:rPr>
          <w:rFonts w:cs="Times New Roman"/>
          <w:color w:val="000000" w:themeColor="text1"/>
        </w:rPr>
      </w:pPr>
      <w:r w:rsidRPr="00B033A8">
        <w:rPr>
          <w:rFonts w:cs="Times New Roman"/>
          <w:color w:val="000000" w:themeColor="text1"/>
        </w:rPr>
        <w:t>Secretaria General</w:t>
      </w:r>
    </w:p>
    <w:p w14:paraId="3945D7C1" w14:textId="4772CE72" w:rsidR="00C61D5A" w:rsidRPr="00B033A8" w:rsidRDefault="00C61D5A" w:rsidP="00C61D5A">
      <w:pPr>
        <w:jc w:val="center"/>
        <w:rPr>
          <w:rFonts w:cs="Times New Roman"/>
          <w:color w:val="000000" w:themeColor="text1"/>
        </w:rPr>
      </w:pPr>
    </w:p>
    <w:p w14:paraId="1A66C242" w14:textId="40F055D6" w:rsidR="00C61D5A" w:rsidRPr="00B033A8" w:rsidRDefault="00C61D5A" w:rsidP="00C61D5A">
      <w:pPr>
        <w:jc w:val="center"/>
        <w:rPr>
          <w:rFonts w:cs="Times New Roman"/>
          <w:color w:val="000000" w:themeColor="text1"/>
        </w:rPr>
      </w:pPr>
    </w:p>
    <w:p w14:paraId="5F19B8E0" w14:textId="78D643CF" w:rsidR="00C61D5A" w:rsidRPr="00B033A8" w:rsidRDefault="00C61D5A" w:rsidP="00C61D5A">
      <w:pPr>
        <w:jc w:val="center"/>
        <w:rPr>
          <w:rFonts w:cs="Times New Roman"/>
          <w:color w:val="000000" w:themeColor="text1"/>
        </w:rPr>
      </w:pPr>
    </w:p>
    <w:p w14:paraId="4EF4659E" w14:textId="03E4F28D" w:rsidR="001D7753" w:rsidRDefault="001D7753">
      <w:pPr>
        <w:spacing w:after="160" w:line="259" w:lineRule="auto"/>
        <w:jc w:val="left"/>
        <w:rPr>
          <w:rFonts w:cs="Times New Roman"/>
          <w:color w:val="000000" w:themeColor="text1"/>
        </w:rPr>
      </w:pPr>
      <w:r>
        <w:rPr>
          <w:rFonts w:cs="Times New Roman"/>
          <w:color w:val="000000" w:themeColor="text1"/>
        </w:rPr>
        <w:br w:type="page"/>
      </w:r>
    </w:p>
    <w:p w14:paraId="3247606E" w14:textId="77777777" w:rsidR="00655D45" w:rsidRPr="00B033A8" w:rsidRDefault="00B033A8" w:rsidP="005D40FA">
      <w:pPr>
        <w:jc w:val="center"/>
        <w:rPr>
          <w:rFonts w:cs="Times New Roman"/>
          <w:b/>
          <w:bCs/>
        </w:rPr>
      </w:pPr>
      <w:r w:rsidRPr="00B033A8">
        <w:rPr>
          <w:rFonts w:cs="Times New Roman"/>
          <w:b/>
          <w:bCs/>
        </w:rPr>
        <w:lastRenderedPageBreak/>
        <w:t>Anexo 1</w:t>
      </w:r>
      <w:bookmarkStart w:id="13" w:name="_Hlk64876002"/>
      <w:r w:rsidRPr="00B033A8">
        <w:rPr>
          <w:rFonts w:cs="Times New Roman"/>
          <w:b/>
          <w:bCs/>
        </w:rPr>
        <w:t xml:space="preserve">: resumen de intervenciones </w:t>
      </w:r>
    </w:p>
    <w:bookmarkEnd w:id="13"/>
    <w:p w14:paraId="0D98B01B" w14:textId="77777777" w:rsidR="00557A9B" w:rsidRPr="00B033A8" w:rsidRDefault="00557A9B" w:rsidP="00557A9B">
      <w:pPr>
        <w:pStyle w:val="Prrafodelista"/>
        <w:spacing w:line="240" w:lineRule="auto"/>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7043"/>
      </w:tblGrid>
      <w:tr w:rsidR="000A0AA5" w:rsidRPr="00B033A8" w14:paraId="6FAA2963" w14:textId="77777777" w:rsidTr="000A0AA5">
        <w:tc>
          <w:tcPr>
            <w:tcW w:w="5000" w:type="pct"/>
            <w:gridSpan w:val="2"/>
            <w:shd w:val="clear" w:color="auto" w:fill="D9D9D9" w:themeFill="background1" w:themeFillShade="D9"/>
          </w:tcPr>
          <w:p w14:paraId="26B7AE65" w14:textId="190417A8" w:rsidR="00322338" w:rsidRPr="00B033A8" w:rsidRDefault="00B033A8" w:rsidP="00991D4C">
            <w:pPr>
              <w:widowControl w:val="0"/>
              <w:jc w:val="center"/>
              <w:rPr>
                <w:rFonts w:eastAsia="Times New Roman" w:cs="Times New Roman"/>
                <w:b/>
                <w:szCs w:val="20"/>
                <w:lang w:eastAsia="es-CO"/>
              </w:rPr>
            </w:pPr>
            <w:proofErr w:type="spellStart"/>
            <w:r w:rsidRPr="00B033A8">
              <w:rPr>
                <w:rFonts w:eastAsia="Times New Roman" w:cs="Times New Roman"/>
                <w:b/>
                <w:szCs w:val="20"/>
                <w:lang w:eastAsia="es-CO"/>
              </w:rPr>
              <w:t>Exequibilidad</w:t>
            </w:r>
            <w:proofErr w:type="spellEnd"/>
          </w:p>
        </w:tc>
      </w:tr>
      <w:tr w:rsidR="00557A9B" w:rsidRPr="00B033A8" w14:paraId="6FB43F97" w14:textId="77777777" w:rsidTr="008004C6">
        <w:tc>
          <w:tcPr>
            <w:tcW w:w="509" w:type="pct"/>
            <w:shd w:val="clear" w:color="auto" w:fill="D9D9D9" w:themeFill="background1" w:themeFillShade="D9"/>
            <w:vAlign w:val="center"/>
          </w:tcPr>
          <w:p w14:paraId="6E02ACDA" w14:textId="77777777" w:rsidR="00557A9B" w:rsidRPr="00B033A8" w:rsidRDefault="00557A9B" w:rsidP="00991D4C">
            <w:pPr>
              <w:widowControl w:val="0"/>
              <w:jc w:val="center"/>
              <w:rPr>
                <w:rFonts w:eastAsia="Times New Roman" w:cs="Times New Roman"/>
                <w:b/>
                <w:bCs/>
                <w:szCs w:val="20"/>
                <w:lang w:eastAsia="es-CO"/>
              </w:rPr>
            </w:pPr>
            <w:bookmarkStart w:id="14" w:name="_Hlk141050095"/>
            <w:bookmarkStart w:id="15" w:name="_Hlk117781811"/>
            <w:r w:rsidRPr="00B033A8">
              <w:rPr>
                <w:rFonts w:eastAsia="Times New Roman" w:cs="Times New Roman"/>
                <w:b/>
                <w:bCs/>
                <w:szCs w:val="20"/>
                <w:lang w:eastAsia="es-CO"/>
              </w:rPr>
              <w:t xml:space="preserve">Ministerio de Justicia y del Derecho </w:t>
            </w:r>
            <w:bookmarkEnd w:id="14"/>
            <w:bookmarkEnd w:id="15"/>
          </w:p>
        </w:tc>
        <w:tc>
          <w:tcPr>
            <w:tcW w:w="4491" w:type="pct"/>
          </w:tcPr>
          <w:p w14:paraId="77AE2AFE" w14:textId="72810720" w:rsidR="00557A9B" w:rsidRPr="00B033A8" w:rsidRDefault="00557A9B" w:rsidP="006F350C">
            <w:pPr>
              <w:tabs>
                <w:tab w:val="left" w:pos="567"/>
              </w:tabs>
              <w:rPr>
                <w:rFonts w:cs="Times New Roman"/>
                <w:szCs w:val="20"/>
              </w:rPr>
            </w:pPr>
            <w:r w:rsidRPr="00B033A8">
              <w:rPr>
                <w:rFonts w:cs="Times New Roman"/>
                <w:szCs w:val="20"/>
              </w:rPr>
              <w:t>El Ministerio de Justicia y del Derecho solicit</w:t>
            </w:r>
            <w:r w:rsidR="00B033A8" w:rsidRPr="00B033A8">
              <w:rPr>
                <w:rFonts w:cs="Times New Roman"/>
                <w:szCs w:val="20"/>
              </w:rPr>
              <w:t>ó</w:t>
            </w:r>
            <w:r w:rsidRPr="00B033A8">
              <w:rPr>
                <w:rFonts w:cs="Times New Roman"/>
                <w:szCs w:val="20"/>
              </w:rPr>
              <w:t xml:space="preserve"> </w:t>
            </w:r>
            <w:r w:rsidR="00B033A8" w:rsidRPr="00B033A8">
              <w:rPr>
                <w:rFonts w:cs="Times New Roman"/>
                <w:szCs w:val="20"/>
              </w:rPr>
              <w:t xml:space="preserve">a la Corte declarar la </w:t>
            </w:r>
            <w:proofErr w:type="spellStart"/>
            <w:r w:rsidR="00B033A8" w:rsidRPr="00B033A8">
              <w:rPr>
                <w:rFonts w:cs="Times New Roman"/>
                <w:szCs w:val="20"/>
              </w:rPr>
              <w:t>exequibilidad</w:t>
            </w:r>
            <w:proofErr w:type="spellEnd"/>
            <w:r w:rsidR="00B033A8" w:rsidRPr="00B033A8">
              <w:rPr>
                <w:rFonts w:cs="Times New Roman"/>
                <w:szCs w:val="20"/>
              </w:rPr>
              <w:t xml:space="preserve"> del artículo 410A del Código Penal, al considerar que el tipo penal no</w:t>
            </w:r>
            <w:r w:rsidRPr="00B033A8">
              <w:rPr>
                <w:rFonts w:cs="Times New Roman"/>
                <w:szCs w:val="20"/>
              </w:rPr>
              <w:t xml:space="preserve"> lesion</w:t>
            </w:r>
            <w:r w:rsidR="00B033A8" w:rsidRPr="00B033A8">
              <w:rPr>
                <w:rFonts w:cs="Times New Roman"/>
                <w:szCs w:val="20"/>
              </w:rPr>
              <w:t>a el principio de legalidad estricta</w:t>
            </w:r>
            <w:r w:rsidRPr="00B033A8">
              <w:rPr>
                <w:rFonts w:cs="Times New Roman"/>
                <w:szCs w:val="20"/>
              </w:rPr>
              <w:t xml:space="preserve">. </w:t>
            </w:r>
            <w:r w:rsidR="00B033A8" w:rsidRPr="00B033A8">
              <w:rPr>
                <w:rFonts w:cs="Times New Roman"/>
                <w:szCs w:val="20"/>
              </w:rPr>
              <w:t>Sostuvo que “el legislador no está obligado a identificar con total precisión la disposición a la cual se ha de</w:t>
            </w:r>
            <w:r w:rsidR="00B033A8" w:rsidRPr="00B033A8">
              <w:rPr>
                <w:rFonts w:cs="Times New Roman"/>
                <w:color w:val="000000"/>
              </w:rPr>
              <w:t xml:space="preserve"> </w:t>
            </w:r>
            <w:r w:rsidR="00B033A8" w:rsidRPr="00B033A8">
              <w:rPr>
                <w:rFonts w:cs="Times New Roman"/>
                <w:szCs w:val="20"/>
              </w:rPr>
              <w:t>dirigir, cuando el enunciado del artículo logra cumplir con el lugar de ubicación o direccionamiento normativo, con el fin de llenar el contenido del tipo penal en blanco”. Según el ministerio, esto lo que ocurre en este caso: “la expresión ‘alterar ilícitamente’ se basa en un fin indebido, irregular o ilegítimo, respecto a esa concertación lograda por parte de los sujetos activos en los procesos de licitación o subasta pública, selección abreviada y concurso de méritos, referencias que completan el tipo penal y garantizan la materialización legítima del principio de legalidad y taxatividad”.</w:t>
            </w:r>
            <w:r w:rsidRPr="00B033A8">
              <w:rPr>
                <w:rFonts w:cs="Times New Roman"/>
                <w:szCs w:val="20"/>
              </w:rPr>
              <w:t xml:space="preserve"> De otro lado, adu</w:t>
            </w:r>
            <w:r w:rsidR="00B033A8" w:rsidRPr="00B033A8">
              <w:rPr>
                <w:rFonts w:cs="Times New Roman"/>
                <w:szCs w:val="20"/>
              </w:rPr>
              <w:t xml:space="preserve">jo </w:t>
            </w:r>
            <w:r w:rsidRPr="00B033A8">
              <w:rPr>
                <w:rFonts w:cs="Times New Roman"/>
                <w:szCs w:val="20"/>
              </w:rPr>
              <w:t xml:space="preserve">que, tal y como lo ha señalado la doctrina de Colombia Compra Eficiente, </w:t>
            </w:r>
            <w:r w:rsidR="00B033A8" w:rsidRPr="00B033A8">
              <w:rPr>
                <w:rFonts w:cs="Times New Roman"/>
                <w:szCs w:val="20"/>
              </w:rPr>
              <w:t>“[l]a integración del tipo penal previsto en el artículo 410A con el Decreto Ley 2153 de 1992 [art. 47.9] y sus normas complementarias permite identificar claramente los acuerdos restrictivos como aquellos que son ilegales bajo las normas que regulan el derecho de la competencia”</w:t>
            </w:r>
            <w:r w:rsidRPr="00B033A8">
              <w:rPr>
                <w:rStyle w:val="Refdenotaalpie"/>
                <w:rFonts w:cs="Times New Roman"/>
                <w:szCs w:val="20"/>
                <w:lang w:val="es-MX"/>
              </w:rPr>
              <w:footnoteReference w:id="203"/>
            </w:r>
            <w:r w:rsidRPr="00B033A8">
              <w:rPr>
                <w:rFonts w:cs="Times New Roman"/>
                <w:szCs w:val="20"/>
                <w:lang w:val="es-MX"/>
              </w:rPr>
              <w:t>.</w:t>
            </w:r>
            <w:r w:rsidR="00B033A8" w:rsidRPr="00B033A8">
              <w:rPr>
                <w:rFonts w:cs="Times New Roman"/>
                <w:szCs w:val="20"/>
                <w:lang w:val="es-MX"/>
              </w:rPr>
              <w:t xml:space="preserve"> En este sentido, concluye que, </w:t>
            </w:r>
            <w:r w:rsidR="00B033A8" w:rsidRPr="00B033A8">
              <w:rPr>
                <w:rFonts w:cs="Times New Roman"/>
                <w:szCs w:val="20"/>
              </w:rPr>
              <w:t>a pesar de ser un tipo penal en blanco, la norma es “clara, específica y precisa”</w:t>
            </w:r>
            <w:r w:rsidR="00B033A8" w:rsidRPr="00B033A8">
              <w:rPr>
                <w:rFonts w:cs="Times New Roman"/>
                <w:szCs w:val="20"/>
                <w:vertAlign w:val="superscript"/>
              </w:rPr>
              <w:footnoteReference w:id="204"/>
            </w:r>
            <w:r w:rsidR="00B033A8" w:rsidRPr="00B033A8">
              <w:rPr>
                <w:rFonts w:cs="Times New Roman"/>
                <w:szCs w:val="20"/>
              </w:rPr>
              <w:t>.</w:t>
            </w:r>
          </w:p>
        </w:tc>
      </w:tr>
      <w:tr w:rsidR="00557A9B" w:rsidRPr="00B033A8" w14:paraId="46DA7EB9" w14:textId="77777777" w:rsidTr="008004C6">
        <w:tc>
          <w:tcPr>
            <w:tcW w:w="509" w:type="pct"/>
            <w:shd w:val="clear" w:color="auto" w:fill="D9D9D9" w:themeFill="background1" w:themeFillShade="D9"/>
            <w:vAlign w:val="center"/>
          </w:tcPr>
          <w:p w14:paraId="70F884A8" w14:textId="77777777" w:rsidR="00557A9B" w:rsidRPr="00B033A8" w:rsidRDefault="00557A9B" w:rsidP="00991D4C">
            <w:pPr>
              <w:widowControl w:val="0"/>
              <w:jc w:val="center"/>
              <w:rPr>
                <w:rFonts w:eastAsia="Times New Roman" w:cs="Times New Roman"/>
                <w:b/>
                <w:bCs/>
                <w:szCs w:val="20"/>
                <w:lang w:eastAsia="es-CO"/>
              </w:rPr>
            </w:pPr>
            <w:r w:rsidRPr="00B033A8">
              <w:rPr>
                <w:rFonts w:eastAsia="Times New Roman" w:cs="Times New Roman"/>
                <w:b/>
                <w:bCs/>
                <w:szCs w:val="20"/>
                <w:lang w:eastAsia="es-CO"/>
              </w:rPr>
              <w:t>SIC</w:t>
            </w:r>
          </w:p>
        </w:tc>
        <w:tc>
          <w:tcPr>
            <w:tcW w:w="4491" w:type="pct"/>
          </w:tcPr>
          <w:p w14:paraId="0906042A" w14:textId="750E17EF" w:rsidR="00557A9B" w:rsidRPr="00B033A8" w:rsidRDefault="00557A9B" w:rsidP="00557A9B">
            <w:pPr>
              <w:widowControl w:val="0"/>
              <w:rPr>
                <w:rFonts w:eastAsia="Times New Roman" w:cs="Times New Roman"/>
                <w:szCs w:val="20"/>
                <w:lang w:eastAsia="es-CO"/>
              </w:rPr>
            </w:pPr>
            <w:r w:rsidRPr="00B033A8">
              <w:rPr>
                <w:rFonts w:eastAsia="Times New Roman" w:cs="Times New Roman"/>
                <w:szCs w:val="20"/>
                <w:lang w:eastAsia="es-CO"/>
              </w:rPr>
              <w:t xml:space="preserve">La Superintendencia de Industria y Comercio solicitó declarar la </w:t>
            </w:r>
            <w:proofErr w:type="spellStart"/>
            <w:r w:rsidRPr="00B033A8">
              <w:rPr>
                <w:rFonts w:eastAsia="Times New Roman" w:cs="Times New Roman"/>
                <w:szCs w:val="20"/>
                <w:lang w:eastAsia="es-CO"/>
              </w:rPr>
              <w:t>exequibilidad</w:t>
            </w:r>
            <w:proofErr w:type="spellEnd"/>
            <w:r w:rsidRPr="00B033A8">
              <w:rPr>
                <w:rFonts w:eastAsia="Times New Roman" w:cs="Times New Roman"/>
                <w:szCs w:val="20"/>
                <w:lang w:eastAsia="es-CO"/>
              </w:rPr>
              <w:t xml:space="preserve"> de</w:t>
            </w:r>
            <w:r w:rsidR="00B033A8" w:rsidRPr="00B033A8">
              <w:rPr>
                <w:rFonts w:eastAsia="Times New Roman" w:cs="Times New Roman"/>
                <w:szCs w:val="20"/>
                <w:lang w:eastAsia="es-CO"/>
              </w:rPr>
              <w:t>l artículo 410A del Código Penal</w:t>
            </w:r>
            <w:r w:rsidRPr="00B033A8">
              <w:rPr>
                <w:rFonts w:eastAsia="Times New Roman" w:cs="Times New Roman"/>
                <w:szCs w:val="20"/>
                <w:lang w:eastAsia="es-CO"/>
              </w:rPr>
              <w:t xml:space="preserve">. </w:t>
            </w:r>
            <w:r w:rsidR="00B033A8" w:rsidRPr="00B033A8">
              <w:rPr>
                <w:rFonts w:eastAsia="Times New Roman" w:cs="Times New Roman"/>
                <w:szCs w:val="20"/>
                <w:lang w:eastAsia="es-CO"/>
              </w:rPr>
              <w:t xml:space="preserve">Argumentó que la Corte Constitucional ha señalado que los tipos penales abiertos “son constitucionalmente válidos siempre y cuando su amplitud se justifique en la naturaleza de la conducta penalizada, la indeterminación sea moderada y existan referencias en el ámbito jurídico que permitan precisar su contenido y alcance”. A juicio de la SIC, la norma demandada satisface estos requisitos. </w:t>
            </w:r>
            <w:r w:rsidR="00B033A8" w:rsidRPr="00B033A8">
              <w:rPr>
                <w:rFonts w:eastAsia="Times New Roman" w:cs="Times New Roman"/>
                <w:i/>
                <w:iCs/>
                <w:szCs w:val="20"/>
                <w:lang w:eastAsia="es-CO"/>
              </w:rPr>
              <w:t>Primero</w:t>
            </w:r>
            <w:r w:rsidR="00B033A8" w:rsidRPr="00B033A8">
              <w:rPr>
                <w:rFonts w:eastAsia="Times New Roman" w:cs="Times New Roman"/>
                <w:szCs w:val="20"/>
                <w:lang w:eastAsia="es-CO"/>
              </w:rPr>
              <w:t>, la colusión en procesos de contratación “es una conducta que se caracteriza por ser dinámica. Esto significa que la conducta objeto de estudio puede materializarse a través de diferentes actuaciones, siempre que estas sean coordinadas e idóneas. Por tanto, no se limita a un conjunto específico de comportamientos o un número limitado de conductas”</w:t>
            </w:r>
            <w:r w:rsidR="00B033A8" w:rsidRPr="00B033A8">
              <w:rPr>
                <w:rStyle w:val="Refdenotaalpie"/>
                <w:rFonts w:eastAsia="Times New Roman" w:cs="Times New Roman"/>
                <w:szCs w:val="20"/>
                <w:lang w:eastAsia="es-CO"/>
              </w:rPr>
              <w:footnoteReference w:id="205"/>
            </w:r>
            <w:r w:rsidR="00B033A8" w:rsidRPr="00B033A8">
              <w:rPr>
                <w:rFonts w:eastAsia="Times New Roman" w:cs="Times New Roman"/>
                <w:szCs w:val="20"/>
                <w:lang w:eastAsia="es-CO"/>
              </w:rPr>
              <w:t xml:space="preserve">. </w:t>
            </w:r>
            <w:r w:rsidR="00B033A8" w:rsidRPr="00B033A8">
              <w:rPr>
                <w:rFonts w:eastAsia="Times New Roman" w:cs="Times New Roman"/>
                <w:i/>
                <w:iCs/>
                <w:szCs w:val="20"/>
                <w:lang w:eastAsia="es-CO"/>
              </w:rPr>
              <w:t>Segundo</w:t>
            </w:r>
            <w:r w:rsidR="00B033A8" w:rsidRPr="00B033A8">
              <w:rPr>
                <w:rFonts w:eastAsia="Times New Roman" w:cs="Times New Roman"/>
                <w:szCs w:val="20"/>
                <w:lang w:eastAsia="es-CO"/>
              </w:rPr>
              <w:t xml:space="preserve">, </w:t>
            </w:r>
            <w:r w:rsidRPr="00B033A8">
              <w:rPr>
                <w:rFonts w:eastAsia="Times New Roman" w:cs="Times New Roman"/>
                <w:szCs w:val="20"/>
                <w:lang w:eastAsia="es-CO"/>
              </w:rPr>
              <w:t>la conducta sancionada es determinable</w:t>
            </w:r>
            <w:r w:rsidR="00B033A8" w:rsidRPr="00B033A8">
              <w:rPr>
                <w:rFonts w:eastAsia="Times New Roman" w:cs="Times New Roman"/>
                <w:szCs w:val="20"/>
                <w:lang w:eastAsia="es-CO"/>
              </w:rPr>
              <w:t xml:space="preserve">. Según la SIC, es posible interpretar que el artículo criminaliza los </w:t>
            </w:r>
            <w:r w:rsidR="00B033A8" w:rsidRPr="00B033A8">
              <w:rPr>
                <w:rFonts w:eastAsia="Times New Roman" w:cs="Times New Roman"/>
                <w:szCs w:val="20"/>
                <w:lang w:eastAsia="es-CO"/>
              </w:rPr>
              <w:lastRenderedPageBreak/>
              <w:t xml:space="preserve">“acuerdos colusorios”. Esta conclusión se deriva de </w:t>
            </w:r>
            <w:r w:rsidR="00B033A8" w:rsidRPr="00B033A8">
              <w:rPr>
                <w:rFonts w:eastAsia="Times New Roman" w:cs="Times New Roman"/>
                <w:i/>
                <w:iCs/>
                <w:szCs w:val="20"/>
                <w:lang w:eastAsia="es-CO"/>
              </w:rPr>
              <w:t>(i)</w:t>
            </w:r>
            <w:r w:rsidR="00B033A8" w:rsidRPr="00B033A8">
              <w:rPr>
                <w:rFonts w:eastAsia="Times New Roman" w:cs="Times New Roman"/>
                <w:szCs w:val="20"/>
                <w:lang w:eastAsia="es-CO"/>
              </w:rPr>
              <w:t xml:space="preserve"> “el </w:t>
            </w:r>
            <w:proofErr w:type="spellStart"/>
            <w:r w:rsidR="00B033A8" w:rsidRPr="00B033A8">
              <w:rPr>
                <w:rFonts w:eastAsia="Times New Roman" w:cs="Times New Roman"/>
                <w:i/>
                <w:iCs/>
                <w:szCs w:val="20"/>
                <w:lang w:eastAsia="es-CO"/>
              </w:rPr>
              <w:t>nomen</w:t>
            </w:r>
            <w:proofErr w:type="spellEnd"/>
            <w:r w:rsidR="00B033A8" w:rsidRPr="00B033A8">
              <w:rPr>
                <w:rFonts w:eastAsia="Times New Roman" w:cs="Times New Roman"/>
                <w:i/>
                <w:iCs/>
                <w:szCs w:val="20"/>
                <w:lang w:eastAsia="es-CO"/>
              </w:rPr>
              <w:t xml:space="preserve"> iuris</w:t>
            </w:r>
            <w:r w:rsidR="00B033A8" w:rsidRPr="00B033A8">
              <w:rPr>
                <w:rFonts w:eastAsia="Times New Roman" w:cs="Times New Roman"/>
                <w:szCs w:val="20"/>
                <w:lang w:eastAsia="es-CO"/>
              </w:rPr>
              <w:t xml:space="preserve"> del artículo demandado, el cual señala con precisión que la conducta prohibida se refiere a los ‘acuerdos restrictivos de la competencia’ que se lleven a cabo en el marco de procesos de contratación pública”. Además, </w:t>
            </w:r>
            <w:r w:rsidR="00B033A8" w:rsidRPr="00B033A8">
              <w:rPr>
                <w:rFonts w:eastAsia="Times New Roman" w:cs="Times New Roman"/>
                <w:i/>
                <w:iCs/>
                <w:szCs w:val="20"/>
                <w:lang w:eastAsia="es-CO"/>
              </w:rPr>
              <w:t>(</w:t>
            </w:r>
            <w:proofErr w:type="spellStart"/>
            <w:r w:rsidR="00B033A8" w:rsidRPr="00B033A8">
              <w:rPr>
                <w:rFonts w:eastAsia="Times New Roman" w:cs="Times New Roman"/>
                <w:i/>
                <w:iCs/>
                <w:szCs w:val="20"/>
                <w:lang w:eastAsia="es-CO"/>
              </w:rPr>
              <w:t>ii</w:t>
            </w:r>
            <w:proofErr w:type="spellEnd"/>
            <w:r w:rsidR="00B033A8" w:rsidRPr="00B033A8">
              <w:rPr>
                <w:rFonts w:eastAsia="Times New Roman" w:cs="Times New Roman"/>
                <w:i/>
                <w:iCs/>
                <w:szCs w:val="20"/>
                <w:lang w:eastAsia="es-CO"/>
              </w:rPr>
              <w:t>)</w:t>
            </w:r>
            <w:r w:rsidR="00B033A8" w:rsidRPr="00B033A8">
              <w:rPr>
                <w:rFonts w:eastAsia="Times New Roman" w:cs="Times New Roman"/>
                <w:szCs w:val="20"/>
                <w:lang w:eastAsia="es-CO"/>
              </w:rPr>
              <w:t xml:space="preserve"> “esta conclusión también resulta coherente con los motivos por los cuales el legislador tipificó esta conducta. En la exposición de motivos del proyecto de ley que derivó en la Ley 1474 de 2011, el legislador señaló que “[s]e adiciona como nuevo tipo penal los acuerdos restrictivos de competencia en materia de contratación estatal para sancionar fundamentalmente los ya frecuentes casos en los cuales los proponentes de un proceso precontractual se ponen de acuerdo para engañar al Estado”. </w:t>
            </w:r>
            <w:r w:rsidR="00B033A8" w:rsidRPr="00B033A8">
              <w:rPr>
                <w:rFonts w:eastAsia="Times New Roman" w:cs="Times New Roman"/>
                <w:i/>
                <w:iCs/>
                <w:szCs w:val="20"/>
                <w:lang w:eastAsia="es-CO"/>
              </w:rPr>
              <w:t>Tercero</w:t>
            </w:r>
            <w:r w:rsidR="00B033A8" w:rsidRPr="00B033A8">
              <w:rPr>
                <w:rFonts w:eastAsia="Times New Roman" w:cs="Times New Roman"/>
                <w:szCs w:val="20"/>
                <w:lang w:eastAsia="es-CO"/>
              </w:rPr>
              <w:t>, los acuerdos colusorios están definidos</w:t>
            </w:r>
            <w:r w:rsidRPr="00B033A8">
              <w:rPr>
                <w:rFonts w:eastAsia="Times New Roman" w:cs="Times New Roman"/>
                <w:szCs w:val="20"/>
                <w:lang w:eastAsia="es-CO"/>
              </w:rPr>
              <w:t xml:space="preserve"> con precisión en “las normas del régimen de protección de la libre competencia”</w:t>
            </w:r>
            <w:r w:rsidRPr="00B033A8">
              <w:rPr>
                <w:rFonts w:eastAsia="Times New Roman" w:cs="Times New Roman"/>
                <w:szCs w:val="20"/>
                <w:vertAlign w:val="superscript"/>
                <w:lang w:eastAsia="es-CO"/>
              </w:rPr>
              <w:footnoteReference w:id="206"/>
            </w:r>
            <w:r w:rsidRPr="00B033A8">
              <w:rPr>
                <w:rFonts w:eastAsia="Times New Roman" w:cs="Times New Roman"/>
                <w:szCs w:val="20"/>
                <w:lang w:eastAsia="es-CO"/>
              </w:rPr>
              <w:t>. A</w:t>
            </w:r>
            <w:r w:rsidR="00B033A8" w:rsidRPr="00B033A8">
              <w:rPr>
                <w:rFonts w:eastAsia="Times New Roman" w:cs="Times New Roman"/>
                <w:szCs w:val="20"/>
                <w:lang w:eastAsia="es-CO"/>
              </w:rPr>
              <w:t xml:space="preserve">l respecto, señaló </w:t>
            </w:r>
            <w:r w:rsidRPr="00B033A8">
              <w:rPr>
                <w:rFonts w:eastAsia="Times New Roman" w:cs="Times New Roman"/>
                <w:szCs w:val="20"/>
                <w:lang w:eastAsia="es-CO"/>
              </w:rPr>
              <w:t>que el Decreto 2153 de 1992 determinó un catálogo de conductas contrarias a la libre competencia, dentro de los cuales se encuentran los “acuerdos en el marco de procesos de contratación pública, también denominados acuerdos colusorios”</w:t>
            </w:r>
            <w:r w:rsidRPr="00B033A8">
              <w:rPr>
                <w:rFonts w:eastAsia="Times New Roman" w:cs="Times New Roman"/>
                <w:szCs w:val="20"/>
                <w:vertAlign w:val="superscript"/>
                <w:lang w:eastAsia="es-CO"/>
              </w:rPr>
              <w:footnoteReference w:id="207"/>
            </w:r>
            <w:r w:rsidRPr="00B033A8">
              <w:rPr>
                <w:rFonts w:eastAsia="Times New Roman" w:cs="Times New Roman"/>
                <w:szCs w:val="20"/>
                <w:lang w:eastAsia="es-CO"/>
              </w:rPr>
              <w:t xml:space="preserve"> (art. 47.9). Además, a partir de la cláusula general de protección a la libre competencia prevista en el artículo 1° de la Ley 155 de 1959, la SIC ha identificado conductas anticompetitivas en materia de contratación estatal</w:t>
            </w:r>
            <w:r w:rsidRPr="00B033A8">
              <w:rPr>
                <w:rFonts w:eastAsia="Times New Roman" w:cs="Times New Roman"/>
                <w:szCs w:val="20"/>
                <w:vertAlign w:val="superscript"/>
                <w:lang w:eastAsia="es-CO"/>
              </w:rPr>
              <w:footnoteReference w:id="208"/>
            </w:r>
            <w:r w:rsidRPr="00B033A8">
              <w:rPr>
                <w:rFonts w:eastAsia="Times New Roman" w:cs="Times New Roman"/>
                <w:szCs w:val="20"/>
                <w:lang w:eastAsia="es-CO"/>
              </w:rPr>
              <w:t xml:space="preserve">. De acuerdo con la doctrina de la entidad, la colusión en procesos de contratación estatal (conocida como </w:t>
            </w:r>
            <w:proofErr w:type="spellStart"/>
            <w:r w:rsidR="00B033A8" w:rsidRPr="00B033A8">
              <w:rPr>
                <w:rFonts w:eastAsia="Times New Roman" w:cs="Times New Roman"/>
                <w:i/>
                <w:iCs/>
                <w:szCs w:val="20"/>
                <w:lang w:val="es-MX" w:eastAsia="es-CO"/>
              </w:rPr>
              <w:t>r</w:t>
            </w:r>
            <w:r w:rsidRPr="00B033A8">
              <w:rPr>
                <w:rFonts w:eastAsia="Times New Roman" w:cs="Times New Roman"/>
                <w:i/>
                <w:iCs/>
                <w:szCs w:val="20"/>
                <w:lang w:val="es-MX" w:eastAsia="es-CO"/>
              </w:rPr>
              <w:t>rigging</w:t>
            </w:r>
            <w:proofErr w:type="spellEnd"/>
            <w:r w:rsidRPr="00B033A8">
              <w:rPr>
                <w:rFonts w:eastAsia="Times New Roman" w:cs="Times New Roman"/>
                <w:szCs w:val="20"/>
                <w:lang w:val="es-MX" w:eastAsia="es-CO"/>
              </w:rPr>
              <w:t xml:space="preserve"> o </w:t>
            </w:r>
            <w:proofErr w:type="spellStart"/>
            <w:r w:rsidRPr="00B033A8">
              <w:rPr>
                <w:rFonts w:eastAsia="Times New Roman" w:cs="Times New Roman"/>
                <w:i/>
                <w:iCs/>
                <w:szCs w:val="20"/>
                <w:lang w:val="es-MX" w:eastAsia="es-CO"/>
              </w:rPr>
              <w:t>collusive</w:t>
            </w:r>
            <w:proofErr w:type="spellEnd"/>
            <w:r w:rsidRPr="00B033A8">
              <w:rPr>
                <w:rFonts w:eastAsia="Times New Roman" w:cs="Times New Roman"/>
                <w:i/>
                <w:iCs/>
                <w:szCs w:val="20"/>
                <w:lang w:val="es-MX" w:eastAsia="es-CO"/>
              </w:rPr>
              <w:t xml:space="preserve"> </w:t>
            </w:r>
            <w:proofErr w:type="spellStart"/>
            <w:r w:rsidRPr="00B033A8">
              <w:rPr>
                <w:rFonts w:eastAsia="Times New Roman" w:cs="Times New Roman"/>
                <w:i/>
                <w:iCs/>
                <w:szCs w:val="20"/>
                <w:lang w:val="es-MX" w:eastAsia="es-CO"/>
              </w:rPr>
              <w:t>tendering</w:t>
            </w:r>
            <w:proofErr w:type="spellEnd"/>
            <w:r w:rsidRPr="00B033A8">
              <w:rPr>
                <w:rFonts w:eastAsia="Times New Roman" w:cs="Times New Roman"/>
                <w:szCs w:val="20"/>
                <w:lang w:eastAsia="es-CO"/>
              </w:rPr>
              <w:t>), se produce cuando “las empresas que están llamadas a competir acuerdan eliminar o reducir las presiones competitivas a las que deberían estar sometidas”</w:t>
            </w:r>
            <w:r w:rsidRPr="00B033A8">
              <w:rPr>
                <w:rFonts w:eastAsia="Times New Roman" w:cs="Times New Roman"/>
                <w:szCs w:val="20"/>
                <w:vertAlign w:val="superscript"/>
                <w:lang w:eastAsia="es-CO"/>
              </w:rPr>
              <w:footnoteReference w:id="209"/>
            </w:r>
            <w:r w:rsidRPr="00B033A8">
              <w:rPr>
                <w:rFonts w:eastAsia="Times New Roman" w:cs="Times New Roman"/>
                <w:szCs w:val="20"/>
                <w:lang w:eastAsia="es-CO"/>
              </w:rPr>
              <w:t xml:space="preserve">. </w:t>
            </w:r>
            <w:r w:rsidR="00B033A8" w:rsidRPr="00B033A8">
              <w:rPr>
                <w:rFonts w:eastAsia="Times New Roman" w:cs="Times New Roman"/>
                <w:szCs w:val="20"/>
                <w:lang w:eastAsia="es-CO"/>
              </w:rPr>
              <w:t>Por último</w:t>
            </w:r>
            <w:r w:rsidRPr="00B033A8">
              <w:rPr>
                <w:rFonts w:eastAsia="Times New Roman" w:cs="Times New Roman"/>
                <w:szCs w:val="20"/>
                <w:lang w:eastAsia="es-CO"/>
              </w:rPr>
              <w:t>, resaltó que varios países</w:t>
            </w:r>
            <w:r w:rsidRPr="00B033A8">
              <w:rPr>
                <w:rFonts w:eastAsia="Times New Roman" w:cs="Times New Roman"/>
                <w:szCs w:val="20"/>
                <w:vertAlign w:val="superscript"/>
                <w:lang w:eastAsia="es-CO"/>
              </w:rPr>
              <w:footnoteReference w:id="210"/>
            </w:r>
            <w:r w:rsidRPr="00B033A8">
              <w:rPr>
                <w:rFonts w:eastAsia="Times New Roman" w:cs="Times New Roman"/>
                <w:szCs w:val="20"/>
                <w:lang w:eastAsia="es-CO"/>
              </w:rPr>
              <w:t xml:space="preserve"> han tipificado las prácticas colusorias en la contratación pública dentro de su legislación penal</w:t>
            </w:r>
            <w:r w:rsidRPr="00B033A8">
              <w:rPr>
                <w:rFonts w:eastAsia="Times New Roman" w:cs="Times New Roman"/>
                <w:szCs w:val="20"/>
                <w:vertAlign w:val="superscript"/>
                <w:lang w:eastAsia="es-CO"/>
              </w:rPr>
              <w:footnoteReference w:id="211"/>
            </w:r>
            <w:r w:rsidRPr="00B033A8">
              <w:rPr>
                <w:rFonts w:eastAsia="Times New Roman" w:cs="Times New Roman"/>
                <w:szCs w:val="20"/>
                <w:lang w:eastAsia="es-CO"/>
              </w:rPr>
              <w:t>.</w:t>
            </w:r>
          </w:p>
        </w:tc>
      </w:tr>
      <w:tr w:rsidR="00557A9B" w:rsidRPr="00B033A8" w14:paraId="52BA79B7" w14:textId="77777777" w:rsidTr="008004C6">
        <w:tc>
          <w:tcPr>
            <w:tcW w:w="509" w:type="pct"/>
            <w:shd w:val="clear" w:color="auto" w:fill="D9D9D9" w:themeFill="background1" w:themeFillShade="D9"/>
            <w:vAlign w:val="center"/>
          </w:tcPr>
          <w:p w14:paraId="473C5347" w14:textId="77777777" w:rsidR="00557A9B" w:rsidRPr="00B033A8" w:rsidRDefault="00557A9B" w:rsidP="00991D4C">
            <w:pPr>
              <w:widowControl w:val="0"/>
              <w:jc w:val="center"/>
              <w:rPr>
                <w:rFonts w:eastAsia="Times New Roman" w:cs="Times New Roman"/>
                <w:b/>
                <w:bCs/>
                <w:szCs w:val="20"/>
                <w:lang w:eastAsia="es-CO"/>
              </w:rPr>
            </w:pPr>
            <w:r w:rsidRPr="00B033A8">
              <w:rPr>
                <w:rFonts w:eastAsia="Times New Roman" w:cs="Times New Roman"/>
                <w:b/>
                <w:bCs/>
                <w:szCs w:val="20"/>
                <w:lang w:eastAsia="es-CO"/>
              </w:rPr>
              <w:lastRenderedPageBreak/>
              <w:t>Colombia Compra Eficiente</w:t>
            </w:r>
          </w:p>
        </w:tc>
        <w:tc>
          <w:tcPr>
            <w:tcW w:w="4491" w:type="pct"/>
          </w:tcPr>
          <w:p w14:paraId="70539CFD" w14:textId="4C618122" w:rsidR="007333F6" w:rsidRPr="00B033A8" w:rsidRDefault="00BB3167" w:rsidP="00557A9B">
            <w:pPr>
              <w:widowControl w:val="0"/>
              <w:rPr>
                <w:rFonts w:eastAsia="Times New Roman" w:cs="Times New Roman"/>
                <w:szCs w:val="20"/>
                <w:lang w:eastAsia="es-CO"/>
              </w:rPr>
            </w:pPr>
            <w:r w:rsidRPr="00B033A8">
              <w:rPr>
                <w:rFonts w:eastAsia="Times New Roman" w:cs="Times New Roman"/>
                <w:szCs w:val="20"/>
                <w:lang w:eastAsia="es-CO"/>
              </w:rPr>
              <w:t xml:space="preserve">Colombia Compra Eficiente solicitó a la Corte declarar la </w:t>
            </w:r>
            <w:proofErr w:type="spellStart"/>
            <w:r w:rsidRPr="00B033A8">
              <w:rPr>
                <w:rFonts w:eastAsia="Times New Roman" w:cs="Times New Roman"/>
                <w:szCs w:val="20"/>
                <w:lang w:eastAsia="es-CO"/>
              </w:rPr>
              <w:t>exequibilidad</w:t>
            </w:r>
            <w:proofErr w:type="spellEnd"/>
            <w:r w:rsidRPr="00B033A8">
              <w:rPr>
                <w:rFonts w:eastAsia="Times New Roman" w:cs="Times New Roman"/>
                <w:szCs w:val="20"/>
                <w:lang w:eastAsia="es-CO"/>
              </w:rPr>
              <w:t xml:space="preserve"> de la norma acusada.</w:t>
            </w:r>
            <w:r w:rsidR="00FA47E4" w:rsidRPr="00B033A8">
              <w:rPr>
                <w:rFonts w:eastAsia="Times New Roman" w:cs="Times New Roman"/>
                <w:szCs w:val="20"/>
                <w:lang w:eastAsia="es-CO"/>
              </w:rPr>
              <w:t xml:space="preserve"> </w:t>
            </w:r>
            <w:r w:rsidR="00B033A8" w:rsidRPr="00B033A8">
              <w:rPr>
                <w:rFonts w:eastAsia="Times New Roman" w:cs="Times New Roman"/>
                <w:szCs w:val="20"/>
                <w:lang w:eastAsia="es-CO"/>
              </w:rPr>
              <w:t xml:space="preserve">Lo anterior, con fundamento en los siguientes cuatro argumentos. </w:t>
            </w:r>
            <w:r w:rsidR="00B033A8" w:rsidRPr="00B033A8">
              <w:rPr>
                <w:rFonts w:eastAsia="Times New Roman" w:cs="Times New Roman"/>
                <w:i/>
                <w:iCs/>
                <w:szCs w:val="20"/>
                <w:lang w:eastAsia="es-CO"/>
              </w:rPr>
              <w:t>Primero</w:t>
            </w:r>
            <w:r w:rsidR="00B033A8" w:rsidRPr="00B033A8">
              <w:rPr>
                <w:rFonts w:eastAsia="Times New Roman" w:cs="Times New Roman"/>
                <w:szCs w:val="20"/>
                <w:lang w:eastAsia="es-CO"/>
              </w:rPr>
              <w:t>, el establecimiento de un tipo penal que sancione los acuerdos colusorios</w:t>
            </w:r>
            <w:r w:rsidR="00B033A8" w:rsidRPr="00B033A8">
              <w:rPr>
                <w:rStyle w:val="Refdenotaalpie"/>
                <w:rFonts w:eastAsia="Times New Roman" w:cs="Times New Roman"/>
                <w:szCs w:val="20"/>
                <w:lang w:eastAsia="es-CO"/>
              </w:rPr>
              <w:footnoteReference w:id="212"/>
            </w:r>
            <w:r w:rsidR="00B033A8" w:rsidRPr="00B033A8">
              <w:rPr>
                <w:rFonts w:eastAsia="Times New Roman" w:cs="Times New Roman"/>
                <w:szCs w:val="20"/>
                <w:lang w:eastAsia="es-CO"/>
              </w:rPr>
              <w:t xml:space="preserve"> en los procedimientos contractuales públicos es indispensable “para garantizar la integridad y el buen funcionamiento del mercado competitivo”</w:t>
            </w:r>
            <w:r w:rsidR="00B033A8" w:rsidRPr="00B033A8">
              <w:rPr>
                <w:rStyle w:val="Refdenotaalpie"/>
                <w:rFonts w:eastAsia="Times New Roman" w:cs="Times New Roman"/>
                <w:szCs w:val="20"/>
                <w:lang w:eastAsia="es-CO"/>
              </w:rPr>
              <w:footnoteReference w:id="213"/>
            </w:r>
            <w:r w:rsidR="00B033A8" w:rsidRPr="00B033A8">
              <w:rPr>
                <w:rFonts w:eastAsia="Times New Roman" w:cs="Times New Roman"/>
                <w:szCs w:val="20"/>
                <w:lang w:eastAsia="es-CO"/>
              </w:rPr>
              <w:t>. Lo anterior, habida cuenta de que</w:t>
            </w:r>
            <w:r w:rsidR="00B033A8" w:rsidRPr="00B033A8">
              <w:rPr>
                <w:rFonts w:cs="Times New Roman"/>
                <w:color w:val="000000"/>
              </w:rPr>
              <w:t xml:space="preserve"> </w:t>
            </w:r>
            <w:r w:rsidR="00B033A8" w:rsidRPr="00B033A8">
              <w:rPr>
                <w:rFonts w:eastAsia="Times New Roman" w:cs="Times New Roman"/>
                <w:i/>
                <w:iCs/>
                <w:szCs w:val="20"/>
                <w:lang w:eastAsia="es-CO"/>
              </w:rPr>
              <w:t>(i)</w:t>
            </w:r>
            <w:r w:rsidR="00B033A8" w:rsidRPr="00B033A8">
              <w:rPr>
                <w:rFonts w:eastAsia="Times New Roman" w:cs="Times New Roman"/>
                <w:szCs w:val="20"/>
                <w:lang w:eastAsia="es-CO"/>
              </w:rPr>
              <w:t xml:space="preserve"> el sistema de contratación pública es “especialmente vulnerable a las prácticas colusorias entre proponentes, lo que a su vez justifica la necesidad de un marco represivo”; y </w:t>
            </w:r>
            <w:r w:rsidR="00B033A8" w:rsidRPr="00B033A8">
              <w:rPr>
                <w:rFonts w:eastAsia="Times New Roman" w:cs="Times New Roman"/>
                <w:i/>
                <w:iCs/>
                <w:szCs w:val="20"/>
                <w:lang w:eastAsia="es-CO"/>
              </w:rPr>
              <w:t>(</w:t>
            </w:r>
            <w:proofErr w:type="spellStart"/>
            <w:r w:rsidR="00B033A8" w:rsidRPr="00B033A8">
              <w:rPr>
                <w:rFonts w:eastAsia="Times New Roman" w:cs="Times New Roman"/>
                <w:i/>
                <w:iCs/>
                <w:szCs w:val="20"/>
                <w:lang w:eastAsia="es-CO"/>
              </w:rPr>
              <w:t>ii</w:t>
            </w:r>
            <w:proofErr w:type="spellEnd"/>
            <w:r w:rsidR="00B033A8" w:rsidRPr="00B033A8">
              <w:rPr>
                <w:rFonts w:eastAsia="Times New Roman" w:cs="Times New Roman"/>
                <w:i/>
                <w:iCs/>
                <w:szCs w:val="20"/>
                <w:lang w:eastAsia="es-CO"/>
              </w:rPr>
              <w:t>)</w:t>
            </w:r>
            <w:r w:rsidR="00B033A8" w:rsidRPr="00B033A8">
              <w:rPr>
                <w:rFonts w:eastAsia="Times New Roman" w:cs="Times New Roman"/>
                <w:szCs w:val="20"/>
                <w:lang w:eastAsia="es-CO"/>
              </w:rPr>
              <w:t xml:space="preserve"> cuando los procesos de selección son manipulados mediante colusión, “se produce un uso ineficiente de los recursos públicos. Los fondos destinados a obras, bienes o servicios se desvían hacia los bolsillos de los oferentes que han formado parte de la colusión, afectando negativamente el bienestar general. Esta manipulación no solo perjudica al Estado, que actúa como un importante agente económico en el mercado, sino que también provoca distorsiones significativas en el sistema de mercado en general”</w:t>
            </w:r>
            <w:r w:rsidR="00B033A8" w:rsidRPr="00B033A8">
              <w:rPr>
                <w:rStyle w:val="Refdenotaalpie"/>
                <w:rFonts w:eastAsia="Times New Roman" w:cs="Times New Roman"/>
                <w:szCs w:val="20"/>
                <w:lang w:eastAsia="es-CO"/>
              </w:rPr>
              <w:footnoteReference w:id="214"/>
            </w:r>
            <w:r w:rsidR="00B033A8" w:rsidRPr="00B033A8">
              <w:rPr>
                <w:rFonts w:eastAsia="Times New Roman" w:cs="Times New Roman"/>
                <w:szCs w:val="20"/>
                <w:lang w:eastAsia="es-CO"/>
              </w:rPr>
              <w:t xml:space="preserve">. En este sentido, “el tipo penal establecido en el artículo 410A funciona como una medida punitiva que complementa las sanciones administrativas aplicables por la Superintendencia de Industria y Comercio”. </w:t>
            </w:r>
            <w:r w:rsidR="00B033A8" w:rsidRPr="00B033A8">
              <w:rPr>
                <w:rFonts w:eastAsia="Times New Roman" w:cs="Times New Roman"/>
                <w:i/>
                <w:iCs/>
                <w:szCs w:val="20"/>
                <w:lang w:eastAsia="es-CO"/>
              </w:rPr>
              <w:t>Segundo</w:t>
            </w:r>
            <w:r w:rsidR="00B033A8" w:rsidRPr="00B033A8">
              <w:rPr>
                <w:rFonts w:eastAsia="Times New Roman" w:cs="Times New Roman"/>
                <w:szCs w:val="20"/>
                <w:lang w:eastAsia="es-CO"/>
              </w:rPr>
              <w:t>, es razonable que el legislador haya decidido tipificar la conducta mediante un tipo penal en blanco. Lo anterior, debido a que “[e]</w:t>
            </w:r>
            <w:proofErr w:type="spellStart"/>
            <w:r w:rsidR="00B033A8" w:rsidRPr="00B033A8">
              <w:rPr>
                <w:rFonts w:eastAsia="Times New Roman" w:cs="Times New Roman"/>
                <w:szCs w:val="20"/>
                <w:lang w:eastAsia="es-CO"/>
              </w:rPr>
              <w:t>sta</w:t>
            </w:r>
            <w:proofErr w:type="spellEnd"/>
            <w:r w:rsidR="00B033A8" w:rsidRPr="00B033A8">
              <w:rPr>
                <w:rFonts w:eastAsia="Times New Roman" w:cs="Times New Roman"/>
                <w:szCs w:val="20"/>
                <w:lang w:eastAsia="es-CO"/>
              </w:rPr>
              <w:t xml:space="preserve"> forma de regulación permite que la ley se adapte a las distintas formas de colusión que puedan surgir, al tiempo que garantiza que las prácticas que afectan negativamente la transparencia y la competencia en los procesos de selección sean sancionadas de manera efectiva”</w:t>
            </w:r>
            <w:r w:rsidR="00B033A8" w:rsidRPr="00B033A8">
              <w:rPr>
                <w:rStyle w:val="Refdenotaalpie"/>
                <w:rFonts w:eastAsia="Times New Roman" w:cs="Times New Roman"/>
                <w:szCs w:val="20"/>
                <w:lang w:eastAsia="es-CO"/>
              </w:rPr>
              <w:footnoteReference w:id="215"/>
            </w:r>
            <w:r w:rsidR="00B033A8" w:rsidRPr="00B033A8">
              <w:rPr>
                <w:rFonts w:eastAsia="Times New Roman" w:cs="Times New Roman"/>
                <w:szCs w:val="20"/>
                <w:lang w:eastAsia="es-CO"/>
              </w:rPr>
              <w:t xml:space="preserve">. </w:t>
            </w:r>
            <w:r w:rsidR="00B033A8" w:rsidRPr="00B033A8">
              <w:rPr>
                <w:rFonts w:eastAsia="Times New Roman" w:cs="Times New Roman"/>
                <w:i/>
                <w:iCs/>
                <w:szCs w:val="20"/>
                <w:lang w:eastAsia="es-CO"/>
              </w:rPr>
              <w:t>Tercero</w:t>
            </w:r>
            <w:r w:rsidR="00B033A8" w:rsidRPr="00B033A8">
              <w:rPr>
                <w:rFonts w:eastAsia="Times New Roman" w:cs="Times New Roman"/>
                <w:szCs w:val="20"/>
                <w:lang w:eastAsia="es-CO"/>
              </w:rPr>
              <w:t xml:space="preserve">, la gama de conductas que implican una “alteración ilícita” está claramente delimitada por el marco normativo del derecho a la competencia, en concreto, los artículos 45 y 47.9 del Decreto Ley 2153 de 1992. Este marco normativo “establece las bases para identificar los acuerdos que se consideran restrictivos de la competencia, conforme a las condiciones descritas por el </w:t>
            </w:r>
            <w:proofErr w:type="spellStart"/>
            <w:r w:rsidR="00B033A8" w:rsidRPr="00B033A8">
              <w:rPr>
                <w:rFonts w:eastAsia="Times New Roman" w:cs="Times New Roman"/>
                <w:i/>
                <w:iCs/>
                <w:szCs w:val="20"/>
                <w:lang w:eastAsia="es-CO"/>
              </w:rPr>
              <w:t>nomen</w:t>
            </w:r>
            <w:proofErr w:type="spellEnd"/>
            <w:r w:rsidR="00B033A8" w:rsidRPr="00B033A8">
              <w:rPr>
                <w:rFonts w:eastAsia="Times New Roman" w:cs="Times New Roman"/>
                <w:i/>
                <w:iCs/>
                <w:szCs w:val="20"/>
                <w:lang w:eastAsia="es-CO"/>
              </w:rPr>
              <w:t xml:space="preserve"> iuris </w:t>
            </w:r>
            <w:r w:rsidR="00B033A8" w:rsidRPr="00B033A8">
              <w:rPr>
                <w:rFonts w:eastAsia="Times New Roman" w:cs="Times New Roman"/>
                <w:szCs w:val="20"/>
                <w:lang w:eastAsia="es-CO"/>
              </w:rPr>
              <w:t>del tipo penal en cuestión”</w:t>
            </w:r>
            <w:r w:rsidR="00AE4B07" w:rsidRPr="00B033A8">
              <w:rPr>
                <w:rStyle w:val="Refdenotaalpie"/>
                <w:rFonts w:eastAsia="Times New Roman" w:cs="Times New Roman"/>
                <w:szCs w:val="20"/>
                <w:lang w:val="es-MX" w:eastAsia="es-CO"/>
              </w:rPr>
              <w:footnoteReference w:id="216"/>
            </w:r>
            <w:r w:rsidR="0019083E" w:rsidRPr="00B033A8">
              <w:rPr>
                <w:rFonts w:eastAsia="Times New Roman" w:cs="Times New Roman"/>
                <w:szCs w:val="20"/>
                <w:lang w:eastAsia="es-CO"/>
              </w:rPr>
              <w:t>.</w:t>
            </w:r>
            <w:r w:rsidR="00AE4B07" w:rsidRPr="00B033A8">
              <w:rPr>
                <w:rFonts w:eastAsia="Times New Roman" w:cs="Times New Roman"/>
                <w:szCs w:val="20"/>
                <w:lang w:eastAsia="es-CO"/>
              </w:rPr>
              <w:t xml:space="preserve"> </w:t>
            </w:r>
            <w:r w:rsidR="00B033A8" w:rsidRPr="00B033A8">
              <w:rPr>
                <w:rFonts w:eastAsia="Times New Roman" w:cs="Times New Roman"/>
                <w:szCs w:val="20"/>
                <w:lang w:eastAsia="es-CO"/>
              </w:rPr>
              <w:t xml:space="preserve">Según Colombia Compra Eficiente, la integración del tipo </w:t>
            </w:r>
            <w:r w:rsidR="00B033A8" w:rsidRPr="00B033A8">
              <w:rPr>
                <w:rFonts w:eastAsia="Times New Roman" w:cs="Times New Roman"/>
                <w:szCs w:val="20"/>
                <w:lang w:eastAsia="es-CO"/>
              </w:rPr>
              <w:lastRenderedPageBreak/>
              <w:t>penal previsto en el artículo 410A con el Decreto Ley 2153 de 1992 y sus normas complementarias “permite identificar claramente los acuerdos restrictivos como aquellos que son ilegales bajo las normas que regulan el derecho de la competencia”.  Por último</w:t>
            </w:r>
            <w:r w:rsidR="00F5239E" w:rsidRPr="00B033A8">
              <w:rPr>
                <w:rFonts w:eastAsia="Times New Roman" w:cs="Times New Roman"/>
                <w:szCs w:val="20"/>
                <w:lang w:eastAsia="es-CO"/>
              </w:rPr>
              <w:t xml:space="preserve">, </w:t>
            </w:r>
            <w:r w:rsidR="00B033A8" w:rsidRPr="00B033A8">
              <w:rPr>
                <w:rFonts w:eastAsia="Times New Roman" w:cs="Times New Roman"/>
                <w:szCs w:val="20"/>
                <w:lang w:eastAsia="es-CO"/>
              </w:rPr>
              <w:t>la interviniente resaltó que</w:t>
            </w:r>
            <w:r w:rsidR="00AE4B07" w:rsidRPr="00B033A8">
              <w:rPr>
                <w:rFonts w:eastAsia="Times New Roman" w:cs="Times New Roman"/>
                <w:szCs w:val="20"/>
                <w:lang w:eastAsia="es-CO"/>
              </w:rPr>
              <w:t xml:space="preserve"> </w:t>
            </w:r>
            <w:r w:rsidR="00B033A8" w:rsidRPr="00B033A8">
              <w:rPr>
                <w:rFonts w:eastAsia="Times New Roman" w:cs="Times New Roman"/>
                <w:szCs w:val="20"/>
                <w:lang w:eastAsia="es-CO"/>
              </w:rPr>
              <w:t xml:space="preserve">la </w:t>
            </w:r>
            <w:r w:rsidR="00AE4B07" w:rsidRPr="00B033A8">
              <w:rPr>
                <w:rFonts w:eastAsia="Times New Roman" w:cs="Times New Roman"/>
                <w:szCs w:val="20"/>
                <w:lang w:eastAsia="es-CO"/>
              </w:rPr>
              <w:t>norma fue expedida en el marco de</w:t>
            </w:r>
            <w:r w:rsidR="00B033A8" w:rsidRPr="00B033A8">
              <w:rPr>
                <w:rFonts w:eastAsia="Times New Roman" w:cs="Times New Roman"/>
                <w:szCs w:val="20"/>
                <w:lang w:eastAsia="es-CO"/>
              </w:rPr>
              <w:t>l</w:t>
            </w:r>
            <w:r w:rsidR="00AE4B07" w:rsidRPr="00B033A8">
              <w:rPr>
                <w:rFonts w:eastAsia="Times New Roman" w:cs="Times New Roman"/>
                <w:szCs w:val="20"/>
                <w:lang w:eastAsia="es-CO"/>
              </w:rPr>
              <w:t xml:space="preserve"> ampli</w:t>
            </w:r>
            <w:r w:rsidR="00B033A8" w:rsidRPr="00B033A8">
              <w:rPr>
                <w:rFonts w:eastAsia="Times New Roman" w:cs="Times New Roman"/>
                <w:szCs w:val="20"/>
                <w:lang w:eastAsia="es-CO"/>
              </w:rPr>
              <w:t xml:space="preserve">o margen de </w:t>
            </w:r>
            <w:r w:rsidR="00AE4B07" w:rsidRPr="00B033A8">
              <w:rPr>
                <w:rFonts w:eastAsia="Times New Roman" w:cs="Times New Roman"/>
                <w:szCs w:val="20"/>
                <w:lang w:eastAsia="es-CO"/>
              </w:rPr>
              <w:t>configuración normativa del legislador en materia penal</w:t>
            </w:r>
            <w:r w:rsidR="0083537D" w:rsidRPr="00B033A8">
              <w:rPr>
                <w:rFonts w:eastAsia="Times New Roman" w:cs="Times New Roman"/>
                <w:szCs w:val="20"/>
                <w:lang w:eastAsia="es-CO"/>
              </w:rPr>
              <w:t xml:space="preserve"> y de contratación pública</w:t>
            </w:r>
            <w:r w:rsidR="00AE4B07" w:rsidRPr="00B033A8">
              <w:rPr>
                <w:rFonts w:eastAsia="Times New Roman" w:cs="Times New Roman"/>
                <w:szCs w:val="20"/>
                <w:lang w:eastAsia="es-CO"/>
              </w:rPr>
              <w:t>.</w:t>
            </w:r>
          </w:p>
        </w:tc>
      </w:tr>
      <w:tr w:rsidR="00557A9B" w:rsidRPr="00B033A8" w14:paraId="6D051551" w14:textId="77777777" w:rsidTr="008004C6">
        <w:tc>
          <w:tcPr>
            <w:tcW w:w="509" w:type="pct"/>
            <w:shd w:val="clear" w:color="auto" w:fill="D9D9D9" w:themeFill="background1" w:themeFillShade="D9"/>
            <w:vAlign w:val="center"/>
          </w:tcPr>
          <w:p w14:paraId="56DC3938" w14:textId="363448D2" w:rsidR="00557A9B" w:rsidRPr="00B033A8" w:rsidRDefault="00B033A8" w:rsidP="00991D4C">
            <w:pPr>
              <w:widowControl w:val="0"/>
              <w:jc w:val="center"/>
              <w:rPr>
                <w:rFonts w:eastAsia="Times New Roman" w:cs="Times New Roman"/>
                <w:b/>
                <w:bCs/>
                <w:szCs w:val="20"/>
                <w:lang w:eastAsia="es-CO"/>
              </w:rPr>
            </w:pPr>
            <w:r w:rsidRPr="00B033A8">
              <w:rPr>
                <w:rFonts w:eastAsia="Times New Roman" w:cs="Times New Roman"/>
                <w:b/>
                <w:bCs/>
                <w:szCs w:val="20"/>
                <w:lang w:eastAsia="es-CO"/>
              </w:rPr>
              <w:lastRenderedPageBreak/>
              <w:t>Asociación Colombiana de Derecho de la Competencia (</w:t>
            </w:r>
            <w:r w:rsidR="00557A9B" w:rsidRPr="00B033A8">
              <w:rPr>
                <w:rFonts w:eastAsia="Times New Roman" w:cs="Times New Roman"/>
                <w:b/>
                <w:bCs/>
                <w:szCs w:val="20"/>
                <w:lang w:eastAsia="es-CO"/>
              </w:rPr>
              <w:t>ACDC</w:t>
            </w:r>
            <w:r w:rsidRPr="00B033A8">
              <w:rPr>
                <w:rFonts w:eastAsia="Times New Roman" w:cs="Times New Roman"/>
                <w:b/>
                <w:bCs/>
                <w:szCs w:val="20"/>
                <w:lang w:eastAsia="es-CO"/>
              </w:rPr>
              <w:t>)</w:t>
            </w:r>
          </w:p>
        </w:tc>
        <w:tc>
          <w:tcPr>
            <w:tcW w:w="4491" w:type="pct"/>
          </w:tcPr>
          <w:p w14:paraId="598C0E15" w14:textId="6A3E67FB" w:rsidR="00557A9B" w:rsidRPr="00B033A8" w:rsidRDefault="00557A9B" w:rsidP="00557A9B">
            <w:pPr>
              <w:tabs>
                <w:tab w:val="left" w:pos="567"/>
              </w:tabs>
              <w:rPr>
                <w:rFonts w:cs="Times New Roman"/>
                <w:szCs w:val="20"/>
              </w:rPr>
            </w:pPr>
            <w:r w:rsidRPr="00B033A8">
              <w:rPr>
                <w:rFonts w:cs="Times New Roman"/>
                <w:szCs w:val="20"/>
              </w:rPr>
              <w:t xml:space="preserve">La </w:t>
            </w:r>
            <w:r w:rsidR="00B033A8" w:rsidRPr="00B033A8">
              <w:rPr>
                <w:rFonts w:cs="Times New Roman"/>
                <w:szCs w:val="20"/>
              </w:rPr>
              <w:t>ACDC</w:t>
            </w:r>
            <w:r w:rsidRPr="00B033A8">
              <w:rPr>
                <w:rFonts w:cs="Times New Roman"/>
                <w:szCs w:val="20"/>
              </w:rPr>
              <w:t xml:space="preserve"> solicitó a la Corte declarar la </w:t>
            </w:r>
            <w:proofErr w:type="spellStart"/>
            <w:r w:rsidRPr="00B033A8">
              <w:rPr>
                <w:rFonts w:cs="Times New Roman"/>
                <w:szCs w:val="20"/>
              </w:rPr>
              <w:t>exequibilidad</w:t>
            </w:r>
            <w:proofErr w:type="spellEnd"/>
            <w:r w:rsidRPr="00B033A8">
              <w:rPr>
                <w:rFonts w:cs="Times New Roman"/>
                <w:szCs w:val="20"/>
              </w:rPr>
              <w:t xml:space="preserve"> de la norma. Argumentó que el artículo 410A del Código Penal “es preciso, claro y determinable”</w:t>
            </w:r>
            <w:r w:rsidRPr="00B033A8">
              <w:rPr>
                <w:rStyle w:val="Refdenotaalpie"/>
                <w:rFonts w:cs="Times New Roman"/>
                <w:szCs w:val="20"/>
              </w:rPr>
              <w:footnoteReference w:id="217"/>
            </w:r>
            <w:r w:rsidR="00B033A8" w:rsidRPr="00B033A8">
              <w:rPr>
                <w:rFonts w:cs="Times New Roman"/>
                <w:szCs w:val="20"/>
              </w:rPr>
              <w:t xml:space="preserve">. Esta conclusión se fundamentó en tres premisas. </w:t>
            </w:r>
            <w:r w:rsidR="00B033A8" w:rsidRPr="00B033A8">
              <w:rPr>
                <w:rFonts w:cs="Times New Roman"/>
                <w:i/>
                <w:iCs/>
                <w:szCs w:val="20"/>
              </w:rPr>
              <w:t>Primero</w:t>
            </w:r>
            <w:r w:rsidR="00B033A8" w:rsidRPr="00B033A8">
              <w:rPr>
                <w:rFonts w:cs="Times New Roman"/>
                <w:szCs w:val="20"/>
              </w:rPr>
              <w:t>, es claro que</w:t>
            </w:r>
            <w:r w:rsidRPr="00B033A8">
              <w:rPr>
                <w:rFonts w:cs="Times New Roman"/>
                <w:szCs w:val="20"/>
              </w:rPr>
              <w:t xml:space="preserve"> “lo punible bajo el tipo penal </w:t>
            </w:r>
            <w:r w:rsidR="00B033A8" w:rsidRPr="00B033A8">
              <w:rPr>
                <w:rFonts w:cs="Times New Roman"/>
                <w:szCs w:val="20"/>
              </w:rPr>
              <w:t>es</w:t>
            </w:r>
            <w:r w:rsidRPr="00B033A8">
              <w:rPr>
                <w:rFonts w:cs="Times New Roman"/>
                <w:szCs w:val="20"/>
              </w:rPr>
              <w:t xml:space="preserve"> toda concentración o acuerdo que tenga un objetivo o propósito ilícito o ilegal, conducta necesariamente dolosa, en el contexto de un proceso de contratación pública”</w:t>
            </w:r>
            <w:r w:rsidRPr="00B033A8">
              <w:rPr>
                <w:rStyle w:val="Refdenotaalpie"/>
                <w:rFonts w:cs="Times New Roman"/>
                <w:szCs w:val="20"/>
              </w:rPr>
              <w:footnoteReference w:id="218"/>
            </w:r>
            <w:r w:rsidRPr="00B033A8">
              <w:rPr>
                <w:rFonts w:cs="Times New Roman"/>
                <w:szCs w:val="20"/>
              </w:rPr>
              <w:t xml:space="preserve">. </w:t>
            </w:r>
            <w:r w:rsidR="00B033A8" w:rsidRPr="00B033A8">
              <w:rPr>
                <w:rFonts w:cs="Times New Roman"/>
                <w:szCs w:val="20"/>
              </w:rPr>
              <w:t xml:space="preserve">Por tanto, contrario a los sostenido por el demandante, </w:t>
            </w:r>
            <w:r w:rsidRPr="00B033A8">
              <w:rPr>
                <w:rFonts w:cs="Times New Roman"/>
                <w:szCs w:val="20"/>
              </w:rPr>
              <w:t>“no existe tipo penal en blanco alguno”</w:t>
            </w:r>
            <w:r w:rsidRPr="00B033A8">
              <w:rPr>
                <w:rStyle w:val="Refdenotaalpie"/>
                <w:rFonts w:cs="Times New Roman"/>
                <w:szCs w:val="20"/>
              </w:rPr>
              <w:footnoteReference w:id="219"/>
            </w:r>
            <w:r w:rsidRPr="00B033A8">
              <w:rPr>
                <w:rFonts w:cs="Times New Roman"/>
                <w:szCs w:val="20"/>
              </w:rPr>
              <w:t xml:space="preserve">, pues la norma no deja ningún aspecto abierto o indeterminado que requiera de la referencia a otras fuentes normativas, habida cuenta de que “la propia doctrina” ya ha analizado la adecuación típica de la conducta e identificado con plena claridad todos sus elementos. </w:t>
            </w:r>
            <w:r w:rsidR="00B033A8" w:rsidRPr="00B033A8">
              <w:rPr>
                <w:rFonts w:cs="Times New Roman"/>
                <w:i/>
                <w:iCs/>
                <w:szCs w:val="20"/>
              </w:rPr>
              <w:t>Segundo</w:t>
            </w:r>
            <w:r w:rsidR="00B033A8" w:rsidRPr="00B033A8">
              <w:rPr>
                <w:rFonts w:cs="Times New Roman"/>
                <w:szCs w:val="20"/>
              </w:rPr>
              <w:t>, la sentencia C-411 de 2022 no es un precedente aplicable, habida cuenta de que la expresión “sin el lleno de los requisitos de ley” –que la Corte estudió en la sentencia C-411 de 2022–, de ninguna manera es equiparable con la expresión “</w:t>
            </w:r>
            <w:r w:rsidR="00B033A8" w:rsidRPr="00B033A8">
              <w:rPr>
                <w:rFonts w:cs="Times New Roman"/>
                <w:i/>
                <w:iCs/>
                <w:szCs w:val="20"/>
              </w:rPr>
              <w:t>ilícitamente</w:t>
            </w:r>
            <w:r w:rsidR="00B033A8" w:rsidRPr="00B033A8">
              <w:rPr>
                <w:rFonts w:cs="Times New Roman"/>
                <w:szCs w:val="20"/>
              </w:rPr>
              <w:t xml:space="preserve">”. Esto, porque </w:t>
            </w:r>
            <w:r w:rsidR="00B033A8" w:rsidRPr="00B033A8">
              <w:rPr>
                <w:rFonts w:cs="Times New Roman"/>
                <w:i/>
                <w:iCs/>
                <w:szCs w:val="20"/>
              </w:rPr>
              <w:t>(i)</w:t>
            </w:r>
            <w:r w:rsidR="00B033A8" w:rsidRPr="00B033A8">
              <w:rPr>
                <w:rFonts w:cs="Times New Roman"/>
                <w:szCs w:val="20"/>
              </w:rPr>
              <w:t xml:space="preserve"> “aquello que no cumple con el lleno de requisitos legales, no resulta ser necesariamente ilícito”</w:t>
            </w:r>
            <w:r w:rsidRPr="00B033A8">
              <w:rPr>
                <w:rFonts w:cs="Times New Roman"/>
                <w:szCs w:val="20"/>
              </w:rPr>
              <w:t>. Además,</w:t>
            </w:r>
            <w:r w:rsidR="00B033A8" w:rsidRPr="00B033A8">
              <w:rPr>
                <w:rFonts w:cs="Times New Roman"/>
                <w:szCs w:val="20"/>
              </w:rPr>
              <w:t xml:space="preserve"> </w:t>
            </w:r>
            <w:r w:rsidR="00B033A8" w:rsidRPr="00B033A8">
              <w:rPr>
                <w:rFonts w:cs="Times New Roman"/>
                <w:i/>
                <w:iCs/>
                <w:szCs w:val="20"/>
              </w:rPr>
              <w:t>(</w:t>
            </w:r>
            <w:proofErr w:type="spellStart"/>
            <w:r w:rsidR="00B033A8" w:rsidRPr="00B033A8">
              <w:rPr>
                <w:rFonts w:cs="Times New Roman"/>
                <w:i/>
                <w:iCs/>
                <w:szCs w:val="20"/>
              </w:rPr>
              <w:t>ii</w:t>
            </w:r>
            <w:proofErr w:type="spellEnd"/>
            <w:r w:rsidR="00B033A8" w:rsidRPr="00B033A8">
              <w:rPr>
                <w:rFonts w:cs="Times New Roman"/>
                <w:i/>
                <w:iCs/>
                <w:szCs w:val="20"/>
              </w:rPr>
              <w:t>)</w:t>
            </w:r>
            <w:r w:rsidRPr="00B033A8">
              <w:rPr>
                <w:rFonts w:cs="Times New Roman"/>
                <w:i/>
                <w:iCs/>
                <w:szCs w:val="20"/>
              </w:rPr>
              <w:t xml:space="preserve"> </w:t>
            </w:r>
            <w:r w:rsidRPr="00B033A8">
              <w:rPr>
                <w:rFonts w:cs="Times New Roman"/>
                <w:szCs w:val="20"/>
              </w:rPr>
              <w:t xml:space="preserve">la expresión “ilícitamente” es “una acción u omisión que se realice </w:t>
            </w:r>
            <w:r w:rsidR="00B033A8" w:rsidRPr="00B033A8">
              <w:rPr>
                <w:rFonts w:cs="Times New Roman"/>
                <w:szCs w:val="20"/>
              </w:rPr>
              <w:t>(…)</w:t>
            </w:r>
            <w:r w:rsidRPr="00B033A8">
              <w:rPr>
                <w:rFonts w:cs="Times New Roman"/>
                <w:szCs w:val="20"/>
              </w:rPr>
              <w:t xml:space="preserve"> en sentido no permitido legalmente o en contravía de las normas pertinentes”</w:t>
            </w:r>
            <w:r w:rsidRPr="00B033A8">
              <w:rPr>
                <w:rStyle w:val="Refdenotaalpie"/>
                <w:rFonts w:cs="Times New Roman"/>
                <w:szCs w:val="20"/>
              </w:rPr>
              <w:footnoteReference w:id="220"/>
            </w:r>
            <w:r w:rsidRPr="00B033A8">
              <w:rPr>
                <w:rFonts w:cs="Times New Roman"/>
                <w:szCs w:val="20"/>
              </w:rPr>
              <w:t xml:space="preserve">. </w:t>
            </w:r>
            <w:r w:rsidR="00B033A8" w:rsidRPr="00B033A8">
              <w:rPr>
                <w:rFonts w:cs="Times New Roman"/>
                <w:szCs w:val="20"/>
              </w:rPr>
              <w:t xml:space="preserve">Por último, </w:t>
            </w:r>
            <w:r w:rsidR="00B033A8" w:rsidRPr="00B033A8">
              <w:rPr>
                <w:rFonts w:cs="Times New Roman"/>
                <w:i/>
                <w:iCs/>
                <w:szCs w:val="20"/>
              </w:rPr>
              <w:t>(</w:t>
            </w:r>
            <w:proofErr w:type="spellStart"/>
            <w:r w:rsidR="00B033A8" w:rsidRPr="00B033A8">
              <w:rPr>
                <w:rFonts w:cs="Times New Roman"/>
                <w:i/>
                <w:iCs/>
                <w:szCs w:val="20"/>
              </w:rPr>
              <w:t>iii</w:t>
            </w:r>
            <w:proofErr w:type="spellEnd"/>
            <w:r w:rsidR="00B033A8" w:rsidRPr="00B033A8">
              <w:rPr>
                <w:rFonts w:cs="Times New Roman"/>
                <w:i/>
                <w:iCs/>
                <w:szCs w:val="20"/>
              </w:rPr>
              <w:t>)</w:t>
            </w:r>
            <w:r w:rsidRPr="00B033A8">
              <w:rPr>
                <w:rFonts w:cs="Times New Roman"/>
                <w:szCs w:val="20"/>
              </w:rPr>
              <w:t xml:space="preserve"> el verbo rector “concertar” permite definir que quienes “pacten, contravengan, acuerden o arreglen de cualquier manera, una o más conductas cuyo fin sea el de alterar ilegalmente el procedimiento contractual de algunos procesos de contratación con el Estado, dolosamente representando un resultado jurídicamente ilícito, incurrirán en el tipo penal regulado en el artículo 410A del Código Penal”</w:t>
            </w:r>
            <w:r w:rsidRPr="00B033A8">
              <w:rPr>
                <w:rStyle w:val="Refdenotaalpie"/>
                <w:rFonts w:cs="Times New Roman"/>
                <w:szCs w:val="20"/>
              </w:rPr>
              <w:footnoteReference w:id="221"/>
            </w:r>
            <w:r w:rsidRPr="00B033A8">
              <w:rPr>
                <w:rFonts w:cs="Times New Roman"/>
                <w:szCs w:val="20"/>
              </w:rPr>
              <w:t>.</w:t>
            </w:r>
          </w:p>
        </w:tc>
      </w:tr>
      <w:tr w:rsidR="00557A9B" w:rsidRPr="00B033A8" w14:paraId="3B5BC69D" w14:textId="77777777" w:rsidTr="008004C6">
        <w:tc>
          <w:tcPr>
            <w:tcW w:w="509" w:type="pct"/>
            <w:shd w:val="clear" w:color="auto" w:fill="D9D9D9" w:themeFill="background1" w:themeFillShade="D9"/>
            <w:vAlign w:val="center"/>
          </w:tcPr>
          <w:p w14:paraId="770FAE85" w14:textId="77777777" w:rsidR="00557A9B" w:rsidRPr="00B033A8" w:rsidRDefault="00557A9B" w:rsidP="00991D4C">
            <w:pPr>
              <w:widowControl w:val="0"/>
              <w:jc w:val="center"/>
              <w:rPr>
                <w:rFonts w:eastAsia="Times New Roman" w:cs="Times New Roman"/>
                <w:b/>
                <w:bCs/>
                <w:szCs w:val="20"/>
                <w:lang w:eastAsia="es-CO"/>
              </w:rPr>
            </w:pPr>
            <w:r w:rsidRPr="00B033A8">
              <w:rPr>
                <w:rFonts w:eastAsia="Times New Roman" w:cs="Times New Roman"/>
                <w:b/>
                <w:bCs/>
                <w:szCs w:val="20"/>
                <w:lang w:eastAsia="es-CO"/>
              </w:rPr>
              <w:t>Universidad del Norte</w:t>
            </w:r>
          </w:p>
        </w:tc>
        <w:tc>
          <w:tcPr>
            <w:tcW w:w="4491" w:type="pct"/>
          </w:tcPr>
          <w:p w14:paraId="2FA72C50" w14:textId="398032A6" w:rsidR="00557A9B" w:rsidRPr="00B033A8" w:rsidRDefault="00557A9B" w:rsidP="00557A9B">
            <w:pPr>
              <w:widowControl w:val="0"/>
              <w:rPr>
                <w:rFonts w:eastAsia="Times New Roman" w:cs="Times New Roman"/>
                <w:szCs w:val="20"/>
                <w:lang w:eastAsia="es-CO"/>
              </w:rPr>
            </w:pPr>
            <w:r w:rsidRPr="00B033A8">
              <w:rPr>
                <w:rFonts w:eastAsia="Times New Roman" w:cs="Times New Roman"/>
                <w:szCs w:val="20"/>
                <w:lang w:eastAsia="es-CO"/>
              </w:rPr>
              <w:t xml:space="preserve">La Universidad del Norte solicitó a la Corte declarar la </w:t>
            </w:r>
            <w:proofErr w:type="spellStart"/>
            <w:r w:rsidRPr="00B033A8">
              <w:rPr>
                <w:rFonts w:eastAsia="Times New Roman" w:cs="Times New Roman"/>
                <w:szCs w:val="20"/>
                <w:lang w:eastAsia="es-CO"/>
              </w:rPr>
              <w:t>exequibilidad</w:t>
            </w:r>
            <w:proofErr w:type="spellEnd"/>
            <w:r w:rsidRPr="00B033A8">
              <w:rPr>
                <w:rFonts w:eastAsia="Times New Roman" w:cs="Times New Roman"/>
                <w:szCs w:val="20"/>
                <w:lang w:eastAsia="es-CO"/>
              </w:rPr>
              <w:t xml:space="preserve"> de la norma acusada. Argumentó que el artículo 410A del Código Penal “establece de forma clara las conductas que se consideran típicas”, </w:t>
            </w:r>
            <w:r w:rsidR="00B033A8" w:rsidRPr="00B033A8">
              <w:rPr>
                <w:rFonts w:eastAsia="Times New Roman" w:cs="Times New Roman"/>
                <w:szCs w:val="20"/>
                <w:lang w:eastAsia="es-CO"/>
              </w:rPr>
              <w:t xml:space="preserve">a saber: </w:t>
            </w:r>
            <w:r w:rsidRPr="00B033A8">
              <w:rPr>
                <w:rFonts w:eastAsia="Times New Roman" w:cs="Times New Roman"/>
                <w:szCs w:val="20"/>
                <w:lang w:eastAsia="es-CO"/>
              </w:rPr>
              <w:t xml:space="preserve">la concertación </w:t>
            </w:r>
            <w:r w:rsidRPr="00B033A8">
              <w:rPr>
                <w:rFonts w:eastAsia="Times New Roman" w:cs="Times New Roman"/>
                <w:szCs w:val="20"/>
                <w:lang w:eastAsia="es-CO"/>
              </w:rPr>
              <w:lastRenderedPageBreak/>
              <w:t xml:space="preserve">para alterar ilícitamente los procesos de contratación pública. En su criterio, es posible determinar cuáles son los comportamientos prohibidos y sus consecuencias, si se consultan las disposiciones que regulan la contratación pública. En concreto, los conceptos de “licitación pública, subasta pública, selección abreviada y concurso” </w:t>
            </w:r>
            <w:r w:rsidR="00B033A8" w:rsidRPr="00B033A8">
              <w:rPr>
                <w:rFonts w:eastAsia="Times New Roman" w:cs="Times New Roman"/>
                <w:szCs w:val="20"/>
                <w:lang w:eastAsia="es-CO"/>
              </w:rPr>
              <w:t>están definidos en</w:t>
            </w:r>
            <w:r w:rsidRPr="00B033A8">
              <w:rPr>
                <w:rFonts w:eastAsia="Times New Roman" w:cs="Times New Roman"/>
                <w:szCs w:val="20"/>
                <w:lang w:eastAsia="es-CO"/>
              </w:rPr>
              <w:t xml:space="preserve"> la Ley 1150 de 2007, que modificó la Ley 80 de 1993, y </w:t>
            </w:r>
            <w:r w:rsidR="00B033A8" w:rsidRPr="00B033A8">
              <w:rPr>
                <w:rFonts w:eastAsia="Times New Roman" w:cs="Times New Roman"/>
                <w:szCs w:val="20"/>
                <w:lang w:eastAsia="es-CO"/>
              </w:rPr>
              <w:t xml:space="preserve">han sido desarrollados </w:t>
            </w:r>
            <w:r w:rsidRPr="00B033A8">
              <w:rPr>
                <w:rFonts w:eastAsia="Times New Roman" w:cs="Times New Roman"/>
                <w:szCs w:val="20"/>
                <w:lang w:eastAsia="es-CO"/>
              </w:rPr>
              <w:t xml:space="preserve">por la jurisprudencia del Consejo de Estado. </w:t>
            </w:r>
            <w:r w:rsidR="00B033A8" w:rsidRPr="00B033A8">
              <w:rPr>
                <w:rFonts w:eastAsia="Times New Roman" w:cs="Times New Roman"/>
                <w:szCs w:val="20"/>
                <w:lang w:eastAsia="es-CO"/>
              </w:rPr>
              <w:t>En tales términos</w:t>
            </w:r>
            <w:r w:rsidRPr="00B033A8">
              <w:rPr>
                <w:rFonts w:eastAsia="Times New Roman" w:cs="Times New Roman"/>
                <w:szCs w:val="20"/>
                <w:lang w:eastAsia="es-CO"/>
              </w:rPr>
              <w:t>,</w:t>
            </w:r>
            <w:r w:rsidR="00B033A8" w:rsidRPr="00B033A8">
              <w:rPr>
                <w:rFonts w:eastAsia="Times New Roman" w:cs="Times New Roman"/>
                <w:szCs w:val="20"/>
                <w:lang w:eastAsia="es-CO"/>
              </w:rPr>
              <w:t xml:space="preserve"> concluyó que,</w:t>
            </w:r>
            <w:r w:rsidRPr="00B033A8">
              <w:rPr>
                <w:rFonts w:eastAsia="Times New Roman" w:cs="Times New Roman"/>
                <w:szCs w:val="20"/>
                <w:lang w:eastAsia="es-CO"/>
              </w:rPr>
              <w:t xml:space="preserve"> </w:t>
            </w:r>
            <w:r w:rsidR="00B033A8" w:rsidRPr="00B033A8">
              <w:rPr>
                <w:rFonts w:eastAsia="Times New Roman" w:cs="Times New Roman"/>
                <w:szCs w:val="20"/>
                <w:lang w:eastAsia="es-CO"/>
              </w:rPr>
              <w:t>“aunque el artículo 410A no detalla de manera exhaustiva todas las conductas prohibidas, se puede entender que el legislador no está obligado a identificar cada disposición de forma precisa, en el contexto que el articulo permite la remisión a normas existentes que regulan los procedimientos de contratación pública, lo que ayuda a definir con mayor claridad las conductas que se consideren ilícitas, por lo cual la expresión ‘alterar ilícitamente’ pueda parecer vaga, su interpretación puede ser aclarada mediante la remisión a otras normas que regulan la contratación pública”</w:t>
            </w:r>
            <w:r w:rsidR="00B033A8" w:rsidRPr="00B033A8">
              <w:rPr>
                <w:rStyle w:val="Refdenotaalpie"/>
                <w:rFonts w:eastAsia="Times New Roman" w:cs="Times New Roman"/>
                <w:szCs w:val="20"/>
                <w:lang w:eastAsia="es-CO"/>
              </w:rPr>
              <w:footnoteReference w:id="222"/>
            </w:r>
            <w:r w:rsidRPr="00B033A8">
              <w:rPr>
                <w:rFonts w:eastAsia="Times New Roman" w:cs="Times New Roman"/>
                <w:szCs w:val="20"/>
                <w:lang w:eastAsia="es-CO"/>
              </w:rPr>
              <w:t>.</w:t>
            </w:r>
          </w:p>
        </w:tc>
      </w:tr>
      <w:tr w:rsidR="000A0AA5" w:rsidRPr="00B033A8" w14:paraId="0E1DD897" w14:textId="77777777" w:rsidTr="000A0AA5">
        <w:tc>
          <w:tcPr>
            <w:tcW w:w="5000" w:type="pct"/>
            <w:gridSpan w:val="2"/>
            <w:shd w:val="clear" w:color="auto" w:fill="D9D9D9" w:themeFill="background1" w:themeFillShade="D9"/>
            <w:vAlign w:val="center"/>
          </w:tcPr>
          <w:p w14:paraId="268D19A7" w14:textId="03113985" w:rsidR="00322338" w:rsidRPr="00B033A8" w:rsidRDefault="00B033A8" w:rsidP="000A0AA5">
            <w:pPr>
              <w:widowControl w:val="0"/>
              <w:jc w:val="center"/>
              <w:rPr>
                <w:rFonts w:eastAsia="Times New Roman" w:cs="Times New Roman"/>
                <w:b/>
                <w:bCs/>
                <w:szCs w:val="20"/>
                <w:lang w:eastAsia="es-CO"/>
              </w:rPr>
            </w:pPr>
            <w:proofErr w:type="spellStart"/>
            <w:r w:rsidRPr="00B033A8">
              <w:rPr>
                <w:rFonts w:eastAsia="Times New Roman" w:cs="Times New Roman"/>
                <w:b/>
                <w:bCs/>
                <w:szCs w:val="20"/>
                <w:lang w:eastAsia="es-CO"/>
              </w:rPr>
              <w:lastRenderedPageBreak/>
              <w:t>Inexequibilidad</w:t>
            </w:r>
            <w:proofErr w:type="spellEnd"/>
          </w:p>
        </w:tc>
      </w:tr>
      <w:tr w:rsidR="00557A9B" w:rsidRPr="00B033A8" w14:paraId="473E70DC" w14:textId="77777777" w:rsidTr="008004C6">
        <w:tc>
          <w:tcPr>
            <w:tcW w:w="509" w:type="pct"/>
            <w:shd w:val="clear" w:color="auto" w:fill="D9D9D9" w:themeFill="background1" w:themeFillShade="D9"/>
            <w:vAlign w:val="center"/>
          </w:tcPr>
          <w:p w14:paraId="4ADF4ECD" w14:textId="77777777" w:rsidR="00557A9B" w:rsidRPr="00B033A8" w:rsidRDefault="00557A9B" w:rsidP="00991D4C">
            <w:pPr>
              <w:widowControl w:val="0"/>
              <w:jc w:val="center"/>
              <w:rPr>
                <w:rFonts w:eastAsia="Times New Roman" w:cs="Times New Roman"/>
                <w:b/>
                <w:bCs/>
                <w:szCs w:val="20"/>
                <w:lang w:eastAsia="es-CO"/>
              </w:rPr>
            </w:pPr>
            <w:r w:rsidRPr="00B033A8">
              <w:rPr>
                <w:rFonts w:eastAsia="Times New Roman" w:cs="Times New Roman"/>
                <w:b/>
                <w:bCs/>
                <w:szCs w:val="20"/>
                <w:lang w:eastAsia="es-CO"/>
              </w:rPr>
              <w:t>ICDP</w:t>
            </w:r>
          </w:p>
        </w:tc>
        <w:tc>
          <w:tcPr>
            <w:tcW w:w="4491" w:type="pct"/>
          </w:tcPr>
          <w:p w14:paraId="73DED92C" w14:textId="3CFAC84D" w:rsidR="00557A9B" w:rsidRPr="00B033A8" w:rsidRDefault="00557A9B" w:rsidP="00557A9B">
            <w:pPr>
              <w:widowControl w:val="0"/>
              <w:rPr>
                <w:rFonts w:cs="Times New Roman"/>
                <w:szCs w:val="20"/>
              </w:rPr>
            </w:pPr>
            <w:r w:rsidRPr="00B033A8">
              <w:rPr>
                <w:rFonts w:cs="Times New Roman"/>
                <w:szCs w:val="20"/>
              </w:rPr>
              <w:t xml:space="preserve">El Instituto Colombiano de Derecho Procesal solicitó a la Corte declarar la </w:t>
            </w:r>
            <w:proofErr w:type="spellStart"/>
            <w:r w:rsidRPr="00B033A8">
              <w:rPr>
                <w:rFonts w:cs="Times New Roman"/>
                <w:szCs w:val="20"/>
              </w:rPr>
              <w:t>inexequibilidad</w:t>
            </w:r>
            <w:proofErr w:type="spellEnd"/>
            <w:r w:rsidRPr="00B033A8">
              <w:rPr>
                <w:rFonts w:cs="Times New Roman"/>
                <w:szCs w:val="20"/>
              </w:rPr>
              <w:t xml:space="preserve"> del artículo 410A del Código Penal</w:t>
            </w:r>
            <w:r w:rsidR="00B033A8" w:rsidRPr="00B033A8">
              <w:rPr>
                <w:rFonts w:cs="Times New Roman"/>
                <w:szCs w:val="20"/>
              </w:rPr>
              <w:t xml:space="preserve">. A su juicio, el tipo penal vulnera el principio de legalidad estricta, por dos razones. </w:t>
            </w:r>
            <w:r w:rsidRPr="00B033A8">
              <w:rPr>
                <w:rFonts w:cs="Times New Roman"/>
                <w:i/>
                <w:iCs/>
                <w:szCs w:val="20"/>
              </w:rPr>
              <w:t>Primero</w:t>
            </w:r>
            <w:r w:rsidRPr="00B033A8">
              <w:rPr>
                <w:rFonts w:cs="Times New Roman"/>
                <w:szCs w:val="20"/>
              </w:rPr>
              <w:t>, “no precisa lo que se entiende por ‘alterar ilícitamente’ una licitación, subasta, selección abreviada o concurso”,</w:t>
            </w:r>
            <w:r w:rsidRPr="00B033A8">
              <w:rPr>
                <w:rStyle w:val="Refdenotaalpie"/>
                <w:rFonts w:cs="Times New Roman"/>
                <w:szCs w:val="20"/>
              </w:rPr>
              <w:footnoteReference w:id="223"/>
            </w:r>
            <w:r w:rsidR="00B033A8" w:rsidRPr="00B033A8">
              <w:rPr>
                <w:rFonts w:cs="Times New Roman"/>
                <w:szCs w:val="20"/>
              </w:rPr>
              <w:t xml:space="preserve">. Esto </w:t>
            </w:r>
            <w:r w:rsidRPr="00B033A8">
              <w:rPr>
                <w:rFonts w:cs="Times New Roman"/>
                <w:szCs w:val="20"/>
              </w:rPr>
              <w:t>afecta el debido proceso del investigado y “se presta para la arbitrariedad”</w:t>
            </w:r>
            <w:r w:rsidRPr="00B033A8">
              <w:rPr>
                <w:rStyle w:val="Refdenotaalpie"/>
                <w:rFonts w:cs="Times New Roman"/>
                <w:szCs w:val="20"/>
              </w:rPr>
              <w:footnoteReference w:id="224"/>
            </w:r>
            <w:r w:rsidRPr="00B033A8">
              <w:rPr>
                <w:rFonts w:cs="Times New Roman"/>
                <w:szCs w:val="20"/>
              </w:rPr>
              <w:t xml:space="preserve">, pues se pueden adelantar procesos penales sin tener precisión sobre el contenido del verbo rector del delito. </w:t>
            </w:r>
            <w:r w:rsidRPr="00B033A8">
              <w:rPr>
                <w:rFonts w:cs="Times New Roman"/>
                <w:i/>
                <w:iCs/>
                <w:szCs w:val="20"/>
              </w:rPr>
              <w:t>Segundo,</w:t>
            </w:r>
            <w:r w:rsidRPr="00B033A8">
              <w:rPr>
                <w:rFonts w:cs="Times New Roman"/>
                <w:szCs w:val="20"/>
              </w:rPr>
              <w:t xml:space="preserve"> es “erróneo”</w:t>
            </w:r>
            <w:r w:rsidRPr="00B033A8">
              <w:rPr>
                <w:rStyle w:val="Refdenotaalpie"/>
                <w:rFonts w:cs="Times New Roman"/>
                <w:szCs w:val="20"/>
              </w:rPr>
              <w:footnoteReference w:id="225"/>
            </w:r>
            <w:r w:rsidRPr="00B033A8">
              <w:rPr>
                <w:rFonts w:cs="Times New Roman"/>
                <w:szCs w:val="20"/>
              </w:rPr>
              <w:t xml:space="preserve"> ubicar el tipo penal demandado dentro del título dedicado a los delitos contra la administración pública. Lo anterior, porque no todo acuerdo restrictivo de la competencia tiene incidencia en el bien jurídico tutelado (la administración pública), pues hay subastas, concursos, licitaciones y selecciones abreviadas donde sólo intervienen personas jurídicas de carácter privado y en las que la administración no tiene ninguna participación</w:t>
            </w:r>
            <w:r w:rsidRPr="00B033A8">
              <w:rPr>
                <w:rStyle w:val="Refdenotaalpie"/>
                <w:rFonts w:cs="Times New Roman"/>
                <w:szCs w:val="20"/>
              </w:rPr>
              <w:footnoteReference w:id="226"/>
            </w:r>
            <w:r w:rsidRPr="00B033A8">
              <w:rPr>
                <w:rFonts w:cs="Times New Roman"/>
                <w:szCs w:val="20"/>
              </w:rPr>
              <w:t xml:space="preserve">. </w:t>
            </w:r>
            <w:r w:rsidR="00B033A8" w:rsidRPr="00B033A8">
              <w:rPr>
                <w:rFonts w:cs="Times New Roman"/>
                <w:szCs w:val="20"/>
              </w:rPr>
              <w:t>Por otro lado, el ICDP presentó tres razones adicionales por las cuales, en su criterio, el artículo 410A del Código Penal es inconstitucional:</w:t>
            </w:r>
            <w:r w:rsidR="00B033A8" w:rsidRPr="00B033A8">
              <w:rPr>
                <w:rFonts w:cs="Times New Roman"/>
                <w:i/>
                <w:iCs/>
                <w:szCs w:val="20"/>
              </w:rPr>
              <w:t xml:space="preserve"> (i) </w:t>
            </w:r>
            <w:r w:rsidRPr="00B033A8">
              <w:rPr>
                <w:rFonts w:cs="Times New Roman"/>
                <w:szCs w:val="20"/>
              </w:rPr>
              <w:t xml:space="preserve">la norma vulnera el principio de </w:t>
            </w:r>
            <w:r w:rsidRPr="00B033A8">
              <w:rPr>
                <w:rFonts w:cs="Times New Roman"/>
                <w:i/>
                <w:iCs/>
                <w:szCs w:val="20"/>
              </w:rPr>
              <w:t>ultima ratio</w:t>
            </w:r>
            <w:r w:rsidRPr="00B033A8">
              <w:rPr>
                <w:rFonts w:cs="Times New Roman"/>
                <w:szCs w:val="20"/>
              </w:rPr>
              <w:t xml:space="preserve"> porque, cuando los hechos </w:t>
            </w:r>
            <w:r w:rsidRPr="00B033A8">
              <w:rPr>
                <w:rFonts w:cs="Times New Roman"/>
                <w:szCs w:val="20"/>
              </w:rPr>
              <w:lastRenderedPageBreak/>
              <w:t>constitutivos de delito ya son investigados y sancionados por una autoridad administrativa, el derecho penal “</w:t>
            </w:r>
            <w:r w:rsidRPr="00B033A8">
              <w:rPr>
                <w:rFonts w:cs="Times New Roman"/>
                <w:szCs w:val="20"/>
                <w:lang w:val="es-MX"/>
              </w:rPr>
              <w:t>no tiene por qué investigar los mismos hechos, valorar las mismas pruebas y a las mismas personas</w:t>
            </w:r>
            <w:r w:rsidRPr="00B033A8">
              <w:rPr>
                <w:rFonts w:cs="Times New Roman"/>
                <w:szCs w:val="20"/>
              </w:rPr>
              <w:t>”</w:t>
            </w:r>
            <w:r w:rsidRPr="00B033A8">
              <w:rPr>
                <w:rStyle w:val="Refdenotaalpie"/>
                <w:rFonts w:cs="Times New Roman"/>
                <w:szCs w:val="20"/>
              </w:rPr>
              <w:footnoteReference w:id="227"/>
            </w:r>
            <w:r w:rsidR="00B033A8" w:rsidRPr="00B033A8">
              <w:rPr>
                <w:rFonts w:cs="Times New Roman"/>
                <w:szCs w:val="20"/>
              </w:rPr>
              <w:t xml:space="preserve">; </w:t>
            </w:r>
            <w:r w:rsidRPr="00B033A8">
              <w:rPr>
                <w:rFonts w:cs="Times New Roman"/>
                <w:szCs w:val="20"/>
              </w:rPr>
              <w:t xml:space="preserve"> </w:t>
            </w:r>
            <w:r w:rsidR="00B033A8" w:rsidRPr="00B033A8">
              <w:rPr>
                <w:rFonts w:cs="Times New Roman"/>
                <w:i/>
                <w:iCs/>
                <w:szCs w:val="20"/>
              </w:rPr>
              <w:t>(</w:t>
            </w:r>
            <w:proofErr w:type="spellStart"/>
            <w:r w:rsidR="00B033A8" w:rsidRPr="00B033A8">
              <w:rPr>
                <w:rFonts w:cs="Times New Roman"/>
                <w:i/>
                <w:iCs/>
                <w:szCs w:val="20"/>
              </w:rPr>
              <w:t>ii</w:t>
            </w:r>
            <w:proofErr w:type="spellEnd"/>
            <w:r w:rsidR="00B033A8" w:rsidRPr="00B033A8">
              <w:rPr>
                <w:rFonts w:cs="Times New Roman"/>
                <w:i/>
                <w:iCs/>
                <w:szCs w:val="20"/>
              </w:rPr>
              <w:t>)</w:t>
            </w:r>
            <w:r w:rsidR="00B033A8" w:rsidRPr="00B033A8">
              <w:rPr>
                <w:rFonts w:cs="Times New Roman"/>
                <w:szCs w:val="20"/>
              </w:rPr>
              <w:t xml:space="preserve"> </w:t>
            </w:r>
            <w:r w:rsidRPr="00B033A8">
              <w:rPr>
                <w:rFonts w:cs="Times New Roman"/>
                <w:szCs w:val="20"/>
              </w:rPr>
              <w:t xml:space="preserve">la disposición vulnera el derecho a la presunción de inocencia, por cuanto la Fiscalía General de la Nación (“FGN”) “está sesgada </w:t>
            </w:r>
            <w:r w:rsidRPr="00B033A8">
              <w:rPr>
                <w:rFonts w:cs="Times New Roman"/>
                <w:szCs w:val="20"/>
                <w:lang w:val="es-MX"/>
              </w:rPr>
              <w:t>abiertamente parcializada</w:t>
            </w:r>
            <w:r w:rsidR="00EC1348" w:rsidRPr="00B033A8">
              <w:rPr>
                <w:rFonts w:cs="Times New Roman"/>
                <w:szCs w:val="20"/>
                <w:lang w:val="es-MX"/>
              </w:rPr>
              <w:t xml:space="preserve"> (sic)</w:t>
            </w:r>
            <w:r w:rsidRPr="00B033A8">
              <w:rPr>
                <w:rFonts w:cs="Times New Roman"/>
                <w:szCs w:val="20"/>
                <w:lang w:val="es-MX"/>
              </w:rPr>
              <w:t xml:space="preserve"> por las pruebas y las valoraciones efectuadas por la [SIC]</w:t>
            </w:r>
            <w:r w:rsidRPr="00B033A8">
              <w:rPr>
                <w:rFonts w:cs="Times New Roman"/>
                <w:szCs w:val="20"/>
              </w:rPr>
              <w:t>”</w:t>
            </w:r>
            <w:r w:rsidRPr="00B033A8">
              <w:rPr>
                <w:rStyle w:val="Refdenotaalpie"/>
                <w:rFonts w:cs="Times New Roman"/>
                <w:szCs w:val="20"/>
              </w:rPr>
              <w:footnoteReference w:id="228"/>
            </w:r>
            <w:r w:rsidRPr="00B033A8">
              <w:rPr>
                <w:rFonts w:cs="Times New Roman"/>
                <w:szCs w:val="20"/>
              </w:rPr>
              <w:t xml:space="preserve">. En su criterio, como la SIC investiga y determina la responsabilidad administrativa y compulsa copias a la FGN, toda la investigación penal está parcializada a lo que determine la SIC. </w:t>
            </w:r>
            <w:r w:rsidR="00B033A8" w:rsidRPr="00B033A8">
              <w:rPr>
                <w:rFonts w:cs="Times New Roman"/>
                <w:szCs w:val="20"/>
              </w:rPr>
              <w:t xml:space="preserve">Por último, </w:t>
            </w:r>
            <w:r w:rsidR="00B033A8" w:rsidRPr="00B033A8">
              <w:rPr>
                <w:rFonts w:cs="Times New Roman"/>
                <w:i/>
                <w:iCs/>
                <w:szCs w:val="20"/>
              </w:rPr>
              <w:t>(</w:t>
            </w:r>
            <w:proofErr w:type="spellStart"/>
            <w:r w:rsidR="00B033A8" w:rsidRPr="00B033A8">
              <w:rPr>
                <w:rFonts w:cs="Times New Roman"/>
                <w:i/>
                <w:iCs/>
                <w:szCs w:val="20"/>
              </w:rPr>
              <w:t>iii</w:t>
            </w:r>
            <w:proofErr w:type="spellEnd"/>
            <w:r w:rsidR="00B033A8" w:rsidRPr="00B033A8">
              <w:rPr>
                <w:rFonts w:cs="Times New Roman"/>
                <w:i/>
                <w:iCs/>
                <w:szCs w:val="20"/>
              </w:rPr>
              <w:t>)</w:t>
            </w:r>
            <w:r w:rsidR="00B033A8" w:rsidRPr="00B033A8">
              <w:rPr>
                <w:rFonts w:cs="Times New Roman"/>
                <w:szCs w:val="20"/>
              </w:rPr>
              <w:t xml:space="preserve"> </w:t>
            </w:r>
            <w:r w:rsidRPr="00B033A8">
              <w:rPr>
                <w:rFonts w:cs="Times New Roman"/>
                <w:szCs w:val="20"/>
              </w:rPr>
              <w:t>la norma acusada vulnera el principio de contradicción de las pruebas, porque, en el momento en el que la SIC adelanta la investigación administrativa, practica y valora todas las pruebas, lo que le impide</w:t>
            </w:r>
            <w:r w:rsidR="00B033A8" w:rsidRPr="00B033A8">
              <w:rPr>
                <w:rFonts w:cs="Times New Roman"/>
                <w:szCs w:val="20"/>
              </w:rPr>
              <w:t xml:space="preserve"> que luego, en el proceso penal,</w:t>
            </w:r>
            <w:r w:rsidRPr="00B033A8">
              <w:rPr>
                <w:rFonts w:cs="Times New Roman"/>
                <w:szCs w:val="20"/>
              </w:rPr>
              <w:t xml:space="preserve"> </w:t>
            </w:r>
            <w:r w:rsidR="00B033A8" w:rsidRPr="00B033A8">
              <w:rPr>
                <w:rFonts w:cs="Times New Roman"/>
                <w:szCs w:val="20"/>
              </w:rPr>
              <w:t>el investigado pueda ejercer plenamente el derecho de defensa</w:t>
            </w:r>
            <w:r w:rsidR="00CF5FDC" w:rsidRPr="00B033A8">
              <w:rPr>
                <w:rStyle w:val="Refdenotaalpie"/>
                <w:rFonts w:cs="Times New Roman"/>
                <w:szCs w:val="20"/>
              </w:rPr>
              <w:footnoteReference w:id="229"/>
            </w:r>
            <w:r w:rsidRPr="00B033A8">
              <w:rPr>
                <w:rFonts w:cs="Times New Roman"/>
                <w:szCs w:val="20"/>
              </w:rPr>
              <w:t xml:space="preserve">. </w:t>
            </w:r>
          </w:p>
        </w:tc>
      </w:tr>
      <w:tr w:rsidR="00557A9B" w:rsidRPr="00B033A8" w14:paraId="5FDE3779" w14:textId="77777777" w:rsidTr="008004C6">
        <w:tc>
          <w:tcPr>
            <w:tcW w:w="509" w:type="pct"/>
            <w:shd w:val="clear" w:color="auto" w:fill="D9D9D9" w:themeFill="background1" w:themeFillShade="D9"/>
            <w:vAlign w:val="center"/>
          </w:tcPr>
          <w:p w14:paraId="417C75C6" w14:textId="77777777" w:rsidR="00557A9B" w:rsidRPr="00B033A8" w:rsidRDefault="00557A9B" w:rsidP="00991D4C">
            <w:pPr>
              <w:widowControl w:val="0"/>
              <w:jc w:val="center"/>
              <w:rPr>
                <w:rFonts w:eastAsia="Times New Roman" w:cs="Times New Roman"/>
                <w:b/>
                <w:bCs/>
                <w:szCs w:val="20"/>
                <w:lang w:eastAsia="es-CO"/>
              </w:rPr>
            </w:pPr>
            <w:r w:rsidRPr="00B033A8">
              <w:rPr>
                <w:rFonts w:eastAsia="Times New Roman" w:cs="Times New Roman"/>
                <w:b/>
                <w:bCs/>
                <w:szCs w:val="20"/>
                <w:lang w:eastAsia="es-CO"/>
              </w:rPr>
              <w:lastRenderedPageBreak/>
              <w:t>Universidad Externado de Colombia</w:t>
            </w:r>
          </w:p>
        </w:tc>
        <w:tc>
          <w:tcPr>
            <w:tcW w:w="4491" w:type="pct"/>
          </w:tcPr>
          <w:p w14:paraId="5EBEFC34" w14:textId="4C833DD0" w:rsidR="00587E2F" w:rsidRPr="00B033A8" w:rsidRDefault="004F0481" w:rsidP="00DD0F3B">
            <w:pPr>
              <w:widowControl w:val="0"/>
              <w:rPr>
                <w:rFonts w:eastAsia="Times New Roman" w:cs="Times New Roman"/>
                <w:szCs w:val="20"/>
                <w:lang w:eastAsia="es-CO"/>
              </w:rPr>
            </w:pPr>
            <w:r w:rsidRPr="00B033A8">
              <w:rPr>
                <w:rFonts w:eastAsia="Times New Roman" w:cs="Times New Roman"/>
                <w:szCs w:val="20"/>
                <w:lang w:eastAsia="es-CO"/>
              </w:rPr>
              <w:t xml:space="preserve">El Departamento de Derecho Penal y Criminología de la Universidad Externado de Colombia solicitó a la Corte declarar la </w:t>
            </w:r>
            <w:proofErr w:type="spellStart"/>
            <w:r w:rsidRPr="00B033A8">
              <w:rPr>
                <w:rFonts w:eastAsia="Times New Roman" w:cs="Times New Roman"/>
                <w:szCs w:val="20"/>
                <w:lang w:eastAsia="es-CO"/>
              </w:rPr>
              <w:t>inexequibilidad</w:t>
            </w:r>
            <w:proofErr w:type="spellEnd"/>
            <w:r w:rsidRPr="00B033A8">
              <w:rPr>
                <w:rFonts w:eastAsia="Times New Roman" w:cs="Times New Roman"/>
                <w:szCs w:val="20"/>
                <w:lang w:eastAsia="es-CO"/>
              </w:rPr>
              <w:t xml:space="preserve"> de la norma acusada.</w:t>
            </w:r>
            <w:r w:rsidR="00095E5F" w:rsidRPr="00B033A8">
              <w:rPr>
                <w:rFonts w:eastAsia="Times New Roman" w:cs="Times New Roman"/>
                <w:szCs w:val="20"/>
                <w:lang w:eastAsia="es-CO"/>
              </w:rPr>
              <w:t xml:space="preserve"> </w:t>
            </w:r>
            <w:r w:rsidR="00B033A8" w:rsidRPr="00B033A8">
              <w:rPr>
                <w:rFonts w:eastAsia="Times New Roman" w:cs="Times New Roman"/>
                <w:szCs w:val="20"/>
                <w:lang w:eastAsia="es-CO"/>
              </w:rPr>
              <w:t>Argumentó que el tipo penal</w:t>
            </w:r>
            <w:r w:rsidR="00095E5F" w:rsidRPr="00B033A8">
              <w:rPr>
                <w:rFonts w:eastAsia="Times New Roman" w:cs="Times New Roman"/>
                <w:szCs w:val="20"/>
                <w:lang w:eastAsia="es-CO"/>
              </w:rPr>
              <w:t xml:space="preserve"> desconoce</w:t>
            </w:r>
            <w:r w:rsidR="008B0F9A" w:rsidRPr="00B033A8">
              <w:rPr>
                <w:rFonts w:eastAsia="Times New Roman" w:cs="Times New Roman"/>
                <w:szCs w:val="20"/>
                <w:lang w:eastAsia="es-CO"/>
              </w:rPr>
              <w:t xml:space="preserve"> el principio de legalidad estricta, </w:t>
            </w:r>
            <w:r w:rsidR="00B033A8" w:rsidRPr="00B033A8">
              <w:rPr>
                <w:rFonts w:eastAsia="Times New Roman" w:cs="Times New Roman"/>
                <w:szCs w:val="20"/>
                <w:lang w:eastAsia="es-CO"/>
              </w:rPr>
              <w:t>por tres razones principales</w:t>
            </w:r>
            <w:r w:rsidR="00095E5F" w:rsidRPr="00B033A8">
              <w:rPr>
                <w:rFonts w:eastAsia="Times New Roman" w:cs="Times New Roman"/>
                <w:szCs w:val="20"/>
                <w:lang w:eastAsia="es-CO"/>
              </w:rPr>
              <w:t xml:space="preserve">. </w:t>
            </w:r>
            <w:r w:rsidR="00095E5F" w:rsidRPr="00B033A8">
              <w:rPr>
                <w:rFonts w:eastAsia="Times New Roman" w:cs="Times New Roman"/>
                <w:i/>
                <w:iCs/>
                <w:szCs w:val="20"/>
                <w:lang w:eastAsia="es-CO"/>
              </w:rPr>
              <w:t>Primero</w:t>
            </w:r>
            <w:r w:rsidR="00095E5F" w:rsidRPr="00B033A8">
              <w:rPr>
                <w:rFonts w:eastAsia="Times New Roman" w:cs="Times New Roman"/>
                <w:szCs w:val="20"/>
                <w:lang w:eastAsia="es-CO"/>
              </w:rPr>
              <w:t>,</w:t>
            </w:r>
            <w:r w:rsidR="008B0F9A" w:rsidRPr="00B033A8">
              <w:rPr>
                <w:rFonts w:eastAsia="Times New Roman" w:cs="Times New Roman"/>
                <w:szCs w:val="20"/>
                <w:lang w:eastAsia="es-CO"/>
              </w:rPr>
              <w:t xml:space="preserve"> </w:t>
            </w:r>
            <w:r w:rsidR="00EF3B59" w:rsidRPr="00B033A8">
              <w:rPr>
                <w:rFonts w:eastAsia="Times New Roman" w:cs="Times New Roman"/>
                <w:szCs w:val="20"/>
                <w:lang w:eastAsia="es-CO"/>
              </w:rPr>
              <w:t>“</w:t>
            </w:r>
            <w:r w:rsidR="008B0F9A" w:rsidRPr="00B033A8">
              <w:rPr>
                <w:rFonts w:eastAsia="Times New Roman" w:cs="Times New Roman"/>
                <w:szCs w:val="20"/>
                <w:lang w:eastAsia="es-CO"/>
              </w:rPr>
              <w:t>no existe certe</w:t>
            </w:r>
            <w:r w:rsidR="0020337D" w:rsidRPr="00B033A8">
              <w:rPr>
                <w:rFonts w:eastAsia="Times New Roman" w:cs="Times New Roman"/>
                <w:szCs w:val="20"/>
                <w:lang w:eastAsia="es-CO"/>
              </w:rPr>
              <w:t>z</w:t>
            </w:r>
            <w:r w:rsidR="008B0F9A" w:rsidRPr="00B033A8">
              <w:rPr>
                <w:rFonts w:eastAsia="Times New Roman" w:cs="Times New Roman"/>
                <w:szCs w:val="20"/>
                <w:lang w:eastAsia="es-CO"/>
              </w:rPr>
              <w:t xml:space="preserve">a sobre </w:t>
            </w:r>
            <w:r w:rsidR="0020337D" w:rsidRPr="00B033A8">
              <w:rPr>
                <w:rFonts w:eastAsia="Times New Roman" w:cs="Times New Roman"/>
                <w:szCs w:val="20"/>
                <w:lang w:eastAsia="es-CO"/>
              </w:rPr>
              <w:t xml:space="preserve">el régimen jurídico de remisión detrás de la expresión </w:t>
            </w:r>
            <w:r w:rsidR="00EF3B59" w:rsidRPr="00B033A8">
              <w:rPr>
                <w:rFonts w:eastAsia="Times New Roman" w:cs="Times New Roman"/>
                <w:szCs w:val="20"/>
                <w:lang w:eastAsia="es-CO"/>
              </w:rPr>
              <w:t>‘</w:t>
            </w:r>
            <w:r w:rsidR="0020337D" w:rsidRPr="00B033A8">
              <w:rPr>
                <w:rFonts w:eastAsia="Times New Roman" w:cs="Times New Roman"/>
                <w:szCs w:val="20"/>
                <w:lang w:eastAsia="es-CO"/>
              </w:rPr>
              <w:t>con el fin de alterar ilícitamente</w:t>
            </w:r>
            <w:r w:rsidR="00EF3B59" w:rsidRPr="00B033A8">
              <w:rPr>
                <w:rFonts w:eastAsia="Times New Roman" w:cs="Times New Roman"/>
                <w:szCs w:val="20"/>
                <w:lang w:eastAsia="es-CO"/>
              </w:rPr>
              <w:t>’</w:t>
            </w:r>
            <w:r w:rsidR="0020337D" w:rsidRPr="00B033A8">
              <w:rPr>
                <w:rFonts w:eastAsia="Times New Roman" w:cs="Times New Roman"/>
                <w:szCs w:val="20"/>
                <w:lang w:eastAsia="es-CO"/>
              </w:rPr>
              <w:t>, más exactamente, no es claro si lo ilícito se refiere al régimen legal de protección de la competencia o al orden jurídico que gobierna la contratación pública</w:t>
            </w:r>
            <w:r w:rsidR="00EF3B59" w:rsidRPr="00B033A8">
              <w:rPr>
                <w:rFonts w:eastAsia="Times New Roman" w:cs="Times New Roman"/>
                <w:szCs w:val="20"/>
                <w:lang w:eastAsia="es-CO"/>
              </w:rPr>
              <w:t>”</w:t>
            </w:r>
            <w:r w:rsidR="00EF3B59" w:rsidRPr="00B033A8">
              <w:rPr>
                <w:rStyle w:val="Refdenotaalpie"/>
                <w:rFonts w:eastAsia="Times New Roman" w:cs="Times New Roman"/>
                <w:szCs w:val="20"/>
                <w:lang w:eastAsia="es-CO"/>
              </w:rPr>
              <w:footnoteReference w:id="230"/>
            </w:r>
            <w:r w:rsidR="0020337D" w:rsidRPr="00B033A8">
              <w:rPr>
                <w:rFonts w:eastAsia="Times New Roman" w:cs="Times New Roman"/>
                <w:szCs w:val="20"/>
                <w:lang w:eastAsia="es-CO"/>
              </w:rPr>
              <w:t>.</w:t>
            </w:r>
            <w:r w:rsidR="00587E2F" w:rsidRPr="00B033A8">
              <w:rPr>
                <w:rFonts w:eastAsia="Times New Roman" w:cs="Times New Roman"/>
                <w:szCs w:val="20"/>
                <w:lang w:eastAsia="es-CO"/>
              </w:rPr>
              <w:t xml:space="preserve"> </w:t>
            </w:r>
            <w:r w:rsidR="00B033A8" w:rsidRPr="00B033A8">
              <w:rPr>
                <w:rFonts w:eastAsia="Times New Roman" w:cs="Times New Roman"/>
                <w:szCs w:val="20"/>
                <w:lang w:eastAsia="es-CO"/>
              </w:rPr>
              <w:t>Esto, porque</w:t>
            </w:r>
            <w:r w:rsidR="00587E2F" w:rsidRPr="00B033A8">
              <w:rPr>
                <w:rFonts w:eastAsia="Times New Roman" w:cs="Times New Roman"/>
                <w:szCs w:val="20"/>
                <w:lang w:eastAsia="es-CO"/>
              </w:rPr>
              <w:t xml:space="preserve"> existe una contradicción entre el </w:t>
            </w:r>
            <w:proofErr w:type="spellStart"/>
            <w:r w:rsidR="00587E2F" w:rsidRPr="00B033A8">
              <w:rPr>
                <w:rFonts w:eastAsia="Times New Roman" w:cs="Times New Roman"/>
                <w:i/>
                <w:iCs/>
                <w:szCs w:val="20"/>
                <w:lang w:eastAsia="es-CO"/>
              </w:rPr>
              <w:t>nomen</w:t>
            </w:r>
            <w:proofErr w:type="spellEnd"/>
            <w:r w:rsidR="00587E2F" w:rsidRPr="00B033A8">
              <w:rPr>
                <w:rFonts w:eastAsia="Times New Roman" w:cs="Times New Roman"/>
                <w:i/>
                <w:iCs/>
                <w:szCs w:val="20"/>
                <w:lang w:eastAsia="es-CO"/>
              </w:rPr>
              <w:t xml:space="preserve"> iuris</w:t>
            </w:r>
            <w:r w:rsidR="00587E2F" w:rsidRPr="00B033A8">
              <w:rPr>
                <w:rFonts w:eastAsia="Times New Roman" w:cs="Times New Roman"/>
                <w:szCs w:val="20"/>
                <w:lang w:eastAsia="es-CO"/>
              </w:rPr>
              <w:t xml:space="preserve"> y el capítulo del Código Penal en el que se encuentra la norma, </w:t>
            </w:r>
            <w:r w:rsidR="00B033A8" w:rsidRPr="00B033A8">
              <w:rPr>
                <w:rFonts w:eastAsia="Times New Roman" w:cs="Times New Roman"/>
                <w:szCs w:val="20"/>
                <w:lang w:eastAsia="es-CO"/>
              </w:rPr>
              <w:t>que impide determinar “cuál es la norma o conjuntos de normas que el intérprete debe emplear para completar el sentido y alcance de la disposición jurídico penal”. De un lado, el tipo penal</w:t>
            </w:r>
            <w:r w:rsidR="00587E2F" w:rsidRPr="00B033A8">
              <w:rPr>
                <w:rFonts w:eastAsia="Times New Roman" w:cs="Times New Roman"/>
                <w:szCs w:val="20"/>
                <w:lang w:eastAsia="es-CO"/>
              </w:rPr>
              <w:t xml:space="preserve"> se </w:t>
            </w:r>
            <w:r w:rsidR="00B033A8" w:rsidRPr="00B033A8">
              <w:rPr>
                <w:rFonts w:eastAsia="Times New Roman" w:cs="Times New Roman"/>
                <w:szCs w:val="20"/>
                <w:lang w:eastAsia="es-CO"/>
              </w:rPr>
              <w:t xml:space="preserve">denomina </w:t>
            </w:r>
            <w:r w:rsidR="004E3C22" w:rsidRPr="00B033A8">
              <w:rPr>
                <w:rFonts w:eastAsia="Times New Roman" w:cs="Times New Roman"/>
                <w:szCs w:val="20"/>
                <w:lang w:eastAsia="es-CO"/>
              </w:rPr>
              <w:t>“acuerdos restrictivos de la competencia”</w:t>
            </w:r>
            <w:r w:rsidR="00B033A8" w:rsidRPr="00B033A8">
              <w:rPr>
                <w:rFonts w:eastAsia="Times New Roman" w:cs="Times New Roman"/>
                <w:szCs w:val="20"/>
                <w:lang w:eastAsia="es-CO"/>
              </w:rPr>
              <w:t>, lo que sugeriría que, para determinar su contenido, debe acudirse al régimen general de libre competencia. Sin embargo, el delito su ubica en el título de los delitos</w:t>
            </w:r>
            <w:r w:rsidR="004E3C22" w:rsidRPr="00B033A8">
              <w:rPr>
                <w:rFonts w:eastAsia="Times New Roman" w:cs="Times New Roman"/>
                <w:szCs w:val="20"/>
                <w:lang w:eastAsia="es-CO"/>
              </w:rPr>
              <w:t xml:space="preserve"> que atentan contra la administración pública</w:t>
            </w:r>
            <w:r w:rsidR="00B033A8" w:rsidRPr="00B033A8">
              <w:rPr>
                <w:rFonts w:eastAsia="Times New Roman" w:cs="Times New Roman"/>
                <w:szCs w:val="20"/>
                <w:lang w:eastAsia="es-CO"/>
              </w:rPr>
              <w:t>, lo que, en contraste, implicaría que el intérprete debe remitirse al régimen de la contratación pública</w:t>
            </w:r>
            <w:r w:rsidR="00A15840" w:rsidRPr="00B033A8">
              <w:rPr>
                <w:rStyle w:val="Refdenotaalpie"/>
                <w:rFonts w:eastAsia="Times New Roman" w:cs="Times New Roman"/>
                <w:szCs w:val="20"/>
                <w:lang w:eastAsia="es-CO"/>
              </w:rPr>
              <w:footnoteReference w:id="231"/>
            </w:r>
            <w:r w:rsidR="004A483E" w:rsidRPr="00B033A8">
              <w:rPr>
                <w:rFonts w:eastAsia="Times New Roman" w:cs="Times New Roman"/>
                <w:szCs w:val="20"/>
                <w:lang w:eastAsia="es-CO"/>
              </w:rPr>
              <w:t>.</w:t>
            </w:r>
            <w:r w:rsidR="00B033A8" w:rsidRPr="00B033A8">
              <w:rPr>
                <w:rFonts w:eastAsia="Times New Roman" w:cs="Times New Roman"/>
                <w:szCs w:val="20"/>
                <w:lang w:eastAsia="es-CO"/>
              </w:rPr>
              <w:t xml:space="preserve"> </w:t>
            </w:r>
            <w:r w:rsidR="00EF3B59" w:rsidRPr="00B033A8">
              <w:rPr>
                <w:rFonts w:eastAsia="Times New Roman" w:cs="Times New Roman"/>
                <w:i/>
                <w:iCs/>
                <w:szCs w:val="20"/>
                <w:lang w:eastAsia="es-CO"/>
              </w:rPr>
              <w:t>Segundo</w:t>
            </w:r>
            <w:r w:rsidR="00B033A8" w:rsidRPr="00B033A8">
              <w:rPr>
                <w:rFonts w:eastAsia="Times New Roman" w:cs="Times New Roman"/>
                <w:szCs w:val="20"/>
                <w:lang w:eastAsia="es-CO"/>
              </w:rPr>
              <w:t>,</w:t>
            </w:r>
            <w:r w:rsidR="00B033A8" w:rsidRPr="00B033A8">
              <w:rPr>
                <w:rFonts w:cs="Times New Roman"/>
                <w:color w:val="000000"/>
                <w:szCs w:val="20"/>
              </w:rPr>
              <w:t xml:space="preserve"> </w:t>
            </w:r>
            <w:r w:rsidR="00B033A8" w:rsidRPr="00B033A8">
              <w:rPr>
                <w:rFonts w:eastAsia="Times New Roman" w:cs="Times New Roman"/>
                <w:szCs w:val="20"/>
                <w:lang w:eastAsia="es-CO"/>
              </w:rPr>
              <w:t xml:space="preserve">aun suponiendo que el régimen remisorio al que acude el legislador con la expresión “ilícitamente” es el estatuido para </w:t>
            </w:r>
            <w:r w:rsidR="00B033A8" w:rsidRPr="00B033A8">
              <w:rPr>
                <w:rFonts w:eastAsia="Times New Roman" w:cs="Times New Roman"/>
                <w:szCs w:val="20"/>
                <w:lang w:eastAsia="es-CO"/>
              </w:rPr>
              <w:lastRenderedPageBreak/>
              <w:t>la protección de la libre competencia, “es tal la bastedad de este último y su grado de indeterminación que los esfuerzos por dotar de contenido el artículo 410A pueden continuar siendo inútiles”.</w:t>
            </w:r>
            <w:r w:rsidR="00B033A8" w:rsidRPr="00B033A8">
              <w:rPr>
                <w:rFonts w:eastAsia="Times New Roman" w:cs="Times New Roman"/>
                <w:i/>
                <w:iCs/>
                <w:szCs w:val="20"/>
                <w:lang w:eastAsia="es-CO"/>
              </w:rPr>
              <w:t xml:space="preserve"> </w:t>
            </w:r>
            <w:r w:rsidR="00B033A8" w:rsidRPr="00B033A8">
              <w:rPr>
                <w:rFonts w:eastAsia="Times New Roman" w:cs="Times New Roman"/>
                <w:szCs w:val="20"/>
                <w:lang w:eastAsia="es-CO"/>
              </w:rPr>
              <w:t>En efecto, si se aceptara que la expresión “ilícitamente” puede sustituirse por</w:t>
            </w:r>
            <w:r w:rsidR="007515DA" w:rsidRPr="00B033A8">
              <w:rPr>
                <w:rFonts w:eastAsia="Times New Roman" w:cs="Times New Roman"/>
                <w:szCs w:val="20"/>
                <w:lang w:eastAsia="es-CO"/>
              </w:rPr>
              <w:t xml:space="preserve"> </w:t>
            </w:r>
            <w:r w:rsidR="00B033A8" w:rsidRPr="00B033A8">
              <w:rPr>
                <w:rFonts w:eastAsia="Times New Roman" w:cs="Times New Roman"/>
                <w:szCs w:val="20"/>
                <w:lang w:eastAsia="es-CO"/>
              </w:rPr>
              <w:t xml:space="preserve">la expresión </w:t>
            </w:r>
            <w:r w:rsidR="007515DA" w:rsidRPr="00B033A8">
              <w:rPr>
                <w:rFonts w:eastAsia="Times New Roman" w:cs="Times New Roman"/>
                <w:szCs w:val="20"/>
                <w:lang w:eastAsia="es-CO"/>
              </w:rPr>
              <w:t>“prácticas</w:t>
            </w:r>
            <w:r w:rsidR="001377C7" w:rsidRPr="00B033A8">
              <w:rPr>
                <w:rFonts w:eastAsia="Times New Roman" w:cs="Times New Roman"/>
                <w:szCs w:val="20"/>
                <w:lang w:eastAsia="es-CO"/>
              </w:rPr>
              <w:t xml:space="preserve"> </w:t>
            </w:r>
            <w:r w:rsidR="007515DA" w:rsidRPr="00B033A8">
              <w:rPr>
                <w:rFonts w:eastAsia="Times New Roman" w:cs="Times New Roman"/>
                <w:szCs w:val="20"/>
                <w:lang w:eastAsia="es-CO"/>
              </w:rPr>
              <w:t>restrictivas de la competencia</w:t>
            </w:r>
            <w:r w:rsidR="001E7E9D" w:rsidRPr="00B033A8">
              <w:rPr>
                <w:rFonts w:eastAsia="Times New Roman" w:cs="Times New Roman"/>
                <w:szCs w:val="20"/>
                <w:lang w:eastAsia="es-CO"/>
              </w:rPr>
              <w:t>”</w:t>
            </w:r>
            <w:r w:rsidR="001A66C0" w:rsidRPr="00B033A8">
              <w:rPr>
                <w:rFonts w:eastAsia="Times New Roman" w:cs="Times New Roman"/>
                <w:szCs w:val="20"/>
                <w:lang w:eastAsia="es-CO"/>
              </w:rPr>
              <w:t>,</w:t>
            </w:r>
            <w:r w:rsidR="001E7E9D" w:rsidRPr="00B033A8">
              <w:rPr>
                <w:rFonts w:eastAsia="Times New Roman" w:cs="Times New Roman"/>
                <w:szCs w:val="20"/>
                <w:lang w:eastAsia="es-CO"/>
              </w:rPr>
              <w:t xml:space="preserve"> contenida en los artículo</w:t>
            </w:r>
            <w:r w:rsidR="00B033A8" w:rsidRPr="00B033A8">
              <w:rPr>
                <w:rFonts w:eastAsia="Times New Roman" w:cs="Times New Roman"/>
                <w:szCs w:val="20"/>
                <w:lang w:eastAsia="es-CO"/>
              </w:rPr>
              <w:t>s</w:t>
            </w:r>
            <w:r w:rsidR="001E7E9D" w:rsidRPr="00B033A8">
              <w:rPr>
                <w:rFonts w:eastAsia="Times New Roman" w:cs="Times New Roman"/>
                <w:szCs w:val="20"/>
                <w:lang w:eastAsia="es-CO"/>
              </w:rPr>
              <w:t xml:space="preserve"> 46</w:t>
            </w:r>
            <w:r w:rsidR="00783CE4" w:rsidRPr="00B033A8">
              <w:rPr>
                <w:rFonts w:eastAsia="Times New Roman" w:cs="Times New Roman"/>
                <w:szCs w:val="20"/>
                <w:lang w:eastAsia="es-CO"/>
              </w:rPr>
              <w:t>,</w:t>
            </w:r>
            <w:r w:rsidR="001E7E9D" w:rsidRPr="00B033A8">
              <w:rPr>
                <w:rFonts w:eastAsia="Times New Roman" w:cs="Times New Roman"/>
                <w:szCs w:val="20"/>
                <w:lang w:eastAsia="es-CO"/>
              </w:rPr>
              <w:t xml:space="preserve"> 47</w:t>
            </w:r>
            <w:r w:rsidR="00783CE4" w:rsidRPr="00B033A8">
              <w:rPr>
                <w:rFonts w:eastAsia="Times New Roman" w:cs="Times New Roman"/>
                <w:szCs w:val="20"/>
                <w:lang w:eastAsia="es-CO"/>
              </w:rPr>
              <w:t>, 48 y 50</w:t>
            </w:r>
            <w:r w:rsidR="001E7E9D" w:rsidRPr="00B033A8">
              <w:rPr>
                <w:rFonts w:eastAsia="Times New Roman" w:cs="Times New Roman"/>
                <w:szCs w:val="20"/>
                <w:lang w:eastAsia="es-CO"/>
              </w:rPr>
              <w:t xml:space="preserve"> del Decreto 2153 de 1992,</w:t>
            </w:r>
            <w:r w:rsidR="00B033A8" w:rsidRPr="00B033A8">
              <w:rPr>
                <w:rFonts w:eastAsia="Times New Roman" w:cs="Times New Roman"/>
                <w:szCs w:val="20"/>
                <w:lang w:eastAsia="es-CO"/>
              </w:rPr>
              <w:t xml:space="preserve"> todas las conductas que se enlistan en estas disposiciones configurarían el punible, lo que conlleva “una extensión irrazonable del objeto y alcance del tipo penal”. Por lo demás, el interviniente sostuvo que, en el régimen general de la competencia, estas conductas</w:t>
            </w:r>
            <w:r w:rsidR="001A66C0" w:rsidRPr="00B033A8">
              <w:rPr>
                <w:rFonts w:eastAsia="Times New Roman" w:cs="Times New Roman"/>
                <w:szCs w:val="20"/>
                <w:lang w:eastAsia="es-CO"/>
              </w:rPr>
              <w:t xml:space="preserve"> </w:t>
            </w:r>
            <w:r w:rsidR="00B033A8" w:rsidRPr="00B033A8">
              <w:rPr>
                <w:rFonts w:eastAsia="Times New Roman" w:cs="Times New Roman"/>
                <w:szCs w:val="20"/>
                <w:lang w:eastAsia="es-CO"/>
              </w:rPr>
              <w:t>“</w:t>
            </w:r>
            <w:r w:rsidR="001A66C0" w:rsidRPr="00B033A8">
              <w:rPr>
                <w:rFonts w:eastAsia="Times New Roman" w:cs="Times New Roman"/>
                <w:szCs w:val="20"/>
                <w:lang w:eastAsia="es-CO"/>
              </w:rPr>
              <w:t xml:space="preserve">están </w:t>
            </w:r>
            <w:proofErr w:type="spellStart"/>
            <w:r w:rsidR="001A66C0" w:rsidRPr="00B033A8">
              <w:rPr>
                <w:rFonts w:eastAsia="Times New Roman" w:cs="Times New Roman"/>
                <w:szCs w:val="20"/>
                <w:lang w:eastAsia="es-CO"/>
              </w:rPr>
              <w:t>descrit</w:t>
            </w:r>
            <w:proofErr w:type="spellEnd"/>
            <w:r w:rsidR="00B033A8" w:rsidRPr="00B033A8">
              <w:rPr>
                <w:rFonts w:eastAsia="Times New Roman" w:cs="Times New Roman"/>
                <w:szCs w:val="20"/>
                <w:lang w:eastAsia="es-CO"/>
              </w:rPr>
              <w:t>[a]</w:t>
            </w:r>
            <w:r w:rsidR="001A66C0" w:rsidRPr="00B033A8">
              <w:rPr>
                <w:rFonts w:eastAsia="Times New Roman" w:cs="Times New Roman"/>
                <w:szCs w:val="20"/>
                <w:lang w:eastAsia="es-CO"/>
              </w:rPr>
              <w:t>s en términos genéricos y no aportan</w:t>
            </w:r>
            <w:r w:rsidR="00D81AA6" w:rsidRPr="00B033A8">
              <w:rPr>
                <w:rFonts w:eastAsia="Times New Roman" w:cs="Times New Roman"/>
                <w:szCs w:val="20"/>
                <w:lang w:eastAsia="es-CO"/>
              </w:rPr>
              <w:t xml:space="preserve"> nada a la determinación del objeto y alcance del tipo penal</w:t>
            </w:r>
            <w:r w:rsidR="0044206A" w:rsidRPr="00B033A8">
              <w:rPr>
                <w:rFonts w:eastAsia="Times New Roman" w:cs="Times New Roman"/>
                <w:szCs w:val="20"/>
                <w:lang w:eastAsia="es-CO"/>
              </w:rPr>
              <w:t>”</w:t>
            </w:r>
            <w:r w:rsidR="0044206A" w:rsidRPr="00B033A8">
              <w:rPr>
                <w:rStyle w:val="Refdenotaalpie"/>
                <w:rFonts w:eastAsia="Times New Roman" w:cs="Times New Roman"/>
                <w:szCs w:val="20"/>
                <w:lang w:eastAsia="es-CO"/>
              </w:rPr>
              <w:footnoteReference w:id="232"/>
            </w:r>
            <w:r w:rsidR="00E07746" w:rsidRPr="00B033A8">
              <w:rPr>
                <w:rFonts w:eastAsia="Times New Roman" w:cs="Times New Roman"/>
                <w:szCs w:val="20"/>
                <w:lang w:eastAsia="es-CO"/>
              </w:rPr>
              <w:t>.</w:t>
            </w:r>
            <w:r w:rsidR="00936CC8" w:rsidRPr="00B033A8">
              <w:rPr>
                <w:rFonts w:eastAsia="Times New Roman" w:cs="Times New Roman"/>
                <w:szCs w:val="20"/>
                <w:lang w:eastAsia="es-CO"/>
              </w:rPr>
              <w:t xml:space="preserve"> </w:t>
            </w:r>
            <w:r w:rsidR="00B033A8" w:rsidRPr="00B033A8">
              <w:rPr>
                <w:rFonts w:eastAsia="Times New Roman" w:cs="Times New Roman"/>
                <w:i/>
                <w:iCs/>
                <w:szCs w:val="20"/>
                <w:lang w:eastAsia="es-CO"/>
              </w:rPr>
              <w:t>Tercero</w:t>
            </w:r>
            <w:r w:rsidR="00B033A8" w:rsidRPr="00B033A8">
              <w:rPr>
                <w:rFonts w:eastAsia="Times New Roman" w:cs="Times New Roman"/>
                <w:szCs w:val="20"/>
                <w:lang w:eastAsia="es-CO"/>
              </w:rPr>
              <w:t xml:space="preserve">, la remisión genérica al régimen de protección de la competencia desconocería el principio de lesividad o de </w:t>
            </w:r>
            <w:r w:rsidR="00B033A8" w:rsidRPr="00B033A8">
              <w:rPr>
                <w:rFonts w:eastAsia="Times New Roman" w:cs="Times New Roman"/>
                <w:i/>
                <w:iCs/>
                <w:szCs w:val="20"/>
                <w:lang w:eastAsia="es-CO"/>
              </w:rPr>
              <w:t>ultima ratio</w:t>
            </w:r>
            <w:r w:rsidR="00B033A8" w:rsidRPr="00B033A8">
              <w:rPr>
                <w:rFonts w:eastAsia="Times New Roman" w:cs="Times New Roman"/>
                <w:szCs w:val="20"/>
                <w:lang w:eastAsia="es-CO"/>
              </w:rPr>
              <w:t xml:space="preserve"> del derecho penal. Esto, porque </w:t>
            </w:r>
            <w:r w:rsidR="00B033A8" w:rsidRPr="00B033A8">
              <w:rPr>
                <w:rFonts w:eastAsia="Times New Roman" w:cs="Times New Roman"/>
                <w:i/>
                <w:iCs/>
                <w:szCs w:val="20"/>
                <w:lang w:eastAsia="es-CO"/>
              </w:rPr>
              <w:t>(i)</w:t>
            </w:r>
            <w:r w:rsidR="00B033A8" w:rsidRPr="00B033A8">
              <w:rPr>
                <w:rFonts w:eastAsia="Times New Roman" w:cs="Times New Roman"/>
                <w:szCs w:val="20"/>
                <w:lang w:eastAsia="es-CO"/>
              </w:rPr>
              <w:t xml:space="preserve"> muchas de las conductas señaladas en el régimen de la competencia “carecen de aptitud para lesionar, o tan siquiera poner en peligro, el bien jurídico de la administración pública”, y </w:t>
            </w:r>
            <w:r w:rsidR="00B033A8" w:rsidRPr="00B033A8">
              <w:rPr>
                <w:rFonts w:eastAsia="Times New Roman" w:cs="Times New Roman"/>
                <w:i/>
                <w:iCs/>
                <w:szCs w:val="20"/>
                <w:lang w:eastAsia="es-CO"/>
              </w:rPr>
              <w:t>(</w:t>
            </w:r>
            <w:proofErr w:type="spellStart"/>
            <w:r w:rsidR="00B033A8" w:rsidRPr="00B033A8">
              <w:rPr>
                <w:rFonts w:eastAsia="Times New Roman" w:cs="Times New Roman"/>
                <w:i/>
                <w:iCs/>
                <w:szCs w:val="20"/>
                <w:lang w:eastAsia="es-CO"/>
              </w:rPr>
              <w:t>ii</w:t>
            </w:r>
            <w:proofErr w:type="spellEnd"/>
            <w:r w:rsidR="00B033A8" w:rsidRPr="00B033A8">
              <w:rPr>
                <w:rFonts w:eastAsia="Times New Roman" w:cs="Times New Roman"/>
                <w:i/>
                <w:iCs/>
                <w:szCs w:val="20"/>
                <w:lang w:eastAsia="es-CO"/>
              </w:rPr>
              <w:t>)</w:t>
            </w:r>
            <w:r w:rsidR="00B033A8" w:rsidRPr="00B033A8">
              <w:rPr>
                <w:rFonts w:eastAsia="Times New Roman" w:cs="Times New Roman"/>
                <w:szCs w:val="20"/>
                <w:lang w:eastAsia="es-CO"/>
              </w:rPr>
              <w:t xml:space="preserve"> se estaría aceptando que los tipos </w:t>
            </w:r>
            <w:r w:rsidR="00B033A8" w:rsidRPr="00B033A8">
              <w:rPr>
                <w:rFonts w:eastAsia="Times New Roman" w:cs="Times New Roman"/>
                <w:i/>
                <w:iCs/>
                <w:szCs w:val="20"/>
                <w:lang w:eastAsia="es-CO"/>
              </w:rPr>
              <w:t>sancionatorios</w:t>
            </w:r>
            <w:r w:rsidR="00B033A8" w:rsidRPr="00B033A8">
              <w:rPr>
                <w:rFonts w:eastAsia="Times New Roman" w:cs="Times New Roman"/>
                <w:szCs w:val="20"/>
                <w:lang w:eastAsia="es-CO"/>
              </w:rPr>
              <w:t xml:space="preserve"> abiertos e indeterminados “sirvan de complemento para fijar el alcance de las normas penales, de las que se exige, paradójicamente, un grado de concreción y claridad mucho mayor al de las disposiciones que integran el derecho sancionatorio administrativo”. De acuerdo con la jurisprudencia de la Corte, el principio de tipicidad opera de forma más flexible en el derecho sancionatorio, por lo que no es admisible que, para fijar delimitar el punible, las normas penales remitan a</w:t>
            </w:r>
            <w:r w:rsidR="008E68AA" w:rsidRPr="00B033A8">
              <w:rPr>
                <w:rFonts w:eastAsia="Times New Roman" w:cs="Times New Roman"/>
                <w:szCs w:val="20"/>
                <w:lang w:eastAsia="es-CO"/>
              </w:rPr>
              <w:t xml:space="preserve"> disposiciones sancionatorias administrativas, que s</w:t>
            </w:r>
            <w:r w:rsidR="00B033A8" w:rsidRPr="00B033A8">
              <w:rPr>
                <w:rFonts w:eastAsia="Times New Roman" w:cs="Times New Roman"/>
                <w:szCs w:val="20"/>
                <w:lang w:eastAsia="es-CO"/>
              </w:rPr>
              <w:t>ean</w:t>
            </w:r>
            <w:r w:rsidR="008E68AA" w:rsidRPr="00B033A8">
              <w:rPr>
                <w:rFonts w:eastAsia="Times New Roman" w:cs="Times New Roman"/>
                <w:szCs w:val="20"/>
                <w:lang w:eastAsia="es-CO"/>
              </w:rPr>
              <w:t xml:space="preserve"> amplias y genéricas</w:t>
            </w:r>
            <w:r w:rsidR="006C77AB" w:rsidRPr="00B033A8">
              <w:rPr>
                <w:rStyle w:val="Refdenotaalpie"/>
                <w:rFonts w:eastAsia="Times New Roman" w:cs="Times New Roman"/>
                <w:szCs w:val="20"/>
                <w:lang w:eastAsia="es-CO"/>
              </w:rPr>
              <w:footnoteReference w:id="233"/>
            </w:r>
            <w:r w:rsidR="00D550BF" w:rsidRPr="00B033A8">
              <w:rPr>
                <w:rFonts w:eastAsia="Times New Roman" w:cs="Times New Roman"/>
                <w:szCs w:val="20"/>
                <w:lang w:eastAsia="es-CO"/>
              </w:rPr>
              <w:t>.</w:t>
            </w:r>
            <w:r w:rsidR="00B033A8" w:rsidRPr="00B033A8">
              <w:rPr>
                <w:rFonts w:eastAsia="Times New Roman" w:cs="Times New Roman"/>
                <w:szCs w:val="20"/>
                <w:lang w:eastAsia="es-CO"/>
              </w:rPr>
              <w:t xml:space="preserve"> </w:t>
            </w:r>
          </w:p>
        </w:tc>
      </w:tr>
      <w:tr w:rsidR="00557A9B" w:rsidRPr="00B033A8" w14:paraId="628B7993" w14:textId="77777777" w:rsidTr="008004C6">
        <w:tc>
          <w:tcPr>
            <w:tcW w:w="509" w:type="pct"/>
            <w:shd w:val="clear" w:color="auto" w:fill="D9D9D9" w:themeFill="background1" w:themeFillShade="D9"/>
            <w:vAlign w:val="center"/>
          </w:tcPr>
          <w:p w14:paraId="6B02FBF7" w14:textId="77777777" w:rsidR="00557A9B" w:rsidRPr="00B033A8" w:rsidRDefault="00557A9B" w:rsidP="00991D4C">
            <w:pPr>
              <w:widowControl w:val="0"/>
              <w:jc w:val="center"/>
              <w:rPr>
                <w:rFonts w:eastAsia="Times New Roman" w:cs="Times New Roman"/>
                <w:b/>
                <w:bCs/>
                <w:szCs w:val="20"/>
                <w:lang w:eastAsia="es-CO"/>
              </w:rPr>
            </w:pPr>
            <w:r w:rsidRPr="00B033A8">
              <w:rPr>
                <w:rFonts w:eastAsia="Times New Roman" w:cs="Times New Roman"/>
                <w:b/>
                <w:bCs/>
                <w:szCs w:val="20"/>
                <w:lang w:eastAsia="es-CO"/>
              </w:rPr>
              <w:lastRenderedPageBreak/>
              <w:t>Fundación Proyecto Inocencia</w:t>
            </w:r>
          </w:p>
        </w:tc>
        <w:tc>
          <w:tcPr>
            <w:tcW w:w="4491" w:type="pct"/>
          </w:tcPr>
          <w:p w14:paraId="6C8918DB" w14:textId="224DD674" w:rsidR="00557A9B" w:rsidRPr="00B033A8" w:rsidRDefault="00380DFD" w:rsidP="00C24EF8">
            <w:pPr>
              <w:widowControl w:val="0"/>
              <w:rPr>
                <w:rFonts w:eastAsia="Times New Roman" w:cs="Times New Roman"/>
                <w:szCs w:val="20"/>
                <w:lang w:eastAsia="es-CO"/>
              </w:rPr>
            </w:pPr>
            <w:r w:rsidRPr="00B033A8">
              <w:rPr>
                <w:rFonts w:eastAsia="Times New Roman" w:cs="Times New Roman"/>
                <w:szCs w:val="20"/>
                <w:lang w:eastAsia="es-CO"/>
              </w:rPr>
              <w:t xml:space="preserve">La Fundación Jurídica Proyecto Inocencia solicitó a la Corte </w:t>
            </w:r>
            <w:r w:rsidR="00B033A8" w:rsidRPr="00B033A8">
              <w:rPr>
                <w:rFonts w:eastAsia="Times New Roman" w:cs="Times New Roman"/>
                <w:szCs w:val="20"/>
                <w:lang w:eastAsia="es-CO"/>
              </w:rPr>
              <w:t>declarar</w:t>
            </w:r>
            <w:r w:rsidRPr="00B033A8">
              <w:rPr>
                <w:rFonts w:eastAsia="Times New Roman" w:cs="Times New Roman"/>
                <w:szCs w:val="20"/>
                <w:lang w:eastAsia="es-CO"/>
              </w:rPr>
              <w:t xml:space="preserve"> la </w:t>
            </w:r>
            <w:proofErr w:type="spellStart"/>
            <w:r w:rsidRPr="00B033A8">
              <w:rPr>
                <w:rFonts w:eastAsia="Times New Roman" w:cs="Times New Roman"/>
                <w:szCs w:val="20"/>
                <w:lang w:eastAsia="es-CO"/>
              </w:rPr>
              <w:t>inexequibilidad</w:t>
            </w:r>
            <w:proofErr w:type="spellEnd"/>
            <w:r w:rsidRPr="00B033A8">
              <w:rPr>
                <w:rFonts w:eastAsia="Times New Roman" w:cs="Times New Roman"/>
                <w:szCs w:val="20"/>
                <w:lang w:eastAsia="es-CO"/>
              </w:rPr>
              <w:t xml:space="preserve"> de la norma acusada</w:t>
            </w:r>
            <w:r w:rsidR="00B033A8" w:rsidRPr="00B033A8">
              <w:rPr>
                <w:rFonts w:eastAsia="Times New Roman" w:cs="Times New Roman"/>
                <w:szCs w:val="20"/>
                <w:lang w:eastAsia="es-CO"/>
              </w:rPr>
              <w:t xml:space="preserve">. Sostiene que la norma </w:t>
            </w:r>
            <w:r w:rsidR="00065D6A" w:rsidRPr="00B033A8">
              <w:rPr>
                <w:rFonts w:eastAsia="Times New Roman" w:cs="Times New Roman"/>
                <w:szCs w:val="20"/>
                <w:lang w:eastAsia="es-CO"/>
              </w:rPr>
              <w:t xml:space="preserve">acusada </w:t>
            </w:r>
            <w:r w:rsidR="00B033A8" w:rsidRPr="00B033A8">
              <w:rPr>
                <w:rFonts w:eastAsia="Times New Roman" w:cs="Times New Roman"/>
                <w:szCs w:val="20"/>
                <w:lang w:eastAsia="es-CO"/>
              </w:rPr>
              <w:t xml:space="preserve">desconoce el principio de estricta tipicidad porque </w:t>
            </w:r>
            <w:r w:rsidR="00065D6A" w:rsidRPr="00B033A8">
              <w:rPr>
                <w:rFonts w:eastAsia="Times New Roman" w:cs="Times New Roman"/>
                <w:szCs w:val="20"/>
                <w:lang w:eastAsia="es-CO"/>
              </w:rPr>
              <w:t>“</w:t>
            </w:r>
            <w:r w:rsidR="008A55F5" w:rsidRPr="00B033A8">
              <w:rPr>
                <w:rFonts w:eastAsia="Times New Roman" w:cs="Times New Roman"/>
                <w:szCs w:val="20"/>
                <w:lang w:eastAsia="es-CO"/>
              </w:rPr>
              <w:t>adolece de determi</w:t>
            </w:r>
            <w:r w:rsidR="00331E10" w:rsidRPr="00B033A8">
              <w:rPr>
                <w:rFonts w:eastAsia="Times New Roman" w:cs="Times New Roman"/>
                <w:szCs w:val="20"/>
                <w:lang w:eastAsia="es-CO"/>
              </w:rPr>
              <w:t>nación inequívoca de la acción o las acciones</w:t>
            </w:r>
            <w:r w:rsidR="00065D6A" w:rsidRPr="00B033A8">
              <w:rPr>
                <w:rFonts w:eastAsia="Times New Roman" w:cs="Times New Roman"/>
                <w:szCs w:val="20"/>
                <w:lang w:eastAsia="es-CO"/>
              </w:rPr>
              <w:t>”</w:t>
            </w:r>
            <w:r w:rsidR="008B0768" w:rsidRPr="00B033A8">
              <w:rPr>
                <w:rStyle w:val="Refdenotaalpie"/>
                <w:rFonts w:eastAsia="Times New Roman" w:cs="Times New Roman"/>
                <w:szCs w:val="20"/>
                <w:lang w:eastAsia="es-CO"/>
              </w:rPr>
              <w:footnoteReference w:id="234"/>
            </w:r>
            <w:r w:rsidR="00B033A8" w:rsidRPr="00B033A8">
              <w:rPr>
                <w:rFonts w:eastAsia="Times New Roman" w:cs="Times New Roman"/>
                <w:szCs w:val="20"/>
                <w:lang w:eastAsia="es-CO"/>
              </w:rPr>
              <w:t xml:space="preserve"> punibles. Lo anterior, porque, tal y como está redactada, la conducta sancionable consiste en “concertarse con otro con el fin de alterar ilícitamente el procedimiento contractual”. El interviniente sostiene que la norma está</w:t>
            </w:r>
            <w:r w:rsidR="00B033A8" w:rsidRPr="00B033A8">
              <w:rPr>
                <w:rFonts w:cs="Times New Roman"/>
                <w:color w:val="000000"/>
                <w:szCs w:val="26"/>
              </w:rPr>
              <w:t xml:space="preserve"> </w:t>
            </w:r>
            <w:r w:rsidR="00B033A8" w:rsidRPr="00B033A8">
              <w:rPr>
                <w:rFonts w:eastAsia="Times New Roman" w:cs="Times New Roman"/>
                <w:szCs w:val="20"/>
                <w:lang w:eastAsia="es-CO"/>
              </w:rPr>
              <w:t xml:space="preserve">indebidamente redactada toda vez que sugiere que no es necesario que ninguna acción de alteración ilícita del proceso contractual se concrete o exteriorice, basta con que los sujetos activos lleven a cabo acuerdos con la finalidad de lograr ficha alteración. En este sentido, concluye que “el fin de alterar sin una acción concreta más allá de la concertación exigida en el </w:t>
            </w:r>
            <w:r w:rsidR="00B033A8" w:rsidRPr="00B033A8">
              <w:rPr>
                <w:rFonts w:eastAsia="Times New Roman" w:cs="Times New Roman"/>
                <w:szCs w:val="20"/>
                <w:lang w:eastAsia="es-CO"/>
              </w:rPr>
              <w:lastRenderedPageBreak/>
              <w:t>tipo penal demandado, torna excesiva la regulación, por cuanto estaría sancionándose la intención de concertarse, sin que exista acción concreta típicamente regulada y exteriorizada por el agente”</w:t>
            </w:r>
            <w:r w:rsidR="00B033A8" w:rsidRPr="00B033A8">
              <w:rPr>
                <w:rStyle w:val="Refdenotaalpie"/>
                <w:rFonts w:eastAsia="Times New Roman" w:cs="Times New Roman"/>
                <w:szCs w:val="20"/>
                <w:lang w:eastAsia="es-CO"/>
              </w:rPr>
              <w:footnoteReference w:id="235"/>
            </w:r>
            <w:r w:rsidR="00B033A8" w:rsidRPr="00B033A8">
              <w:rPr>
                <w:rFonts w:eastAsia="Times New Roman" w:cs="Times New Roman"/>
                <w:szCs w:val="20"/>
                <w:lang w:eastAsia="es-CO"/>
              </w:rPr>
              <w:t>.</w:t>
            </w:r>
            <w:r w:rsidR="00B033A8" w:rsidRPr="00B033A8">
              <w:rPr>
                <w:rFonts w:eastAsia="Times New Roman" w:cs="Times New Roman"/>
                <w:i/>
                <w:iCs/>
                <w:szCs w:val="20"/>
                <w:lang w:eastAsia="es-CO"/>
              </w:rPr>
              <w:t xml:space="preserve"> </w:t>
            </w:r>
          </w:p>
        </w:tc>
      </w:tr>
      <w:tr w:rsidR="00557A9B" w:rsidRPr="00B033A8" w14:paraId="1C230281" w14:textId="77777777" w:rsidTr="008004C6">
        <w:tc>
          <w:tcPr>
            <w:tcW w:w="509" w:type="pct"/>
            <w:shd w:val="clear" w:color="auto" w:fill="D9D9D9" w:themeFill="background1" w:themeFillShade="D9"/>
            <w:vAlign w:val="center"/>
          </w:tcPr>
          <w:p w14:paraId="1BC3EB86" w14:textId="77777777" w:rsidR="00557A9B" w:rsidRPr="00B033A8" w:rsidRDefault="00557A9B" w:rsidP="00991D4C">
            <w:pPr>
              <w:widowControl w:val="0"/>
              <w:jc w:val="center"/>
              <w:rPr>
                <w:rFonts w:eastAsia="Times New Roman" w:cs="Times New Roman"/>
                <w:b/>
                <w:bCs/>
                <w:szCs w:val="20"/>
                <w:lang w:eastAsia="es-CO"/>
              </w:rPr>
            </w:pPr>
            <w:r w:rsidRPr="00B033A8">
              <w:rPr>
                <w:rFonts w:eastAsia="Times New Roman" w:cs="Times New Roman"/>
                <w:b/>
                <w:bCs/>
                <w:szCs w:val="20"/>
                <w:lang w:eastAsia="es-CO"/>
              </w:rPr>
              <w:lastRenderedPageBreak/>
              <w:t>Colegio de Abogados Penalistas</w:t>
            </w:r>
          </w:p>
        </w:tc>
        <w:tc>
          <w:tcPr>
            <w:tcW w:w="4491" w:type="pct"/>
          </w:tcPr>
          <w:p w14:paraId="462F3577" w14:textId="07C88097" w:rsidR="00557A9B" w:rsidRPr="00B033A8" w:rsidRDefault="009253F6" w:rsidP="000D6265">
            <w:pPr>
              <w:widowControl w:val="0"/>
              <w:rPr>
                <w:rFonts w:eastAsia="Times New Roman" w:cs="Times New Roman"/>
                <w:szCs w:val="20"/>
                <w:lang w:eastAsia="es-CO"/>
              </w:rPr>
            </w:pPr>
            <w:r w:rsidRPr="00B033A8">
              <w:rPr>
                <w:rFonts w:eastAsia="Times New Roman" w:cs="Times New Roman"/>
                <w:szCs w:val="20"/>
                <w:lang w:eastAsia="es-CO"/>
              </w:rPr>
              <w:t xml:space="preserve">El Colegio de Abogados Penalistas solicitó a la Corte que declarara la </w:t>
            </w:r>
            <w:proofErr w:type="spellStart"/>
            <w:r w:rsidRPr="00B033A8">
              <w:rPr>
                <w:rFonts w:eastAsia="Times New Roman" w:cs="Times New Roman"/>
                <w:szCs w:val="20"/>
                <w:lang w:eastAsia="es-CO"/>
              </w:rPr>
              <w:t>inexequibilidad</w:t>
            </w:r>
            <w:proofErr w:type="spellEnd"/>
            <w:r w:rsidRPr="00B033A8">
              <w:rPr>
                <w:rFonts w:eastAsia="Times New Roman" w:cs="Times New Roman"/>
                <w:szCs w:val="20"/>
                <w:lang w:eastAsia="es-CO"/>
              </w:rPr>
              <w:t xml:space="preserve"> de la norma </w:t>
            </w:r>
            <w:r w:rsidR="00B033A8" w:rsidRPr="00B033A8">
              <w:rPr>
                <w:rFonts w:eastAsia="Times New Roman" w:cs="Times New Roman"/>
                <w:szCs w:val="20"/>
                <w:lang w:eastAsia="es-CO"/>
              </w:rPr>
              <w:t>demandada</w:t>
            </w:r>
            <w:r w:rsidRPr="00B033A8">
              <w:rPr>
                <w:rFonts w:eastAsia="Times New Roman" w:cs="Times New Roman"/>
                <w:szCs w:val="20"/>
                <w:lang w:eastAsia="es-CO"/>
              </w:rPr>
              <w:t xml:space="preserve">. </w:t>
            </w:r>
            <w:r w:rsidR="00B033A8" w:rsidRPr="00B033A8">
              <w:rPr>
                <w:rFonts w:eastAsia="Times New Roman" w:cs="Times New Roman"/>
                <w:szCs w:val="20"/>
                <w:lang w:eastAsia="es-CO"/>
              </w:rPr>
              <w:t xml:space="preserve">A título preliminar, refirió </w:t>
            </w:r>
            <w:r w:rsidRPr="00B033A8">
              <w:rPr>
                <w:rFonts w:eastAsia="Times New Roman" w:cs="Times New Roman"/>
                <w:szCs w:val="20"/>
                <w:lang w:eastAsia="es-CO"/>
              </w:rPr>
              <w:t>que el artículo 410A del Código penal es</w:t>
            </w:r>
            <w:r w:rsidR="00B033A8" w:rsidRPr="00B033A8">
              <w:rPr>
                <w:rFonts w:eastAsia="Times New Roman" w:cs="Times New Roman"/>
                <w:szCs w:val="20"/>
                <w:lang w:eastAsia="es-CO"/>
              </w:rPr>
              <w:t xml:space="preserve"> “un tipo penal en blanco, por cuanto, el Legislador, lejos de prescribir todos los elementos constitutivos de este delito” confirió al intérprete la competencia de determinar el significado de un ingrediente normativo del tipo, a saber, la expresión “</w:t>
            </w:r>
            <w:r w:rsidR="00B033A8" w:rsidRPr="00B033A8">
              <w:rPr>
                <w:rFonts w:eastAsia="Times New Roman" w:cs="Times New Roman"/>
                <w:i/>
                <w:iCs/>
                <w:szCs w:val="20"/>
                <w:lang w:eastAsia="es-CO"/>
              </w:rPr>
              <w:t xml:space="preserve">alterar </w:t>
            </w:r>
            <w:r w:rsidR="00B033A8" w:rsidRPr="00B033A8">
              <w:rPr>
                <w:rFonts w:eastAsia="Times New Roman" w:cs="Times New Roman"/>
                <w:b/>
                <w:bCs/>
                <w:i/>
                <w:iCs/>
                <w:szCs w:val="20"/>
                <w:lang w:eastAsia="es-CO"/>
              </w:rPr>
              <w:t xml:space="preserve">ilícitamente </w:t>
            </w:r>
            <w:r w:rsidR="00B033A8" w:rsidRPr="00B033A8">
              <w:rPr>
                <w:rFonts w:eastAsia="Times New Roman" w:cs="Times New Roman"/>
                <w:i/>
                <w:iCs/>
                <w:szCs w:val="20"/>
                <w:lang w:eastAsia="es-CO"/>
              </w:rPr>
              <w:t>el procedimiento contractual</w:t>
            </w:r>
            <w:r w:rsidR="00B033A8" w:rsidRPr="00B033A8">
              <w:rPr>
                <w:rFonts w:eastAsia="Times New Roman" w:cs="Times New Roman"/>
                <w:szCs w:val="20"/>
                <w:lang w:eastAsia="es-CO"/>
              </w:rPr>
              <w:t>”. Sin embargo, sostuvo que la norma demandada no satisface las exigencias de claridad y precisión desarrolladas por la jurisprudencia constitucional para el establecimiento de estos tipos penales. Esto, por cuatro razones</w:t>
            </w:r>
            <w:r w:rsidR="00B033A8" w:rsidRPr="00B033A8">
              <w:rPr>
                <w:rFonts w:eastAsia="Times New Roman" w:cs="Times New Roman"/>
                <w:szCs w:val="20"/>
                <w:vertAlign w:val="superscript"/>
                <w:lang w:eastAsia="es-CO"/>
              </w:rPr>
              <w:footnoteReference w:id="236"/>
            </w:r>
            <w:r w:rsidR="00B033A8" w:rsidRPr="00B033A8">
              <w:rPr>
                <w:rFonts w:eastAsia="Times New Roman" w:cs="Times New Roman"/>
                <w:szCs w:val="20"/>
                <w:lang w:eastAsia="es-CO"/>
              </w:rPr>
              <w:t xml:space="preserve">. En primer lugar, “no es posible establecer con certeza hacia dónde se dirige la remisión”. Esto, porque el delito </w:t>
            </w:r>
            <w:r w:rsidR="00BD7C0B" w:rsidRPr="00B033A8">
              <w:rPr>
                <w:rFonts w:eastAsia="Times New Roman" w:cs="Times New Roman"/>
                <w:szCs w:val="20"/>
                <w:lang w:eastAsia="es-CO"/>
              </w:rPr>
              <w:t>se ubica en el título de los delitos contra la administración pública,</w:t>
            </w:r>
            <w:r w:rsidR="00C57344" w:rsidRPr="00B033A8">
              <w:rPr>
                <w:rFonts w:eastAsia="Times New Roman" w:cs="Times New Roman"/>
                <w:szCs w:val="20"/>
                <w:lang w:eastAsia="es-CO"/>
              </w:rPr>
              <w:t xml:space="preserve"> lo que daría a entender que protege la recta función pública</w:t>
            </w:r>
            <w:r w:rsidR="00B033A8" w:rsidRPr="00B033A8">
              <w:rPr>
                <w:rFonts w:eastAsia="Times New Roman" w:cs="Times New Roman"/>
                <w:szCs w:val="20"/>
                <w:lang w:eastAsia="es-CO"/>
              </w:rPr>
              <w:t xml:space="preserve"> y, por lo tanto, el intérprete debe dirigirse al régimen general de la contratación pública para determinar el significado del ingrediente normativo. Sin embargo</w:t>
            </w:r>
            <w:r w:rsidR="00D94870" w:rsidRPr="00B033A8">
              <w:rPr>
                <w:rFonts w:eastAsia="Times New Roman" w:cs="Times New Roman"/>
                <w:szCs w:val="20"/>
                <w:lang w:eastAsia="es-CO"/>
              </w:rPr>
              <w:t>,</w:t>
            </w:r>
            <w:r w:rsidR="00BD7C0B" w:rsidRPr="00B033A8">
              <w:rPr>
                <w:rFonts w:eastAsia="Times New Roman" w:cs="Times New Roman"/>
                <w:szCs w:val="20"/>
                <w:lang w:eastAsia="es-CO"/>
              </w:rPr>
              <w:t xml:space="preserve"> su </w:t>
            </w:r>
            <w:proofErr w:type="spellStart"/>
            <w:r w:rsidR="00BD7C0B" w:rsidRPr="00B033A8">
              <w:rPr>
                <w:rFonts w:eastAsia="Times New Roman" w:cs="Times New Roman"/>
                <w:i/>
                <w:iCs/>
                <w:szCs w:val="20"/>
                <w:lang w:eastAsia="es-CO"/>
              </w:rPr>
              <w:t>nomen</w:t>
            </w:r>
            <w:proofErr w:type="spellEnd"/>
            <w:r w:rsidR="00BD7C0B" w:rsidRPr="00B033A8">
              <w:rPr>
                <w:rFonts w:eastAsia="Times New Roman" w:cs="Times New Roman"/>
                <w:i/>
                <w:iCs/>
                <w:szCs w:val="20"/>
                <w:lang w:eastAsia="es-CO"/>
              </w:rPr>
              <w:t xml:space="preserve"> iuris</w:t>
            </w:r>
            <w:r w:rsidR="00BD7C0B" w:rsidRPr="00B033A8">
              <w:rPr>
                <w:rFonts w:eastAsia="Times New Roman" w:cs="Times New Roman"/>
                <w:szCs w:val="20"/>
                <w:lang w:eastAsia="es-CO"/>
              </w:rPr>
              <w:t xml:space="preserve"> o título</w:t>
            </w:r>
            <w:r w:rsidR="00C57344" w:rsidRPr="00B033A8">
              <w:rPr>
                <w:rFonts w:eastAsia="Times New Roman" w:cs="Times New Roman"/>
                <w:szCs w:val="20"/>
                <w:lang w:eastAsia="es-CO"/>
              </w:rPr>
              <w:t xml:space="preserve"> </w:t>
            </w:r>
            <w:r w:rsidR="00B033A8" w:rsidRPr="00B033A8">
              <w:rPr>
                <w:rFonts w:eastAsia="Times New Roman" w:cs="Times New Roman"/>
                <w:szCs w:val="20"/>
                <w:lang w:eastAsia="es-CO"/>
              </w:rPr>
              <w:t>sugiere que la conducta sancionable son los “acuerdos restrictivos de la libre competencia”, lo que implicaría que, para llenar la “laguna”, debe acudir al régimen de libre competencia</w:t>
            </w:r>
            <w:r w:rsidR="00D94870" w:rsidRPr="00B033A8">
              <w:rPr>
                <w:rFonts w:eastAsia="Times New Roman" w:cs="Times New Roman"/>
                <w:szCs w:val="20"/>
                <w:lang w:eastAsia="es-CO"/>
              </w:rPr>
              <w:t xml:space="preserve">. En segundo lugar, </w:t>
            </w:r>
            <w:r w:rsidR="00B033A8" w:rsidRPr="00B033A8">
              <w:rPr>
                <w:rFonts w:eastAsia="Times New Roman" w:cs="Times New Roman"/>
                <w:szCs w:val="20"/>
                <w:lang w:eastAsia="es-CO"/>
              </w:rPr>
              <w:t>argumentó que la expresión</w:t>
            </w:r>
            <w:r w:rsidR="00D94870" w:rsidRPr="00B033A8">
              <w:rPr>
                <w:rFonts w:eastAsia="Times New Roman" w:cs="Times New Roman"/>
                <w:szCs w:val="20"/>
                <w:lang w:eastAsia="es-CO"/>
              </w:rPr>
              <w:t xml:space="preserve"> “alterar ilícitamente el proceso contractual”</w:t>
            </w:r>
            <w:r w:rsidR="00B033A8" w:rsidRPr="00B033A8">
              <w:rPr>
                <w:rFonts w:eastAsia="Times New Roman" w:cs="Times New Roman"/>
                <w:szCs w:val="20"/>
                <w:lang w:eastAsia="es-CO"/>
              </w:rPr>
              <w:t xml:space="preserve"> </w:t>
            </w:r>
            <w:r w:rsidR="0066003A" w:rsidRPr="00B033A8">
              <w:rPr>
                <w:rFonts w:eastAsia="Times New Roman" w:cs="Times New Roman"/>
                <w:szCs w:val="20"/>
                <w:lang w:eastAsia="es-CO"/>
              </w:rPr>
              <w:t>es de tal grado de “inseguridad, incertidumbre y vaguedad”</w:t>
            </w:r>
            <w:r w:rsidR="00DF7E27" w:rsidRPr="00B033A8">
              <w:rPr>
                <w:rStyle w:val="Refdenotaalpie"/>
                <w:rFonts w:eastAsia="Times New Roman" w:cs="Times New Roman"/>
                <w:szCs w:val="20"/>
                <w:lang w:eastAsia="es-CO"/>
              </w:rPr>
              <w:footnoteReference w:id="237"/>
            </w:r>
            <w:r w:rsidR="0066003A" w:rsidRPr="00B033A8">
              <w:rPr>
                <w:rFonts w:eastAsia="Times New Roman" w:cs="Times New Roman"/>
                <w:szCs w:val="20"/>
                <w:lang w:eastAsia="es-CO"/>
              </w:rPr>
              <w:t xml:space="preserve"> que no permite</w:t>
            </w:r>
            <w:r w:rsidR="00467E46" w:rsidRPr="00B033A8">
              <w:rPr>
                <w:rFonts w:eastAsia="Times New Roman" w:cs="Times New Roman"/>
                <w:szCs w:val="20"/>
                <w:lang w:eastAsia="es-CO"/>
              </w:rPr>
              <w:t xml:space="preserve"> </w:t>
            </w:r>
            <w:r w:rsidR="00B033A8" w:rsidRPr="00B033A8">
              <w:rPr>
                <w:rFonts w:eastAsia="Times New Roman" w:cs="Times New Roman"/>
                <w:szCs w:val="20"/>
                <w:lang w:eastAsia="es-CO"/>
              </w:rPr>
              <w:t>al intérprete determinar las conductas que “concretamente fueron objeto de prohibición</w:t>
            </w:r>
            <w:r w:rsidR="00DF7E27" w:rsidRPr="00B033A8">
              <w:rPr>
                <w:rFonts w:eastAsia="Times New Roman" w:cs="Times New Roman"/>
                <w:szCs w:val="20"/>
                <w:lang w:eastAsia="es-CO"/>
              </w:rPr>
              <w:t>”</w:t>
            </w:r>
            <w:r w:rsidR="00DF7E27" w:rsidRPr="00B033A8">
              <w:rPr>
                <w:rStyle w:val="Refdenotaalpie"/>
                <w:rFonts w:eastAsia="Times New Roman" w:cs="Times New Roman"/>
                <w:szCs w:val="20"/>
                <w:lang w:eastAsia="es-CO"/>
              </w:rPr>
              <w:footnoteReference w:id="238"/>
            </w:r>
            <w:r w:rsidR="00DF7E27" w:rsidRPr="00B033A8">
              <w:rPr>
                <w:rFonts w:eastAsia="Times New Roman" w:cs="Times New Roman"/>
                <w:szCs w:val="20"/>
                <w:lang w:eastAsia="es-CO"/>
              </w:rPr>
              <w:t>.</w:t>
            </w:r>
            <w:r w:rsidR="000D6265" w:rsidRPr="00B033A8">
              <w:rPr>
                <w:rFonts w:eastAsia="Times New Roman" w:cs="Times New Roman"/>
                <w:szCs w:val="20"/>
                <w:lang w:eastAsia="es-CO"/>
              </w:rPr>
              <w:t xml:space="preserve"> Esta indeterminación conlleva a que “cualquier acto doloso y coordinado que distorsione un proceso contractual por parte de dos o más individuos podría ser considerado como infracción penal de acuerdo con el artículo hoy demandado”</w:t>
            </w:r>
            <w:r w:rsidR="000D6265" w:rsidRPr="00B033A8">
              <w:rPr>
                <w:rStyle w:val="Refdenotaalpie"/>
                <w:rFonts w:eastAsia="Times New Roman" w:cs="Times New Roman"/>
                <w:szCs w:val="20"/>
                <w:lang w:eastAsia="es-CO"/>
              </w:rPr>
              <w:footnoteReference w:id="239"/>
            </w:r>
            <w:r w:rsidR="000D6265" w:rsidRPr="00B033A8">
              <w:rPr>
                <w:rFonts w:eastAsia="Times New Roman" w:cs="Times New Roman"/>
                <w:szCs w:val="20"/>
                <w:lang w:eastAsia="es-CO"/>
              </w:rPr>
              <w:t>.</w:t>
            </w:r>
            <w:r w:rsidR="00B033A8" w:rsidRPr="00B033A8">
              <w:rPr>
                <w:rFonts w:cs="Times New Roman"/>
                <w:color w:val="000000"/>
                <w:szCs w:val="23"/>
              </w:rPr>
              <w:t xml:space="preserve"> </w:t>
            </w:r>
            <w:r w:rsidR="00B033A8" w:rsidRPr="00B033A8">
              <w:rPr>
                <w:rFonts w:eastAsia="Times New Roman" w:cs="Times New Roman"/>
                <w:szCs w:val="20"/>
                <w:lang w:eastAsia="es-CO"/>
              </w:rPr>
              <w:t xml:space="preserve">En este sentido, “habida cuenta de la imprecisión legislativa en comento, se tiene a un tipo penal que, de manera amplia y abstracta, abarca un universo de conductas que pueden o no describir aquello que el Legislador buscó censurar, pues, necesariamente, incluye conductas que, o bien ya se encuentran tipificadas, o bien no </w:t>
            </w:r>
            <w:r w:rsidR="00B033A8" w:rsidRPr="00B033A8">
              <w:rPr>
                <w:rFonts w:eastAsia="Times New Roman" w:cs="Times New Roman"/>
                <w:szCs w:val="20"/>
                <w:lang w:eastAsia="es-CO"/>
              </w:rPr>
              <w:lastRenderedPageBreak/>
              <w:t xml:space="preserve">corresponden a lo que puede entenderse como </w:t>
            </w:r>
            <w:r w:rsidR="00B033A8" w:rsidRPr="00B033A8">
              <w:rPr>
                <w:rFonts w:eastAsia="Times New Roman" w:cs="Times New Roman"/>
                <w:i/>
                <w:iCs/>
                <w:szCs w:val="20"/>
                <w:lang w:eastAsia="es-CO"/>
              </w:rPr>
              <w:t>acuerdos restrictivos de la competencia</w:t>
            </w:r>
            <w:r w:rsidR="00B033A8" w:rsidRPr="00B033A8">
              <w:rPr>
                <w:rFonts w:eastAsia="Times New Roman" w:cs="Times New Roman"/>
                <w:szCs w:val="20"/>
                <w:lang w:eastAsia="es-CO"/>
              </w:rPr>
              <w:t>, extendiéndose a ámbitos que probablemente no deberían ser objeto de reproche penal como medio de coerción estatal fragmentario, bastando con la imposición de una sanción de carácter administrativo para la reivindicación de la expectativa social quebrantada”</w:t>
            </w:r>
            <w:r w:rsidR="00B033A8" w:rsidRPr="00B033A8">
              <w:rPr>
                <w:rStyle w:val="Refdenotaalpie"/>
                <w:rFonts w:eastAsia="Times New Roman" w:cs="Times New Roman"/>
                <w:szCs w:val="20"/>
                <w:lang w:eastAsia="es-CO"/>
              </w:rPr>
              <w:footnoteReference w:id="240"/>
            </w:r>
            <w:r w:rsidR="00B033A8" w:rsidRPr="00B033A8">
              <w:rPr>
                <w:rFonts w:eastAsia="Times New Roman" w:cs="Times New Roman"/>
                <w:szCs w:val="20"/>
                <w:lang w:eastAsia="es-CO"/>
              </w:rPr>
              <w:t xml:space="preserve">. En tercer lugar, la indeterminación semántica del tipo podría dar lugar a una violación del principio </w:t>
            </w:r>
            <w:r w:rsidR="00B033A8" w:rsidRPr="00B033A8">
              <w:rPr>
                <w:rFonts w:eastAsia="Times New Roman" w:cs="Times New Roman"/>
                <w:i/>
                <w:iCs/>
                <w:szCs w:val="20"/>
                <w:lang w:eastAsia="es-CO"/>
              </w:rPr>
              <w:t xml:space="preserve">non bis in </w:t>
            </w:r>
            <w:proofErr w:type="spellStart"/>
            <w:r w:rsidR="00B033A8" w:rsidRPr="00B033A8">
              <w:rPr>
                <w:rFonts w:eastAsia="Times New Roman" w:cs="Times New Roman"/>
                <w:i/>
                <w:iCs/>
                <w:szCs w:val="20"/>
                <w:lang w:eastAsia="es-CO"/>
              </w:rPr>
              <w:t>idem</w:t>
            </w:r>
            <w:proofErr w:type="spellEnd"/>
            <w:r w:rsidR="00B033A8" w:rsidRPr="00B033A8">
              <w:rPr>
                <w:rFonts w:eastAsia="Times New Roman" w:cs="Times New Roman"/>
                <w:szCs w:val="20"/>
                <w:lang w:eastAsia="es-CO"/>
              </w:rPr>
              <w:t>. Al respecto, señala que “bajo la premisa de que cualquier conducta que satisfaga los elementos de concertación y alteración irregular del rito contractual constituye el delito en cuestión, se hace plausible una sistemática vulneración del derecho fundamental a no ser juzgado dos veces por una misma conducta, dado que, evidentemente, por el grado de abstracción e indeterminación del tipo, es posible que en él se configuren conductas que ya están tipificadas”. Por ejemplo, “una persona podría ser considerada culpable como determinador, cómplice o interviniente (coautor no calificado) en delitos como interés indebido en la celebración de contratos, peculado, cohecho, concusión, prevaricato, entre otros, y a la vez ser penalmente sancionada por el delito establecido en el artículo 410A, que castiga la concertación para alterar ilícitamente un procedimiento contractual”</w:t>
            </w:r>
            <w:r w:rsidR="00B033A8" w:rsidRPr="00B033A8">
              <w:rPr>
                <w:rStyle w:val="Refdenotaalpie"/>
                <w:rFonts w:eastAsia="Times New Roman" w:cs="Times New Roman"/>
                <w:szCs w:val="20"/>
                <w:lang w:eastAsia="es-CO"/>
              </w:rPr>
              <w:footnoteReference w:id="241"/>
            </w:r>
            <w:r w:rsidR="00B033A8" w:rsidRPr="00B033A8">
              <w:rPr>
                <w:rFonts w:eastAsia="Times New Roman" w:cs="Times New Roman"/>
                <w:szCs w:val="20"/>
                <w:lang w:eastAsia="es-CO"/>
              </w:rPr>
              <w:t xml:space="preserve">. En cuarto lugar, la vaguedad del tipo penal conduce a un desconocimiento del principio de </w:t>
            </w:r>
            <w:r w:rsidR="00B033A8" w:rsidRPr="00B033A8">
              <w:rPr>
                <w:rFonts w:eastAsia="Times New Roman" w:cs="Times New Roman"/>
                <w:i/>
                <w:iCs/>
                <w:szCs w:val="20"/>
                <w:lang w:eastAsia="es-CO"/>
              </w:rPr>
              <w:t>ultima ratio</w:t>
            </w:r>
            <w:r w:rsidR="00B033A8" w:rsidRPr="00B033A8">
              <w:rPr>
                <w:rFonts w:eastAsia="Times New Roman" w:cs="Times New Roman"/>
                <w:szCs w:val="20"/>
                <w:lang w:eastAsia="es-CO"/>
              </w:rPr>
              <w:t xml:space="preserve"> del derecho penal. Esto, porque sugeriría que todas las faltas </w:t>
            </w:r>
            <w:r w:rsidR="00B033A8" w:rsidRPr="00B033A8">
              <w:rPr>
                <w:rFonts w:eastAsia="Times New Roman" w:cs="Times New Roman"/>
                <w:i/>
                <w:iCs/>
                <w:szCs w:val="20"/>
                <w:lang w:eastAsia="es-CO"/>
              </w:rPr>
              <w:t>administrativas</w:t>
            </w:r>
            <w:r w:rsidR="00B033A8" w:rsidRPr="00B033A8">
              <w:rPr>
                <w:rFonts w:eastAsia="Times New Roman" w:cs="Times New Roman"/>
                <w:szCs w:val="20"/>
                <w:lang w:eastAsia="es-CO"/>
              </w:rPr>
              <w:t xml:space="preserve"> que se producen por llevar a cabo acuerdos restrictivos de la competencia también constituyen delitos. </w:t>
            </w:r>
          </w:p>
        </w:tc>
      </w:tr>
    </w:tbl>
    <w:p w14:paraId="5CB1F626" w14:textId="5E8FBAE6" w:rsidR="00B83BE7" w:rsidRDefault="00B83BE7" w:rsidP="00F528D8">
      <w:pPr>
        <w:rPr>
          <w:rFonts w:cs="Times New Roman"/>
        </w:rPr>
      </w:pPr>
    </w:p>
    <w:p w14:paraId="4B01FBD2" w14:textId="26268134" w:rsidR="001530A0" w:rsidRDefault="001530A0" w:rsidP="00F528D8">
      <w:pPr>
        <w:rPr>
          <w:rFonts w:cs="Times New Roman"/>
        </w:rPr>
      </w:pPr>
    </w:p>
    <w:p w14:paraId="2E378088" w14:textId="224AB6AD" w:rsidR="001530A0" w:rsidRDefault="001530A0" w:rsidP="00F528D8">
      <w:pPr>
        <w:rPr>
          <w:rFonts w:cs="Times New Roman"/>
        </w:rPr>
      </w:pPr>
    </w:p>
    <w:p w14:paraId="274ED973" w14:textId="16F8D903" w:rsidR="001530A0" w:rsidRDefault="001530A0">
      <w:pPr>
        <w:spacing w:after="160" w:line="259" w:lineRule="auto"/>
        <w:jc w:val="left"/>
        <w:rPr>
          <w:rFonts w:cs="Times New Roman"/>
        </w:rPr>
      </w:pPr>
      <w:r>
        <w:rPr>
          <w:rFonts w:cs="Times New Roman"/>
        </w:rPr>
        <w:br w:type="page"/>
      </w:r>
    </w:p>
    <w:p w14:paraId="56132B39" w14:textId="61902D2C" w:rsidR="00322338" w:rsidRPr="00B033A8" w:rsidRDefault="00B033A8" w:rsidP="00937468">
      <w:pPr>
        <w:jc w:val="center"/>
        <w:rPr>
          <w:rFonts w:cs="Times New Roman"/>
          <w:b/>
          <w:bCs/>
          <w:szCs w:val="28"/>
          <w:lang w:val="es-MX"/>
        </w:rPr>
      </w:pPr>
      <w:r w:rsidRPr="00B033A8">
        <w:rPr>
          <w:rFonts w:cs="Times New Roman"/>
          <w:b/>
          <w:bCs/>
          <w:szCs w:val="28"/>
          <w:lang w:val="es-MX"/>
        </w:rPr>
        <w:lastRenderedPageBreak/>
        <w:t>ACLARACIÓN DE VOTO DE LA MAGISTRADA</w:t>
      </w:r>
    </w:p>
    <w:p w14:paraId="4EC39386" w14:textId="19FA1C0A" w:rsidR="00322338" w:rsidRPr="00B033A8" w:rsidRDefault="00B033A8" w:rsidP="00937468">
      <w:pPr>
        <w:jc w:val="center"/>
        <w:rPr>
          <w:rFonts w:cs="Times New Roman"/>
          <w:b/>
          <w:bCs/>
          <w:szCs w:val="28"/>
          <w:lang w:val="es-MX"/>
        </w:rPr>
      </w:pPr>
      <w:r w:rsidRPr="00B033A8">
        <w:rPr>
          <w:rFonts w:cs="Times New Roman"/>
          <w:b/>
          <w:bCs/>
          <w:szCs w:val="28"/>
          <w:lang w:val="es-MX"/>
        </w:rPr>
        <w:t>NATALIA ÁNGEL CABO</w:t>
      </w:r>
    </w:p>
    <w:p w14:paraId="3FFF5F2F" w14:textId="6705727A" w:rsidR="00322338" w:rsidRPr="00B033A8" w:rsidRDefault="00B033A8" w:rsidP="00937468">
      <w:pPr>
        <w:jc w:val="center"/>
        <w:rPr>
          <w:rFonts w:cs="Times New Roman"/>
          <w:b/>
          <w:bCs/>
          <w:szCs w:val="28"/>
          <w:lang w:val="es-MX"/>
        </w:rPr>
      </w:pPr>
      <w:r w:rsidRPr="00B033A8">
        <w:rPr>
          <w:rFonts w:cs="Times New Roman"/>
          <w:b/>
          <w:bCs/>
          <w:szCs w:val="28"/>
          <w:lang w:val="es-MX"/>
        </w:rPr>
        <w:t>A LA SENTENCIA C-080/25</w:t>
      </w:r>
    </w:p>
    <w:p w14:paraId="42F3704E" w14:textId="77777777" w:rsidR="00322338" w:rsidRPr="00B033A8" w:rsidRDefault="00322338" w:rsidP="00937468">
      <w:pPr>
        <w:jc w:val="center"/>
        <w:rPr>
          <w:rFonts w:cs="Times New Roman"/>
          <w:b/>
          <w:bCs/>
          <w:szCs w:val="28"/>
          <w:lang w:val="es-MX"/>
        </w:rPr>
      </w:pPr>
    </w:p>
    <w:p w14:paraId="10283F33" w14:textId="77777777" w:rsidR="00322338" w:rsidRPr="00B033A8" w:rsidRDefault="00322338" w:rsidP="00937468">
      <w:pPr>
        <w:jc w:val="center"/>
        <w:rPr>
          <w:rFonts w:cs="Times New Roman"/>
          <w:b/>
          <w:bCs/>
          <w:szCs w:val="28"/>
          <w:lang w:val="es-MX"/>
        </w:rPr>
      </w:pPr>
    </w:p>
    <w:p w14:paraId="0ECAE494" w14:textId="206C7E60" w:rsidR="00322338" w:rsidRPr="00B033A8" w:rsidRDefault="00B033A8" w:rsidP="00CC37A3">
      <w:pPr>
        <w:tabs>
          <w:tab w:val="left" w:pos="8789"/>
        </w:tabs>
        <w:ind w:left="4395" w:right="51"/>
        <w:rPr>
          <w:rFonts w:eastAsia="Times New Roman" w:cs="Times New Roman"/>
          <w:szCs w:val="28"/>
        </w:rPr>
      </w:pPr>
      <w:bookmarkStart w:id="16" w:name="_Hlk51183842"/>
      <w:r w:rsidRPr="00B033A8">
        <w:rPr>
          <w:rFonts w:eastAsia="Times New Roman" w:cs="Times New Roman"/>
          <w:szCs w:val="28"/>
        </w:rPr>
        <w:t>Referencia: expediente D-15954.</w:t>
      </w:r>
    </w:p>
    <w:p w14:paraId="293E8C62" w14:textId="67E189D9" w:rsidR="00322338" w:rsidRPr="00B033A8" w:rsidRDefault="00B033A8" w:rsidP="00CC37A3">
      <w:pPr>
        <w:pBdr>
          <w:top w:val="nil"/>
          <w:left w:val="nil"/>
          <w:bottom w:val="nil"/>
          <w:right w:val="nil"/>
          <w:between w:val="nil"/>
        </w:pBdr>
        <w:ind w:left="4395"/>
        <w:rPr>
          <w:rFonts w:cs="Times New Roman"/>
          <w:color w:val="000000" w:themeColor="text1"/>
          <w:szCs w:val="28"/>
        </w:rPr>
      </w:pPr>
      <w:r w:rsidRPr="00B033A8">
        <w:rPr>
          <w:rFonts w:cs="Times New Roman"/>
          <w:color w:val="000000" w:themeColor="text1"/>
          <w:szCs w:val="28"/>
        </w:rPr>
        <w:t>Demanda de inconstitucionalidad en contra del artículo 410A de la Ley 599 de 2000, adicionado por el artículo 27 de la Ley 1474 de 2011.</w:t>
      </w:r>
    </w:p>
    <w:p w14:paraId="6F882CF2" w14:textId="77777777" w:rsidR="00322338" w:rsidRPr="00B033A8" w:rsidRDefault="00B033A8" w:rsidP="00CC37A3">
      <w:pPr>
        <w:ind w:left="4394" w:right="51"/>
        <w:rPr>
          <w:rFonts w:eastAsia="Times New Roman" w:cs="Times New Roman"/>
          <w:szCs w:val="28"/>
        </w:rPr>
      </w:pPr>
      <w:r w:rsidRPr="00B033A8">
        <w:rPr>
          <w:rFonts w:eastAsia="Times New Roman" w:cs="Times New Roman"/>
          <w:szCs w:val="28"/>
        </w:rPr>
        <w:t>Magistrada ponente:</w:t>
      </w:r>
    </w:p>
    <w:p w14:paraId="0E0EF02D" w14:textId="73466B1D" w:rsidR="00322338" w:rsidRPr="00B033A8" w:rsidRDefault="00B033A8" w:rsidP="00CC37A3">
      <w:pPr>
        <w:ind w:left="4394" w:right="51"/>
        <w:rPr>
          <w:rFonts w:eastAsia="Times New Roman" w:cs="Times New Roman"/>
          <w:szCs w:val="28"/>
        </w:rPr>
      </w:pPr>
      <w:r w:rsidRPr="00B033A8">
        <w:rPr>
          <w:rFonts w:eastAsia="Times New Roman" w:cs="Times New Roman"/>
          <w:szCs w:val="28"/>
        </w:rPr>
        <w:t>Paola Andrea Meneses Mosquera</w:t>
      </w:r>
    </w:p>
    <w:bookmarkEnd w:id="16"/>
    <w:p w14:paraId="244213AD" w14:textId="77777777" w:rsidR="00322338" w:rsidRPr="00B033A8" w:rsidRDefault="00322338" w:rsidP="00937468">
      <w:pPr>
        <w:widowControl w:val="0"/>
        <w:rPr>
          <w:rFonts w:eastAsia="Times New Roman" w:cs="Times New Roman"/>
          <w:color w:val="000000" w:themeColor="text1"/>
          <w:szCs w:val="28"/>
        </w:rPr>
      </w:pPr>
    </w:p>
    <w:p w14:paraId="0F26014C" w14:textId="77777777" w:rsidR="00322338" w:rsidRPr="00B033A8" w:rsidRDefault="00322338" w:rsidP="00937468">
      <w:pPr>
        <w:widowControl w:val="0"/>
        <w:rPr>
          <w:rFonts w:eastAsia="Times New Roman" w:cs="Times New Roman"/>
          <w:color w:val="000000" w:themeColor="text1"/>
          <w:szCs w:val="28"/>
        </w:rPr>
      </w:pPr>
    </w:p>
    <w:p w14:paraId="72894B0D" w14:textId="33A1F618" w:rsidR="00322338" w:rsidRPr="00B033A8" w:rsidRDefault="00B033A8" w:rsidP="00937468">
      <w:pPr>
        <w:widowControl w:val="0"/>
        <w:rPr>
          <w:rFonts w:eastAsia="Times New Roman" w:cs="Times New Roman"/>
          <w:color w:val="000000" w:themeColor="text1"/>
          <w:szCs w:val="28"/>
        </w:rPr>
      </w:pPr>
      <w:r w:rsidRPr="00B033A8">
        <w:rPr>
          <w:rFonts w:eastAsia="Times New Roman" w:cs="Times New Roman"/>
          <w:color w:val="000000" w:themeColor="text1"/>
          <w:szCs w:val="28"/>
        </w:rPr>
        <w:t xml:space="preserve">Aunque en este caso acompañé la decisión de declarar exequible el artículo 410A del Código Penal respecto del cargo por la presunta vulneración del principio de estricta legalidad, a </w:t>
      </w:r>
      <w:proofErr w:type="gramStart"/>
      <w:r w:rsidRPr="00B033A8">
        <w:rPr>
          <w:rFonts w:eastAsia="Times New Roman" w:cs="Times New Roman"/>
          <w:color w:val="000000" w:themeColor="text1"/>
          <w:szCs w:val="28"/>
        </w:rPr>
        <w:t>continuación</w:t>
      </w:r>
      <w:proofErr w:type="gramEnd"/>
      <w:r w:rsidRPr="00B033A8">
        <w:rPr>
          <w:rFonts w:eastAsia="Times New Roman" w:cs="Times New Roman"/>
          <w:color w:val="000000" w:themeColor="text1"/>
          <w:szCs w:val="28"/>
        </w:rPr>
        <w:t xml:space="preserve"> haré referencia a algunos argumentos de la sentencia que, en mi criterio, generan más confusión que claridad en la caracterización del tipo penal demandado, y que me llevaron a aclarar el voto.</w:t>
      </w:r>
    </w:p>
    <w:p w14:paraId="6906AFA0" w14:textId="1448BB9E" w:rsidR="00322338" w:rsidRPr="00B033A8" w:rsidRDefault="00B033A8" w:rsidP="00F1433D">
      <w:pPr>
        <w:pStyle w:val="Prrafodelista"/>
        <w:widowControl w:val="0"/>
        <w:numPr>
          <w:ilvl w:val="0"/>
          <w:numId w:val="28"/>
        </w:numPr>
        <w:rPr>
          <w:rFonts w:eastAsia="Times New Roman"/>
          <w:b/>
          <w:bCs/>
          <w:color w:val="000000" w:themeColor="text1"/>
        </w:rPr>
      </w:pPr>
      <w:r w:rsidRPr="00B033A8">
        <w:rPr>
          <w:rFonts w:eastAsia="Times New Roman"/>
          <w:b/>
          <w:bCs/>
          <w:color w:val="000000" w:themeColor="text1"/>
        </w:rPr>
        <w:t>Sobre la norma de reenvío</w:t>
      </w:r>
    </w:p>
    <w:p w14:paraId="462B31D3" w14:textId="64646ADD" w:rsidR="00322338" w:rsidRPr="00B033A8" w:rsidRDefault="00B033A8" w:rsidP="00937468">
      <w:pPr>
        <w:rPr>
          <w:rFonts w:eastAsia="Times New Roman" w:cs="Times New Roman"/>
          <w:color w:val="000000" w:themeColor="text1"/>
          <w:szCs w:val="28"/>
        </w:rPr>
      </w:pPr>
      <w:r w:rsidRPr="00B033A8">
        <w:rPr>
          <w:rFonts w:eastAsia="Times New Roman" w:cs="Times New Roman"/>
          <w:color w:val="000000" w:themeColor="text1"/>
          <w:szCs w:val="28"/>
        </w:rPr>
        <w:t xml:space="preserve">Según la sentencia, la expresión “alterar ilícitamente”, contenida en el artículo 410 A del Código Penal, es la que hace que este sea un tipo penal en blanco cuyo contenido se completaría a partir de la remisión al artículo 47.9 del Decreto 2153 de 1992, que sería la norma de reenvío. La sentencia fue enfática, además, en concluir que “el tipo penal se integra, </w:t>
      </w:r>
      <w:r w:rsidRPr="00B033A8">
        <w:rPr>
          <w:rFonts w:eastAsia="Times New Roman" w:cs="Times New Roman"/>
          <w:b/>
          <w:bCs/>
          <w:color w:val="000000" w:themeColor="text1"/>
          <w:szCs w:val="28"/>
        </w:rPr>
        <w:t>exclusivamente</w:t>
      </w:r>
      <w:r w:rsidRPr="00B033A8">
        <w:rPr>
          <w:rFonts w:eastAsia="Times New Roman" w:cs="Times New Roman"/>
          <w:color w:val="000000" w:themeColor="text1"/>
          <w:szCs w:val="28"/>
        </w:rPr>
        <w:t>, con el artículo 47.9 del Decreto 2153 de 1992”</w:t>
      </w:r>
      <w:r w:rsidRPr="00B033A8">
        <w:rPr>
          <w:rStyle w:val="Refdenotaalpie"/>
          <w:rFonts w:eastAsia="Times New Roman" w:cs="Times New Roman"/>
          <w:color w:val="000000" w:themeColor="text1"/>
          <w:szCs w:val="28"/>
        </w:rPr>
        <w:footnoteReference w:id="242"/>
      </w:r>
      <w:r w:rsidRPr="00B033A8">
        <w:rPr>
          <w:rFonts w:eastAsia="Times New Roman" w:cs="Times New Roman"/>
          <w:color w:val="000000" w:themeColor="text1"/>
          <w:szCs w:val="28"/>
        </w:rPr>
        <w:t>. Esta conclusión me parece problemática, al menos por dos razones.</w:t>
      </w:r>
    </w:p>
    <w:p w14:paraId="20D9E5AB" w14:textId="61BE7E33" w:rsidR="00322338" w:rsidRPr="00B033A8" w:rsidRDefault="00B033A8" w:rsidP="008D0180">
      <w:pPr>
        <w:rPr>
          <w:rFonts w:eastAsia="Times New Roman" w:cs="Times New Roman"/>
          <w:color w:val="000000" w:themeColor="text1"/>
          <w:szCs w:val="28"/>
        </w:rPr>
      </w:pPr>
      <w:r w:rsidRPr="00B033A8">
        <w:rPr>
          <w:rFonts w:eastAsia="Times New Roman" w:cs="Times New Roman"/>
          <w:color w:val="000000" w:themeColor="text1"/>
          <w:szCs w:val="28"/>
        </w:rPr>
        <w:t xml:space="preserve">En primer lugar, el artículo 47.9 del Decreto 2153 de 1992 se refiere a los acuerdos “que tengan por objeto la colusión en las licitaciones o concursos o los que tengan como efecto la distribución de adjudicaciones de contratos, distribución de concursos o fijación de términos de las propuestas”. Los primeros parecen no cobijar todas las conductas que podrían adecuarse al tipo penal, pues la norma de remisión no hace referencia explícita a las subastas públicas y los procesos de selección abreviada, que en cambio sí se mencionan expresamente en el tipo penal analizado. </w:t>
      </w:r>
    </w:p>
    <w:p w14:paraId="469FCC00" w14:textId="5A8E69D0" w:rsidR="00322338" w:rsidRPr="00B033A8" w:rsidRDefault="00B033A8" w:rsidP="008D0180">
      <w:pPr>
        <w:rPr>
          <w:rFonts w:eastAsia="Times New Roman" w:cs="Times New Roman"/>
          <w:color w:val="000000" w:themeColor="text1"/>
          <w:szCs w:val="28"/>
          <w:highlight w:val="yellow"/>
        </w:rPr>
      </w:pPr>
      <w:r w:rsidRPr="00B033A8">
        <w:rPr>
          <w:rFonts w:eastAsia="Times New Roman" w:cs="Times New Roman"/>
          <w:color w:val="000000" w:themeColor="text1"/>
          <w:szCs w:val="28"/>
        </w:rPr>
        <w:t xml:space="preserve">En segundo lugar, y más relevante para el caso que ocupó a la Corte en esta oportunidad, si el reenvío se concreta exclusivamente en el artículo 47.9 del Decreto 2153 de 1992, como planteó la sentencia, se dejan por fuera las normas relativas al régimen de contratación estatal que, en mi criterio, también resultan necesarias para dotar de contenido al tipo penal demandado. De </w:t>
      </w:r>
      <w:proofErr w:type="gramStart"/>
      <w:r w:rsidRPr="00B033A8">
        <w:rPr>
          <w:rFonts w:eastAsia="Times New Roman" w:cs="Times New Roman"/>
          <w:color w:val="000000" w:themeColor="text1"/>
          <w:szCs w:val="28"/>
        </w:rPr>
        <w:t>hecho</w:t>
      </w:r>
      <w:proofErr w:type="gramEnd"/>
      <w:r w:rsidRPr="00B033A8">
        <w:rPr>
          <w:rFonts w:eastAsia="Times New Roman" w:cs="Times New Roman"/>
          <w:color w:val="000000" w:themeColor="text1"/>
          <w:szCs w:val="28"/>
        </w:rPr>
        <w:t xml:space="preserve"> la propia sentencia reconoció que uno de los ingredientes normativos del tipo es la existencia de un proceso contractual de licitación pública, subasta pública, selección abreviada o concurso, y que estas modalidades de contratación están definidas en la Ley 1150 de 2007</w:t>
      </w:r>
      <w:r w:rsidRPr="00B033A8">
        <w:rPr>
          <w:rStyle w:val="Refdenotaalpie"/>
          <w:rFonts w:eastAsia="Times New Roman" w:cs="Times New Roman"/>
          <w:color w:val="000000" w:themeColor="text1"/>
          <w:szCs w:val="28"/>
        </w:rPr>
        <w:footnoteReference w:id="243"/>
      </w:r>
      <w:r w:rsidRPr="00B033A8">
        <w:rPr>
          <w:rFonts w:eastAsia="Times New Roman" w:cs="Times New Roman"/>
          <w:color w:val="000000" w:themeColor="text1"/>
          <w:szCs w:val="28"/>
        </w:rPr>
        <w:t>.</w:t>
      </w:r>
    </w:p>
    <w:p w14:paraId="11BEAC99" w14:textId="0E3718EC" w:rsidR="00322338" w:rsidRPr="00B033A8" w:rsidRDefault="00B033A8" w:rsidP="00937468">
      <w:pPr>
        <w:rPr>
          <w:rFonts w:eastAsia="Times New Roman" w:cs="Times New Roman"/>
          <w:color w:val="000000" w:themeColor="text1"/>
          <w:szCs w:val="28"/>
        </w:rPr>
      </w:pPr>
      <w:r w:rsidRPr="00B033A8">
        <w:rPr>
          <w:rFonts w:eastAsia="Times New Roman" w:cs="Times New Roman"/>
          <w:color w:val="000000" w:themeColor="text1"/>
          <w:szCs w:val="28"/>
        </w:rPr>
        <w:lastRenderedPageBreak/>
        <w:t xml:space="preserve">Como advertí antes, la conclusión a la que llegó la sentencia en este punto partió de la idea de entender que el elemento del tipo penal que requiere una remisión a normas extrapenales es la finalidad de “alterar ilícitamente”. Considero, en cambio, que los elementos que requieren dicha remisión para poder dotarlos de contenido son aquellos que se refieren al procedimiento contractual en los procesos de licitación pública, subasta pública, selección abreviada o concurso. En efecto, para conocer si un acuerdo tiene como finalidad alterar un procedimiento contractual en alguno de los procesos mencionados, es necesario conocer las reglas que rigen la contratación estatal, en general, y estos procesos en particular. </w:t>
      </w:r>
    </w:p>
    <w:p w14:paraId="5AF012B7" w14:textId="25431ACB" w:rsidR="00322338" w:rsidRPr="00B033A8" w:rsidRDefault="00B033A8" w:rsidP="00937468">
      <w:pPr>
        <w:rPr>
          <w:rFonts w:eastAsia="Times New Roman" w:cs="Times New Roman"/>
          <w:color w:val="000000" w:themeColor="text1"/>
          <w:szCs w:val="28"/>
        </w:rPr>
      </w:pPr>
      <w:r w:rsidRPr="00B033A8">
        <w:rPr>
          <w:rFonts w:eastAsia="Times New Roman" w:cs="Times New Roman"/>
          <w:color w:val="000000" w:themeColor="text1"/>
          <w:szCs w:val="28"/>
        </w:rPr>
        <w:t>De acuerdo con lo anterior, las normas de reenvío en este tipo penal serían, entonces, aquellas que integran el régimen de contratación estatal (Ley 80 de 1993 y Ley 1150 de 2007) y las de protección a la competencia (leyes 155 de 1959 y 1340 de 2009, y Decreto 2153 de 1992). Esta postura está en consonancia con las normas de reenvío a las que hizo referencia la Procuraduría en su intervención en este proceso</w:t>
      </w:r>
      <w:r w:rsidRPr="00B033A8">
        <w:rPr>
          <w:rStyle w:val="Refdenotaalpie"/>
          <w:rFonts w:eastAsia="Times New Roman" w:cs="Times New Roman"/>
          <w:color w:val="000000" w:themeColor="text1"/>
          <w:szCs w:val="28"/>
        </w:rPr>
        <w:footnoteReference w:id="244"/>
      </w:r>
      <w:r w:rsidRPr="00B033A8">
        <w:rPr>
          <w:rFonts w:eastAsia="Times New Roman" w:cs="Times New Roman"/>
          <w:color w:val="000000" w:themeColor="text1"/>
          <w:szCs w:val="28"/>
        </w:rPr>
        <w:t>.</w:t>
      </w:r>
    </w:p>
    <w:p w14:paraId="5C0AEE4A" w14:textId="33D1C88A" w:rsidR="00322338" w:rsidRPr="00B033A8" w:rsidRDefault="00B033A8" w:rsidP="00F1433D">
      <w:pPr>
        <w:pStyle w:val="Prrafodelista"/>
        <w:numPr>
          <w:ilvl w:val="0"/>
          <w:numId w:val="28"/>
        </w:numPr>
        <w:rPr>
          <w:rFonts w:eastAsia="Times New Roman"/>
          <w:b/>
          <w:bCs/>
          <w:color w:val="000000" w:themeColor="text1"/>
        </w:rPr>
      </w:pPr>
      <w:r w:rsidRPr="00B033A8">
        <w:rPr>
          <w:rFonts w:eastAsia="Times New Roman"/>
          <w:b/>
          <w:bCs/>
          <w:color w:val="000000" w:themeColor="text1"/>
        </w:rPr>
        <w:t>Sobre la tabla que enlista ejemplos de acuerdos colusorios</w:t>
      </w:r>
    </w:p>
    <w:p w14:paraId="6712E725" w14:textId="51358177" w:rsidR="00322338" w:rsidRPr="00B033A8" w:rsidRDefault="00B033A8" w:rsidP="00937468">
      <w:pPr>
        <w:rPr>
          <w:rFonts w:cs="Times New Roman"/>
          <w:color w:val="212121"/>
          <w:szCs w:val="28"/>
        </w:rPr>
      </w:pPr>
      <w:r w:rsidRPr="00B033A8">
        <w:rPr>
          <w:rFonts w:eastAsia="Times New Roman" w:cs="Times New Roman"/>
          <w:color w:val="000000" w:themeColor="text1"/>
          <w:szCs w:val="28"/>
        </w:rPr>
        <w:t>Finalmente, la sentencia incluyó una tabla</w:t>
      </w:r>
      <w:r w:rsidRPr="00B033A8">
        <w:rPr>
          <w:rStyle w:val="Refdenotaalpie"/>
          <w:rFonts w:eastAsia="Times New Roman" w:cs="Times New Roman"/>
          <w:color w:val="000000" w:themeColor="text1"/>
          <w:szCs w:val="28"/>
        </w:rPr>
        <w:footnoteReference w:id="245"/>
      </w:r>
      <w:r w:rsidRPr="00B033A8">
        <w:rPr>
          <w:rFonts w:eastAsia="Times New Roman" w:cs="Times New Roman"/>
          <w:color w:val="000000" w:themeColor="text1"/>
          <w:szCs w:val="28"/>
        </w:rPr>
        <w:t xml:space="preserve"> en la que sintetizó la doctrina de la Superintendencia de Industria y Comercio en relación con los denominados “acuerdos colusorios”. Esta tabla, además de no ser necesaria</w:t>
      </w:r>
      <w:r w:rsidRPr="00B033A8">
        <w:rPr>
          <w:rFonts w:cs="Times New Roman"/>
          <w:color w:val="212121"/>
          <w:szCs w:val="28"/>
        </w:rPr>
        <w:t xml:space="preserve"> porque ya antes la sentencia había mencionado los puntos esenciales de esta doctrina, podría llevar a la conclusión —en mi criterio, errada— de que la ejecución de alguna de las conductas que ahí se califican de colusorias implicaría ya, al menos, la realización del tipo objetivo previsto en el artículo 410A. Esto ampliaría en exceso la interpretación del delito, pues conductas como la de los oferentes que retiran las propuestas presentadas o aquellos que se abstienen de presentar propuestas podrían ser consideradas como ajustadas a la descripción típica de dicho delito, lo que, en mi opinión, resulta exagerado y rebasa los alcances de la decisión que debía tomar la Corte en este caso.</w:t>
      </w:r>
    </w:p>
    <w:p w14:paraId="0E6F67D5" w14:textId="134E0A37" w:rsidR="00322338" w:rsidRPr="00B033A8" w:rsidRDefault="00B033A8" w:rsidP="00937468">
      <w:pPr>
        <w:rPr>
          <w:rFonts w:cs="Times New Roman"/>
          <w:color w:val="212121"/>
          <w:szCs w:val="28"/>
        </w:rPr>
      </w:pPr>
      <w:r w:rsidRPr="00B033A8">
        <w:rPr>
          <w:rFonts w:cs="Times New Roman"/>
          <w:color w:val="212121"/>
          <w:szCs w:val="28"/>
        </w:rPr>
        <w:t>En estos términos aclaro mi voto.</w:t>
      </w:r>
    </w:p>
    <w:p w14:paraId="491C41B1" w14:textId="5CD875CB" w:rsidR="00322338" w:rsidRPr="00B033A8" w:rsidRDefault="00B033A8" w:rsidP="00937468">
      <w:pPr>
        <w:rPr>
          <w:rFonts w:cs="Times New Roman"/>
          <w:color w:val="212121"/>
          <w:szCs w:val="28"/>
        </w:rPr>
      </w:pPr>
      <w:r w:rsidRPr="00B033A8">
        <w:rPr>
          <w:rFonts w:cs="Times New Roman"/>
          <w:color w:val="212121"/>
          <w:szCs w:val="28"/>
        </w:rPr>
        <w:t>Respetuosamente,</w:t>
      </w:r>
    </w:p>
    <w:p w14:paraId="307BD1BC" w14:textId="1929E786" w:rsidR="00322338" w:rsidRPr="00B033A8" w:rsidRDefault="00322338" w:rsidP="00937468">
      <w:pPr>
        <w:rPr>
          <w:rFonts w:eastAsia="Times New Roman" w:cs="Times New Roman"/>
          <w:color w:val="000000" w:themeColor="text1"/>
          <w:szCs w:val="28"/>
        </w:rPr>
      </w:pPr>
    </w:p>
    <w:p w14:paraId="77A3CB6E" w14:textId="46EA3CD2" w:rsidR="00322338" w:rsidRPr="00B033A8" w:rsidRDefault="00322338" w:rsidP="00C94100">
      <w:pPr>
        <w:spacing w:line="278" w:lineRule="auto"/>
        <w:rPr>
          <w:rFonts w:eastAsia="Times New Roman" w:cs="Times New Roman"/>
          <w:color w:val="000000" w:themeColor="text1"/>
          <w:szCs w:val="28"/>
        </w:rPr>
      </w:pPr>
    </w:p>
    <w:p w14:paraId="2496C402" w14:textId="23ACE7F0" w:rsidR="00322338" w:rsidRPr="00B033A8" w:rsidRDefault="00B033A8" w:rsidP="00C94100">
      <w:pPr>
        <w:spacing w:line="278" w:lineRule="auto"/>
        <w:jc w:val="center"/>
        <w:rPr>
          <w:rFonts w:eastAsia="Times New Roman" w:cs="Times New Roman"/>
          <w:b/>
          <w:bCs/>
          <w:color w:val="000000" w:themeColor="text1"/>
          <w:szCs w:val="28"/>
        </w:rPr>
      </w:pPr>
      <w:r w:rsidRPr="00B033A8">
        <w:rPr>
          <w:rFonts w:eastAsia="Times New Roman" w:cs="Times New Roman"/>
          <w:b/>
          <w:bCs/>
          <w:color w:val="000000" w:themeColor="text1"/>
          <w:szCs w:val="28"/>
        </w:rPr>
        <w:t>NATALIA ÁNGEL CABO</w:t>
      </w:r>
    </w:p>
    <w:p w14:paraId="3B4A98A9" w14:textId="75FEFB33" w:rsidR="00322338" w:rsidRDefault="00B033A8" w:rsidP="00C94100">
      <w:pPr>
        <w:spacing w:line="278" w:lineRule="auto"/>
        <w:jc w:val="center"/>
        <w:rPr>
          <w:rFonts w:eastAsia="Times New Roman" w:cs="Times New Roman"/>
          <w:b/>
          <w:bCs/>
          <w:color w:val="000000" w:themeColor="text1"/>
          <w:szCs w:val="28"/>
        </w:rPr>
      </w:pPr>
      <w:r w:rsidRPr="00B033A8">
        <w:rPr>
          <w:rFonts w:eastAsia="Times New Roman" w:cs="Times New Roman"/>
          <w:b/>
          <w:bCs/>
          <w:color w:val="000000" w:themeColor="text1"/>
          <w:szCs w:val="28"/>
        </w:rPr>
        <w:t>Magistrada</w:t>
      </w:r>
    </w:p>
    <w:p w14:paraId="51F7C9B0" w14:textId="2A015003" w:rsidR="00F87CD2" w:rsidRDefault="00F87CD2" w:rsidP="00C94100">
      <w:pPr>
        <w:spacing w:line="278" w:lineRule="auto"/>
        <w:jc w:val="center"/>
        <w:rPr>
          <w:rFonts w:eastAsia="Times New Roman" w:cs="Times New Roman"/>
          <w:b/>
          <w:bCs/>
          <w:color w:val="000000" w:themeColor="text1"/>
          <w:szCs w:val="28"/>
        </w:rPr>
      </w:pPr>
    </w:p>
    <w:p w14:paraId="0F674C39" w14:textId="1A1A295B" w:rsidR="00F87CD2" w:rsidRDefault="00F87CD2" w:rsidP="00C94100">
      <w:pPr>
        <w:spacing w:line="278" w:lineRule="auto"/>
        <w:jc w:val="center"/>
        <w:rPr>
          <w:rFonts w:eastAsia="Times New Roman" w:cs="Times New Roman"/>
          <w:b/>
          <w:bCs/>
          <w:color w:val="000000" w:themeColor="text1"/>
          <w:szCs w:val="28"/>
        </w:rPr>
      </w:pPr>
    </w:p>
    <w:p w14:paraId="78B139F5" w14:textId="77777777" w:rsidR="00F87CD2" w:rsidRDefault="00F87CD2" w:rsidP="00C94100">
      <w:pPr>
        <w:spacing w:line="278" w:lineRule="auto"/>
        <w:jc w:val="center"/>
        <w:rPr>
          <w:rFonts w:eastAsia="Times New Roman" w:cs="Times New Roman"/>
          <w:b/>
          <w:bCs/>
          <w:color w:val="000000" w:themeColor="text1"/>
          <w:szCs w:val="28"/>
        </w:rPr>
      </w:pPr>
    </w:p>
    <w:p w14:paraId="29D3FC20" w14:textId="447C1F08" w:rsidR="00F87CD2" w:rsidRDefault="00F87CD2">
      <w:pPr>
        <w:spacing w:after="160" w:line="259" w:lineRule="auto"/>
        <w:jc w:val="left"/>
        <w:rPr>
          <w:rFonts w:eastAsia="Times New Roman" w:cs="Times New Roman"/>
          <w:b/>
          <w:bCs/>
          <w:color w:val="000000" w:themeColor="text1"/>
          <w:szCs w:val="28"/>
        </w:rPr>
      </w:pPr>
      <w:r>
        <w:rPr>
          <w:rFonts w:eastAsia="Times New Roman" w:cs="Times New Roman"/>
          <w:b/>
          <w:bCs/>
          <w:color w:val="000000" w:themeColor="text1"/>
          <w:szCs w:val="28"/>
        </w:rPr>
        <w:br w:type="page"/>
      </w:r>
    </w:p>
    <w:p w14:paraId="352178CF" w14:textId="77777777" w:rsidR="00F87CD2" w:rsidRPr="00F87CD2" w:rsidRDefault="00F87CD2" w:rsidP="00F87CD2">
      <w:pPr>
        <w:widowControl w:val="0"/>
        <w:pBdr>
          <w:top w:val="nil"/>
          <w:left w:val="nil"/>
          <w:bottom w:val="nil"/>
          <w:right w:val="nil"/>
          <w:between w:val="nil"/>
        </w:pBdr>
        <w:jc w:val="center"/>
        <w:rPr>
          <w:rFonts w:eastAsia="Times New Roman" w:cs="Times New Roman"/>
          <w:b/>
          <w:bCs/>
          <w:color w:val="000000"/>
          <w:szCs w:val="28"/>
          <w:lang w:eastAsia="es-CO"/>
        </w:rPr>
      </w:pPr>
      <w:r w:rsidRPr="00F87CD2">
        <w:rPr>
          <w:rFonts w:eastAsia="Times New Roman" w:cs="Times New Roman"/>
          <w:b/>
          <w:bCs/>
          <w:color w:val="000000"/>
          <w:szCs w:val="28"/>
          <w:lang w:eastAsia="es-CO"/>
        </w:rPr>
        <w:lastRenderedPageBreak/>
        <w:t>ACLARACIÓN DE VOTO DEL MAGISTRADO</w:t>
      </w:r>
    </w:p>
    <w:p w14:paraId="60245DA3" w14:textId="77777777" w:rsidR="00F87CD2" w:rsidRPr="00F87CD2" w:rsidRDefault="00F87CD2" w:rsidP="00F87CD2">
      <w:pPr>
        <w:widowControl w:val="0"/>
        <w:pBdr>
          <w:top w:val="nil"/>
          <w:left w:val="nil"/>
          <w:bottom w:val="nil"/>
          <w:right w:val="nil"/>
          <w:between w:val="nil"/>
        </w:pBdr>
        <w:jc w:val="center"/>
        <w:rPr>
          <w:rFonts w:eastAsia="Times New Roman" w:cs="Times New Roman"/>
          <w:b/>
          <w:bCs/>
          <w:color w:val="000000"/>
          <w:szCs w:val="28"/>
          <w:lang w:eastAsia="es-CO"/>
        </w:rPr>
      </w:pPr>
      <w:r w:rsidRPr="00F87CD2">
        <w:rPr>
          <w:rFonts w:eastAsia="Times New Roman" w:cs="Times New Roman"/>
          <w:b/>
          <w:bCs/>
          <w:color w:val="000000"/>
          <w:szCs w:val="28"/>
          <w:lang w:eastAsia="es-CO"/>
        </w:rPr>
        <w:t>JUAN CARLOS CORTÉS GONZÁLEZ</w:t>
      </w:r>
    </w:p>
    <w:p w14:paraId="6E291825" w14:textId="77777777" w:rsidR="00F87CD2" w:rsidRPr="00F87CD2" w:rsidRDefault="00F87CD2" w:rsidP="00F87CD2">
      <w:pPr>
        <w:widowControl w:val="0"/>
        <w:pBdr>
          <w:top w:val="nil"/>
          <w:left w:val="nil"/>
          <w:bottom w:val="nil"/>
          <w:right w:val="nil"/>
          <w:between w:val="nil"/>
        </w:pBdr>
        <w:jc w:val="center"/>
        <w:rPr>
          <w:rFonts w:eastAsia="Times New Roman" w:cs="Times New Roman"/>
          <w:b/>
          <w:bCs/>
          <w:color w:val="000000"/>
          <w:szCs w:val="28"/>
          <w:lang w:eastAsia="es-CO"/>
        </w:rPr>
      </w:pPr>
      <w:r w:rsidRPr="00F87CD2">
        <w:rPr>
          <w:rFonts w:eastAsia="Times New Roman" w:cs="Times New Roman"/>
          <w:b/>
          <w:bCs/>
          <w:color w:val="000000"/>
          <w:szCs w:val="28"/>
          <w:lang w:eastAsia="es-CO"/>
        </w:rPr>
        <w:t>A LA SENTENCIA C-080/25</w:t>
      </w:r>
    </w:p>
    <w:p w14:paraId="39902CCB"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eastAsia="es-CO"/>
        </w:rPr>
      </w:pPr>
      <w:r w:rsidRPr="00F87CD2">
        <w:rPr>
          <w:rFonts w:eastAsia="Times New Roman" w:cs="Times New Roman"/>
          <w:color w:val="000000"/>
          <w:szCs w:val="28"/>
          <w:lang w:eastAsia="es-CO"/>
        </w:rPr>
        <w:t> </w:t>
      </w:r>
    </w:p>
    <w:p w14:paraId="6B132A35"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eastAsia="es-CO"/>
        </w:rPr>
      </w:pPr>
    </w:p>
    <w:p w14:paraId="59471183"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MX" w:eastAsia="es-CO"/>
        </w:rPr>
      </w:pPr>
      <w:r w:rsidRPr="00F87CD2">
        <w:rPr>
          <w:rFonts w:eastAsia="Times New Roman" w:cs="Times New Roman"/>
          <w:color w:val="000000"/>
          <w:szCs w:val="28"/>
          <w:lang w:eastAsia="es-CO"/>
        </w:rPr>
        <w:t>En la Sentencia C-080 de 2025 la Sala Plena de la Corte Constitucional estudió el cargo por la presunta vulneración del principio de legalidad estricta o tipicidad en materia penal y declaró</w:t>
      </w:r>
      <w:r w:rsidRPr="00F87CD2">
        <w:rPr>
          <w:rFonts w:eastAsia="Times New Roman" w:cs="Times New Roman"/>
          <w:color w:val="000000"/>
          <w:szCs w:val="28"/>
          <w:lang w:val="es-ES_tradnl" w:eastAsia="es-CO"/>
        </w:rPr>
        <w:t xml:space="preserve"> exequible el artículo 410A del Código Penal</w:t>
      </w:r>
      <w:r w:rsidRPr="00F87CD2">
        <w:rPr>
          <w:rFonts w:eastAsia="Times New Roman" w:cs="Times New Roman"/>
          <w:color w:val="000000"/>
          <w:szCs w:val="28"/>
          <w:lang w:eastAsia="es-CO"/>
        </w:rPr>
        <w:t>.</w:t>
      </w:r>
      <w:r w:rsidRPr="00F87CD2">
        <w:rPr>
          <w:rFonts w:eastAsia="Times New Roman" w:cs="Times New Roman"/>
          <w:color w:val="000000"/>
          <w:szCs w:val="28"/>
          <w:lang w:val="es-MX" w:eastAsia="es-CO"/>
        </w:rPr>
        <w:t xml:space="preserve"> Aunque acompañé la decisión mayoritaria, me aparto de la metodología empleada para abordar la constitucionalidad de los tipos penales en blanco, porque la utilizada puede llevar a desconocer la naturaleza y fines de esta técnica legislativa, así como los límites de las decisiones de constitucionalidad en relación con aquella. </w:t>
      </w:r>
    </w:p>
    <w:p w14:paraId="1677BBEA"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MX" w:eastAsia="es-CO"/>
        </w:rPr>
      </w:pPr>
    </w:p>
    <w:p w14:paraId="0A70B403"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color w:val="000000"/>
          <w:szCs w:val="28"/>
          <w:lang w:val="es-MX" w:eastAsia="es-CO"/>
        </w:rPr>
        <w:t xml:space="preserve">A continuación, explicaré en primera medida, mis acuerdos centrales con la decisión, luego describiré la finalidad de los tipos penales en blanco y la explicación a partir de la cual </w:t>
      </w:r>
      <w:r w:rsidRPr="00F87CD2">
        <w:rPr>
          <w:rFonts w:eastAsia="Times New Roman" w:cs="Times New Roman"/>
          <w:color w:val="000000"/>
          <w:szCs w:val="28"/>
          <w:lang w:val="es-ES_tradnl" w:eastAsia="es-CO"/>
        </w:rPr>
        <w:t>la Sentencia C-080 de 2025 asigna un contenido estático a la conducta sancionada, omitiendo la voluntad de apertura del Legislador.</w:t>
      </w:r>
    </w:p>
    <w:p w14:paraId="20B68CD1"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1644EA79"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i/>
          <w:iCs/>
          <w:color w:val="000000"/>
          <w:szCs w:val="28"/>
          <w:lang w:val="es-ES_tradnl" w:eastAsia="es-CO"/>
        </w:rPr>
        <w:t xml:space="preserve">Acuerdo central. </w:t>
      </w:r>
      <w:r w:rsidRPr="00F87CD2">
        <w:rPr>
          <w:rFonts w:eastAsia="Times New Roman" w:cs="Times New Roman"/>
          <w:color w:val="000000"/>
          <w:szCs w:val="28"/>
          <w:lang w:val="es-ES_tradnl" w:eastAsia="es-CO"/>
        </w:rPr>
        <w:t>Al tipificar los acuerdos restrictivos de la competencia en procesos de licitación pública, subasta pública, selección abreviada o concurso, tal como lo consideró la decisión de Sala Plena, el artículo demandado consagró un tipo penal en blanco, que permite reconocer la conducta sancionada por remisión tácita a disposiciones extrapenales, de modo que la conducta sancionada resulta determinable, de allí que tras la integración del tipo penal se impide que el juez efectúe una adecuación típica a partir de criterios subjetivos y arbitrarios.</w:t>
      </w:r>
    </w:p>
    <w:p w14:paraId="6CE3CE70"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7A739E83"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color w:val="000000"/>
          <w:szCs w:val="28"/>
          <w:lang w:val="es-ES_tradnl" w:eastAsia="es-CO"/>
        </w:rPr>
        <w:t>En efecto, el artículo 47.9 del Decreto 2153 de 1992 y la regulación jurídica sobre contratación pública, especialmente las Leyes 80 de 1993 y 1150 de 2007, así como las relacionadas con la protección de la libre competencia (Leyes 155 de 1959 y 1340 de 2009), determinan con claridad los acuerdos admisibles y los proscritos, y son fundamentales para establecer cuándo se presenta la colusión en la contratación pública, de manera que la constitucionalidad de la medida está precedida de este examen, que impide arbitrariedad en la determinación de la conducta y por tanto no se trasgrede el principio de legalidad estricta o tipicidad en materia penal.</w:t>
      </w:r>
    </w:p>
    <w:p w14:paraId="4095034C"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2FAC5041"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MX" w:eastAsia="es-CO"/>
        </w:rPr>
      </w:pPr>
      <w:r w:rsidRPr="00F87CD2">
        <w:rPr>
          <w:rFonts w:eastAsia="Times New Roman" w:cs="Times New Roman"/>
          <w:color w:val="000000"/>
          <w:szCs w:val="28"/>
          <w:lang w:val="es-ES_tradnl" w:eastAsia="es-CO"/>
        </w:rPr>
        <w:t>Sin embargo, como lo resalté al inicio de este disenso, mi discrepancia radica en la metodología utilizada para llegar a esa conclusión, como lo explicaré enseguida.</w:t>
      </w:r>
    </w:p>
    <w:p w14:paraId="008F98B2"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MX" w:eastAsia="es-CO"/>
        </w:rPr>
      </w:pPr>
    </w:p>
    <w:p w14:paraId="1FE1984B"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i/>
          <w:iCs/>
          <w:color w:val="000000"/>
          <w:szCs w:val="28"/>
          <w:lang w:val="es-ES_tradnl" w:eastAsia="es-CO"/>
        </w:rPr>
        <w:t>Finalidad de los tipos penales en blanco</w:t>
      </w:r>
      <w:r w:rsidRPr="00F87CD2">
        <w:rPr>
          <w:rFonts w:eastAsia="Times New Roman" w:cs="Times New Roman"/>
          <w:color w:val="000000"/>
          <w:szCs w:val="28"/>
          <w:lang w:val="es-ES_tradnl" w:eastAsia="es-CO"/>
        </w:rPr>
        <w:t xml:space="preserve">. Un tipo penal en blanco se caracteriza porque “la conducta de acción u omisión no se encuentra definida integralmente por el legislador en la norma penal, dejando la precisión de algunos aspectos a una norma de complemento del mismo o de otro ordenamiento jurídico, penal </w:t>
      </w:r>
      <w:r w:rsidRPr="00F87CD2">
        <w:rPr>
          <w:rFonts w:eastAsia="Times New Roman" w:cs="Times New Roman"/>
          <w:color w:val="000000"/>
          <w:szCs w:val="28"/>
          <w:lang w:val="es-ES_tradnl" w:eastAsia="es-CO"/>
        </w:rPr>
        <w:lastRenderedPageBreak/>
        <w:t>o extrapenal, que con su integración permite realizar el proceso de adecuación típica”</w:t>
      </w:r>
      <w:r w:rsidRPr="00F87CD2">
        <w:rPr>
          <w:rFonts w:eastAsia="Times New Roman" w:cs="Times New Roman"/>
          <w:color w:val="000000"/>
          <w:szCs w:val="28"/>
          <w:vertAlign w:val="superscript"/>
          <w:lang w:val="es-ES_tradnl" w:eastAsia="es-CO"/>
        </w:rPr>
        <w:footnoteReference w:id="246"/>
      </w:r>
      <w:r w:rsidRPr="00F87CD2">
        <w:rPr>
          <w:rFonts w:eastAsia="Times New Roman" w:cs="Times New Roman"/>
          <w:color w:val="000000"/>
          <w:szCs w:val="28"/>
          <w:lang w:val="es-ES_tradnl" w:eastAsia="es-CO"/>
        </w:rPr>
        <w:t xml:space="preserve">. </w:t>
      </w:r>
    </w:p>
    <w:p w14:paraId="2C9C2E7E"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7EB0746B"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color w:val="000000"/>
          <w:szCs w:val="28"/>
          <w:lang w:val="es-ES_tradnl" w:eastAsia="es-CO"/>
        </w:rPr>
        <w:t>Entonces, la conducta que se reprocha no se encuentra exhaustivamente descrita en la disposición penal y presenta cierto grado de indeterminación</w:t>
      </w:r>
      <w:r w:rsidRPr="00F87CD2">
        <w:rPr>
          <w:rFonts w:eastAsia="Times New Roman" w:cs="Times New Roman"/>
          <w:color w:val="000000"/>
          <w:szCs w:val="28"/>
          <w:vertAlign w:val="superscript"/>
          <w:lang w:val="es-ES_tradnl" w:eastAsia="es-CO"/>
        </w:rPr>
        <w:footnoteReference w:id="247"/>
      </w:r>
      <w:r w:rsidRPr="00F87CD2">
        <w:rPr>
          <w:rFonts w:eastAsia="Times New Roman" w:cs="Times New Roman"/>
          <w:color w:val="000000"/>
          <w:szCs w:val="28"/>
          <w:lang w:val="es-ES_tradnl" w:eastAsia="es-CO"/>
        </w:rPr>
        <w:t>. Cuando el Legislador fija un tipo penal en blanco, aplica una técnica legislativa de integración del tipo penal, a través de la cual “[l]a norma complementaria se adosa al tipo penal básico para integrar el ‘tipo penal’, momento a partir del cual éste tiene vigencia y poder vinculante completo. Ambas forman una unidad normativa que tiene plena vigencia”</w:t>
      </w:r>
      <w:r w:rsidRPr="00F87CD2">
        <w:rPr>
          <w:rFonts w:eastAsia="Times New Roman" w:cs="Times New Roman"/>
          <w:color w:val="000000"/>
          <w:szCs w:val="28"/>
          <w:vertAlign w:val="superscript"/>
          <w:lang w:val="es-ES_tradnl" w:eastAsia="es-CO"/>
        </w:rPr>
        <w:footnoteReference w:id="248"/>
      </w:r>
      <w:r w:rsidRPr="00F87CD2">
        <w:rPr>
          <w:rFonts w:eastAsia="Times New Roman" w:cs="Times New Roman"/>
          <w:color w:val="000000"/>
          <w:szCs w:val="28"/>
          <w:lang w:val="es-ES_tradnl" w:eastAsia="es-CO"/>
        </w:rPr>
        <w:t>.</w:t>
      </w:r>
    </w:p>
    <w:p w14:paraId="526F30DB"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0EB22D16"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color w:val="000000"/>
          <w:szCs w:val="28"/>
          <w:lang w:val="es-ES_tradnl" w:eastAsia="es-CO"/>
        </w:rPr>
        <w:t>La jurisprudencia de la Corte Constitucional ha señalado que, en principio, los tipos penales en blanco no socavan el principio de legalidad (tipicidad</w:t>
      </w:r>
      <w:r w:rsidRPr="00F87CD2">
        <w:rPr>
          <w:rFonts w:eastAsia="Times New Roman" w:cs="Times New Roman"/>
          <w:color w:val="000000"/>
          <w:szCs w:val="28"/>
          <w:vertAlign w:val="superscript"/>
          <w:lang w:val="es-ES_tradnl" w:eastAsia="es-CO"/>
        </w:rPr>
        <w:footnoteReference w:id="249"/>
      </w:r>
      <w:r w:rsidRPr="00F87CD2">
        <w:rPr>
          <w:rFonts w:eastAsia="Times New Roman" w:cs="Times New Roman"/>
          <w:color w:val="000000"/>
          <w:szCs w:val="28"/>
          <w:lang w:val="es-ES_tradnl" w:eastAsia="es-CO"/>
        </w:rPr>
        <w:t>) que rige el derecho penal</w:t>
      </w:r>
      <w:r w:rsidRPr="00F87CD2">
        <w:rPr>
          <w:rFonts w:eastAsia="Times New Roman" w:cs="Times New Roman"/>
          <w:color w:val="000000"/>
          <w:szCs w:val="28"/>
          <w:vertAlign w:val="superscript"/>
          <w:lang w:val="es-ES_tradnl" w:eastAsia="es-CO"/>
        </w:rPr>
        <w:footnoteReference w:id="250"/>
      </w:r>
      <w:r w:rsidRPr="00F87CD2">
        <w:rPr>
          <w:rFonts w:eastAsia="Times New Roman" w:cs="Times New Roman"/>
          <w:color w:val="000000"/>
          <w:szCs w:val="28"/>
          <w:lang w:val="es-ES_tradnl" w:eastAsia="es-CO"/>
        </w:rPr>
        <w:t>. Tan solo pueden afectarlo cuando, aun tras la integración de la disposición penal y la norma de remisión, la conducta o la sanción penal no es claramente discernible</w:t>
      </w:r>
      <w:r w:rsidRPr="00F87CD2">
        <w:rPr>
          <w:rFonts w:eastAsia="Times New Roman" w:cs="Times New Roman"/>
          <w:color w:val="000000"/>
          <w:szCs w:val="28"/>
          <w:vertAlign w:val="superscript"/>
          <w:lang w:val="es-ES_tradnl" w:eastAsia="es-CO"/>
        </w:rPr>
        <w:footnoteReference w:id="251"/>
      </w:r>
      <w:r w:rsidRPr="00F87CD2">
        <w:rPr>
          <w:rFonts w:eastAsia="Times New Roman" w:cs="Times New Roman"/>
          <w:color w:val="000000"/>
          <w:szCs w:val="28"/>
          <w:lang w:val="es-ES_tradnl" w:eastAsia="es-CO"/>
        </w:rPr>
        <w:t>. De lo contrario, la remisión penal</w:t>
      </w:r>
      <w:r w:rsidRPr="00F87CD2">
        <w:rPr>
          <w:rFonts w:eastAsia="Times New Roman" w:cs="Times New Roman"/>
          <w:color w:val="000000"/>
          <w:szCs w:val="28"/>
          <w:vertAlign w:val="superscript"/>
          <w:lang w:val="es-ES_tradnl" w:eastAsia="es-CO"/>
        </w:rPr>
        <w:footnoteReference w:id="252"/>
      </w:r>
      <w:r w:rsidRPr="00F87CD2">
        <w:rPr>
          <w:rFonts w:eastAsia="Times New Roman" w:cs="Times New Roman"/>
          <w:color w:val="000000"/>
          <w:szCs w:val="28"/>
          <w:lang w:val="es-ES_tradnl" w:eastAsia="es-CO"/>
        </w:rPr>
        <w:t xml:space="preserve"> o extrapenal que el Legislador establezca para conformar el tipo penal es admisible</w:t>
      </w:r>
      <w:r w:rsidRPr="00F87CD2">
        <w:rPr>
          <w:rFonts w:eastAsia="Times New Roman" w:cs="Times New Roman"/>
          <w:color w:val="000000"/>
          <w:szCs w:val="28"/>
          <w:vertAlign w:val="superscript"/>
          <w:lang w:val="es-ES_tradnl" w:eastAsia="es-CO"/>
        </w:rPr>
        <w:footnoteReference w:id="253"/>
      </w:r>
      <w:r w:rsidRPr="00F87CD2">
        <w:rPr>
          <w:rFonts w:eastAsia="Times New Roman" w:cs="Times New Roman"/>
          <w:color w:val="000000"/>
          <w:szCs w:val="28"/>
          <w:lang w:val="es-ES_tradnl" w:eastAsia="es-CO"/>
        </w:rPr>
        <w:t>, en función del margen de configuración normativa que le asiste en relación con la política criminal</w:t>
      </w:r>
      <w:r w:rsidRPr="00F87CD2">
        <w:rPr>
          <w:rFonts w:eastAsia="Times New Roman" w:cs="Times New Roman"/>
          <w:color w:val="000000"/>
          <w:szCs w:val="28"/>
          <w:vertAlign w:val="superscript"/>
          <w:lang w:val="es-ES_tradnl" w:eastAsia="es-CO"/>
        </w:rPr>
        <w:footnoteReference w:id="254"/>
      </w:r>
      <w:r w:rsidRPr="00F87CD2">
        <w:rPr>
          <w:rFonts w:eastAsia="Times New Roman" w:cs="Times New Roman"/>
          <w:color w:val="000000"/>
          <w:szCs w:val="28"/>
          <w:lang w:val="es-ES_tradnl" w:eastAsia="es-CO"/>
        </w:rPr>
        <w:t xml:space="preserve">. </w:t>
      </w:r>
    </w:p>
    <w:p w14:paraId="64784B34"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75E9FC27"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color w:val="000000"/>
          <w:szCs w:val="28"/>
          <w:lang w:val="es-ES_tradnl" w:eastAsia="es-CO"/>
        </w:rPr>
        <w:t>Según se ha reconocido, la previsión de tipos penales en blanco atiende a un propósito puntual: evitar la inoperancia de la norma penal ante la evolución de la dinámica social. Es decir, “se justifican por la necesidad de proteger ciertos bienes jurídicos que se desarrollan en el marco de actividades sociales variables, dinámicas y que debe[n] ser actualizadas de manera continua”</w:t>
      </w:r>
      <w:r w:rsidRPr="00F87CD2">
        <w:rPr>
          <w:rFonts w:eastAsia="Times New Roman" w:cs="Times New Roman"/>
          <w:color w:val="000000"/>
          <w:szCs w:val="28"/>
          <w:vertAlign w:val="superscript"/>
          <w:lang w:val="es-ES_tradnl" w:eastAsia="es-CO"/>
        </w:rPr>
        <w:footnoteReference w:id="255"/>
      </w:r>
      <w:r w:rsidRPr="00F87CD2">
        <w:rPr>
          <w:rFonts w:eastAsia="Times New Roman" w:cs="Times New Roman"/>
          <w:color w:val="000000"/>
          <w:szCs w:val="28"/>
          <w:lang w:val="es-ES_tradnl" w:eastAsia="es-CO"/>
        </w:rPr>
        <w:t xml:space="preserve">. Para regular ciertas conductas, resulta desacertado acudir a “moldes legales, cerrados y </w:t>
      </w:r>
      <w:r w:rsidRPr="00F87CD2">
        <w:rPr>
          <w:rFonts w:eastAsia="Times New Roman" w:cs="Times New Roman"/>
          <w:color w:val="000000"/>
          <w:szCs w:val="28"/>
          <w:lang w:val="es-ES_tradnl" w:eastAsia="es-CO"/>
        </w:rPr>
        <w:lastRenderedPageBreak/>
        <w:t>completos”</w:t>
      </w:r>
      <w:r w:rsidRPr="00F87CD2">
        <w:rPr>
          <w:rFonts w:eastAsia="Times New Roman" w:cs="Times New Roman"/>
          <w:color w:val="000000"/>
          <w:szCs w:val="28"/>
          <w:vertAlign w:val="superscript"/>
          <w:lang w:val="es-ES_tradnl" w:eastAsia="es-CO"/>
        </w:rPr>
        <w:footnoteReference w:id="256"/>
      </w:r>
      <w:r w:rsidRPr="00F87CD2">
        <w:rPr>
          <w:rFonts w:eastAsia="Times New Roman" w:cs="Times New Roman"/>
          <w:color w:val="000000"/>
          <w:szCs w:val="28"/>
          <w:lang w:val="es-ES_tradnl" w:eastAsia="es-CO"/>
        </w:rPr>
        <w:t>, en consideración de la “multiplicidad de formas que puede tomar en la realidad”</w:t>
      </w:r>
      <w:r w:rsidRPr="00F87CD2">
        <w:rPr>
          <w:rFonts w:eastAsia="Times New Roman" w:cs="Times New Roman"/>
          <w:color w:val="000000"/>
          <w:szCs w:val="28"/>
          <w:vertAlign w:val="superscript"/>
          <w:lang w:val="es-ES_tradnl" w:eastAsia="es-CO"/>
        </w:rPr>
        <w:footnoteReference w:id="257"/>
      </w:r>
      <w:r w:rsidRPr="00F87CD2">
        <w:rPr>
          <w:rFonts w:eastAsia="Times New Roman" w:cs="Times New Roman"/>
          <w:color w:val="000000"/>
          <w:szCs w:val="28"/>
          <w:lang w:val="es-ES_tradnl" w:eastAsia="es-CO"/>
        </w:rPr>
        <w:t xml:space="preserve">, con el paso del tiempo, aquellas prácticas que se pretenden proscribir. </w:t>
      </w:r>
    </w:p>
    <w:p w14:paraId="2C7B6472"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14C9420F"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color w:val="000000"/>
          <w:szCs w:val="28"/>
          <w:lang w:val="es-ES_tradnl" w:eastAsia="es-CO"/>
        </w:rPr>
        <w:t>Usualmente, los tipos penales en blanco son empleados en ámbitos específicos, como el económico, el comercial y el ambiental, caracterizados por los cambios ágiles</w:t>
      </w:r>
      <w:r w:rsidRPr="00F87CD2">
        <w:rPr>
          <w:rFonts w:eastAsia="Times New Roman" w:cs="Times New Roman"/>
          <w:color w:val="000000"/>
          <w:szCs w:val="28"/>
          <w:vertAlign w:val="superscript"/>
          <w:lang w:val="es-ES_tradnl" w:eastAsia="es-CO"/>
        </w:rPr>
        <w:footnoteReference w:id="258"/>
      </w:r>
      <w:r w:rsidRPr="00F87CD2">
        <w:rPr>
          <w:rFonts w:eastAsia="Times New Roman" w:cs="Times New Roman"/>
          <w:color w:val="000000"/>
          <w:szCs w:val="28"/>
          <w:lang w:val="es-ES_tradnl" w:eastAsia="es-CO"/>
        </w:rPr>
        <w:t xml:space="preserve">. La dinámica cambiante de estos escenarios demanda una amplitud en la norma penal, con la que el Legislador asegura una definición mínima de la conducta, sin pretensiones de exhaustividad y con apertura al cambio en las prácticas sociales a través del tiempo. </w:t>
      </w:r>
    </w:p>
    <w:p w14:paraId="07F7E85C"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4C99B9A8"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color w:val="000000"/>
          <w:szCs w:val="28"/>
          <w:lang w:val="es-ES_tradnl" w:eastAsia="es-CO"/>
        </w:rPr>
        <w:t xml:space="preserve">La sentencia reconoce aquella finalidad. En concreto, destaca que los tipos penales en blanco están concebidos para hacer frente a actividades sociales variables; sin embargo, en su metodología de examen no tuvo en cuenta la dinámica cambiante del ámbito de regulación de la norma demandada, ni el propósito del tipo penal en blanco. Lo anterior, por dos razones que paso a exponer. </w:t>
      </w:r>
    </w:p>
    <w:p w14:paraId="407450A0"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4945E7DC"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i/>
          <w:iCs/>
          <w:color w:val="000000"/>
          <w:szCs w:val="28"/>
          <w:lang w:val="es-ES_tradnl" w:eastAsia="es-CO"/>
        </w:rPr>
        <w:t>Primera. La Sentencia C-080 de 2025 asigna un contenido estático a la conducta sancionada, omitiendo la voluntad de apertura del Legislador</w:t>
      </w:r>
      <w:r w:rsidRPr="00F87CD2">
        <w:rPr>
          <w:rFonts w:eastAsia="Times New Roman" w:cs="Times New Roman"/>
          <w:color w:val="000000"/>
          <w:szCs w:val="28"/>
          <w:lang w:val="es-ES_tradnl" w:eastAsia="es-CO"/>
        </w:rPr>
        <w:t xml:space="preserve">. La decisión de la Corte Constitucional en esta oportunidad se orientó por establecer de forma específica, cerrada y exhaustiva la norma de remisión. Concluyó que la disposición acusada de inconstitucional efectuaba una remisión tácita y en todo caso “exclusiva” al artículo 47.9 del Decreto 2153 de 1992. Dada esa remisión, la Sala Plena encontró que la norma acusada no contenía un precepto indescifrable y, por el contrario, tras la integración normativa, era clara e inconfundible la conducta objeto de reproche penal, razón por la cual declaró la </w:t>
      </w:r>
      <w:proofErr w:type="spellStart"/>
      <w:r w:rsidRPr="00F87CD2">
        <w:rPr>
          <w:rFonts w:eastAsia="Times New Roman" w:cs="Times New Roman"/>
          <w:color w:val="000000"/>
          <w:szCs w:val="28"/>
          <w:lang w:val="es-ES_tradnl" w:eastAsia="es-CO"/>
        </w:rPr>
        <w:t>exequibilidad</w:t>
      </w:r>
      <w:proofErr w:type="spellEnd"/>
      <w:r w:rsidRPr="00F87CD2">
        <w:rPr>
          <w:rFonts w:eastAsia="Times New Roman" w:cs="Times New Roman"/>
          <w:color w:val="000000"/>
          <w:szCs w:val="28"/>
          <w:lang w:val="es-ES_tradnl" w:eastAsia="es-CO"/>
        </w:rPr>
        <w:t xml:space="preserve"> de la disposición. </w:t>
      </w:r>
    </w:p>
    <w:p w14:paraId="19DCC5AE"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4598671F"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color w:val="000000"/>
          <w:szCs w:val="28"/>
          <w:lang w:val="es-ES_tradnl" w:eastAsia="es-CO"/>
        </w:rPr>
        <w:t xml:space="preserve">Por el contrario, encuentro que la constitucionalidad de una disposición en el ordenamiento penal que contiene un tipo en blanco no puede establecerse en función de una única norma de remisión puntual e invariable, menos aun cuando el Legislador no señaló expresamente tal remisión y esta se encuentra establecida en modo tácito. Hacerlo implica cerrar de tal forma el tipo penal que este pierde aquellas características que lo hacen un tipo en blanco, con lo que se desconoce la voluntad del Legislador y la dinámica social cambiante a la que este quiso responder. </w:t>
      </w:r>
    </w:p>
    <w:p w14:paraId="02B8F1F9"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0C278B8B"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color w:val="000000"/>
          <w:szCs w:val="28"/>
          <w:lang w:val="es-ES_tradnl" w:eastAsia="es-CO"/>
        </w:rPr>
        <w:t xml:space="preserve">Tal argumento se encuentra respaldado por la jurisprudencia. En todos aquellos eventos en los que se ha declarado la </w:t>
      </w:r>
      <w:proofErr w:type="spellStart"/>
      <w:r w:rsidRPr="00F87CD2">
        <w:rPr>
          <w:rFonts w:eastAsia="Times New Roman" w:cs="Times New Roman"/>
          <w:color w:val="000000"/>
          <w:szCs w:val="28"/>
          <w:lang w:val="es-ES_tradnl" w:eastAsia="es-CO"/>
        </w:rPr>
        <w:t>exequibilidad</w:t>
      </w:r>
      <w:proofErr w:type="spellEnd"/>
      <w:r w:rsidRPr="00F87CD2">
        <w:rPr>
          <w:rFonts w:eastAsia="Times New Roman" w:cs="Times New Roman"/>
          <w:color w:val="000000"/>
          <w:szCs w:val="28"/>
          <w:lang w:val="es-ES_tradnl" w:eastAsia="es-CO"/>
        </w:rPr>
        <w:t xml:space="preserve"> simple de un tipo penal en blanco con remisión tácita</w:t>
      </w:r>
      <w:r w:rsidRPr="00F87CD2">
        <w:rPr>
          <w:rFonts w:eastAsia="Times New Roman" w:cs="Times New Roman"/>
          <w:color w:val="000000"/>
          <w:szCs w:val="28"/>
          <w:vertAlign w:val="superscript"/>
          <w:lang w:val="es-ES_tradnl" w:eastAsia="es-CO"/>
        </w:rPr>
        <w:footnoteReference w:id="259"/>
      </w:r>
      <w:r w:rsidRPr="00F87CD2">
        <w:rPr>
          <w:rFonts w:eastAsia="Times New Roman" w:cs="Times New Roman"/>
          <w:color w:val="000000"/>
          <w:szCs w:val="28"/>
          <w:lang w:val="es-ES_tradnl" w:eastAsia="es-CO"/>
        </w:rPr>
        <w:t xml:space="preserve">, como ocurrió en este asunto, esta Corporación se ha orientado por identificar la norma de remisión, valorar la claridad de la conducta objeto de reproche tras la integración normativa pero, en todo caso, </w:t>
      </w:r>
      <w:r w:rsidRPr="00F87CD2">
        <w:rPr>
          <w:rFonts w:eastAsia="Times New Roman" w:cs="Times New Roman"/>
          <w:color w:val="000000"/>
          <w:szCs w:val="28"/>
          <w:lang w:val="es-ES_tradnl" w:eastAsia="es-CO"/>
        </w:rPr>
        <w:lastRenderedPageBreak/>
        <w:t xml:space="preserve">absteniéndose de establecer una relación invariable entre la constitucionalidad de la disposición y la existencia de una norma de remisión específica, concreta y única. </w:t>
      </w:r>
    </w:p>
    <w:p w14:paraId="6420FBCF"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60691A64" w14:textId="77777777" w:rsidR="00F87CD2" w:rsidRPr="00F87CD2" w:rsidRDefault="00F87CD2" w:rsidP="00F87CD2">
      <w:pPr>
        <w:widowControl w:val="0"/>
        <w:rPr>
          <w:rFonts w:eastAsia="Times New Roman" w:cs="Times New Roman"/>
          <w:color w:val="000000"/>
          <w:szCs w:val="28"/>
          <w:lang w:val="es-ES_tradnl" w:eastAsia="es-CO"/>
        </w:rPr>
      </w:pPr>
      <w:r w:rsidRPr="00F87CD2">
        <w:rPr>
          <w:rFonts w:eastAsia="Times New Roman" w:cs="Times New Roman"/>
          <w:color w:val="000000"/>
          <w:szCs w:val="28"/>
          <w:lang w:val="es-ES_tradnl" w:eastAsia="es-CO"/>
        </w:rPr>
        <w:t>Por ejemplo, en la Sentencia C-084 de 2013 la Corte analizó si “[r]</w:t>
      </w:r>
      <w:proofErr w:type="spellStart"/>
      <w:r w:rsidRPr="00F87CD2">
        <w:rPr>
          <w:rFonts w:eastAsia="Times New Roman" w:cs="Times New Roman"/>
          <w:color w:val="000000"/>
          <w:szCs w:val="28"/>
          <w:lang w:val="es-ES_tradnl" w:eastAsia="es-CO"/>
        </w:rPr>
        <w:t>esulta</w:t>
      </w:r>
      <w:proofErr w:type="spellEnd"/>
      <w:r w:rsidRPr="00F87CD2">
        <w:rPr>
          <w:rFonts w:eastAsia="Times New Roman" w:cs="Times New Roman"/>
          <w:color w:val="000000"/>
          <w:szCs w:val="28"/>
          <w:lang w:val="es-ES_tradnl" w:eastAsia="es-CO"/>
        </w:rPr>
        <w:t>[</w:t>
      </w:r>
      <w:proofErr w:type="spellStart"/>
      <w:r w:rsidRPr="00F87CD2">
        <w:rPr>
          <w:rFonts w:eastAsia="Times New Roman" w:cs="Times New Roman"/>
          <w:color w:val="000000"/>
          <w:szCs w:val="28"/>
          <w:lang w:val="es-ES_tradnl" w:eastAsia="es-CO"/>
        </w:rPr>
        <w:t>ba</w:t>
      </w:r>
      <w:proofErr w:type="spellEnd"/>
      <w:r w:rsidRPr="00F87CD2">
        <w:rPr>
          <w:rFonts w:eastAsia="Times New Roman" w:cs="Times New Roman"/>
          <w:color w:val="000000"/>
          <w:szCs w:val="28"/>
          <w:lang w:val="es-ES_tradnl" w:eastAsia="es-CO"/>
        </w:rPr>
        <w:t xml:space="preserve">] contrario al principio de legalidad en materia penal (art. 29 CP) que el legislador haya consagrado en el artículo 22 de la Ley 1474 de 2011 el tipo penal de omisión de control en el sector de la salud, sin precisar cuáles son los mecanismos de control a los que hace referencia ni haber definido lo que se entiende por corrupción”. Al respecto, la providencia señaló que el tipo penal analizado, en efecto, constituía un tipo en blanco, y era constitucional en tanto, a partir de una lectura sistemática del ordenamiento jurídico, era posible establecer de forma nítida los mecanismos de control y el concepto de corrupción, como los actos constitutivos de esta, con una remisión a una pluralidad de normas penales y extrapenales. El fallo dejó en claro que la existencia de dicha normativa complementa de forma exitosa y clara el tipo penal analizado, sin que quede sujeto su análisis en concreto al criterio subjetivo del juzgador. Aquel análisis no fijó de modo invariable las normas de remisión. </w:t>
      </w:r>
    </w:p>
    <w:p w14:paraId="3B2655F4" w14:textId="77777777" w:rsidR="00F87CD2" w:rsidRPr="00F87CD2" w:rsidRDefault="00F87CD2" w:rsidP="00F87CD2">
      <w:pPr>
        <w:widowControl w:val="0"/>
        <w:rPr>
          <w:rFonts w:eastAsia="Times New Roman" w:cs="Times New Roman"/>
          <w:color w:val="000000"/>
          <w:szCs w:val="28"/>
          <w:lang w:val="es-ES_tradnl" w:eastAsia="es-CO"/>
        </w:rPr>
      </w:pPr>
    </w:p>
    <w:p w14:paraId="48BC537F" w14:textId="77777777" w:rsidR="00F87CD2" w:rsidRPr="00F87CD2" w:rsidRDefault="00F87CD2" w:rsidP="00F87CD2">
      <w:pPr>
        <w:widowControl w:val="0"/>
        <w:rPr>
          <w:rFonts w:eastAsia="Times New Roman" w:cs="Times New Roman"/>
          <w:color w:val="000000"/>
          <w:szCs w:val="28"/>
          <w:lang w:val="es-ES_tradnl" w:eastAsia="es-CO"/>
        </w:rPr>
      </w:pPr>
      <w:r w:rsidRPr="00F87CD2">
        <w:rPr>
          <w:rFonts w:eastAsia="Times New Roman" w:cs="Times New Roman"/>
          <w:color w:val="000000"/>
          <w:szCs w:val="28"/>
          <w:lang w:val="es-ES_tradnl" w:eastAsia="es-CO"/>
        </w:rPr>
        <w:t>Así mismo, en la Sentencia C-501 de 2014 la Corte valoró si el principio de legalidad “fue desconocido por el artículo 306 de la Ley 599 de 2000, tal y como fue modificado por el artículo 4° de la Ley 1032 de 2006, sobre la base de que el tipo penal de usurpación de derechos de obtentor vegetal en él contenido, no precisa ni delimita con el necesario grado de certeza la conducta que tipifica”. Para determinar el asunto, esta Corporación identificó en el ordenamiento jurídico colombiano un sistema de protección de los derechos de obtentor vegetal, a través del cual es posible reconocer la conducta sancionada por el ordenamiento penal</w:t>
      </w:r>
      <w:r w:rsidRPr="00F87CD2">
        <w:rPr>
          <w:rFonts w:eastAsia="Times New Roman" w:cs="Times New Roman"/>
          <w:color w:val="000000"/>
          <w:szCs w:val="28"/>
          <w:vertAlign w:val="superscript"/>
          <w:lang w:val="es-ES_tradnl" w:eastAsia="es-CO"/>
        </w:rPr>
        <w:footnoteReference w:id="260"/>
      </w:r>
      <w:r w:rsidRPr="00F87CD2">
        <w:rPr>
          <w:rFonts w:eastAsia="Times New Roman" w:cs="Times New Roman"/>
          <w:color w:val="000000"/>
          <w:szCs w:val="28"/>
          <w:lang w:val="es-ES_tradnl" w:eastAsia="es-CO"/>
        </w:rPr>
        <w:t xml:space="preserve">. Destacó que “las normas o disposiciones complementarias que regulan los derechos de obtentor vegetal están contenidas en disposiciones de ley y en otras que, si bien son de inferior jerarquía, tienen en todo caso un alcance general, son de conocimiento público y preservan los principios y los valores constitucionales, tal como ocurre con el Decreto 533 de 1994 y las Resoluciones ICA 1893 de 1995, 2046 de 2003 y 970 de 2010, entre otras”. De tal suerte, la Corte se abstuvo de establecer de forma exhaustiva e invariable la norma de remisión que complementaba el tipo penal. </w:t>
      </w:r>
    </w:p>
    <w:p w14:paraId="7BDC1184" w14:textId="77777777" w:rsidR="00F87CD2" w:rsidRPr="00F87CD2" w:rsidRDefault="00F87CD2" w:rsidP="00F87CD2">
      <w:pPr>
        <w:widowControl w:val="0"/>
        <w:rPr>
          <w:rFonts w:eastAsia="Times New Roman" w:cs="Times New Roman"/>
          <w:color w:val="000000"/>
          <w:szCs w:val="28"/>
          <w:lang w:val="es-ES_tradnl" w:eastAsia="es-CO"/>
        </w:rPr>
      </w:pPr>
    </w:p>
    <w:p w14:paraId="4498E1C0"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color w:val="000000"/>
          <w:szCs w:val="28"/>
          <w:lang w:val="es-ES_tradnl" w:eastAsia="es-CO"/>
        </w:rPr>
        <w:t xml:space="preserve">Analizada minuciosamente la jurisprudencia de la Corte Constitucional respecto de los tipos penales en blanco, encuentro que cuando el Legislador ha optado por una remisión tácita para tipificar una conducta, la </w:t>
      </w:r>
      <w:proofErr w:type="spellStart"/>
      <w:r w:rsidRPr="00F87CD2">
        <w:rPr>
          <w:rFonts w:eastAsia="Times New Roman" w:cs="Times New Roman"/>
          <w:color w:val="000000"/>
          <w:szCs w:val="28"/>
          <w:lang w:val="es-ES_tradnl" w:eastAsia="es-CO"/>
        </w:rPr>
        <w:t>exequibilidad</w:t>
      </w:r>
      <w:proofErr w:type="spellEnd"/>
      <w:r w:rsidRPr="00F87CD2">
        <w:rPr>
          <w:rFonts w:eastAsia="Times New Roman" w:cs="Times New Roman"/>
          <w:color w:val="000000"/>
          <w:szCs w:val="28"/>
          <w:lang w:val="es-ES_tradnl" w:eastAsia="es-CO"/>
        </w:rPr>
        <w:t xml:space="preserve"> de las disposiciones penales no ha estado asociada a la definición invariable de una </w:t>
      </w:r>
      <w:r w:rsidRPr="00F87CD2">
        <w:rPr>
          <w:rFonts w:eastAsia="Times New Roman" w:cs="Times New Roman"/>
          <w:color w:val="000000"/>
          <w:szCs w:val="28"/>
          <w:lang w:val="es-ES_tradnl" w:eastAsia="es-CO"/>
        </w:rPr>
        <w:lastRenderedPageBreak/>
        <w:t xml:space="preserve">norma de remisión. Hasta ahora en ninguno de los casos analizados esta Corporación había establecido una única norma de remisión, estatuyéndola como la única vía de complementación del tipo penal. </w:t>
      </w:r>
    </w:p>
    <w:p w14:paraId="381952B3"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3E866F99"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color w:val="000000"/>
          <w:szCs w:val="28"/>
          <w:lang w:val="es-ES_tradnl" w:eastAsia="es-CO"/>
        </w:rPr>
        <w:t xml:space="preserve">Esta aproximación a la constitucionalidad de los tipos penales en blanco resulta atípica, pues los distintos fallos en la materia se contraen a establecer si a partir de la integración normativa de la disposición acusada y las normas de remisión, desde una interpretación sistemática del ordenamiento, es posible superar la indeterminación que le es propia al tipo penal en blanco. Nunca antes se había complementado la norma acusada con una norma de remisión específica e invariable, como lo admitió la postura mayoritaria de la Sala Plena en esta oportunidad. </w:t>
      </w:r>
    </w:p>
    <w:p w14:paraId="467420DD"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701DA7C8"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color w:val="000000"/>
          <w:szCs w:val="28"/>
          <w:lang w:val="es-ES_tradnl" w:eastAsia="es-CO"/>
        </w:rPr>
        <w:t xml:space="preserve">Además de ser una alternativa de decisión atípica, la aproximación de la mayoría de la Sala Plena resulta problemática. Al señalar una única norma de remisión, calificada como una remisión “exclusiva” para fijar el alcance de la conducta sancionada por el ordenamiento penal, la Corte Constitucional condiciona su declaratoria de </w:t>
      </w:r>
      <w:proofErr w:type="spellStart"/>
      <w:r w:rsidRPr="00F87CD2">
        <w:rPr>
          <w:rFonts w:eastAsia="Times New Roman" w:cs="Times New Roman"/>
          <w:color w:val="000000"/>
          <w:szCs w:val="28"/>
          <w:lang w:val="es-ES_tradnl" w:eastAsia="es-CO"/>
        </w:rPr>
        <w:t>exequibilidad</w:t>
      </w:r>
      <w:proofErr w:type="spellEnd"/>
      <w:r w:rsidRPr="00F87CD2">
        <w:rPr>
          <w:rFonts w:eastAsia="Times New Roman" w:cs="Times New Roman"/>
          <w:color w:val="000000"/>
          <w:szCs w:val="28"/>
          <w:lang w:val="es-ES_tradnl" w:eastAsia="es-CO"/>
        </w:rPr>
        <w:t xml:space="preserve"> a la existencia de la norma de remisión. En este caso, a la vigencia del artículo 47.9 del Decreto 2153 de 1992 “[p]</w:t>
      </w:r>
      <w:proofErr w:type="spellStart"/>
      <w:r w:rsidRPr="00F87CD2">
        <w:rPr>
          <w:rFonts w:eastAsia="Times New Roman" w:cs="Times New Roman"/>
          <w:color w:val="000000"/>
          <w:szCs w:val="28"/>
          <w:lang w:val="es-ES_tradnl" w:eastAsia="es-CO"/>
        </w:rPr>
        <w:t>or</w:t>
      </w:r>
      <w:proofErr w:type="spellEnd"/>
      <w:r w:rsidRPr="00F87CD2">
        <w:rPr>
          <w:rFonts w:eastAsia="Times New Roman" w:cs="Times New Roman"/>
          <w:color w:val="000000"/>
          <w:szCs w:val="28"/>
          <w:lang w:val="es-ES_tradnl" w:eastAsia="es-CO"/>
        </w:rPr>
        <w:t xml:space="preserve"> el cual se reestructura la Superintendencia de Industria y Comercio y se dictan otras disposiciones”. Lo anterior constituye un desafío desde el punto de vista de la consolidación de la cosa juzgada en este asunto particular. </w:t>
      </w:r>
    </w:p>
    <w:p w14:paraId="3CBA9A45"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5DBD1139"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color w:val="000000"/>
          <w:szCs w:val="28"/>
          <w:lang w:val="es-ES_tradnl" w:eastAsia="es-CO"/>
        </w:rPr>
        <w:t xml:space="preserve">Adicionalmente, la decisión se distancia de la naturaleza propia de los tipos penales en blanco. Aun cuando reconoce que su consolidación es admisible en el ordenamiento jurídico colombiano, como una técnica legislativa de complementación por remisión, parece rechazar la idea de la apertura del tipo penal al cambio. En últimas, resuelve cerrar el tipo penal, al entender la conducta exhaustiva y exclusivamente determinada por el artículo 47.9 del Decreto 2153 de 1992. Esto, en oposición a la voluntad del Legislador que, orientado por la necesidad de la apertura del tipo penal para dar una respuesta al cambio en el fenómeno criminal penado, había consagrado un tipo penal de textura abierta. </w:t>
      </w:r>
    </w:p>
    <w:p w14:paraId="394A8E7A"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7C489ED5"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color w:val="000000"/>
          <w:szCs w:val="28"/>
          <w:lang w:val="es-ES_tradnl" w:eastAsia="es-CO"/>
        </w:rPr>
        <w:t>Conviene recordar que la jurisprudencia en la materia ha precisado que el análisis de constitucionalidad de los tipos penales en blanco no puede derivar en la fijación de su alcance por parte de la Corte Constitucional</w:t>
      </w:r>
      <w:r w:rsidRPr="00F87CD2">
        <w:rPr>
          <w:rFonts w:eastAsia="Times New Roman" w:cs="Times New Roman"/>
          <w:color w:val="000000"/>
          <w:szCs w:val="28"/>
          <w:vertAlign w:val="superscript"/>
          <w:lang w:val="es-ES_tradnl" w:eastAsia="es-CO"/>
        </w:rPr>
        <w:footnoteReference w:id="261"/>
      </w:r>
      <w:r w:rsidRPr="00F87CD2">
        <w:rPr>
          <w:rFonts w:eastAsia="Times New Roman" w:cs="Times New Roman"/>
          <w:color w:val="000000"/>
          <w:szCs w:val="28"/>
          <w:lang w:val="es-ES_tradnl" w:eastAsia="es-CO"/>
        </w:rPr>
        <w:t xml:space="preserve">. Ha resaltado que a esta Corporación le está vedado dotar de sentido y alcance al precepto incompleto. Esto, dado que la imperfección del tipo penal no obedece a una omisión del Legislador, sino a una técnica legislativa deliberadamente empleada por él. Entonces, la labor de esta Corte se limita a verificar que la norma acusada efectúa una remisión que determina en forma clara y comprensible la conducta sancionada, sin precisar ni completar el tipo penal. </w:t>
      </w:r>
    </w:p>
    <w:p w14:paraId="09023A48"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35829B06"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color w:val="000000"/>
          <w:szCs w:val="28"/>
          <w:lang w:val="es-ES_tradnl" w:eastAsia="es-CO"/>
        </w:rPr>
        <w:t xml:space="preserve">No obstante, la Sentencia C-080 de 2025 habría definido por completo y de </w:t>
      </w:r>
      <w:r w:rsidRPr="00F87CD2">
        <w:rPr>
          <w:rFonts w:eastAsia="Times New Roman" w:cs="Times New Roman"/>
          <w:color w:val="000000"/>
          <w:szCs w:val="28"/>
          <w:lang w:val="es-ES_tradnl" w:eastAsia="es-CO"/>
        </w:rPr>
        <w:lastRenderedPageBreak/>
        <w:t xml:space="preserve">forma minuciosa la conducta asociada al tipo penal examinado. Esto resulta evidente del contenido de la </w:t>
      </w:r>
      <w:r w:rsidRPr="00F87CD2">
        <w:rPr>
          <w:rFonts w:eastAsia="Times New Roman" w:cs="Times New Roman"/>
          <w:i/>
          <w:iCs/>
          <w:color w:val="000000"/>
          <w:szCs w:val="28"/>
          <w:lang w:val="es-ES_tradnl" w:eastAsia="es-CO"/>
        </w:rPr>
        <w:t>Tabla 6</w:t>
      </w:r>
      <w:r w:rsidRPr="00F87CD2">
        <w:rPr>
          <w:rFonts w:eastAsia="Times New Roman" w:cs="Times New Roman"/>
          <w:color w:val="000000"/>
          <w:szCs w:val="28"/>
          <w:lang w:val="es-ES_tradnl" w:eastAsia="es-CO"/>
        </w:rPr>
        <w:t xml:space="preserve">, en la que se consagra de forma precisa y detallada el compendio de conductas que la mayoría de la Sala Plena entendió contempladas en el tipo penal. Incluso, prevé distintas modalidades de comisión de la conducta, como factores de riesgo y estrategias en pro de la colusión, con una dificultad adicional como es el hecho de la indeterminación del rol de estos últimos en la adecuación típica. Tal consagración exhaustiva excede las competencias de esta Corporación y, si bien es cierto la mayor precisión en la identificación de la conducta típica representa mayores garantías para la ciudadanía, aquella determinación tiene reserva de ley y su establecimiento debe responder al principio democrático. Adicionalmente, una vez determinada la existencia de normas de remisión que dotaban de sentido y alcance al tipo penal, resulta innecesario el análisis de las modalidades, riesgos y estrategias en la comisión de la conducta. </w:t>
      </w:r>
    </w:p>
    <w:p w14:paraId="6E81F7DD"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0B0ECC74"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r w:rsidRPr="00F87CD2">
        <w:rPr>
          <w:rFonts w:eastAsia="Times New Roman" w:cs="Times New Roman"/>
          <w:color w:val="000000"/>
          <w:szCs w:val="28"/>
          <w:lang w:val="es-ES_tradnl" w:eastAsia="es-CO"/>
        </w:rPr>
        <w:t xml:space="preserve">La metodología adoptada por la mayoría de la Sala Plena en la Sentencia C-080 de 2025 incluso podría resultar contradictoria. Aunque la providencia reconoce que “el principio de legalidad estricta no impone al legislador la obligación de definir de forma expresa la norma de remisión”, parece condicionar la constitucionalidad de las normas que consagran un tipo penal en blanco a la existencia y a la declaración de una remisión normativa exclusiva, como acaba haciéndose, con lo cual es posible que se advierta cierta ambivalencia sobre la legitimidad de los tipos penales de textura abierta. En esa medida debo apartarme de esta postura específica. </w:t>
      </w:r>
    </w:p>
    <w:p w14:paraId="51C638A9"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val="es-ES_tradnl" w:eastAsia="es-CO"/>
        </w:rPr>
      </w:pPr>
    </w:p>
    <w:p w14:paraId="3C787FEA"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eastAsia="es-CO"/>
        </w:rPr>
      </w:pPr>
      <w:r w:rsidRPr="00F87CD2">
        <w:rPr>
          <w:rFonts w:eastAsia="Times New Roman" w:cs="Times New Roman"/>
          <w:i/>
          <w:iCs/>
          <w:color w:val="000000"/>
          <w:szCs w:val="28"/>
          <w:lang w:eastAsia="es-CO"/>
        </w:rPr>
        <w:t xml:space="preserve">Segunda. Exigir que la norma de remisión sea anterior al tipo penal en blanco también desconoce la apertura del tipo a la evolución de la dinámica social. </w:t>
      </w:r>
      <w:r w:rsidRPr="00F87CD2">
        <w:rPr>
          <w:rFonts w:eastAsia="Times New Roman" w:cs="Times New Roman"/>
          <w:color w:val="000000"/>
          <w:szCs w:val="28"/>
          <w:lang w:eastAsia="es-CO"/>
        </w:rPr>
        <w:t xml:space="preserve">La sentencia en la que aclaro el voto estableció que uno de los requisitos que permiten concluir que el tipo penal en blanco es constitucionalmente admisible corresponde a que la norma de remisión sea precedente. Es decir, que el tipo penal en blanco solo puede efectuar una remisión, expresa o tácita, a una norma penal o extrapenal que exista para el momento de su expedición. Sostengo que, a partir de esta exigencia, una vez más, la postura mayoritaria de la Sala Plena se apartó de la pretensión de regular ámbitos dinámicos y mutables de la realidad social. </w:t>
      </w:r>
    </w:p>
    <w:p w14:paraId="75D009A6"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eastAsia="es-CO"/>
        </w:rPr>
      </w:pPr>
    </w:p>
    <w:p w14:paraId="490F16BF"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eastAsia="es-CO"/>
        </w:rPr>
      </w:pPr>
      <w:r w:rsidRPr="00F87CD2">
        <w:rPr>
          <w:rFonts w:eastAsia="Times New Roman" w:cs="Times New Roman"/>
          <w:color w:val="000000"/>
          <w:szCs w:val="28"/>
          <w:lang w:eastAsia="es-CO"/>
        </w:rPr>
        <w:t>Para la Corte Suprema de Justicia, en los tipos penales abiertos “[e]l núcleo y el complemento integran una sola disposición [y] ambos deben sujetarse a las exigencias esencial[es] del principio legalidad, […] esto es, deben ser previos a la comisión de la conducta punible”</w:t>
      </w:r>
      <w:r w:rsidRPr="00F87CD2">
        <w:rPr>
          <w:rFonts w:eastAsia="Times New Roman" w:cs="Times New Roman"/>
          <w:color w:val="000000"/>
          <w:szCs w:val="28"/>
          <w:vertAlign w:val="superscript"/>
          <w:lang w:eastAsia="es-CO"/>
        </w:rPr>
        <w:footnoteReference w:id="262"/>
      </w:r>
      <w:r w:rsidRPr="00F87CD2">
        <w:rPr>
          <w:rFonts w:eastAsia="Times New Roman" w:cs="Times New Roman"/>
          <w:color w:val="000000"/>
          <w:szCs w:val="28"/>
          <w:lang w:eastAsia="es-CO"/>
        </w:rPr>
        <w:t>.  Del mismo modo, la jurisprudencia de la Corte Constitucional ha establecido que “[n]o es necesario que la norma complementaria exista con anterioridad a la expedición de la disposición contentiva del tipo penal, aun cuando sí se requiere que haga parte del ordenamiento jurídico al momento de realizarse la conducta y de llevarse a cabo el proceso de adecuación típica”</w:t>
      </w:r>
      <w:r w:rsidRPr="00F87CD2">
        <w:rPr>
          <w:rFonts w:eastAsia="Times New Roman" w:cs="Times New Roman"/>
          <w:color w:val="000000"/>
          <w:szCs w:val="28"/>
          <w:vertAlign w:val="superscript"/>
          <w:lang w:eastAsia="es-CO"/>
        </w:rPr>
        <w:footnoteReference w:id="263"/>
      </w:r>
      <w:r w:rsidRPr="00F87CD2">
        <w:rPr>
          <w:rFonts w:eastAsia="Times New Roman" w:cs="Times New Roman"/>
          <w:color w:val="000000"/>
          <w:szCs w:val="28"/>
          <w:lang w:eastAsia="es-CO"/>
        </w:rPr>
        <w:t xml:space="preserve">, por lo cual, en definitiva, “no es condición </w:t>
      </w:r>
      <w:r w:rsidRPr="00F87CD2">
        <w:rPr>
          <w:rFonts w:eastAsia="Times New Roman" w:cs="Times New Roman"/>
          <w:color w:val="000000"/>
          <w:szCs w:val="28"/>
          <w:lang w:eastAsia="es-CO"/>
        </w:rPr>
        <w:lastRenderedPageBreak/>
        <w:t>de constitucionalidad que [la norma que complementa el tipo] preexista al momento de aprobación de la ley correspondiente”</w:t>
      </w:r>
      <w:r w:rsidRPr="00F87CD2">
        <w:rPr>
          <w:rFonts w:eastAsia="Times New Roman" w:cs="Times New Roman"/>
          <w:color w:val="000000"/>
          <w:szCs w:val="28"/>
          <w:vertAlign w:val="superscript"/>
          <w:lang w:eastAsia="es-CO"/>
        </w:rPr>
        <w:footnoteReference w:id="264"/>
      </w:r>
      <w:r w:rsidRPr="00F87CD2">
        <w:rPr>
          <w:rFonts w:eastAsia="Times New Roman" w:cs="Times New Roman"/>
          <w:color w:val="000000"/>
          <w:szCs w:val="28"/>
          <w:lang w:eastAsia="es-CO"/>
        </w:rPr>
        <w:t xml:space="preserve">. Si así se instituyera, el tipo penal quedaría sujeto a la dinámica social en la que surgió, sin posibilidad de responder a su evolución en el tiempo. </w:t>
      </w:r>
    </w:p>
    <w:p w14:paraId="62E87786"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eastAsia="es-CO"/>
        </w:rPr>
      </w:pPr>
    </w:p>
    <w:p w14:paraId="0B3E3D3A"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eastAsia="es-CO"/>
        </w:rPr>
      </w:pPr>
      <w:r w:rsidRPr="00F87CD2">
        <w:rPr>
          <w:rFonts w:eastAsia="Times New Roman" w:cs="Times New Roman"/>
          <w:color w:val="000000"/>
          <w:szCs w:val="28"/>
          <w:lang w:eastAsia="es-CO"/>
        </w:rPr>
        <w:t xml:space="preserve">En atención a lo expuesto, cuando la Sentencia C-080 de 2025 dispone que la norma acusada es exequible porque el artículo 47.9 del Decreto 2153 de 1992 es “anterior a la tipificación de la conducta punible” o a la expedición del artículo 410A del Código Penal, establece una condición de constitucionalidad que la jurisprudencia ha descartado y que no responde al dinamismo del fenómeno criminal que se pretendió regular en aquella disposición. Desde mi punto de vista, esta consideración no responde al propósito que tiene el tipo penal en blanco.  De tal suerte, debo apartarme de tal apreciación. </w:t>
      </w:r>
    </w:p>
    <w:p w14:paraId="6DBFA2F9"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eastAsia="es-CO"/>
        </w:rPr>
      </w:pPr>
    </w:p>
    <w:p w14:paraId="6BDC208B"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eastAsia="es-CO"/>
        </w:rPr>
      </w:pPr>
      <w:r w:rsidRPr="00F87CD2">
        <w:rPr>
          <w:rFonts w:eastAsia="Times New Roman" w:cs="Times New Roman"/>
          <w:i/>
          <w:iCs/>
          <w:color w:val="000000"/>
          <w:szCs w:val="28"/>
          <w:lang w:eastAsia="es-CO"/>
        </w:rPr>
        <w:t>Cuestión final</w:t>
      </w:r>
      <w:r w:rsidRPr="00F87CD2">
        <w:rPr>
          <w:rFonts w:eastAsia="Times New Roman" w:cs="Times New Roman"/>
          <w:color w:val="000000"/>
          <w:szCs w:val="28"/>
          <w:lang w:eastAsia="es-CO"/>
        </w:rPr>
        <w:t xml:space="preserve">. Por último, considero que la justificación de la distinción conceptual entre remisión propia e impropia en materia de tipos penales en blanco es problemática. El fallo del que me separo refiere que la conceptualización sobre cada uno de estos tipos de remisión se adopta con fundamento en las últimas decisiones de la Corte Constitucional. En esa medida, aunque la jurisprudencia constitucional parece confundir esta tipología en varias de sus decisiones, la Sentencia C-080 de 2025 especifica que adopta el criterio expuesto por las últimas decisiones de esta Corporación. Al respecto, conviene reparar en que no hay un criterio de antigüedad para resolver sobre dos posturas jurisprudenciales, como sí para interpretar antinomias legislativas. En esa medida, considero inadecuado el criterio de decisión al respecto. </w:t>
      </w:r>
    </w:p>
    <w:p w14:paraId="76D95886"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eastAsia="es-CO"/>
        </w:rPr>
      </w:pPr>
    </w:p>
    <w:p w14:paraId="0B25F967"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eastAsia="es-CO"/>
        </w:rPr>
      </w:pPr>
      <w:r w:rsidRPr="00F87CD2">
        <w:rPr>
          <w:rFonts w:eastAsia="Times New Roman" w:cs="Times New Roman"/>
          <w:color w:val="000000"/>
          <w:szCs w:val="28"/>
          <w:lang w:eastAsia="es-CO"/>
        </w:rPr>
        <w:t xml:space="preserve">Encuentro que la conceptualización propuesta tiene más solidez en función de la jurisprudencia de la Corte Suprema de Justicia, la cual ha establecido que la remisión propia es la que efectúa el tipo penal en blanco a una disposición, penal o extrapenal, de rango legal, mientras aquella de carácter impropio alude a la complementación del tipo a partir de normas </w:t>
      </w:r>
      <w:proofErr w:type="spellStart"/>
      <w:r w:rsidRPr="00F87CD2">
        <w:rPr>
          <w:rFonts w:eastAsia="Times New Roman" w:cs="Times New Roman"/>
          <w:color w:val="000000"/>
          <w:szCs w:val="28"/>
          <w:lang w:eastAsia="es-CO"/>
        </w:rPr>
        <w:t>infralegales</w:t>
      </w:r>
      <w:proofErr w:type="spellEnd"/>
      <w:r w:rsidRPr="00F87CD2">
        <w:rPr>
          <w:rFonts w:eastAsia="Times New Roman" w:cs="Times New Roman"/>
          <w:color w:val="000000"/>
          <w:szCs w:val="28"/>
          <w:lang w:eastAsia="es-CO"/>
        </w:rPr>
        <w:t xml:space="preserve">. Sentencias como la SP14190-2016 y la SP441-2023 lo dejan claro y son fundamento jurisprudencial suficiente para adoptar las nociones expuestas en la providencia ahora comentada. </w:t>
      </w:r>
    </w:p>
    <w:p w14:paraId="4ADDAD79"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eastAsia="es-CO"/>
        </w:rPr>
      </w:pPr>
    </w:p>
    <w:p w14:paraId="3554D89E"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eastAsia="es-CO"/>
        </w:rPr>
      </w:pPr>
      <w:r w:rsidRPr="00F87CD2">
        <w:rPr>
          <w:rFonts w:eastAsia="Times New Roman" w:cs="Times New Roman"/>
          <w:color w:val="000000"/>
          <w:szCs w:val="28"/>
          <w:lang w:eastAsia="es-CO"/>
        </w:rPr>
        <w:t>En los anteriores términos aclaro el voto respecto de la Sentencia C-080 de 2025.</w:t>
      </w:r>
    </w:p>
    <w:p w14:paraId="13070130"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eastAsia="es-CO"/>
        </w:rPr>
      </w:pPr>
      <w:r w:rsidRPr="00F87CD2">
        <w:rPr>
          <w:rFonts w:eastAsia="Times New Roman" w:cs="Times New Roman"/>
          <w:color w:val="000000"/>
          <w:szCs w:val="28"/>
          <w:lang w:eastAsia="es-CO"/>
        </w:rPr>
        <w:t> </w:t>
      </w:r>
    </w:p>
    <w:p w14:paraId="0EC55579" w14:textId="77777777" w:rsidR="00F87CD2" w:rsidRPr="00F87CD2" w:rsidRDefault="00F87CD2" w:rsidP="00F87CD2">
      <w:pPr>
        <w:widowControl w:val="0"/>
        <w:pBdr>
          <w:top w:val="nil"/>
          <w:left w:val="nil"/>
          <w:bottom w:val="nil"/>
          <w:right w:val="nil"/>
          <w:between w:val="nil"/>
        </w:pBdr>
        <w:rPr>
          <w:rFonts w:eastAsia="Times New Roman" w:cs="Times New Roman"/>
          <w:i/>
          <w:iCs/>
          <w:color w:val="000000"/>
          <w:szCs w:val="28"/>
          <w:lang w:eastAsia="es-CO"/>
        </w:rPr>
      </w:pPr>
      <w:r w:rsidRPr="00F87CD2">
        <w:rPr>
          <w:rFonts w:eastAsia="Times New Roman" w:cs="Times New Roman"/>
          <w:i/>
          <w:iCs/>
          <w:color w:val="000000"/>
          <w:szCs w:val="28"/>
          <w:lang w:eastAsia="es-CO"/>
        </w:rPr>
        <w:t>Fecha ut supra</w:t>
      </w:r>
    </w:p>
    <w:p w14:paraId="436CBDED"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eastAsia="es-CO"/>
        </w:rPr>
      </w:pPr>
    </w:p>
    <w:p w14:paraId="3DBF0510" w14:textId="77777777" w:rsidR="00F87CD2" w:rsidRPr="00F87CD2" w:rsidRDefault="00F87CD2" w:rsidP="00F87CD2">
      <w:pPr>
        <w:widowControl w:val="0"/>
        <w:pBdr>
          <w:top w:val="nil"/>
          <w:left w:val="nil"/>
          <w:bottom w:val="nil"/>
          <w:right w:val="nil"/>
          <w:between w:val="nil"/>
        </w:pBdr>
        <w:rPr>
          <w:rFonts w:eastAsia="Times New Roman" w:cs="Times New Roman"/>
          <w:color w:val="000000"/>
          <w:szCs w:val="28"/>
          <w:lang w:eastAsia="es-CO"/>
        </w:rPr>
      </w:pPr>
    </w:p>
    <w:p w14:paraId="64321A17" w14:textId="77777777" w:rsidR="00F87CD2" w:rsidRPr="00F87CD2" w:rsidRDefault="00F87CD2" w:rsidP="00F87CD2">
      <w:pPr>
        <w:widowControl w:val="0"/>
        <w:pBdr>
          <w:top w:val="nil"/>
          <w:left w:val="nil"/>
          <w:bottom w:val="nil"/>
          <w:right w:val="nil"/>
          <w:between w:val="nil"/>
        </w:pBdr>
        <w:jc w:val="center"/>
        <w:rPr>
          <w:rFonts w:eastAsia="Times New Roman" w:cs="Times New Roman"/>
          <w:b/>
          <w:bCs/>
          <w:color w:val="000000"/>
          <w:szCs w:val="28"/>
          <w:lang w:eastAsia="es-CO"/>
        </w:rPr>
      </w:pPr>
      <w:r w:rsidRPr="00F87CD2">
        <w:rPr>
          <w:rFonts w:eastAsia="Times New Roman" w:cs="Times New Roman"/>
          <w:b/>
          <w:bCs/>
          <w:color w:val="000000"/>
          <w:szCs w:val="28"/>
          <w:lang w:eastAsia="es-CO"/>
        </w:rPr>
        <w:t>JUAN CARLOS CORTÉS GONZÁLEZ</w:t>
      </w:r>
    </w:p>
    <w:p w14:paraId="711FD80B" w14:textId="77777777" w:rsidR="00F87CD2" w:rsidRPr="00F87CD2" w:rsidRDefault="00F87CD2" w:rsidP="00F87CD2">
      <w:pPr>
        <w:widowControl w:val="0"/>
        <w:pBdr>
          <w:top w:val="nil"/>
          <w:left w:val="nil"/>
          <w:bottom w:val="nil"/>
          <w:right w:val="nil"/>
          <w:between w:val="nil"/>
        </w:pBdr>
        <w:jc w:val="center"/>
        <w:rPr>
          <w:rFonts w:eastAsia="Times New Roman" w:cs="Times New Roman"/>
          <w:b/>
          <w:bCs/>
          <w:color w:val="000000"/>
          <w:szCs w:val="28"/>
          <w:lang w:eastAsia="es-CO"/>
        </w:rPr>
      </w:pPr>
      <w:r w:rsidRPr="00F87CD2">
        <w:rPr>
          <w:rFonts w:eastAsia="Times New Roman" w:cs="Times New Roman"/>
          <w:b/>
          <w:bCs/>
          <w:color w:val="000000"/>
          <w:szCs w:val="28"/>
          <w:lang w:eastAsia="es-CO"/>
        </w:rPr>
        <w:t>Magistrado</w:t>
      </w:r>
    </w:p>
    <w:p w14:paraId="68BF53B7" w14:textId="77777777" w:rsidR="00F87CD2" w:rsidRPr="00B033A8" w:rsidRDefault="00F87CD2" w:rsidP="00C94100">
      <w:pPr>
        <w:spacing w:line="278" w:lineRule="auto"/>
        <w:jc w:val="center"/>
        <w:rPr>
          <w:rFonts w:eastAsia="Times New Roman" w:cs="Times New Roman"/>
          <w:b/>
          <w:bCs/>
          <w:color w:val="000000" w:themeColor="text1"/>
          <w:szCs w:val="28"/>
        </w:rPr>
      </w:pPr>
    </w:p>
    <w:sectPr w:rsidR="00F87CD2" w:rsidRPr="00B033A8" w:rsidSect="00795383">
      <w:headerReference w:type="default" r:id="rId13"/>
      <w:footerReference w:type="default" r:id="rId14"/>
      <w:type w:val="continuous"/>
      <w:pgSz w:w="12242" w:h="18722" w:code="14"/>
      <w:pgMar w:top="1701" w:right="1701"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68E55" w14:textId="77777777" w:rsidR="003A07F8" w:rsidRDefault="003A07F8" w:rsidP="001A73CA">
      <w:r>
        <w:separator/>
      </w:r>
    </w:p>
  </w:endnote>
  <w:endnote w:type="continuationSeparator" w:id="0">
    <w:p w14:paraId="24CD8192" w14:textId="77777777" w:rsidR="003A07F8" w:rsidRDefault="003A07F8" w:rsidP="001A73CA">
      <w:r>
        <w:continuationSeparator/>
      </w:r>
    </w:p>
  </w:endnote>
  <w:endnote w:type="continuationNotice" w:id="1">
    <w:p w14:paraId="755F4533" w14:textId="77777777" w:rsidR="003A07F8" w:rsidRDefault="003A0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Times New Roman"/>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995C" w14:textId="77777777" w:rsidR="003D29B6" w:rsidRPr="00E6547D" w:rsidRDefault="003D29B6" w:rsidP="00E654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5BA54" w14:textId="77777777" w:rsidR="003A07F8" w:rsidRDefault="003A07F8" w:rsidP="001A73CA">
      <w:r>
        <w:separator/>
      </w:r>
    </w:p>
  </w:footnote>
  <w:footnote w:type="continuationSeparator" w:id="0">
    <w:p w14:paraId="6B456094" w14:textId="77777777" w:rsidR="003A07F8" w:rsidRDefault="003A07F8" w:rsidP="001A73CA">
      <w:r>
        <w:continuationSeparator/>
      </w:r>
    </w:p>
  </w:footnote>
  <w:footnote w:type="continuationNotice" w:id="1">
    <w:p w14:paraId="3D483F93" w14:textId="77777777" w:rsidR="003A07F8" w:rsidRDefault="003A07F8"/>
  </w:footnote>
  <w:footnote w:id="2">
    <w:p w14:paraId="1E68072A" w14:textId="16D06CAF" w:rsidR="00655D45" w:rsidRPr="007F39A2" w:rsidRDefault="00655D45" w:rsidP="00655D45">
      <w:pPr>
        <w:pStyle w:val="Textonotapie"/>
      </w:pPr>
      <w:r w:rsidRPr="007F39A2">
        <w:rPr>
          <w:rStyle w:val="Refdenotaalpie"/>
        </w:rPr>
        <w:footnoteRef/>
      </w:r>
      <w:r w:rsidRPr="007F39A2">
        <w:t xml:space="preserve"> En concreto, la magistrada sustanciadora inadmitió los pretendidos cargos, porque no cumplían con las exigencias argumentativas de claridad, </w:t>
      </w:r>
      <w:r w:rsidR="00CD6FDF" w:rsidRPr="007F39A2">
        <w:t>certeza</w:t>
      </w:r>
      <w:r w:rsidRPr="007F39A2">
        <w:t>, pertinencia y suficiencia de las demandas de inconstitucionalidad.</w:t>
      </w:r>
    </w:p>
  </w:footnote>
  <w:footnote w:id="3">
    <w:p w14:paraId="17E788FD" w14:textId="20A66A6B" w:rsidR="00655D45" w:rsidRPr="007F39A2" w:rsidRDefault="00655D45" w:rsidP="00655D45">
      <w:pPr>
        <w:pStyle w:val="Textonotapie"/>
      </w:pPr>
      <w:r w:rsidRPr="007F39A2">
        <w:rPr>
          <w:rStyle w:val="Refdenotaalpie"/>
        </w:rPr>
        <w:footnoteRef/>
      </w:r>
      <w:r w:rsidRPr="007F39A2">
        <w:t xml:space="preserve"> En este </w:t>
      </w:r>
      <w:r w:rsidRPr="007F39A2">
        <w:rPr>
          <w:i/>
          <w:iCs/>
        </w:rPr>
        <w:t>(i)</w:t>
      </w:r>
      <w:r w:rsidRPr="007F39A2">
        <w:t xml:space="preserve"> aclaró cuál era </w:t>
      </w:r>
      <w:r w:rsidR="007F309A" w:rsidRPr="007F39A2">
        <w:t>la norma demandada y</w:t>
      </w:r>
      <w:r w:rsidRPr="007F39A2">
        <w:t xml:space="preserve"> </w:t>
      </w:r>
      <w:r w:rsidRPr="007F39A2">
        <w:rPr>
          <w:i/>
          <w:iCs/>
        </w:rPr>
        <w:t>(ii)</w:t>
      </w:r>
      <w:r w:rsidRPr="007F39A2">
        <w:t xml:space="preserve"> precisó cuál era </w:t>
      </w:r>
      <w:r w:rsidR="007F309A" w:rsidRPr="007F39A2">
        <w:t>parámetro de control que proponía</w:t>
      </w:r>
      <w:r w:rsidRPr="007F39A2">
        <w:t>.</w:t>
      </w:r>
    </w:p>
  </w:footnote>
  <w:footnote w:id="4">
    <w:p w14:paraId="79C0D03C" w14:textId="66C13D0F" w:rsidR="00B46213" w:rsidRPr="007F39A2" w:rsidRDefault="00B46213" w:rsidP="00B46213">
      <w:pPr>
        <w:pStyle w:val="Textonotapie"/>
        <w:rPr>
          <w:lang w:val="es-ES_tradnl"/>
        </w:rPr>
      </w:pPr>
      <w:r w:rsidRPr="007F39A2">
        <w:rPr>
          <w:rStyle w:val="Refdenotaalpie"/>
          <w:lang w:val="es-ES_tradnl"/>
        </w:rPr>
        <w:footnoteRef/>
      </w:r>
      <w:r w:rsidRPr="007F39A2">
        <w:rPr>
          <w:lang w:val="es-ES_tradnl"/>
        </w:rPr>
        <w:t xml:space="preserve"> </w:t>
      </w:r>
      <w:r w:rsidR="00F57224" w:rsidRPr="007F39A2">
        <w:rPr>
          <w:lang w:val="es-ES_tradnl"/>
        </w:rPr>
        <w:t>Escrito de la demanda</w:t>
      </w:r>
      <w:r w:rsidRPr="007F39A2">
        <w:rPr>
          <w:lang w:val="es-ES_tradnl"/>
        </w:rPr>
        <w:t>, p. 10.</w:t>
      </w:r>
    </w:p>
  </w:footnote>
  <w:footnote w:id="5">
    <w:p w14:paraId="7501932B" w14:textId="77777777" w:rsidR="00B46213" w:rsidRPr="007F39A2" w:rsidRDefault="00B46213" w:rsidP="00B46213">
      <w:pPr>
        <w:pStyle w:val="Textonotapie"/>
        <w:rPr>
          <w:lang w:val="es-ES_tradnl"/>
        </w:rPr>
      </w:pPr>
      <w:r w:rsidRPr="007F39A2">
        <w:rPr>
          <w:rStyle w:val="Refdenotaalpie"/>
        </w:rPr>
        <w:footnoteRef/>
      </w:r>
      <w:r w:rsidRPr="007F39A2">
        <w:t xml:space="preserve"> </w:t>
      </w:r>
      <w:r w:rsidRPr="007F39A2">
        <w:rPr>
          <w:lang w:val="es-ES_tradnl"/>
        </w:rPr>
        <w:t>Ib.</w:t>
      </w:r>
    </w:p>
  </w:footnote>
  <w:footnote w:id="6">
    <w:p w14:paraId="17E53930" w14:textId="041F4D2C" w:rsidR="0020765F" w:rsidRPr="007F39A2" w:rsidRDefault="0020765F">
      <w:pPr>
        <w:pStyle w:val="Textonotapie"/>
      </w:pPr>
      <w:r w:rsidRPr="007F39A2">
        <w:rPr>
          <w:rStyle w:val="Refdenotaalpie"/>
        </w:rPr>
        <w:footnoteRef/>
      </w:r>
      <w:r w:rsidRPr="007F39A2">
        <w:t xml:space="preserve"> Ib. </w:t>
      </w:r>
    </w:p>
  </w:footnote>
  <w:footnote w:id="7">
    <w:p w14:paraId="5D2171F8" w14:textId="173F004F" w:rsidR="0020765F" w:rsidRPr="007F39A2" w:rsidRDefault="0020765F">
      <w:pPr>
        <w:pStyle w:val="Textonotapie"/>
      </w:pPr>
      <w:r w:rsidRPr="007F39A2">
        <w:rPr>
          <w:rStyle w:val="Refdenotaalpie"/>
        </w:rPr>
        <w:footnoteRef/>
      </w:r>
      <w:r w:rsidRPr="007F39A2">
        <w:t xml:space="preserve"> Ib. </w:t>
      </w:r>
    </w:p>
  </w:footnote>
  <w:footnote w:id="8">
    <w:p w14:paraId="17FD33CD" w14:textId="05F5C11A" w:rsidR="00A36039" w:rsidRPr="007F39A2" w:rsidRDefault="00A36039">
      <w:pPr>
        <w:pStyle w:val="Textonotapie"/>
        <w:rPr>
          <w:lang w:val="es-ES_tradnl"/>
        </w:rPr>
      </w:pPr>
      <w:r w:rsidRPr="007F39A2">
        <w:rPr>
          <w:rStyle w:val="Refdenotaalpie"/>
        </w:rPr>
        <w:footnoteRef/>
      </w:r>
      <w:r w:rsidRPr="007F39A2">
        <w:t xml:space="preserve"> </w:t>
      </w:r>
      <w:r w:rsidRPr="007F39A2">
        <w:rPr>
          <w:lang w:val="es-ES_tradnl"/>
        </w:rPr>
        <w:t>Ib., p.</w:t>
      </w:r>
      <w:r w:rsidR="00F0435D" w:rsidRPr="007F39A2">
        <w:rPr>
          <w:lang w:val="es-ES_tradnl"/>
        </w:rPr>
        <w:t xml:space="preserve"> 13.</w:t>
      </w:r>
    </w:p>
  </w:footnote>
  <w:footnote w:id="9">
    <w:p w14:paraId="4F66697D" w14:textId="26C02B9D" w:rsidR="00321180" w:rsidRPr="007F39A2" w:rsidRDefault="00321180">
      <w:pPr>
        <w:pStyle w:val="Textonotapie"/>
      </w:pPr>
      <w:r w:rsidRPr="007F39A2">
        <w:rPr>
          <w:rStyle w:val="Refdenotaalpie"/>
        </w:rPr>
        <w:footnoteRef/>
      </w:r>
      <w:r w:rsidRPr="007F39A2">
        <w:t xml:space="preserve"> Ib., p. 12. </w:t>
      </w:r>
    </w:p>
  </w:footnote>
  <w:footnote w:id="10">
    <w:p w14:paraId="7F2954C3" w14:textId="6941E24E" w:rsidR="00B46213" w:rsidRPr="007F39A2" w:rsidRDefault="00B46213" w:rsidP="00B46213">
      <w:pPr>
        <w:pStyle w:val="Textonotapie"/>
      </w:pPr>
      <w:r w:rsidRPr="007F39A2">
        <w:rPr>
          <w:rStyle w:val="Refdenotaalpie"/>
        </w:rPr>
        <w:footnoteRef/>
      </w:r>
      <w:r w:rsidRPr="007F39A2">
        <w:t xml:space="preserve"> </w:t>
      </w:r>
      <w:r w:rsidR="003C1573" w:rsidRPr="007F39A2">
        <w:rPr>
          <w:color w:val="000000" w:themeColor="text1"/>
        </w:rPr>
        <w:t>El demandante señala las</w:t>
      </w:r>
      <w:r w:rsidR="00F96F6C" w:rsidRPr="007F39A2">
        <w:rPr>
          <w:color w:val="000000" w:themeColor="text1"/>
        </w:rPr>
        <w:t xml:space="preserve"> sentencias C-599 de 1999,</w:t>
      </w:r>
      <w:r w:rsidR="00F96F6C" w:rsidRPr="007F39A2">
        <w:t xml:space="preserve"> </w:t>
      </w:r>
      <w:r w:rsidR="00F96F6C" w:rsidRPr="007F39A2">
        <w:rPr>
          <w:color w:val="000000" w:themeColor="text1"/>
        </w:rPr>
        <w:t xml:space="preserve">C-367 de 2022, C-411 de 2022 y C-021 de 2023. </w:t>
      </w:r>
    </w:p>
  </w:footnote>
  <w:footnote w:id="11">
    <w:p w14:paraId="6FA5CB80" w14:textId="1F93A740" w:rsidR="00B46213" w:rsidRPr="007F39A2" w:rsidRDefault="00B46213" w:rsidP="00B46213">
      <w:pPr>
        <w:pStyle w:val="Textonotapie"/>
        <w:rPr>
          <w:lang w:val="es-ES_tradnl"/>
        </w:rPr>
      </w:pPr>
      <w:r w:rsidRPr="007F39A2">
        <w:rPr>
          <w:rStyle w:val="Refdenotaalpie"/>
          <w:lang w:val="es-ES_tradnl"/>
        </w:rPr>
        <w:footnoteRef/>
      </w:r>
      <w:r w:rsidRPr="007F39A2">
        <w:rPr>
          <w:lang w:val="es-ES_tradnl"/>
        </w:rPr>
        <w:t xml:space="preserve"> El actor refiere la </w:t>
      </w:r>
      <w:r w:rsidR="002512A7" w:rsidRPr="007F39A2">
        <w:rPr>
          <w:lang w:val="es-ES_tradnl"/>
        </w:rPr>
        <w:t xml:space="preserve">Sentencia </w:t>
      </w:r>
      <w:r w:rsidRPr="007F39A2">
        <w:rPr>
          <w:lang w:val="es-ES_tradnl"/>
        </w:rPr>
        <w:t xml:space="preserve">de la Corte Interamericana de Derechos Humanos </w:t>
      </w:r>
      <w:r w:rsidR="0020765F" w:rsidRPr="007F39A2">
        <w:rPr>
          <w:lang w:val="es-ES_tradnl"/>
        </w:rPr>
        <w:t>“</w:t>
      </w:r>
      <w:r w:rsidRPr="007F39A2">
        <w:rPr>
          <w:lang w:val="es-ES_tradnl"/>
        </w:rPr>
        <w:t xml:space="preserve">Castillo Petruzzi y otros Vs. Perú” </w:t>
      </w:r>
      <w:r w:rsidRPr="007F39A2">
        <w:t>y “</w:t>
      </w:r>
      <w:r w:rsidRPr="007F39A2">
        <w:rPr>
          <w:lang w:val="es-MX"/>
        </w:rPr>
        <w:t xml:space="preserve">Norín Catrimán y otros </w:t>
      </w:r>
      <w:r w:rsidRPr="007F39A2">
        <w:rPr>
          <w:i/>
          <w:iCs/>
          <w:lang w:val="es-MX"/>
        </w:rPr>
        <w:t>Vs</w:t>
      </w:r>
      <w:r w:rsidRPr="007F39A2">
        <w:rPr>
          <w:lang w:val="es-MX"/>
        </w:rPr>
        <w:t>. Chile”</w:t>
      </w:r>
      <w:r w:rsidRPr="007F39A2">
        <w:rPr>
          <w:lang w:val="es-ES_tradnl"/>
        </w:rPr>
        <w:t>. En particular, destaca que</w:t>
      </w:r>
      <w:r w:rsidR="0020765F" w:rsidRPr="007F39A2">
        <w:rPr>
          <w:lang w:val="es-ES_tradnl"/>
        </w:rPr>
        <w:t>,</w:t>
      </w:r>
      <w:r w:rsidRPr="007F39A2">
        <w:rPr>
          <w:lang w:val="es-ES_tradnl"/>
        </w:rPr>
        <w:t xml:space="preserve"> </w:t>
      </w:r>
      <w:r w:rsidRPr="007F39A2">
        <w:rPr>
          <w:color w:val="000000" w:themeColor="text1"/>
        </w:rPr>
        <w:t xml:space="preserve">de acuerdo con la jurisprudencia interamericana, “los Estados </w:t>
      </w:r>
      <w:r w:rsidRPr="007F39A2">
        <w:rPr>
          <w:color w:val="000000" w:themeColor="text1"/>
          <w:lang w:val="es-MX"/>
        </w:rPr>
        <w:t>deben tipificar en sus normas penales conductas con términos estrictos y unívocos de tal manera que la interpretación de la prohibición sea expresa, precisa y taxativa”</w:t>
      </w:r>
      <w:r w:rsidRPr="007F39A2">
        <w:rPr>
          <w:rStyle w:val="Refdenotaalpie"/>
          <w:color w:val="000000" w:themeColor="text1"/>
          <w:lang w:val="es-MX"/>
        </w:rPr>
        <w:footnoteRef/>
      </w:r>
      <w:r w:rsidRPr="007F39A2">
        <w:rPr>
          <w:color w:val="000000" w:themeColor="text1"/>
          <w:lang w:val="es-MX"/>
        </w:rPr>
        <w:t>.</w:t>
      </w:r>
    </w:p>
  </w:footnote>
  <w:footnote w:id="12">
    <w:p w14:paraId="538A940B" w14:textId="28CFA2BA" w:rsidR="00BA57C4" w:rsidRPr="007F39A2" w:rsidRDefault="00BA57C4">
      <w:pPr>
        <w:pStyle w:val="Textonotapie"/>
      </w:pPr>
      <w:r w:rsidRPr="007F39A2">
        <w:rPr>
          <w:rStyle w:val="Refdenotaalpie"/>
        </w:rPr>
        <w:footnoteRef/>
      </w:r>
      <w:r w:rsidRPr="007F39A2">
        <w:t xml:space="preserve"> </w:t>
      </w:r>
      <w:r w:rsidRPr="007F39A2">
        <w:rPr>
          <w:lang w:val="es-MX"/>
        </w:rPr>
        <w:t xml:space="preserve">Corte Constitucional, </w:t>
      </w:r>
      <w:r w:rsidR="002512A7" w:rsidRPr="007F39A2">
        <w:rPr>
          <w:lang w:val="es-MX"/>
        </w:rPr>
        <w:t xml:space="preserve">Sentencia </w:t>
      </w:r>
      <w:r w:rsidRPr="007F39A2">
        <w:rPr>
          <w:lang w:val="es-MX"/>
        </w:rPr>
        <w:t xml:space="preserve">C-021 de 2023. </w:t>
      </w:r>
    </w:p>
  </w:footnote>
  <w:footnote w:id="13">
    <w:p w14:paraId="547FEA89" w14:textId="32D3B04F" w:rsidR="0020765F" w:rsidRPr="007F39A2" w:rsidRDefault="0020765F">
      <w:pPr>
        <w:pStyle w:val="Textonotapie"/>
      </w:pPr>
      <w:r w:rsidRPr="007F39A2">
        <w:rPr>
          <w:rStyle w:val="Refdenotaalpie"/>
        </w:rPr>
        <w:footnoteRef/>
      </w:r>
      <w:r w:rsidRPr="007F39A2">
        <w:t xml:space="preserve"> Corte Constitucional, </w:t>
      </w:r>
      <w:r w:rsidR="002512A7" w:rsidRPr="007F39A2">
        <w:t xml:space="preserve">Sentencia </w:t>
      </w:r>
      <w:r w:rsidRPr="007F39A2">
        <w:t xml:space="preserve">C-599 de 1999. </w:t>
      </w:r>
    </w:p>
  </w:footnote>
  <w:footnote w:id="14">
    <w:p w14:paraId="3973FF5F" w14:textId="53E0BCF2" w:rsidR="009F2D02" w:rsidRPr="007F39A2" w:rsidRDefault="009F2D02">
      <w:pPr>
        <w:pStyle w:val="Textonotapie"/>
      </w:pPr>
      <w:r w:rsidRPr="007F39A2">
        <w:rPr>
          <w:rStyle w:val="Refdenotaalpie"/>
        </w:rPr>
        <w:footnoteRef/>
      </w:r>
      <w:r w:rsidRPr="007F39A2">
        <w:t xml:space="preserve"> Ib. </w:t>
      </w:r>
    </w:p>
  </w:footnote>
  <w:footnote w:id="15">
    <w:p w14:paraId="3B6D46A6" w14:textId="1580B526" w:rsidR="00B46213" w:rsidRPr="007F39A2" w:rsidRDefault="00B46213" w:rsidP="00B46213">
      <w:pPr>
        <w:pStyle w:val="Textonotapie"/>
        <w:rPr>
          <w:lang w:val="es-ES_tradnl"/>
        </w:rPr>
      </w:pPr>
      <w:r w:rsidRPr="007F39A2">
        <w:rPr>
          <w:rStyle w:val="Refdenotaalpie"/>
        </w:rPr>
        <w:footnoteRef/>
      </w:r>
      <w:r w:rsidRPr="007F39A2">
        <w:t xml:space="preserve"> Respecto de este requisito, el actor </w:t>
      </w:r>
      <w:r w:rsidRPr="007F39A2">
        <w:rPr>
          <w:color w:val="000000" w:themeColor="text1"/>
        </w:rPr>
        <w:t>enfatizó en que, frente</w:t>
      </w:r>
      <w:r w:rsidR="00DF7EC0" w:rsidRPr="007F39A2">
        <w:rPr>
          <w:color w:val="000000" w:themeColor="text1"/>
        </w:rPr>
        <w:t xml:space="preserve"> a</w:t>
      </w:r>
      <w:r w:rsidRPr="007F39A2">
        <w:rPr>
          <w:color w:val="000000" w:themeColor="text1"/>
        </w:rPr>
        <w:t xml:space="preserve"> los criterios de claridad y precisión, la jurisprudencia constitucional ha resaltado que los tipos penales en blanco son inconstitucionales cuando “generan discusiones interpretativas complejas, valoraciones probatorias amplias y los ciudadanos no están en capacidad de establecer de forma razonable y previa si su proceder se enmarca o no en una conducta criminal”</w:t>
      </w:r>
      <w:r w:rsidR="00AF3729" w:rsidRPr="007F39A2">
        <w:rPr>
          <w:color w:val="000000" w:themeColor="text1"/>
        </w:rPr>
        <w:t>.</w:t>
      </w:r>
    </w:p>
  </w:footnote>
  <w:footnote w:id="16">
    <w:p w14:paraId="6A3C2046" w14:textId="3F0E6581" w:rsidR="00B46213" w:rsidRPr="007F39A2" w:rsidRDefault="00B46213" w:rsidP="00B46213">
      <w:pPr>
        <w:pStyle w:val="Textonotapie"/>
        <w:rPr>
          <w:lang w:val="es-ES_tradnl"/>
        </w:rPr>
      </w:pPr>
      <w:r w:rsidRPr="007F39A2">
        <w:rPr>
          <w:rStyle w:val="Refdenotaalpie"/>
          <w:lang w:val="es-ES_tradnl"/>
        </w:rPr>
        <w:footnoteRef/>
      </w:r>
      <w:r w:rsidRPr="007F39A2">
        <w:rPr>
          <w:lang w:val="es-ES_tradnl"/>
        </w:rPr>
        <w:t xml:space="preserve"> </w:t>
      </w:r>
      <w:r w:rsidRPr="007F39A2">
        <w:t>Escrito de la demanda</w:t>
      </w:r>
      <w:r w:rsidRPr="007F39A2">
        <w:rPr>
          <w:lang w:val="es-ES_tradnl"/>
        </w:rPr>
        <w:t xml:space="preserve">, </w:t>
      </w:r>
      <w:r w:rsidR="0092658A" w:rsidRPr="007F39A2">
        <w:rPr>
          <w:lang w:val="es-ES_tradnl"/>
        </w:rPr>
        <w:t>pp.</w:t>
      </w:r>
      <w:r w:rsidRPr="007F39A2">
        <w:rPr>
          <w:lang w:val="es-ES_tradnl"/>
        </w:rPr>
        <w:t xml:space="preserve"> 17 y 20. </w:t>
      </w:r>
    </w:p>
  </w:footnote>
  <w:footnote w:id="17">
    <w:p w14:paraId="50F36265" w14:textId="1AEF0762" w:rsidR="00552C73" w:rsidRPr="007F39A2" w:rsidRDefault="00552C73" w:rsidP="00552C73">
      <w:pPr>
        <w:pStyle w:val="Textonotapie"/>
      </w:pPr>
      <w:r w:rsidRPr="007F39A2">
        <w:rPr>
          <w:rStyle w:val="Refdenotaalpie"/>
        </w:rPr>
        <w:footnoteRef/>
      </w:r>
      <w:r w:rsidRPr="007F39A2">
        <w:t xml:space="preserve"> </w:t>
      </w:r>
      <w:r w:rsidR="008433D3" w:rsidRPr="007F39A2">
        <w:t>De acuerdo con el actor, e</w:t>
      </w:r>
      <w:r w:rsidRPr="007F39A2">
        <w:t xml:space="preserve">n la </w:t>
      </w:r>
      <w:r w:rsidR="002512A7" w:rsidRPr="007F39A2">
        <w:t xml:space="preserve">Sentencia </w:t>
      </w:r>
      <w:r w:rsidRPr="007F39A2">
        <w:t xml:space="preserve">C-367 de 2022, la Corte Constitucional precisó que “la remisión es </w:t>
      </w:r>
      <w:r w:rsidRPr="007F39A2">
        <w:rPr>
          <w:i/>
          <w:iCs/>
        </w:rPr>
        <w:t>impropia</w:t>
      </w:r>
      <w:r w:rsidRPr="007F39A2">
        <w:t xml:space="preserve"> cuando el reenvío se hace a una normatividad expedida por autoridades administrativas como, por ejemplo, el Gobierno nacional, los ministerios o gobiernos departamentales o municipales, entre otras instituciones. Esta última modalidad de remisión presenta un mayor grado de tensión respecto del principio de legalidad en sentido amplio –reserva de ley en materia sancionatoria–</w:t>
      </w:r>
      <w:r w:rsidR="00AF3729" w:rsidRPr="007F39A2">
        <w:t>”</w:t>
      </w:r>
      <w:r w:rsidRPr="007F39A2">
        <w:t xml:space="preserve">. </w:t>
      </w:r>
    </w:p>
  </w:footnote>
  <w:footnote w:id="18">
    <w:p w14:paraId="385B5A06" w14:textId="5EFAE8AE" w:rsidR="00FA1DA6" w:rsidRPr="007F39A2" w:rsidRDefault="00FA1DA6" w:rsidP="00FA1DA6">
      <w:pPr>
        <w:pStyle w:val="Textonotapie"/>
        <w:rPr>
          <w:lang w:val="es-ES_tradnl"/>
        </w:rPr>
      </w:pPr>
      <w:r w:rsidRPr="007F39A2">
        <w:rPr>
          <w:rStyle w:val="Refdenotaalpie"/>
          <w:lang w:val="es-ES_tradnl"/>
        </w:rPr>
        <w:footnoteRef/>
      </w:r>
      <w:r w:rsidRPr="007F39A2">
        <w:rPr>
          <w:lang w:val="es-ES_tradnl"/>
        </w:rPr>
        <w:t xml:space="preserve"> </w:t>
      </w:r>
      <w:r w:rsidR="009220D0" w:rsidRPr="007F39A2">
        <w:t>Escrito de la demanda</w:t>
      </w:r>
      <w:r w:rsidRPr="007F39A2">
        <w:rPr>
          <w:lang w:val="es-ES_tradnl"/>
        </w:rPr>
        <w:t xml:space="preserve">, </w:t>
      </w:r>
      <w:r w:rsidR="00A36039" w:rsidRPr="007F39A2">
        <w:rPr>
          <w:lang w:val="es-ES_tradnl"/>
        </w:rPr>
        <w:t>p.</w:t>
      </w:r>
      <w:r w:rsidRPr="007F39A2">
        <w:rPr>
          <w:lang w:val="es-ES_tradnl"/>
        </w:rPr>
        <w:t xml:space="preserve"> 19.</w:t>
      </w:r>
    </w:p>
  </w:footnote>
  <w:footnote w:id="19">
    <w:p w14:paraId="23995E77" w14:textId="7BE5A43A" w:rsidR="00FA1DA6" w:rsidRPr="007F39A2" w:rsidRDefault="00FA1DA6" w:rsidP="00FA1DA6">
      <w:pPr>
        <w:pStyle w:val="Textonotapie"/>
        <w:rPr>
          <w:lang w:val="es-ES_tradnl"/>
        </w:rPr>
      </w:pPr>
      <w:r w:rsidRPr="007F39A2">
        <w:rPr>
          <w:rStyle w:val="Refdenotaalpie"/>
          <w:lang w:val="es-ES_tradnl"/>
        </w:rPr>
        <w:footnoteRef/>
      </w:r>
      <w:r w:rsidRPr="007F39A2">
        <w:rPr>
          <w:lang w:val="es-ES_tradnl"/>
        </w:rPr>
        <w:t xml:space="preserve"> Ib.</w:t>
      </w:r>
      <w:r w:rsidRPr="007F39A2">
        <w:rPr>
          <w:sz w:val="24"/>
          <w:szCs w:val="24"/>
          <w:lang w:val="es-ES_tradnl"/>
        </w:rPr>
        <w:t xml:space="preserve"> </w:t>
      </w:r>
      <w:r w:rsidR="00A36039" w:rsidRPr="007F39A2">
        <w:rPr>
          <w:lang w:val="es-ES_tradnl"/>
        </w:rPr>
        <w:t>p.</w:t>
      </w:r>
      <w:r w:rsidRPr="007F39A2">
        <w:rPr>
          <w:lang w:val="es-ES_tradnl"/>
        </w:rPr>
        <w:t xml:space="preserve"> 4.</w:t>
      </w:r>
    </w:p>
  </w:footnote>
  <w:footnote w:id="20">
    <w:p w14:paraId="4F6DCE56" w14:textId="77777777" w:rsidR="00FA1DA6" w:rsidRPr="007F39A2" w:rsidRDefault="00FA1DA6" w:rsidP="00FA1DA6">
      <w:pPr>
        <w:pStyle w:val="Textonotapie"/>
        <w:rPr>
          <w:lang w:val="es-ES_tradnl"/>
        </w:rPr>
      </w:pPr>
      <w:r w:rsidRPr="007F39A2">
        <w:rPr>
          <w:rStyle w:val="Refdenotaalpie"/>
          <w:lang w:val="es-ES_tradnl"/>
        </w:rPr>
        <w:footnoteRef/>
      </w:r>
      <w:r w:rsidRPr="007F39A2">
        <w:rPr>
          <w:lang w:val="es-ES_tradnl"/>
        </w:rPr>
        <w:t xml:space="preserve"> Ib.</w:t>
      </w:r>
    </w:p>
  </w:footnote>
  <w:footnote w:id="21">
    <w:p w14:paraId="429198C7" w14:textId="77777777" w:rsidR="00FA1DA6" w:rsidRPr="007F39A2" w:rsidRDefault="00FA1DA6" w:rsidP="00FA1DA6">
      <w:pPr>
        <w:pStyle w:val="Textonotapie"/>
        <w:rPr>
          <w:lang w:val="es-ES_tradnl"/>
        </w:rPr>
      </w:pPr>
      <w:r w:rsidRPr="007F39A2">
        <w:rPr>
          <w:rStyle w:val="Refdenotaalpie"/>
          <w:lang w:val="es-ES_tradnl"/>
        </w:rPr>
        <w:footnoteRef/>
      </w:r>
      <w:r w:rsidRPr="007F39A2">
        <w:rPr>
          <w:lang w:val="es-ES_tradnl"/>
        </w:rPr>
        <w:t xml:space="preserve"> Ib.</w:t>
      </w:r>
    </w:p>
  </w:footnote>
  <w:footnote w:id="22">
    <w:p w14:paraId="669ED478" w14:textId="5447C6B7" w:rsidR="00FA1DA6" w:rsidRPr="007F39A2" w:rsidRDefault="00FA1DA6" w:rsidP="00FA1DA6">
      <w:pPr>
        <w:pStyle w:val="Textonotapie"/>
        <w:rPr>
          <w:lang w:val="es-ES_tradnl"/>
        </w:rPr>
      </w:pPr>
      <w:r w:rsidRPr="007F39A2">
        <w:rPr>
          <w:rStyle w:val="Refdenotaalpie"/>
          <w:lang w:val="es-ES_tradnl"/>
        </w:rPr>
        <w:footnoteRef/>
      </w:r>
      <w:r w:rsidRPr="007F39A2">
        <w:rPr>
          <w:lang w:val="es-ES_tradnl"/>
        </w:rPr>
        <w:t xml:space="preserve"> Ib., </w:t>
      </w:r>
      <w:r w:rsidR="00A36039" w:rsidRPr="007F39A2">
        <w:rPr>
          <w:lang w:val="es-ES_tradnl"/>
        </w:rPr>
        <w:t>p.</w:t>
      </w:r>
      <w:r w:rsidRPr="007F39A2">
        <w:rPr>
          <w:lang w:val="es-ES_tradnl"/>
        </w:rPr>
        <w:t xml:space="preserve"> 22.</w:t>
      </w:r>
    </w:p>
  </w:footnote>
  <w:footnote w:id="23">
    <w:p w14:paraId="1C2B74E4" w14:textId="77777777" w:rsidR="009811C8" w:rsidRPr="007F39A2" w:rsidRDefault="009811C8" w:rsidP="009811C8">
      <w:pPr>
        <w:pStyle w:val="Textonotapie"/>
        <w:rPr>
          <w:lang w:val="es-ES_tradnl"/>
        </w:rPr>
      </w:pPr>
      <w:r w:rsidRPr="007F39A2">
        <w:rPr>
          <w:rStyle w:val="Refdenotaalpie"/>
        </w:rPr>
        <w:footnoteRef/>
      </w:r>
      <w:r w:rsidRPr="007F39A2">
        <w:t xml:space="preserve"> Ib.</w:t>
      </w:r>
    </w:p>
  </w:footnote>
  <w:footnote w:id="24">
    <w:p w14:paraId="4A3007B3" w14:textId="77777777" w:rsidR="009811C8" w:rsidRPr="007F39A2" w:rsidRDefault="009811C8" w:rsidP="009811C8">
      <w:pPr>
        <w:pStyle w:val="Textonotapie"/>
      </w:pPr>
      <w:r w:rsidRPr="007F39A2">
        <w:rPr>
          <w:rStyle w:val="Refdenotaalpie"/>
        </w:rPr>
        <w:footnoteRef/>
      </w:r>
      <w:r w:rsidRPr="007F39A2">
        <w:t xml:space="preserve"> Ib.</w:t>
      </w:r>
    </w:p>
  </w:footnote>
  <w:footnote w:id="25">
    <w:p w14:paraId="2FA432B3" w14:textId="77777777" w:rsidR="009811C8" w:rsidRPr="007F39A2" w:rsidRDefault="009811C8" w:rsidP="009811C8">
      <w:pPr>
        <w:pStyle w:val="Textonotapie"/>
      </w:pPr>
      <w:r w:rsidRPr="007F39A2">
        <w:rPr>
          <w:rStyle w:val="Refdenotaalpie"/>
        </w:rPr>
        <w:footnoteRef/>
      </w:r>
      <w:r w:rsidRPr="007F39A2">
        <w:t xml:space="preserve"> Ib.</w:t>
      </w:r>
    </w:p>
  </w:footnote>
  <w:footnote w:id="26">
    <w:p w14:paraId="0C5C4488" w14:textId="08CB44E0" w:rsidR="00B5445A" w:rsidRPr="007F39A2" w:rsidRDefault="00B5445A">
      <w:pPr>
        <w:pStyle w:val="Textonotapie"/>
        <w:rPr>
          <w:lang w:val="es-ES_tradnl"/>
        </w:rPr>
      </w:pPr>
      <w:r w:rsidRPr="007F39A2">
        <w:rPr>
          <w:rStyle w:val="Refdenotaalpie"/>
        </w:rPr>
        <w:footnoteRef/>
      </w:r>
      <w:r w:rsidRPr="007F39A2">
        <w:t xml:space="preserve"> </w:t>
      </w:r>
      <w:r w:rsidRPr="007F39A2">
        <w:rPr>
          <w:lang w:val="es-ES_tradnl"/>
        </w:rPr>
        <w:t>Ib., p. 26.</w:t>
      </w:r>
    </w:p>
  </w:footnote>
  <w:footnote w:id="27">
    <w:p w14:paraId="1FD79898" w14:textId="57B2536F" w:rsidR="00C543B5" w:rsidRPr="007F39A2" w:rsidRDefault="00C543B5">
      <w:pPr>
        <w:pStyle w:val="Textonotapie"/>
      </w:pPr>
      <w:r w:rsidRPr="007F39A2">
        <w:rPr>
          <w:rStyle w:val="Refdenotaalpie"/>
        </w:rPr>
        <w:footnoteRef/>
      </w:r>
      <w:r w:rsidRPr="007F39A2">
        <w:t xml:space="preserve"> Escrito de corrección, </w:t>
      </w:r>
      <w:r w:rsidR="00A36039" w:rsidRPr="007F39A2">
        <w:t>p.</w:t>
      </w:r>
      <w:r w:rsidRPr="007F39A2">
        <w:t xml:space="preserve"> 3. </w:t>
      </w:r>
    </w:p>
  </w:footnote>
  <w:footnote w:id="28">
    <w:p w14:paraId="35E9561A" w14:textId="0AF97090" w:rsidR="00380E9B" w:rsidRPr="007F39A2" w:rsidRDefault="00380E9B">
      <w:pPr>
        <w:pStyle w:val="Textonotapie"/>
      </w:pPr>
      <w:r w:rsidRPr="007F39A2">
        <w:rPr>
          <w:rStyle w:val="Refdenotaalpie"/>
        </w:rPr>
        <w:footnoteRef/>
      </w:r>
      <w:r w:rsidRPr="007F39A2">
        <w:t xml:space="preserve"> </w:t>
      </w:r>
      <w:r w:rsidR="006815B6" w:rsidRPr="007F39A2">
        <w:t xml:space="preserve">Estos fueron: </w:t>
      </w:r>
      <w:r w:rsidR="006815B6" w:rsidRPr="007F39A2">
        <w:rPr>
          <w:i/>
          <w:iCs/>
        </w:rPr>
        <w:t>(i)</w:t>
      </w:r>
      <w:r w:rsidR="006815B6" w:rsidRPr="007F39A2">
        <w:t xml:space="preserve"> el Ministerio de Justicia y del Derecho, </w:t>
      </w:r>
      <w:r w:rsidR="006815B6" w:rsidRPr="007F39A2">
        <w:rPr>
          <w:i/>
          <w:iCs/>
        </w:rPr>
        <w:t xml:space="preserve">(ii) </w:t>
      </w:r>
      <w:r w:rsidR="006815B6" w:rsidRPr="007F39A2">
        <w:t xml:space="preserve">la Superintendencia de Industria y Comercio, </w:t>
      </w:r>
      <w:r w:rsidR="006815B6" w:rsidRPr="007F39A2">
        <w:rPr>
          <w:i/>
          <w:iCs/>
        </w:rPr>
        <w:t>(iii)</w:t>
      </w:r>
      <w:r w:rsidR="006815B6" w:rsidRPr="007F39A2">
        <w:t xml:space="preserve"> la Agencia Nacional de Contratación Pública, </w:t>
      </w:r>
      <w:r w:rsidR="006815B6" w:rsidRPr="007F39A2">
        <w:rPr>
          <w:i/>
          <w:iCs/>
        </w:rPr>
        <w:t xml:space="preserve">(iv) </w:t>
      </w:r>
      <w:r w:rsidR="006815B6" w:rsidRPr="007F39A2">
        <w:t xml:space="preserve">la Asociación Colombiana del Derecho de la Competencia, </w:t>
      </w:r>
      <w:r w:rsidR="006815B6" w:rsidRPr="007F39A2">
        <w:rPr>
          <w:i/>
          <w:iCs/>
        </w:rPr>
        <w:t>(v)</w:t>
      </w:r>
      <w:r w:rsidR="006815B6" w:rsidRPr="007F39A2">
        <w:t xml:space="preserve"> el Instituto Colombiano de Derecho Procesal, </w:t>
      </w:r>
      <w:r w:rsidR="006815B6" w:rsidRPr="007F39A2">
        <w:rPr>
          <w:i/>
          <w:iCs/>
        </w:rPr>
        <w:t xml:space="preserve">(vi) </w:t>
      </w:r>
      <w:r w:rsidR="006815B6" w:rsidRPr="007F39A2">
        <w:t xml:space="preserve">la Universidad del Norte; </w:t>
      </w:r>
      <w:r w:rsidR="006815B6" w:rsidRPr="007F39A2">
        <w:rPr>
          <w:i/>
          <w:iCs/>
        </w:rPr>
        <w:t xml:space="preserve">(vii) </w:t>
      </w:r>
      <w:r w:rsidR="006815B6" w:rsidRPr="007F39A2">
        <w:t xml:space="preserve">la Universidad Externado; </w:t>
      </w:r>
      <w:r w:rsidR="006815B6" w:rsidRPr="007F39A2">
        <w:rPr>
          <w:i/>
          <w:iCs/>
        </w:rPr>
        <w:t>(viii)</w:t>
      </w:r>
      <w:r w:rsidR="006815B6" w:rsidRPr="007F39A2">
        <w:t xml:space="preserve"> la Fundación Jurídica Proyecto Inocencia y </w:t>
      </w:r>
      <w:r w:rsidR="006815B6" w:rsidRPr="007F39A2">
        <w:rPr>
          <w:i/>
          <w:iCs/>
        </w:rPr>
        <w:t>(ix)</w:t>
      </w:r>
      <w:r w:rsidR="006815B6" w:rsidRPr="007F39A2">
        <w:t xml:space="preserve"> el Colegio de Abogados Penalistas. Por otra parte, l</w:t>
      </w:r>
      <w:r w:rsidRPr="007F39A2">
        <w:t>a Sala advierte que</w:t>
      </w:r>
      <w:r w:rsidR="00396B29" w:rsidRPr="007F39A2">
        <w:t xml:space="preserve"> el 23 de octubre de 2024, el ciudadano Julio César Ortiz Rodríguez presentó un escrito en el que solicitó a la Corte tener en cuenta dos demandas que fueron presentadas contra la misma norma. Sin embargo, habida cuenta de que este escrito fue presentado de manera extemporánea, no será tenido en cuenta.</w:t>
      </w:r>
    </w:p>
  </w:footnote>
  <w:footnote w:id="29">
    <w:p w14:paraId="33F7C0FE" w14:textId="2658E3AD" w:rsidR="00FD1524" w:rsidRPr="007F39A2" w:rsidRDefault="00FD1524" w:rsidP="00FD1524">
      <w:pPr>
        <w:pStyle w:val="Textonotapie"/>
      </w:pPr>
      <w:r w:rsidRPr="007F39A2">
        <w:rPr>
          <w:rStyle w:val="Refdenotaalpie"/>
        </w:rPr>
        <w:footnoteRef/>
      </w:r>
      <w:r w:rsidRPr="007F39A2">
        <w:t xml:space="preserve"> </w:t>
      </w:r>
      <w:r w:rsidR="005F4A81" w:rsidRPr="007F39A2">
        <w:t xml:space="preserve">Intervención de la </w:t>
      </w:r>
      <w:r w:rsidR="005F4A81" w:rsidRPr="007F39A2">
        <w:rPr>
          <w:szCs w:val="20"/>
        </w:rPr>
        <w:t>Asociación Colombiana de Derecho de la Competencia, p. 4.</w:t>
      </w:r>
      <w:r w:rsidR="005F4A81" w:rsidRPr="007F39A2" w:rsidDel="005F4A81">
        <w:t xml:space="preserve"> </w:t>
      </w:r>
    </w:p>
  </w:footnote>
  <w:footnote w:id="30">
    <w:p w14:paraId="4B541C1A" w14:textId="6BBAAF45" w:rsidR="00AF1CED" w:rsidRPr="007F39A2" w:rsidRDefault="00AF1CED">
      <w:pPr>
        <w:pStyle w:val="Textonotapie"/>
      </w:pPr>
      <w:r w:rsidRPr="007F39A2">
        <w:rPr>
          <w:rStyle w:val="Refdenotaalpie"/>
        </w:rPr>
        <w:footnoteRef/>
      </w:r>
      <w:r w:rsidRPr="007F39A2">
        <w:t xml:space="preserve"> Ib. </w:t>
      </w:r>
    </w:p>
  </w:footnote>
  <w:footnote w:id="31">
    <w:p w14:paraId="529B4F6D" w14:textId="77777777" w:rsidR="006E312E" w:rsidRPr="007F39A2" w:rsidRDefault="006E312E" w:rsidP="006E312E">
      <w:pPr>
        <w:pStyle w:val="Textonotapie"/>
        <w:rPr>
          <w:lang w:val="es-ES_tradnl"/>
        </w:rPr>
      </w:pPr>
      <w:r w:rsidRPr="007F39A2">
        <w:rPr>
          <w:rStyle w:val="Refdenotaalpie"/>
        </w:rPr>
        <w:footnoteRef/>
      </w:r>
      <w:r w:rsidRPr="007F39A2">
        <w:t xml:space="preserve"> </w:t>
      </w:r>
      <w:r w:rsidRPr="007F39A2">
        <w:rPr>
          <w:lang w:val="es-ES_tradnl"/>
        </w:rPr>
        <w:t>Intervención del Ministerio de Justicia y del Derecho, p. 7.</w:t>
      </w:r>
    </w:p>
  </w:footnote>
  <w:footnote w:id="32">
    <w:p w14:paraId="06E6B379" w14:textId="3B232735" w:rsidR="009D6520" w:rsidRPr="007F39A2" w:rsidRDefault="009D6520">
      <w:pPr>
        <w:pStyle w:val="Textonotapie"/>
      </w:pPr>
      <w:r w:rsidRPr="007F39A2">
        <w:rPr>
          <w:rStyle w:val="Refdenotaalpie"/>
        </w:rPr>
        <w:footnoteRef/>
      </w:r>
      <w:r w:rsidRPr="007F39A2">
        <w:t xml:space="preserve"> Además, esta conclusión también resulta coherente con los motivos por los cuales el legislador tipificó esta conducta. En la exposición de motivos del proyecto de ley que derivó en la Ley 1474 de 2011, el legislador señaló que “[s]e adiciona como nuevo tipo penal los acuerdos restrictivos de competencia en materia de contratación estatal para sancionar fundamentalmente los ya frecuentes casos en los cuales los proponentes de un proceso precontractual se ponen de acuerdo para engañar al Estado”.</w:t>
      </w:r>
    </w:p>
  </w:footnote>
  <w:footnote w:id="33">
    <w:p w14:paraId="527E8668" w14:textId="77777777" w:rsidR="00572D22" w:rsidRPr="007F39A2" w:rsidRDefault="00572D22" w:rsidP="00572D22">
      <w:pPr>
        <w:pStyle w:val="Textonotapie"/>
      </w:pPr>
      <w:r w:rsidRPr="007F39A2">
        <w:rPr>
          <w:rStyle w:val="Refdenotaalpie"/>
        </w:rPr>
        <w:footnoteRef/>
      </w:r>
      <w:r w:rsidRPr="007F39A2">
        <w:t xml:space="preserve"> Ib.</w:t>
      </w:r>
    </w:p>
  </w:footnote>
  <w:footnote w:id="34">
    <w:p w14:paraId="5AF71514" w14:textId="27B3390F" w:rsidR="00572D22" w:rsidRPr="007F39A2" w:rsidRDefault="00572D22" w:rsidP="00572D22">
      <w:pPr>
        <w:pStyle w:val="Textonotapie"/>
      </w:pPr>
      <w:r w:rsidRPr="007F39A2">
        <w:rPr>
          <w:rStyle w:val="Refdenotaalpie"/>
        </w:rPr>
        <w:footnoteRef/>
      </w:r>
      <w:r w:rsidRPr="007F39A2">
        <w:t xml:space="preserve"> Intervención del Ministerio de Justicia y del Derecho, p. 7. </w:t>
      </w:r>
      <w:r w:rsidRPr="007F39A2">
        <w:rPr>
          <w:i/>
          <w:iCs/>
        </w:rPr>
        <w:t>Cfr.</w:t>
      </w:r>
      <w:r w:rsidRPr="007F39A2">
        <w:t xml:space="preserve"> Intervención de la Agencia Nacional de Contratación Pública y de la </w:t>
      </w:r>
      <w:r w:rsidRPr="007F39A2">
        <w:rPr>
          <w:szCs w:val="20"/>
        </w:rPr>
        <w:t>Asociación Colombiana de Derecho de la Competencia</w:t>
      </w:r>
      <w:r w:rsidR="005F4A81" w:rsidRPr="007F39A2">
        <w:rPr>
          <w:szCs w:val="20"/>
        </w:rPr>
        <w:t>.</w:t>
      </w:r>
    </w:p>
  </w:footnote>
  <w:footnote w:id="35">
    <w:p w14:paraId="29FF005C" w14:textId="4478740F" w:rsidR="006F39E5" w:rsidRPr="007F39A2" w:rsidRDefault="006F39E5">
      <w:pPr>
        <w:pStyle w:val="Textonotapie"/>
      </w:pPr>
      <w:r w:rsidRPr="007F39A2">
        <w:rPr>
          <w:rStyle w:val="Refdenotaalpie"/>
        </w:rPr>
        <w:footnoteRef/>
      </w:r>
      <w:r w:rsidRPr="007F39A2">
        <w:t xml:space="preserve"> Intervención de la SIC, </w:t>
      </w:r>
      <w:r w:rsidR="00A36039" w:rsidRPr="007F39A2">
        <w:t>p.</w:t>
      </w:r>
      <w:r w:rsidRPr="007F39A2">
        <w:t xml:space="preserve"> 4. </w:t>
      </w:r>
    </w:p>
  </w:footnote>
  <w:footnote w:id="36">
    <w:p w14:paraId="539F1F3C" w14:textId="6A10CB16" w:rsidR="002D1551" w:rsidRPr="007F39A2" w:rsidRDefault="002D1551" w:rsidP="002D1551">
      <w:pPr>
        <w:pStyle w:val="Textonotapie"/>
      </w:pPr>
      <w:r w:rsidRPr="007F39A2">
        <w:rPr>
          <w:rStyle w:val="Refdenotaalpie"/>
        </w:rPr>
        <w:footnoteRef/>
      </w:r>
      <w:r w:rsidRPr="007F39A2">
        <w:t xml:space="preserve"> Intervención de la SIC, </w:t>
      </w:r>
      <w:r w:rsidR="00A36039" w:rsidRPr="007F39A2">
        <w:t>p.</w:t>
      </w:r>
      <w:r w:rsidRPr="007F39A2">
        <w:t xml:space="preserve"> 10. </w:t>
      </w:r>
    </w:p>
  </w:footnote>
  <w:footnote w:id="37">
    <w:p w14:paraId="1A7E3011" w14:textId="7B22E82E" w:rsidR="002D1551" w:rsidRPr="007F39A2" w:rsidRDefault="002D1551" w:rsidP="002D1551">
      <w:pPr>
        <w:pStyle w:val="Textonotapie"/>
      </w:pPr>
      <w:r w:rsidRPr="007F39A2">
        <w:rPr>
          <w:rStyle w:val="Refdenotaalpie"/>
        </w:rPr>
        <w:footnoteRef/>
      </w:r>
      <w:r w:rsidRPr="007F39A2">
        <w:t xml:space="preserve"> Intervención de Colombia Compra Eficiente, </w:t>
      </w:r>
      <w:r w:rsidR="00A36039" w:rsidRPr="007F39A2">
        <w:t>p.</w:t>
      </w:r>
      <w:r w:rsidRPr="007F39A2">
        <w:t xml:space="preserve"> 12. </w:t>
      </w:r>
    </w:p>
  </w:footnote>
  <w:footnote w:id="38">
    <w:p w14:paraId="08DA4BC0" w14:textId="77777777" w:rsidR="005D3257" w:rsidRPr="007F39A2" w:rsidRDefault="005D3257" w:rsidP="005D3257">
      <w:pPr>
        <w:pStyle w:val="Textonotapie"/>
      </w:pPr>
      <w:r w:rsidRPr="007F39A2">
        <w:rPr>
          <w:rStyle w:val="Refdenotaalpie"/>
        </w:rPr>
        <w:footnoteRef/>
      </w:r>
      <w:r w:rsidRPr="007F39A2">
        <w:t xml:space="preserve"> Ib., p. 9.</w:t>
      </w:r>
    </w:p>
  </w:footnote>
  <w:footnote w:id="39">
    <w:p w14:paraId="3998BB60" w14:textId="77777777" w:rsidR="005D3257" w:rsidRPr="007F39A2" w:rsidRDefault="005D3257" w:rsidP="005D3257">
      <w:pPr>
        <w:pStyle w:val="Textonotapie"/>
        <w:rPr>
          <w:lang w:val="es-ES_tradnl"/>
        </w:rPr>
      </w:pPr>
      <w:r w:rsidRPr="007F39A2">
        <w:rPr>
          <w:rStyle w:val="Refdenotaalpie"/>
        </w:rPr>
        <w:footnoteRef/>
      </w:r>
      <w:r w:rsidRPr="007F39A2">
        <w:t xml:space="preserve"> </w:t>
      </w:r>
      <w:r w:rsidRPr="007F39A2">
        <w:rPr>
          <w:lang w:val="es-ES_tradnl"/>
        </w:rPr>
        <w:t xml:space="preserve">En concreto, los intervinientes refieren la doctrina de la </w:t>
      </w:r>
      <w:r w:rsidRPr="007F39A2">
        <w:t xml:space="preserve">Agencia Nacional de Contratación Pública y de la </w:t>
      </w:r>
      <w:r w:rsidRPr="007F39A2">
        <w:rPr>
          <w:lang w:val="es-ES_tradnl"/>
        </w:rPr>
        <w:t>Superintendencia de Industria y Comercio.</w:t>
      </w:r>
    </w:p>
  </w:footnote>
  <w:footnote w:id="40">
    <w:p w14:paraId="33591550" w14:textId="77777777" w:rsidR="005D3257" w:rsidRPr="007F39A2" w:rsidRDefault="005D3257" w:rsidP="005D3257">
      <w:pPr>
        <w:pStyle w:val="Textonotapie"/>
        <w:rPr>
          <w:lang w:val="es-ES_tradnl"/>
        </w:rPr>
      </w:pPr>
      <w:r w:rsidRPr="007F39A2">
        <w:rPr>
          <w:rStyle w:val="Refdenotaalpie"/>
        </w:rPr>
        <w:footnoteRef/>
      </w:r>
      <w:r w:rsidRPr="007F39A2">
        <w:t xml:space="preserve"> Intervención del Ministerio de Justicia y del Derecho, p. 7.</w:t>
      </w:r>
    </w:p>
  </w:footnote>
  <w:footnote w:id="41">
    <w:p w14:paraId="7B9363D1" w14:textId="77777777" w:rsidR="005D3257" w:rsidRPr="007F39A2" w:rsidRDefault="005D3257" w:rsidP="005D3257">
      <w:pPr>
        <w:pStyle w:val="Textonotapie"/>
        <w:rPr>
          <w:lang w:val="es-ES_tradnl"/>
        </w:rPr>
      </w:pPr>
      <w:r w:rsidRPr="007F39A2">
        <w:rPr>
          <w:rStyle w:val="Refdenotaalpie"/>
        </w:rPr>
        <w:footnoteRef/>
      </w:r>
      <w:r w:rsidRPr="007F39A2">
        <w:t xml:space="preserve"> </w:t>
      </w:r>
      <w:r w:rsidRPr="007F39A2">
        <w:rPr>
          <w:lang w:val="es-ES_tradnl"/>
        </w:rPr>
        <w:t xml:space="preserve">Intervención de la Superintendencia de Industria y Comercio, p. 6. Destacó que ese </w:t>
      </w:r>
      <w:r w:rsidRPr="007F39A2">
        <w:rPr>
          <w:lang w:val="es-MX"/>
        </w:rPr>
        <w:t>“acuerdo por lo general está orientado a propósitos como elevar los precios, disminuir la calidad de los productos o servicios o aumentar sus posibilidades de resultar beneficiados con la adjudicación del contrato en detrimento de la probabilidad de victoria de los demás proponentes que participan en el proceso”.</w:t>
      </w:r>
    </w:p>
  </w:footnote>
  <w:footnote w:id="42">
    <w:p w14:paraId="60694D3F" w14:textId="77777777" w:rsidR="005D3257" w:rsidRPr="007F39A2" w:rsidRDefault="005D3257" w:rsidP="005D3257">
      <w:pPr>
        <w:pStyle w:val="Textonotapie"/>
      </w:pPr>
      <w:r w:rsidRPr="007F39A2">
        <w:rPr>
          <w:rStyle w:val="Refdenotaalpie"/>
        </w:rPr>
        <w:footnoteRef/>
      </w:r>
      <w:r w:rsidRPr="007F39A2">
        <w:t xml:space="preserve"> Ib., p. 6. Dentro de estas se encuentran: el “(i) control competitivo ejercido respecto de agentes del mercado que concurren al proceso de contratación simulando ser competidores; (ii) intercambio de información sensible que no está disponible para la totalidad de los proponentes; (iii) favorecimiento por parte de un funcionario o contratista de una entidad pública con la finalidad de direccionar la adjudicación de un proceso de selección a un proponente específico; y (iv) las restricciones verticales impuestas en el marco de procesos de contratación”.</w:t>
      </w:r>
    </w:p>
  </w:footnote>
  <w:footnote w:id="43">
    <w:p w14:paraId="7838102D" w14:textId="77777777" w:rsidR="00500C45" w:rsidRPr="007F39A2" w:rsidRDefault="00500C45" w:rsidP="00500C45">
      <w:pPr>
        <w:pStyle w:val="Textonotapie"/>
      </w:pPr>
      <w:r w:rsidRPr="007F39A2">
        <w:rPr>
          <w:rStyle w:val="Refdenotaalpie"/>
        </w:rPr>
        <w:footnoteRef/>
      </w:r>
      <w:r w:rsidRPr="007F39A2">
        <w:t xml:space="preserve"> Colombia Compra Eficiente define los acuerdos colusorios como aquellos que “tienen como objetivo principal eliminar la competencia genuina entre los participantes, facilitando así la distribución de los beneficios que derivan de la reducción de la rivalidad en el mercado”. </w:t>
      </w:r>
    </w:p>
  </w:footnote>
  <w:footnote w:id="44">
    <w:p w14:paraId="19D196A5" w14:textId="71311BE8" w:rsidR="00500C45" w:rsidRPr="007F39A2" w:rsidRDefault="00500C45" w:rsidP="00500C45">
      <w:pPr>
        <w:pStyle w:val="Textonotapie"/>
      </w:pPr>
      <w:r w:rsidRPr="007F39A2">
        <w:rPr>
          <w:rStyle w:val="Refdenotaalpie"/>
        </w:rPr>
        <w:footnoteRef/>
      </w:r>
      <w:r w:rsidRPr="007F39A2">
        <w:t xml:space="preserve"> Intervención de Colombia Compra Eficiente, </w:t>
      </w:r>
      <w:r w:rsidR="00A36039" w:rsidRPr="007F39A2">
        <w:t>p.</w:t>
      </w:r>
      <w:r w:rsidRPr="007F39A2">
        <w:t xml:space="preserve"> 3. </w:t>
      </w:r>
    </w:p>
  </w:footnote>
  <w:footnote w:id="45">
    <w:p w14:paraId="188CFB01" w14:textId="56F23A85" w:rsidR="00500C45" w:rsidRPr="007F39A2" w:rsidRDefault="00500C45" w:rsidP="00500C45">
      <w:pPr>
        <w:pStyle w:val="Textonotapie"/>
      </w:pPr>
      <w:r w:rsidRPr="007F39A2">
        <w:rPr>
          <w:rStyle w:val="Refdenotaalpie"/>
        </w:rPr>
        <w:footnoteRef/>
      </w:r>
      <w:r w:rsidRPr="007F39A2">
        <w:t xml:space="preserve"> Ib., </w:t>
      </w:r>
      <w:r w:rsidR="00A36039" w:rsidRPr="007F39A2">
        <w:t>p.</w:t>
      </w:r>
      <w:r w:rsidRPr="007F39A2">
        <w:t xml:space="preserve"> 5. </w:t>
      </w:r>
    </w:p>
  </w:footnote>
  <w:footnote w:id="46">
    <w:p w14:paraId="48057BAB" w14:textId="68668019" w:rsidR="00BF759D" w:rsidRPr="007F39A2" w:rsidRDefault="00BF759D">
      <w:pPr>
        <w:pStyle w:val="Textonotapie"/>
      </w:pPr>
      <w:r w:rsidRPr="007F39A2">
        <w:rPr>
          <w:rStyle w:val="Refdenotaalpie"/>
        </w:rPr>
        <w:footnoteRef/>
      </w:r>
      <w:r w:rsidRPr="007F39A2">
        <w:t xml:space="preserve"> </w:t>
      </w:r>
      <w:r w:rsidR="00C84B3A" w:rsidRPr="007F39A2">
        <w:t>Intervención de la SIC, p. 1</w:t>
      </w:r>
      <w:r w:rsidR="00B147DD" w:rsidRPr="007F39A2">
        <w:t>1-15</w:t>
      </w:r>
      <w:r w:rsidRPr="007F39A2">
        <w:t>.</w:t>
      </w:r>
      <w:r w:rsidR="00B147DD" w:rsidRPr="007F39A2">
        <w:t xml:space="preserve"> En concreto, el interviniente sostiene que este tipo de conductas han sido reguladas en las normas penales de</w:t>
      </w:r>
      <w:r w:rsidR="00EB60B1" w:rsidRPr="007F39A2">
        <w:t xml:space="preserve"> países miembros de la OCDE tales como Alemania, Canadá, España, Estados Unidos,</w:t>
      </w:r>
      <w:r w:rsidR="00811401" w:rsidRPr="007F39A2">
        <w:t xml:space="preserve"> Chile, México y Brasil.</w:t>
      </w:r>
      <w:r w:rsidRPr="007F39A2">
        <w:t xml:space="preserve"> </w:t>
      </w:r>
    </w:p>
  </w:footnote>
  <w:footnote w:id="47">
    <w:p w14:paraId="48EA3EC2" w14:textId="77777777" w:rsidR="003B1514" w:rsidRPr="007F39A2" w:rsidRDefault="003B1514" w:rsidP="003B1514">
      <w:pPr>
        <w:pStyle w:val="Textonotapie"/>
      </w:pPr>
      <w:r w:rsidRPr="007F39A2">
        <w:rPr>
          <w:rStyle w:val="Refdenotaalpie"/>
        </w:rPr>
        <w:footnoteRef/>
      </w:r>
      <w:r w:rsidRPr="007F39A2">
        <w:t xml:space="preserve"> Intervención del Instituto Colombiano de Derecho Procesal, p. 2.</w:t>
      </w:r>
    </w:p>
  </w:footnote>
  <w:footnote w:id="48">
    <w:p w14:paraId="5D767AB5" w14:textId="77777777" w:rsidR="003B1514" w:rsidRPr="007F39A2" w:rsidRDefault="003B1514" w:rsidP="003B1514">
      <w:pPr>
        <w:pStyle w:val="Textonotapie"/>
      </w:pPr>
      <w:r w:rsidRPr="007F39A2">
        <w:rPr>
          <w:rStyle w:val="Refdenotaalpie"/>
        </w:rPr>
        <w:footnoteRef/>
      </w:r>
      <w:r w:rsidRPr="007F39A2">
        <w:t xml:space="preserve"> Ib.</w:t>
      </w:r>
    </w:p>
  </w:footnote>
  <w:footnote w:id="49">
    <w:p w14:paraId="478FDFDA" w14:textId="3517AF5B" w:rsidR="00D01D4B" w:rsidRPr="007F39A2" w:rsidRDefault="00D01D4B">
      <w:pPr>
        <w:pStyle w:val="Textonotapie"/>
      </w:pPr>
      <w:r w:rsidRPr="007F39A2">
        <w:rPr>
          <w:rStyle w:val="Refdenotaalpie"/>
        </w:rPr>
        <w:footnoteRef/>
      </w:r>
      <w:r w:rsidRPr="007F39A2">
        <w:t xml:space="preserve"> </w:t>
      </w:r>
      <w:r w:rsidR="00DF61CD" w:rsidRPr="007F39A2">
        <w:t>Intervención de la Fundación Proyecto Inocencia, p. 3.</w:t>
      </w:r>
    </w:p>
  </w:footnote>
  <w:footnote w:id="50">
    <w:p w14:paraId="1D3B252D" w14:textId="77777777" w:rsidR="00DB3569" w:rsidRPr="007F39A2" w:rsidRDefault="00DB3569" w:rsidP="00DB3569">
      <w:pPr>
        <w:pStyle w:val="Textonotapie"/>
      </w:pPr>
      <w:r w:rsidRPr="007F39A2">
        <w:rPr>
          <w:rStyle w:val="Refdenotaalpie"/>
        </w:rPr>
        <w:footnoteRef/>
      </w:r>
      <w:r w:rsidRPr="007F39A2">
        <w:t xml:space="preserve"> Intervención del Instituto Colombiano de Derecho Procesal, p.2. Señaló que este es “el caso de los procedimientos en donde se aplican normas de derecho privado y no público, como lo es el caso de la Bolsa Mercantil cuyo procedimiento contractual es de carácter privado y no público”.</w:t>
      </w:r>
    </w:p>
  </w:footnote>
  <w:footnote w:id="51">
    <w:p w14:paraId="16D93EBA" w14:textId="3641F8F3" w:rsidR="00B34BA0" w:rsidRPr="007F39A2" w:rsidRDefault="00B34BA0">
      <w:pPr>
        <w:pStyle w:val="Textonotapie"/>
      </w:pPr>
      <w:r w:rsidRPr="007F39A2">
        <w:rPr>
          <w:rStyle w:val="Refdenotaalpie"/>
        </w:rPr>
        <w:footnoteRef/>
      </w:r>
      <w:r w:rsidRPr="007F39A2">
        <w:t xml:space="preserve"> Intervención del Colegio de Abogados Penalistas, </w:t>
      </w:r>
      <w:r w:rsidR="00A36039" w:rsidRPr="007F39A2">
        <w:t>p.</w:t>
      </w:r>
      <w:r w:rsidRPr="007F39A2">
        <w:t xml:space="preserve"> 8. </w:t>
      </w:r>
    </w:p>
  </w:footnote>
  <w:footnote w:id="52">
    <w:p w14:paraId="5E7F4DCF" w14:textId="11CFF061" w:rsidR="008423E4" w:rsidRPr="007F39A2" w:rsidRDefault="008423E4">
      <w:pPr>
        <w:pStyle w:val="Textonotapie"/>
      </w:pPr>
      <w:r w:rsidRPr="007F39A2">
        <w:rPr>
          <w:rStyle w:val="Refdenotaalpie"/>
        </w:rPr>
        <w:footnoteRef/>
      </w:r>
      <w:r w:rsidRPr="007F39A2">
        <w:t xml:space="preserve"> </w:t>
      </w:r>
      <w:r w:rsidR="00E311A6" w:rsidRPr="007F39A2">
        <w:t xml:space="preserve">Intervención de la Universidad Externado de Colombia, p. 9. </w:t>
      </w:r>
    </w:p>
  </w:footnote>
  <w:footnote w:id="53">
    <w:p w14:paraId="28B9164C" w14:textId="77777777" w:rsidR="0056331D" w:rsidRPr="007F39A2" w:rsidRDefault="0056331D" w:rsidP="0056331D">
      <w:pPr>
        <w:pStyle w:val="Textonotapie"/>
      </w:pPr>
      <w:r w:rsidRPr="007F39A2">
        <w:rPr>
          <w:rStyle w:val="Refdenotaalpie"/>
        </w:rPr>
        <w:footnoteRef/>
      </w:r>
      <w:r w:rsidRPr="007F39A2">
        <w:t xml:space="preserve"> Ib., p. 13.</w:t>
      </w:r>
    </w:p>
  </w:footnote>
  <w:footnote w:id="54">
    <w:p w14:paraId="4CE3D6AD" w14:textId="77777777" w:rsidR="00322616" w:rsidRPr="007F39A2" w:rsidRDefault="00322616" w:rsidP="00322616">
      <w:pPr>
        <w:pStyle w:val="Textonotapie"/>
      </w:pPr>
      <w:r w:rsidRPr="007F39A2">
        <w:rPr>
          <w:rStyle w:val="Refdenotaalpie"/>
        </w:rPr>
        <w:footnoteRef/>
      </w:r>
      <w:r w:rsidRPr="007F39A2">
        <w:t xml:space="preserve"> Al respecto, citó las sentencias C-860 de 2006 y C-032 de 2017. </w:t>
      </w:r>
    </w:p>
  </w:footnote>
  <w:footnote w:id="55">
    <w:p w14:paraId="4C7A22AB" w14:textId="77777777" w:rsidR="00F33BAB" w:rsidRPr="007F39A2" w:rsidRDefault="00F33BAB" w:rsidP="00F33BAB">
      <w:pPr>
        <w:pStyle w:val="Textonotapie"/>
      </w:pPr>
      <w:r w:rsidRPr="007F39A2">
        <w:rPr>
          <w:rStyle w:val="Refdenotaalpie"/>
        </w:rPr>
        <w:footnoteRef/>
      </w:r>
      <w:r w:rsidRPr="007F39A2">
        <w:t xml:space="preserve"> Intervención del Colegio de Abogados Penalistas, p. 10. </w:t>
      </w:r>
    </w:p>
  </w:footnote>
  <w:footnote w:id="56">
    <w:p w14:paraId="268F9D2D" w14:textId="6EEE2A86" w:rsidR="00E67320" w:rsidRPr="007F39A2" w:rsidRDefault="00E67320" w:rsidP="00E67320">
      <w:pPr>
        <w:pStyle w:val="Textonotapie"/>
      </w:pPr>
      <w:r w:rsidRPr="007F39A2">
        <w:rPr>
          <w:rStyle w:val="Refdenotaalpie"/>
        </w:rPr>
        <w:footnoteRef/>
      </w:r>
      <w:r w:rsidRPr="007F39A2">
        <w:t xml:space="preserve"> Ib.</w:t>
      </w:r>
      <w:r w:rsidR="00251649" w:rsidRPr="007F39A2">
        <w:t xml:space="preserve"> En criterio del </w:t>
      </w:r>
      <w:r w:rsidR="007C2FBC" w:rsidRPr="007F39A2">
        <w:t>interviniente</w:t>
      </w:r>
      <w:r w:rsidR="00251649" w:rsidRPr="007F39A2">
        <w:t xml:space="preserve">, </w:t>
      </w:r>
      <w:r w:rsidR="007C2FBC" w:rsidRPr="007F39A2">
        <w:t>“como la SIC investiga y determina la responsabilidad administrativa y compulsa copias a la FGN, toda la investigación penal está parcializada a lo que determine la SIC, lo que vulnera el derecho a la presunción de inocencia”.</w:t>
      </w:r>
    </w:p>
  </w:footnote>
  <w:footnote w:id="57">
    <w:p w14:paraId="518B399B" w14:textId="2057AF11" w:rsidR="00C526AC" w:rsidRPr="007F39A2" w:rsidRDefault="00C526AC">
      <w:pPr>
        <w:pStyle w:val="Textonotapie"/>
      </w:pPr>
      <w:r w:rsidRPr="007F39A2">
        <w:rPr>
          <w:rStyle w:val="Refdenotaalpie"/>
        </w:rPr>
        <w:footnoteRef/>
      </w:r>
      <w:r w:rsidRPr="007F39A2">
        <w:t xml:space="preserve"> </w:t>
      </w:r>
      <w:r w:rsidR="003352F3" w:rsidRPr="007F39A2">
        <w:t xml:space="preserve">Concepto del Ministerio Público, </w:t>
      </w:r>
      <w:r w:rsidR="00A36039" w:rsidRPr="007F39A2">
        <w:t>p.</w:t>
      </w:r>
      <w:r w:rsidR="003352F3" w:rsidRPr="007F39A2">
        <w:t xml:space="preserve"> 3. </w:t>
      </w:r>
    </w:p>
  </w:footnote>
  <w:footnote w:id="58">
    <w:p w14:paraId="02FE362A" w14:textId="6717AB30" w:rsidR="00922C45" w:rsidRPr="007F39A2" w:rsidRDefault="00922C45">
      <w:pPr>
        <w:pStyle w:val="Textonotapie"/>
      </w:pPr>
      <w:r w:rsidRPr="007F39A2">
        <w:rPr>
          <w:rStyle w:val="Refdenotaalpie"/>
        </w:rPr>
        <w:footnoteRef/>
      </w:r>
      <w:r w:rsidRPr="007F39A2">
        <w:t xml:space="preserve"> Ib., </w:t>
      </w:r>
      <w:r w:rsidR="00A36039" w:rsidRPr="007F39A2">
        <w:t>p.</w:t>
      </w:r>
      <w:r w:rsidRPr="007F39A2">
        <w:t xml:space="preserve"> 5. </w:t>
      </w:r>
    </w:p>
  </w:footnote>
  <w:footnote w:id="59">
    <w:p w14:paraId="789DE46A" w14:textId="50E9C335" w:rsidR="009C7949" w:rsidRPr="007F39A2" w:rsidRDefault="009C7949">
      <w:pPr>
        <w:pStyle w:val="Textonotapie"/>
      </w:pPr>
      <w:r w:rsidRPr="007F39A2">
        <w:rPr>
          <w:rStyle w:val="Refdenotaalpie"/>
        </w:rPr>
        <w:footnoteRef/>
      </w:r>
      <w:r w:rsidRPr="007F39A2">
        <w:t xml:space="preserve"> Ib. </w:t>
      </w:r>
    </w:p>
  </w:footnote>
  <w:footnote w:id="60">
    <w:p w14:paraId="06F1C1F7" w14:textId="60DFC9FF" w:rsidR="00DF65C0" w:rsidRPr="007F39A2" w:rsidRDefault="00DF65C0">
      <w:pPr>
        <w:pStyle w:val="Textonotapie"/>
        <w:rPr>
          <w:lang w:val="es-ES_tradnl"/>
        </w:rPr>
      </w:pPr>
      <w:r w:rsidRPr="007F39A2">
        <w:rPr>
          <w:rStyle w:val="Refdenotaalpie"/>
        </w:rPr>
        <w:footnoteRef/>
      </w:r>
      <w:r w:rsidRPr="007F39A2">
        <w:t xml:space="preserve"> </w:t>
      </w:r>
      <w:r w:rsidRPr="007F39A2">
        <w:rPr>
          <w:lang w:val="es-ES_tradnl"/>
        </w:rPr>
        <w:t>Ib.</w:t>
      </w:r>
    </w:p>
  </w:footnote>
  <w:footnote w:id="61">
    <w:p w14:paraId="37DCF634" w14:textId="1DEBFFB2" w:rsidR="000149F0" w:rsidRPr="007F39A2" w:rsidRDefault="000149F0">
      <w:pPr>
        <w:pStyle w:val="Textonotapie"/>
        <w:rPr>
          <w:lang w:val="es-ES_tradnl"/>
        </w:rPr>
      </w:pPr>
      <w:r w:rsidRPr="007F39A2">
        <w:rPr>
          <w:rStyle w:val="Refdenotaalpie"/>
        </w:rPr>
        <w:footnoteRef/>
      </w:r>
      <w:r w:rsidRPr="007F39A2">
        <w:t xml:space="preserve"> </w:t>
      </w:r>
      <w:r w:rsidRPr="007F39A2">
        <w:rPr>
          <w:lang w:val="es-ES_tradnl"/>
        </w:rPr>
        <w:t>Ib.</w:t>
      </w:r>
    </w:p>
  </w:footnote>
  <w:footnote w:id="62">
    <w:p w14:paraId="5EC0B0F2" w14:textId="69812305" w:rsidR="00373F07" w:rsidRPr="007F39A2" w:rsidRDefault="00373F07">
      <w:pPr>
        <w:pStyle w:val="Textonotapie"/>
        <w:rPr>
          <w:lang w:val="es-ES_tradnl"/>
        </w:rPr>
      </w:pPr>
      <w:r w:rsidRPr="007F39A2">
        <w:rPr>
          <w:rStyle w:val="Refdenotaalpie"/>
        </w:rPr>
        <w:footnoteRef/>
      </w:r>
      <w:r w:rsidRPr="007F39A2">
        <w:t xml:space="preserve"> </w:t>
      </w:r>
      <w:r w:rsidRPr="007F39A2">
        <w:rPr>
          <w:lang w:val="es-ES_tradnl"/>
        </w:rPr>
        <w:t>Ib., p. 5.</w:t>
      </w:r>
    </w:p>
  </w:footnote>
  <w:footnote w:id="63">
    <w:p w14:paraId="693042F0" w14:textId="2BBC7673" w:rsidR="00A123F5" w:rsidRPr="007F39A2" w:rsidRDefault="00A123F5" w:rsidP="00A123F5">
      <w:pPr>
        <w:pStyle w:val="Textonotapie"/>
      </w:pPr>
      <w:r w:rsidRPr="007F39A2">
        <w:rPr>
          <w:rStyle w:val="Refdenotaalpie"/>
        </w:rPr>
        <w:footnoteRef/>
      </w:r>
      <w:r w:rsidRPr="007F39A2">
        <w:t xml:space="preserve"> Corte Constitucional, </w:t>
      </w:r>
      <w:r w:rsidR="002512A7" w:rsidRPr="007F39A2">
        <w:t xml:space="preserve">Sentencia </w:t>
      </w:r>
      <w:r w:rsidRPr="007F39A2">
        <w:t xml:space="preserve">C-053 de 2021. </w:t>
      </w:r>
    </w:p>
  </w:footnote>
  <w:footnote w:id="64">
    <w:p w14:paraId="3A975E82" w14:textId="7A2A0165" w:rsidR="0076798A" w:rsidRPr="007F39A2" w:rsidRDefault="0076798A">
      <w:pPr>
        <w:pStyle w:val="Textonotapie"/>
        <w:rPr>
          <w:lang w:val="es-ES_tradnl"/>
        </w:rPr>
      </w:pPr>
      <w:r w:rsidRPr="007F39A2">
        <w:rPr>
          <w:rStyle w:val="Refdenotaalpie"/>
        </w:rPr>
        <w:footnoteRef/>
      </w:r>
      <w:r w:rsidRPr="007F39A2">
        <w:t xml:space="preserve"> </w:t>
      </w:r>
      <w:r w:rsidRPr="007F39A2">
        <w:rPr>
          <w:lang w:val="es-ES_tradnl"/>
        </w:rPr>
        <w:t>Corte Constitucional, sentencias C-078 de 2023 y C-050 de 2024.</w:t>
      </w:r>
    </w:p>
  </w:footnote>
  <w:footnote w:id="65">
    <w:p w14:paraId="66C341DE" w14:textId="0229B368" w:rsidR="009E6162" w:rsidRPr="007F39A2" w:rsidRDefault="009E6162">
      <w:pPr>
        <w:pStyle w:val="Textonotapie"/>
      </w:pPr>
      <w:r w:rsidRPr="007F39A2">
        <w:rPr>
          <w:rStyle w:val="Refdenotaalpie"/>
        </w:rPr>
        <w:footnoteRef/>
      </w:r>
      <w:r w:rsidRPr="007F39A2">
        <w:t xml:space="preserve"> Corte Constitucional, sentencia</w:t>
      </w:r>
      <w:r w:rsidR="00854BA2" w:rsidRPr="007F39A2">
        <w:t>s</w:t>
      </w:r>
      <w:r w:rsidR="00B0128A" w:rsidRPr="007F39A2">
        <w:t xml:space="preserve"> </w:t>
      </w:r>
      <w:r w:rsidR="007E2A5F" w:rsidRPr="007F39A2">
        <w:t xml:space="preserve">C-1052 de 2001, </w:t>
      </w:r>
      <w:r w:rsidR="00305C77" w:rsidRPr="007F39A2">
        <w:t xml:space="preserve">C-1074 de 2002, </w:t>
      </w:r>
      <w:r w:rsidR="00B0128A" w:rsidRPr="007F39A2">
        <w:t>C-284 de 2014, C-091 de 2022, C-219 de 2024 y</w:t>
      </w:r>
      <w:r w:rsidRPr="007F39A2">
        <w:t xml:space="preserve"> C-400 de 2024.</w:t>
      </w:r>
    </w:p>
  </w:footnote>
  <w:footnote w:id="66">
    <w:p w14:paraId="52D00685" w14:textId="1B563C56" w:rsidR="00F716E8" w:rsidRPr="007F39A2" w:rsidRDefault="00F716E8">
      <w:pPr>
        <w:pStyle w:val="Textonotapie"/>
      </w:pPr>
      <w:r w:rsidRPr="007F39A2">
        <w:rPr>
          <w:rStyle w:val="Refdenotaalpie"/>
        </w:rPr>
        <w:footnoteRef/>
      </w:r>
      <w:r w:rsidRPr="007F39A2">
        <w:t xml:space="preserve"> Corte Constitucional, </w:t>
      </w:r>
      <w:r w:rsidR="002512A7" w:rsidRPr="007F39A2">
        <w:t xml:space="preserve">Sentencia </w:t>
      </w:r>
      <w:r w:rsidR="00EF76DE" w:rsidRPr="007F39A2">
        <w:t xml:space="preserve">C-400 de 2024. </w:t>
      </w:r>
      <w:r w:rsidR="00EF76DE" w:rsidRPr="007F39A2">
        <w:rPr>
          <w:i/>
          <w:iCs/>
        </w:rPr>
        <w:t xml:space="preserve">Cfr. </w:t>
      </w:r>
      <w:r w:rsidR="00EF76DE" w:rsidRPr="007F39A2">
        <w:t>Sentencias C-402 de 1997, C-1074 de 2002 y C-022 de 2004.</w:t>
      </w:r>
    </w:p>
  </w:footnote>
  <w:footnote w:id="67">
    <w:p w14:paraId="31141800" w14:textId="77777777" w:rsidR="004E3D83" w:rsidRPr="007F39A2" w:rsidRDefault="004E3D83" w:rsidP="004E3D83">
      <w:pPr>
        <w:pStyle w:val="Textonotapie"/>
      </w:pPr>
      <w:r w:rsidRPr="007F39A2">
        <w:rPr>
          <w:vertAlign w:val="superscript"/>
        </w:rPr>
        <w:footnoteRef/>
      </w:r>
      <w:r w:rsidRPr="007F39A2">
        <w:t xml:space="preserve"> </w:t>
      </w:r>
      <w:r w:rsidRPr="007F39A2">
        <w:rPr>
          <w:szCs w:val="20"/>
          <w:lang w:val="es-ES_tradnl"/>
        </w:rPr>
        <w:t>Corte Constitucional, sentencias</w:t>
      </w:r>
      <w:r w:rsidRPr="007F39A2">
        <w:rPr>
          <w:lang w:val="es-MX"/>
        </w:rPr>
        <w:t xml:space="preserve"> C-1033 de 2006 y C-501 de 2014. </w:t>
      </w:r>
    </w:p>
  </w:footnote>
  <w:footnote w:id="68">
    <w:p w14:paraId="6AE9913D" w14:textId="23DE8859" w:rsidR="004E3D83" w:rsidRPr="007F39A2" w:rsidRDefault="004E3D83" w:rsidP="004E3D83">
      <w:pPr>
        <w:pStyle w:val="Textonotapie"/>
      </w:pPr>
      <w:r w:rsidRPr="007F39A2">
        <w:rPr>
          <w:rStyle w:val="Refdenotaalpie"/>
        </w:rPr>
        <w:footnoteRef/>
      </w:r>
      <w:r w:rsidRPr="007F39A2">
        <w:t xml:space="preserve"> Corte Constitucional, </w:t>
      </w:r>
      <w:r w:rsidR="002512A7" w:rsidRPr="007F39A2">
        <w:t xml:space="preserve">Sentencia </w:t>
      </w:r>
      <w:r w:rsidRPr="007F39A2">
        <w:t>C-501 de 2014.</w:t>
      </w:r>
    </w:p>
  </w:footnote>
  <w:footnote w:id="69">
    <w:p w14:paraId="1D75B7D0" w14:textId="3DF819C9" w:rsidR="004E3D83" w:rsidRPr="007F39A2" w:rsidRDefault="004E3D83" w:rsidP="004E3D83">
      <w:pPr>
        <w:pStyle w:val="Textonotapie"/>
      </w:pPr>
      <w:r w:rsidRPr="007F39A2">
        <w:rPr>
          <w:rStyle w:val="Refdenotaalpie"/>
        </w:rPr>
        <w:footnoteRef/>
      </w:r>
      <w:r w:rsidRPr="007F39A2">
        <w:t xml:space="preserve"> Corte Constitucional, </w:t>
      </w:r>
      <w:r w:rsidR="002512A7" w:rsidRPr="007F39A2">
        <w:t xml:space="preserve">Sentencia </w:t>
      </w:r>
      <w:r w:rsidRPr="007F39A2">
        <w:t xml:space="preserve">C-411 de 2022. </w:t>
      </w:r>
    </w:p>
  </w:footnote>
  <w:footnote w:id="70">
    <w:p w14:paraId="48197A8F" w14:textId="77777777" w:rsidR="004E3D83" w:rsidRPr="007F39A2" w:rsidRDefault="004E3D83" w:rsidP="004E3D83">
      <w:pPr>
        <w:pStyle w:val="Textonotapie"/>
        <w:rPr>
          <w:szCs w:val="20"/>
        </w:rPr>
      </w:pPr>
      <w:r w:rsidRPr="007F39A2">
        <w:rPr>
          <w:rStyle w:val="Refdenotaalpie"/>
          <w:szCs w:val="20"/>
        </w:rPr>
        <w:footnoteRef/>
      </w:r>
      <w:r w:rsidRPr="007F39A2">
        <w:rPr>
          <w:szCs w:val="20"/>
        </w:rPr>
        <w:t xml:space="preserve"> </w:t>
      </w:r>
      <w:r w:rsidRPr="007F39A2">
        <w:rPr>
          <w:szCs w:val="20"/>
          <w:lang w:val="es-ES_tradnl"/>
        </w:rPr>
        <w:t>Corte Constitucional, sentencias C-121 de 2012, C-091 de 2017, C-411 de 2022 y C-021 de 2023.</w:t>
      </w:r>
    </w:p>
  </w:footnote>
  <w:footnote w:id="71">
    <w:p w14:paraId="147F8B2E" w14:textId="2B707327" w:rsidR="004E3D83" w:rsidRPr="007F39A2" w:rsidRDefault="004E3D83" w:rsidP="004E3D83">
      <w:pPr>
        <w:pStyle w:val="Textonotapie"/>
        <w:rPr>
          <w:lang w:val="es-ES_tradnl"/>
        </w:rPr>
      </w:pPr>
      <w:r w:rsidRPr="007F39A2">
        <w:rPr>
          <w:rStyle w:val="Refdenotaalpie"/>
        </w:rPr>
        <w:footnoteRef/>
      </w:r>
      <w:r w:rsidRPr="007F39A2">
        <w:t xml:space="preserve"> </w:t>
      </w:r>
      <w:r w:rsidRPr="007F39A2">
        <w:rPr>
          <w:lang w:val="es-ES_tradnl"/>
        </w:rPr>
        <w:t xml:space="preserve">Corte Constitucional, sentencias </w:t>
      </w:r>
      <w:r w:rsidRPr="007F39A2">
        <w:rPr>
          <w:bCs/>
          <w:color w:val="000000" w:themeColor="text1"/>
        </w:rPr>
        <w:t>C-488 de 2009, C-501 de 2014, C-297 de 2016</w:t>
      </w:r>
      <w:r w:rsidR="00B14B49" w:rsidRPr="007F39A2">
        <w:rPr>
          <w:bCs/>
          <w:color w:val="000000" w:themeColor="text1"/>
        </w:rPr>
        <w:t xml:space="preserve"> y</w:t>
      </w:r>
      <w:r w:rsidRPr="007F39A2">
        <w:rPr>
          <w:bCs/>
          <w:color w:val="000000" w:themeColor="text1"/>
        </w:rPr>
        <w:t xml:space="preserve"> C-411 de 2022.</w:t>
      </w:r>
    </w:p>
  </w:footnote>
  <w:footnote w:id="72">
    <w:p w14:paraId="7C0B2545" w14:textId="519B9C75" w:rsidR="004E3D83" w:rsidRPr="007F39A2" w:rsidRDefault="004E3D83" w:rsidP="004E3D83">
      <w:pPr>
        <w:pStyle w:val="Textonotapie"/>
        <w:rPr>
          <w:lang w:val="es-ES_tradnl"/>
        </w:rPr>
      </w:pPr>
      <w:r w:rsidRPr="007F39A2">
        <w:rPr>
          <w:rStyle w:val="Refdenotaalpie"/>
        </w:rPr>
        <w:footnoteRef/>
      </w:r>
      <w:r w:rsidRPr="007F39A2">
        <w:t xml:space="preserve"> </w:t>
      </w:r>
      <w:r w:rsidRPr="007F39A2">
        <w:rPr>
          <w:lang w:val="es-ES_tradnl"/>
        </w:rPr>
        <w:t xml:space="preserve">Corte Constitucional, </w:t>
      </w:r>
      <w:r w:rsidR="002512A7" w:rsidRPr="007F39A2">
        <w:rPr>
          <w:lang w:val="es-ES_tradnl"/>
        </w:rPr>
        <w:t xml:space="preserve">Sentencia </w:t>
      </w:r>
      <w:r w:rsidRPr="007F39A2">
        <w:rPr>
          <w:lang w:val="es-ES_tradnl"/>
        </w:rPr>
        <w:t>C-501 de 2014.</w:t>
      </w:r>
    </w:p>
  </w:footnote>
  <w:footnote w:id="73">
    <w:p w14:paraId="52A1C5CC" w14:textId="53C67816" w:rsidR="004E3D83" w:rsidRPr="007F39A2" w:rsidRDefault="004E3D83" w:rsidP="004E3D83">
      <w:pPr>
        <w:pStyle w:val="Textonotapie"/>
        <w:rPr>
          <w:lang w:val="es-ES_tradnl"/>
        </w:rPr>
      </w:pPr>
      <w:r w:rsidRPr="007F39A2">
        <w:rPr>
          <w:rStyle w:val="Refdenotaalpie"/>
        </w:rPr>
        <w:footnoteRef/>
      </w:r>
      <w:r w:rsidRPr="007F39A2">
        <w:t xml:space="preserve"> </w:t>
      </w:r>
      <w:r w:rsidRPr="007F39A2">
        <w:rPr>
          <w:lang w:val="es-ES_tradnl"/>
        </w:rPr>
        <w:t xml:space="preserve">Corte Constitucional, </w:t>
      </w:r>
      <w:r w:rsidR="002512A7" w:rsidRPr="007F39A2">
        <w:rPr>
          <w:lang w:val="es-ES_tradnl"/>
        </w:rPr>
        <w:t xml:space="preserve">Sentencia </w:t>
      </w:r>
      <w:r w:rsidRPr="007F39A2">
        <w:rPr>
          <w:lang w:val="es-ES_tradnl"/>
        </w:rPr>
        <w:t>C-297 de 2016.</w:t>
      </w:r>
    </w:p>
  </w:footnote>
  <w:footnote w:id="74">
    <w:p w14:paraId="232DF502" w14:textId="77777777" w:rsidR="004E3D83" w:rsidRPr="007F39A2" w:rsidRDefault="004E3D83" w:rsidP="004E3D83">
      <w:pPr>
        <w:pStyle w:val="Textonotapie"/>
        <w:rPr>
          <w:lang w:val="es-ES_tradnl"/>
        </w:rPr>
      </w:pPr>
      <w:r w:rsidRPr="007F39A2">
        <w:rPr>
          <w:rStyle w:val="Refdenotaalpie"/>
        </w:rPr>
        <w:footnoteRef/>
      </w:r>
      <w:r w:rsidRPr="007F39A2">
        <w:t xml:space="preserve"> </w:t>
      </w:r>
      <w:r w:rsidRPr="007F39A2">
        <w:rPr>
          <w:lang w:val="es-ES_tradnl"/>
        </w:rPr>
        <w:t>Ib.</w:t>
      </w:r>
    </w:p>
  </w:footnote>
  <w:footnote w:id="75">
    <w:p w14:paraId="351D15A9" w14:textId="77777777" w:rsidR="004E3D83" w:rsidRPr="007F39A2" w:rsidRDefault="004E3D83" w:rsidP="004E3D83">
      <w:pPr>
        <w:pStyle w:val="Textonotapie"/>
      </w:pPr>
      <w:r w:rsidRPr="007F39A2">
        <w:rPr>
          <w:rStyle w:val="Refdenotaalpie"/>
        </w:rPr>
        <w:footnoteRef/>
      </w:r>
      <w:r w:rsidRPr="007F39A2">
        <w:t xml:space="preserve"> La jurisprudencia ha señalado que dentro de los límites al amplio margen de configuración normativa del legislador en materia penal se encuentra el principio de exclusiva protección de bienes jurídicos, los principios de necesidad de la intervención penal, culpabilidad, proporcionalidad y razonabilidad y el bloque de constitucionalidad. </w:t>
      </w:r>
      <w:r w:rsidRPr="007F39A2">
        <w:rPr>
          <w:i/>
          <w:iCs/>
        </w:rPr>
        <w:t>Cfr.</w:t>
      </w:r>
      <w:r w:rsidRPr="007F39A2">
        <w:t xml:space="preserve"> Corte Constitucional, sentencias </w:t>
      </w:r>
      <w:r w:rsidRPr="007F39A2">
        <w:rPr>
          <w:color w:val="000000" w:themeColor="text1"/>
        </w:rPr>
        <w:t xml:space="preserve">C-489 de 2002, C-365 de 2012, </w:t>
      </w:r>
      <w:r w:rsidRPr="007F39A2">
        <w:t xml:space="preserve">C-387 de 2014, </w:t>
      </w:r>
      <w:r w:rsidRPr="007F39A2">
        <w:rPr>
          <w:color w:val="000000" w:themeColor="text1"/>
        </w:rPr>
        <w:t xml:space="preserve">C-181 de 2016, C-042 de 2018, </w:t>
      </w:r>
      <w:r w:rsidRPr="007F39A2">
        <w:t>C-411 de 2022, entre otras.</w:t>
      </w:r>
    </w:p>
  </w:footnote>
  <w:footnote w:id="76">
    <w:p w14:paraId="37D4B642" w14:textId="77777777" w:rsidR="004E3D83" w:rsidRPr="007F39A2" w:rsidRDefault="004E3D83" w:rsidP="004E3D83">
      <w:pPr>
        <w:pStyle w:val="Textonotapie"/>
        <w:rPr>
          <w:lang w:val="es-ES_tradnl"/>
        </w:rPr>
      </w:pPr>
      <w:r w:rsidRPr="007F39A2">
        <w:rPr>
          <w:rStyle w:val="Refdenotaalpie"/>
        </w:rPr>
        <w:footnoteRef/>
      </w:r>
      <w:r w:rsidRPr="007F39A2">
        <w:t xml:space="preserve"> </w:t>
      </w:r>
      <w:r w:rsidRPr="007F39A2">
        <w:rPr>
          <w:lang w:val="es-ES_tradnl"/>
        </w:rPr>
        <w:t xml:space="preserve">Corte Constitucional, sentencias </w:t>
      </w:r>
      <w:r w:rsidRPr="007F39A2">
        <w:t>C-939 de 2002 y</w:t>
      </w:r>
      <w:r w:rsidRPr="007F39A2">
        <w:rPr>
          <w:lang w:val="es-ES_tradnl"/>
        </w:rPr>
        <w:t xml:space="preserve"> C-411 de 2022.</w:t>
      </w:r>
    </w:p>
  </w:footnote>
  <w:footnote w:id="77">
    <w:p w14:paraId="7660CEDA" w14:textId="61A0B293" w:rsidR="004E3D83" w:rsidRPr="007F39A2" w:rsidRDefault="004E3D83" w:rsidP="004E3D83">
      <w:pPr>
        <w:pStyle w:val="Textonotapie"/>
      </w:pPr>
      <w:r w:rsidRPr="007F39A2">
        <w:rPr>
          <w:vertAlign w:val="superscript"/>
        </w:rPr>
        <w:footnoteRef/>
      </w:r>
      <w:r w:rsidRPr="007F39A2">
        <w:t xml:space="preserve"> Corte Constitucional, </w:t>
      </w:r>
      <w:r w:rsidR="002512A7" w:rsidRPr="007F39A2">
        <w:t xml:space="preserve">Sentencia </w:t>
      </w:r>
      <w:r w:rsidRPr="007F39A2">
        <w:t xml:space="preserve">C-038 de 1995. Ver también, </w:t>
      </w:r>
      <w:r w:rsidR="002512A7" w:rsidRPr="007F39A2">
        <w:t xml:space="preserve">Sentencia </w:t>
      </w:r>
      <w:r w:rsidRPr="007F39A2">
        <w:t xml:space="preserve">C-442 de 2011. </w:t>
      </w:r>
    </w:p>
  </w:footnote>
  <w:footnote w:id="78">
    <w:p w14:paraId="7AEC68F8" w14:textId="77777777" w:rsidR="004E3D83" w:rsidRPr="007F39A2" w:rsidRDefault="004E3D83" w:rsidP="004E3D83">
      <w:pPr>
        <w:pStyle w:val="Textonotapie"/>
        <w:rPr>
          <w:lang w:val="es-MX"/>
        </w:rPr>
      </w:pPr>
      <w:r w:rsidRPr="007F39A2">
        <w:rPr>
          <w:rStyle w:val="Refdenotaalpie"/>
        </w:rPr>
        <w:footnoteRef/>
      </w:r>
      <w:r w:rsidRPr="007F39A2">
        <w:t xml:space="preserve"> </w:t>
      </w:r>
      <w:r w:rsidRPr="007F39A2">
        <w:rPr>
          <w:lang w:val="es-MX"/>
        </w:rPr>
        <w:t xml:space="preserve">Corte Constitucional, sentencias C-559 de 1999 y C-367 de 2022. </w:t>
      </w:r>
    </w:p>
  </w:footnote>
  <w:footnote w:id="79">
    <w:p w14:paraId="5A83E1F6" w14:textId="40191487" w:rsidR="004E3D83" w:rsidRPr="007F39A2" w:rsidRDefault="004E3D83" w:rsidP="004E3D83">
      <w:pPr>
        <w:pStyle w:val="Textonotapie"/>
        <w:rPr>
          <w:lang w:val="es-MX"/>
        </w:rPr>
      </w:pPr>
      <w:r w:rsidRPr="007F39A2">
        <w:rPr>
          <w:rStyle w:val="Refdenotaalpie"/>
        </w:rPr>
        <w:footnoteRef/>
      </w:r>
      <w:r w:rsidRPr="007F39A2">
        <w:t xml:space="preserve"> </w:t>
      </w:r>
      <w:r w:rsidRPr="007F39A2">
        <w:rPr>
          <w:lang w:val="es-MX"/>
        </w:rPr>
        <w:t xml:space="preserve">Corte Constitucional, </w:t>
      </w:r>
      <w:r w:rsidR="002512A7" w:rsidRPr="007F39A2">
        <w:rPr>
          <w:lang w:val="es-MX"/>
        </w:rPr>
        <w:t xml:space="preserve">Sentencia </w:t>
      </w:r>
      <w:r w:rsidRPr="007F39A2">
        <w:rPr>
          <w:lang w:val="es-MX"/>
        </w:rPr>
        <w:t xml:space="preserve">C-204 de 2023. </w:t>
      </w:r>
    </w:p>
  </w:footnote>
  <w:footnote w:id="80">
    <w:p w14:paraId="10807B8D" w14:textId="45931499" w:rsidR="004E3D83" w:rsidRPr="007F39A2" w:rsidRDefault="004E3D83" w:rsidP="004E3D83">
      <w:pPr>
        <w:pStyle w:val="Textonotapie"/>
        <w:rPr>
          <w:szCs w:val="20"/>
        </w:rPr>
      </w:pPr>
      <w:r w:rsidRPr="007F39A2">
        <w:rPr>
          <w:rStyle w:val="Refdenotaalpie"/>
          <w:szCs w:val="20"/>
        </w:rPr>
        <w:footnoteRef/>
      </w:r>
      <w:r w:rsidRPr="007F39A2">
        <w:rPr>
          <w:szCs w:val="20"/>
        </w:rPr>
        <w:t xml:space="preserve"> </w:t>
      </w:r>
      <w:r w:rsidRPr="007F39A2">
        <w:rPr>
          <w:szCs w:val="20"/>
          <w:lang w:val="es-ES_tradnl"/>
        </w:rPr>
        <w:t xml:space="preserve">Corte Constitucional, sentencias C-599 de 1999, C-843 de 1999, C-501 de 2014, C-297 de 2016, C-367 de 2022. C-411 de 2022, C-204 de 2023, entre otras. </w:t>
      </w:r>
      <w:r w:rsidR="00FE434E" w:rsidRPr="007F39A2">
        <w:rPr>
          <w:szCs w:val="20"/>
          <w:lang w:val="es-ES_tradnl"/>
        </w:rPr>
        <w:t xml:space="preserve"> Con todo, la jurisprudencia constitucional ha precisado que, conforme a la Ley 137 de 1994, el Presidente de la República puede crear tipos penales en estados de excepción. </w:t>
      </w:r>
      <w:r w:rsidR="00FE434E" w:rsidRPr="007F39A2">
        <w:rPr>
          <w:i/>
          <w:iCs/>
          <w:szCs w:val="20"/>
          <w:lang w:val="es-ES_tradnl"/>
        </w:rPr>
        <w:t xml:space="preserve">Cfr. </w:t>
      </w:r>
      <w:r w:rsidR="00FE434E" w:rsidRPr="007F39A2">
        <w:rPr>
          <w:szCs w:val="20"/>
          <w:lang w:val="es-ES_tradnl"/>
        </w:rPr>
        <w:t>Sentencia</w:t>
      </w:r>
      <w:r w:rsidR="00FA02F6" w:rsidRPr="007F39A2">
        <w:rPr>
          <w:szCs w:val="20"/>
          <w:lang w:val="es-ES_tradnl"/>
        </w:rPr>
        <w:t>s</w:t>
      </w:r>
      <w:r w:rsidR="00735384" w:rsidRPr="007F39A2">
        <w:rPr>
          <w:szCs w:val="20"/>
          <w:lang w:val="es-ES_tradnl"/>
        </w:rPr>
        <w:t xml:space="preserve"> C-</w:t>
      </w:r>
      <w:r w:rsidR="00FA02F6" w:rsidRPr="007F39A2">
        <w:rPr>
          <w:szCs w:val="20"/>
          <w:lang w:val="es-ES_tradnl"/>
        </w:rPr>
        <w:t>179 de 1994, C-224 de 2009</w:t>
      </w:r>
      <w:r w:rsidR="005048CD" w:rsidRPr="007F39A2">
        <w:rPr>
          <w:szCs w:val="20"/>
          <w:lang w:val="es-ES_tradnl"/>
        </w:rPr>
        <w:t xml:space="preserve"> y C-225 de 2009.</w:t>
      </w:r>
    </w:p>
  </w:footnote>
  <w:footnote w:id="81">
    <w:p w14:paraId="2C109A41" w14:textId="77777777" w:rsidR="004E3D83" w:rsidRPr="007F39A2" w:rsidRDefault="004E3D83" w:rsidP="004E3D83">
      <w:pPr>
        <w:pStyle w:val="Textonotapie"/>
        <w:rPr>
          <w:szCs w:val="20"/>
        </w:rPr>
      </w:pPr>
      <w:r w:rsidRPr="007F39A2">
        <w:rPr>
          <w:rStyle w:val="Refdenotaalpie"/>
          <w:szCs w:val="20"/>
        </w:rPr>
        <w:footnoteRef/>
      </w:r>
      <w:r w:rsidRPr="007F39A2">
        <w:rPr>
          <w:szCs w:val="20"/>
        </w:rPr>
        <w:t xml:space="preserve"> </w:t>
      </w:r>
      <w:r w:rsidRPr="007F39A2">
        <w:rPr>
          <w:szCs w:val="20"/>
          <w:lang w:val="es-ES_tradnl"/>
        </w:rPr>
        <w:t xml:space="preserve">Corte Constitucional, sentencias </w:t>
      </w:r>
      <w:r w:rsidRPr="007F39A2">
        <w:rPr>
          <w:szCs w:val="20"/>
        </w:rPr>
        <w:t xml:space="preserve">C-205 de 2003, C-365 de 2012, C-041 de 2017, C-297 de 2016, C-204 de 2023, entre otras. De acuerdo con este principio, </w:t>
      </w:r>
      <w:r w:rsidRPr="007F39A2">
        <w:rPr>
          <w:szCs w:val="20"/>
          <w:lang w:val="es-AR"/>
        </w:rPr>
        <w:t>un hecho no puede considerarse delito ni ser objeto de sanción si no existe una ley previa que así lo establezca, salvo el principio de favorabilidad.</w:t>
      </w:r>
    </w:p>
  </w:footnote>
  <w:footnote w:id="82">
    <w:p w14:paraId="13FA74C6" w14:textId="21E1F050" w:rsidR="004E3D83" w:rsidRPr="007F39A2" w:rsidRDefault="004E3D83" w:rsidP="004E3D83">
      <w:pPr>
        <w:pStyle w:val="Textonotapie"/>
        <w:rPr>
          <w:szCs w:val="20"/>
          <w:lang w:val="es-ES_tradnl"/>
        </w:rPr>
      </w:pPr>
      <w:r w:rsidRPr="007F39A2">
        <w:rPr>
          <w:rStyle w:val="Refdenotaalpie"/>
          <w:szCs w:val="20"/>
        </w:rPr>
        <w:footnoteRef/>
      </w:r>
      <w:r w:rsidRPr="007F39A2">
        <w:rPr>
          <w:szCs w:val="20"/>
        </w:rPr>
        <w:t xml:space="preserve"> </w:t>
      </w:r>
      <w:r w:rsidRPr="007F39A2">
        <w:rPr>
          <w:szCs w:val="20"/>
          <w:lang w:val="es-ES_tradnl"/>
        </w:rPr>
        <w:t xml:space="preserve">Corte Constitucional, </w:t>
      </w:r>
      <w:r w:rsidR="002512A7" w:rsidRPr="007F39A2">
        <w:rPr>
          <w:szCs w:val="20"/>
          <w:lang w:val="es-ES_tradnl"/>
        </w:rPr>
        <w:t xml:space="preserve">Sentencia </w:t>
      </w:r>
      <w:r w:rsidRPr="007F39A2">
        <w:rPr>
          <w:szCs w:val="20"/>
          <w:lang w:val="es-ES_tradnl"/>
        </w:rPr>
        <w:t>C-091 de 2017.</w:t>
      </w:r>
    </w:p>
  </w:footnote>
  <w:footnote w:id="83">
    <w:p w14:paraId="0A5E9C83" w14:textId="77777777" w:rsidR="004E3D83" w:rsidRPr="007F39A2" w:rsidRDefault="004E3D83" w:rsidP="004E3D83">
      <w:pPr>
        <w:pStyle w:val="Textonotapie"/>
      </w:pPr>
      <w:r w:rsidRPr="007F39A2">
        <w:rPr>
          <w:vertAlign w:val="superscript"/>
        </w:rPr>
        <w:footnoteRef/>
      </w:r>
      <w:r w:rsidRPr="007F39A2">
        <w:t xml:space="preserve"> Corte Constitucional, sentencias C-996 de 2000, C-177 de 2001 y C-084 de 2013, entre otras.</w:t>
      </w:r>
    </w:p>
  </w:footnote>
  <w:footnote w:id="84">
    <w:p w14:paraId="6AA6F320" w14:textId="77777777" w:rsidR="004E3D83" w:rsidRPr="007F39A2" w:rsidRDefault="004E3D83" w:rsidP="004E3D83">
      <w:pPr>
        <w:pStyle w:val="Textonotapie"/>
        <w:rPr>
          <w:szCs w:val="20"/>
          <w:lang w:val="es-ES_tradnl"/>
        </w:rPr>
      </w:pPr>
      <w:r w:rsidRPr="007F39A2">
        <w:rPr>
          <w:rStyle w:val="Refdenotaalpie"/>
          <w:szCs w:val="20"/>
        </w:rPr>
        <w:footnoteRef/>
      </w:r>
      <w:r w:rsidRPr="007F39A2">
        <w:rPr>
          <w:szCs w:val="20"/>
        </w:rPr>
        <w:t xml:space="preserve"> </w:t>
      </w:r>
      <w:r w:rsidRPr="007F39A2">
        <w:rPr>
          <w:szCs w:val="20"/>
          <w:lang w:val="es-ES_tradnl"/>
        </w:rPr>
        <w:t xml:space="preserve">Corte Constitucional, sentencias C-367 de 2022 y C-021 de 2023. Este principio también se encuentra previsto en el artículo 6º del Código Penal. “ARTÍCULO 10. TIPICIDAD. La ley penal definirá de manera inequívoca, expresa y clara las características básicas estructurales del tipo penal”. </w:t>
      </w:r>
    </w:p>
  </w:footnote>
  <w:footnote w:id="85">
    <w:p w14:paraId="21CA12E8" w14:textId="77777777" w:rsidR="004E3D83" w:rsidRPr="007F39A2" w:rsidRDefault="004E3D83" w:rsidP="004E3D83">
      <w:pPr>
        <w:pStyle w:val="Textonotapie"/>
        <w:rPr>
          <w:szCs w:val="20"/>
          <w:lang w:val="es-ES_tradnl"/>
        </w:rPr>
      </w:pPr>
      <w:r w:rsidRPr="007F39A2">
        <w:rPr>
          <w:rStyle w:val="Refdenotaalpie"/>
          <w:szCs w:val="20"/>
        </w:rPr>
        <w:footnoteRef/>
      </w:r>
      <w:r w:rsidRPr="007F39A2">
        <w:rPr>
          <w:szCs w:val="20"/>
        </w:rPr>
        <w:t xml:space="preserve"> </w:t>
      </w:r>
      <w:r w:rsidRPr="007F39A2">
        <w:rPr>
          <w:i/>
          <w:iCs/>
          <w:szCs w:val="20"/>
          <w:lang w:val="es-ES_tradnl"/>
        </w:rPr>
        <w:t xml:space="preserve">Cfr. </w:t>
      </w:r>
      <w:r w:rsidRPr="007F39A2">
        <w:rPr>
          <w:szCs w:val="20"/>
          <w:lang w:val="es-ES_tradnl"/>
        </w:rPr>
        <w:t xml:space="preserve">Sentencias </w:t>
      </w:r>
      <w:r w:rsidRPr="007F39A2">
        <w:rPr>
          <w:szCs w:val="20"/>
        </w:rPr>
        <w:t xml:space="preserve">C-559 de 1999, C-843 de 1999, C-739 de 2000, C-1164 de 2000, C-205 de 2003, C-897 de 2005, </w:t>
      </w:r>
      <w:r w:rsidRPr="007F39A2">
        <w:rPr>
          <w:szCs w:val="20"/>
          <w:lang w:val="es-ES_tradnl"/>
        </w:rPr>
        <w:t xml:space="preserve">C-393 de 2006, </w:t>
      </w:r>
      <w:r w:rsidRPr="007F39A2">
        <w:rPr>
          <w:szCs w:val="20"/>
        </w:rPr>
        <w:t>C-335 de 2008, C-442 de 2011,</w:t>
      </w:r>
      <w:r w:rsidRPr="007F39A2">
        <w:rPr>
          <w:szCs w:val="20"/>
          <w:lang w:val="es-ES_tradnl"/>
        </w:rPr>
        <w:t xml:space="preserve"> C-297 de 2016, </w:t>
      </w:r>
      <w:r w:rsidRPr="007F39A2">
        <w:rPr>
          <w:iCs/>
        </w:rPr>
        <w:t>C-539 de 2016,</w:t>
      </w:r>
      <w:r w:rsidRPr="007F39A2">
        <w:rPr>
          <w:szCs w:val="20"/>
          <w:lang w:val="es-ES_tradnl"/>
        </w:rPr>
        <w:t xml:space="preserve"> C-091 de 2017, C-411 de 2022, entre muchas otras.</w:t>
      </w:r>
    </w:p>
  </w:footnote>
  <w:footnote w:id="86">
    <w:p w14:paraId="6044008E" w14:textId="77777777" w:rsidR="004E3D83" w:rsidRPr="007F39A2" w:rsidRDefault="004E3D83" w:rsidP="004E3D83">
      <w:pPr>
        <w:pStyle w:val="Textonotapie"/>
        <w:rPr>
          <w:szCs w:val="20"/>
          <w:lang w:val="es-ES_tradnl"/>
        </w:rPr>
      </w:pPr>
      <w:r w:rsidRPr="007F39A2">
        <w:rPr>
          <w:rStyle w:val="Refdenotaalpie"/>
          <w:szCs w:val="20"/>
        </w:rPr>
        <w:footnoteRef/>
      </w:r>
      <w:r w:rsidRPr="007F39A2">
        <w:rPr>
          <w:szCs w:val="20"/>
        </w:rPr>
        <w:t xml:space="preserve"> </w:t>
      </w:r>
      <w:r w:rsidRPr="007F39A2">
        <w:rPr>
          <w:szCs w:val="20"/>
          <w:lang w:val="es-ES_tradnl"/>
        </w:rPr>
        <w:t xml:space="preserve">Corte Constitucional, sentencias C-091 de 2017, C-367 de 2022, C-411 de 2022 y C-021 de 2023. De acuerdo con la jurisprudencia, </w:t>
      </w:r>
      <w:r w:rsidRPr="007F39A2">
        <w:rPr>
          <w:iCs/>
          <w:lang w:val="es-ES"/>
        </w:rPr>
        <w:t xml:space="preserve">una norma es clara y precisa cuando es posible </w:t>
      </w:r>
      <w:r w:rsidRPr="007F39A2">
        <w:rPr>
          <w:lang w:val="es-ES_tradnl"/>
        </w:rPr>
        <w:t xml:space="preserve">“conocer con exactitud cuáles son los comportamientos prohibidos” de modo que “la labor de los jueces, en el proceso de adecuación típica, se limit[e] a determinar si, conforme a los hechos probados en el proceso, el acusado cometió o no el hecho punible que se le imputa”. </w:t>
      </w:r>
      <w:r w:rsidRPr="007F39A2">
        <w:rPr>
          <w:i/>
          <w:iCs/>
          <w:lang w:val="es-ES_tradnl"/>
        </w:rPr>
        <w:t>Cfr.</w:t>
      </w:r>
      <w:r w:rsidRPr="007F39A2">
        <w:rPr>
          <w:lang w:val="es-ES_tradnl"/>
        </w:rPr>
        <w:t xml:space="preserve"> Sentencias </w:t>
      </w:r>
      <w:r w:rsidRPr="007F39A2">
        <w:rPr>
          <w:szCs w:val="20"/>
          <w:lang w:val="es-ES_tradnl"/>
        </w:rPr>
        <w:t>C-559 de 1999 y C-843 de 1999.</w:t>
      </w:r>
    </w:p>
  </w:footnote>
  <w:footnote w:id="87">
    <w:p w14:paraId="2BD64338" w14:textId="73CCE388" w:rsidR="004E3D83" w:rsidRPr="007F39A2" w:rsidRDefault="004E3D83" w:rsidP="004E3D83">
      <w:pPr>
        <w:pStyle w:val="Textonotapie"/>
        <w:rPr>
          <w:szCs w:val="20"/>
        </w:rPr>
      </w:pPr>
      <w:r w:rsidRPr="007F39A2">
        <w:rPr>
          <w:rStyle w:val="Refdenotaalpie"/>
          <w:szCs w:val="20"/>
        </w:rPr>
        <w:footnoteRef/>
      </w:r>
      <w:r w:rsidRPr="007F39A2">
        <w:rPr>
          <w:szCs w:val="20"/>
        </w:rPr>
        <w:t xml:space="preserve"> Corte Constitucional, </w:t>
      </w:r>
      <w:r w:rsidR="002512A7" w:rsidRPr="007F39A2">
        <w:rPr>
          <w:szCs w:val="20"/>
        </w:rPr>
        <w:t xml:space="preserve">Sentencia </w:t>
      </w:r>
      <w:r w:rsidRPr="007F39A2">
        <w:rPr>
          <w:szCs w:val="20"/>
        </w:rPr>
        <w:t>C-367 de 2022.</w:t>
      </w:r>
    </w:p>
  </w:footnote>
  <w:footnote w:id="88">
    <w:p w14:paraId="55DD89F1" w14:textId="1641DAA2" w:rsidR="004E3D83" w:rsidRPr="007F39A2" w:rsidRDefault="004E3D83" w:rsidP="004E3D83">
      <w:pPr>
        <w:pStyle w:val="Textonotapie"/>
      </w:pPr>
      <w:r w:rsidRPr="007F39A2">
        <w:rPr>
          <w:rStyle w:val="Refdenotaalpie"/>
        </w:rPr>
        <w:footnoteRef/>
      </w:r>
      <w:r w:rsidRPr="007F39A2">
        <w:t xml:space="preserve"> Corte IDH. </w:t>
      </w:r>
      <w:r w:rsidRPr="007F39A2">
        <w:rPr>
          <w:i/>
          <w:iCs/>
        </w:rPr>
        <w:t>Caso Liakat Ali Alibux vs. Suriname</w:t>
      </w:r>
      <w:r w:rsidRPr="007F39A2">
        <w:t xml:space="preserve">. </w:t>
      </w:r>
      <w:r w:rsidR="002512A7" w:rsidRPr="007F39A2">
        <w:t xml:space="preserve">Sentencia </w:t>
      </w:r>
      <w:r w:rsidRPr="007F39A2">
        <w:t xml:space="preserve">del 30 de enero de 2014. (Excepciones Preliminares, Fondo, Reparaciones y Costas).  </w:t>
      </w:r>
    </w:p>
  </w:footnote>
  <w:footnote w:id="89">
    <w:p w14:paraId="2F01D125" w14:textId="77777777" w:rsidR="004E3D83" w:rsidRPr="007F39A2" w:rsidRDefault="004E3D83" w:rsidP="004E3D83">
      <w:pPr>
        <w:pStyle w:val="Textonotapie"/>
        <w:rPr>
          <w:rFonts w:cs="Times New Roman"/>
          <w:szCs w:val="20"/>
        </w:rPr>
      </w:pPr>
      <w:r w:rsidRPr="007F39A2">
        <w:rPr>
          <w:rStyle w:val="Refdenotaalpie"/>
          <w:rFonts w:cs="Times New Roman"/>
          <w:szCs w:val="20"/>
        </w:rPr>
        <w:footnoteRef/>
      </w:r>
      <w:r w:rsidRPr="007F39A2">
        <w:rPr>
          <w:rFonts w:cs="Times New Roman"/>
          <w:szCs w:val="20"/>
        </w:rPr>
        <w:t xml:space="preserve"> </w:t>
      </w:r>
      <w:r w:rsidRPr="007F39A2">
        <w:rPr>
          <w:szCs w:val="20"/>
          <w:lang w:val="es-ES_tradnl"/>
        </w:rPr>
        <w:t>Corte Constitucional, sentencias</w:t>
      </w:r>
      <w:r w:rsidRPr="007F39A2">
        <w:rPr>
          <w:rFonts w:cs="Times New Roman"/>
          <w:szCs w:val="20"/>
        </w:rPr>
        <w:t xml:space="preserve"> C-133 de 1999 y </w:t>
      </w:r>
      <w:r w:rsidRPr="007F39A2">
        <w:rPr>
          <w:szCs w:val="20"/>
          <w:lang w:val="es-ES_tradnl"/>
        </w:rPr>
        <w:t>C-559 de 1999.</w:t>
      </w:r>
    </w:p>
  </w:footnote>
  <w:footnote w:id="90">
    <w:p w14:paraId="73C1562D" w14:textId="44DDA00E" w:rsidR="004E3D83" w:rsidRPr="007F39A2" w:rsidRDefault="004E3D83" w:rsidP="004E3D83">
      <w:pPr>
        <w:pStyle w:val="Textonotapie"/>
      </w:pPr>
      <w:r w:rsidRPr="007F39A2">
        <w:rPr>
          <w:rStyle w:val="Refdenotaalpie"/>
        </w:rPr>
        <w:footnoteRef/>
      </w:r>
      <w:r w:rsidRPr="007F39A2">
        <w:t xml:space="preserve"> </w:t>
      </w:r>
      <w:r w:rsidRPr="007F39A2">
        <w:rPr>
          <w:szCs w:val="20"/>
          <w:lang w:val="es-ES_tradnl"/>
        </w:rPr>
        <w:t xml:space="preserve">Corte Constitucional, </w:t>
      </w:r>
      <w:r w:rsidR="002512A7" w:rsidRPr="007F39A2">
        <w:rPr>
          <w:szCs w:val="20"/>
          <w:lang w:val="es-ES_tradnl"/>
        </w:rPr>
        <w:t xml:space="preserve">Sentencia </w:t>
      </w:r>
      <w:r w:rsidRPr="007F39A2">
        <w:rPr>
          <w:szCs w:val="20"/>
          <w:lang w:val="es-ES_tradnl"/>
        </w:rPr>
        <w:t>C-091 de 2017.</w:t>
      </w:r>
    </w:p>
  </w:footnote>
  <w:footnote w:id="91">
    <w:p w14:paraId="5B13DF1A" w14:textId="365A9F38" w:rsidR="004E3D83" w:rsidRPr="007F39A2" w:rsidRDefault="004E3D83" w:rsidP="004E3D83">
      <w:pPr>
        <w:pStyle w:val="Textonotapie"/>
        <w:rPr>
          <w:lang w:val="es-MX"/>
        </w:rPr>
      </w:pPr>
      <w:r w:rsidRPr="007F39A2">
        <w:rPr>
          <w:rStyle w:val="Refdenotaalpie"/>
        </w:rPr>
        <w:footnoteRef/>
      </w:r>
      <w:r w:rsidRPr="007F39A2">
        <w:t xml:space="preserve"> </w:t>
      </w:r>
      <w:r w:rsidRPr="007F39A2">
        <w:rPr>
          <w:lang w:val="es-MX"/>
        </w:rPr>
        <w:t>Corte Constitucional, sentencias C-</w:t>
      </w:r>
      <w:r w:rsidR="00CE0FBC" w:rsidRPr="007F39A2">
        <w:rPr>
          <w:lang w:val="es-MX"/>
        </w:rPr>
        <w:t>091 de 2017</w:t>
      </w:r>
      <w:r w:rsidR="00C5198F" w:rsidRPr="007F39A2">
        <w:rPr>
          <w:lang w:val="es-MX"/>
        </w:rPr>
        <w:t xml:space="preserve"> y C-021 de 2023</w:t>
      </w:r>
      <w:r w:rsidRPr="007F39A2">
        <w:rPr>
          <w:lang w:val="es-MX"/>
        </w:rPr>
        <w:t xml:space="preserve">. </w:t>
      </w:r>
    </w:p>
  </w:footnote>
  <w:footnote w:id="92">
    <w:p w14:paraId="2462D1B9" w14:textId="13A79597" w:rsidR="004E3D83" w:rsidRPr="007F39A2" w:rsidRDefault="004E3D83" w:rsidP="004E3D83">
      <w:pPr>
        <w:pStyle w:val="Textonotapie"/>
        <w:rPr>
          <w:lang w:val="es-MX"/>
        </w:rPr>
      </w:pPr>
      <w:r w:rsidRPr="007F39A2">
        <w:rPr>
          <w:rStyle w:val="Refdenotaalpie"/>
        </w:rPr>
        <w:footnoteRef/>
      </w:r>
      <w:r w:rsidRPr="007F39A2">
        <w:t xml:space="preserve"> </w:t>
      </w:r>
      <w:r w:rsidRPr="007F39A2">
        <w:rPr>
          <w:lang w:val="es-MX"/>
        </w:rPr>
        <w:t xml:space="preserve">Corte Constitucional, </w:t>
      </w:r>
      <w:r w:rsidR="002512A7" w:rsidRPr="007F39A2">
        <w:rPr>
          <w:lang w:val="es-MX"/>
        </w:rPr>
        <w:t xml:space="preserve">Sentencia </w:t>
      </w:r>
      <w:r w:rsidRPr="007F39A2">
        <w:rPr>
          <w:lang w:val="es-MX"/>
        </w:rPr>
        <w:t>C-091 de 2017. “</w:t>
      </w:r>
      <w:r w:rsidRPr="007F39A2">
        <w:t xml:space="preserve">Como lo indicó la Corte en la </w:t>
      </w:r>
      <w:r w:rsidR="002512A7" w:rsidRPr="007F39A2">
        <w:t>S</w:t>
      </w:r>
      <w:r w:rsidRPr="007F39A2">
        <w:t xml:space="preserve">entencia C-539 de 2016, la ambigüedad y la vaguedad (y por lo tanto la textura abierta y la relativa indeterminación de las expresiones) son características </w:t>
      </w:r>
      <w:r w:rsidR="00260C7F" w:rsidRPr="007F39A2">
        <w:t>‘</w:t>
      </w:r>
      <w:r w:rsidRPr="007F39A2">
        <w:t>consustanciales y prácticamente ineliminables del lenguaje natural</w:t>
      </w:r>
      <w:r w:rsidR="00260C7F" w:rsidRPr="007F39A2">
        <w:t>’</w:t>
      </w:r>
      <w:r w:rsidRPr="007F39A2">
        <w:t xml:space="preserve">. Como el Legislador dicta sus normas a través de enunciados que también pertenecen al lenguaje natural, todo tipo penal sufrirá un mínimo de indeterminación, pero no por ello resultan incompatibles con el principio de taxatividad penal. Al momento de verificar el cumplimiento del principio de legalidad estricta, debe indagarse si es posible, con fundamento en una interpretación razonable y a partir de referentes objetivos y verificables, trazar la </w:t>
      </w:r>
      <w:r w:rsidR="00260C7F" w:rsidRPr="007F39A2">
        <w:t>‘</w:t>
      </w:r>
      <w:r w:rsidRPr="007F39A2">
        <w:t>frontera que divida con suficiente claridad el comportamiento lícito del ilícito</w:t>
      </w:r>
      <w:r w:rsidR="00260C7F" w:rsidRPr="007F39A2">
        <w:t>’</w:t>
      </w:r>
      <w:r w:rsidRPr="007F39A2">
        <w:t xml:space="preserve">”. </w:t>
      </w:r>
    </w:p>
  </w:footnote>
  <w:footnote w:id="93">
    <w:p w14:paraId="7E14618C" w14:textId="0B7FC713" w:rsidR="004E3D83" w:rsidRPr="007F39A2" w:rsidRDefault="004E3D83" w:rsidP="004E3D83">
      <w:pPr>
        <w:pStyle w:val="Textonotapie"/>
        <w:rPr>
          <w:lang w:val="es-MX"/>
        </w:rPr>
      </w:pPr>
      <w:r w:rsidRPr="007F39A2">
        <w:rPr>
          <w:rStyle w:val="Refdenotaalpie"/>
        </w:rPr>
        <w:footnoteRef/>
      </w:r>
      <w:r w:rsidRPr="007F39A2">
        <w:t xml:space="preserve"> </w:t>
      </w:r>
      <w:r w:rsidRPr="007F39A2">
        <w:rPr>
          <w:lang w:val="es-MX"/>
        </w:rPr>
        <w:t xml:space="preserve">Corte Constitucional, </w:t>
      </w:r>
      <w:r w:rsidR="002512A7" w:rsidRPr="007F39A2">
        <w:rPr>
          <w:lang w:val="es-MX"/>
        </w:rPr>
        <w:t xml:space="preserve">Sentencia </w:t>
      </w:r>
      <w:r w:rsidR="003148CD" w:rsidRPr="007F39A2">
        <w:rPr>
          <w:lang w:val="es-MX"/>
        </w:rPr>
        <w:t>C-367 de 2022.</w:t>
      </w:r>
    </w:p>
  </w:footnote>
  <w:footnote w:id="94">
    <w:p w14:paraId="6EEF32AA" w14:textId="5EC8BF84" w:rsidR="004E3D83" w:rsidRPr="007F39A2" w:rsidRDefault="004E3D83" w:rsidP="004E3D83">
      <w:pPr>
        <w:pStyle w:val="Textonotapie"/>
        <w:rPr>
          <w:lang w:val="es-ES_tradnl"/>
        </w:rPr>
      </w:pPr>
      <w:r w:rsidRPr="007F39A2">
        <w:rPr>
          <w:rStyle w:val="Refdenotaalpie"/>
        </w:rPr>
        <w:footnoteRef/>
      </w:r>
      <w:r w:rsidRPr="007F39A2">
        <w:t xml:space="preserve"> Corte Constitucional, sentencias C-041 de 2017, C-014 de 2023 y C-204 de 2023. </w:t>
      </w:r>
    </w:p>
  </w:footnote>
  <w:footnote w:id="95">
    <w:p w14:paraId="697798DE" w14:textId="4004E564" w:rsidR="004E3D83" w:rsidRPr="007F39A2" w:rsidRDefault="004E3D83" w:rsidP="004E3D83">
      <w:pPr>
        <w:pStyle w:val="Textonotapie"/>
        <w:ind w:right="-234"/>
        <w:rPr>
          <w:szCs w:val="20"/>
        </w:rPr>
      </w:pPr>
      <w:r w:rsidRPr="007F39A2">
        <w:rPr>
          <w:rStyle w:val="Refdenotaalpie"/>
          <w:szCs w:val="20"/>
        </w:rPr>
        <w:footnoteRef/>
      </w:r>
      <w:r w:rsidRPr="007F39A2">
        <w:rPr>
          <w:szCs w:val="20"/>
        </w:rPr>
        <w:t xml:space="preserve"> </w:t>
      </w:r>
      <w:r w:rsidRPr="007F39A2">
        <w:rPr>
          <w:szCs w:val="20"/>
          <w:lang w:val="es-ES_tradnl"/>
        </w:rPr>
        <w:t xml:space="preserve">Corte Constitucional, sentencias </w:t>
      </w:r>
      <w:r w:rsidRPr="007F39A2">
        <w:rPr>
          <w:szCs w:val="20"/>
        </w:rPr>
        <w:t xml:space="preserve">C-121 de 2012 y C-041 de 2017. En esa medida, en la </w:t>
      </w:r>
      <w:r w:rsidR="002512A7" w:rsidRPr="007F39A2">
        <w:rPr>
          <w:szCs w:val="20"/>
        </w:rPr>
        <w:t xml:space="preserve">Sentencia </w:t>
      </w:r>
      <w:r w:rsidRPr="007F39A2">
        <w:rPr>
          <w:szCs w:val="20"/>
        </w:rPr>
        <w:t>C-742 de 2012</w:t>
      </w:r>
      <w:r w:rsidR="00D70F3A" w:rsidRPr="007F39A2">
        <w:rPr>
          <w:szCs w:val="20"/>
        </w:rPr>
        <w:t>,</w:t>
      </w:r>
      <w:r w:rsidRPr="007F39A2">
        <w:rPr>
          <w:szCs w:val="20"/>
        </w:rPr>
        <w:t xml:space="preserve"> esta Corte explicó que una indeterminación o imprecisión en la norma penal es superable: </w:t>
      </w:r>
      <w:r w:rsidRPr="007F39A2">
        <w:rPr>
          <w:i/>
          <w:iCs/>
          <w:szCs w:val="20"/>
        </w:rPr>
        <w:t>(i)</w:t>
      </w:r>
      <w:r w:rsidRPr="007F39A2">
        <w:rPr>
          <w:szCs w:val="20"/>
        </w:rPr>
        <w:t xml:space="preserve"> si la norma penal es sometida a una interpretación razonable y después de ello se asegura a la ciudadanía un grado admisible de previsibilidad sobre las consecuencias jurídicas de determinados comportamientos; </w:t>
      </w:r>
      <w:r w:rsidRPr="007F39A2">
        <w:rPr>
          <w:i/>
          <w:iCs/>
          <w:szCs w:val="20"/>
        </w:rPr>
        <w:t>(ii)</w:t>
      </w:r>
      <w:r w:rsidRPr="007F39A2">
        <w:rPr>
          <w:szCs w:val="20"/>
        </w:rPr>
        <w:t xml:space="preserve"> si se garantiza el derecho a la defensa de los acusados por la norma en cuestión; y </w:t>
      </w:r>
      <w:r w:rsidRPr="007F39A2">
        <w:rPr>
          <w:i/>
          <w:iCs/>
          <w:szCs w:val="20"/>
        </w:rPr>
        <w:t xml:space="preserve">(iii) </w:t>
      </w:r>
      <w:r w:rsidRPr="007F39A2">
        <w:rPr>
          <w:szCs w:val="20"/>
        </w:rPr>
        <w:t>si es posible, después de un razonamiento previo, entender con claridad cuál es el bien jurídico que se quiere proteger y cuál es el comportamiento que se quiere desestimular.</w:t>
      </w:r>
    </w:p>
  </w:footnote>
  <w:footnote w:id="96">
    <w:p w14:paraId="2C307941" w14:textId="16E0FDBB" w:rsidR="004E3D83" w:rsidRPr="007F39A2" w:rsidRDefault="004E3D83" w:rsidP="004E3D83">
      <w:pPr>
        <w:pStyle w:val="Textonotapie"/>
        <w:rPr>
          <w:lang w:val="es-MX"/>
        </w:rPr>
      </w:pPr>
      <w:r w:rsidRPr="007F39A2">
        <w:rPr>
          <w:rStyle w:val="Refdenotaalpie"/>
        </w:rPr>
        <w:footnoteRef/>
      </w:r>
      <w:r w:rsidRPr="007F39A2">
        <w:t xml:space="preserve"> </w:t>
      </w:r>
      <w:r w:rsidRPr="007F39A2">
        <w:rPr>
          <w:lang w:val="es-MX"/>
        </w:rPr>
        <w:t xml:space="preserve">Corte Constitucional, </w:t>
      </w:r>
      <w:r w:rsidR="002512A7" w:rsidRPr="007F39A2">
        <w:rPr>
          <w:lang w:val="es-MX"/>
        </w:rPr>
        <w:t xml:space="preserve">Sentencia </w:t>
      </w:r>
      <w:r w:rsidRPr="007F39A2">
        <w:rPr>
          <w:lang w:val="es-MX"/>
        </w:rPr>
        <w:t>C-204 de 2023</w:t>
      </w:r>
      <w:r w:rsidR="001F0982" w:rsidRPr="007F39A2">
        <w:rPr>
          <w:lang w:val="es-MX"/>
        </w:rPr>
        <w:t>.</w:t>
      </w:r>
    </w:p>
  </w:footnote>
  <w:footnote w:id="97">
    <w:p w14:paraId="5AA88F13" w14:textId="77777777" w:rsidR="004E3D83" w:rsidRPr="007F39A2" w:rsidRDefault="004E3D83" w:rsidP="004E3D83">
      <w:pPr>
        <w:pStyle w:val="Textonotapie"/>
        <w:rPr>
          <w:lang w:val="es-MX"/>
        </w:rPr>
      </w:pPr>
      <w:r w:rsidRPr="007F39A2">
        <w:rPr>
          <w:rStyle w:val="Refdenotaalpie"/>
        </w:rPr>
        <w:footnoteRef/>
      </w:r>
      <w:r w:rsidRPr="007F39A2">
        <w:t xml:space="preserve"> </w:t>
      </w:r>
      <w:r w:rsidRPr="007F39A2">
        <w:rPr>
          <w:lang w:val="es-MX"/>
        </w:rPr>
        <w:t>Ib.</w:t>
      </w:r>
    </w:p>
  </w:footnote>
  <w:footnote w:id="98">
    <w:p w14:paraId="0F85AB4A" w14:textId="720AB5A2" w:rsidR="004E3D83" w:rsidRPr="007F39A2" w:rsidRDefault="004E3D83" w:rsidP="004E3D83">
      <w:pPr>
        <w:pStyle w:val="Textonotapie"/>
      </w:pPr>
      <w:r w:rsidRPr="007F39A2">
        <w:rPr>
          <w:rStyle w:val="Refdenotaalpie"/>
        </w:rPr>
        <w:footnoteRef/>
      </w:r>
      <w:r w:rsidRPr="007F39A2">
        <w:t xml:space="preserve"> Corte Constitucional, sentencias C-559 de 1999, C-488 de 2009, C-297 de 2016 y C-411 de 2022. </w:t>
      </w:r>
    </w:p>
  </w:footnote>
  <w:footnote w:id="99">
    <w:p w14:paraId="1608F221" w14:textId="50729E96" w:rsidR="004E3D83" w:rsidRPr="007F39A2" w:rsidRDefault="004E3D83" w:rsidP="004E3D83">
      <w:pPr>
        <w:pStyle w:val="Textonotapie"/>
      </w:pPr>
      <w:r w:rsidRPr="007F39A2">
        <w:rPr>
          <w:rStyle w:val="Refdenotaalpie"/>
        </w:rPr>
        <w:footnoteRef/>
      </w:r>
      <w:r w:rsidRPr="007F39A2">
        <w:t xml:space="preserve"> Corte Constitucional, </w:t>
      </w:r>
      <w:r w:rsidR="002512A7" w:rsidRPr="007F39A2">
        <w:t xml:space="preserve">Sentencia </w:t>
      </w:r>
      <w:r w:rsidRPr="007F39A2">
        <w:t xml:space="preserve">C-091 de 2017. </w:t>
      </w:r>
    </w:p>
  </w:footnote>
  <w:footnote w:id="100">
    <w:p w14:paraId="703D90F6" w14:textId="630D7DE4" w:rsidR="004E3D83" w:rsidRPr="007F39A2" w:rsidRDefault="004E3D83" w:rsidP="004E3D83">
      <w:pPr>
        <w:pStyle w:val="Textonotapie"/>
        <w:rPr>
          <w:lang w:val="es-MX"/>
        </w:rPr>
      </w:pPr>
      <w:r w:rsidRPr="007F39A2">
        <w:rPr>
          <w:rStyle w:val="Refdenotaalpie"/>
        </w:rPr>
        <w:footnoteRef/>
      </w:r>
      <w:r w:rsidRPr="007F39A2">
        <w:t xml:space="preserve"> </w:t>
      </w:r>
      <w:r w:rsidRPr="007F39A2">
        <w:rPr>
          <w:lang w:val="es-MX"/>
        </w:rPr>
        <w:t xml:space="preserve">Corte Constitucional, </w:t>
      </w:r>
      <w:r w:rsidR="002512A7" w:rsidRPr="007F39A2">
        <w:rPr>
          <w:lang w:val="es-MX"/>
        </w:rPr>
        <w:t xml:space="preserve">Sentencia </w:t>
      </w:r>
      <w:r w:rsidRPr="007F39A2">
        <w:rPr>
          <w:lang w:val="es-MX"/>
        </w:rPr>
        <w:t xml:space="preserve">C-367 de 2022. Ver también, </w:t>
      </w:r>
      <w:r w:rsidR="002512A7" w:rsidRPr="007F39A2">
        <w:rPr>
          <w:lang w:val="es-MX"/>
        </w:rPr>
        <w:t xml:space="preserve">Sentencia </w:t>
      </w:r>
      <w:r w:rsidRPr="007F39A2">
        <w:rPr>
          <w:lang w:val="es-MX"/>
        </w:rPr>
        <w:t xml:space="preserve">C-014 de 2023. </w:t>
      </w:r>
    </w:p>
  </w:footnote>
  <w:footnote w:id="101">
    <w:p w14:paraId="04EF1752" w14:textId="071EC608" w:rsidR="004E3D83" w:rsidRPr="007F39A2" w:rsidRDefault="004E3D83" w:rsidP="004E3D83">
      <w:pPr>
        <w:pStyle w:val="Textonotapie"/>
      </w:pPr>
      <w:r w:rsidRPr="007F39A2">
        <w:rPr>
          <w:rStyle w:val="Refdenotaalpie"/>
        </w:rPr>
        <w:footnoteRef/>
      </w:r>
      <w:r w:rsidRPr="007F39A2">
        <w:t xml:space="preserve"> Corte Constitucional, sentencias C-091 de 2017 y C-411 de 2022. </w:t>
      </w:r>
    </w:p>
  </w:footnote>
  <w:footnote w:id="102">
    <w:p w14:paraId="635E521E" w14:textId="74D83D99" w:rsidR="004E3D83" w:rsidRPr="007F39A2" w:rsidRDefault="004E3D83" w:rsidP="004E3D83">
      <w:pPr>
        <w:pStyle w:val="Textonotapie"/>
      </w:pPr>
      <w:r w:rsidRPr="007F39A2">
        <w:rPr>
          <w:rStyle w:val="Refdenotaalpie"/>
        </w:rPr>
        <w:footnoteRef/>
      </w:r>
      <w:r w:rsidRPr="007F39A2">
        <w:t xml:space="preserve"> </w:t>
      </w:r>
      <w:r w:rsidRPr="007F39A2">
        <w:rPr>
          <w:szCs w:val="20"/>
        </w:rPr>
        <w:t xml:space="preserve">Corte Constitucional, </w:t>
      </w:r>
      <w:r w:rsidR="002512A7" w:rsidRPr="007F39A2">
        <w:rPr>
          <w:szCs w:val="20"/>
        </w:rPr>
        <w:t xml:space="preserve">Sentencia </w:t>
      </w:r>
      <w:r w:rsidRPr="007F39A2">
        <w:rPr>
          <w:szCs w:val="20"/>
        </w:rPr>
        <w:t>C-091 de 2017.</w:t>
      </w:r>
    </w:p>
  </w:footnote>
  <w:footnote w:id="103">
    <w:p w14:paraId="348144FB" w14:textId="603A70A1" w:rsidR="004E3D83" w:rsidRPr="007F39A2" w:rsidRDefault="004E3D83" w:rsidP="004E3D83">
      <w:pPr>
        <w:pStyle w:val="Textonotapie"/>
        <w:rPr>
          <w:lang w:val="es-ES_tradnl"/>
        </w:rPr>
      </w:pPr>
      <w:r w:rsidRPr="007F39A2">
        <w:rPr>
          <w:rStyle w:val="Refdenotaalpie"/>
        </w:rPr>
        <w:footnoteRef/>
      </w:r>
      <w:r w:rsidRPr="007F39A2">
        <w:t xml:space="preserve"> Corte Constitucional, sentencias </w:t>
      </w:r>
      <w:r w:rsidRPr="007F39A2">
        <w:rPr>
          <w:color w:val="000000" w:themeColor="text1"/>
        </w:rPr>
        <w:t xml:space="preserve">C-127 de 1993, C-599 de 1999, C-739 de 2000 y </w:t>
      </w:r>
      <w:r w:rsidRPr="007F39A2">
        <w:t>C-367 de 2022.</w:t>
      </w:r>
    </w:p>
  </w:footnote>
  <w:footnote w:id="104">
    <w:p w14:paraId="5E40233B" w14:textId="26C017FC" w:rsidR="004E3D83" w:rsidRPr="007F39A2" w:rsidRDefault="004E3D83" w:rsidP="004E3D83">
      <w:pPr>
        <w:pStyle w:val="Textonotapie"/>
      </w:pPr>
      <w:r w:rsidRPr="007F39A2">
        <w:rPr>
          <w:rStyle w:val="Refdenotaalpie"/>
        </w:rPr>
        <w:footnoteRef/>
      </w:r>
      <w:r w:rsidRPr="007F39A2">
        <w:t xml:space="preserve"> </w:t>
      </w:r>
      <w:r w:rsidRPr="007F39A2">
        <w:rPr>
          <w:i/>
          <w:iCs/>
        </w:rPr>
        <w:t xml:space="preserve">Cfr. </w:t>
      </w:r>
      <w:r w:rsidR="002512A7" w:rsidRPr="007F39A2">
        <w:t xml:space="preserve">Sentencia </w:t>
      </w:r>
      <w:r w:rsidRPr="007F39A2">
        <w:t xml:space="preserve">C-605 de 2006 y C-297 de 2016. </w:t>
      </w:r>
    </w:p>
  </w:footnote>
  <w:footnote w:id="105">
    <w:p w14:paraId="5D94644D" w14:textId="5D2B006A" w:rsidR="004E3D83" w:rsidRPr="007F39A2" w:rsidRDefault="004E3D83" w:rsidP="004E3D83">
      <w:pPr>
        <w:pStyle w:val="Textonotapie"/>
      </w:pPr>
      <w:r w:rsidRPr="007F39A2">
        <w:rPr>
          <w:rStyle w:val="Refdenotaalpie"/>
        </w:rPr>
        <w:footnoteRef/>
      </w:r>
      <w:r w:rsidRPr="007F39A2">
        <w:t xml:space="preserve"> Corte Constitucional, sentencia</w:t>
      </w:r>
      <w:r w:rsidR="00D26D1B" w:rsidRPr="007F39A2">
        <w:t>s</w:t>
      </w:r>
      <w:r w:rsidRPr="007F39A2">
        <w:t xml:space="preserve"> C-851 de 2009, C-442 de 2011, C-121 de 2012, C-501 de 2014, C-367 de 2022 y C-411 de 2022.</w:t>
      </w:r>
    </w:p>
  </w:footnote>
  <w:footnote w:id="106">
    <w:p w14:paraId="20D8BDF5" w14:textId="3264ECB3" w:rsidR="004E3D83" w:rsidRPr="007F39A2" w:rsidRDefault="004E3D83" w:rsidP="004E3D83">
      <w:pPr>
        <w:pStyle w:val="Textonotapie"/>
      </w:pPr>
      <w:r w:rsidRPr="007F39A2">
        <w:rPr>
          <w:rStyle w:val="Refdenotaalpie"/>
        </w:rPr>
        <w:footnoteRef/>
      </w:r>
      <w:r w:rsidRPr="007F39A2">
        <w:t xml:space="preserve"> Corte Constitucional, </w:t>
      </w:r>
      <w:r w:rsidR="002512A7" w:rsidRPr="007F39A2">
        <w:t xml:space="preserve">Sentencia </w:t>
      </w:r>
      <w:r w:rsidRPr="007F39A2">
        <w:t xml:space="preserve">C-739 de 2000. </w:t>
      </w:r>
    </w:p>
  </w:footnote>
  <w:footnote w:id="107">
    <w:p w14:paraId="35FC2DA1" w14:textId="77777777" w:rsidR="004E3D83" w:rsidRPr="007F39A2" w:rsidRDefault="004E3D83" w:rsidP="004E3D83">
      <w:pPr>
        <w:pStyle w:val="Textonotapie"/>
      </w:pPr>
      <w:r w:rsidRPr="007F39A2">
        <w:rPr>
          <w:rStyle w:val="Refdenotaalpie"/>
        </w:rPr>
        <w:footnoteRef/>
      </w:r>
      <w:r w:rsidRPr="007F39A2">
        <w:t xml:space="preserve"> Ib. </w:t>
      </w:r>
    </w:p>
  </w:footnote>
  <w:footnote w:id="108">
    <w:p w14:paraId="266F5A39" w14:textId="64D953CF" w:rsidR="004E3D83" w:rsidRPr="007F39A2" w:rsidRDefault="004E3D83" w:rsidP="004E3D83">
      <w:pPr>
        <w:pStyle w:val="Textonotapie"/>
        <w:rPr>
          <w:lang w:val="es-MX"/>
        </w:rPr>
      </w:pPr>
      <w:r w:rsidRPr="007F39A2">
        <w:rPr>
          <w:rStyle w:val="Refdenotaalpie"/>
        </w:rPr>
        <w:footnoteRef/>
      </w:r>
      <w:r w:rsidRPr="007F39A2">
        <w:t xml:space="preserve"> Corte Suprema de Justicia, Sala de Casación Penal, </w:t>
      </w:r>
      <w:r w:rsidR="002512A7" w:rsidRPr="007F39A2">
        <w:t xml:space="preserve">Sentencia </w:t>
      </w:r>
      <w:r w:rsidRPr="007F39A2">
        <w:t xml:space="preserve">SP14190-2016. </w:t>
      </w:r>
    </w:p>
  </w:footnote>
  <w:footnote w:id="109">
    <w:p w14:paraId="18E5034B" w14:textId="0F4B8DE8" w:rsidR="004E3D83" w:rsidRPr="007F39A2" w:rsidRDefault="004E3D83" w:rsidP="004E3D83">
      <w:pPr>
        <w:pStyle w:val="Textonotapie"/>
        <w:rPr>
          <w:lang w:val="es-MX"/>
        </w:rPr>
      </w:pPr>
      <w:r w:rsidRPr="007F39A2">
        <w:rPr>
          <w:rStyle w:val="Refdenotaalpie"/>
        </w:rPr>
        <w:footnoteRef/>
      </w:r>
      <w:r w:rsidRPr="007F39A2">
        <w:t xml:space="preserve"> </w:t>
      </w:r>
      <w:r w:rsidRPr="007F39A2">
        <w:rPr>
          <w:lang w:val="es-MX"/>
        </w:rPr>
        <w:t xml:space="preserve">Corte Constitucional, </w:t>
      </w:r>
      <w:r w:rsidR="002512A7" w:rsidRPr="007F39A2">
        <w:rPr>
          <w:lang w:val="es-MX"/>
        </w:rPr>
        <w:t xml:space="preserve">Sentencia </w:t>
      </w:r>
      <w:r w:rsidRPr="007F39A2">
        <w:rPr>
          <w:lang w:val="es-MX"/>
        </w:rPr>
        <w:t xml:space="preserve">C-605 de 2006. Ver también, </w:t>
      </w:r>
      <w:r w:rsidR="002512A7" w:rsidRPr="007F39A2">
        <w:rPr>
          <w:lang w:val="es-MX"/>
        </w:rPr>
        <w:t xml:space="preserve">Sentencia </w:t>
      </w:r>
      <w:r w:rsidRPr="007F39A2">
        <w:rPr>
          <w:lang w:val="es-MX"/>
        </w:rPr>
        <w:t xml:space="preserve">C-442 de 2011. </w:t>
      </w:r>
    </w:p>
  </w:footnote>
  <w:footnote w:id="110">
    <w:p w14:paraId="24BC0BC5" w14:textId="47A27B37" w:rsidR="004E3D83" w:rsidRPr="007F39A2" w:rsidRDefault="004E3D83" w:rsidP="004E3D83">
      <w:pPr>
        <w:pStyle w:val="Textonotapie"/>
        <w:rPr>
          <w:lang w:val="es-MX"/>
        </w:rPr>
      </w:pPr>
      <w:r w:rsidRPr="007F39A2">
        <w:rPr>
          <w:rStyle w:val="Refdenotaalpie"/>
        </w:rPr>
        <w:footnoteRef/>
      </w:r>
      <w:r w:rsidRPr="007F39A2">
        <w:t xml:space="preserve"> </w:t>
      </w:r>
      <w:r w:rsidR="006B7CDB" w:rsidRPr="007F39A2">
        <w:rPr>
          <w:szCs w:val="20"/>
          <w:lang w:val="es-ES_tradnl"/>
        </w:rPr>
        <w:t>Corte Constitucional, sentencias C-605 de 2006, C-297 de 2016 y C-367 de 2022.</w:t>
      </w:r>
    </w:p>
  </w:footnote>
  <w:footnote w:id="111">
    <w:p w14:paraId="4CA74C4E" w14:textId="4396E262" w:rsidR="000F6187" w:rsidRPr="007F39A2" w:rsidRDefault="000F6187">
      <w:pPr>
        <w:pStyle w:val="Textonotapie"/>
      </w:pPr>
      <w:r w:rsidRPr="007F39A2">
        <w:rPr>
          <w:rStyle w:val="Refdenotaalpie"/>
        </w:rPr>
        <w:footnoteRef/>
      </w:r>
      <w:r w:rsidRPr="007F39A2">
        <w:t xml:space="preserve"> La S</w:t>
      </w:r>
      <w:r w:rsidR="00902B12" w:rsidRPr="007F39A2">
        <w:t>ala advierte que la jurisprudencia constitucional no ha sido pacífica</w:t>
      </w:r>
      <w:r w:rsidR="00BD5F04" w:rsidRPr="007F39A2">
        <w:t xml:space="preserve"> en el uso de estas categorías. De un lado, en</w:t>
      </w:r>
      <w:r w:rsidR="003018C9" w:rsidRPr="007F39A2">
        <w:t xml:space="preserve"> las sentencias C-605 de 2006, C-501 de 2014 y C-297 de 2016 la Corte señaló la remisión propia es aquella que se hace a normas de rango infralegal y la impropia a normas de rango legal. De otro, en las</w:t>
      </w:r>
      <w:r w:rsidR="00A97A95" w:rsidRPr="007F39A2">
        <w:t xml:space="preserve"> en las sentencias C-091 de 2017, C-367 de 2022 y la C-021 de 2023 la Corte señaló que la remisión es impropia si el tipo penal se integra con normas de rango infra legal. Habida cuenta de que el último es el precedente más reciente fijado por la Sala Plena, la Corte Constitucional adoptará esta clasificación.</w:t>
      </w:r>
    </w:p>
  </w:footnote>
  <w:footnote w:id="112">
    <w:p w14:paraId="5D1C4EE5" w14:textId="27BEE256" w:rsidR="004E3D83" w:rsidRPr="007F39A2" w:rsidRDefault="004E3D83" w:rsidP="004E3D83">
      <w:pPr>
        <w:pStyle w:val="Textonotapie"/>
      </w:pPr>
      <w:r w:rsidRPr="007F39A2">
        <w:rPr>
          <w:rStyle w:val="Refdenotaalpie"/>
        </w:rPr>
        <w:footnoteRef/>
      </w:r>
      <w:r w:rsidRPr="007F39A2">
        <w:t xml:space="preserve"> </w:t>
      </w:r>
      <w:r w:rsidRPr="007F39A2">
        <w:rPr>
          <w:lang w:val="es-MX"/>
        </w:rPr>
        <w:t xml:space="preserve">Corte Constitucional, sentencias </w:t>
      </w:r>
      <w:r w:rsidR="00152523" w:rsidRPr="007F39A2">
        <w:rPr>
          <w:szCs w:val="20"/>
        </w:rPr>
        <w:t xml:space="preserve">C-559 de 1999, C-739 de 2000, </w:t>
      </w:r>
      <w:r w:rsidR="00152523" w:rsidRPr="007F39A2">
        <w:rPr>
          <w:szCs w:val="20"/>
          <w:lang w:val="es-ES_tradnl"/>
        </w:rPr>
        <w:t>C-1161 de 2000, C-1490 de 2000, C-917 de 2001, C-343 de 2006, C-605 de 2006, C-851 de 2009, C-501 de 2014, C-367 de 2022, entre otras</w:t>
      </w:r>
      <w:r w:rsidRPr="007F39A2">
        <w:rPr>
          <w:lang w:val="es-MX"/>
        </w:rPr>
        <w:t xml:space="preserve">. </w:t>
      </w:r>
    </w:p>
  </w:footnote>
  <w:footnote w:id="113">
    <w:p w14:paraId="220B883A" w14:textId="02D1A552" w:rsidR="004E3D83" w:rsidRPr="007F39A2" w:rsidRDefault="004E3D83" w:rsidP="004E3D83">
      <w:pPr>
        <w:pStyle w:val="Textonotapie"/>
      </w:pPr>
      <w:r w:rsidRPr="007F39A2">
        <w:rPr>
          <w:rStyle w:val="Refdenotaalpie"/>
        </w:rPr>
        <w:footnoteRef/>
      </w:r>
      <w:r w:rsidRPr="007F39A2">
        <w:t xml:space="preserve"> Corte Constitucional, sentencias C-739 de 2000 y C-367 de 2022.</w:t>
      </w:r>
    </w:p>
  </w:footnote>
  <w:footnote w:id="114">
    <w:p w14:paraId="2F75D52A" w14:textId="15E95ECC" w:rsidR="004E3D83" w:rsidRPr="007F39A2" w:rsidRDefault="004E3D83" w:rsidP="004E3D83">
      <w:pPr>
        <w:pStyle w:val="Textonotapie"/>
        <w:rPr>
          <w:szCs w:val="20"/>
        </w:rPr>
      </w:pPr>
      <w:r w:rsidRPr="007F39A2">
        <w:rPr>
          <w:szCs w:val="20"/>
          <w:vertAlign w:val="superscript"/>
        </w:rPr>
        <w:footnoteRef/>
      </w:r>
      <w:r w:rsidRPr="007F39A2">
        <w:rPr>
          <w:szCs w:val="20"/>
        </w:rPr>
        <w:t xml:space="preserve"> </w:t>
      </w:r>
      <w:r w:rsidRPr="007F39A2">
        <w:rPr>
          <w:szCs w:val="20"/>
          <w:lang w:val="es-ES_tradnl"/>
        </w:rPr>
        <w:t xml:space="preserve">Corte Constitucional, sentencias </w:t>
      </w:r>
      <w:r w:rsidRPr="007F39A2">
        <w:rPr>
          <w:szCs w:val="20"/>
        </w:rPr>
        <w:t>C-605 de 2006 y C-501 de 2014. La Corte Constitucional ha resaltado “la importancia de los tipos penales en blanco como institutos de perfeccionamiento del derecho penal, en la medida en que permiten la penetración de la sanción en la cada vez más compleja sociedad contemporánea”.</w:t>
      </w:r>
    </w:p>
  </w:footnote>
  <w:footnote w:id="115">
    <w:p w14:paraId="567F79A8" w14:textId="77777777" w:rsidR="004E3D83" w:rsidRPr="007F39A2" w:rsidRDefault="004E3D83" w:rsidP="004E3D83">
      <w:pPr>
        <w:pStyle w:val="Textonotapie"/>
      </w:pPr>
      <w:r w:rsidRPr="007F39A2">
        <w:rPr>
          <w:rStyle w:val="Refdenotaalpie"/>
        </w:rPr>
        <w:footnoteRef/>
      </w:r>
      <w:r w:rsidRPr="007F39A2">
        <w:t xml:space="preserve"> Ib.</w:t>
      </w:r>
    </w:p>
  </w:footnote>
  <w:footnote w:id="116">
    <w:p w14:paraId="736B1438" w14:textId="608FAEF5" w:rsidR="004E3D83" w:rsidRPr="007F39A2" w:rsidRDefault="004E3D83" w:rsidP="004E3D83">
      <w:pPr>
        <w:pStyle w:val="Textonotapie"/>
      </w:pPr>
      <w:r w:rsidRPr="007F39A2">
        <w:rPr>
          <w:rStyle w:val="Refdenotaalpie"/>
        </w:rPr>
        <w:footnoteRef/>
      </w:r>
      <w:r w:rsidRPr="007F39A2">
        <w:t xml:space="preserve"> Corte Constitucional, </w:t>
      </w:r>
      <w:r w:rsidR="002512A7" w:rsidRPr="007F39A2">
        <w:t xml:space="preserve">Sentencia </w:t>
      </w:r>
      <w:r w:rsidRPr="007F39A2">
        <w:t>C-367 de 2022.</w:t>
      </w:r>
    </w:p>
  </w:footnote>
  <w:footnote w:id="117">
    <w:p w14:paraId="6DF3A1A6" w14:textId="0337E2C2" w:rsidR="004E3D83" w:rsidRPr="007F39A2" w:rsidRDefault="004E3D83" w:rsidP="004E3D83">
      <w:pPr>
        <w:pStyle w:val="Textonotapie"/>
        <w:rPr>
          <w:lang w:val="es-MX"/>
        </w:rPr>
      </w:pPr>
      <w:r w:rsidRPr="007F39A2">
        <w:rPr>
          <w:rStyle w:val="Refdenotaalpie"/>
        </w:rPr>
        <w:footnoteRef/>
      </w:r>
      <w:r w:rsidRPr="007F39A2">
        <w:t xml:space="preserve"> </w:t>
      </w:r>
      <w:r w:rsidRPr="007F39A2">
        <w:rPr>
          <w:lang w:val="es-MX"/>
        </w:rPr>
        <w:t xml:space="preserve">Corte Constitucional, </w:t>
      </w:r>
      <w:r w:rsidR="002512A7" w:rsidRPr="007F39A2">
        <w:rPr>
          <w:lang w:val="es-MX"/>
        </w:rPr>
        <w:t xml:space="preserve">Sentencia </w:t>
      </w:r>
      <w:r w:rsidRPr="007F39A2">
        <w:rPr>
          <w:lang w:val="es-MX"/>
        </w:rPr>
        <w:t xml:space="preserve">C-605 de 2006. </w:t>
      </w:r>
    </w:p>
  </w:footnote>
  <w:footnote w:id="118">
    <w:p w14:paraId="368D6081" w14:textId="1202DDEF" w:rsidR="004E3D83" w:rsidRPr="007F39A2" w:rsidRDefault="004E3D83" w:rsidP="004E3D83">
      <w:pPr>
        <w:pStyle w:val="Textonotapie"/>
      </w:pPr>
      <w:r w:rsidRPr="007F39A2">
        <w:rPr>
          <w:rStyle w:val="Refdenotaalpie"/>
        </w:rPr>
        <w:footnoteRef/>
      </w:r>
      <w:r w:rsidRPr="007F39A2">
        <w:t xml:space="preserve"> Corte Constitucional, </w:t>
      </w:r>
      <w:r w:rsidR="002512A7" w:rsidRPr="007F39A2">
        <w:t xml:space="preserve">Sentencia </w:t>
      </w:r>
      <w:r w:rsidRPr="007F39A2">
        <w:t xml:space="preserve">C-333 de 2001. </w:t>
      </w:r>
    </w:p>
  </w:footnote>
  <w:footnote w:id="119">
    <w:p w14:paraId="68BC10CC" w14:textId="1308C8CF" w:rsidR="004E3D83" w:rsidRPr="007F39A2" w:rsidRDefault="004E3D83" w:rsidP="004E3D83">
      <w:pPr>
        <w:pStyle w:val="Textonotapie"/>
      </w:pPr>
      <w:r w:rsidRPr="007F39A2">
        <w:rPr>
          <w:rStyle w:val="Refdenotaalpie"/>
        </w:rPr>
        <w:footnoteRef/>
      </w:r>
      <w:r w:rsidRPr="007F39A2">
        <w:t xml:space="preserve"> Corte Constitucional, </w:t>
      </w:r>
      <w:r w:rsidR="002512A7" w:rsidRPr="007F39A2">
        <w:t xml:space="preserve">Sentencia </w:t>
      </w:r>
      <w:r w:rsidRPr="007F39A2">
        <w:rPr>
          <w:szCs w:val="20"/>
          <w:lang w:val="es-ES_tradnl"/>
        </w:rPr>
        <w:t>C-367 de 2022.</w:t>
      </w:r>
    </w:p>
  </w:footnote>
  <w:footnote w:id="120">
    <w:p w14:paraId="0914D1B6" w14:textId="00395EE5" w:rsidR="00B015E8" w:rsidRPr="007F39A2" w:rsidRDefault="00B015E8">
      <w:pPr>
        <w:pStyle w:val="Textonotapie"/>
        <w:rPr>
          <w:lang w:val="es-MX"/>
        </w:rPr>
      </w:pPr>
      <w:r w:rsidRPr="007F39A2">
        <w:rPr>
          <w:rStyle w:val="Refdenotaalpie"/>
        </w:rPr>
        <w:footnoteRef/>
      </w:r>
      <w:r w:rsidRPr="007F39A2">
        <w:t xml:space="preserve"> </w:t>
      </w:r>
      <w:r w:rsidR="0058632F" w:rsidRPr="007F39A2">
        <w:t xml:space="preserve">Con todo, la Corte advierte que en </w:t>
      </w:r>
      <w:r w:rsidR="00332BD9" w:rsidRPr="007F39A2">
        <w:t>otros tribunales constitucionales</w:t>
      </w:r>
      <w:r w:rsidR="0044593F" w:rsidRPr="007F39A2">
        <w:t xml:space="preserve"> </w:t>
      </w:r>
      <w:r w:rsidR="00332BD9" w:rsidRPr="007F39A2">
        <w:t>han interpretado que</w:t>
      </w:r>
      <w:r w:rsidR="001C1231" w:rsidRPr="007F39A2">
        <w:t xml:space="preserve"> el principio de legalidad estricta exige que</w:t>
      </w:r>
      <w:r w:rsidR="00332BD9" w:rsidRPr="007F39A2">
        <w:t xml:space="preserve"> la remisión </w:t>
      </w:r>
      <w:r w:rsidR="0044593F" w:rsidRPr="007F39A2">
        <w:t>sea expresa</w:t>
      </w:r>
      <w:r w:rsidR="00AA7B4C" w:rsidRPr="007F39A2">
        <w:t xml:space="preserve">. </w:t>
      </w:r>
      <w:r w:rsidR="00AA7B4C" w:rsidRPr="007F39A2">
        <w:rPr>
          <w:i/>
          <w:iCs/>
        </w:rPr>
        <w:t>Cfr.</w:t>
      </w:r>
      <w:r w:rsidR="00AA7B4C" w:rsidRPr="007F39A2">
        <w:t xml:space="preserve"> Tribunal Constitucional Español,</w:t>
      </w:r>
      <w:r w:rsidR="0003323E" w:rsidRPr="007F39A2">
        <w:t xml:space="preserve"> sentencia </w:t>
      </w:r>
      <w:r w:rsidR="00831EFA" w:rsidRPr="007F39A2">
        <w:t xml:space="preserve">127 de 5 de julio de 1990. </w:t>
      </w:r>
      <w:r w:rsidR="00332BD9" w:rsidRPr="007F39A2">
        <w:rPr>
          <w:lang w:val="es-MX"/>
        </w:rPr>
        <w:t xml:space="preserve">En esta decisión, </w:t>
      </w:r>
      <w:r w:rsidR="00F64F20" w:rsidRPr="007F39A2">
        <w:rPr>
          <w:lang w:val="es-MX"/>
        </w:rPr>
        <w:t xml:space="preserve">el Tribunal </w:t>
      </w:r>
      <w:r w:rsidR="00A07DB2" w:rsidRPr="007F39A2">
        <w:rPr>
          <w:lang w:val="es-MX"/>
        </w:rPr>
        <w:t>Constitucional señaló:</w:t>
      </w:r>
      <w:r w:rsidR="001E5DAC" w:rsidRPr="007F39A2">
        <w:rPr>
          <w:lang w:val="es-MX"/>
        </w:rPr>
        <w:t xml:space="preserve"> “es posible la incorporación al tipo de elementos normativos  y es conciliable con los postulados constitucionales la utilización legislativa y aplicación judicial de las llamadas leyes penales en blanco; esto es, de normas penales incompletas en las que la conducta o la consecuencia jurídico-penal no se encuentre agotadoramente prevista en ellas, debiendo acudirse para su integración a otra norma distinta, siempre que se den los siguientes requisitos: que el </w:t>
      </w:r>
      <w:r w:rsidR="001E5DAC" w:rsidRPr="007F39A2">
        <w:rPr>
          <w:u w:val="single"/>
          <w:lang w:val="es-MX"/>
        </w:rPr>
        <w:t>reenvío normativo sea expreso</w:t>
      </w:r>
      <w:r w:rsidR="001E5DAC" w:rsidRPr="007F39A2">
        <w:rPr>
          <w:lang w:val="es-MX"/>
        </w:rPr>
        <w:t xml:space="preserve"> y esté justificado en razón del bien jurídico protegido por la norma penal”</w:t>
      </w:r>
      <w:r w:rsidR="00332BD9" w:rsidRPr="007F39A2">
        <w:rPr>
          <w:lang w:val="es-MX"/>
        </w:rPr>
        <w:t xml:space="preserve"> (subrayado fuera del texto)</w:t>
      </w:r>
      <w:r w:rsidR="001E5DAC" w:rsidRPr="007F39A2">
        <w:rPr>
          <w:lang w:val="es-MX"/>
        </w:rPr>
        <w:t>.</w:t>
      </w:r>
    </w:p>
  </w:footnote>
  <w:footnote w:id="121">
    <w:p w14:paraId="380AEACB" w14:textId="1FB43E31" w:rsidR="004E3D83" w:rsidRPr="007F39A2" w:rsidRDefault="004E3D83" w:rsidP="004E3D83">
      <w:pPr>
        <w:pStyle w:val="Textonotapie"/>
        <w:rPr>
          <w:szCs w:val="20"/>
          <w:lang w:val="es-ES_tradnl"/>
        </w:rPr>
      </w:pPr>
      <w:r w:rsidRPr="007F39A2">
        <w:rPr>
          <w:rStyle w:val="Refdenotaalpie"/>
          <w:szCs w:val="20"/>
        </w:rPr>
        <w:footnoteRef/>
      </w:r>
      <w:r w:rsidRPr="007F39A2">
        <w:rPr>
          <w:szCs w:val="20"/>
        </w:rPr>
        <w:t xml:space="preserve"> </w:t>
      </w:r>
      <w:r w:rsidRPr="007F39A2">
        <w:rPr>
          <w:szCs w:val="20"/>
          <w:lang w:val="es-ES_tradnl"/>
        </w:rPr>
        <w:t xml:space="preserve">Corte Constitucional, </w:t>
      </w:r>
      <w:r w:rsidR="002512A7" w:rsidRPr="007F39A2">
        <w:rPr>
          <w:szCs w:val="20"/>
          <w:lang w:val="es-ES_tradnl"/>
        </w:rPr>
        <w:t xml:space="preserve">Sentencia </w:t>
      </w:r>
      <w:r w:rsidRPr="007F39A2">
        <w:rPr>
          <w:szCs w:val="20"/>
          <w:lang w:val="es-ES_tradnl"/>
        </w:rPr>
        <w:t>C-411 de 2022.</w:t>
      </w:r>
    </w:p>
  </w:footnote>
  <w:footnote w:id="122">
    <w:p w14:paraId="46C307FF" w14:textId="60C2965F" w:rsidR="00483FE6" w:rsidRPr="007F39A2" w:rsidRDefault="00483FE6">
      <w:pPr>
        <w:pStyle w:val="Textonotapie"/>
      </w:pPr>
      <w:r w:rsidRPr="007F39A2">
        <w:rPr>
          <w:rStyle w:val="Refdenotaalpie"/>
        </w:rPr>
        <w:footnoteRef/>
      </w:r>
      <w:r w:rsidRPr="007F39A2">
        <w:t xml:space="preserve"> </w:t>
      </w:r>
      <w:r w:rsidRPr="007F39A2">
        <w:rPr>
          <w:lang w:val="es-MX"/>
        </w:rPr>
        <w:t xml:space="preserve">Corte Constitucional, </w:t>
      </w:r>
      <w:r w:rsidR="002512A7" w:rsidRPr="007F39A2">
        <w:rPr>
          <w:lang w:val="es-MX"/>
        </w:rPr>
        <w:t xml:space="preserve">Sentencia </w:t>
      </w:r>
      <w:r w:rsidRPr="007F39A2">
        <w:rPr>
          <w:lang w:val="es-MX"/>
        </w:rPr>
        <w:t>C-367 de 2022.</w:t>
      </w:r>
    </w:p>
  </w:footnote>
  <w:footnote w:id="123">
    <w:p w14:paraId="6D60499F" w14:textId="3D71A9F0" w:rsidR="00E63538" w:rsidRPr="007F39A2" w:rsidRDefault="00E63538" w:rsidP="00E63538">
      <w:pPr>
        <w:pStyle w:val="Textonotapie"/>
      </w:pPr>
      <w:r w:rsidRPr="007F39A2">
        <w:rPr>
          <w:rStyle w:val="Refdenotaalpie"/>
        </w:rPr>
        <w:footnoteRef/>
      </w:r>
      <w:r w:rsidRPr="007F39A2">
        <w:t xml:space="preserve"> </w:t>
      </w:r>
      <w:r w:rsidRPr="007F39A2">
        <w:rPr>
          <w:szCs w:val="20"/>
          <w:lang w:val="es-ES_tradnl"/>
        </w:rPr>
        <w:t>Corte Constitucional, sentencias C-605 de 2006, C-851 de 2009 y C-501 de 2014.</w:t>
      </w:r>
    </w:p>
  </w:footnote>
  <w:footnote w:id="124">
    <w:p w14:paraId="21F53F6A" w14:textId="5AA9F87D" w:rsidR="00E63538" w:rsidRPr="007F39A2" w:rsidRDefault="00E63538" w:rsidP="00E63538">
      <w:pPr>
        <w:pStyle w:val="Textonotapie"/>
      </w:pPr>
      <w:r w:rsidRPr="007F39A2">
        <w:rPr>
          <w:rStyle w:val="Refdenotaalpie"/>
        </w:rPr>
        <w:footnoteRef/>
      </w:r>
      <w:r w:rsidRPr="007F39A2">
        <w:t xml:space="preserve"> </w:t>
      </w:r>
      <w:r w:rsidRPr="007F39A2">
        <w:rPr>
          <w:szCs w:val="20"/>
          <w:lang w:val="es-ES_tradnl"/>
        </w:rPr>
        <w:t>Corte Constitucional, sentencias C-501 de 2014 y C-041 de 2017.</w:t>
      </w:r>
    </w:p>
  </w:footnote>
  <w:footnote w:id="125">
    <w:p w14:paraId="15DE49FC" w14:textId="05872930" w:rsidR="004E3D83" w:rsidRPr="007F39A2" w:rsidRDefault="004E3D83" w:rsidP="004E3D83">
      <w:pPr>
        <w:pStyle w:val="Textonotapie"/>
      </w:pPr>
      <w:r w:rsidRPr="007F39A2">
        <w:rPr>
          <w:rStyle w:val="Refdenotaalpie"/>
        </w:rPr>
        <w:footnoteRef/>
      </w:r>
      <w:r w:rsidRPr="007F39A2">
        <w:t xml:space="preserve"> </w:t>
      </w:r>
      <w:r w:rsidRPr="007F39A2">
        <w:rPr>
          <w:szCs w:val="20"/>
          <w:lang w:val="es-ES_tradnl"/>
        </w:rPr>
        <w:t xml:space="preserve">Corte Constitucional, </w:t>
      </w:r>
      <w:r w:rsidR="002512A7" w:rsidRPr="007F39A2">
        <w:rPr>
          <w:szCs w:val="20"/>
          <w:lang w:val="es-ES_tradnl"/>
        </w:rPr>
        <w:t xml:space="preserve">Sentencia </w:t>
      </w:r>
      <w:r w:rsidRPr="007F39A2">
        <w:rPr>
          <w:szCs w:val="20"/>
          <w:lang w:val="es-ES_tradnl"/>
        </w:rPr>
        <w:t>C-501 de 2014.</w:t>
      </w:r>
    </w:p>
  </w:footnote>
  <w:footnote w:id="126">
    <w:p w14:paraId="0BC91307" w14:textId="2D43D7C7" w:rsidR="004E3D83" w:rsidRPr="007F39A2" w:rsidRDefault="004E3D83" w:rsidP="004E3D83">
      <w:pPr>
        <w:pStyle w:val="Textonotapie"/>
        <w:rPr>
          <w:lang w:val="es-MX"/>
        </w:rPr>
      </w:pPr>
      <w:r w:rsidRPr="007F39A2">
        <w:rPr>
          <w:rStyle w:val="Refdenotaalpie"/>
        </w:rPr>
        <w:footnoteRef/>
      </w:r>
      <w:r w:rsidRPr="007F39A2">
        <w:t xml:space="preserve"> </w:t>
      </w:r>
      <w:r w:rsidRPr="007F39A2">
        <w:rPr>
          <w:lang w:val="es-MX"/>
        </w:rPr>
        <w:t xml:space="preserve">Corte Constitucional, </w:t>
      </w:r>
      <w:r w:rsidR="002512A7" w:rsidRPr="007F39A2">
        <w:rPr>
          <w:lang w:val="es-MX"/>
        </w:rPr>
        <w:t xml:space="preserve">Sentencia </w:t>
      </w:r>
      <w:r w:rsidRPr="007F39A2">
        <w:rPr>
          <w:lang w:val="es-MX"/>
        </w:rPr>
        <w:t xml:space="preserve">C-367 de 2022. </w:t>
      </w:r>
    </w:p>
  </w:footnote>
  <w:footnote w:id="127">
    <w:p w14:paraId="3BEBBC26" w14:textId="1EB9AFC2" w:rsidR="004E3D83" w:rsidRPr="007F39A2" w:rsidRDefault="004E3D83" w:rsidP="004E3D83">
      <w:pPr>
        <w:pStyle w:val="Textonotapie"/>
        <w:rPr>
          <w:lang w:val="es-MX"/>
        </w:rPr>
      </w:pPr>
      <w:r w:rsidRPr="007F39A2">
        <w:rPr>
          <w:rStyle w:val="Refdenotaalpie"/>
        </w:rPr>
        <w:footnoteRef/>
      </w:r>
      <w:r w:rsidRPr="007F39A2">
        <w:t xml:space="preserve"> </w:t>
      </w:r>
      <w:r w:rsidRPr="007F39A2">
        <w:rPr>
          <w:lang w:val="es-MX"/>
        </w:rPr>
        <w:t xml:space="preserve">Corte Constitucional, </w:t>
      </w:r>
      <w:r w:rsidR="002512A7" w:rsidRPr="007F39A2">
        <w:rPr>
          <w:lang w:val="es-MX"/>
        </w:rPr>
        <w:t xml:space="preserve">Sentencia </w:t>
      </w:r>
      <w:r w:rsidRPr="007F39A2">
        <w:rPr>
          <w:lang w:val="es-MX"/>
        </w:rPr>
        <w:t xml:space="preserve">C-442 de 2011. </w:t>
      </w:r>
    </w:p>
  </w:footnote>
  <w:footnote w:id="128">
    <w:p w14:paraId="5D9DD804" w14:textId="4764F000" w:rsidR="004E3D83" w:rsidRPr="007F39A2" w:rsidRDefault="004E3D83" w:rsidP="004E3D83">
      <w:pPr>
        <w:pStyle w:val="Textonotapie"/>
        <w:rPr>
          <w:rFonts w:cs="Times New Roman"/>
          <w:szCs w:val="20"/>
        </w:rPr>
      </w:pPr>
      <w:r w:rsidRPr="007F39A2">
        <w:rPr>
          <w:rStyle w:val="Refdenotaalpie"/>
          <w:rFonts w:cs="Times New Roman"/>
          <w:szCs w:val="20"/>
        </w:rPr>
        <w:footnoteRef/>
      </w:r>
      <w:r w:rsidRPr="007F39A2">
        <w:rPr>
          <w:rFonts w:cs="Times New Roman"/>
          <w:szCs w:val="20"/>
        </w:rPr>
        <w:t xml:space="preserve"> </w:t>
      </w:r>
      <w:r w:rsidRPr="007F39A2">
        <w:rPr>
          <w:szCs w:val="20"/>
          <w:lang w:val="es-ES_tradnl"/>
        </w:rPr>
        <w:t>Corte Constitucional, sentencias</w:t>
      </w:r>
      <w:r w:rsidRPr="007F39A2">
        <w:rPr>
          <w:rFonts w:cs="Times New Roman"/>
          <w:szCs w:val="20"/>
        </w:rPr>
        <w:t xml:space="preserve"> C-710 de 2001 y </w:t>
      </w:r>
      <w:r w:rsidRPr="007F39A2">
        <w:rPr>
          <w:szCs w:val="20"/>
          <w:lang w:val="es-ES_tradnl"/>
        </w:rPr>
        <w:t>C-343 de 2006</w:t>
      </w:r>
      <w:r w:rsidRPr="007F39A2">
        <w:rPr>
          <w:rFonts w:cs="Times New Roman"/>
          <w:szCs w:val="20"/>
        </w:rPr>
        <w:t xml:space="preserve">. Ver también, </w:t>
      </w:r>
      <w:r w:rsidR="002512A7" w:rsidRPr="007F39A2">
        <w:rPr>
          <w:rFonts w:cs="Times New Roman"/>
          <w:szCs w:val="20"/>
        </w:rPr>
        <w:t xml:space="preserve">Sentencia </w:t>
      </w:r>
      <w:r w:rsidRPr="007F39A2">
        <w:rPr>
          <w:rFonts w:cs="Times New Roman"/>
          <w:szCs w:val="20"/>
        </w:rPr>
        <w:t xml:space="preserve">C-739 de 2000: “En nada contraría el ordenamiento superior el hecho de que el legislador recurra a esta modalidad de tipo penal [en blanco], siempre y cuando verifique la existencia de normas jurídicas precedentes que definan y determinen, de manera clara e inequívoca, aquellos aspectos de los que adolece el precepto en blanco, cuyos contenidos sirvan efectivamente al intérprete, específicamente al juez penal, para precisar la conducta tipificada como conducta punible (…)”. En el mismo sentido, ver </w:t>
      </w:r>
      <w:r w:rsidR="002512A7" w:rsidRPr="007F39A2">
        <w:rPr>
          <w:rFonts w:cs="Times New Roman"/>
          <w:szCs w:val="20"/>
        </w:rPr>
        <w:t xml:space="preserve">Sentencia </w:t>
      </w:r>
      <w:r w:rsidRPr="007F39A2">
        <w:rPr>
          <w:rFonts w:cs="Times New Roman"/>
          <w:szCs w:val="20"/>
        </w:rPr>
        <w:t xml:space="preserve">C-091 de 2017. </w:t>
      </w:r>
    </w:p>
  </w:footnote>
  <w:footnote w:id="129">
    <w:p w14:paraId="0B7505F8" w14:textId="77777777" w:rsidR="004E3D83" w:rsidRPr="007F39A2" w:rsidRDefault="004E3D83" w:rsidP="004E3D83">
      <w:pPr>
        <w:pStyle w:val="Textonotapie"/>
        <w:rPr>
          <w:lang w:val="es-ES_tradnl"/>
        </w:rPr>
      </w:pPr>
      <w:r w:rsidRPr="007F39A2">
        <w:rPr>
          <w:rStyle w:val="Refdenotaalpie"/>
        </w:rPr>
        <w:footnoteRef/>
      </w:r>
      <w:r w:rsidRPr="007F39A2">
        <w:t xml:space="preserve"> </w:t>
      </w:r>
      <w:r w:rsidRPr="007F39A2">
        <w:rPr>
          <w:lang w:val="es-ES_tradnl"/>
        </w:rPr>
        <w:t>Ib.</w:t>
      </w:r>
    </w:p>
  </w:footnote>
  <w:footnote w:id="130">
    <w:p w14:paraId="2372BFE1" w14:textId="06581455" w:rsidR="004E3D83" w:rsidRPr="007F39A2" w:rsidRDefault="004E3D83" w:rsidP="004E3D83">
      <w:pPr>
        <w:pStyle w:val="Textonotapie"/>
        <w:rPr>
          <w:szCs w:val="20"/>
          <w:lang w:val="es-ES_tradnl"/>
        </w:rPr>
      </w:pPr>
      <w:r w:rsidRPr="007F39A2">
        <w:rPr>
          <w:rStyle w:val="Refdenotaalpie"/>
          <w:szCs w:val="20"/>
        </w:rPr>
        <w:footnoteRef/>
      </w:r>
      <w:r w:rsidRPr="007F39A2">
        <w:rPr>
          <w:szCs w:val="20"/>
        </w:rPr>
        <w:t xml:space="preserve"> </w:t>
      </w:r>
      <w:r w:rsidRPr="007F39A2">
        <w:rPr>
          <w:szCs w:val="20"/>
          <w:lang w:val="es-ES_tradnl"/>
        </w:rPr>
        <w:t xml:space="preserve">Corte Constitucional, </w:t>
      </w:r>
      <w:r w:rsidR="002512A7" w:rsidRPr="007F39A2">
        <w:rPr>
          <w:szCs w:val="20"/>
          <w:lang w:val="es-ES_tradnl"/>
        </w:rPr>
        <w:t xml:space="preserve">Sentencia </w:t>
      </w:r>
      <w:r w:rsidRPr="007F39A2">
        <w:rPr>
          <w:szCs w:val="20"/>
          <w:lang w:val="es-ES_tradnl"/>
        </w:rPr>
        <w:t>C-367 de 2022.</w:t>
      </w:r>
    </w:p>
  </w:footnote>
  <w:footnote w:id="131">
    <w:p w14:paraId="0437EAD7" w14:textId="77777777" w:rsidR="004E3D83" w:rsidRPr="007F39A2" w:rsidRDefault="004E3D83" w:rsidP="004E3D83">
      <w:pPr>
        <w:pStyle w:val="Textonotapie"/>
      </w:pPr>
      <w:r w:rsidRPr="007F39A2">
        <w:rPr>
          <w:rStyle w:val="Refdenotaalpie"/>
        </w:rPr>
        <w:footnoteRef/>
      </w:r>
      <w:r w:rsidRPr="007F39A2">
        <w:t xml:space="preserve"> Ib.</w:t>
      </w:r>
    </w:p>
  </w:footnote>
  <w:footnote w:id="132">
    <w:p w14:paraId="7038F43F" w14:textId="77777777" w:rsidR="004E3D83" w:rsidRPr="007F39A2" w:rsidRDefault="004E3D83" w:rsidP="004E3D83">
      <w:pPr>
        <w:pStyle w:val="Textonotapie"/>
      </w:pPr>
      <w:r w:rsidRPr="007F39A2">
        <w:rPr>
          <w:rStyle w:val="Refdenotaalpie"/>
        </w:rPr>
        <w:footnoteRef/>
      </w:r>
      <w:r w:rsidRPr="007F39A2">
        <w:t xml:space="preserve"> Ib.</w:t>
      </w:r>
    </w:p>
  </w:footnote>
  <w:footnote w:id="133">
    <w:p w14:paraId="53FF134A" w14:textId="77777777" w:rsidR="004E3D83" w:rsidRPr="007F39A2" w:rsidRDefault="004E3D83" w:rsidP="004E3D83">
      <w:pPr>
        <w:pStyle w:val="Textonotapie"/>
      </w:pPr>
      <w:r w:rsidRPr="007F39A2">
        <w:rPr>
          <w:rStyle w:val="Refdenotaalpie"/>
        </w:rPr>
        <w:footnoteRef/>
      </w:r>
      <w:r w:rsidRPr="007F39A2">
        <w:t xml:space="preserve"> Ib.</w:t>
      </w:r>
    </w:p>
  </w:footnote>
  <w:footnote w:id="134">
    <w:p w14:paraId="7B93E834" w14:textId="0F24BFF0" w:rsidR="004E3D83" w:rsidRPr="007F39A2" w:rsidRDefault="004E3D83" w:rsidP="004E3D83">
      <w:pPr>
        <w:pStyle w:val="Textonotapie"/>
        <w:rPr>
          <w:szCs w:val="20"/>
          <w:lang w:val="es-ES_tradnl"/>
        </w:rPr>
      </w:pPr>
      <w:r w:rsidRPr="007F39A2">
        <w:rPr>
          <w:rStyle w:val="Refdenotaalpie"/>
          <w:szCs w:val="20"/>
        </w:rPr>
        <w:footnoteRef/>
      </w:r>
      <w:r w:rsidRPr="007F39A2">
        <w:rPr>
          <w:szCs w:val="20"/>
        </w:rPr>
        <w:t xml:space="preserve"> </w:t>
      </w:r>
      <w:r w:rsidRPr="007F39A2">
        <w:rPr>
          <w:szCs w:val="20"/>
          <w:lang w:val="es-ES_tradnl"/>
        </w:rPr>
        <w:t>Corte Constitucional, sentencias C-605 de 2006, C-442 de 2011 y C-121 de 2012.</w:t>
      </w:r>
    </w:p>
  </w:footnote>
  <w:footnote w:id="135">
    <w:p w14:paraId="7440096D" w14:textId="6F0B3E92" w:rsidR="004E3D83" w:rsidRPr="007F39A2" w:rsidRDefault="004E3D83" w:rsidP="004E3D83">
      <w:pPr>
        <w:pStyle w:val="Textonotapie"/>
        <w:rPr>
          <w:lang w:val="es-ES_tradnl"/>
        </w:rPr>
      </w:pPr>
      <w:r w:rsidRPr="007F39A2">
        <w:rPr>
          <w:rStyle w:val="Refdenotaalpie"/>
        </w:rPr>
        <w:footnoteRef/>
      </w:r>
      <w:r w:rsidRPr="007F39A2">
        <w:t xml:space="preserve"> </w:t>
      </w:r>
      <w:r w:rsidRPr="007F39A2">
        <w:rPr>
          <w:szCs w:val="20"/>
          <w:lang w:val="es-ES_tradnl"/>
        </w:rPr>
        <w:t xml:space="preserve">Corte Constitucional, sentencias C-127 de 1993, C-133 de 1999, C-121 de 2012 y C-501 de 2014. Ver también, </w:t>
      </w:r>
      <w:r w:rsidR="00274001">
        <w:rPr>
          <w:szCs w:val="20"/>
          <w:lang w:val="es-ES_tradnl"/>
        </w:rPr>
        <w:t xml:space="preserve">Sentencia </w:t>
      </w:r>
      <w:r w:rsidRPr="007F39A2">
        <w:rPr>
          <w:szCs w:val="20"/>
          <w:lang w:val="es-ES_tradnl"/>
        </w:rPr>
        <w:t xml:space="preserve">C-041 de 2017. </w:t>
      </w:r>
    </w:p>
  </w:footnote>
  <w:footnote w:id="136">
    <w:p w14:paraId="57B68213" w14:textId="7C10BCAB" w:rsidR="004E3D83" w:rsidRPr="007F39A2" w:rsidRDefault="004E3D83" w:rsidP="004E3D83">
      <w:pPr>
        <w:pStyle w:val="Textonotapie"/>
        <w:rPr>
          <w:lang w:val="es-MX"/>
        </w:rPr>
      </w:pPr>
      <w:r w:rsidRPr="007F39A2">
        <w:rPr>
          <w:rStyle w:val="Refdenotaalpie"/>
        </w:rPr>
        <w:footnoteRef/>
      </w:r>
      <w:r w:rsidRPr="007F39A2">
        <w:t xml:space="preserve"> </w:t>
      </w:r>
      <w:r w:rsidRPr="007F39A2">
        <w:rPr>
          <w:lang w:val="es-MX"/>
        </w:rPr>
        <w:t xml:space="preserve">Corte Constitucional, </w:t>
      </w:r>
      <w:r w:rsidR="002512A7" w:rsidRPr="007F39A2">
        <w:rPr>
          <w:lang w:val="es-MX"/>
        </w:rPr>
        <w:t xml:space="preserve">Sentencia </w:t>
      </w:r>
      <w:r w:rsidRPr="007F39A2">
        <w:rPr>
          <w:lang w:val="es-MX"/>
        </w:rPr>
        <w:t xml:space="preserve">C-442 de 2011. </w:t>
      </w:r>
    </w:p>
  </w:footnote>
  <w:footnote w:id="137">
    <w:p w14:paraId="0FA8E6E6" w14:textId="2922EA61" w:rsidR="004E3D83" w:rsidRPr="007F39A2" w:rsidRDefault="004E3D83" w:rsidP="004E3D83">
      <w:pPr>
        <w:pStyle w:val="Textonotapie"/>
        <w:rPr>
          <w:lang w:val="es-MX"/>
        </w:rPr>
      </w:pPr>
      <w:r w:rsidRPr="007F39A2">
        <w:rPr>
          <w:rStyle w:val="Refdenotaalpie"/>
        </w:rPr>
        <w:footnoteRef/>
      </w:r>
      <w:r w:rsidRPr="007F39A2">
        <w:t xml:space="preserve"> </w:t>
      </w:r>
      <w:r w:rsidRPr="007F39A2">
        <w:rPr>
          <w:lang w:val="es-MX"/>
        </w:rPr>
        <w:t xml:space="preserve">Corte Constitucional, </w:t>
      </w:r>
      <w:r w:rsidR="002512A7" w:rsidRPr="007F39A2">
        <w:rPr>
          <w:lang w:val="es-MX"/>
        </w:rPr>
        <w:t xml:space="preserve">Sentencia </w:t>
      </w:r>
      <w:r w:rsidRPr="007F39A2">
        <w:rPr>
          <w:lang w:val="es-MX"/>
        </w:rPr>
        <w:t xml:space="preserve">C-127 de 1993. Ver también, </w:t>
      </w:r>
      <w:r w:rsidRPr="007F39A2">
        <w:rPr>
          <w:lang w:val="es-ES_tradnl"/>
        </w:rPr>
        <w:t>sentencias C-442 de 2011, C-121 de 2012 y C-501 de 2014.</w:t>
      </w:r>
    </w:p>
  </w:footnote>
  <w:footnote w:id="138">
    <w:p w14:paraId="168C7096" w14:textId="09D53371" w:rsidR="004E3D83" w:rsidRPr="007F39A2" w:rsidRDefault="004E3D83" w:rsidP="004E3D83">
      <w:pPr>
        <w:pStyle w:val="Textonotapie"/>
        <w:rPr>
          <w:lang w:val="es-MX"/>
        </w:rPr>
      </w:pPr>
      <w:r w:rsidRPr="007F39A2">
        <w:rPr>
          <w:rStyle w:val="Refdenotaalpie"/>
        </w:rPr>
        <w:footnoteRef/>
      </w:r>
      <w:r w:rsidRPr="007F39A2">
        <w:t xml:space="preserve"> Corte Constitucional, sentencias </w:t>
      </w:r>
      <w:r w:rsidRPr="007F39A2">
        <w:rPr>
          <w:lang w:val="es-ES_tradnl"/>
        </w:rPr>
        <w:t xml:space="preserve">C-559 de 1999 y C-442 de 2011. </w:t>
      </w:r>
    </w:p>
  </w:footnote>
  <w:footnote w:id="139">
    <w:p w14:paraId="24C7DB7F" w14:textId="3B864143" w:rsidR="004E3D83" w:rsidRPr="007F39A2" w:rsidRDefault="004E3D83" w:rsidP="004E3D83">
      <w:pPr>
        <w:pStyle w:val="Textonotapie"/>
        <w:rPr>
          <w:lang w:val="es-MX"/>
        </w:rPr>
      </w:pPr>
      <w:r w:rsidRPr="007F39A2">
        <w:rPr>
          <w:rStyle w:val="Refdenotaalpie"/>
        </w:rPr>
        <w:footnoteRef/>
      </w:r>
      <w:r w:rsidRPr="007F39A2">
        <w:t xml:space="preserve"> </w:t>
      </w:r>
      <w:r w:rsidRPr="007F39A2">
        <w:rPr>
          <w:lang w:val="es-MX"/>
        </w:rPr>
        <w:t xml:space="preserve">Corte Constitucional, </w:t>
      </w:r>
      <w:r w:rsidR="002512A7" w:rsidRPr="007F39A2">
        <w:rPr>
          <w:lang w:val="es-MX"/>
        </w:rPr>
        <w:t xml:space="preserve">Sentencia </w:t>
      </w:r>
      <w:r w:rsidRPr="007F39A2">
        <w:rPr>
          <w:lang w:val="es-MX"/>
        </w:rPr>
        <w:t xml:space="preserve">C-297 de 2016. </w:t>
      </w:r>
    </w:p>
  </w:footnote>
  <w:footnote w:id="140">
    <w:p w14:paraId="223C6909" w14:textId="28827FC2" w:rsidR="004E3D83" w:rsidRPr="007F39A2" w:rsidRDefault="004E3D83" w:rsidP="004E3D83">
      <w:pPr>
        <w:pStyle w:val="Textonotapie"/>
        <w:rPr>
          <w:szCs w:val="20"/>
          <w:lang w:val="es-ES_tradnl"/>
        </w:rPr>
      </w:pPr>
      <w:r w:rsidRPr="007F39A2">
        <w:rPr>
          <w:rStyle w:val="Refdenotaalpie"/>
          <w:szCs w:val="20"/>
        </w:rPr>
        <w:footnoteRef/>
      </w:r>
      <w:r w:rsidRPr="007F39A2">
        <w:rPr>
          <w:szCs w:val="20"/>
        </w:rPr>
        <w:t xml:space="preserve"> </w:t>
      </w:r>
      <w:r w:rsidRPr="007F39A2">
        <w:rPr>
          <w:szCs w:val="20"/>
          <w:lang w:val="es-ES_tradnl"/>
        </w:rPr>
        <w:t xml:space="preserve">Corte Constitucional, sentencias C-331 de 2001 y C-297 de 2016. Ver también, </w:t>
      </w:r>
      <w:r w:rsidR="002512A7" w:rsidRPr="007F39A2">
        <w:rPr>
          <w:szCs w:val="20"/>
          <w:lang w:val="es-ES_tradnl"/>
        </w:rPr>
        <w:t xml:space="preserve">Sentencia </w:t>
      </w:r>
      <w:r w:rsidRPr="007F39A2">
        <w:rPr>
          <w:szCs w:val="20"/>
          <w:lang w:val="es-ES_tradnl"/>
        </w:rPr>
        <w:t xml:space="preserve">C-204 de 2023. </w:t>
      </w:r>
    </w:p>
  </w:footnote>
  <w:footnote w:id="141">
    <w:p w14:paraId="02964634" w14:textId="15C31412" w:rsidR="004E3D83" w:rsidRPr="007F39A2" w:rsidRDefault="004E3D83" w:rsidP="004E3D83">
      <w:pPr>
        <w:pStyle w:val="Textonotapie"/>
        <w:rPr>
          <w:szCs w:val="20"/>
        </w:rPr>
      </w:pPr>
      <w:r w:rsidRPr="007F39A2">
        <w:rPr>
          <w:rStyle w:val="Refdenotaalpie"/>
          <w:szCs w:val="20"/>
        </w:rPr>
        <w:footnoteRef/>
      </w:r>
      <w:r w:rsidRPr="007F39A2">
        <w:rPr>
          <w:szCs w:val="20"/>
        </w:rPr>
        <w:t xml:space="preserve"> </w:t>
      </w:r>
      <w:r w:rsidRPr="007F39A2">
        <w:rPr>
          <w:szCs w:val="20"/>
          <w:lang w:val="es-ES_tradnl"/>
        </w:rPr>
        <w:t xml:space="preserve">Corte Constitucional, </w:t>
      </w:r>
      <w:r w:rsidR="002512A7" w:rsidRPr="007F39A2">
        <w:rPr>
          <w:szCs w:val="20"/>
          <w:lang w:val="es-ES_tradnl"/>
        </w:rPr>
        <w:t xml:space="preserve">Sentencia </w:t>
      </w:r>
      <w:r w:rsidRPr="007F39A2">
        <w:rPr>
          <w:szCs w:val="20"/>
          <w:lang w:val="es-ES_tradnl"/>
        </w:rPr>
        <w:t>C-041 de 2017.</w:t>
      </w:r>
    </w:p>
  </w:footnote>
  <w:footnote w:id="142">
    <w:p w14:paraId="5A0FFAC0" w14:textId="43A94B3E" w:rsidR="004E3D83" w:rsidRPr="007F39A2" w:rsidRDefault="004E3D83" w:rsidP="004E3D83">
      <w:pPr>
        <w:pStyle w:val="Textonotapie"/>
      </w:pPr>
      <w:r w:rsidRPr="007F39A2">
        <w:rPr>
          <w:rStyle w:val="Refdenotaalpie"/>
        </w:rPr>
        <w:footnoteRef/>
      </w:r>
      <w:r w:rsidRPr="007F39A2">
        <w:t xml:space="preserve"> </w:t>
      </w:r>
      <w:r w:rsidRPr="007F39A2">
        <w:rPr>
          <w:szCs w:val="20"/>
          <w:lang w:val="es-ES_tradnl"/>
        </w:rPr>
        <w:t xml:space="preserve">Corte Constitucional, </w:t>
      </w:r>
      <w:r w:rsidR="002512A7" w:rsidRPr="007F39A2">
        <w:t xml:space="preserve">Sentencia </w:t>
      </w:r>
      <w:r w:rsidRPr="007F39A2">
        <w:t>C-501 de 2014.</w:t>
      </w:r>
    </w:p>
  </w:footnote>
  <w:footnote w:id="143">
    <w:p w14:paraId="4B7AF933" w14:textId="50B85D5E" w:rsidR="00780455" w:rsidRPr="007F39A2" w:rsidRDefault="00780455">
      <w:pPr>
        <w:pStyle w:val="Textonotapie"/>
      </w:pPr>
      <w:r w:rsidRPr="007F39A2">
        <w:rPr>
          <w:rStyle w:val="Refdenotaalpie"/>
        </w:rPr>
        <w:footnoteRef/>
      </w:r>
      <w:r w:rsidRPr="007F39A2">
        <w:t xml:space="preserve"> Corte Constitucional, </w:t>
      </w:r>
      <w:r w:rsidR="002512A7" w:rsidRPr="007F39A2">
        <w:t xml:space="preserve">Sentencia </w:t>
      </w:r>
      <w:r w:rsidRPr="007F39A2">
        <w:t xml:space="preserve">C-021 de 2023. </w:t>
      </w:r>
    </w:p>
  </w:footnote>
  <w:footnote w:id="144">
    <w:p w14:paraId="32138AFE" w14:textId="4BE2C2CD" w:rsidR="004E3D83" w:rsidRPr="007F39A2" w:rsidRDefault="004E3D83" w:rsidP="004E3D83">
      <w:pPr>
        <w:pStyle w:val="Textonotapie"/>
        <w:rPr>
          <w:szCs w:val="20"/>
        </w:rPr>
      </w:pPr>
      <w:r w:rsidRPr="007F39A2">
        <w:rPr>
          <w:szCs w:val="20"/>
          <w:vertAlign w:val="superscript"/>
        </w:rPr>
        <w:footnoteRef/>
      </w:r>
      <w:r w:rsidRPr="007F39A2">
        <w:rPr>
          <w:szCs w:val="20"/>
        </w:rPr>
        <w:t xml:space="preserve"> Este criterio hace referencia a que mediante la interpretación los jueces puedan aplicar y comprender el tipo penal sin ejercicios interpretativos de excesiva complejidad (principalmente basados en la literalidad, el contexto y el propósito de la disposición, siempre que estos sean determinados) y que las personas puedan acceder al conocimiento de la prohibición. </w:t>
      </w:r>
      <w:r w:rsidRPr="007F39A2">
        <w:rPr>
          <w:i/>
          <w:iCs/>
          <w:szCs w:val="20"/>
        </w:rPr>
        <w:t>Cfr.</w:t>
      </w:r>
      <w:r w:rsidRPr="007F39A2">
        <w:rPr>
          <w:szCs w:val="20"/>
        </w:rPr>
        <w:t xml:space="preserve"> Corte Constitucional, </w:t>
      </w:r>
      <w:r w:rsidR="002512A7" w:rsidRPr="007F39A2">
        <w:rPr>
          <w:szCs w:val="20"/>
        </w:rPr>
        <w:t xml:space="preserve">Sentencia </w:t>
      </w:r>
      <w:r w:rsidRPr="007F39A2">
        <w:rPr>
          <w:szCs w:val="20"/>
        </w:rPr>
        <w:t>C-091 de 2017.</w:t>
      </w:r>
    </w:p>
  </w:footnote>
  <w:footnote w:id="145">
    <w:p w14:paraId="32C80AB1" w14:textId="56E19258" w:rsidR="004E3D83" w:rsidRPr="007F39A2" w:rsidRDefault="004E3D83" w:rsidP="004E3D83">
      <w:pPr>
        <w:pStyle w:val="Textonotapie"/>
        <w:rPr>
          <w:szCs w:val="20"/>
        </w:rPr>
      </w:pPr>
      <w:r w:rsidRPr="007F39A2">
        <w:rPr>
          <w:rStyle w:val="Refdenotaalpie"/>
          <w:szCs w:val="20"/>
        </w:rPr>
        <w:footnoteRef/>
      </w:r>
      <w:r w:rsidRPr="007F39A2">
        <w:rPr>
          <w:szCs w:val="20"/>
        </w:rPr>
        <w:t xml:space="preserve"> </w:t>
      </w:r>
      <w:r w:rsidRPr="007F39A2">
        <w:rPr>
          <w:szCs w:val="20"/>
          <w:lang w:val="es-ES_tradnl"/>
        </w:rPr>
        <w:t>Corte Constitucional, sentencias</w:t>
      </w:r>
      <w:r w:rsidRPr="007F39A2">
        <w:rPr>
          <w:szCs w:val="20"/>
        </w:rPr>
        <w:t xml:space="preserve"> C-442 de 2011 y C-501 de 2014.</w:t>
      </w:r>
    </w:p>
  </w:footnote>
  <w:footnote w:id="146">
    <w:p w14:paraId="3F4EE8AA" w14:textId="3135C432" w:rsidR="004E3D83" w:rsidRPr="007F39A2" w:rsidRDefault="004E3D83" w:rsidP="004E3D83">
      <w:pPr>
        <w:pStyle w:val="Textonotapie"/>
        <w:rPr>
          <w:szCs w:val="20"/>
          <w:lang w:val="es-ES_tradnl"/>
        </w:rPr>
      </w:pPr>
      <w:r w:rsidRPr="007F39A2">
        <w:rPr>
          <w:rStyle w:val="Refdenotaalpie"/>
          <w:szCs w:val="20"/>
        </w:rPr>
        <w:footnoteRef/>
      </w:r>
      <w:r w:rsidRPr="007F39A2">
        <w:rPr>
          <w:szCs w:val="20"/>
        </w:rPr>
        <w:t xml:space="preserve"> </w:t>
      </w:r>
      <w:r w:rsidRPr="007F39A2">
        <w:rPr>
          <w:szCs w:val="20"/>
          <w:lang w:val="es-ES_tradnl"/>
        </w:rPr>
        <w:t xml:space="preserve">Corte Constitucional, </w:t>
      </w:r>
      <w:r w:rsidR="002512A7" w:rsidRPr="007F39A2">
        <w:rPr>
          <w:szCs w:val="20"/>
          <w:lang w:val="es-ES_tradnl"/>
        </w:rPr>
        <w:t xml:space="preserve">Sentencia </w:t>
      </w:r>
      <w:r w:rsidRPr="007F39A2">
        <w:rPr>
          <w:szCs w:val="20"/>
          <w:lang w:val="es-ES_tradnl"/>
        </w:rPr>
        <w:t>C-559 de 1999.</w:t>
      </w:r>
    </w:p>
  </w:footnote>
  <w:footnote w:id="147">
    <w:p w14:paraId="51409CB8" w14:textId="5C001F9B" w:rsidR="004E3D83" w:rsidRPr="007F39A2" w:rsidRDefault="004E3D83" w:rsidP="004E3D83">
      <w:pPr>
        <w:pStyle w:val="Textonotapie"/>
        <w:rPr>
          <w:szCs w:val="20"/>
          <w:lang w:val="es-ES_tradnl"/>
        </w:rPr>
      </w:pPr>
      <w:r w:rsidRPr="007F39A2">
        <w:rPr>
          <w:rStyle w:val="Refdenotaalpie"/>
          <w:szCs w:val="20"/>
        </w:rPr>
        <w:footnoteRef/>
      </w:r>
      <w:r w:rsidRPr="007F39A2">
        <w:rPr>
          <w:szCs w:val="20"/>
        </w:rPr>
        <w:t xml:space="preserve"> </w:t>
      </w:r>
      <w:r w:rsidRPr="007F39A2">
        <w:rPr>
          <w:szCs w:val="20"/>
          <w:lang w:val="es-ES_tradnl"/>
        </w:rPr>
        <w:t xml:space="preserve">Corte Constitucional, sentencias </w:t>
      </w:r>
      <w:r w:rsidRPr="007F39A2">
        <w:rPr>
          <w:szCs w:val="20"/>
        </w:rPr>
        <w:t>C-442 de 2011 y C-501 de 2014.</w:t>
      </w:r>
    </w:p>
  </w:footnote>
  <w:footnote w:id="148">
    <w:p w14:paraId="36C92C51" w14:textId="76B48B1A" w:rsidR="004E3D83" w:rsidRPr="007F39A2" w:rsidRDefault="004E3D83" w:rsidP="004E3D83">
      <w:pPr>
        <w:pStyle w:val="Textonotapie"/>
      </w:pPr>
      <w:r w:rsidRPr="007F39A2">
        <w:rPr>
          <w:rStyle w:val="Refdenotaalpie"/>
        </w:rPr>
        <w:footnoteRef/>
      </w:r>
      <w:r w:rsidRPr="007F39A2">
        <w:t xml:space="preserve"> Corte Constitucional, </w:t>
      </w:r>
      <w:r w:rsidR="002512A7" w:rsidRPr="007F39A2">
        <w:t xml:space="preserve">Sentencia </w:t>
      </w:r>
      <w:r w:rsidRPr="007F39A2">
        <w:t xml:space="preserve">C-121 de 2012. Al respecto, señaló la Corte que “[n]o es novedoso sostener que las denominaciones de los capítulos y títulos del código penal, no cumplen simplemente una labor de ordenación </w:t>
      </w:r>
      <w:r w:rsidRPr="007F39A2">
        <w:rPr>
          <w:u w:val="single"/>
        </w:rPr>
        <w:t>sino que contribuyen a dar sentido a las prohibiciones, al punto que constituyen un valioso parámetro para determinar la antijuridicidad material de las conductas, es decir su verdadera idoneidad para configurar una acción socialmente dañosa, y por ende merecedora de reproche penal</w:t>
      </w:r>
      <w:r w:rsidRPr="007F39A2">
        <w:t>” (resaltado fuera de texto).</w:t>
      </w:r>
    </w:p>
  </w:footnote>
  <w:footnote w:id="149">
    <w:p w14:paraId="5EB5E15C" w14:textId="1B4AEB45" w:rsidR="004E3D83" w:rsidRPr="007F39A2" w:rsidRDefault="004E3D83" w:rsidP="004E3D83">
      <w:pPr>
        <w:pStyle w:val="Textonotapie"/>
        <w:rPr>
          <w:lang w:val="es-MX"/>
        </w:rPr>
      </w:pPr>
      <w:r w:rsidRPr="007F39A2">
        <w:rPr>
          <w:rStyle w:val="Refdenotaalpie"/>
        </w:rPr>
        <w:footnoteRef/>
      </w:r>
      <w:r w:rsidRPr="007F39A2">
        <w:t xml:space="preserve"> </w:t>
      </w:r>
      <w:r w:rsidRPr="007F39A2">
        <w:rPr>
          <w:lang w:val="es-MX"/>
        </w:rPr>
        <w:t xml:space="preserve">Corte Constitucional, sentencias C-501 de 2014 y C-297 de 2016. </w:t>
      </w:r>
    </w:p>
  </w:footnote>
  <w:footnote w:id="150">
    <w:p w14:paraId="029380A2" w14:textId="63D1848B" w:rsidR="004E3D83" w:rsidRPr="007F39A2" w:rsidRDefault="004E3D83" w:rsidP="004E3D83">
      <w:pPr>
        <w:pStyle w:val="Textonotapie"/>
        <w:rPr>
          <w:szCs w:val="20"/>
        </w:rPr>
      </w:pPr>
      <w:r w:rsidRPr="007F39A2">
        <w:rPr>
          <w:szCs w:val="20"/>
          <w:vertAlign w:val="superscript"/>
        </w:rPr>
        <w:footnoteRef/>
      </w:r>
      <w:r w:rsidRPr="007F39A2">
        <w:rPr>
          <w:szCs w:val="20"/>
        </w:rPr>
        <w:t xml:space="preserve"> </w:t>
      </w:r>
      <w:r w:rsidRPr="007F39A2">
        <w:rPr>
          <w:szCs w:val="20"/>
          <w:lang w:val="es-ES_tradnl"/>
        </w:rPr>
        <w:t xml:space="preserve">Corte Constitucional, sentencias </w:t>
      </w:r>
      <w:r w:rsidRPr="007F39A2">
        <w:rPr>
          <w:szCs w:val="20"/>
        </w:rPr>
        <w:t>C-091 de 2017, C-297 de 2016 y C-041 de 2017.</w:t>
      </w:r>
    </w:p>
  </w:footnote>
  <w:footnote w:id="151">
    <w:p w14:paraId="6FBA8424" w14:textId="38A4396C" w:rsidR="004E3D83" w:rsidRPr="007F39A2" w:rsidRDefault="004E3D83" w:rsidP="004E3D83">
      <w:pPr>
        <w:pStyle w:val="Textonotapie"/>
        <w:rPr>
          <w:lang w:val="es-ES_tradnl"/>
        </w:rPr>
      </w:pPr>
      <w:r w:rsidRPr="007F39A2">
        <w:rPr>
          <w:rStyle w:val="Refdenotaalpie"/>
        </w:rPr>
        <w:footnoteRef/>
      </w:r>
      <w:r w:rsidRPr="007F39A2">
        <w:t xml:space="preserve"> </w:t>
      </w:r>
      <w:r w:rsidRPr="007F39A2">
        <w:rPr>
          <w:szCs w:val="20"/>
        </w:rPr>
        <w:t xml:space="preserve">Corte Constitucional, sentencias C-742 de 2012, </w:t>
      </w:r>
      <w:r w:rsidRPr="007F39A2">
        <w:t>C-297 de 2016,</w:t>
      </w:r>
      <w:r w:rsidRPr="007F39A2">
        <w:rPr>
          <w:szCs w:val="20"/>
        </w:rPr>
        <w:t xml:space="preserve"> y C-204 de 2023.</w:t>
      </w:r>
    </w:p>
  </w:footnote>
  <w:footnote w:id="152">
    <w:p w14:paraId="616C493F" w14:textId="07495597" w:rsidR="004E3D83" w:rsidRPr="007F39A2" w:rsidRDefault="004E3D83" w:rsidP="004E3D83">
      <w:pPr>
        <w:pStyle w:val="Textonotapie"/>
      </w:pPr>
      <w:r w:rsidRPr="007F39A2">
        <w:rPr>
          <w:rStyle w:val="Refdenotaalpie"/>
        </w:rPr>
        <w:footnoteRef/>
      </w:r>
      <w:r w:rsidRPr="007F39A2">
        <w:t xml:space="preserve"> Corte Constitucional, </w:t>
      </w:r>
      <w:r w:rsidR="002512A7" w:rsidRPr="007F39A2">
        <w:t xml:space="preserve">Sentencia </w:t>
      </w:r>
      <w:r w:rsidRPr="007F39A2">
        <w:t xml:space="preserve">C-091 de 2017. </w:t>
      </w:r>
    </w:p>
  </w:footnote>
  <w:footnote w:id="153">
    <w:p w14:paraId="1242E383" w14:textId="77777777" w:rsidR="004E3D83" w:rsidRPr="007F39A2" w:rsidRDefault="004E3D83" w:rsidP="004E3D83">
      <w:pPr>
        <w:pStyle w:val="Textonotapie"/>
        <w:rPr>
          <w:lang w:val="es-ES_tradnl"/>
        </w:rPr>
      </w:pPr>
      <w:r w:rsidRPr="007F39A2">
        <w:rPr>
          <w:rStyle w:val="Refdenotaalpie"/>
        </w:rPr>
        <w:footnoteRef/>
      </w:r>
      <w:r w:rsidRPr="007F39A2">
        <w:t xml:space="preserve"> Ib.</w:t>
      </w:r>
    </w:p>
  </w:footnote>
  <w:footnote w:id="154">
    <w:p w14:paraId="5D989DF6" w14:textId="05B6465B" w:rsidR="00480C5D" w:rsidRPr="007F39A2" w:rsidRDefault="00480C5D" w:rsidP="00480C5D">
      <w:pPr>
        <w:pStyle w:val="Textonotapie"/>
        <w:rPr>
          <w:lang w:val="es-MX"/>
        </w:rPr>
      </w:pPr>
      <w:r w:rsidRPr="007F39A2">
        <w:rPr>
          <w:rStyle w:val="Refdenotaalpie"/>
        </w:rPr>
        <w:footnoteRef/>
      </w:r>
      <w:r w:rsidRPr="007F39A2">
        <w:t xml:space="preserve"> Corte Constitucional, sentencias </w:t>
      </w:r>
      <w:r w:rsidRPr="007F39A2">
        <w:rPr>
          <w:lang w:val="es-ES_tradnl"/>
        </w:rPr>
        <w:t xml:space="preserve">C-559 de 1999 y C-442 de 2011. </w:t>
      </w:r>
    </w:p>
  </w:footnote>
  <w:footnote w:id="155">
    <w:p w14:paraId="42F0CD52" w14:textId="2365401F" w:rsidR="00480C5D" w:rsidRPr="007F39A2" w:rsidRDefault="00480C5D" w:rsidP="00480C5D">
      <w:pPr>
        <w:pStyle w:val="Textonotapie"/>
        <w:rPr>
          <w:lang w:val="es-MX"/>
        </w:rPr>
      </w:pPr>
      <w:r w:rsidRPr="007F39A2">
        <w:rPr>
          <w:rStyle w:val="Refdenotaalpie"/>
        </w:rPr>
        <w:footnoteRef/>
      </w:r>
      <w:r w:rsidRPr="007F39A2">
        <w:t xml:space="preserve"> </w:t>
      </w:r>
      <w:r w:rsidRPr="007F39A2">
        <w:rPr>
          <w:lang w:val="es-MX"/>
        </w:rPr>
        <w:t xml:space="preserve">Corte Constitucional, </w:t>
      </w:r>
      <w:r w:rsidR="002512A7" w:rsidRPr="007F39A2">
        <w:rPr>
          <w:lang w:val="es-MX"/>
        </w:rPr>
        <w:t xml:space="preserve">Sentencia </w:t>
      </w:r>
      <w:r w:rsidRPr="007F39A2">
        <w:rPr>
          <w:lang w:val="es-MX"/>
        </w:rPr>
        <w:t xml:space="preserve">C-297 de 2016. </w:t>
      </w:r>
    </w:p>
  </w:footnote>
  <w:footnote w:id="156">
    <w:p w14:paraId="503F9FFC" w14:textId="77777777" w:rsidR="000C03CA" w:rsidRPr="007F39A2" w:rsidRDefault="000C03CA" w:rsidP="000C03CA">
      <w:pPr>
        <w:pStyle w:val="Textonotapie"/>
        <w:rPr>
          <w:lang w:val="es-ES_tradnl"/>
        </w:rPr>
      </w:pPr>
      <w:r w:rsidRPr="007F39A2">
        <w:rPr>
          <w:rStyle w:val="Refdenotaalpie"/>
        </w:rPr>
        <w:footnoteRef/>
      </w:r>
      <w:r w:rsidRPr="007F39A2">
        <w:t xml:space="preserve"> Gaceta 607 de 2010, p. 16.</w:t>
      </w:r>
    </w:p>
  </w:footnote>
  <w:footnote w:id="157">
    <w:p w14:paraId="33E971C5" w14:textId="77777777" w:rsidR="000C03CA" w:rsidRPr="007F39A2" w:rsidRDefault="000C03CA" w:rsidP="000C03CA">
      <w:pPr>
        <w:pStyle w:val="Textonotapie"/>
      </w:pPr>
      <w:r w:rsidRPr="007F39A2">
        <w:rPr>
          <w:rStyle w:val="Refdenotaalpie"/>
        </w:rPr>
        <w:footnoteRef/>
      </w:r>
      <w:r w:rsidRPr="007F39A2">
        <w:t xml:space="preserve"> Ib., p. 17.</w:t>
      </w:r>
    </w:p>
  </w:footnote>
  <w:footnote w:id="158">
    <w:p w14:paraId="1DBE69A3" w14:textId="77777777" w:rsidR="000C03CA" w:rsidRPr="007F39A2" w:rsidRDefault="000C03CA" w:rsidP="000C03CA">
      <w:pPr>
        <w:pStyle w:val="Textonotapie"/>
        <w:rPr>
          <w:lang w:val="es-ES_tradnl"/>
        </w:rPr>
      </w:pPr>
      <w:r w:rsidRPr="007F39A2">
        <w:rPr>
          <w:rStyle w:val="Refdenotaalpie"/>
        </w:rPr>
        <w:footnoteRef/>
      </w:r>
      <w:r w:rsidRPr="007F39A2">
        <w:t xml:space="preserve"> Ib.</w:t>
      </w:r>
    </w:p>
  </w:footnote>
  <w:footnote w:id="159">
    <w:p w14:paraId="2CE7483D" w14:textId="77777777" w:rsidR="000C03CA" w:rsidRPr="007F39A2" w:rsidRDefault="000C03CA" w:rsidP="000C03CA">
      <w:pPr>
        <w:pStyle w:val="Textonotapie"/>
        <w:rPr>
          <w:lang w:val="es-ES_tradnl"/>
        </w:rPr>
      </w:pPr>
      <w:r w:rsidRPr="007F39A2">
        <w:rPr>
          <w:rStyle w:val="Refdenotaalpie"/>
        </w:rPr>
        <w:footnoteRef/>
      </w:r>
      <w:r w:rsidRPr="007F39A2">
        <w:t xml:space="preserve"> Ib., p. 18.</w:t>
      </w:r>
    </w:p>
  </w:footnote>
  <w:footnote w:id="160">
    <w:p w14:paraId="3FCB2493" w14:textId="77777777" w:rsidR="000C03CA" w:rsidRPr="007F39A2" w:rsidRDefault="000C03CA" w:rsidP="000C03CA">
      <w:pPr>
        <w:pStyle w:val="Textonotapie"/>
        <w:rPr>
          <w:lang w:val="es-ES_tradnl"/>
        </w:rPr>
      </w:pPr>
      <w:r w:rsidRPr="007F39A2">
        <w:rPr>
          <w:rStyle w:val="Refdenotaalpie"/>
        </w:rPr>
        <w:footnoteRef/>
      </w:r>
      <w:r w:rsidRPr="007F39A2">
        <w:t xml:space="preserve"> Ib.</w:t>
      </w:r>
    </w:p>
  </w:footnote>
  <w:footnote w:id="161">
    <w:p w14:paraId="6F470220" w14:textId="77777777" w:rsidR="000C03CA" w:rsidRPr="007F39A2" w:rsidRDefault="000C03CA" w:rsidP="000C03CA">
      <w:pPr>
        <w:pStyle w:val="Textonotapie"/>
      </w:pPr>
      <w:r w:rsidRPr="007F39A2">
        <w:rPr>
          <w:rStyle w:val="Refdenotaalpie"/>
        </w:rPr>
        <w:footnoteRef/>
      </w:r>
      <w:r w:rsidRPr="007F39A2">
        <w:t xml:space="preserve"> Ib., p. 18.</w:t>
      </w:r>
    </w:p>
  </w:footnote>
  <w:footnote w:id="162">
    <w:p w14:paraId="122986F4" w14:textId="77777777" w:rsidR="000C03CA" w:rsidRPr="007F39A2" w:rsidRDefault="000C03CA" w:rsidP="000C03CA">
      <w:pPr>
        <w:pStyle w:val="Textonotapie"/>
      </w:pPr>
      <w:r w:rsidRPr="007F39A2">
        <w:rPr>
          <w:rStyle w:val="Refdenotaalpie"/>
        </w:rPr>
        <w:footnoteRef/>
      </w:r>
      <w:r w:rsidRPr="007F39A2">
        <w:t xml:space="preserve"> Ib.</w:t>
      </w:r>
    </w:p>
  </w:footnote>
  <w:footnote w:id="163">
    <w:p w14:paraId="5E2B05BF" w14:textId="77777777" w:rsidR="000C03CA" w:rsidRPr="007F39A2" w:rsidRDefault="000C03CA" w:rsidP="000C03CA">
      <w:pPr>
        <w:pStyle w:val="Textonotapie"/>
      </w:pPr>
      <w:r w:rsidRPr="007F39A2">
        <w:rPr>
          <w:rStyle w:val="Refdenotaalpie"/>
        </w:rPr>
        <w:footnoteRef/>
      </w:r>
      <w:r w:rsidRPr="007F39A2">
        <w:t xml:space="preserve"> </w:t>
      </w:r>
      <w:r w:rsidRPr="007F39A2">
        <w:rPr>
          <w:lang w:val="es-ES_tradnl"/>
        </w:rPr>
        <w:t>Gaceta 180 de 2011, p. 20</w:t>
      </w:r>
    </w:p>
  </w:footnote>
  <w:footnote w:id="164">
    <w:p w14:paraId="338858B0" w14:textId="77777777" w:rsidR="000C03CA" w:rsidRPr="007F39A2" w:rsidRDefault="000C03CA" w:rsidP="000C03CA">
      <w:pPr>
        <w:pStyle w:val="Textonotapie"/>
        <w:rPr>
          <w:lang w:val="es-ES_tradnl"/>
        </w:rPr>
      </w:pPr>
      <w:r w:rsidRPr="007F39A2">
        <w:rPr>
          <w:rStyle w:val="Refdenotaalpie"/>
        </w:rPr>
        <w:footnoteRef/>
      </w:r>
      <w:r w:rsidRPr="007F39A2">
        <w:t xml:space="preserve"> Ib.</w:t>
      </w:r>
    </w:p>
  </w:footnote>
  <w:footnote w:id="165">
    <w:p w14:paraId="10BF2BC9" w14:textId="40B0F335" w:rsidR="000C03CA" w:rsidRPr="007F39A2" w:rsidRDefault="000C03CA" w:rsidP="000C03CA">
      <w:pPr>
        <w:pStyle w:val="Textonotapie"/>
        <w:rPr>
          <w:lang w:val="es-ES_tradnl"/>
        </w:rPr>
      </w:pPr>
      <w:r w:rsidRPr="007F39A2">
        <w:rPr>
          <w:rStyle w:val="Refdenotaalpie"/>
        </w:rPr>
        <w:footnoteRef/>
      </w:r>
      <w:r w:rsidRPr="007F39A2">
        <w:t xml:space="preserve"> Ib. Durante el trámite legislativo el Representante Pablo Enrique Salamanca Cortés</w:t>
      </w:r>
      <w:r w:rsidRPr="007F39A2">
        <w:rPr>
          <w:i/>
          <w:iCs/>
        </w:rPr>
        <w:t xml:space="preserve"> </w:t>
      </w:r>
      <w:r w:rsidRPr="007F39A2">
        <w:t>solicitó modificar la redacción de la norma para mejorar lo que se entiende por “restricción a la co</w:t>
      </w:r>
      <w:r w:rsidR="004E7E7C" w:rsidRPr="007F39A2">
        <w:t>mpe</w:t>
      </w:r>
      <w:r w:rsidRPr="007F39A2">
        <w:t>tencia en materia de contratos”. Al respecto, explicó a la comisión que este nuevo tipo penal buscaba sancionar los “acuerdos restrictivos de la competencia en materia de contratación”</w:t>
      </w:r>
      <w:r w:rsidRPr="007F39A2">
        <w:rPr>
          <w:rStyle w:val="Refdenotaalpie"/>
        </w:rPr>
        <w:footnoteRef/>
      </w:r>
      <w:r w:rsidRPr="007F39A2">
        <w:t>, lo cual implica “establecer barreras artificiales para que la gente acceda a un contrato”</w:t>
      </w:r>
      <w:r w:rsidRPr="007F39A2">
        <w:rPr>
          <w:rStyle w:val="Refdenotaalpie"/>
        </w:rPr>
        <w:footnoteRef/>
      </w:r>
      <w:r w:rsidRPr="007F39A2">
        <w:t xml:space="preserve">. El congresista expuso que también la norma pretende sancionar a los funcionarios públicos que establezcan </w:t>
      </w:r>
      <w:r w:rsidR="002425A3" w:rsidRPr="007F39A2">
        <w:t xml:space="preserve">requisitos </w:t>
      </w:r>
      <w:r w:rsidRPr="007F39A2">
        <w:t>“innecesarios para acceder democráticamente a los contratos y favorecer así a una determinada persona, natural o jurídica, con la adjudicación del mismo”. No obstante, el representante retiró esta proposición.</w:t>
      </w:r>
    </w:p>
  </w:footnote>
  <w:footnote w:id="166">
    <w:p w14:paraId="10FF7B50" w14:textId="77777777" w:rsidR="000C03CA" w:rsidRPr="007F39A2" w:rsidRDefault="000C03CA" w:rsidP="000C03CA">
      <w:pPr>
        <w:pStyle w:val="Textonotapie"/>
      </w:pPr>
      <w:r w:rsidRPr="007F39A2">
        <w:rPr>
          <w:rStyle w:val="Refdenotaalpie"/>
        </w:rPr>
        <w:footnoteRef/>
      </w:r>
      <w:r w:rsidRPr="007F39A2">
        <w:t xml:space="preserve"> Ib. </w:t>
      </w:r>
    </w:p>
  </w:footnote>
  <w:footnote w:id="167">
    <w:p w14:paraId="342A75DE" w14:textId="77777777" w:rsidR="000C03CA" w:rsidRPr="007F39A2" w:rsidRDefault="000C03CA" w:rsidP="000C03CA">
      <w:pPr>
        <w:pStyle w:val="Textonotapie"/>
      </w:pPr>
      <w:r w:rsidRPr="007F39A2">
        <w:rPr>
          <w:rStyle w:val="Refdenotaalpie"/>
        </w:rPr>
        <w:footnoteRef/>
      </w:r>
      <w:r w:rsidRPr="007F39A2">
        <w:t xml:space="preserve"> Gaceta 19 de 2011, p. 3.</w:t>
      </w:r>
    </w:p>
  </w:footnote>
  <w:footnote w:id="168">
    <w:p w14:paraId="5BF89C44" w14:textId="77777777" w:rsidR="000C03CA" w:rsidRPr="007F39A2" w:rsidRDefault="000C03CA" w:rsidP="000C03CA">
      <w:pPr>
        <w:pStyle w:val="Textonotapie"/>
      </w:pPr>
      <w:r w:rsidRPr="007F39A2">
        <w:rPr>
          <w:rStyle w:val="Refdenotaalpie"/>
        </w:rPr>
        <w:footnoteRef/>
      </w:r>
      <w:r w:rsidRPr="007F39A2">
        <w:t xml:space="preserve"> Estos eran los Representantes Germán Varón, Alfonso Prada, Jaime Buenahora y </w:t>
      </w:r>
      <w:r w:rsidRPr="007F39A2">
        <w:rPr>
          <w:lang w:val="es-ES_tradnl"/>
        </w:rPr>
        <w:t>Juan Carlos Salazar</w:t>
      </w:r>
      <w:r w:rsidRPr="007F39A2">
        <w:t xml:space="preserve">. </w:t>
      </w:r>
    </w:p>
  </w:footnote>
  <w:footnote w:id="169">
    <w:p w14:paraId="6B8FB5A4" w14:textId="5F6F18AF" w:rsidR="000C03CA" w:rsidRPr="007F39A2" w:rsidRDefault="000C03CA" w:rsidP="000C03CA">
      <w:pPr>
        <w:pStyle w:val="Textonotapie"/>
      </w:pPr>
      <w:r w:rsidRPr="007F39A2">
        <w:rPr>
          <w:rStyle w:val="Refdenotaalpie"/>
        </w:rPr>
        <w:footnoteRef/>
      </w:r>
      <w:r w:rsidRPr="007F39A2">
        <w:t xml:space="preserve"> En concreto, se incluyó el siguiente parágrafo: “[e]l que en su condición de delator o clemente mediante resolución en firme obtenga exoneración total de la multa a imponer por parte de la Superintendencia de Industria y Comercio en una investigación por acuerdo anticompetitivo en un proceso de contratación pública obtendrá los siguientes beneficios: reducción de la pena en una tercera parte, un 40% de la multa a imponer y una inhabilidad para con entidades estatales por cinco años”.</w:t>
      </w:r>
    </w:p>
  </w:footnote>
  <w:footnote w:id="170">
    <w:p w14:paraId="033845B9" w14:textId="77777777" w:rsidR="000C03CA" w:rsidRPr="007F39A2" w:rsidRDefault="000C03CA" w:rsidP="000C03CA">
      <w:pPr>
        <w:pStyle w:val="Textonotapie"/>
      </w:pPr>
      <w:r w:rsidRPr="007F39A2">
        <w:rPr>
          <w:rStyle w:val="Refdenotaalpie"/>
        </w:rPr>
        <w:footnoteRef/>
      </w:r>
      <w:r w:rsidRPr="007F39A2">
        <w:t xml:space="preserve"> Ib.</w:t>
      </w:r>
    </w:p>
  </w:footnote>
  <w:footnote w:id="171">
    <w:p w14:paraId="20D78853" w14:textId="53B1BDDE" w:rsidR="000C03CA" w:rsidRPr="007F39A2" w:rsidRDefault="000C03CA" w:rsidP="000C03CA">
      <w:pPr>
        <w:pStyle w:val="Textonotapie"/>
        <w:rPr>
          <w:lang w:val="es-ES_tradnl"/>
        </w:rPr>
      </w:pPr>
      <w:r w:rsidRPr="007F39A2">
        <w:rPr>
          <w:rStyle w:val="Refdenotaalpie"/>
        </w:rPr>
        <w:footnoteRef/>
      </w:r>
      <w:r w:rsidRPr="007F39A2">
        <w:t xml:space="preserve"> Corte Constitucional, </w:t>
      </w:r>
      <w:r w:rsidR="002512A7" w:rsidRPr="007F39A2">
        <w:t xml:space="preserve">Sentencia </w:t>
      </w:r>
      <w:r w:rsidRPr="007F39A2">
        <w:t xml:space="preserve">C-501 de 2014. Ver también, </w:t>
      </w:r>
      <w:r w:rsidR="002512A7" w:rsidRPr="007F39A2">
        <w:t xml:space="preserve">Sentencia </w:t>
      </w:r>
      <w:r w:rsidRPr="007F39A2">
        <w:t>SU</w:t>
      </w:r>
      <w:r w:rsidR="00AE0F3A" w:rsidRPr="007F39A2">
        <w:t>-</w:t>
      </w:r>
      <w:r w:rsidRPr="007F39A2">
        <w:t>360 de 2024: “La teoría del delito dicta que para que haya </w:t>
      </w:r>
      <w:r w:rsidRPr="007F39A2">
        <w:rPr>
          <w:i/>
          <w:iCs/>
        </w:rPr>
        <w:t>tipicidad</w:t>
      </w:r>
      <w:r w:rsidRPr="007F39A2">
        <w:t xml:space="preserve">, es necesario que </w:t>
      </w:r>
      <w:r w:rsidR="00AE0F3A" w:rsidRPr="007F39A2">
        <w:t>‘l</w:t>
      </w:r>
      <w:r w:rsidRPr="007F39A2">
        <w:t>a conducta se adecúe a las exigencias materiales definidas en el respectivo precepto de la parte especial del estatuto penal (tipo objetivo)</w:t>
      </w:r>
      <w:r w:rsidR="003E4636" w:rsidRPr="007F39A2">
        <w:t>’:</w:t>
      </w:r>
      <w:r w:rsidRPr="007F39A2">
        <w:t xml:space="preserve"> el sujeto activo, el sujeto pasivo, la acción, el resultado, la causalidad, los medios y las modalidades del comportamiento. Asimismo, exige que cumpla con la modalidad de la conducta (dolo, culpa o preterintención) establecida por el legislador en cada norma especial (tipo subjetivo). Conforme el artículo 21 del Código Penal, todos los tipos de la parte especial corresponden a conductas dolosas, salvo cuando se haya previsto expresamente que trata de comportamientos culposos o preterintencionales”. </w:t>
      </w:r>
    </w:p>
  </w:footnote>
  <w:footnote w:id="172">
    <w:p w14:paraId="0795A1E3" w14:textId="77777777" w:rsidR="000C03CA" w:rsidRPr="007F39A2" w:rsidRDefault="000C03CA" w:rsidP="000C03CA">
      <w:pPr>
        <w:pStyle w:val="Textonotapie"/>
        <w:rPr>
          <w:lang w:val="es-ES_tradnl"/>
        </w:rPr>
      </w:pPr>
      <w:r w:rsidRPr="007F39A2">
        <w:rPr>
          <w:rStyle w:val="Refdenotaalpie"/>
        </w:rPr>
        <w:footnoteRef/>
      </w:r>
      <w:r w:rsidRPr="007F39A2">
        <w:t xml:space="preserve"> Ib. El sujeto activo se refiere a la persona que ejecuta la conducta punible. Los sujetos activos pueden ser monosubjetivos, plurisubjetivos, de sujeto indeterminado o de sujeto cualificado.</w:t>
      </w:r>
    </w:p>
  </w:footnote>
  <w:footnote w:id="173">
    <w:p w14:paraId="127041C2" w14:textId="77777777" w:rsidR="000C03CA" w:rsidRPr="007F39A2" w:rsidRDefault="000C03CA" w:rsidP="000C03CA">
      <w:pPr>
        <w:pStyle w:val="Textonotapie"/>
        <w:rPr>
          <w:lang w:val="es-ES_tradnl"/>
        </w:rPr>
      </w:pPr>
      <w:r w:rsidRPr="007F39A2">
        <w:rPr>
          <w:rStyle w:val="Refdenotaalpie"/>
        </w:rPr>
        <w:footnoteRef/>
      </w:r>
      <w:r w:rsidRPr="007F39A2">
        <w:t xml:space="preserve"> Ib. El sujeto pasivo se refiere al “titular del bien jurídico que el legislador busca proteger y que resulta afectado con la conducta del sujeto activo”.</w:t>
      </w:r>
    </w:p>
  </w:footnote>
  <w:footnote w:id="174">
    <w:p w14:paraId="77975D1B" w14:textId="77777777" w:rsidR="000C03CA" w:rsidRPr="007F39A2" w:rsidRDefault="000C03CA" w:rsidP="000C03CA">
      <w:pPr>
        <w:pStyle w:val="Textonotapie"/>
        <w:rPr>
          <w:lang w:val="es-ES_tradnl"/>
        </w:rPr>
      </w:pPr>
      <w:r w:rsidRPr="007F39A2">
        <w:rPr>
          <w:rStyle w:val="Refdenotaalpie"/>
        </w:rPr>
        <w:footnoteRef/>
      </w:r>
      <w:r w:rsidRPr="007F39A2">
        <w:t xml:space="preserve"> Ib. La conducta “corresponde al comportamiento de acción o de omisión cuya realización se acomoda a la descripción del tipo y que generalmente se identifica con un verbo rector”.</w:t>
      </w:r>
    </w:p>
  </w:footnote>
  <w:footnote w:id="175">
    <w:p w14:paraId="384FA3B2" w14:textId="77777777" w:rsidR="00E005EC" w:rsidRPr="007F39A2" w:rsidRDefault="00E005EC" w:rsidP="00E005EC">
      <w:pPr>
        <w:pStyle w:val="Textonotapie"/>
      </w:pPr>
      <w:r w:rsidRPr="007F39A2">
        <w:rPr>
          <w:rStyle w:val="Refdenotaalpie"/>
        </w:rPr>
        <w:footnoteRef/>
      </w:r>
      <w:r w:rsidRPr="007F39A2">
        <w:t xml:space="preserve"> La Sala recuerda que los intervinientes que solicitan a la Corte declarar la inexequibilidad de la norma son: el Instituto Colombiano de Derecho Procesal, la Universidad Externado, la Fundación Jurídica Proyecto Inocencia y el Colegio de Abogados Penalistas. </w:t>
      </w:r>
    </w:p>
  </w:footnote>
  <w:footnote w:id="176">
    <w:p w14:paraId="3B763EBE" w14:textId="64CDCB88" w:rsidR="001E07CB" w:rsidRPr="007F39A2" w:rsidRDefault="001E07CB" w:rsidP="001E07CB">
      <w:pPr>
        <w:pStyle w:val="Textonotapie"/>
      </w:pPr>
      <w:r w:rsidRPr="007F39A2">
        <w:rPr>
          <w:rStyle w:val="Refdenotaalpie"/>
        </w:rPr>
        <w:footnoteRef/>
      </w:r>
      <w:r w:rsidRPr="007F39A2">
        <w:t xml:space="preserve"> Corte Constitucional, </w:t>
      </w:r>
      <w:r w:rsidR="002512A7" w:rsidRPr="007F39A2">
        <w:t xml:space="preserve">Sentencia </w:t>
      </w:r>
      <w:r w:rsidRPr="007F39A2">
        <w:t xml:space="preserve">C-021 de 2023. </w:t>
      </w:r>
    </w:p>
  </w:footnote>
  <w:footnote w:id="177">
    <w:p w14:paraId="4251D065" w14:textId="46061119" w:rsidR="001E07CB" w:rsidRPr="007F39A2" w:rsidRDefault="001E07CB" w:rsidP="001E07CB">
      <w:pPr>
        <w:pStyle w:val="Textonotapie"/>
      </w:pPr>
      <w:r w:rsidRPr="007F39A2">
        <w:rPr>
          <w:rStyle w:val="Refdenotaalpie"/>
        </w:rPr>
        <w:footnoteRef/>
      </w:r>
      <w:r w:rsidRPr="007F39A2">
        <w:t xml:space="preserve"> Corte Constitucional, </w:t>
      </w:r>
      <w:r w:rsidR="002512A7" w:rsidRPr="007F39A2">
        <w:t xml:space="preserve">Sentencia </w:t>
      </w:r>
      <w:r w:rsidRPr="007F39A2">
        <w:t xml:space="preserve">C-411 de 2022. </w:t>
      </w:r>
    </w:p>
  </w:footnote>
  <w:footnote w:id="178">
    <w:p w14:paraId="57B49692" w14:textId="71CACD1D" w:rsidR="001E07CB" w:rsidRPr="007F39A2" w:rsidRDefault="001E07CB" w:rsidP="001E07CB">
      <w:pPr>
        <w:pStyle w:val="Textonotapie"/>
      </w:pPr>
      <w:r w:rsidRPr="007F39A2">
        <w:rPr>
          <w:rStyle w:val="Refdenotaalpie"/>
        </w:rPr>
        <w:footnoteRef/>
      </w:r>
      <w:r w:rsidRPr="007F39A2">
        <w:t xml:space="preserve"> Corte Constitucional, </w:t>
      </w:r>
      <w:r w:rsidR="002512A7" w:rsidRPr="007F39A2">
        <w:t xml:space="preserve">Sentencia </w:t>
      </w:r>
      <w:r w:rsidRPr="007F39A2">
        <w:t>C-367 de 2022.</w:t>
      </w:r>
    </w:p>
  </w:footnote>
  <w:footnote w:id="179">
    <w:p w14:paraId="215F6643" w14:textId="77777777" w:rsidR="001E07CB" w:rsidRPr="007F39A2" w:rsidRDefault="001E07CB" w:rsidP="001E07CB">
      <w:pPr>
        <w:pStyle w:val="Textonotapie"/>
      </w:pPr>
      <w:r w:rsidRPr="007F39A2">
        <w:rPr>
          <w:rStyle w:val="Refdenotaalpie"/>
        </w:rPr>
        <w:footnoteRef/>
      </w:r>
      <w:r w:rsidRPr="007F39A2">
        <w:t xml:space="preserve"> Al respecto, la Sala resalta los siguientes artículos del Código Penal: 142, “Utilización de medios y métodos de guerra ilícitos”; 156, “Destrucción o utilización ilícita de bienes culturales y de lugares de culto”, 162 “Reclutamiento ilícito”; 175, “Prolongación ilícita de privación de la libertad”; 192, “Violación ilícita de comunicaciones”; 196, “Violación ilícita de comunicaciones o correspondencia de carácter oficial”; 197, “Utilización ilícita de redes de comunicaciones”; 312, “Ejercicio ilícito de actividad monopolística de arbitrio rentístico”, entre otros.  </w:t>
      </w:r>
    </w:p>
  </w:footnote>
  <w:footnote w:id="180">
    <w:p w14:paraId="63E2D927" w14:textId="4A0FA921" w:rsidR="001E07CB" w:rsidRPr="007F39A2" w:rsidRDefault="001E07CB" w:rsidP="001E07CB">
      <w:pPr>
        <w:pStyle w:val="Textonotapie"/>
      </w:pPr>
      <w:r w:rsidRPr="007F39A2">
        <w:rPr>
          <w:rStyle w:val="Refdenotaalpie"/>
        </w:rPr>
        <w:footnoteRef/>
      </w:r>
      <w:r w:rsidRPr="007F39A2">
        <w:t xml:space="preserve"> Corte Constitucional, </w:t>
      </w:r>
      <w:r w:rsidR="002512A7" w:rsidRPr="007F39A2">
        <w:t xml:space="preserve">Sentencia </w:t>
      </w:r>
      <w:r w:rsidRPr="007F39A2">
        <w:t>C-742 de 2012</w:t>
      </w:r>
      <w:r w:rsidR="007E725C">
        <w:t>.</w:t>
      </w:r>
    </w:p>
  </w:footnote>
  <w:footnote w:id="181">
    <w:p w14:paraId="2E53B594" w14:textId="03A4E4D4" w:rsidR="00BC7A92" w:rsidRPr="007F39A2" w:rsidRDefault="00BC7A92">
      <w:pPr>
        <w:pStyle w:val="Textonotapie"/>
      </w:pPr>
      <w:r w:rsidRPr="007F39A2">
        <w:rPr>
          <w:rStyle w:val="Refdenotaalpie"/>
        </w:rPr>
        <w:footnoteRef/>
      </w:r>
      <w:r w:rsidRPr="007F39A2">
        <w:t xml:space="preserve"> </w:t>
      </w:r>
      <w:r w:rsidR="00334EE3" w:rsidRPr="007F39A2">
        <w:t xml:space="preserve">Corte Constitucional, </w:t>
      </w:r>
      <w:r w:rsidR="002512A7" w:rsidRPr="007F39A2">
        <w:t xml:space="preserve">Sentencia </w:t>
      </w:r>
      <w:r w:rsidR="00334EE3" w:rsidRPr="007F39A2">
        <w:t xml:space="preserve">C-367 de 2022. </w:t>
      </w:r>
    </w:p>
  </w:footnote>
  <w:footnote w:id="182">
    <w:p w14:paraId="6EDF4D1D" w14:textId="7A40718A" w:rsidR="00E1353C" w:rsidRPr="007F39A2" w:rsidRDefault="00E1353C" w:rsidP="00E1353C">
      <w:pPr>
        <w:pStyle w:val="Textonotapie"/>
      </w:pPr>
      <w:r w:rsidRPr="007F39A2">
        <w:rPr>
          <w:rStyle w:val="Refdenotaalpie"/>
        </w:rPr>
        <w:footnoteRef/>
      </w:r>
      <w:r w:rsidRPr="007F39A2">
        <w:t xml:space="preserve"> </w:t>
      </w:r>
      <w:r w:rsidRPr="007F39A2">
        <w:rPr>
          <w:szCs w:val="20"/>
          <w:lang w:val="es-ES_tradnl"/>
        </w:rPr>
        <w:t>Corte Constitucional, sentencias C-605 de 2006, C-851 de 2009 y C-501 de 2014.</w:t>
      </w:r>
    </w:p>
  </w:footnote>
  <w:footnote w:id="183">
    <w:p w14:paraId="079E49E0" w14:textId="3E201252" w:rsidR="00E1353C" w:rsidRPr="007F39A2" w:rsidRDefault="00E1353C" w:rsidP="00E1353C">
      <w:pPr>
        <w:pStyle w:val="Textonotapie"/>
      </w:pPr>
      <w:r w:rsidRPr="007F39A2">
        <w:rPr>
          <w:rStyle w:val="Refdenotaalpie"/>
        </w:rPr>
        <w:footnoteRef/>
      </w:r>
      <w:r w:rsidRPr="007F39A2">
        <w:t xml:space="preserve"> </w:t>
      </w:r>
      <w:r w:rsidRPr="007F39A2">
        <w:rPr>
          <w:szCs w:val="20"/>
          <w:lang w:val="es-ES_tradnl"/>
        </w:rPr>
        <w:t>Corte Constitucional, sentencias C-501 de 2014 y C-041 de 2017.</w:t>
      </w:r>
    </w:p>
  </w:footnote>
  <w:footnote w:id="184">
    <w:p w14:paraId="3120B34F" w14:textId="67EB4C6A" w:rsidR="000C006A" w:rsidRPr="007F39A2" w:rsidRDefault="000C006A" w:rsidP="000C006A">
      <w:pPr>
        <w:pStyle w:val="Textonotapie"/>
      </w:pPr>
      <w:r w:rsidRPr="007F39A2">
        <w:rPr>
          <w:rStyle w:val="Refdenotaalpie"/>
        </w:rPr>
        <w:footnoteRef/>
      </w:r>
      <w:r w:rsidRPr="007F39A2">
        <w:t xml:space="preserve"> Corte Constitucional, </w:t>
      </w:r>
      <w:r w:rsidR="002512A7" w:rsidRPr="007F39A2">
        <w:t xml:space="preserve">Sentencia </w:t>
      </w:r>
      <w:r w:rsidRPr="007F39A2">
        <w:t xml:space="preserve">C-121 de 2012. Al respecto, señaló la Corte que “[n]o es novedoso sostener que las denominaciones de los capítulos y títulos del código penal, no cumplen simplemente una labor de ordenación </w:t>
      </w:r>
      <w:r w:rsidRPr="007F39A2">
        <w:rPr>
          <w:u w:val="single"/>
        </w:rPr>
        <w:t>sino que contribuyen a dar sentido a las prohibiciones, al punto que constituyen un valioso parámetro para determinar la antijuridicidad material de las conductas, es decir su verdadera idoneidad para configurar una acción socialmente dañosa, y por ende merecedora de reproche penal</w:t>
      </w:r>
      <w:r w:rsidRPr="007F39A2">
        <w:t>” (resaltado fuera de texto).</w:t>
      </w:r>
    </w:p>
  </w:footnote>
  <w:footnote w:id="185">
    <w:p w14:paraId="13EFAD36" w14:textId="48DF6F93" w:rsidR="009D4AA7" w:rsidRPr="007F39A2" w:rsidRDefault="009D4AA7" w:rsidP="009D4AA7">
      <w:pPr>
        <w:pStyle w:val="Textonotapie"/>
        <w:rPr>
          <w:szCs w:val="20"/>
          <w:lang w:val="es-ES_tradnl"/>
        </w:rPr>
      </w:pPr>
      <w:r w:rsidRPr="007F39A2">
        <w:rPr>
          <w:rStyle w:val="Refdenotaalpie"/>
          <w:szCs w:val="20"/>
        </w:rPr>
        <w:footnoteRef/>
      </w:r>
      <w:r w:rsidRPr="007F39A2">
        <w:rPr>
          <w:szCs w:val="20"/>
        </w:rPr>
        <w:t xml:space="preserve"> </w:t>
      </w:r>
      <w:r w:rsidRPr="007F39A2">
        <w:rPr>
          <w:szCs w:val="20"/>
          <w:lang w:val="es-ES_tradnl"/>
        </w:rPr>
        <w:t xml:space="preserve">Corte Constitucional, </w:t>
      </w:r>
      <w:r w:rsidR="002512A7" w:rsidRPr="007F39A2">
        <w:rPr>
          <w:szCs w:val="20"/>
          <w:lang w:val="es-ES_tradnl"/>
        </w:rPr>
        <w:t xml:space="preserve">Sentencia </w:t>
      </w:r>
      <w:r w:rsidRPr="007F39A2">
        <w:rPr>
          <w:szCs w:val="20"/>
          <w:lang w:val="es-ES_tradnl"/>
        </w:rPr>
        <w:t>C-080 de 2023.</w:t>
      </w:r>
    </w:p>
  </w:footnote>
  <w:footnote w:id="186">
    <w:p w14:paraId="21AC6A9D" w14:textId="77777777" w:rsidR="00431975" w:rsidRPr="007F39A2" w:rsidRDefault="00431975" w:rsidP="00431975">
      <w:pPr>
        <w:pStyle w:val="Textonotapie"/>
      </w:pPr>
      <w:r w:rsidRPr="007F39A2">
        <w:rPr>
          <w:rStyle w:val="Refdenotaalpie"/>
        </w:rPr>
        <w:footnoteRef/>
      </w:r>
      <w:r w:rsidRPr="007F39A2">
        <w:t xml:space="preserve"> Ib.</w:t>
      </w:r>
    </w:p>
  </w:footnote>
  <w:footnote w:id="187">
    <w:p w14:paraId="3FFC617D" w14:textId="5930A23B" w:rsidR="00D85242" w:rsidRPr="007F39A2" w:rsidRDefault="00D85242">
      <w:pPr>
        <w:pStyle w:val="Textonotapie"/>
        <w:rPr>
          <w:lang w:val="es-MX"/>
        </w:rPr>
      </w:pPr>
      <w:r w:rsidRPr="007F39A2">
        <w:rPr>
          <w:rStyle w:val="Refdenotaalpie"/>
        </w:rPr>
        <w:footnoteRef/>
      </w:r>
      <w:r w:rsidRPr="007F39A2">
        <w:t xml:space="preserve"> Gaceta 180 de 2011, p. 20 . </w:t>
      </w:r>
    </w:p>
  </w:footnote>
  <w:footnote w:id="188">
    <w:p w14:paraId="698A7DF4" w14:textId="2215D9DC" w:rsidR="009554F1" w:rsidRPr="007F39A2" w:rsidRDefault="009554F1">
      <w:pPr>
        <w:pStyle w:val="Textonotapie"/>
        <w:rPr>
          <w:lang w:val="es-MX"/>
        </w:rPr>
      </w:pPr>
      <w:r w:rsidRPr="007F39A2">
        <w:rPr>
          <w:rStyle w:val="Refdenotaalpie"/>
        </w:rPr>
        <w:footnoteRef/>
      </w:r>
      <w:r w:rsidRPr="007F39A2">
        <w:t xml:space="preserve"> </w:t>
      </w:r>
      <w:r w:rsidRPr="007F39A2">
        <w:rPr>
          <w:lang w:val="es-MX"/>
        </w:rPr>
        <w:t>SIC, Resoluci</w:t>
      </w:r>
      <w:r w:rsidR="0002483D" w:rsidRPr="007F39A2">
        <w:rPr>
          <w:lang w:val="es-MX"/>
        </w:rPr>
        <w:t>ón</w:t>
      </w:r>
      <w:r w:rsidRPr="007F39A2">
        <w:rPr>
          <w:lang w:val="es-MX"/>
        </w:rPr>
        <w:t xml:space="preserve"> 30415 de 2021. </w:t>
      </w:r>
    </w:p>
  </w:footnote>
  <w:footnote w:id="189">
    <w:p w14:paraId="03696212" w14:textId="4477E299" w:rsidR="00C538E8" w:rsidRPr="0018407E" w:rsidRDefault="00C538E8">
      <w:pPr>
        <w:pStyle w:val="Textonotapie"/>
        <w:rPr>
          <w:lang w:val="en-US"/>
        </w:rPr>
      </w:pPr>
      <w:r w:rsidRPr="007F39A2">
        <w:rPr>
          <w:rStyle w:val="Refdenotaalpie"/>
        </w:rPr>
        <w:footnoteRef/>
      </w:r>
      <w:r w:rsidRPr="007F39A2">
        <w:t xml:space="preserve"> </w:t>
      </w:r>
      <w:r w:rsidR="009625B9" w:rsidRPr="007F39A2">
        <w:rPr>
          <w:lang w:val="es-ES_tradnl"/>
        </w:rPr>
        <w:t xml:space="preserve">SIC, Resoluciones 58961 de 2018, 85898 de 2018, 52770 de 2019, 42216 de 2019, 26266 de 2019, 12992 de 2019, 3150 de 2019, 2076 de 2019, 1728 de 2019, 3150 de 2019, 35082 de 2020 y 30415 de 2021. </w:t>
      </w:r>
      <w:r w:rsidR="009625B9" w:rsidRPr="0018407E">
        <w:rPr>
          <w:i/>
          <w:iCs/>
          <w:lang w:val="en-US"/>
        </w:rPr>
        <w:t>Cfr</w:t>
      </w:r>
      <w:r w:rsidR="009625B9" w:rsidRPr="0018407E">
        <w:rPr>
          <w:lang w:val="en-US"/>
        </w:rPr>
        <w:t xml:space="preserve">. </w:t>
      </w:r>
      <w:r w:rsidR="001A2F0C" w:rsidRPr="0018407E">
        <w:rPr>
          <w:lang w:val="en-US"/>
        </w:rPr>
        <w:t>OCDE, “</w:t>
      </w:r>
      <w:r w:rsidR="001A2F0C" w:rsidRPr="0018407E">
        <w:rPr>
          <w:i/>
          <w:iCs/>
          <w:lang w:val="en-US"/>
        </w:rPr>
        <w:t>Fighting Bid Rigging in Public Procurement in Colombia</w:t>
      </w:r>
      <w:r w:rsidR="001A2F0C" w:rsidRPr="0018407E">
        <w:rPr>
          <w:lang w:val="en-US"/>
        </w:rPr>
        <w:t xml:space="preserve">”, </w:t>
      </w:r>
      <w:r w:rsidR="007D51C5" w:rsidRPr="0018407E">
        <w:rPr>
          <w:lang w:val="en-US"/>
        </w:rPr>
        <w:t xml:space="preserve">p. </w:t>
      </w:r>
      <w:r w:rsidR="001A2F0C" w:rsidRPr="0018407E">
        <w:rPr>
          <w:lang w:val="en-US"/>
        </w:rPr>
        <w:t>9</w:t>
      </w:r>
      <w:r w:rsidR="007D51C5" w:rsidRPr="0018407E">
        <w:rPr>
          <w:lang w:val="en-US"/>
        </w:rPr>
        <w:t>.</w:t>
      </w:r>
    </w:p>
  </w:footnote>
  <w:footnote w:id="190">
    <w:p w14:paraId="590FD52E" w14:textId="3B539C32" w:rsidR="00483A73" w:rsidRPr="007F39A2" w:rsidRDefault="00483A73" w:rsidP="00483A73">
      <w:pPr>
        <w:pStyle w:val="Textonotapie"/>
        <w:rPr>
          <w:lang w:val="es-ES_tradnl"/>
        </w:rPr>
      </w:pPr>
      <w:r w:rsidRPr="007F39A2">
        <w:rPr>
          <w:rStyle w:val="Refdenotaalpie"/>
        </w:rPr>
        <w:footnoteRef/>
      </w:r>
      <w:r w:rsidRPr="007F39A2">
        <w:t xml:space="preserve"> </w:t>
      </w:r>
      <w:r w:rsidRPr="007F39A2">
        <w:rPr>
          <w:lang w:val="es-ES_tradnl"/>
        </w:rPr>
        <w:t>Corte Constitucional, sentencias C-032 de 1996</w:t>
      </w:r>
      <w:r w:rsidR="0012064F" w:rsidRPr="007F39A2">
        <w:rPr>
          <w:lang w:val="es-ES_tradnl"/>
        </w:rPr>
        <w:t xml:space="preserve"> y</w:t>
      </w:r>
      <w:r w:rsidRPr="007F39A2">
        <w:rPr>
          <w:lang w:val="es-ES_tradnl"/>
        </w:rPr>
        <w:t xml:space="preserve"> C-1126 de 2008. </w:t>
      </w:r>
      <w:r w:rsidRPr="007F39A2">
        <w:rPr>
          <w:i/>
          <w:iCs/>
          <w:lang w:val="es-ES_tradnl"/>
        </w:rPr>
        <w:t>Cfr.</w:t>
      </w:r>
      <w:r w:rsidRPr="007F39A2">
        <w:rPr>
          <w:lang w:val="es-ES_tradnl"/>
        </w:rPr>
        <w:t xml:space="preserve"> Consejo de Estado, Sala de lo Contencioso Administrativo, Sección Primera, sentencias de 13 de mayo de 1993, exp. 2249, y de 7 diciembre de 1993, exp. 2335.</w:t>
      </w:r>
    </w:p>
  </w:footnote>
  <w:footnote w:id="191">
    <w:p w14:paraId="438AFFB4" w14:textId="77777777" w:rsidR="00E6131E" w:rsidRPr="007F39A2" w:rsidRDefault="00E6131E" w:rsidP="00E6131E">
      <w:pPr>
        <w:pStyle w:val="Textonotapie"/>
        <w:rPr>
          <w:lang w:val="es-MX"/>
        </w:rPr>
      </w:pPr>
      <w:r w:rsidRPr="007F39A2">
        <w:rPr>
          <w:rStyle w:val="Refdenotaalpie"/>
        </w:rPr>
        <w:footnoteRef/>
      </w:r>
      <w:r w:rsidRPr="007F39A2">
        <w:t xml:space="preserve"> </w:t>
      </w:r>
      <w:r w:rsidRPr="007F39A2">
        <w:rPr>
          <w:lang w:val="es-MX"/>
        </w:rPr>
        <w:t xml:space="preserve">Resolución 35082 de 2020: “Por lo anterior, este tipo de conductas son reprochadas a través del numeral 9º del artículo 47 del Decreto 2153 de 1992, descripción típica del ordenamiento jurídico colombiano que condena tanto las conductas que tengan por objeto la colusión en </w:t>
      </w:r>
      <w:r w:rsidRPr="007F39A2">
        <w:rPr>
          <w:i/>
          <w:iCs/>
          <w:lang w:val="es-MX"/>
        </w:rPr>
        <w:t>procesos de selección</w:t>
      </w:r>
      <w:r w:rsidRPr="007F39A2">
        <w:rPr>
          <w:lang w:val="es-MX"/>
        </w:rPr>
        <w:t xml:space="preserve">, como aquellas que tengan como efecto la distribución de la adjudicación de tales procesos o la fijación de los términos de las propuestas”. Ver también, Resoluciones 68972 de 2013, 40415 de 2021 y 56158 de 2021, entre muchas otras.  </w:t>
      </w:r>
    </w:p>
  </w:footnote>
  <w:footnote w:id="192">
    <w:p w14:paraId="52B10F39" w14:textId="6F6326AA" w:rsidR="00D062C4" w:rsidRPr="007F39A2" w:rsidRDefault="00D062C4">
      <w:pPr>
        <w:pStyle w:val="Textonotapie"/>
        <w:rPr>
          <w:lang w:val="es-MX"/>
        </w:rPr>
      </w:pPr>
      <w:r w:rsidRPr="007F39A2">
        <w:rPr>
          <w:rStyle w:val="Refdenotaalpie"/>
        </w:rPr>
        <w:footnoteRef/>
      </w:r>
      <w:r w:rsidRPr="007F39A2">
        <w:t xml:space="preserve"> SIC, </w:t>
      </w:r>
      <w:r w:rsidRPr="007F39A2">
        <w:rPr>
          <w:lang w:val="es-MX"/>
        </w:rPr>
        <w:t xml:space="preserve">Resolución 82510 de 2020. </w:t>
      </w:r>
    </w:p>
  </w:footnote>
  <w:footnote w:id="193">
    <w:p w14:paraId="159B1AB1" w14:textId="77777777" w:rsidR="001F7AC7" w:rsidRPr="007F39A2" w:rsidRDefault="001F7AC7" w:rsidP="001F7AC7">
      <w:pPr>
        <w:pStyle w:val="Textonotapie"/>
        <w:rPr>
          <w:lang w:val="es-MX"/>
        </w:rPr>
      </w:pPr>
      <w:r w:rsidRPr="007F39A2">
        <w:rPr>
          <w:rStyle w:val="Refdenotaalpie"/>
        </w:rPr>
        <w:footnoteRef/>
      </w:r>
      <w:r w:rsidRPr="007F39A2">
        <w:t xml:space="preserve"> La SIC ha reconocido que el numeral 9º prohíbe los acuerdos colusorios en procesos de contratación </w:t>
      </w:r>
      <w:r w:rsidRPr="007F39A2">
        <w:rPr>
          <w:i/>
          <w:iCs/>
        </w:rPr>
        <w:t>públicos</w:t>
      </w:r>
      <w:r w:rsidRPr="007F39A2">
        <w:t xml:space="preserve"> y </w:t>
      </w:r>
      <w:r w:rsidRPr="007F39A2">
        <w:rPr>
          <w:i/>
          <w:iCs/>
        </w:rPr>
        <w:t>privados</w:t>
      </w:r>
      <w:r w:rsidRPr="007F39A2">
        <w:t xml:space="preserve">. Con todo, la Sala Plena sólo se referirá a los elementos de la colusión en procesos de contratación pública habida cuenta de que el tipo penal demandado sólo sanciona las concertaciones con finalidad de alteración ilícita de procedimientos contractuales públicos. </w:t>
      </w:r>
    </w:p>
  </w:footnote>
  <w:footnote w:id="194">
    <w:p w14:paraId="06BB9FD7" w14:textId="119C0AC0" w:rsidR="00D062C4" w:rsidRPr="007F39A2" w:rsidRDefault="00D062C4" w:rsidP="00D062C4">
      <w:pPr>
        <w:pStyle w:val="Textonotapie"/>
        <w:rPr>
          <w:szCs w:val="20"/>
          <w:lang w:val="es-ES_tradnl"/>
        </w:rPr>
      </w:pPr>
      <w:r w:rsidRPr="007F39A2">
        <w:rPr>
          <w:rStyle w:val="Refdenotaalpie"/>
        </w:rPr>
        <w:footnoteRef/>
      </w:r>
      <w:r w:rsidRPr="007F39A2">
        <w:t xml:space="preserve"> </w:t>
      </w:r>
      <w:r w:rsidRPr="007F39A2">
        <w:rPr>
          <w:szCs w:val="20"/>
          <w:lang w:val="es-ES_tradnl"/>
        </w:rPr>
        <w:t xml:space="preserve">SIC, Resolución 3150 de 13 de febrero de 2019. </w:t>
      </w:r>
      <w:r w:rsidRPr="007F39A2">
        <w:rPr>
          <w:i/>
          <w:iCs/>
          <w:szCs w:val="20"/>
          <w:lang w:val="es-ES_tradnl"/>
        </w:rPr>
        <w:t xml:space="preserve">Cfr. </w:t>
      </w:r>
      <w:r w:rsidRPr="007F39A2">
        <w:rPr>
          <w:szCs w:val="20"/>
          <w:lang w:val="es-ES_tradnl"/>
        </w:rPr>
        <w:t>Resoluciones 1728 de 2019 y 44505 de 2022.</w:t>
      </w:r>
    </w:p>
  </w:footnote>
  <w:footnote w:id="195">
    <w:p w14:paraId="57B57B9D" w14:textId="11FEFBC3" w:rsidR="00411423" w:rsidRPr="007F39A2" w:rsidRDefault="00411423">
      <w:pPr>
        <w:pStyle w:val="Textonotapie"/>
        <w:rPr>
          <w:lang w:val="es-MX"/>
        </w:rPr>
      </w:pPr>
      <w:r w:rsidRPr="007F39A2">
        <w:rPr>
          <w:rStyle w:val="Refdenotaalpie"/>
        </w:rPr>
        <w:footnoteRef/>
      </w:r>
      <w:r w:rsidRPr="007F39A2">
        <w:t xml:space="preserve"> SIC, </w:t>
      </w:r>
      <w:r w:rsidRPr="007F39A2">
        <w:rPr>
          <w:lang w:val="es-MX"/>
        </w:rPr>
        <w:t>Resolución 82510 de 2020.</w:t>
      </w:r>
    </w:p>
  </w:footnote>
  <w:footnote w:id="196">
    <w:p w14:paraId="25405AC3" w14:textId="2A552066" w:rsidR="00E005EC" w:rsidRPr="007F39A2" w:rsidRDefault="00E005EC" w:rsidP="00E005EC">
      <w:pPr>
        <w:pStyle w:val="Textonotapie"/>
        <w:rPr>
          <w:szCs w:val="20"/>
          <w:lang w:val="es-ES_tradnl"/>
        </w:rPr>
      </w:pPr>
      <w:r w:rsidRPr="007F39A2">
        <w:rPr>
          <w:rStyle w:val="Refdenotaalpie"/>
        </w:rPr>
        <w:footnoteRef/>
      </w:r>
      <w:r w:rsidRPr="007F39A2">
        <w:t xml:space="preserve"> </w:t>
      </w:r>
      <w:r w:rsidR="00C538E8" w:rsidRPr="007F39A2">
        <w:rPr>
          <w:szCs w:val="20"/>
          <w:lang w:val="es-ES_tradnl"/>
        </w:rPr>
        <w:t>SIC</w:t>
      </w:r>
      <w:r w:rsidRPr="007F39A2">
        <w:rPr>
          <w:szCs w:val="20"/>
          <w:lang w:val="es-ES_tradnl"/>
        </w:rPr>
        <w:t xml:space="preserve">, Resolución 3150 de 13 de febrero de 2019, p. 12. </w:t>
      </w:r>
      <w:r w:rsidRPr="007F39A2">
        <w:rPr>
          <w:i/>
          <w:iCs/>
          <w:szCs w:val="20"/>
          <w:lang w:val="es-ES_tradnl"/>
        </w:rPr>
        <w:t xml:space="preserve">Cfr. </w:t>
      </w:r>
      <w:r w:rsidRPr="007F39A2">
        <w:rPr>
          <w:szCs w:val="20"/>
          <w:lang w:val="es-ES_tradnl"/>
        </w:rPr>
        <w:t>Resoluciones 1728 de 2019 y 44505 de 2022.</w:t>
      </w:r>
    </w:p>
  </w:footnote>
  <w:footnote w:id="197">
    <w:p w14:paraId="31020889" w14:textId="3FDEAD40" w:rsidR="009625B9" w:rsidRPr="007F39A2" w:rsidRDefault="009625B9">
      <w:pPr>
        <w:pStyle w:val="Textonotapie"/>
        <w:rPr>
          <w:lang w:val="es-ES_tradnl"/>
        </w:rPr>
      </w:pPr>
      <w:r w:rsidRPr="007F39A2">
        <w:rPr>
          <w:rStyle w:val="Refdenotaalpie"/>
        </w:rPr>
        <w:footnoteRef/>
      </w:r>
      <w:r w:rsidRPr="007F39A2">
        <w:t xml:space="preserve"> </w:t>
      </w:r>
      <w:r w:rsidRPr="007F39A2">
        <w:rPr>
          <w:lang w:val="es-ES_tradnl"/>
        </w:rPr>
        <w:t>SIC, Resoluciones 58961 de 2018, 85898 de 2018, 52770 de 2019, 42216 de 2019, 26266 de 2019, 12992 de 2019, 3150 de 2019, 2076 de 2019, 1728 de 2019, 3150 de 2019, 35082 de 2020, 30415 de 2021, entre muchas otras.</w:t>
      </w:r>
    </w:p>
  </w:footnote>
  <w:footnote w:id="198">
    <w:p w14:paraId="58CFDC20" w14:textId="7624A2DC" w:rsidR="0018407E" w:rsidRDefault="0018407E">
      <w:pPr>
        <w:pStyle w:val="Textonotapie"/>
      </w:pPr>
      <w:r>
        <w:rPr>
          <w:rStyle w:val="Refdenotaalpie"/>
        </w:rPr>
        <w:footnoteRef/>
      </w:r>
      <w:r>
        <w:t xml:space="preserve"> </w:t>
      </w:r>
      <w:r w:rsidRPr="0018407E">
        <w:t>La Sala Plena reitera que los desarrollos doctrinales de la SIC sobre los acuerdos colusorios son referentes normativos que permiten determinar el alcance de la expresión “alterar ilícitamente” y dotar el proceso de adecuación típica de un grado razonable de previsibilidad y objetividad. Estos referentes normativos, en todo caso, son ilustrativos y no representan una lista acabada de las conductas prohibidas por la norma demandada.</w:t>
      </w:r>
    </w:p>
  </w:footnote>
  <w:footnote w:id="199">
    <w:p w14:paraId="30E6A37D" w14:textId="1EC8A8D2" w:rsidR="00E005EC" w:rsidRPr="007F39A2" w:rsidRDefault="00E005EC" w:rsidP="00E005EC">
      <w:pPr>
        <w:pStyle w:val="Textonotapie"/>
      </w:pPr>
      <w:r w:rsidRPr="007F39A2">
        <w:rPr>
          <w:rStyle w:val="Refdenotaalpie"/>
        </w:rPr>
        <w:footnoteRef/>
      </w:r>
      <w:r w:rsidRPr="007F39A2">
        <w:t xml:space="preserve"> Corte Constitucional, </w:t>
      </w:r>
      <w:r w:rsidR="002512A7" w:rsidRPr="007F39A2">
        <w:t xml:space="preserve">Sentencia </w:t>
      </w:r>
      <w:r w:rsidRPr="007F39A2">
        <w:t xml:space="preserve">C-297 de 2016. </w:t>
      </w:r>
    </w:p>
  </w:footnote>
  <w:footnote w:id="200">
    <w:p w14:paraId="1B1AB22D" w14:textId="733D3E67" w:rsidR="00E005EC" w:rsidRPr="007F39A2" w:rsidRDefault="00E005EC" w:rsidP="00E005EC">
      <w:pPr>
        <w:pStyle w:val="Textonotapie"/>
      </w:pPr>
      <w:r w:rsidRPr="007F39A2">
        <w:rPr>
          <w:rStyle w:val="Refdenotaalpie"/>
        </w:rPr>
        <w:footnoteRef/>
      </w:r>
      <w:r w:rsidRPr="007F39A2">
        <w:t xml:space="preserve"> Corte Constitucional, sentencias C-121 de 2012 y C-021 de 2023. </w:t>
      </w:r>
    </w:p>
  </w:footnote>
  <w:footnote w:id="201">
    <w:p w14:paraId="6A3231ED" w14:textId="77777777" w:rsidR="00E005EC" w:rsidRPr="007F39A2" w:rsidRDefault="00E005EC" w:rsidP="00E005EC">
      <w:pPr>
        <w:pStyle w:val="Textonotapie"/>
      </w:pPr>
      <w:r w:rsidRPr="007F39A2">
        <w:rPr>
          <w:rStyle w:val="Refdenotaalpie"/>
        </w:rPr>
        <w:footnoteRef/>
      </w:r>
      <w:r w:rsidRPr="007F39A2">
        <w:t xml:space="preserve"> Intervención de la SIC, p. 10. </w:t>
      </w:r>
    </w:p>
  </w:footnote>
  <w:footnote w:id="202">
    <w:p w14:paraId="22B2392D" w14:textId="77777777" w:rsidR="00E005EC" w:rsidRDefault="00E005EC" w:rsidP="00E005EC">
      <w:pPr>
        <w:pStyle w:val="Textonotapie"/>
      </w:pPr>
      <w:r w:rsidRPr="007F39A2">
        <w:rPr>
          <w:rStyle w:val="Refdenotaalpie"/>
        </w:rPr>
        <w:footnoteRef/>
      </w:r>
      <w:r w:rsidRPr="007F39A2">
        <w:t xml:space="preserve"> Intervención de Colombia Compra Eficiente, p. 12.</w:t>
      </w:r>
      <w:r>
        <w:t xml:space="preserve"> </w:t>
      </w:r>
    </w:p>
  </w:footnote>
  <w:footnote w:id="203">
    <w:p w14:paraId="4C3FC0ED" w14:textId="77777777" w:rsidR="00557A9B" w:rsidRPr="00B9083F" w:rsidRDefault="00557A9B" w:rsidP="00557A9B">
      <w:pPr>
        <w:pStyle w:val="Textonotapie"/>
        <w:rPr>
          <w:lang w:val="es-ES_tradnl"/>
        </w:rPr>
      </w:pPr>
      <w:r>
        <w:rPr>
          <w:rStyle w:val="Refdenotaalpie"/>
        </w:rPr>
        <w:footnoteRef/>
      </w:r>
      <w:r>
        <w:t xml:space="preserve"> </w:t>
      </w:r>
      <w:r>
        <w:rPr>
          <w:lang w:val="es-ES_tradnl"/>
        </w:rPr>
        <w:t>Ib.</w:t>
      </w:r>
    </w:p>
  </w:footnote>
  <w:footnote w:id="204">
    <w:p w14:paraId="3A5C12DD" w14:textId="77777777" w:rsidR="00322338" w:rsidRPr="005F1DB4" w:rsidRDefault="00B033A8" w:rsidP="006F350C">
      <w:pPr>
        <w:pStyle w:val="Textonotapie"/>
      </w:pPr>
      <w:r>
        <w:rPr>
          <w:rStyle w:val="Refdenotaalpie"/>
        </w:rPr>
        <w:footnoteRef/>
      </w:r>
      <w:r>
        <w:t xml:space="preserve"> Intervención del Ministerio de Justicia y del Derecho, p. 7.</w:t>
      </w:r>
    </w:p>
  </w:footnote>
  <w:footnote w:id="205">
    <w:p w14:paraId="5743ADAE" w14:textId="184C73F1" w:rsidR="00322338" w:rsidRDefault="00B033A8">
      <w:pPr>
        <w:pStyle w:val="Textonotapie"/>
      </w:pPr>
      <w:r>
        <w:rPr>
          <w:rStyle w:val="Refdenotaalpie"/>
        </w:rPr>
        <w:footnoteRef/>
      </w:r>
      <w:r>
        <w:t xml:space="preserve"> Intervención de la SIC, pág. 10. </w:t>
      </w:r>
    </w:p>
  </w:footnote>
  <w:footnote w:id="206">
    <w:p w14:paraId="4B6D8442" w14:textId="7C06104D" w:rsidR="00557A9B" w:rsidRPr="00AE1788" w:rsidRDefault="00557A9B" w:rsidP="00557A9B">
      <w:pPr>
        <w:pStyle w:val="Textonotapie"/>
        <w:rPr>
          <w:lang w:val="es-ES_tradnl"/>
        </w:rPr>
      </w:pPr>
      <w:r>
        <w:rPr>
          <w:rStyle w:val="Refdenotaalpie"/>
        </w:rPr>
        <w:footnoteRef/>
      </w:r>
      <w:r>
        <w:t xml:space="preserve"> </w:t>
      </w:r>
      <w:r>
        <w:rPr>
          <w:lang w:val="es-ES_tradnl"/>
        </w:rPr>
        <w:t xml:space="preserve">Ib., </w:t>
      </w:r>
      <w:r w:rsidR="008B0768">
        <w:rPr>
          <w:lang w:val="es-ES_tradnl"/>
        </w:rPr>
        <w:t>p.</w:t>
      </w:r>
      <w:r>
        <w:rPr>
          <w:lang w:val="es-ES_tradnl"/>
        </w:rPr>
        <w:t xml:space="preserve"> 9.</w:t>
      </w:r>
    </w:p>
  </w:footnote>
  <w:footnote w:id="207">
    <w:p w14:paraId="4377AB86" w14:textId="6287DC75" w:rsidR="00557A9B" w:rsidRPr="00F92A2D" w:rsidRDefault="00557A9B" w:rsidP="00557A9B">
      <w:pPr>
        <w:pStyle w:val="Textonotapie"/>
        <w:rPr>
          <w:lang w:val="es-ES_tradnl"/>
        </w:rPr>
      </w:pPr>
      <w:r>
        <w:rPr>
          <w:rStyle w:val="Refdenotaalpie"/>
        </w:rPr>
        <w:footnoteRef/>
      </w:r>
      <w:r>
        <w:t xml:space="preserve"> </w:t>
      </w:r>
      <w:r>
        <w:rPr>
          <w:lang w:val="es-ES_tradnl"/>
        </w:rPr>
        <w:t xml:space="preserve">Ib., </w:t>
      </w:r>
      <w:r w:rsidR="008B0768">
        <w:rPr>
          <w:lang w:val="es-ES_tradnl"/>
        </w:rPr>
        <w:t>p.</w:t>
      </w:r>
      <w:r>
        <w:rPr>
          <w:lang w:val="es-ES_tradnl"/>
        </w:rPr>
        <w:t xml:space="preserve"> 5.</w:t>
      </w:r>
    </w:p>
  </w:footnote>
  <w:footnote w:id="208">
    <w:p w14:paraId="60FBFB76" w14:textId="47E69F33" w:rsidR="00557A9B" w:rsidRPr="00371B1D" w:rsidRDefault="00557A9B" w:rsidP="00557A9B">
      <w:pPr>
        <w:pStyle w:val="Textonotapie"/>
      </w:pPr>
      <w:r>
        <w:rPr>
          <w:rStyle w:val="Refdenotaalpie"/>
        </w:rPr>
        <w:footnoteRef/>
      </w:r>
      <w:r>
        <w:t xml:space="preserve"> Ib., </w:t>
      </w:r>
      <w:r w:rsidR="008B0768">
        <w:t>p.</w:t>
      </w:r>
      <w:r>
        <w:t xml:space="preserve"> 6. Dentro de estas se encuentran:</w:t>
      </w:r>
      <w:r w:rsidRPr="00C32695">
        <w:t xml:space="preserve"> </w:t>
      </w:r>
      <w:r>
        <w:t>el “</w:t>
      </w:r>
      <w:r w:rsidRPr="00C32695">
        <w:t>(i) control competitivo ejercido respecto de agentes del mercado que concurren al proceso de contratación simulando ser competidores; (ii) intercambio de información sensible que no está disponible para la totalidad de los proponentes; (iii) favorecimiento por parte de un funcionario o contratista de una entidad pública con la finalidad de direccionar la adjudicación de un proceso de selección a un proponente específico; y (iv) las restricciones verticales impuestas en el marco de procesos de contratación</w:t>
      </w:r>
      <w:r>
        <w:t>”</w:t>
      </w:r>
      <w:r w:rsidRPr="00C32695">
        <w:t>.</w:t>
      </w:r>
    </w:p>
  </w:footnote>
  <w:footnote w:id="209">
    <w:p w14:paraId="3DEAB828" w14:textId="77777777" w:rsidR="00557A9B" w:rsidRPr="00EC6778" w:rsidRDefault="00557A9B" w:rsidP="00557A9B">
      <w:pPr>
        <w:pStyle w:val="Textonotapie"/>
        <w:rPr>
          <w:lang w:val="es-ES_tradnl"/>
        </w:rPr>
      </w:pPr>
      <w:r>
        <w:rPr>
          <w:rStyle w:val="Refdenotaalpie"/>
        </w:rPr>
        <w:footnoteRef/>
      </w:r>
      <w:r>
        <w:t xml:space="preserve"> </w:t>
      </w:r>
      <w:r>
        <w:rPr>
          <w:lang w:val="es-ES_tradnl"/>
        </w:rPr>
        <w:t xml:space="preserve">Ib. Destacó que ese </w:t>
      </w:r>
      <w:r>
        <w:rPr>
          <w:lang w:val="es-MX"/>
        </w:rPr>
        <w:t>“</w:t>
      </w:r>
      <w:r w:rsidRPr="00C03A21">
        <w:rPr>
          <w:lang w:val="es-MX"/>
        </w:rPr>
        <w:t>acuerdo por lo general está orientado a propósitos como elevar los precios, disminuir la calidad de los productos o servicios o aumentar sus posibilidades de resultar beneficiados con la adjudicación del contrato en detrimento de la probabilidad de victoria de los demás proponentes que participan en el proceso</w:t>
      </w:r>
      <w:r>
        <w:rPr>
          <w:lang w:val="es-MX"/>
        </w:rPr>
        <w:t>”.</w:t>
      </w:r>
    </w:p>
  </w:footnote>
  <w:footnote w:id="210">
    <w:p w14:paraId="3883DA58" w14:textId="77777777" w:rsidR="00557A9B" w:rsidRPr="000A2133" w:rsidRDefault="00557A9B" w:rsidP="00557A9B">
      <w:pPr>
        <w:pStyle w:val="Textonotapie"/>
        <w:rPr>
          <w:lang w:val="es-ES_tradnl"/>
        </w:rPr>
      </w:pPr>
      <w:r>
        <w:rPr>
          <w:rStyle w:val="Refdenotaalpie"/>
        </w:rPr>
        <w:footnoteRef/>
      </w:r>
      <w:r>
        <w:t xml:space="preserve"> </w:t>
      </w:r>
      <w:r>
        <w:rPr>
          <w:lang w:val="es-ES_tradnl"/>
        </w:rPr>
        <w:t>En particular, refirió las legislaciones de Alemania, Canadá, España, Estados Unidos, Chile, México y Brasil.</w:t>
      </w:r>
    </w:p>
  </w:footnote>
  <w:footnote w:id="211">
    <w:p w14:paraId="355C3DAF" w14:textId="77777777" w:rsidR="00557A9B" w:rsidRPr="00C82BCC" w:rsidRDefault="00557A9B" w:rsidP="00557A9B">
      <w:pPr>
        <w:pStyle w:val="Textonotapie"/>
        <w:rPr>
          <w:lang w:val="es-ES_tradnl"/>
        </w:rPr>
      </w:pPr>
      <w:r>
        <w:rPr>
          <w:rStyle w:val="Refdenotaalpie"/>
        </w:rPr>
        <w:footnoteRef/>
      </w:r>
      <w:r>
        <w:t xml:space="preserve"> Por otra parte, el interviniente formuló varios reparos frente a los argumentos presentados en la demanda, los cuales calificó de “inexactos” e “imprecisos” y como “contradicciones lógicas y conceptuales”. En concreto, el accionante afirmó que </w:t>
      </w:r>
      <w:r>
        <w:rPr>
          <w:i/>
          <w:iCs/>
        </w:rPr>
        <w:t>(i)</w:t>
      </w:r>
      <w:r>
        <w:t xml:space="preserve"> la Superintendencia Financiera es la autoridad nacional de competencia, cuando realmente es la propia SIC; </w:t>
      </w:r>
      <w:r>
        <w:rPr>
          <w:i/>
          <w:iCs/>
        </w:rPr>
        <w:t>(ii)</w:t>
      </w:r>
      <w:r>
        <w:t xml:space="preserve"> la norma permite la sanción de simples errores administrativos y, al tiempo, reconoce que es dolosa; </w:t>
      </w:r>
      <w:r>
        <w:rPr>
          <w:i/>
          <w:iCs/>
        </w:rPr>
        <w:t xml:space="preserve">(iii) </w:t>
      </w:r>
      <w:r>
        <w:t>si bien la expresión ilicitud es imprecisa, en repetidas ocasiones se refirió al grupo interdisciplinario contra colusiones, cuya función es investigar las prácticas anticompetitivas por la práctica de colusión, lo que denota “</w:t>
      </w:r>
      <w:r w:rsidRPr="00120E3E">
        <w:t>una gran imprecisión por parte del demandante al momento de configurar la estructura que incorpora el régimen de protección de la competencia</w:t>
      </w:r>
      <w:r>
        <w:t xml:space="preserve">”; </w:t>
      </w:r>
      <w:r>
        <w:rPr>
          <w:i/>
          <w:iCs/>
        </w:rPr>
        <w:t>(iv)</w:t>
      </w:r>
      <w:r>
        <w:t xml:space="preserve"> además, la única norma que se refiere a un mercado especial (contratación pública) es el artículo 47.9 del Decreto 2153 de 1992 y </w:t>
      </w:r>
      <w:r>
        <w:rPr>
          <w:i/>
          <w:iCs/>
        </w:rPr>
        <w:t>(v)</w:t>
      </w:r>
      <w:r>
        <w:t xml:space="preserve"> en su cargo por “desproporcionalidad” de la sanción, el demandante se refiere a sanciones que no existen en el ordenamiento jurídico.</w:t>
      </w:r>
    </w:p>
  </w:footnote>
  <w:footnote w:id="212">
    <w:p w14:paraId="701390EC" w14:textId="6F4A4781" w:rsidR="00322338" w:rsidRDefault="00B033A8">
      <w:pPr>
        <w:pStyle w:val="Textonotapie"/>
      </w:pPr>
      <w:r>
        <w:rPr>
          <w:rStyle w:val="Refdenotaalpie"/>
        </w:rPr>
        <w:footnoteRef/>
      </w:r>
      <w:r>
        <w:t xml:space="preserve"> Colombia Compra Eficiente define los acuerdos colusorios como aquellos que</w:t>
      </w:r>
      <w:r w:rsidRPr="004D4EE9">
        <w:t xml:space="preserve"> “tienen como objetivo principal eliminar la competencia genuina entre los participantes, facilitando así la distribución de los beneficios que derivan de la reducción de la rivalidad en el mercado”</w:t>
      </w:r>
      <w:r>
        <w:t xml:space="preserve">. </w:t>
      </w:r>
    </w:p>
  </w:footnote>
  <w:footnote w:id="213">
    <w:p w14:paraId="3FD9EC5E" w14:textId="1306E9D7" w:rsidR="00322338" w:rsidRDefault="00B033A8">
      <w:pPr>
        <w:pStyle w:val="Textonotapie"/>
      </w:pPr>
      <w:r>
        <w:rPr>
          <w:rStyle w:val="Refdenotaalpie"/>
        </w:rPr>
        <w:footnoteRef/>
      </w:r>
      <w:r>
        <w:t xml:space="preserve"> Intervención de Colombia Compra Eficiente, pág. 3. </w:t>
      </w:r>
    </w:p>
  </w:footnote>
  <w:footnote w:id="214">
    <w:p w14:paraId="01675249" w14:textId="7531EBC0" w:rsidR="00322338" w:rsidRDefault="00B033A8">
      <w:pPr>
        <w:pStyle w:val="Textonotapie"/>
      </w:pPr>
      <w:r>
        <w:rPr>
          <w:rStyle w:val="Refdenotaalpie"/>
        </w:rPr>
        <w:footnoteRef/>
      </w:r>
      <w:r>
        <w:t xml:space="preserve"> Ib., pág. 5. </w:t>
      </w:r>
    </w:p>
  </w:footnote>
  <w:footnote w:id="215">
    <w:p w14:paraId="2197E0EC" w14:textId="6D4806E7" w:rsidR="00322338" w:rsidRDefault="00B033A8">
      <w:pPr>
        <w:pStyle w:val="Textonotapie"/>
      </w:pPr>
      <w:r>
        <w:rPr>
          <w:rStyle w:val="Refdenotaalpie"/>
        </w:rPr>
        <w:footnoteRef/>
      </w:r>
      <w:r>
        <w:t xml:space="preserve"> Intervención de Colombia Compra Eficiente, pág. 12. </w:t>
      </w:r>
    </w:p>
  </w:footnote>
  <w:footnote w:id="216">
    <w:p w14:paraId="7BE92D30" w14:textId="1C060BEE" w:rsidR="00AE4B07" w:rsidRPr="00AE4B07" w:rsidRDefault="00AE4B07">
      <w:pPr>
        <w:pStyle w:val="Textonotapie"/>
      </w:pPr>
      <w:r>
        <w:rPr>
          <w:rStyle w:val="Refdenotaalpie"/>
        </w:rPr>
        <w:footnoteRef/>
      </w:r>
      <w:r>
        <w:t xml:space="preserve"> </w:t>
      </w:r>
      <w:r>
        <w:rPr>
          <w:lang w:val="es-ES_tradnl"/>
        </w:rPr>
        <w:t>Intervención de Colombia Compra Eficiente, p. 13.</w:t>
      </w:r>
    </w:p>
  </w:footnote>
  <w:footnote w:id="217">
    <w:p w14:paraId="729DCB9D" w14:textId="0035C856" w:rsidR="00557A9B" w:rsidRPr="00F965E8" w:rsidRDefault="00557A9B" w:rsidP="00557A9B">
      <w:pPr>
        <w:pStyle w:val="Textonotapie"/>
      </w:pPr>
      <w:r>
        <w:rPr>
          <w:rStyle w:val="Refdenotaalpie"/>
        </w:rPr>
        <w:footnoteRef/>
      </w:r>
      <w:r>
        <w:t xml:space="preserve"> Intervención ACDC, </w:t>
      </w:r>
      <w:r w:rsidR="008B0768">
        <w:t>p.</w:t>
      </w:r>
      <w:r>
        <w:t xml:space="preserve"> 4.</w:t>
      </w:r>
    </w:p>
  </w:footnote>
  <w:footnote w:id="218">
    <w:p w14:paraId="2A992CFD" w14:textId="77777777" w:rsidR="00557A9B" w:rsidRPr="00856017" w:rsidRDefault="00557A9B" w:rsidP="00557A9B">
      <w:pPr>
        <w:pStyle w:val="Textonotapie"/>
      </w:pPr>
      <w:r>
        <w:rPr>
          <w:rStyle w:val="Refdenotaalpie"/>
        </w:rPr>
        <w:footnoteRef/>
      </w:r>
      <w:r>
        <w:t xml:space="preserve"> Ib.</w:t>
      </w:r>
    </w:p>
  </w:footnote>
  <w:footnote w:id="219">
    <w:p w14:paraId="515FAF6A" w14:textId="77777777" w:rsidR="00557A9B" w:rsidRPr="005B4FC1" w:rsidRDefault="00557A9B" w:rsidP="00557A9B">
      <w:pPr>
        <w:pStyle w:val="Textonotapie"/>
      </w:pPr>
      <w:r>
        <w:rPr>
          <w:rStyle w:val="Refdenotaalpie"/>
        </w:rPr>
        <w:footnoteRef/>
      </w:r>
      <w:r>
        <w:t xml:space="preserve"> Ib.</w:t>
      </w:r>
    </w:p>
  </w:footnote>
  <w:footnote w:id="220">
    <w:p w14:paraId="52DCAE75" w14:textId="77777777" w:rsidR="00557A9B" w:rsidRPr="008524F7" w:rsidRDefault="00557A9B" w:rsidP="00557A9B">
      <w:pPr>
        <w:pStyle w:val="Textonotapie"/>
      </w:pPr>
      <w:r>
        <w:rPr>
          <w:rStyle w:val="Refdenotaalpie"/>
        </w:rPr>
        <w:footnoteRef/>
      </w:r>
      <w:r>
        <w:t xml:space="preserve"> Ib.</w:t>
      </w:r>
    </w:p>
  </w:footnote>
  <w:footnote w:id="221">
    <w:p w14:paraId="771DAE25" w14:textId="77777777" w:rsidR="00557A9B" w:rsidRPr="00762629" w:rsidRDefault="00557A9B" w:rsidP="00557A9B">
      <w:pPr>
        <w:pStyle w:val="Textonotapie"/>
      </w:pPr>
      <w:r>
        <w:rPr>
          <w:rStyle w:val="Refdenotaalpie"/>
        </w:rPr>
        <w:footnoteRef/>
      </w:r>
      <w:r>
        <w:t xml:space="preserve"> Ib.</w:t>
      </w:r>
    </w:p>
  </w:footnote>
  <w:footnote w:id="222">
    <w:p w14:paraId="3D962229" w14:textId="38345ED9" w:rsidR="00322338" w:rsidRDefault="00B033A8">
      <w:pPr>
        <w:pStyle w:val="Textonotapie"/>
      </w:pPr>
      <w:r>
        <w:rPr>
          <w:rStyle w:val="Refdenotaalpie"/>
        </w:rPr>
        <w:footnoteRef/>
      </w:r>
      <w:r>
        <w:t xml:space="preserve"> Intervención de la Universidad del Norte, pág. 7. </w:t>
      </w:r>
    </w:p>
  </w:footnote>
  <w:footnote w:id="223">
    <w:p w14:paraId="1CC14D6A" w14:textId="2A4456B0" w:rsidR="00557A9B" w:rsidRPr="0099298C" w:rsidRDefault="00557A9B" w:rsidP="00557A9B">
      <w:pPr>
        <w:pStyle w:val="Textonotapie"/>
      </w:pPr>
      <w:r>
        <w:rPr>
          <w:rStyle w:val="Refdenotaalpie"/>
        </w:rPr>
        <w:footnoteRef/>
      </w:r>
      <w:r>
        <w:t xml:space="preserve"> Intervención del Instituto Colombiano de Derecho Procesal, </w:t>
      </w:r>
      <w:r w:rsidR="008B0768">
        <w:t>p.</w:t>
      </w:r>
      <w:r>
        <w:t xml:space="preserve"> 2.</w:t>
      </w:r>
    </w:p>
  </w:footnote>
  <w:footnote w:id="224">
    <w:p w14:paraId="3EC38DC9" w14:textId="77777777" w:rsidR="00557A9B" w:rsidRPr="0099298C" w:rsidRDefault="00557A9B" w:rsidP="00557A9B">
      <w:pPr>
        <w:pStyle w:val="Textonotapie"/>
      </w:pPr>
      <w:r>
        <w:rPr>
          <w:rStyle w:val="Refdenotaalpie"/>
        </w:rPr>
        <w:footnoteRef/>
      </w:r>
      <w:r>
        <w:t xml:space="preserve"> Ib.</w:t>
      </w:r>
    </w:p>
  </w:footnote>
  <w:footnote w:id="225">
    <w:p w14:paraId="6F232D49" w14:textId="1598FAE7" w:rsidR="00557A9B" w:rsidRPr="0099298C" w:rsidRDefault="00557A9B" w:rsidP="00557A9B">
      <w:pPr>
        <w:pStyle w:val="Textonotapie"/>
      </w:pPr>
      <w:r>
        <w:rPr>
          <w:rStyle w:val="Refdenotaalpie"/>
        </w:rPr>
        <w:footnoteRef/>
      </w:r>
      <w:r>
        <w:t xml:space="preserve"> Ib., </w:t>
      </w:r>
      <w:r w:rsidR="008B0768">
        <w:t>p.</w:t>
      </w:r>
      <w:r>
        <w:t xml:space="preserve"> 2.</w:t>
      </w:r>
    </w:p>
  </w:footnote>
  <w:footnote w:id="226">
    <w:p w14:paraId="338D3E7C" w14:textId="77777777" w:rsidR="00557A9B" w:rsidRPr="00026225" w:rsidRDefault="00557A9B" w:rsidP="00557A9B">
      <w:pPr>
        <w:pStyle w:val="Textonotapie"/>
      </w:pPr>
      <w:r>
        <w:rPr>
          <w:rStyle w:val="Refdenotaalpie"/>
        </w:rPr>
        <w:footnoteRef/>
      </w:r>
      <w:r>
        <w:t xml:space="preserve"> Ib. Señaló que este es “</w:t>
      </w:r>
      <w:r w:rsidRPr="00A72DE1">
        <w:t>el caso de los procedimientos en donde se aplican normas de derecho privado y no público, como lo es el caso de la Bolsa Mercantil cuyo procedimiento contractual es de carácter privado y no público</w:t>
      </w:r>
      <w:r>
        <w:t>”.</w:t>
      </w:r>
    </w:p>
  </w:footnote>
  <w:footnote w:id="227">
    <w:p w14:paraId="4CA2E35A" w14:textId="6E1A5EB0" w:rsidR="00557A9B" w:rsidRPr="001E0462" w:rsidRDefault="00557A9B" w:rsidP="00557A9B">
      <w:pPr>
        <w:pStyle w:val="Textonotapie"/>
      </w:pPr>
      <w:r>
        <w:rPr>
          <w:rStyle w:val="Refdenotaalpie"/>
        </w:rPr>
        <w:footnoteRef/>
      </w:r>
      <w:r>
        <w:t xml:space="preserve"> Ib., </w:t>
      </w:r>
      <w:r w:rsidR="008B0768">
        <w:t>p.</w:t>
      </w:r>
      <w:r>
        <w:t xml:space="preserve"> 4.</w:t>
      </w:r>
    </w:p>
  </w:footnote>
  <w:footnote w:id="228">
    <w:p w14:paraId="1FF8D867" w14:textId="77777777" w:rsidR="00557A9B" w:rsidRPr="00875FE6" w:rsidRDefault="00557A9B" w:rsidP="00557A9B">
      <w:pPr>
        <w:pStyle w:val="Textonotapie"/>
      </w:pPr>
      <w:r>
        <w:rPr>
          <w:rStyle w:val="Refdenotaalpie"/>
        </w:rPr>
        <w:footnoteRef/>
      </w:r>
      <w:r>
        <w:t xml:space="preserve"> Ib.</w:t>
      </w:r>
    </w:p>
  </w:footnote>
  <w:footnote w:id="229">
    <w:p w14:paraId="6BD42E17" w14:textId="5CACBB44" w:rsidR="00CF5FDC" w:rsidRPr="00CF5FDC" w:rsidRDefault="00CF5FDC">
      <w:pPr>
        <w:pStyle w:val="Textonotapie"/>
      </w:pPr>
      <w:r>
        <w:rPr>
          <w:rStyle w:val="Refdenotaalpie"/>
        </w:rPr>
        <w:footnoteRef/>
      </w:r>
      <w:r>
        <w:t xml:space="preserve"> Finalmente, el interviniente presentó argumentos orientados a demostrar por qué la norma acusada desconoce el principio de </w:t>
      </w:r>
      <w:r>
        <w:rPr>
          <w:i/>
          <w:iCs/>
        </w:rPr>
        <w:t>non bis in idem</w:t>
      </w:r>
      <w:r>
        <w:t>. Habida cuenta de que ese reproche fue formulado en el cargo tercero de la demanda, el cual fue inadmitido, la Sala no se pronunciará al respecto.</w:t>
      </w:r>
    </w:p>
  </w:footnote>
  <w:footnote w:id="230">
    <w:p w14:paraId="38B81433" w14:textId="59A08885" w:rsidR="00EF3B59" w:rsidRPr="00EF3B59" w:rsidRDefault="00EF3B59">
      <w:pPr>
        <w:pStyle w:val="Textonotapie"/>
      </w:pPr>
      <w:r>
        <w:rPr>
          <w:rStyle w:val="Refdenotaalpie"/>
        </w:rPr>
        <w:footnoteRef/>
      </w:r>
      <w:r>
        <w:t xml:space="preserve"> Intervención de la Universidad Externado de Colombia, </w:t>
      </w:r>
      <w:r w:rsidR="008B0768">
        <w:t>p.</w:t>
      </w:r>
      <w:r>
        <w:t xml:space="preserve"> 9.</w:t>
      </w:r>
    </w:p>
  </w:footnote>
  <w:footnote w:id="231">
    <w:p w14:paraId="5A298C33" w14:textId="73432DE7" w:rsidR="00A15840" w:rsidRPr="00A15840" w:rsidRDefault="00A15840">
      <w:pPr>
        <w:pStyle w:val="Textonotapie"/>
      </w:pPr>
      <w:r>
        <w:rPr>
          <w:rStyle w:val="Refdenotaalpie"/>
        </w:rPr>
        <w:footnoteRef/>
      </w:r>
      <w:r>
        <w:t xml:space="preserve"> En este punto, la interviniente presentó argumentos tendientes</w:t>
      </w:r>
      <w:r w:rsidR="006440EE">
        <w:t xml:space="preserve"> a rebatir los argumentos por los cuales la magistrada sustanciadora inadmitió el cargo segundo de la demanda. Habida cuenta de que tal cargo fue rechazado, la Sala no los tendrá en cuenta.</w:t>
      </w:r>
    </w:p>
  </w:footnote>
  <w:footnote w:id="232">
    <w:p w14:paraId="20376B2C" w14:textId="2E12EC3B" w:rsidR="0044206A" w:rsidRPr="0044206A" w:rsidRDefault="0044206A">
      <w:pPr>
        <w:pStyle w:val="Textonotapie"/>
      </w:pPr>
      <w:r>
        <w:rPr>
          <w:rStyle w:val="Refdenotaalpie"/>
        </w:rPr>
        <w:footnoteRef/>
      </w:r>
      <w:r>
        <w:t xml:space="preserve"> Ib., </w:t>
      </w:r>
      <w:r w:rsidR="008B0768">
        <w:t>p.</w:t>
      </w:r>
      <w:r>
        <w:t xml:space="preserve"> 13.</w:t>
      </w:r>
    </w:p>
  </w:footnote>
  <w:footnote w:id="233">
    <w:p w14:paraId="4461DEF3" w14:textId="3563AC4D" w:rsidR="006C77AB" w:rsidRPr="00CF5FDC" w:rsidRDefault="006C77AB">
      <w:pPr>
        <w:pStyle w:val="Textonotapie"/>
      </w:pPr>
      <w:r>
        <w:rPr>
          <w:rStyle w:val="Refdenotaalpie"/>
        </w:rPr>
        <w:footnoteRef/>
      </w:r>
      <w:r>
        <w:t xml:space="preserve"> Al respecto, citó las sentencias </w:t>
      </w:r>
      <w:r w:rsidR="005E25A6">
        <w:t xml:space="preserve">C-860 de 2006 y </w:t>
      </w:r>
      <w:r>
        <w:t>C-032 de 2017</w:t>
      </w:r>
      <w:r w:rsidR="005E25A6">
        <w:t>.</w:t>
      </w:r>
      <w:r w:rsidR="00CF5FDC">
        <w:t xml:space="preserve"> </w:t>
      </w:r>
    </w:p>
  </w:footnote>
  <w:footnote w:id="234">
    <w:p w14:paraId="79059526" w14:textId="38AB2E79" w:rsidR="008B0768" w:rsidRPr="008B0768" w:rsidRDefault="008B0768">
      <w:pPr>
        <w:pStyle w:val="Textonotapie"/>
      </w:pPr>
      <w:r>
        <w:rPr>
          <w:rStyle w:val="Refdenotaalpie"/>
        </w:rPr>
        <w:footnoteRef/>
      </w:r>
      <w:r>
        <w:t xml:space="preserve"> Intervención de la </w:t>
      </w:r>
      <w:r w:rsidRPr="008B0768">
        <w:t>Fundación Proyecto Inocencia</w:t>
      </w:r>
      <w:r>
        <w:t>, p. 3.</w:t>
      </w:r>
    </w:p>
  </w:footnote>
  <w:footnote w:id="235">
    <w:p w14:paraId="625BC3A7" w14:textId="5CA4D3FC" w:rsidR="00322338" w:rsidRDefault="00B033A8">
      <w:pPr>
        <w:pStyle w:val="Textonotapie"/>
      </w:pPr>
      <w:r>
        <w:rPr>
          <w:rStyle w:val="Refdenotaalpie"/>
        </w:rPr>
        <w:footnoteRef/>
      </w:r>
      <w:r>
        <w:t xml:space="preserve"> </w:t>
      </w:r>
      <w:r w:rsidRPr="00777C9B">
        <w:t xml:space="preserve">Intervención de la Fundación Proyecto Inocencia, p. </w:t>
      </w:r>
      <w:r>
        <w:t>2</w:t>
      </w:r>
      <w:r w:rsidRPr="00777C9B">
        <w:t>.</w:t>
      </w:r>
    </w:p>
  </w:footnote>
  <w:footnote w:id="236">
    <w:p w14:paraId="707FB236" w14:textId="77777777" w:rsidR="00322338" w:rsidRPr="00F0480E" w:rsidRDefault="00B033A8" w:rsidP="00D42ED2">
      <w:pPr>
        <w:pStyle w:val="Textonotapie"/>
      </w:pPr>
      <w:r>
        <w:rPr>
          <w:rStyle w:val="Refdenotaalpie"/>
        </w:rPr>
        <w:footnoteRef/>
      </w:r>
      <w:r>
        <w:t xml:space="preserve"> Intervención del </w:t>
      </w:r>
      <w:r>
        <w:rPr>
          <w:rFonts w:eastAsia="Times New Roman" w:cs="Times New Roman"/>
          <w:szCs w:val="20"/>
        </w:rPr>
        <w:t>Colegio de Abogados Penalistas, p. 3.</w:t>
      </w:r>
    </w:p>
  </w:footnote>
  <w:footnote w:id="237">
    <w:p w14:paraId="5641775E" w14:textId="58E9D179" w:rsidR="00DF7E27" w:rsidRPr="00DF7E27" w:rsidRDefault="00DF7E27">
      <w:pPr>
        <w:pStyle w:val="Textonotapie"/>
        <w:rPr>
          <w:lang w:val="es-ES_tradnl"/>
        </w:rPr>
      </w:pPr>
      <w:r>
        <w:rPr>
          <w:rStyle w:val="Refdenotaalpie"/>
        </w:rPr>
        <w:footnoteRef/>
      </w:r>
      <w:r>
        <w:t xml:space="preserve"> </w:t>
      </w:r>
      <w:r>
        <w:rPr>
          <w:lang w:val="es-ES_tradnl"/>
        </w:rPr>
        <w:t>Ib.</w:t>
      </w:r>
    </w:p>
  </w:footnote>
  <w:footnote w:id="238">
    <w:p w14:paraId="14B8F696" w14:textId="792C411E" w:rsidR="00DF7E27" w:rsidRPr="00DF7E27" w:rsidRDefault="00DF7E27">
      <w:pPr>
        <w:pStyle w:val="Textonotapie"/>
      </w:pPr>
      <w:r>
        <w:rPr>
          <w:rStyle w:val="Refdenotaalpie"/>
        </w:rPr>
        <w:footnoteRef/>
      </w:r>
      <w:r>
        <w:t xml:space="preserve"> Ib., p. 8.</w:t>
      </w:r>
    </w:p>
  </w:footnote>
  <w:footnote w:id="239">
    <w:p w14:paraId="2D831C58" w14:textId="7577C9AD" w:rsidR="000D6265" w:rsidRPr="000D6265" w:rsidRDefault="000D6265">
      <w:pPr>
        <w:pStyle w:val="Textonotapie"/>
      </w:pPr>
      <w:r>
        <w:rPr>
          <w:rStyle w:val="Refdenotaalpie"/>
        </w:rPr>
        <w:footnoteRef/>
      </w:r>
      <w:r>
        <w:t xml:space="preserve"> Ib., p. 9.</w:t>
      </w:r>
      <w:r w:rsidR="00B9278B">
        <w:t xml:space="preserve"> Finalmente, el interviniente presentó argumentos orientados a demostrar por qué la norma acusada desconoce el principio de </w:t>
      </w:r>
      <w:r w:rsidR="00B9278B">
        <w:rPr>
          <w:i/>
          <w:iCs/>
        </w:rPr>
        <w:t>non bis in idem</w:t>
      </w:r>
      <w:r w:rsidR="00B9278B">
        <w:t>. Habida cuenta de que ese reproche fue formulado en el cargo tercero de la demanda, el cual fue inadmitido, la Sala no se pronunciará al respecto.</w:t>
      </w:r>
    </w:p>
  </w:footnote>
  <w:footnote w:id="240">
    <w:p w14:paraId="553F9086" w14:textId="029705B3" w:rsidR="00322338" w:rsidRDefault="00B033A8">
      <w:pPr>
        <w:pStyle w:val="Textonotapie"/>
      </w:pPr>
      <w:r>
        <w:rPr>
          <w:rStyle w:val="Refdenotaalpie"/>
        </w:rPr>
        <w:footnoteRef/>
      </w:r>
      <w:r>
        <w:t xml:space="preserve"> </w:t>
      </w:r>
      <w:r w:rsidRPr="006313A6">
        <w:t xml:space="preserve">Intervención del Colegio de Abogados Penalistas, p. </w:t>
      </w:r>
      <w:r>
        <w:t xml:space="preserve">9. </w:t>
      </w:r>
    </w:p>
  </w:footnote>
  <w:footnote w:id="241">
    <w:p w14:paraId="18FEF7F5" w14:textId="16392E13" w:rsidR="00322338" w:rsidRDefault="00B033A8">
      <w:pPr>
        <w:pStyle w:val="Textonotapie"/>
      </w:pPr>
      <w:r>
        <w:rPr>
          <w:rStyle w:val="Refdenotaalpie"/>
        </w:rPr>
        <w:footnoteRef/>
      </w:r>
      <w:r>
        <w:t xml:space="preserve"> </w:t>
      </w:r>
      <w:r w:rsidRPr="006F583C">
        <w:t xml:space="preserve">Intervención del Colegio de Abogados Penalistas, p. </w:t>
      </w:r>
      <w:r>
        <w:t xml:space="preserve">10. </w:t>
      </w:r>
    </w:p>
  </w:footnote>
  <w:footnote w:id="242">
    <w:p w14:paraId="179DC1FD" w14:textId="5A93DED5" w:rsidR="00322338" w:rsidRPr="00CC37A3" w:rsidRDefault="00B033A8">
      <w:pPr>
        <w:pStyle w:val="Textonotapie"/>
        <w:rPr>
          <w:rFonts w:cs="Times New Roman"/>
          <w:lang w:val="es-ES_tradnl"/>
        </w:rPr>
      </w:pPr>
      <w:r w:rsidRPr="00CC37A3">
        <w:rPr>
          <w:rStyle w:val="Refdenotaalpie"/>
          <w:rFonts w:cs="Times New Roman"/>
        </w:rPr>
        <w:footnoteRef/>
      </w:r>
      <w:r w:rsidRPr="00CC37A3">
        <w:rPr>
          <w:rFonts w:cs="Times New Roman"/>
        </w:rPr>
        <w:t xml:space="preserve"> </w:t>
      </w:r>
      <w:r w:rsidRPr="00CC37A3">
        <w:rPr>
          <w:rFonts w:cs="Times New Roman"/>
          <w:lang w:val="es-ES_tradnl"/>
        </w:rPr>
        <w:t>Fj. 97. Resaltado por fuera del texto original.</w:t>
      </w:r>
    </w:p>
  </w:footnote>
  <w:footnote w:id="243">
    <w:p w14:paraId="247E3B30" w14:textId="5B18CAF5" w:rsidR="00322338" w:rsidRPr="00CC37A3" w:rsidRDefault="00B033A8">
      <w:pPr>
        <w:pStyle w:val="Textonotapie"/>
        <w:rPr>
          <w:rFonts w:cs="Times New Roman"/>
          <w:lang w:val="es-ES_tradnl"/>
        </w:rPr>
      </w:pPr>
      <w:r w:rsidRPr="00CC37A3">
        <w:rPr>
          <w:rStyle w:val="Refdenotaalpie"/>
          <w:rFonts w:cs="Times New Roman"/>
        </w:rPr>
        <w:footnoteRef/>
      </w:r>
      <w:r w:rsidRPr="00CC37A3">
        <w:rPr>
          <w:rFonts w:cs="Times New Roman"/>
        </w:rPr>
        <w:t xml:space="preserve"> </w:t>
      </w:r>
      <w:r w:rsidRPr="00CC37A3">
        <w:rPr>
          <w:rFonts w:cs="Times New Roman"/>
          <w:lang w:val="es-ES_tradnl"/>
        </w:rPr>
        <w:t>Ver fj. 83, tabla 5.</w:t>
      </w:r>
    </w:p>
  </w:footnote>
  <w:footnote w:id="244">
    <w:p w14:paraId="549D252F" w14:textId="4FA1801D" w:rsidR="00322338" w:rsidRPr="00CC37A3" w:rsidRDefault="00B033A8">
      <w:pPr>
        <w:pStyle w:val="Textonotapie"/>
        <w:rPr>
          <w:rFonts w:cs="Times New Roman"/>
          <w:lang w:val="es-ES_tradnl"/>
        </w:rPr>
      </w:pPr>
      <w:r w:rsidRPr="00CC37A3">
        <w:rPr>
          <w:rStyle w:val="Refdenotaalpie"/>
          <w:rFonts w:cs="Times New Roman"/>
        </w:rPr>
        <w:footnoteRef/>
      </w:r>
      <w:r w:rsidRPr="00CC37A3">
        <w:rPr>
          <w:rFonts w:cs="Times New Roman"/>
        </w:rPr>
        <w:t xml:space="preserve"> </w:t>
      </w:r>
      <w:r w:rsidRPr="00CC37A3">
        <w:rPr>
          <w:rFonts w:cs="Times New Roman"/>
          <w:lang w:val="es-ES_tradnl"/>
        </w:rPr>
        <w:t>Ver fj. 31 de la sentencia.</w:t>
      </w:r>
    </w:p>
  </w:footnote>
  <w:footnote w:id="245">
    <w:p w14:paraId="78D631C4" w14:textId="7EADDBDD" w:rsidR="00322338" w:rsidRPr="00CC37A3" w:rsidRDefault="00B033A8">
      <w:pPr>
        <w:pStyle w:val="Textonotapie"/>
        <w:rPr>
          <w:rFonts w:cs="Times New Roman"/>
          <w:lang w:val="es-ES_tradnl"/>
        </w:rPr>
      </w:pPr>
      <w:r w:rsidRPr="00CC37A3">
        <w:rPr>
          <w:rStyle w:val="Refdenotaalpie"/>
          <w:rFonts w:cs="Times New Roman"/>
        </w:rPr>
        <w:footnoteRef/>
      </w:r>
      <w:r w:rsidRPr="00CC37A3">
        <w:rPr>
          <w:rFonts w:cs="Times New Roman"/>
        </w:rPr>
        <w:t xml:space="preserve"> </w:t>
      </w:r>
      <w:r w:rsidRPr="00CC37A3">
        <w:rPr>
          <w:rFonts w:cs="Times New Roman"/>
          <w:lang w:val="es-ES_tradnl"/>
        </w:rPr>
        <w:t>Tabla 6, fj. 109.</w:t>
      </w:r>
    </w:p>
  </w:footnote>
  <w:footnote w:id="246">
    <w:p w14:paraId="6DB00937"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Corte Suprema de Justicia. Sentencia SP-13448-2016 del 20 de septiembre de 2016, Radicación n°. 48262. </w:t>
      </w:r>
    </w:p>
  </w:footnote>
  <w:footnote w:id="247">
    <w:p w14:paraId="155E807D"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Corte Constitucional, Sentencia C-1490 de 2000.</w:t>
      </w:r>
    </w:p>
  </w:footnote>
  <w:footnote w:id="248">
    <w:p w14:paraId="6573F87A"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Corte Constitucional, Sentencia C-121 de 2012. </w:t>
      </w:r>
    </w:p>
  </w:footnote>
  <w:footnote w:id="249">
    <w:p w14:paraId="2D103B96"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Corte Constitucional, Sentencia C-559 de 1999. “[E]n materia penal, el principio de legalidad en sentido lato o reserva legal, esto es, que la ley debe definir previamente los hechos punibles, no es suficiente y  debe ser complementado por un principio de legalidad en sentido estricto, también denominado como el principio de tipicidad o taxatividad, según el cual, las conductas punibles deben ser no sólo previamente sino taxativa e inequívocamente definidas por la ley, de suerte, que la labor del juez penal se limite a verificar si una conducta concreta se adecua a la descripción abstracta realizada por la ley”.</w:t>
      </w:r>
    </w:p>
  </w:footnote>
  <w:footnote w:id="250">
    <w:p w14:paraId="62CAA61B"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Corte Constitucional, Sentencia C-605 de 2006, C-739 de 2000, C-333 de 2001, C-121 de 2012, C-021 de 2023 y C-917 de 2001. </w:t>
      </w:r>
    </w:p>
  </w:footnote>
  <w:footnote w:id="251">
    <w:p w14:paraId="135357FE"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Corte Constitucional, sentencias C-559 de 1999, C-539 de 2016 y C-411 de 2022. </w:t>
      </w:r>
    </w:p>
  </w:footnote>
  <w:footnote w:id="252">
    <w:p w14:paraId="7F635A40"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Al respecto, la jurisprudencia presenta aproximaciones distintas. En la Sentencia C-559 de 1999 la Corte admitía que la remisión de los tipos penales en blanco podría efectuarse a otro artículo de la misma codificación penal, mientras recientemente en la Sentencia C-367 de 2022 adujo que la remisión de una disposición penal a otra constituía una “simple remisión” sin constituir un tipo penal en blanco, que se limitó entonces a la remisión a normas extrapenales de carácter legal o infra legal. </w:t>
      </w:r>
    </w:p>
  </w:footnote>
  <w:footnote w:id="253">
    <w:p w14:paraId="218A452F"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Corte Constitucional, sentencias C-843 de 1999 y C-1490 de 2000. Adicionalmente, la Sentencia C-084 de 2013, señaló que “[l]a validez constitucional de los tipos penales en blanco, está supeditada en todo caso a que los contenidos con los cuales se hace la integración normativa, permitan establecer de manera previa, clara e inequívoca cual es la conducta punible que sanciona la ley penal”. </w:t>
      </w:r>
    </w:p>
  </w:footnote>
  <w:footnote w:id="254">
    <w:p w14:paraId="508CE055"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Corte Constitucional, Sentencia C-501 de 2014. Al respecto, el fallo señaló: “la competencia para desarrollar la política criminal del Estado es amplia, en el sentido de que incluye, entre otros aspectos: (i) la posibilidad de crear, modificar o suprimir figuras delictivas; (ii) introducir clasificaciones entre ellas; (iii) establecer modalidades punitivas; (iv) graduar las penas aplicables y fijar la clase y magnitud de las mismas; y (v) consagrar los regímenes para el juzgamiento y tratamiento de los delitos y contravenciones, definiendo en ellos las reglas de procedimiento de acuerdo con las garantías del debido proceso. // El amplio margen de configuración en materia penal reconocida al legislador lo autoriza, en suma, para definir todos los temas relacionados con el delito y con los mecanismos y procedimientos para reprimirlo, teniendo en cuenta las circunstancias políticas, sociales, económicas o de cualquier orden que en un determinado contexto histórico puedan incidir en la realidad que se pretenda regular y controlar”. </w:t>
      </w:r>
    </w:p>
  </w:footnote>
  <w:footnote w:id="255">
    <w:p w14:paraId="478708ED"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Corte Constitucional, sentencias C-367 de 2022 y C-739 de 2000. </w:t>
      </w:r>
    </w:p>
  </w:footnote>
  <w:footnote w:id="256">
    <w:p w14:paraId="226E4317"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Corte Constitucional, sentencias C-501 de 2014 y C-021 de 2023. En el mismo sentido, ver la Sentencia C-127 de 1993. </w:t>
      </w:r>
    </w:p>
  </w:footnote>
  <w:footnote w:id="257">
    <w:p w14:paraId="7B109EC5"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Corte Constitucional, Sentencia C-297 de 2016. </w:t>
      </w:r>
    </w:p>
  </w:footnote>
  <w:footnote w:id="258">
    <w:p w14:paraId="47A7EE77"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Corte Constitucional, Sentencia C-367 de 2022.</w:t>
      </w:r>
    </w:p>
  </w:footnote>
  <w:footnote w:id="259">
    <w:p w14:paraId="107431A9"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Al respecto, frente a tipos penales en blanco de remisión tácita se encuentran las sentencias C-084 de 2013 y C-501 de 2014, en las que la decisión fue exequible.  Respecto de tipos penales abiertos, ver entre otras la Sentencia C-041 de 2017. </w:t>
      </w:r>
    </w:p>
  </w:footnote>
  <w:footnote w:id="260">
    <w:p w14:paraId="54A1DF7C"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La providencia señaló en concreto que “es claro que la conducta delictiva, al no contener disposiciones específicas que regulen los derechos de obtentor, remite a las normas complementarias que se integran a la disposición acusada, con el fin de llevar a cabo el proceso de adecuación típica. Tales normas son aquellas que regulan de manera específica los derechos de obtentor de variedades vegetales, y que se encuentran contenidas, principalmente, en el Convenio UPOV de 1978 y la Decisión 345 de 1993, reglamentada por el Decreto 533 de 1994 y las Resoluciones ICA 1893 de 1995, 2046 de 2003 y 970 de 2010, entre otras, las cuales, a su vez, permiten determinar de manera clara y precisa el alcance de la conducta típica contenida en la norma acusada. // Las referidas disposiciones regulan, en detalle y con suficiente precisión, todos los aspectos relacionados con los derechos de obtentor de variedades vegetales, los registros de variedades vegetales, las denominaciones de las variedades vegetales, las autoridades competentes para otorgar los registros, los procedimientos de solicitud de concesión de los derechos de obtentor, y todo lo relacionado con la presentación de la solicitud.”.</w:t>
      </w:r>
    </w:p>
  </w:footnote>
  <w:footnote w:id="261">
    <w:p w14:paraId="61076FA3"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Corte Constitucional, sentencias C-739 de 2000 y C-367 de 2022. </w:t>
      </w:r>
    </w:p>
  </w:footnote>
  <w:footnote w:id="262">
    <w:p w14:paraId="7552A703"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Corte Suprema de Justicia. Sentencia del 12 de diciembre de 2005. Rad. 23899.</w:t>
      </w:r>
    </w:p>
  </w:footnote>
  <w:footnote w:id="263">
    <w:p w14:paraId="7EDE2662"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Corte Constitucional, Sentencia C-501 de 2014. </w:t>
      </w:r>
    </w:p>
  </w:footnote>
  <w:footnote w:id="264">
    <w:p w14:paraId="2B736707" w14:textId="77777777" w:rsidR="00F87CD2" w:rsidRPr="002526EC" w:rsidRDefault="00F87CD2" w:rsidP="00F87CD2">
      <w:pPr>
        <w:pStyle w:val="Textonotapie"/>
        <w:rPr>
          <w:sz w:val="18"/>
          <w:szCs w:val="18"/>
        </w:rPr>
      </w:pPr>
      <w:r w:rsidRPr="002526EC">
        <w:rPr>
          <w:rStyle w:val="Refdenotaalpie"/>
          <w:sz w:val="18"/>
          <w:szCs w:val="18"/>
        </w:rPr>
        <w:footnoteRef/>
      </w:r>
      <w:r w:rsidRPr="002526EC">
        <w:rPr>
          <w:sz w:val="18"/>
          <w:szCs w:val="18"/>
        </w:rPr>
        <w:t xml:space="preserve"> Corte Constitucional, Sentencia C-041 de 2017.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285E" w14:textId="293947BC" w:rsidR="003D29B6" w:rsidRPr="001F090B" w:rsidRDefault="003D29B6" w:rsidP="00AB259B">
    <w:pPr>
      <w:pStyle w:val="Encabezado"/>
      <w:jc w:val="right"/>
      <w:rPr>
        <w:i/>
        <w:sz w:val="20"/>
        <w:szCs w:val="20"/>
      </w:rPr>
    </w:pPr>
    <w:r w:rsidRPr="001F090B">
      <w:rPr>
        <w:i/>
        <w:sz w:val="20"/>
        <w:szCs w:val="20"/>
      </w:rPr>
      <w:t xml:space="preserve">Expediente </w:t>
    </w:r>
    <w:r w:rsidR="00F27553">
      <w:rPr>
        <w:i/>
        <w:sz w:val="20"/>
        <w:szCs w:val="20"/>
      </w:rPr>
      <w:t>D-15</w:t>
    </w:r>
    <w:r w:rsidR="002F4CDA">
      <w:rPr>
        <w:i/>
        <w:sz w:val="20"/>
        <w:szCs w:val="20"/>
      </w:rPr>
      <w:t>954</w:t>
    </w:r>
  </w:p>
  <w:p w14:paraId="1345674B" w14:textId="7A543B70" w:rsidR="003D29B6" w:rsidRPr="001F090B" w:rsidRDefault="003D29B6" w:rsidP="00D81D2F">
    <w:pPr>
      <w:pStyle w:val="Encabezado"/>
      <w:jc w:val="right"/>
      <w:rPr>
        <w:i/>
        <w:sz w:val="20"/>
        <w:szCs w:val="20"/>
      </w:rPr>
    </w:pPr>
    <w:r w:rsidRPr="001F090B">
      <w:rPr>
        <w:i/>
        <w:sz w:val="20"/>
        <w:szCs w:val="20"/>
      </w:rPr>
      <w:t>M.P. Paola Andrea Meneses Mosquera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40DB"/>
    <w:multiLevelType w:val="hybridMultilevel"/>
    <w:tmpl w:val="788E57DC"/>
    <w:lvl w:ilvl="0" w:tplc="0FC0AF66">
      <w:start w:val="1"/>
      <w:numFmt w:val="lowerRoman"/>
      <w:lvlText w:val="(%1)"/>
      <w:lvlJc w:val="left"/>
      <w:pPr>
        <w:ind w:left="1309" w:hanging="720"/>
      </w:pPr>
      <w:rPr>
        <w:rFonts w:ascii="Times New Roman" w:eastAsia="Calibri" w:hAnsi="Times New Roman" w:cs="Times New Roman"/>
        <w:i/>
        <w:iCs/>
      </w:rPr>
    </w:lvl>
    <w:lvl w:ilvl="1" w:tplc="FFFFFFFF" w:tentative="1">
      <w:start w:val="1"/>
      <w:numFmt w:val="lowerLetter"/>
      <w:lvlText w:val="%2."/>
      <w:lvlJc w:val="left"/>
      <w:pPr>
        <w:ind w:left="1669" w:hanging="360"/>
      </w:pPr>
    </w:lvl>
    <w:lvl w:ilvl="2" w:tplc="FFFFFFFF" w:tentative="1">
      <w:start w:val="1"/>
      <w:numFmt w:val="lowerRoman"/>
      <w:lvlText w:val="%3."/>
      <w:lvlJc w:val="right"/>
      <w:pPr>
        <w:ind w:left="2389" w:hanging="180"/>
      </w:pPr>
    </w:lvl>
    <w:lvl w:ilvl="3" w:tplc="FFFFFFFF" w:tentative="1">
      <w:start w:val="1"/>
      <w:numFmt w:val="decimal"/>
      <w:lvlText w:val="%4."/>
      <w:lvlJc w:val="left"/>
      <w:pPr>
        <w:ind w:left="3109" w:hanging="360"/>
      </w:pPr>
    </w:lvl>
    <w:lvl w:ilvl="4" w:tplc="FFFFFFFF" w:tentative="1">
      <w:start w:val="1"/>
      <w:numFmt w:val="lowerLetter"/>
      <w:lvlText w:val="%5."/>
      <w:lvlJc w:val="left"/>
      <w:pPr>
        <w:ind w:left="3829" w:hanging="360"/>
      </w:pPr>
    </w:lvl>
    <w:lvl w:ilvl="5" w:tplc="FFFFFFFF" w:tentative="1">
      <w:start w:val="1"/>
      <w:numFmt w:val="lowerRoman"/>
      <w:lvlText w:val="%6."/>
      <w:lvlJc w:val="right"/>
      <w:pPr>
        <w:ind w:left="4549" w:hanging="180"/>
      </w:pPr>
    </w:lvl>
    <w:lvl w:ilvl="6" w:tplc="FFFFFFFF" w:tentative="1">
      <w:start w:val="1"/>
      <w:numFmt w:val="decimal"/>
      <w:lvlText w:val="%7."/>
      <w:lvlJc w:val="left"/>
      <w:pPr>
        <w:ind w:left="5269" w:hanging="360"/>
      </w:pPr>
    </w:lvl>
    <w:lvl w:ilvl="7" w:tplc="FFFFFFFF" w:tentative="1">
      <w:start w:val="1"/>
      <w:numFmt w:val="lowerLetter"/>
      <w:lvlText w:val="%8."/>
      <w:lvlJc w:val="left"/>
      <w:pPr>
        <w:ind w:left="5989" w:hanging="360"/>
      </w:pPr>
    </w:lvl>
    <w:lvl w:ilvl="8" w:tplc="FFFFFFFF" w:tentative="1">
      <w:start w:val="1"/>
      <w:numFmt w:val="lowerRoman"/>
      <w:lvlText w:val="%9."/>
      <w:lvlJc w:val="right"/>
      <w:pPr>
        <w:ind w:left="6709" w:hanging="180"/>
      </w:pPr>
    </w:lvl>
  </w:abstractNum>
  <w:abstractNum w:abstractNumId="1" w15:restartNumberingAfterBreak="0">
    <w:nsid w:val="00F743D3"/>
    <w:multiLevelType w:val="hybridMultilevel"/>
    <w:tmpl w:val="8CD671FE"/>
    <w:lvl w:ilvl="0" w:tplc="65A603BC">
      <w:start w:val="1"/>
      <w:numFmt w:val="lowerRoman"/>
      <w:lvlText w:val="(%1)"/>
      <w:lvlJc w:val="left"/>
      <w:pPr>
        <w:ind w:left="720" w:hanging="360"/>
      </w:pPr>
      <w:rPr>
        <w:rFonts w:hint="default"/>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EA2C10"/>
    <w:multiLevelType w:val="hybridMultilevel"/>
    <w:tmpl w:val="A1BE88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815D80"/>
    <w:multiLevelType w:val="hybridMultilevel"/>
    <w:tmpl w:val="F594F252"/>
    <w:lvl w:ilvl="0" w:tplc="E940E596">
      <w:start w:val="1"/>
      <w:numFmt w:val="lowerRoman"/>
      <w:lvlText w:val="(%1)"/>
      <w:lvlJc w:val="left"/>
      <w:pPr>
        <w:ind w:left="1080" w:hanging="720"/>
      </w:pPr>
      <w:rPr>
        <w:rFonts w:hint="default"/>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D22ADA"/>
    <w:multiLevelType w:val="hybridMultilevel"/>
    <w:tmpl w:val="1FD0D4DA"/>
    <w:lvl w:ilvl="0" w:tplc="65A603BC">
      <w:start w:val="1"/>
      <w:numFmt w:val="lowerRoman"/>
      <w:lvlText w:val="(%1)"/>
      <w:lvlJc w:val="left"/>
      <w:pPr>
        <w:ind w:left="720" w:hanging="360"/>
      </w:pPr>
      <w:rPr>
        <w:rFonts w:hint="default"/>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903CDE"/>
    <w:multiLevelType w:val="multilevel"/>
    <w:tmpl w:val="58400E5E"/>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3CA4271"/>
    <w:multiLevelType w:val="hybridMultilevel"/>
    <w:tmpl w:val="4E383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3D435ED"/>
    <w:multiLevelType w:val="multilevel"/>
    <w:tmpl w:val="FFFFFFFF"/>
    <w:lvl w:ilvl="0">
      <w:start w:val="1"/>
      <w:numFmt w:val="upperRoman"/>
      <w:pStyle w:val="Ttulo11"/>
      <w:lvlText w:val="%1."/>
      <w:lvlJc w:val="left"/>
      <w:rPr>
        <w:rFonts w:cs="Times New Roman"/>
        <w:b/>
        <w:i w:val="0"/>
      </w:rPr>
    </w:lvl>
    <w:lvl w:ilvl="1">
      <w:start w:val="1"/>
      <w:numFmt w:val="upperLetter"/>
      <w:pStyle w:val="Ttulo21"/>
      <w:lvlText w:val="%2."/>
      <w:lvlJc w:val="left"/>
      <w:pPr>
        <w:ind w:left="720"/>
      </w:pPr>
      <w:rPr>
        <w:rFonts w:cs="Times New Roman"/>
        <w:b/>
        <w:i w:val="0"/>
      </w:rPr>
    </w:lvl>
    <w:lvl w:ilvl="2">
      <w:start w:val="1"/>
      <w:numFmt w:val="decimal"/>
      <w:pStyle w:val="Ttulo31"/>
      <w:lvlText w:val="%3."/>
      <w:lvlJc w:val="left"/>
      <w:pPr>
        <w:ind w:left="1440"/>
      </w:pPr>
      <w:rPr>
        <w:rFonts w:cs="Times New Roman"/>
        <w:b/>
        <w:i w:val="0"/>
      </w:rPr>
    </w:lvl>
    <w:lvl w:ilvl="3">
      <w:start w:val="1"/>
      <w:numFmt w:val="lowerLetter"/>
      <w:pStyle w:val="Ttulo41"/>
      <w:lvlText w:val="%4)"/>
      <w:lvlJc w:val="left"/>
      <w:pPr>
        <w:ind w:left="2160"/>
      </w:pPr>
      <w:rPr>
        <w:rFonts w:cs="Times New Roman"/>
        <w:b/>
        <w:i w:val="0"/>
      </w:rPr>
    </w:lvl>
    <w:lvl w:ilvl="4">
      <w:start w:val="1"/>
      <w:numFmt w:val="decimal"/>
      <w:pStyle w:val="Ttulo51"/>
      <w:lvlText w:val="(%5)"/>
      <w:lvlJc w:val="left"/>
      <w:pPr>
        <w:ind w:left="2880"/>
      </w:pPr>
      <w:rPr>
        <w:rFonts w:cs="Times New Roman"/>
        <w:b/>
        <w:i w:val="0"/>
      </w:rPr>
    </w:lvl>
    <w:lvl w:ilvl="5">
      <w:start w:val="1"/>
      <w:numFmt w:val="lowerLetter"/>
      <w:pStyle w:val="Ttulo61"/>
      <w:lvlText w:val="(%6)"/>
      <w:lvlJc w:val="left"/>
      <w:pPr>
        <w:ind w:left="3600"/>
      </w:pPr>
      <w:rPr>
        <w:rFonts w:cs="Times New Roman"/>
        <w:b/>
        <w:i w:val="0"/>
      </w:rPr>
    </w:lvl>
    <w:lvl w:ilvl="6">
      <w:start w:val="1"/>
      <w:numFmt w:val="lowerRoman"/>
      <w:pStyle w:val="Ttulo71"/>
      <w:lvlText w:val="(%7)"/>
      <w:lvlJc w:val="left"/>
      <w:pPr>
        <w:ind w:left="4320"/>
      </w:pPr>
      <w:rPr>
        <w:rFonts w:cs="Times New Roman"/>
        <w:b/>
        <w:i w:val="0"/>
      </w:rPr>
    </w:lvl>
    <w:lvl w:ilvl="7">
      <w:start w:val="1"/>
      <w:numFmt w:val="lowerLetter"/>
      <w:pStyle w:val="Ttulo81"/>
      <w:lvlText w:val="(%8)"/>
      <w:lvlJc w:val="left"/>
      <w:pPr>
        <w:ind w:left="5040"/>
      </w:pPr>
      <w:rPr>
        <w:rFonts w:cs="Times New Roman"/>
      </w:rPr>
    </w:lvl>
    <w:lvl w:ilvl="8">
      <w:start w:val="1"/>
      <w:numFmt w:val="lowerRoman"/>
      <w:pStyle w:val="Ttulo91"/>
      <w:lvlText w:val="(%9)"/>
      <w:lvlJc w:val="left"/>
      <w:pPr>
        <w:ind w:left="5760"/>
      </w:pPr>
      <w:rPr>
        <w:rFonts w:cs="Times New Roman"/>
      </w:rPr>
    </w:lvl>
  </w:abstractNum>
  <w:abstractNum w:abstractNumId="8" w15:restartNumberingAfterBreak="0">
    <w:nsid w:val="2B824C30"/>
    <w:multiLevelType w:val="hybridMultilevel"/>
    <w:tmpl w:val="5F5CCD78"/>
    <w:lvl w:ilvl="0" w:tplc="A0381824">
      <w:start w:val="1"/>
      <w:numFmt w:val="lowerRoman"/>
      <w:lvlText w:val="(%1)"/>
      <w:lvlJc w:val="left"/>
      <w:pPr>
        <w:ind w:left="1440" w:hanging="720"/>
      </w:pPr>
      <w:rPr>
        <w:rFonts w:hint="default"/>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AB3752F"/>
    <w:multiLevelType w:val="hybridMultilevel"/>
    <w:tmpl w:val="8334E71C"/>
    <w:lvl w:ilvl="0" w:tplc="0D549A1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C634EE"/>
    <w:multiLevelType w:val="multilevel"/>
    <w:tmpl w:val="B0228432"/>
    <w:lvl w:ilvl="0">
      <w:start w:val="1"/>
      <w:numFmt w:val="decimal"/>
      <w:lvlText w:val="%1."/>
      <w:lvlJc w:val="left"/>
      <w:pPr>
        <w:ind w:left="360" w:hanging="360"/>
      </w:pPr>
      <w:rPr>
        <w:rFonts w:ascii="Times New Roman" w:hAnsi="Times New Roman" w:cs="Times New Roman" w:hint="default"/>
        <w:b w:val="0"/>
        <w:i w:val="0"/>
        <w:color w:val="000000"/>
        <w:sz w:val="28"/>
        <w:szCs w:val="28"/>
        <w:vertAlign w:val="baseline"/>
      </w:rPr>
    </w:lvl>
    <w:lvl w:ilvl="1">
      <w:start w:val="1"/>
      <w:numFmt w:val="decimal"/>
      <w:lvlText w:val="%1.%2."/>
      <w:lvlJc w:val="left"/>
      <w:pPr>
        <w:ind w:left="792" w:hanging="432"/>
      </w:pPr>
      <w:rPr>
        <w:rFonts w:cs="Times New Roman"/>
        <w:b w:val="0"/>
        <w:i w:val="0"/>
        <w:color w:val="000000"/>
        <w:sz w:val="28"/>
        <w:szCs w:val="28"/>
        <w:vertAlign w:val="baseline"/>
      </w:rPr>
    </w:lvl>
    <w:lvl w:ilvl="2">
      <w:start w:val="1"/>
      <w:numFmt w:val="decimal"/>
      <w:lvlText w:val="%1.%2.%3."/>
      <w:lvlJc w:val="left"/>
      <w:pPr>
        <w:ind w:left="1224" w:hanging="504"/>
      </w:pPr>
      <w:rPr>
        <w:rFonts w:cs="Times New Roman"/>
        <w:i w:val="0"/>
        <w:vertAlign w:val="baseline"/>
      </w:rPr>
    </w:lvl>
    <w:lvl w:ilvl="3">
      <w:start w:val="1"/>
      <w:numFmt w:val="decimal"/>
      <w:lvlText w:val="%1.%2.%3.%4."/>
      <w:lvlJc w:val="left"/>
      <w:pPr>
        <w:ind w:left="1728" w:hanging="647"/>
      </w:pPr>
      <w:rPr>
        <w:rFonts w:cs="Times New Roman"/>
        <w:i w:val="0"/>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1" w15:restartNumberingAfterBreak="0">
    <w:nsid w:val="4C687411"/>
    <w:multiLevelType w:val="multilevel"/>
    <w:tmpl w:val="23144090"/>
    <w:lvl w:ilvl="0">
      <w:start w:val="1"/>
      <w:numFmt w:val="decimal"/>
      <w:lvlText w:val="%1."/>
      <w:lvlJc w:val="left"/>
      <w:pPr>
        <w:ind w:left="720" w:hanging="360"/>
      </w:pPr>
      <w:rPr>
        <w:rFonts w:eastAsia="Calibri" w:hint="default"/>
        <w:b/>
        <w:bCs/>
        <w:i w:val="0"/>
      </w:rPr>
    </w:lvl>
    <w:lvl w:ilvl="1">
      <w:start w:val="1"/>
      <w:numFmt w:val="decimal"/>
      <w:isLgl/>
      <w:lvlText w:val="%1.%2."/>
      <w:lvlJc w:val="left"/>
      <w:pPr>
        <w:ind w:left="1080" w:hanging="720"/>
      </w:pPr>
      <w:rPr>
        <w:rFonts w:hint="default"/>
        <w:b/>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CA176E9"/>
    <w:multiLevelType w:val="hybridMultilevel"/>
    <w:tmpl w:val="3912F0EC"/>
    <w:lvl w:ilvl="0" w:tplc="9B8237CA">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D54FAC"/>
    <w:multiLevelType w:val="hybridMultilevel"/>
    <w:tmpl w:val="FFE4941E"/>
    <w:lvl w:ilvl="0" w:tplc="240A0017">
      <w:start w:val="1"/>
      <w:numFmt w:val="lowerLetter"/>
      <w:lvlText w:val="%1)"/>
      <w:lvlJc w:val="left"/>
      <w:pPr>
        <w:ind w:left="720" w:hanging="360"/>
      </w:pPr>
      <w:rPr>
        <w:rFonts w:hint="default"/>
        <w:b w:val="0"/>
        <w:bCs w:val="0"/>
        <w:i w:val="0"/>
        <w:iCs/>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A23422E"/>
    <w:multiLevelType w:val="multilevel"/>
    <w:tmpl w:val="31CCB6B2"/>
    <w:lvl w:ilvl="0">
      <w:start w:val="1"/>
      <w:numFmt w:val="decimal"/>
      <w:lvlText w:val="%1."/>
      <w:lvlJc w:val="left"/>
      <w:pPr>
        <w:ind w:left="2629" w:hanging="360"/>
      </w:pPr>
      <w:rPr>
        <w:rFonts w:ascii="Times New Roman" w:hAnsi="Times New Roman" w:cs="Times New Roman" w:hint="default"/>
        <w:b w:val="0"/>
        <w:i w:val="0"/>
        <w:color w:val="000000"/>
        <w:sz w:val="28"/>
        <w:szCs w:val="28"/>
        <w:vertAlign w:val="baseline"/>
      </w:rPr>
    </w:lvl>
    <w:lvl w:ilvl="1">
      <w:start w:val="1"/>
      <w:numFmt w:val="bullet"/>
      <w:lvlText w:val="-"/>
      <w:lvlJc w:val="left"/>
      <w:pPr>
        <w:ind w:left="720" w:hanging="360"/>
      </w:pPr>
      <w:rPr>
        <w:rFonts w:ascii="Garamond" w:eastAsiaTheme="minorHAnsi" w:hAnsi="Garamond" w:cs="Times New Roman" w:hint="default"/>
      </w:rPr>
    </w:lvl>
    <w:lvl w:ilvl="2">
      <w:start w:val="1"/>
      <w:numFmt w:val="decimal"/>
      <w:lvlText w:val="%1.%2.%3."/>
      <w:lvlJc w:val="left"/>
      <w:pPr>
        <w:ind w:left="1224" w:hanging="504"/>
      </w:pPr>
      <w:rPr>
        <w:rFonts w:cs="Times New Roman"/>
        <w:i w:val="0"/>
        <w:vertAlign w:val="baseline"/>
      </w:rPr>
    </w:lvl>
    <w:lvl w:ilvl="3">
      <w:start w:val="1"/>
      <w:numFmt w:val="decimal"/>
      <w:lvlText w:val="%1.%2.%3.%4."/>
      <w:lvlJc w:val="left"/>
      <w:pPr>
        <w:ind w:left="1728" w:hanging="647"/>
      </w:pPr>
      <w:rPr>
        <w:rFonts w:cs="Times New Roman"/>
        <w:i w:val="0"/>
        <w:vertAlign w:val="baseline"/>
      </w:rPr>
    </w:lvl>
    <w:lvl w:ilvl="4">
      <w:start w:val="1"/>
      <w:numFmt w:val="decimal"/>
      <w:lvlText w:val="%1.%2.%3.%4.%5."/>
      <w:lvlJc w:val="left"/>
      <w:pPr>
        <w:ind w:left="2232" w:hanging="792"/>
      </w:pPr>
      <w:rPr>
        <w:rFonts w:cs="Times New Roman"/>
        <w:vertAlign w:val="baseline"/>
      </w:rPr>
    </w:lvl>
    <w:lvl w:ilvl="5">
      <w:start w:val="1"/>
      <w:numFmt w:val="decimal"/>
      <w:lvlText w:val="%1.%2.%3.%4.%5.%6."/>
      <w:lvlJc w:val="left"/>
      <w:pPr>
        <w:ind w:left="2736" w:hanging="935"/>
      </w:pPr>
      <w:rPr>
        <w:rFonts w:cs="Times New Roman"/>
        <w:vertAlign w:val="baseline"/>
      </w:rPr>
    </w:lvl>
    <w:lvl w:ilvl="6">
      <w:start w:val="1"/>
      <w:numFmt w:val="decimal"/>
      <w:lvlText w:val="%1.%2.%3.%4.%5.%6.%7."/>
      <w:lvlJc w:val="left"/>
      <w:pPr>
        <w:ind w:left="3240" w:hanging="1080"/>
      </w:pPr>
      <w:rPr>
        <w:rFonts w:cs="Times New Roman"/>
        <w:vertAlign w:val="baseline"/>
      </w:rPr>
    </w:lvl>
    <w:lvl w:ilvl="7">
      <w:start w:val="1"/>
      <w:numFmt w:val="decimal"/>
      <w:lvlText w:val="%1.%2.%3.%4.%5.%6.%7.%8."/>
      <w:lvlJc w:val="left"/>
      <w:pPr>
        <w:ind w:left="3744" w:hanging="1224"/>
      </w:pPr>
      <w:rPr>
        <w:rFonts w:cs="Times New Roman"/>
        <w:vertAlign w:val="baseline"/>
      </w:rPr>
    </w:lvl>
    <w:lvl w:ilvl="8">
      <w:start w:val="1"/>
      <w:numFmt w:val="decimal"/>
      <w:lvlText w:val="%1.%2.%3.%4.%5.%6.%7.%8.%9."/>
      <w:lvlJc w:val="left"/>
      <w:pPr>
        <w:ind w:left="4320" w:hanging="1440"/>
      </w:pPr>
      <w:rPr>
        <w:rFonts w:cs="Times New Roman"/>
        <w:vertAlign w:val="baseline"/>
      </w:rPr>
    </w:lvl>
  </w:abstractNum>
  <w:abstractNum w:abstractNumId="15" w15:restartNumberingAfterBreak="0">
    <w:nsid w:val="5BA93BAD"/>
    <w:multiLevelType w:val="hybridMultilevel"/>
    <w:tmpl w:val="DD4E9A8C"/>
    <w:lvl w:ilvl="0" w:tplc="C04EE132">
      <w:start w:val="1"/>
      <w:numFmt w:val="upperRoman"/>
      <w:lvlText w:val="%1."/>
      <w:lvlJc w:val="left"/>
      <w:pPr>
        <w:ind w:left="720" w:hanging="360"/>
      </w:pPr>
      <w:rPr>
        <w:rFonts w:cs="Times New Roman"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D2814ED"/>
    <w:multiLevelType w:val="multilevel"/>
    <w:tmpl w:val="876A5382"/>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7" w15:restartNumberingAfterBreak="0">
    <w:nsid w:val="600F7055"/>
    <w:multiLevelType w:val="multilevel"/>
    <w:tmpl w:val="0BA4162A"/>
    <w:lvl w:ilvl="0">
      <w:start w:val="1"/>
      <w:numFmt w:val="decimal"/>
      <w:lvlText w:val="%1."/>
      <w:lvlJc w:val="left"/>
      <w:pPr>
        <w:ind w:left="1309" w:hanging="720"/>
      </w:pPr>
      <w:rPr>
        <w:rFonts w:ascii="Times New Roman" w:eastAsiaTheme="minorHAnsi" w:hAnsi="Times New Roman" w:cstheme="minorBidi"/>
      </w:rPr>
    </w:lvl>
    <w:lvl w:ilvl="1">
      <w:start w:val="2"/>
      <w:numFmt w:val="decimal"/>
      <w:isLgl/>
      <w:lvlText w:val="%1.%2."/>
      <w:lvlJc w:val="left"/>
      <w:pPr>
        <w:ind w:left="1309" w:hanging="720"/>
      </w:pPr>
      <w:rPr>
        <w:rFonts w:hint="default"/>
      </w:rPr>
    </w:lvl>
    <w:lvl w:ilvl="2">
      <w:start w:val="1"/>
      <w:numFmt w:val="decimal"/>
      <w:isLgl/>
      <w:lvlText w:val="%1.%2.%3."/>
      <w:lvlJc w:val="left"/>
      <w:pPr>
        <w:ind w:left="1309" w:hanging="720"/>
      </w:pPr>
      <w:rPr>
        <w:rFonts w:hint="default"/>
      </w:rPr>
    </w:lvl>
    <w:lvl w:ilvl="3">
      <w:start w:val="1"/>
      <w:numFmt w:val="decimal"/>
      <w:isLgl/>
      <w:lvlText w:val="%1.%2.%3.%4."/>
      <w:lvlJc w:val="left"/>
      <w:pPr>
        <w:ind w:left="1669" w:hanging="1080"/>
      </w:pPr>
      <w:rPr>
        <w:rFonts w:hint="default"/>
      </w:rPr>
    </w:lvl>
    <w:lvl w:ilvl="4">
      <w:start w:val="1"/>
      <w:numFmt w:val="decimal"/>
      <w:isLgl/>
      <w:lvlText w:val="%1.%2.%3.%4.%5."/>
      <w:lvlJc w:val="left"/>
      <w:pPr>
        <w:ind w:left="1669" w:hanging="1080"/>
      </w:pPr>
      <w:rPr>
        <w:rFonts w:hint="default"/>
      </w:rPr>
    </w:lvl>
    <w:lvl w:ilvl="5">
      <w:start w:val="1"/>
      <w:numFmt w:val="decimal"/>
      <w:isLgl/>
      <w:lvlText w:val="%1.%2.%3.%4.%5.%6."/>
      <w:lvlJc w:val="left"/>
      <w:pPr>
        <w:ind w:left="2029" w:hanging="1440"/>
      </w:pPr>
      <w:rPr>
        <w:rFonts w:hint="default"/>
      </w:rPr>
    </w:lvl>
    <w:lvl w:ilvl="6">
      <w:start w:val="1"/>
      <w:numFmt w:val="decimal"/>
      <w:isLgl/>
      <w:lvlText w:val="%1.%2.%3.%4.%5.%6.%7."/>
      <w:lvlJc w:val="left"/>
      <w:pPr>
        <w:ind w:left="2389" w:hanging="1800"/>
      </w:pPr>
      <w:rPr>
        <w:rFonts w:hint="default"/>
      </w:rPr>
    </w:lvl>
    <w:lvl w:ilvl="7">
      <w:start w:val="1"/>
      <w:numFmt w:val="decimal"/>
      <w:isLgl/>
      <w:lvlText w:val="%1.%2.%3.%4.%5.%6.%7.%8."/>
      <w:lvlJc w:val="left"/>
      <w:pPr>
        <w:ind w:left="2389" w:hanging="1800"/>
      </w:pPr>
      <w:rPr>
        <w:rFonts w:hint="default"/>
      </w:rPr>
    </w:lvl>
    <w:lvl w:ilvl="8">
      <w:start w:val="1"/>
      <w:numFmt w:val="decimal"/>
      <w:isLgl/>
      <w:lvlText w:val="%1.%2.%3.%4.%5.%6.%7.%8.%9."/>
      <w:lvlJc w:val="left"/>
      <w:pPr>
        <w:ind w:left="2749" w:hanging="2160"/>
      </w:pPr>
      <w:rPr>
        <w:rFonts w:hint="default"/>
      </w:rPr>
    </w:lvl>
  </w:abstractNum>
  <w:abstractNum w:abstractNumId="18" w15:restartNumberingAfterBreak="0">
    <w:nsid w:val="604F140E"/>
    <w:multiLevelType w:val="hybridMultilevel"/>
    <w:tmpl w:val="A6083006"/>
    <w:lvl w:ilvl="0" w:tplc="9B8237CA">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0024BF3"/>
    <w:multiLevelType w:val="hybridMultilevel"/>
    <w:tmpl w:val="425C500C"/>
    <w:lvl w:ilvl="0" w:tplc="6C30EC20">
      <w:start w:val="1"/>
      <w:numFmt w:val="decimal"/>
      <w:lvlText w:val="%1."/>
      <w:lvlJc w:val="left"/>
      <w:pPr>
        <w:ind w:left="720" w:hanging="360"/>
      </w:pPr>
      <w:rPr>
        <w:rFonts w:ascii="Times New Roman" w:eastAsiaTheme="minorHAnsi" w:hAnsi="Times New Roman" w:cstheme="minorBidi"/>
        <w:b w:val="0"/>
        <w:bCs w:val="0"/>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227225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26444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8544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0344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27477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49377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47897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11024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73165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26852637">
    <w:abstractNumId w:val="15"/>
  </w:num>
  <w:num w:numId="11" w16cid:durableId="2026979191">
    <w:abstractNumId w:val="11"/>
  </w:num>
  <w:num w:numId="12" w16cid:durableId="380709282">
    <w:abstractNumId w:val="10"/>
  </w:num>
  <w:num w:numId="13" w16cid:durableId="2128624954">
    <w:abstractNumId w:val="14"/>
  </w:num>
  <w:num w:numId="14" w16cid:durableId="1984117559">
    <w:abstractNumId w:val="5"/>
  </w:num>
  <w:num w:numId="15" w16cid:durableId="1991907719">
    <w:abstractNumId w:val="16"/>
  </w:num>
  <w:num w:numId="16" w16cid:durableId="899754399">
    <w:abstractNumId w:val="18"/>
  </w:num>
  <w:num w:numId="17" w16cid:durableId="1616790935">
    <w:abstractNumId w:val="4"/>
  </w:num>
  <w:num w:numId="18" w16cid:durableId="1433090135">
    <w:abstractNumId w:val="17"/>
  </w:num>
  <w:num w:numId="19" w16cid:durableId="1517578518">
    <w:abstractNumId w:val="0"/>
  </w:num>
  <w:num w:numId="20" w16cid:durableId="1001933174">
    <w:abstractNumId w:val="9"/>
  </w:num>
  <w:num w:numId="21" w16cid:durableId="191769562">
    <w:abstractNumId w:val="8"/>
  </w:num>
  <w:num w:numId="22" w16cid:durableId="1857572966">
    <w:abstractNumId w:val="13"/>
  </w:num>
  <w:num w:numId="23" w16cid:durableId="373192199">
    <w:abstractNumId w:val="19"/>
  </w:num>
  <w:num w:numId="24" w16cid:durableId="1730617740">
    <w:abstractNumId w:val="6"/>
  </w:num>
  <w:num w:numId="25" w16cid:durableId="1929918719">
    <w:abstractNumId w:val="1"/>
  </w:num>
  <w:num w:numId="26" w16cid:durableId="495850872">
    <w:abstractNumId w:val="3"/>
  </w:num>
  <w:num w:numId="27" w16cid:durableId="281230246">
    <w:abstractNumId w:val="12"/>
  </w:num>
  <w:num w:numId="28" w16cid:durableId="1887989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3CA"/>
    <w:rsid w:val="000003DC"/>
    <w:rsid w:val="00000477"/>
    <w:rsid w:val="000007BF"/>
    <w:rsid w:val="000007FE"/>
    <w:rsid w:val="00000BB7"/>
    <w:rsid w:val="00000C9B"/>
    <w:rsid w:val="00000CFB"/>
    <w:rsid w:val="00000DEE"/>
    <w:rsid w:val="00000E49"/>
    <w:rsid w:val="00000FC9"/>
    <w:rsid w:val="00001077"/>
    <w:rsid w:val="00001218"/>
    <w:rsid w:val="00001632"/>
    <w:rsid w:val="000017C2"/>
    <w:rsid w:val="000019A0"/>
    <w:rsid w:val="00001AC7"/>
    <w:rsid w:val="00001B2F"/>
    <w:rsid w:val="00001C66"/>
    <w:rsid w:val="00001F5E"/>
    <w:rsid w:val="00002159"/>
    <w:rsid w:val="0000218D"/>
    <w:rsid w:val="000022DB"/>
    <w:rsid w:val="00002B2C"/>
    <w:rsid w:val="00002BB1"/>
    <w:rsid w:val="00003081"/>
    <w:rsid w:val="00003245"/>
    <w:rsid w:val="000033D9"/>
    <w:rsid w:val="000034B6"/>
    <w:rsid w:val="0000356E"/>
    <w:rsid w:val="00003F0B"/>
    <w:rsid w:val="000040BB"/>
    <w:rsid w:val="00004283"/>
    <w:rsid w:val="000044D5"/>
    <w:rsid w:val="000045B2"/>
    <w:rsid w:val="000047AD"/>
    <w:rsid w:val="000047E6"/>
    <w:rsid w:val="00004823"/>
    <w:rsid w:val="0000499D"/>
    <w:rsid w:val="00004B34"/>
    <w:rsid w:val="00004D25"/>
    <w:rsid w:val="00004E44"/>
    <w:rsid w:val="00004EA2"/>
    <w:rsid w:val="00004F96"/>
    <w:rsid w:val="000051BB"/>
    <w:rsid w:val="0000523D"/>
    <w:rsid w:val="000053AA"/>
    <w:rsid w:val="0000546A"/>
    <w:rsid w:val="00005488"/>
    <w:rsid w:val="000056B8"/>
    <w:rsid w:val="00005791"/>
    <w:rsid w:val="00005AA5"/>
    <w:rsid w:val="00005BF2"/>
    <w:rsid w:val="00005D5D"/>
    <w:rsid w:val="00005D62"/>
    <w:rsid w:val="00005ECD"/>
    <w:rsid w:val="000060FA"/>
    <w:rsid w:val="00006482"/>
    <w:rsid w:val="0000678D"/>
    <w:rsid w:val="00006948"/>
    <w:rsid w:val="00006A9F"/>
    <w:rsid w:val="00006C6E"/>
    <w:rsid w:val="000071C6"/>
    <w:rsid w:val="0000734B"/>
    <w:rsid w:val="00007517"/>
    <w:rsid w:val="000075BC"/>
    <w:rsid w:val="00007CDB"/>
    <w:rsid w:val="00007DA5"/>
    <w:rsid w:val="00007EC0"/>
    <w:rsid w:val="00007F83"/>
    <w:rsid w:val="00007FC1"/>
    <w:rsid w:val="00010015"/>
    <w:rsid w:val="000103D3"/>
    <w:rsid w:val="00010779"/>
    <w:rsid w:val="0001077C"/>
    <w:rsid w:val="00010C3C"/>
    <w:rsid w:val="00010FB4"/>
    <w:rsid w:val="000111A2"/>
    <w:rsid w:val="00011343"/>
    <w:rsid w:val="000118E3"/>
    <w:rsid w:val="00011B8C"/>
    <w:rsid w:val="00011CA6"/>
    <w:rsid w:val="00011D38"/>
    <w:rsid w:val="00011FAB"/>
    <w:rsid w:val="0001205E"/>
    <w:rsid w:val="0001222C"/>
    <w:rsid w:val="000123B4"/>
    <w:rsid w:val="000124CC"/>
    <w:rsid w:val="00012993"/>
    <w:rsid w:val="00012D86"/>
    <w:rsid w:val="00013321"/>
    <w:rsid w:val="00013628"/>
    <w:rsid w:val="00013661"/>
    <w:rsid w:val="00013C7E"/>
    <w:rsid w:val="00013D8B"/>
    <w:rsid w:val="00013F7F"/>
    <w:rsid w:val="00013FFB"/>
    <w:rsid w:val="000140B1"/>
    <w:rsid w:val="00014341"/>
    <w:rsid w:val="000143DB"/>
    <w:rsid w:val="00014630"/>
    <w:rsid w:val="000147EE"/>
    <w:rsid w:val="000149F0"/>
    <w:rsid w:val="00014B41"/>
    <w:rsid w:val="00014FA6"/>
    <w:rsid w:val="00015469"/>
    <w:rsid w:val="00015532"/>
    <w:rsid w:val="000156C8"/>
    <w:rsid w:val="000156DB"/>
    <w:rsid w:val="00015837"/>
    <w:rsid w:val="00015930"/>
    <w:rsid w:val="00015AD6"/>
    <w:rsid w:val="00015E51"/>
    <w:rsid w:val="00016175"/>
    <w:rsid w:val="00016203"/>
    <w:rsid w:val="00016272"/>
    <w:rsid w:val="0001641D"/>
    <w:rsid w:val="0001644C"/>
    <w:rsid w:val="000169B9"/>
    <w:rsid w:val="00016C6A"/>
    <w:rsid w:val="00016CC3"/>
    <w:rsid w:val="00016CFE"/>
    <w:rsid w:val="00016DD2"/>
    <w:rsid w:val="00016E88"/>
    <w:rsid w:val="00016F72"/>
    <w:rsid w:val="00017102"/>
    <w:rsid w:val="00017233"/>
    <w:rsid w:val="000173C6"/>
    <w:rsid w:val="000179BB"/>
    <w:rsid w:val="00020130"/>
    <w:rsid w:val="000204BD"/>
    <w:rsid w:val="000204D7"/>
    <w:rsid w:val="00020583"/>
    <w:rsid w:val="00020AAD"/>
    <w:rsid w:val="00020EAA"/>
    <w:rsid w:val="00020EFD"/>
    <w:rsid w:val="00021158"/>
    <w:rsid w:val="00021178"/>
    <w:rsid w:val="000212C3"/>
    <w:rsid w:val="000214A4"/>
    <w:rsid w:val="000218A4"/>
    <w:rsid w:val="00021C79"/>
    <w:rsid w:val="00022062"/>
    <w:rsid w:val="00022368"/>
    <w:rsid w:val="00022433"/>
    <w:rsid w:val="000224A3"/>
    <w:rsid w:val="00022502"/>
    <w:rsid w:val="000229AA"/>
    <w:rsid w:val="000229D2"/>
    <w:rsid w:val="00022E1F"/>
    <w:rsid w:val="0002329F"/>
    <w:rsid w:val="0002331F"/>
    <w:rsid w:val="00023345"/>
    <w:rsid w:val="0002355C"/>
    <w:rsid w:val="00023645"/>
    <w:rsid w:val="00023908"/>
    <w:rsid w:val="00023B61"/>
    <w:rsid w:val="00023ED9"/>
    <w:rsid w:val="00024138"/>
    <w:rsid w:val="00024147"/>
    <w:rsid w:val="000241C2"/>
    <w:rsid w:val="0002424E"/>
    <w:rsid w:val="000242DF"/>
    <w:rsid w:val="00024662"/>
    <w:rsid w:val="0002483D"/>
    <w:rsid w:val="00024B38"/>
    <w:rsid w:val="00024CA7"/>
    <w:rsid w:val="000250FD"/>
    <w:rsid w:val="000251F9"/>
    <w:rsid w:val="0002536E"/>
    <w:rsid w:val="00025692"/>
    <w:rsid w:val="000256D6"/>
    <w:rsid w:val="00025725"/>
    <w:rsid w:val="00025953"/>
    <w:rsid w:val="00025BD3"/>
    <w:rsid w:val="00025FEC"/>
    <w:rsid w:val="0002613A"/>
    <w:rsid w:val="00026179"/>
    <w:rsid w:val="00026225"/>
    <w:rsid w:val="00026DBC"/>
    <w:rsid w:val="00026EB6"/>
    <w:rsid w:val="00027135"/>
    <w:rsid w:val="000275F6"/>
    <w:rsid w:val="0002779F"/>
    <w:rsid w:val="00027966"/>
    <w:rsid w:val="00027FB0"/>
    <w:rsid w:val="0003057C"/>
    <w:rsid w:val="00030826"/>
    <w:rsid w:val="00030BF4"/>
    <w:rsid w:val="00030C62"/>
    <w:rsid w:val="00030CFF"/>
    <w:rsid w:val="00030D1A"/>
    <w:rsid w:val="0003100E"/>
    <w:rsid w:val="000311A3"/>
    <w:rsid w:val="0003167F"/>
    <w:rsid w:val="000316C5"/>
    <w:rsid w:val="00031B7D"/>
    <w:rsid w:val="00031DC6"/>
    <w:rsid w:val="00032198"/>
    <w:rsid w:val="000321EF"/>
    <w:rsid w:val="00032817"/>
    <w:rsid w:val="00032A0F"/>
    <w:rsid w:val="00032A1E"/>
    <w:rsid w:val="00032AC8"/>
    <w:rsid w:val="00032C24"/>
    <w:rsid w:val="00032C7D"/>
    <w:rsid w:val="00032F4E"/>
    <w:rsid w:val="00033108"/>
    <w:rsid w:val="0003323E"/>
    <w:rsid w:val="0003382A"/>
    <w:rsid w:val="0003382F"/>
    <w:rsid w:val="00033DD7"/>
    <w:rsid w:val="00034276"/>
    <w:rsid w:val="000347CC"/>
    <w:rsid w:val="0003499B"/>
    <w:rsid w:val="00034C08"/>
    <w:rsid w:val="00034E2A"/>
    <w:rsid w:val="0003502D"/>
    <w:rsid w:val="00035462"/>
    <w:rsid w:val="00035505"/>
    <w:rsid w:val="00035674"/>
    <w:rsid w:val="00035705"/>
    <w:rsid w:val="000358E8"/>
    <w:rsid w:val="00035CAB"/>
    <w:rsid w:val="0003603B"/>
    <w:rsid w:val="0003635B"/>
    <w:rsid w:val="0003668E"/>
    <w:rsid w:val="000369B8"/>
    <w:rsid w:val="000371D9"/>
    <w:rsid w:val="00037546"/>
    <w:rsid w:val="00037688"/>
    <w:rsid w:val="000378B0"/>
    <w:rsid w:val="00037AB8"/>
    <w:rsid w:val="00037ACD"/>
    <w:rsid w:val="00040067"/>
    <w:rsid w:val="00040B59"/>
    <w:rsid w:val="00041219"/>
    <w:rsid w:val="0004140E"/>
    <w:rsid w:val="00041823"/>
    <w:rsid w:val="000418DC"/>
    <w:rsid w:val="00041B14"/>
    <w:rsid w:val="00041C9A"/>
    <w:rsid w:val="00041EA3"/>
    <w:rsid w:val="00041F05"/>
    <w:rsid w:val="000421B2"/>
    <w:rsid w:val="000424D4"/>
    <w:rsid w:val="0004253F"/>
    <w:rsid w:val="0004263D"/>
    <w:rsid w:val="00042924"/>
    <w:rsid w:val="00042BF8"/>
    <w:rsid w:val="00042F4B"/>
    <w:rsid w:val="0004306F"/>
    <w:rsid w:val="000432D0"/>
    <w:rsid w:val="00043489"/>
    <w:rsid w:val="00043A0D"/>
    <w:rsid w:val="00043C33"/>
    <w:rsid w:val="000442E8"/>
    <w:rsid w:val="00044328"/>
    <w:rsid w:val="0004447A"/>
    <w:rsid w:val="0004448A"/>
    <w:rsid w:val="000445A1"/>
    <w:rsid w:val="00044A84"/>
    <w:rsid w:val="00044AE3"/>
    <w:rsid w:val="00044B4F"/>
    <w:rsid w:val="000452FE"/>
    <w:rsid w:val="0004530F"/>
    <w:rsid w:val="0004541F"/>
    <w:rsid w:val="0004559A"/>
    <w:rsid w:val="00045D26"/>
    <w:rsid w:val="00045DC1"/>
    <w:rsid w:val="000461AD"/>
    <w:rsid w:val="000465E3"/>
    <w:rsid w:val="0004680E"/>
    <w:rsid w:val="0004682D"/>
    <w:rsid w:val="000468A7"/>
    <w:rsid w:val="00047027"/>
    <w:rsid w:val="000470AA"/>
    <w:rsid w:val="000474B7"/>
    <w:rsid w:val="0004764B"/>
    <w:rsid w:val="0004784C"/>
    <w:rsid w:val="00047985"/>
    <w:rsid w:val="000479E6"/>
    <w:rsid w:val="00047A45"/>
    <w:rsid w:val="00047E38"/>
    <w:rsid w:val="00050028"/>
    <w:rsid w:val="00050619"/>
    <w:rsid w:val="00050F37"/>
    <w:rsid w:val="000513D1"/>
    <w:rsid w:val="0005158A"/>
    <w:rsid w:val="00051592"/>
    <w:rsid w:val="00051618"/>
    <w:rsid w:val="00051697"/>
    <w:rsid w:val="000519F4"/>
    <w:rsid w:val="00051A40"/>
    <w:rsid w:val="00051B1F"/>
    <w:rsid w:val="00051B29"/>
    <w:rsid w:val="00051D43"/>
    <w:rsid w:val="00052608"/>
    <w:rsid w:val="00052685"/>
    <w:rsid w:val="000526B7"/>
    <w:rsid w:val="000528C8"/>
    <w:rsid w:val="00052DB0"/>
    <w:rsid w:val="00053226"/>
    <w:rsid w:val="0005327A"/>
    <w:rsid w:val="0005334E"/>
    <w:rsid w:val="0005341A"/>
    <w:rsid w:val="00053775"/>
    <w:rsid w:val="000539AD"/>
    <w:rsid w:val="00054136"/>
    <w:rsid w:val="000541AC"/>
    <w:rsid w:val="000541D9"/>
    <w:rsid w:val="000544BC"/>
    <w:rsid w:val="00054A57"/>
    <w:rsid w:val="000550B6"/>
    <w:rsid w:val="00055219"/>
    <w:rsid w:val="0005548C"/>
    <w:rsid w:val="0005558A"/>
    <w:rsid w:val="000556D6"/>
    <w:rsid w:val="000559A3"/>
    <w:rsid w:val="00055A94"/>
    <w:rsid w:val="00055B84"/>
    <w:rsid w:val="00055BBE"/>
    <w:rsid w:val="00056083"/>
    <w:rsid w:val="000560B2"/>
    <w:rsid w:val="0005656A"/>
    <w:rsid w:val="00056FE0"/>
    <w:rsid w:val="00057008"/>
    <w:rsid w:val="00057460"/>
    <w:rsid w:val="00057590"/>
    <w:rsid w:val="00057F5C"/>
    <w:rsid w:val="000603E0"/>
    <w:rsid w:val="00060494"/>
    <w:rsid w:val="0006059B"/>
    <w:rsid w:val="0006062D"/>
    <w:rsid w:val="00060740"/>
    <w:rsid w:val="0006098F"/>
    <w:rsid w:val="00060B58"/>
    <w:rsid w:val="00060FCA"/>
    <w:rsid w:val="0006141E"/>
    <w:rsid w:val="00061664"/>
    <w:rsid w:val="0006191D"/>
    <w:rsid w:val="00061B04"/>
    <w:rsid w:val="00061BE3"/>
    <w:rsid w:val="00062020"/>
    <w:rsid w:val="00062408"/>
    <w:rsid w:val="000625BA"/>
    <w:rsid w:val="00062791"/>
    <w:rsid w:val="000630E7"/>
    <w:rsid w:val="0006387B"/>
    <w:rsid w:val="000644DD"/>
    <w:rsid w:val="000648D1"/>
    <w:rsid w:val="00064A25"/>
    <w:rsid w:val="0006510E"/>
    <w:rsid w:val="0006552E"/>
    <w:rsid w:val="00065A99"/>
    <w:rsid w:val="00065D59"/>
    <w:rsid w:val="00065D6A"/>
    <w:rsid w:val="00065E08"/>
    <w:rsid w:val="00065E8C"/>
    <w:rsid w:val="00065F5F"/>
    <w:rsid w:val="000665C3"/>
    <w:rsid w:val="00066908"/>
    <w:rsid w:val="00066BEA"/>
    <w:rsid w:val="000670B3"/>
    <w:rsid w:val="00067211"/>
    <w:rsid w:val="00067300"/>
    <w:rsid w:val="00067C06"/>
    <w:rsid w:val="00067E7C"/>
    <w:rsid w:val="00070281"/>
    <w:rsid w:val="00070406"/>
    <w:rsid w:val="00070551"/>
    <w:rsid w:val="00070B9B"/>
    <w:rsid w:val="00070BAD"/>
    <w:rsid w:val="00070C2C"/>
    <w:rsid w:val="00070E4A"/>
    <w:rsid w:val="00070F2E"/>
    <w:rsid w:val="00070F8D"/>
    <w:rsid w:val="00071856"/>
    <w:rsid w:val="000718D4"/>
    <w:rsid w:val="00071C2D"/>
    <w:rsid w:val="00071C5B"/>
    <w:rsid w:val="00071D12"/>
    <w:rsid w:val="00071E1B"/>
    <w:rsid w:val="00071F83"/>
    <w:rsid w:val="00072289"/>
    <w:rsid w:val="0007252C"/>
    <w:rsid w:val="000729AC"/>
    <w:rsid w:val="000729E4"/>
    <w:rsid w:val="00072C3E"/>
    <w:rsid w:val="000731FD"/>
    <w:rsid w:val="00073420"/>
    <w:rsid w:val="000735A5"/>
    <w:rsid w:val="000736CD"/>
    <w:rsid w:val="00073836"/>
    <w:rsid w:val="00073C3D"/>
    <w:rsid w:val="00073C82"/>
    <w:rsid w:val="00073D07"/>
    <w:rsid w:val="00074196"/>
    <w:rsid w:val="00074768"/>
    <w:rsid w:val="00074AD6"/>
    <w:rsid w:val="00074DC9"/>
    <w:rsid w:val="00074E75"/>
    <w:rsid w:val="00074ED9"/>
    <w:rsid w:val="00075175"/>
    <w:rsid w:val="00075262"/>
    <w:rsid w:val="0007569D"/>
    <w:rsid w:val="00075CAE"/>
    <w:rsid w:val="000760A7"/>
    <w:rsid w:val="00076118"/>
    <w:rsid w:val="0007658B"/>
    <w:rsid w:val="0007695B"/>
    <w:rsid w:val="00076A84"/>
    <w:rsid w:val="00076B6F"/>
    <w:rsid w:val="00076C46"/>
    <w:rsid w:val="00076FAE"/>
    <w:rsid w:val="000773ED"/>
    <w:rsid w:val="000775F6"/>
    <w:rsid w:val="00077D29"/>
    <w:rsid w:val="000801B8"/>
    <w:rsid w:val="000805A9"/>
    <w:rsid w:val="000805B7"/>
    <w:rsid w:val="00080D4B"/>
    <w:rsid w:val="00081595"/>
    <w:rsid w:val="000816E4"/>
    <w:rsid w:val="00081C1D"/>
    <w:rsid w:val="00081D02"/>
    <w:rsid w:val="00081DB2"/>
    <w:rsid w:val="00081DFC"/>
    <w:rsid w:val="0008217D"/>
    <w:rsid w:val="000822B9"/>
    <w:rsid w:val="00082321"/>
    <w:rsid w:val="00082584"/>
    <w:rsid w:val="00082B59"/>
    <w:rsid w:val="00082C81"/>
    <w:rsid w:val="00082EC0"/>
    <w:rsid w:val="00082F14"/>
    <w:rsid w:val="00083033"/>
    <w:rsid w:val="0008310B"/>
    <w:rsid w:val="00083232"/>
    <w:rsid w:val="00083379"/>
    <w:rsid w:val="0008391C"/>
    <w:rsid w:val="00083CE7"/>
    <w:rsid w:val="00083F83"/>
    <w:rsid w:val="000846E4"/>
    <w:rsid w:val="000847DB"/>
    <w:rsid w:val="000848DB"/>
    <w:rsid w:val="00084E64"/>
    <w:rsid w:val="000852FA"/>
    <w:rsid w:val="0008554E"/>
    <w:rsid w:val="00085724"/>
    <w:rsid w:val="00085A6F"/>
    <w:rsid w:val="0008608E"/>
    <w:rsid w:val="00086A25"/>
    <w:rsid w:val="00086CDC"/>
    <w:rsid w:val="00086D53"/>
    <w:rsid w:val="00086F08"/>
    <w:rsid w:val="000872DE"/>
    <w:rsid w:val="000873E6"/>
    <w:rsid w:val="000876AD"/>
    <w:rsid w:val="00087852"/>
    <w:rsid w:val="00087AFB"/>
    <w:rsid w:val="00087B03"/>
    <w:rsid w:val="00087B60"/>
    <w:rsid w:val="00087C62"/>
    <w:rsid w:val="00087D3A"/>
    <w:rsid w:val="000900A7"/>
    <w:rsid w:val="0009051E"/>
    <w:rsid w:val="00090652"/>
    <w:rsid w:val="00090AEF"/>
    <w:rsid w:val="00090DF9"/>
    <w:rsid w:val="000914B6"/>
    <w:rsid w:val="00091513"/>
    <w:rsid w:val="00091562"/>
    <w:rsid w:val="0009196B"/>
    <w:rsid w:val="00091AC5"/>
    <w:rsid w:val="0009208D"/>
    <w:rsid w:val="00092280"/>
    <w:rsid w:val="000925A9"/>
    <w:rsid w:val="000925C5"/>
    <w:rsid w:val="00092AC4"/>
    <w:rsid w:val="000930C0"/>
    <w:rsid w:val="00093565"/>
    <w:rsid w:val="0009362B"/>
    <w:rsid w:val="00093E10"/>
    <w:rsid w:val="0009468B"/>
    <w:rsid w:val="000947A4"/>
    <w:rsid w:val="00094AB7"/>
    <w:rsid w:val="0009548F"/>
    <w:rsid w:val="000956B6"/>
    <w:rsid w:val="00095801"/>
    <w:rsid w:val="00095E5F"/>
    <w:rsid w:val="00095E8F"/>
    <w:rsid w:val="00095ECF"/>
    <w:rsid w:val="000962A8"/>
    <w:rsid w:val="000967DB"/>
    <w:rsid w:val="000969F4"/>
    <w:rsid w:val="00096C35"/>
    <w:rsid w:val="00096C70"/>
    <w:rsid w:val="00096EBA"/>
    <w:rsid w:val="00096F6D"/>
    <w:rsid w:val="000972D4"/>
    <w:rsid w:val="000973F8"/>
    <w:rsid w:val="000974A7"/>
    <w:rsid w:val="0009772A"/>
    <w:rsid w:val="00097962"/>
    <w:rsid w:val="00097B12"/>
    <w:rsid w:val="000A0248"/>
    <w:rsid w:val="000A024B"/>
    <w:rsid w:val="000A04D3"/>
    <w:rsid w:val="000A0597"/>
    <w:rsid w:val="000A06C2"/>
    <w:rsid w:val="000A0785"/>
    <w:rsid w:val="000A088E"/>
    <w:rsid w:val="000A0A18"/>
    <w:rsid w:val="000A0AA7"/>
    <w:rsid w:val="000A0C1E"/>
    <w:rsid w:val="000A0C73"/>
    <w:rsid w:val="000A1315"/>
    <w:rsid w:val="000A169B"/>
    <w:rsid w:val="000A1AEB"/>
    <w:rsid w:val="000A1C65"/>
    <w:rsid w:val="000A1F3F"/>
    <w:rsid w:val="000A2133"/>
    <w:rsid w:val="000A23D2"/>
    <w:rsid w:val="000A26FD"/>
    <w:rsid w:val="000A2FEE"/>
    <w:rsid w:val="000A3AFB"/>
    <w:rsid w:val="000A3C2D"/>
    <w:rsid w:val="000A4F43"/>
    <w:rsid w:val="000A525E"/>
    <w:rsid w:val="000A53CA"/>
    <w:rsid w:val="000A53DB"/>
    <w:rsid w:val="000A5699"/>
    <w:rsid w:val="000A5CDD"/>
    <w:rsid w:val="000A60E2"/>
    <w:rsid w:val="000A61E9"/>
    <w:rsid w:val="000A63DF"/>
    <w:rsid w:val="000A6F50"/>
    <w:rsid w:val="000A7145"/>
    <w:rsid w:val="000A71CA"/>
    <w:rsid w:val="000A71E2"/>
    <w:rsid w:val="000A7205"/>
    <w:rsid w:val="000A7674"/>
    <w:rsid w:val="000A76EE"/>
    <w:rsid w:val="000A7B6F"/>
    <w:rsid w:val="000A7BA3"/>
    <w:rsid w:val="000A7C85"/>
    <w:rsid w:val="000B005A"/>
    <w:rsid w:val="000B01C0"/>
    <w:rsid w:val="000B0266"/>
    <w:rsid w:val="000B0318"/>
    <w:rsid w:val="000B0436"/>
    <w:rsid w:val="000B0581"/>
    <w:rsid w:val="000B0BAB"/>
    <w:rsid w:val="000B0FCF"/>
    <w:rsid w:val="000B0FE3"/>
    <w:rsid w:val="000B110A"/>
    <w:rsid w:val="000B11D6"/>
    <w:rsid w:val="000B1795"/>
    <w:rsid w:val="000B17CC"/>
    <w:rsid w:val="000B1C82"/>
    <w:rsid w:val="000B1D79"/>
    <w:rsid w:val="000B1E32"/>
    <w:rsid w:val="000B2237"/>
    <w:rsid w:val="000B2687"/>
    <w:rsid w:val="000B26CB"/>
    <w:rsid w:val="000B275A"/>
    <w:rsid w:val="000B2CB5"/>
    <w:rsid w:val="000B31CE"/>
    <w:rsid w:val="000B3363"/>
    <w:rsid w:val="000B397F"/>
    <w:rsid w:val="000B3B3D"/>
    <w:rsid w:val="000B3DA8"/>
    <w:rsid w:val="000B3DBF"/>
    <w:rsid w:val="000B3E00"/>
    <w:rsid w:val="000B407E"/>
    <w:rsid w:val="000B4191"/>
    <w:rsid w:val="000B4586"/>
    <w:rsid w:val="000B46BE"/>
    <w:rsid w:val="000B475C"/>
    <w:rsid w:val="000B4AC2"/>
    <w:rsid w:val="000B4E7E"/>
    <w:rsid w:val="000B531F"/>
    <w:rsid w:val="000B547D"/>
    <w:rsid w:val="000B5537"/>
    <w:rsid w:val="000B5609"/>
    <w:rsid w:val="000B5655"/>
    <w:rsid w:val="000B566D"/>
    <w:rsid w:val="000B56CA"/>
    <w:rsid w:val="000B56D5"/>
    <w:rsid w:val="000B58F4"/>
    <w:rsid w:val="000B5B0F"/>
    <w:rsid w:val="000B5D9D"/>
    <w:rsid w:val="000B61EF"/>
    <w:rsid w:val="000B6304"/>
    <w:rsid w:val="000B665D"/>
    <w:rsid w:val="000B6B0C"/>
    <w:rsid w:val="000B6F8F"/>
    <w:rsid w:val="000B7B99"/>
    <w:rsid w:val="000B7FC1"/>
    <w:rsid w:val="000B7FF1"/>
    <w:rsid w:val="000C006A"/>
    <w:rsid w:val="000C03CA"/>
    <w:rsid w:val="000C0946"/>
    <w:rsid w:val="000C0A4C"/>
    <w:rsid w:val="000C0E23"/>
    <w:rsid w:val="000C1312"/>
    <w:rsid w:val="000C1334"/>
    <w:rsid w:val="000C150D"/>
    <w:rsid w:val="000C160B"/>
    <w:rsid w:val="000C16D5"/>
    <w:rsid w:val="000C1934"/>
    <w:rsid w:val="000C2234"/>
    <w:rsid w:val="000C25E8"/>
    <w:rsid w:val="000C30A1"/>
    <w:rsid w:val="000C32F8"/>
    <w:rsid w:val="000C343A"/>
    <w:rsid w:val="000C363E"/>
    <w:rsid w:val="000C3725"/>
    <w:rsid w:val="000C380B"/>
    <w:rsid w:val="000C3BD9"/>
    <w:rsid w:val="000C40C9"/>
    <w:rsid w:val="000C44CC"/>
    <w:rsid w:val="000C46B8"/>
    <w:rsid w:val="000C46E8"/>
    <w:rsid w:val="000C46F7"/>
    <w:rsid w:val="000C4830"/>
    <w:rsid w:val="000C49FD"/>
    <w:rsid w:val="000C4CBD"/>
    <w:rsid w:val="000C4E4B"/>
    <w:rsid w:val="000C4F42"/>
    <w:rsid w:val="000C5284"/>
    <w:rsid w:val="000C5397"/>
    <w:rsid w:val="000C56ED"/>
    <w:rsid w:val="000C570A"/>
    <w:rsid w:val="000C5C3D"/>
    <w:rsid w:val="000C6026"/>
    <w:rsid w:val="000C617E"/>
    <w:rsid w:val="000C66AE"/>
    <w:rsid w:val="000C670E"/>
    <w:rsid w:val="000C6EFC"/>
    <w:rsid w:val="000C72C9"/>
    <w:rsid w:val="000C759E"/>
    <w:rsid w:val="000C78CA"/>
    <w:rsid w:val="000C7BB6"/>
    <w:rsid w:val="000C7DF7"/>
    <w:rsid w:val="000C7FB2"/>
    <w:rsid w:val="000D0BDA"/>
    <w:rsid w:val="000D0C51"/>
    <w:rsid w:val="000D1220"/>
    <w:rsid w:val="000D134A"/>
    <w:rsid w:val="000D1458"/>
    <w:rsid w:val="000D14FB"/>
    <w:rsid w:val="000D1A26"/>
    <w:rsid w:val="000D1A48"/>
    <w:rsid w:val="000D1C27"/>
    <w:rsid w:val="000D249D"/>
    <w:rsid w:val="000D2ECD"/>
    <w:rsid w:val="000D2F9C"/>
    <w:rsid w:val="000D3211"/>
    <w:rsid w:val="000D3E29"/>
    <w:rsid w:val="000D3F36"/>
    <w:rsid w:val="000D3FD9"/>
    <w:rsid w:val="000D41DC"/>
    <w:rsid w:val="000D4253"/>
    <w:rsid w:val="000D440F"/>
    <w:rsid w:val="000D4423"/>
    <w:rsid w:val="000D45D5"/>
    <w:rsid w:val="000D4718"/>
    <w:rsid w:val="000D4DCD"/>
    <w:rsid w:val="000D5172"/>
    <w:rsid w:val="000D53FE"/>
    <w:rsid w:val="000D56CB"/>
    <w:rsid w:val="000D572F"/>
    <w:rsid w:val="000D5E6D"/>
    <w:rsid w:val="000D602D"/>
    <w:rsid w:val="000D60A6"/>
    <w:rsid w:val="000D61B2"/>
    <w:rsid w:val="000D6221"/>
    <w:rsid w:val="000D6265"/>
    <w:rsid w:val="000D637C"/>
    <w:rsid w:val="000D66AD"/>
    <w:rsid w:val="000D6785"/>
    <w:rsid w:val="000D6A67"/>
    <w:rsid w:val="000D6B34"/>
    <w:rsid w:val="000D6C81"/>
    <w:rsid w:val="000D7144"/>
    <w:rsid w:val="000D71A8"/>
    <w:rsid w:val="000D7248"/>
    <w:rsid w:val="000D771C"/>
    <w:rsid w:val="000D7999"/>
    <w:rsid w:val="000D7CED"/>
    <w:rsid w:val="000E007C"/>
    <w:rsid w:val="000E00BB"/>
    <w:rsid w:val="000E0152"/>
    <w:rsid w:val="000E081B"/>
    <w:rsid w:val="000E08B8"/>
    <w:rsid w:val="000E0980"/>
    <w:rsid w:val="000E0D61"/>
    <w:rsid w:val="000E109C"/>
    <w:rsid w:val="000E168C"/>
    <w:rsid w:val="000E168D"/>
    <w:rsid w:val="000E17BD"/>
    <w:rsid w:val="000E1898"/>
    <w:rsid w:val="000E1D1D"/>
    <w:rsid w:val="000E1DF8"/>
    <w:rsid w:val="000E1E45"/>
    <w:rsid w:val="000E1FB3"/>
    <w:rsid w:val="000E1FC5"/>
    <w:rsid w:val="000E2018"/>
    <w:rsid w:val="000E22B7"/>
    <w:rsid w:val="000E2315"/>
    <w:rsid w:val="000E26DE"/>
    <w:rsid w:val="000E2A03"/>
    <w:rsid w:val="000E2A8D"/>
    <w:rsid w:val="000E30B0"/>
    <w:rsid w:val="000E3302"/>
    <w:rsid w:val="000E3745"/>
    <w:rsid w:val="000E3789"/>
    <w:rsid w:val="000E41F8"/>
    <w:rsid w:val="000E431E"/>
    <w:rsid w:val="000E445F"/>
    <w:rsid w:val="000E46D7"/>
    <w:rsid w:val="000E47DB"/>
    <w:rsid w:val="000E48A0"/>
    <w:rsid w:val="000E4AF2"/>
    <w:rsid w:val="000E4F55"/>
    <w:rsid w:val="000E531A"/>
    <w:rsid w:val="000E53CC"/>
    <w:rsid w:val="000E56A8"/>
    <w:rsid w:val="000E58E3"/>
    <w:rsid w:val="000E58ED"/>
    <w:rsid w:val="000E5979"/>
    <w:rsid w:val="000E6096"/>
    <w:rsid w:val="000E64FD"/>
    <w:rsid w:val="000E64FE"/>
    <w:rsid w:val="000E6770"/>
    <w:rsid w:val="000E6B95"/>
    <w:rsid w:val="000E7256"/>
    <w:rsid w:val="000E77C9"/>
    <w:rsid w:val="000E7988"/>
    <w:rsid w:val="000E7CED"/>
    <w:rsid w:val="000E7F50"/>
    <w:rsid w:val="000F014E"/>
    <w:rsid w:val="000F02D9"/>
    <w:rsid w:val="000F0319"/>
    <w:rsid w:val="000F0394"/>
    <w:rsid w:val="000F08C1"/>
    <w:rsid w:val="000F08D4"/>
    <w:rsid w:val="000F0901"/>
    <w:rsid w:val="000F0EB2"/>
    <w:rsid w:val="000F1426"/>
    <w:rsid w:val="000F158E"/>
    <w:rsid w:val="000F1961"/>
    <w:rsid w:val="000F19C2"/>
    <w:rsid w:val="000F1D00"/>
    <w:rsid w:val="000F1FCF"/>
    <w:rsid w:val="000F20C4"/>
    <w:rsid w:val="000F2122"/>
    <w:rsid w:val="000F2408"/>
    <w:rsid w:val="000F2777"/>
    <w:rsid w:val="000F2DBA"/>
    <w:rsid w:val="000F2F32"/>
    <w:rsid w:val="000F315E"/>
    <w:rsid w:val="000F322B"/>
    <w:rsid w:val="000F380E"/>
    <w:rsid w:val="000F3B47"/>
    <w:rsid w:val="000F41EF"/>
    <w:rsid w:val="000F4402"/>
    <w:rsid w:val="000F4406"/>
    <w:rsid w:val="000F475F"/>
    <w:rsid w:val="000F47E9"/>
    <w:rsid w:val="000F5116"/>
    <w:rsid w:val="000F5197"/>
    <w:rsid w:val="000F5300"/>
    <w:rsid w:val="000F54C3"/>
    <w:rsid w:val="000F575B"/>
    <w:rsid w:val="000F57E9"/>
    <w:rsid w:val="000F58F5"/>
    <w:rsid w:val="000F594A"/>
    <w:rsid w:val="000F6187"/>
    <w:rsid w:val="000F61F8"/>
    <w:rsid w:val="000F65E2"/>
    <w:rsid w:val="000F660D"/>
    <w:rsid w:val="000F6654"/>
    <w:rsid w:val="000F66EE"/>
    <w:rsid w:val="000F6818"/>
    <w:rsid w:val="000F704C"/>
    <w:rsid w:val="000F738A"/>
    <w:rsid w:val="000F7450"/>
    <w:rsid w:val="000F770B"/>
    <w:rsid w:val="000F7879"/>
    <w:rsid w:val="000F7F11"/>
    <w:rsid w:val="000F7F22"/>
    <w:rsid w:val="001008BA"/>
    <w:rsid w:val="00100E1F"/>
    <w:rsid w:val="00100FB8"/>
    <w:rsid w:val="00100FDC"/>
    <w:rsid w:val="001014F3"/>
    <w:rsid w:val="001015CE"/>
    <w:rsid w:val="0010189C"/>
    <w:rsid w:val="001018D3"/>
    <w:rsid w:val="001019E7"/>
    <w:rsid w:val="00101B21"/>
    <w:rsid w:val="00101C27"/>
    <w:rsid w:val="00101F86"/>
    <w:rsid w:val="001020FB"/>
    <w:rsid w:val="0010253D"/>
    <w:rsid w:val="001027A6"/>
    <w:rsid w:val="00102AC7"/>
    <w:rsid w:val="00102B31"/>
    <w:rsid w:val="00102D49"/>
    <w:rsid w:val="00102E2D"/>
    <w:rsid w:val="00102E79"/>
    <w:rsid w:val="00103124"/>
    <w:rsid w:val="0010318F"/>
    <w:rsid w:val="001035D4"/>
    <w:rsid w:val="001036F1"/>
    <w:rsid w:val="00103A15"/>
    <w:rsid w:val="00103BEC"/>
    <w:rsid w:val="00103F4B"/>
    <w:rsid w:val="00103F9A"/>
    <w:rsid w:val="0010451D"/>
    <w:rsid w:val="0010486E"/>
    <w:rsid w:val="001048B8"/>
    <w:rsid w:val="001049A8"/>
    <w:rsid w:val="00104A7A"/>
    <w:rsid w:val="00104BA7"/>
    <w:rsid w:val="00104DDC"/>
    <w:rsid w:val="00104ECB"/>
    <w:rsid w:val="00104FA9"/>
    <w:rsid w:val="00105078"/>
    <w:rsid w:val="0010514F"/>
    <w:rsid w:val="00105743"/>
    <w:rsid w:val="00105785"/>
    <w:rsid w:val="00105C7C"/>
    <w:rsid w:val="00105C9F"/>
    <w:rsid w:val="00106246"/>
    <w:rsid w:val="001067F9"/>
    <w:rsid w:val="00106F56"/>
    <w:rsid w:val="00107091"/>
    <w:rsid w:val="001071EE"/>
    <w:rsid w:val="00107268"/>
    <w:rsid w:val="00107578"/>
    <w:rsid w:val="00107A35"/>
    <w:rsid w:val="00107DD2"/>
    <w:rsid w:val="00110058"/>
    <w:rsid w:val="00110083"/>
    <w:rsid w:val="00110346"/>
    <w:rsid w:val="00110384"/>
    <w:rsid w:val="001107A9"/>
    <w:rsid w:val="00110BE8"/>
    <w:rsid w:val="00110F17"/>
    <w:rsid w:val="00110F6F"/>
    <w:rsid w:val="0011127B"/>
    <w:rsid w:val="00111473"/>
    <w:rsid w:val="00111984"/>
    <w:rsid w:val="00111DBE"/>
    <w:rsid w:val="00111F50"/>
    <w:rsid w:val="001120C2"/>
    <w:rsid w:val="00112C18"/>
    <w:rsid w:val="0011336B"/>
    <w:rsid w:val="00113610"/>
    <w:rsid w:val="00113D98"/>
    <w:rsid w:val="0011473B"/>
    <w:rsid w:val="00114BA5"/>
    <w:rsid w:val="00114C51"/>
    <w:rsid w:val="00115076"/>
    <w:rsid w:val="001150D7"/>
    <w:rsid w:val="001154EA"/>
    <w:rsid w:val="0011554B"/>
    <w:rsid w:val="0011568C"/>
    <w:rsid w:val="001158E9"/>
    <w:rsid w:val="001159EB"/>
    <w:rsid w:val="00115EFC"/>
    <w:rsid w:val="0011615E"/>
    <w:rsid w:val="00116277"/>
    <w:rsid w:val="001168EA"/>
    <w:rsid w:val="00116C42"/>
    <w:rsid w:val="0011728C"/>
    <w:rsid w:val="001172E7"/>
    <w:rsid w:val="001176BF"/>
    <w:rsid w:val="001179D3"/>
    <w:rsid w:val="00117BB5"/>
    <w:rsid w:val="00117EE7"/>
    <w:rsid w:val="0012025E"/>
    <w:rsid w:val="00120353"/>
    <w:rsid w:val="001203A0"/>
    <w:rsid w:val="0012064F"/>
    <w:rsid w:val="00120A27"/>
    <w:rsid w:val="00120BD7"/>
    <w:rsid w:val="00120C08"/>
    <w:rsid w:val="00120E3E"/>
    <w:rsid w:val="0012117B"/>
    <w:rsid w:val="00121285"/>
    <w:rsid w:val="0012140B"/>
    <w:rsid w:val="00121967"/>
    <w:rsid w:val="00121985"/>
    <w:rsid w:val="00121C56"/>
    <w:rsid w:val="00121CC8"/>
    <w:rsid w:val="00122E06"/>
    <w:rsid w:val="00122E93"/>
    <w:rsid w:val="001232A5"/>
    <w:rsid w:val="001233C8"/>
    <w:rsid w:val="001233D7"/>
    <w:rsid w:val="00123561"/>
    <w:rsid w:val="001235F3"/>
    <w:rsid w:val="00123707"/>
    <w:rsid w:val="00123D5B"/>
    <w:rsid w:val="001241AD"/>
    <w:rsid w:val="001241D0"/>
    <w:rsid w:val="001244D6"/>
    <w:rsid w:val="00124526"/>
    <w:rsid w:val="0012454C"/>
    <w:rsid w:val="001246ED"/>
    <w:rsid w:val="001248D7"/>
    <w:rsid w:val="00124EAF"/>
    <w:rsid w:val="0012509E"/>
    <w:rsid w:val="00125356"/>
    <w:rsid w:val="001255E0"/>
    <w:rsid w:val="0012569C"/>
    <w:rsid w:val="00125BA7"/>
    <w:rsid w:val="00126640"/>
    <w:rsid w:val="00126702"/>
    <w:rsid w:val="00126A9A"/>
    <w:rsid w:val="001275C4"/>
    <w:rsid w:val="00127809"/>
    <w:rsid w:val="00127994"/>
    <w:rsid w:val="00127BE6"/>
    <w:rsid w:val="00127C8B"/>
    <w:rsid w:val="00127D2D"/>
    <w:rsid w:val="00130341"/>
    <w:rsid w:val="001303EB"/>
    <w:rsid w:val="00130C41"/>
    <w:rsid w:val="00131014"/>
    <w:rsid w:val="00131147"/>
    <w:rsid w:val="001311A9"/>
    <w:rsid w:val="001311EE"/>
    <w:rsid w:val="00131755"/>
    <w:rsid w:val="00131996"/>
    <w:rsid w:val="00131C67"/>
    <w:rsid w:val="00131E50"/>
    <w:rsid w:val="001324E7"/>
    <w:rsid w:val="00132B7A"/>
    <w:rsid w:val="00132D0D"/>
    <w:rsid w:val="0013306B"/>
    <w:rsid w:val="001332FC"/>
    <w:rsid w:val="00133378"/>
    <w:rsid w:val="00133891"/>
    <w:rsid w:val="001339FB"/>
    <w:rsid w:val="0013403A"/>
    <w:rsid w:val="001344EE"/>
    <w:rsid w:val="001344FD"/>
    <w:rsid w:val="00134611"/>
    <w:rsid w:val="00134620"/>
    <w:rsid w:val="00134A06"/>
    <w:rsid w:val="00134ACC"/>
    <w:rsid w:val="00134CA0"/>
    <w:rsid w:val="00134F99"/>
    <w:rsid w:val="00135459"/>
    <w:rsid w:val="001354D9"/>
    <w:rsid w:val="001355C5"/>
    <w:rsid w:val="00135798"/>
    <w:rsid w:val="00135980"/>
    <w:rsid w:val="00135B72"/>
    <w:rsid w:val="00135DD8"/>
    <w:rsid w:val="00136573"/>
    <w:rsid w:val="001366A4"/>
    <w:rsid w:val="00136A26"/>
    <w:rsid w:val="00136BE0"/>
    <w:rsid w:val="00137000"/>
    <w:rsid w:val="001372C6"/>
    <w:rsid w:val="00137384"/>
    <w:rsid w:val="001373F2"/>
    <w:rsid w:val="0013762D"/>
    <w:rsid w:val="001377AC"/>
    <w:rsid w:val="001377C7"/>
    <w:rsid w:val="00137835"/>
    <w:rsid w:val="00137A1E"/>
    <w:rsid w:val="00140936"/>
    <w:rsid w:val="00140BD3"/>
    <w:rsid w:val="001410EC"/>
    <w:rsid w:val="001412E7"/>
    <w:rsid w:val="00141C72"/>
    <w:rsid w:val="00141FB0"/>
    <w:rsid w:val="001420ED"/>
    <w:rsid w:val="001422FA"/>
    <w:rsid w:val="001423EA"/>
    <w:rsid w:val="00142707"/>
    <w:rsid w:val="00142BDA"/>
    <w:rsid w:val="00142CA2"/>
    <w:rsid w:val="0014395C"/>
    <w:rsid w:val="00143AD9"/>
    <w:rsid w:val="00143B00"/>
    <w:rsid w:val="00143B55"/>
    <w:rsid w:val="001440BA"/>
    <w:rsid w:val="0014412D"/>
    <w:rsid w:val="0014418B"/>
    <w:rsid w:val="001441A0"/>
    <w:rsid w:val="00144276"/>
    <w:rsid w:val="001442E8"/>
    <w:rsid w:val="001443AE"/>
    <w:rsid w:val="00144A58"/>
    <w:rsid w:val="00144A7A"/>
    <w:rsid w:val="00144EFB"/>
    <w:rsid w:val="00144FC4"/>
    <w:rsid w:val="0014568F"/>
    <w:rsid w:val="0014579E"/>
    <w:rsid w:val="00145A5B"/>
    <w:rsid w:val="00145AE0"/>
    <w:rsid w:val="00145F48"/>
    <w:rsid w:val="00145FBC"/>
    <w:rsid w:val="0014664E"/>
    <w:rsid w:val="001467FE"/>
    <w:rsid w:val="00146A9F"/>
    <w:rsid w:val="00146C92"/>
    <w:rsid w:val="00146E3E"/>
    <w:rsid w:val="001477B0"/>
    <w:rsid w:val="00147916"/>
    <w:rsid w:val="00147A7E"/>
    <w:rsid w:val="001505C2"/>
    <w:rsid w:val="001505CC"/>
    <w:rsid w:val="00150691"/>
    <w:rsid w:val="00150800"/>
    <w:rsid w:val="00150AB0"/>
    <w:rsid w:val="00150D4B"/>
    <w:rsid w:val="00150DFC"/>
    <w:rsid w:val="00150ED9"/>
    <w:rsid w:val="0015117C"/>
    <w:rsid w:val="001516AC"/>
    <w:rsid w:val="00151850"/>
    <w:rsid w:val="00151A5D"/>
    <w:rsid w:val="00151BF2"/>
    <w:rsid w:val="00151E5F"/>
    <w:rsid w:val="001522CA"/>
    <w:rsid w:val="00152337"/>
    <w:rsid w:val="0015247A"/>
    <w:rsid w:val="00152523"/>
    <w:rsid w:val="0015265D"/>
    <w:rsid w:val="00152BE8"/>
    <w:rsid w:val="00152D83"/>
    <w:rsid w:val="00152EDB"/>
    <w:rsid w:val="0015309E"/>
    <w:rsid w:val="001530A0"/>
    <w:rsid w:val="00153156"/>
    <w:rsid w:val="001533C1"/>
    <w:rsid w:val="0015375B"/>
    <w:rsid w:val="00153882"/>
    <w:rsid w:val="00153A9A"/>
    <w:rsid w:val="00153E29"/>
    <w:rsid w:val="00153FC6"/>
    <w:rsid w:val="001540A8"/>
    <w:rsid w:val="0015412D"/>
    <w:rsid w:val="00154340"/>
    <w:rsid w:val="00154C00"/>
    <w:rsid w:val="00154CC6"/>
    <w:rsid w:val="001556B4"/>
    <w:rsid w:val="00155784"/>
    <w:rsid w:val="001557B2"/>
    <w:rsid w:val="00155A0C"/>
    <w:rsid w:val="00155C45"/>
    <w:rsid w:val="00155DF5"/>
    <w:rsid w:val="00155E36"/>
    <w:rsid w:val="0015625A"/>
    <w:rsid w:val="00156635"/>
    <w:rsid w:val="00156A17"/>
    <w:rsid w:val="00156B86"/>
    <w:rsid w:val="00156DEF"/>
    <w:rsid w:val="00156FDB"/>
    <w:rsid w:val="00156FEC"/>
    <w:rsid w:val="001570CF"/>
    <w:rsid w:val="001571DF"/>
    <w:rsid w:val="00157215"/>
    <w:rsid w:val="0015726B"/>
    <w:rsid w:val="0015742C"/>
    <w:rsid w:val="00157480"/>
    <w:rsid w:val="0015780F"/>
    <w:rsid w:val="00157A31"/>
    <w:rsid w:val="00157D85"/>
    <w:rsid w:val="00157DE5"/>
    <w:rsid w:val="001606D3"/>
    <w:rsid w:val="0016088E"/>
    <w:rsid w:val="001608EA"/>
    <w:rsid w:val="00160C06"/>
    <w:rsid w:val="00160C67"/>
    <w:rsid w:val="00160DAA"/>
    <w:rsid w:val="00160DE9"/>
    <w:rsid w:val="00161746"/>
    <w:rsid w:val="00161839"/>
    <w:rsid w:val="00161A95"/>
    <w:rsid w:val="001624C1"/>
    <w:rsid w:val="001626DC"/>
    <w:rsid w:val="001627E3"/>
    <w:rsid w:val="00162943"/>
    <w:rsid w:val="00162DFB"/>
    <w:rsid w:val="00162EF8"/>
    <w:rsid w:val="00163012"/>
    <w:rsid w:val="001630D3"/>
    <w:rsid w:val="0016319D"/>
    <w:rsid w:val="00163289"/>
    <w:rsid w:val="001634E0"/>
    <w:rsid w:val="00163683"/>
    <w:rsid w:val="00163EAB"/>
    <w:rsid w:val="00163FBD"/>
    <w:rsid w:val="001640FA"/>
    <w:rsid w:val="00164535"/>
    <w:rsid w:val="0016476A"/>
    <w:rsid w:val="001647D9"/>
    <w:rsid w:val="00164883"/>
    <w:rsid w:val="00164F47"/>
    <w:rsid w:val="0016502D"/>
    <w:rsid w:val="00165041"/>
    <w:rsid w:val="0016516A"/>
    <w:rsid w:val="00165326"/>
    <w:rsid w:val="00165346"/>
    <w:rsid w:val="0016540A"/>
    <w:rsid w:val="00165745"/>
    <w:rsid w:val="00165781"/>
    <w:rsid w:val="00165793"/>
    <w:rsid w:val="00165B55"/>
    <w:rsid w:val="00165E1C"/>
    <w:rsid w:val="00165EC0"/>
    <w:rsid w:val="00166102"/>
    <w:rsid w:val="001664C0"/>
    <w:rsid w:val="0016652E"/>
    <w:rsid w:val="001665F1"/>
    <w:rsid w:val="0016698A"/>
    <w:rsid w:val="00166EC8"/>
    <w:rsid w:val="00166EDE"/>
    <w:rsid w:val="00167173"/>
    <w:rsid w:val="001671A2"/>
    <w:rsid w:val="001672E4"/>
    <w:rsid w:val="001673A7"/>
    <w:rsid w:val="001674F9"/>
    <w:rsid w:val="001676CE"/>
    <w:rsid w:val="0016784E"/>
    <w:rsid w:val="00167A61"/>
    <w:rsid w:val="00167AEB"/>
    <w:rsid w:val="00167B63"/>
    <w:rsid w:val="00167D1D"/>
    <w:rsid w:val="00167F4D"/>
    <w:rsid w:val="00170132"/>
    <w:rsid w:val="0017028F"/>
    <w:rsid w:val="0017082C"/>
    <w:rsid w:val="001708EA"/>
    <w:rsid w:val="00170CAC"/>
    <w:rsid w:val="00170FCC"/>
    <w:rsid w:val="00171185"/>
    <w:rsid w:val="001713CB"/>
    <w:rsid w:val="0017154E"/>
    <w:rsid w:val="0017156D"/>
    <w:rsid w:val="001716D0"/>
    <w:rsid w:val="00171854"/>
    <w:rsid w:val="00171B1E"/>
    <w:rsid w:val="0017241E"/>
    <w:rsid w:val="00172456"/>
    <w:rsid w:val="001724FD"/>
    <w:rsid w:val="001729A5"/>
    <w:rsid w:val="0017322B"/>
    <w:rsid w:val="001732E9"/>
    <w:rsid w:val="00173365"/>
    <w:rsid w:val="00173641"/>
    <w:rsid w:val="00173E93"/>
    <w:rsid w:val="00173FD3"/>
    <w:rsid w:val="00174471"/>
    <w:rsid w:val="00174581"/>
    <w:rsid w:val="001747A1"/>
    <w:rsid w:val="00174804"/>
    <w:rsid w:val="001749C6"/>
    <w:rsid w:val="00175208"/>
    <w:rsid w:val="001753A2"/>
    <w:rsid w:val="001753E7"/>
    <w:rsid w:val="00175579"/>
    <w:rsid w:val="001755D8"/>
    <w:rsid w:val="00175755"/>
    <w:rsid w:val="00175BDE"/>
    <w:rsid w:val="00175C1A"/>
    <w:rsid w:val="00175C8C"/>
    <w:rsid w:val="00175D63"/>
    <w:rsid w:val="0017619F"/>
    <w:rsid w:val="00176253"/>
    <w:rsid w:val="001765AE"/>
    <w:rsid w:val="001765FA"/>
    <w:rsid w:val="00176792"/>
    <w:rsid w:val="00176868"/>
    <w:rsid w:val="00176A2A"/>
    <w:rsid w:val="00176AD1"/>
    <w:rsid w:val="00176BAC"/>
    <w:rsid w:val="00176F49"/>
    <w:rsid w:val="00176FCF"/>
    <w:rsid w:val="00177217"/>
    <w:rsid w:val="00177629"/>
    <w:rsid w:val="001776D5"/>
    <w:rsid w:val="001778B4"/>
    <w:rsid w:val="00177AAB"/>
    <w:rsid w:val="00177B5D"/>
    <w:rsid w:val="00177D80"/>
    <w:rsid w:val="00177F61"/>
    <w:rsid w:val="0018040E"/>
    <w:rsid w:val="0018044B"/>
    <w:rsid w:val="00180849"/>
    <w:rsid w:val="00180965"/>
    <w:rsid w:val="00180BEC"/>
    <w:rsid w:val="00181359"/>
    <w:rsid w:val="00181602"/>
    <w:rsid w:val="00181D89"/>
    <w:rsid w:val="001820F3"/>
    <w:rsid w:val="0018292D"/>
    <w:rsid w:val="00182B25"/>
    <w:rsid w:val="00182D22"/>
    <w:rsid w:val="00182E29"/>
    <w:rsid w:val="00182E65"/>
    <w:rsid w:val="00182E7B"/>
    <w:rsid w:val="00182F19"/>
    <w:rsid w:val="00182F46"/>
    <w:rsid w:val="00182FD1"/>
    <w:rsid w:val="0018312D"/>
    <w:rsid w:val="0018323F"/>
    <w:rsid w:val="00183BB2"/>
    <w:rsid w:val="00183BD6"/>
    <w:rsid w:val="00183C55"/>
    <w:rsid w:val="00183DFB"/>
    <w:rsid w:val="00183E8C"/>
    <w:rsid w:val="00184062"/>
    <w:rsid w:val="0018407E"/>
    <w:rsid w:val="001847A6"/>
    <w:rsid w:val="001847FE"/>
    <w:rsid w:val="00185078"/>
    <w:rsid w:val="00185122"/>
    <w:rsid w:val="001853CC"/>
    <w:rsid w:val="00185D9D"/>
    <w:rsid w:val="00186878"/>
    <w:rsid w:val="00186A6F"/>
    <w:rsid w:val="00186A8C"/>
    <w:rsid w:val="00186B0C"/>
    <w:rsid w:val="00186F71"/>
    <w:rsid w:val="00186FC8"/>
    <w:rsid w:val="00187018"/>
    <w:rsid w:val="0018712A"/>
    <w:rsid w:val="0018719B"/>
    <w:rsid w:val="001871BC"/>
    <w:rsid w:val="001872F1"/>
    <w:rsid w:val="00187561"/>
    <w:rsid w:val="00187712"/>
    <w:rsid w:val="00187722"/>
    <w:rsid w:val="001878AD"/>
    <w:rsid w:val="0018799A"/>
    <w:rsid w:val="001879D4"/>
    <w:rsid w:val="00187C3F"/>
    <w:rsid w:val="00187FA7"/>
    <w:rsid w:val="00190212"/>
    <w:rsid w:val="001907B2"/>
    <w:rsid w:val="0019083E"/>
    <w:rsid w:val="00190846"/>
    <w:rsid w:val="00190E0E"/>
    <w:rsid w:val="00190F3C"/>
    <w:rsid w:val="001911CD"/>
    <w:rsid w:val="001913C9"/>
    <w:rsid w:val="0019156F"/>
    <w:rsid w:val="00191D77"/>
    <w:rsid w:val="0019245B"/>
    <w:rsid w:val="0019270B"/>
    <w:rsid w:val="001928B0"/>
    <w:rsid w:val="00192906"/>
    <w:rsid w:val="00192AC3"/>
    <w:rsid w:val="00193166"/>
    <w:rsid w:val="0019341B"/>
    <w:rsid w:val="001937BF"/>
    <w:rsid w:val="001941AC"/>
    <w:rsid w:val="001944CD"/>
    <w:rsid w:val="0019451B"/>
    <w:rsid w:val="00194E9D"/>
    <w:rsid w:val="00195235"/>
    <w:rsid w:val="00195302"/>
    <w:rsid w:val="0019574E"/>
    <w:rsid w:val="001957A2"/>
    <w:rsid w:val="001959C0"/>
    <w:rsid w:val="00195C7D"/>
    <w:rsid w:val="00195CB7"/>
    <w:rsid w:val="00195F14"/>
    <w:rsid w:val="0019610D"/>
    <w:rsid w:val="00196485"/>
    <w:rsid w:val="00196871"/>
    <w:rsid w:val="001969E7"/>
    <w:rsid w:val="00196A0C"/>
    <w:rsid w:val="00196C40"/>
    <w:rsid w:val="00196C49"/>
    <w:rsid w:val="00196C51"/>
    <w:rsid w:val="0019746A"/>
    <w:rsid w:val="00197525"/>
    <w:rsid w:val="0019755C"/>
    <w:rsid w:val="001975C6"/>
    <w:rsid w:val="00197602"/>
    <w:rsid w:val="00197A04"/>
    <w:rsid w:val="00197CD2"/>
    <w:rsid w:val="00197DBD"/>
    <w:rsid w:val="001A01A7"/>
    <w:rsid w:val="001A0314"/>
    <w:rsid w:val="001A038C"/>
    <w:rsid w:val="001A03DC"/>
    <w:rsid w:val="001A0412"/>
    <w:rsid w:val="001A0618"/>
    <w:rsid w:val="001A0D1B"/>
    <w:rsid w:val="001A0F14"/>
    <w:rsid w:val="001A1071"/>
    <w:rsid w:val="001A1168"/>
    <w:rsid w:val="001A1560"/>
    <w:rsid w:val="001A1964"/>
    <w:rsid w:val="001A1E26"/>
    <w:rsid w:val="001A217D"/>
    <w:rsid w:val="001A2723"/>
    <w:rsid w:val="001A274D"/>
    <w:rsid w:val="001A2AD8"/>
    <w:rsid w:val="001A2F0C"/>
    <w:rsid w:val="001A36D4"/>
    <w:rsid w:val="001A3D24"/>
    <w:rsid w:val="001A4076"/>
    <w:rsid w:val="001A418C"/>
    <w:rsid w:val="001A42DB"/>
    <w:rsid w:val="001A462B"/>
    <w:rsid w:val="001A468B"/>
    <w:rsid w:val="001A48BC"/>
    <w:rsid w:val="001A498E"/>
    <w:rsid w:val="001A5004"/>
    <w:rsid w:val="001A5020"/>
    <w:rsid w:val="001A54B3"/>
    <w:rsid w:val="001A59B9"/>
    <w:rsid w:val="001A5B7C"/>
    <w:rsid w:val="001A5DC4"/>
    <w:rsid w:val="001A5E11"/>
    <w:rsid w:val="001A61BB"/>
    <w:rsid w:val="001A6270"/>
    <w:rsid w:val="001A65F6"/>
    <w:rsid w:val="001A6603"/>
    <w:rsid w:val="001A66C0"/>
    <w:rsid w:val="001A709C"/>
    <w:rsid w:val="001A7112"/>
    <w:rsid w:val="001A73CA"/>
    <w:rsid w:val="001A74CC"/>
    <w:rsid w:val="001A766B"/>
    <w:rsid w:val="001A7678"/>
    <w:rsid w:val="001A7725"/>
    <w:rsid w:val="001A775B"/>
    <w:rsid w:val="001A7EF4"/>
    <w:rsid w:val="001B019A"/>
    <w:rsid w:val="001B0246"/>
    <w:rsid w:val="001B04B3"/>
    <w:rsid w:val="001B05D2"/>
    <w:rsid w:val="001B0749"/>
    <w:rsid w:val="001B0806"/>
    <w:rsid w:val="001B08DF"/>
    <w:rsid w:val="001B0FDC"/>
    <w:rsid w:val="001B11DC"/>
    <w:rsid w:val="001B1367"/>
    <w:rsid w:val="001B153D"/>
    <w:rsid w:val="001B153F"/>
    <w:rsid w:val="001B1846"/>
    <w:rsid w:val="001B19A5"/>
    <w:rsid w:val="001B1A75"/>
    <w:rsid w:val="001B1D45"/>
    <w:rsid w:val="001B1FC0"/>
    <w:rsid w:val="001B2248"/>
    <w:rsid w:val="001B252F"/>
    <w:rsid w:val="001B2607"/>
    <w:rsid w:val="001B2685"/>
    <w:rsid w:val="001B27D6"/>
    <w:rsid w:val="001B29A2"/>
    <w:rsid w:val="001B31F0"/>
    <w:rsid w:val="001B32F3"/>
    <w:rsid w:val="001B363C"/>
    <w:rsid w:val="001B36B6"/>
    <w:rsid w:val="001B373E"/>
    <w:rsid w:val="001B3B9A"/>
    <w:rsid w:val="001B3D20"/>
    <w:rsid w:val="001B3ED6"/>
    <w:rsid w:val="001B4794"/>
    <w:rsid w:val="001B4B36"/>
    <w:rsid w:val="001B4C75"/>
    <w:rsid w:val="001B4D8F"/>
    <w:rsid w:val="001B4E7D"/>
    <w:rsid w:val="001B52E4"/>
    <w:rsid w:val="001B59CF"/>
    <w:rsid w:val="001B5FA8"/>
    <w:rsid w:val="001B612E"/>
    <w:rsid w:val="001B6136"/>
    <w:rsid w:val="001B6228"/>
    <w:rsid w:val="001B6439"/>
    <w:rsid w:val="001B6607"/>
    <w:rsid w:val="001B6C3B"/>
    <w:rsid w:val="001B6CD6"/>
    <w:rsid w:val="001B768F"/>
    <w:rsid w:val="001B7E1F"/>
    <w:rsid w:val="001C02F5"/>
    <w:rsid w:val="001C040B"/>
    <w:rsid w:val="001C0521"/>
    <w:rsid w:val="001C0AE2"/>
    <w:rsid w:val="001C0AF0"/>
    <w:rsid w:val="001C0D6A"/>
    <w:rsid w:val="001C0D96"/>
    <w:rsid w:val="001C1015"/>
    <w:rsid w:val="001C1172"/>
    <w:rsid w:val="001C1231"/>
    <w:rsid w:val="001C154E"/>
    <w:rsid w:val="001C157B"/>
    <w:rsid w:val="001C181D"/>
    <w:rsid w:val="001C1974"/>
    <w:rsid w:val="001C1C86"/>
    <w:rsid w:val="001C1D0A"/>
    <w:rsid w:val="001C2004"/>
    <w:rsid w:val="001C22C9"/>
    <w:rsid w:val="001C2490"/>
    <w:rsid w:val="001C2778"/>
    <w:rsid w:val="001C28F7"/>
    <w:rsid w:val="001C2AED"/>
    <w:rsid w:val="001C2BEB"/>
    <w:rsid w:val="001C2E64"/>
    <w:rsid w:val="001C2FE6"/>
    <w:rsid w:val="001C311B"/>
    <w:rsid w:val="001C32D4"/>
    <w:rsid w:val="001C3756"/>
    <w:rsid w:val="001C39D6"/>
    <w:rsid w:val="001C3FD0"/>
    <w:rsid w:val="001C4138"/>
    <w:rsid w:val="001C426F"/>
    <w:rsid w:val="001C4619"/>
    <w:rsid w:val="001C4750"/>
    <w:rsid w:val="001C49A4"/>
    <w:rsid w:val="001C4B72"/>
    <w:rsid w:val="001C4D7F"/>
    <w:rsid w:val="001C4EC4"/>
    <w:rsid w:val="001C502A"/>
    <w:rsid w:val="001C51D1"/>
    <w:rsid w:val="001C54C5"/>
    <w:rsid w:val="001C5B2A"/>
    <w:rsid w:val="001C60CA"/>
    <w:rsid w:val="001C648C"/>
    <w:rsid w:val="001C67FA"/>
    <w:rsid w:val="001C6946"/>
    <w:rsid w:val="001C6DF4"/>
    <w:rsid w:val="001C6FDE"/>
    <w:rsid w:val="001C6FFD"/>
    <w:rsid w:val="001C71C3"/>
    <w:rsid w:val="001C71F0"/>
    <w:rsid w:val="001C75A4"/>
    <w:rsid w:val="001C7BE9"/>
    <w:rsid w:val="001D0084"/>
    <w:rsid w:val="001D0118"/>
    <w:rsid w:val="001D038A"/>
    <w:rsid w:val="001D03AE"/>
    <w:rsid w:val="001D03FA"/>
    <w:rsid w:val="001D0896"/>
    <w:rsid w:val="001D0980"/>
    <w:rsid w:val="001D0AAF"/>
    <w:rsid w:val="001D0FD8"/>
    <w:rsid w:val="001D119A"/>
    <w:rsid w:val="001D14E0"/>
    <w:rsid w:val="001D1581"/>
    <w:rsid w:val="001D15EB"/>
    <w:rsid w:val="001D16E7"/>
    <w:rsid w:val="001D177C"/>
    <w:rsid w:val="001D196C"/>
    <w:rsid w:val="001D1BFC"/>
    <w:rsid w:val="001D1DD4"/>
    <w:rsid w:val="001D1FF0"/>
    <w:rsid w:val="001D2940"/>
    <w:rsid w:val="001D2BA3"/>
    <w:rsid w:val="001D2D36"/>
    <w:rsid w:val="001D2EB7"/>
    <w:rsid w:val="001D2EEF"/>
    <w:rsid w:val="001D31FF"/>
    <w:rsid w:val="001D32D7"/>
    <w:rsid w:val="001D33EA"/>
    <w:rsid w:val="001D3413"/>
    <w:rsid w:val="001D34CE"/>
    <w:rsid w:val="001D34D5"/>
    <w:rsid w:val="001D35B1"/>
    <w:rsid w:val="001D3855"/>
    <w:rsid w:val="001D3C13"/>
    <w:rsid w:val="001D455E"/>
    <w:rsid w:val="001D5028"/>
    <w:rsid w:val="001D5597"/>
    <w:rsid w:val="001D59AC"/>
    <w:rsid w:val="001D59D1"/>
    <w:rsid w:val="001D5F79"/>
    <w:rsid w:val="001D5FF5"/>
    <w:rsid w:val="001D6142"/>
    <w:rsid w:val="001D6622"/>
    <w:rsid w:val="001D6C5A"/>
    <w:rsid w:val="001D6D4C"/>
    <w:rsid w:val="001D6F8D"/>
    <w:rsid w:val="001D71B9"/>
    <w:rsid w:val="001D727E"/>
    <w:rsid w:val="001D74BD"/>
    <w:rsid w:val="001D7753"/>
    <w:rsid w:val="001D7BAE"/>
    <w:rsid w:val="001D7BBE"/>
    <w:rsid w:val="001D7CA8"/>
    <w:rsid w:val="001E01A2"/>
    <w:rsid w:val="001E0357"/>
    <w:rsid w:val="001E0462"/>
    <w:rsid w:val="001E07CB"/>
    <w:rsid w:val="001E0A26"/>
    <w:rsid w:val="001E0F7D"/>
    <w:rsid w:val="001E11F4"/>
    <w:rsid w:val="001E12A3"/>
    <w:rsid w:val="001E165E"/>
    <w:rsid w:val="001E18CE"/>
    <w:rsid w:val="001E1AF0"/>
    <w:rsid w:val="001E1B0F"/>
    <w:rsid w:val="001E2126"/>
    <w:rsid w:val="001E21E2"/>
    <w:rsid w:val="001E23E4"/>
    <w:rsid w:val="001E24C1"/>
    <w:rsid w:val="001E2544"/>
    <w:rsid w:val="001E26ED"/>
    <w:rsid w:val="001E2A27"/>
    <w:rsid w:val="001E2F82"/>
    <w:rsid w:val="001E3453"/>
    <w:rsid w:val="001E3493"/>
    <w:rsid w:val="001E350F"/>
    <w:rsid w:val="001E3515"/>
    <w:rsid w:val="001E36A7"/>
    <w:rsid w:val="001E3DB0"/>
    <w:rsid w:val="001E407C"/>
    <w:rsid w:val="001E41D4"/>
    <w:rsid w:val="001E4739"/>
    <w:rsid w:val="001E47CF"/>
    <w:rsid w:val="001E48A0"/>
    <w:rsid w:val="001E4A1A"/>
    <w:rsid w:val="001E5575"/>
    <w:rsid w:val="001E58AE"/>
    <w:rsid w:val="001E5DAC"/>
    <w:rsid w:val="001E6D85"/>
    <w:rsid w:val="001E70AC"/>
    <w:rsid w:val="001E70FC"/>
    <w:rsid w:val="001E718F"/>
    <w:rsid w:val="001E7588"/>
    <w:rsid w:val="001E75F8"/>
    <w:rsid w:val="001E76AC"/>
    <w:rsid w:val="001E7777"/>
    <w:rsid w:val="001E7AE0"/>
    <w:rsid w:val="001E7C75"/>
    <w:rsid w:val="001E7E30"/>
    <w:rsid w:val="001E7E9D"/>
    <w:rsid w:val="001F05FC"/>
    <w:rsid w:val="001F0717"/>
    <w:rsid w:val="001F090B"/>
    <w:rsid w:val="001F0982"/>
    <w:rsid w:val="001F0AE2"/>
    <w:rsid w:val="001F0C16"/>
    <w:rsid w:val="001F0C43"/>
    <w:rsid w:val="001F0DC2"/>
    <w:rsid w:val="001F0DF4"/>
    <w:rsid w:val="001F1154"/>
    <w:rsid w:val="001F1251"/>
    <w:rsid w:val="001F1C18"/>
    <w:rsid w:val="001F20F9"/>
    <w:rsid w:val="001F2115"/>
    <w:rsid w:val="001F219C"/>
    <w:rsid w:val="001F24FC"/>
    <w:rsid w:val="001F3236"/>
    <w:rsid w:val="001F35B6"/>
    <w:rsid w:val="001F36CC"/>
    <w:rsid w:val="001F389A"/>
    <w:rsid w:val="001F38B3"/>
    <w:rsid w:val="001F43FE"/>
    <w:rsid w:val="001F47C5"/>
    <w:rsid w:val="001F4995"/>
    <w:rsid w:val="001F4A26"/>
    <w:rsid w:val="001F4A28"/>
    <w:rsid w:val="001F4A87"/>
    <w:rsid w:val="001F4C63"/>
    <w:rsid w:val="001F504B"/>
    <w:rsid w:val="001F509A"/>
    <w:rsid w:val="001F5930"/>
    <w:rsid w:val="001F5DED"/>
    <w:rsid w:val="001F64B8"/>
    <w:rsid w:val="001F6547"/>
    <w:rsid w:val="001F6845"/>
    <w:rsid w:val="001F684C"/>
    <w:rsid w:val="001F69E4"/>
    <w:rsid w:val="001F6A1D"/>
    <w:rsid w:val="001F6AB2"/>
    <w:rsid w:val="001F6BB8"/>
    <w:rsid w:val="001F6FFD"/>
    <w:rsid w:val="001F7740"/>
    <w:rsid w:val="001F7776"/>
    <w:rsid w:val="001F7925"/>
    <w:rsid w:val="001F7AC7"/>
    <w:rsid w:val="001F7B3E"/>
    <w:rsid w:val="001F7FA1"/>
    <w:rsid w:val="00200100"/>
    <w:rsid w:val="00200169"/>
    <w:rsid w:val="002002A5"/>
    <w:rsid w:val="002002C6"/>
    <w:rsid w:val="0020042D"/>
    <w:rsid w:val="0020048C"/>
    <w:rsid w:val="002006BB"/>
    <w:rsid w:val="002006C7"/>
    <w:rsid w:val="0020072A"/>
    <w:rsid w:val="002008B4"/>
    <w:rsid w:val="00200B36"/>
    <w:rsid w:val="00200F89"/>
    <w:rsid w:val="00200F8A"/>
    <w:rsid w:val="0020100D"/>
    <w:rsid w:val="0020118C"/>
    <w:rsid w:val="0020152B"/>
    <w:rsid w:val="002016A2"/>
    <w:rsid w:val="002017C7"/>
    <w:rsid w:val="0020187E"/>
    <w:rsid w:val="00201945"/>
    <w:rsid w:val="00201B6D"/>
    <w:rsid w:val="00202275"/>
    <w:rsid w:val="00202A33"/>
    <w:rsid w:val="00202BD8"/>
    <w:rsid w:val="00203196"/>
    <w:rsid w:val="00203238"/>
    <w:rsid w:val="0020329C"/>
    <w:rsid w:val="002032A7"/>
    <w:rsid w:val="0020337D"/>
    <w:rsid w:val="002033C3"/>
    <w:rsid w:val="002036C2"/>
    <w:rsid w:val="002038A4"/>
    <w:rsid w:val="002039CF"/>
    <w:rsid w:val="00203C9F"/>
    <w:rsid w:val="00203D0B"/>
    <w:rsid w:val="00203E0C"/>
    <w:rsid w:val="00204101"/>
    <w:rsid w:val="00204839"/>
    <w:rsid w:val="00204DF7"/>
    <w:rsid w:val="00205109"/>
    <w:rsid w:val="00205323"/>
    <w:rsid w:val="0020534B"/>
    <w:rsid w:val="00205554"/>
    <w:rsid w:val="0020581C"/>
    <w:rsid w:val="00205944"/>
    <w:rsid w:val="00205A3F"/>
    <w:rsid w:val="00205AE7"/>
    <w:rsid w:val="00205B9D"/>
    <w:rsid w:val="00205FB3"/>
    <w:rsid w:val="00206330"/>
    <w:rsid w:val="00206367"/>
    <w:rsid w:val="00206843"/>
    <w:rsid w:val="002068B0"/>
    <w:rsid w:val="00206A2F"/>
    <w:rsid w:val="00206AB9"/>
    <w:rsid w:val="00206C71"/>
    <w:rsid w:val="00206CE6"/>
    <w:rsid w:val="0020717B"/>
    <w:rsid w:val="0020765F"/>
    <w:rsid w:val="00207756"/>
    <w:rsid w:val="002077A3"/>
    <w:rsid w:val="002101E8"/>
    <w:rsid w:val="0021022C"/>
    <w:rsid w:val="00210267"/>
    <w:rsid w:val="002102AE"/>
    <w:rsid w:val="002105D6"/>
    <w:rsid w:val="0021083A"/>
    <w:rsid w:val="00210C0B"/>
    <w:rsid w:val="00210D40"/>
    <w:rsid w:val="00211235"/>
    <w:rsid w:val="0021128B"/>
    <w:rsid w:val="0021137C"/>
    <w:rsid w:val="002113E4"/>
    <w:rsid w:val="00211E79"/>
    <w:rsid w:val="002123B9"/>
    <w:rsid w:val="002123FF"/>
    <w:rsid w:val="0021249F"/>
    <w:rsid w:val="00212744"/>
    <w:rsid w:val="00212828"/>
    <w:rsid w:val="00212BDB"/>
    <w:rsid w:val="00212DC0"/>
    <w:rsid w:val="00212DD2"/>
    <w:rsid w:val="00212E06"/>
    <w:rsid w:val="00212F4D"/>
    <w:rsid w:val="00213399"/>
    <w:rsid w:val="00213BFE"/>
    <w:rsid w:val="002140E2"/>
    <w:rsid w:val="00214332"/>
    <w:rsid w:val="0021434D"/>
    <w:rsid w:val="00214491"/>
    <w:rsid w:val="00214713"/>
    <w:rsid w:val="002150E7"/>
    <w:rsid w:val="00215177"/>
    <w:rsid w:val="002151CD"/>
    <w:rsid w:val="00215373"/>
    <w:rsid w:val="00215470"/>
    <w:rsid w:val="002159E1"/>
    <w:rsid w:val="00215A44"/>
    <w:rsid w:val="00215B86"/>
    <w:rsid w:val="002161A8"/>
    <w:rsid w:val="002161EA"/>
    <w:rsid w:val="002165D4"/>
    <w:rsid w:val="002167CF"/>
    <w:rsid w:val="00216854"/>
    <w:rsid w:val="0021693D"/>
    <w:rsid w:val="00216BD8"/>
    <w:rsid w:val="00216CAC"/>
    <w:rsid w:val="00217151"/>
    <w:rsid w:val="0021717B"/>
    <w:rsid w:val="0021718F"/>
    <w:rsid w:val="0021725F"/>
    <w:rsid w:val="00217962"/>
    <w:rsid w:val="00217B18"/>
    <w:rsid w:val="00217CA8"/>
    <w:rsid w:val="00217DE8"/>
    <w:rsid w:val="00217E69"/>
    <w:rsid w:val="00217F31"/>
    <w:rsid w:val="00220036"/>
    <w:rsid w:val="00220523"/>
    <w:rsid w:val="002206C2"/>
    <w:rsid w:val="002209C5"/>
    <w:rsid w:val="0022117F"/>
    <w:rsid w:val="002211BC"/>
    <w:rsid w:val="002212CF"/>
    <w:rsid w:val="00221449"/>
    <w:rsid w:val="00222014"/>
    <w:rsid w:val="00222609"/>
    <w:rsid w:val="0022262E"/>
    <w:rsid w:val="0022269E"/>
    <w:rsid w:val="002228DD"/>
    <w:rsid w:val="002229D2"/>
    <w:rsid w:val="00222BA1"/>
    <w:rsid w:val="00222BF3"/>
    <w:rsid w:val="00222DA4"/>
    <w:rsid w:val="002234CE"/>
    <w:rsid w:val="002238C5"/>
    <w:rsid w:val="0022397E"/>
    <w:rsid w:val="002239A4"/>
    <w:rsid w:val="002239F2"/>
    <w:rsid w:val="002239FC"/>
    <w:rsid w:val="00223AB9"/>
    <w:rsid w:val="0022436A"/>
    <w:rsid w:val="00224A90"/>
    <w:rsid w:val="00224AD9"/>
    <w:rsid w:val="00224C9F"/>
    <w:rsid w:val="002250FD"/>
    <w:rsid w:val="0022538A"/>
    <w:rsid w:val="00225B65"/>
    <w:rsid w:val="00225C03"/>
    <w:rsid w:val="00225C9C"/>
    <w:rsid w:val="00225F12"/>
    <w:rsid w:val="00225F4F"/>
    <w:rsid w:val="00225FC1"/>
    <w:rsid w:val="00226118"/>
    <w:rsid w:val="002263DD"/>
    <w:rsid w:val="00226479"/>
    <w:rsid w:val="00226677"/>
    <w:rsid w:val="00226A61"/>
    <w:rsid w:val="00226B11"/>
    <w:rsid w:val="0022710F"/>
    <w:rsid w:val="00227214"/>
    <w:rsid w:val="002274BC"/>
    <w:rsid w:val="002274C7"/>
    <w:rsid w:val="00227762"/>
    <w:rsid w:val="0022792E"/>
    <w:rsid w:val="00227AE9"/>
    <w:rsid w:val="00227B2E"/>
    <w:rsid w:val="00227C05"/>
    <w:rsid w:val="00227D0F"/>
    <w:rsid w:val="00227F3A"/>
    <w:rsid w:val="00227FA0"/>
    <w:rsid w:val="002301AA"/>
    <w:rsid w:val="00230812"/>
    <w:rsid w:val="0023096D"/>
    <w:rsid w:val="00230CFD"/>
    <w:rsid w:val="002311CA"/>
    <w:rsid w:val="002313F8"/>
    <w:rsid w:val="00231AD3"/>
    <w:rsid w:val="00231C72"/>
    <w:rsid w:val="00232014"/>
    <w:rsid w:val="0023247D"/>
    <w:rsid w:val="00232972"/>
    <w:rsid w:val="002329C0"/>
    <w:rsid w:val="00232CB6"/>
    <w:rsid w:val="00232E1D"/>
    <w:rsid w:val="00232FAF"/>
    <w:rsid w:val="002334BB"/>
    <w:rsid w:val="00233786"/>
    <w:rsid w:val="00233C5B"/>
    <w:rsid w:val="00233EF5"/>
    <w:rsid w:val="00234300"/>
    <w:rsid w:val="00234571"/>
    <w:rsid w:val="002345CF"/>
    <w:rsid w:val="0023485C"/>
    <w:rsid w:val="00234BD8"/>
    <w:rsid w:val="0023533D"/>
    <w:rsid w:val="00235598"/>
    <w:rsid w:val="002356F0"/>
    <w:rsid w:val="0023575F"/>
    <w:rsid w:val="00235837"/>
    <w:rsid w:val="00235E58"/>
    <w:rsid w:val="00235EC4"/>
    <w:rsid w:val="00236551"/>
    <w:rsid w:val="0023661B"/>
    <w:rsid w:val="00236818"/>
    <w:rsid w:val="00236D95"/>
    <w:rsid w:val="0023708F"/>
    <w:rsid w:val="00237BC3"/>
    <w:rsid w:val="00237C1D"/>
    <w:rsid w:val="00237D5C"/>
    <w:rsid w:val="002403DD"/>
    <w:rsid w:val="00240519"/>
    <w:rsid w:val="00240691"/>
    <w:rsid w:val="00240A06"/>
    <w:rsid w:val="00240B97"/>
    <w:rsid w:val="00240BB8"/>
    <w:rsid w:val="002410FA"/>
    <w:rsid w:val="002413D5"/>
    <w:rsid w:val="00241737"/>
    <w:rsid w:val="00241BC6"/>
    <w:rsid w:val="00241CDA"/>
    <w:rsid w:val="002425A3"/>
    <w:rsid w:val="00242650"/>
    <w:rsid w:val="00242A05"/>
    <w:rsid w:val="00242A82"/>
    <w:rsid w:val="00242ECA"/>
    <w:rsid w:val="00243537"/>
    <w:rsid w:val="002435A5"/>
    <w:rsid w:val="0024362C"/>
    <w:rsid w:val="002439CC"/>
    <w:rsid w:val="00243ED1"/>
    <w:rsid w:val="002442DA"/>
    <w:rsid w:val="0024471B"/>
    <w:rsid w:val="002448C5"/>
    <w:rsid w:val="00244B55"/>
    <w:rsid w:val="00244BD1"/>
    <w:rsid w:val="00244EFE"/>
    <w:rsid w:val="002454C4"/>
    <w:rsid w:val="00245BCE"/>
    <w:rsid w:val="00245FB8"/>
    <w:rsid w:val="00246803"/>
    <w:rsid w:val="0024689D"/>
    <w:rsid w:val="0024697A"/>
    <w:rsid w:val="002469D7"/>
    <w:rsid w:val="00246C28"/>
    <w:rsid w:val="0024740E"/>
    <w:rsid w:val="00247656"/>
    <w:rsid w:val="002477DE"/>
    <w:rsid w:val="00247887"/>
    <w:rsid w:val="00247933"/>
    <w:rsid w:val="00247B63"/>
    <w:rsid w:val="00247BF9"/>
    <w:rsid w:val="00247CE5"/>
    <w:rsid w:val="00247D1C"/>
    <w:rsid w:val="00247F38"/>
    <w:rsid w:val="0025014F"/>
    <w:rsid w:val="00250335"/>
    <w:rsid w:val="002505A2"/>
    <w:rsid w:val="0025064E"/>
    <w:rsid w:val="002511DB"/>
    <w:rsid w:val="0025122A"/>
    <w:rsid w:val="002512A7"/>
    <w:rsid w:val="002512D4"/>
    <w:rsid w:val="00251302"/>
    <w:rsid w:val="002513AC"/>
    <w:rsid w:val="00251649"/>
    <w:rsid w:val="002519A6"/>
    <w:rsid w:val="00251E36"/>
    <w:rsid w:val="00251E92"/>
    <w:rsid w:val="0025236C"/>
    <w:rsid w:val="00252690"/>
    <w:rsid w:val="00253029"/>
    <w:rsid w:val="002530C2"/>
    <w:rsid w:val="00253290"/>
    <w:rsid w:val="00253371"/>
    <w:rsid w:val="00253492"/>
    <w:rsid w:val="00253709"/>
    <w:rsid w:val="002539CC"/>
    <w:rsid w:val="00253B17"/>
    <w:rsid w:val="00253DE8"/>
    <w:rsid w:val="00253EC2"/>
    <w:rsid w:val="0025450D"/>
    <w:rsid w:val="00254790"/>
    <w:rsid w:val="00254914"/>
    <w:rsid w:val="00254BA0"/>
    <w:rsid w:val="00254BFC"/>
    <w:rsid w:val="00254CB7"/>
    <w:rsid w:val="0025534E"/>
    <w:rsid w:val="00255530"/>
    <w:rsid w:val="00255A2E"/>
    <w:rsid w:val="00255E97"/>
    <w:rsid w:val="00256033"/>
    <w:rsid w:val="002560A0"/>
    <w:rsid w:val="002562CC"/>
    <w:rsid w:val="00256A99"/>
    <w:rsid w:val="00256C3C"/>
    <w:rsid w:val="00256CF2"/>
    <w:rsid w:val="00256D7D"/>
    <w:rsid w:val="00256E4E"/>
    <w:rsid w:val="0025716F"/>
    <w:rsid w:val="002571F1"/>
    <w:rsid w:val="00257285"/>
    <w:rsid w:val="002572CA"/>
    <w:rsid w:val="00257788"/>
    <w:rsid w:val="002579CD"/>
    <w:rsid w:val="00257EDB"/>
    <w:rsid w:val="00257F6D"/>
    <w:rsid w:val="002602B7"/>
    <w:rsid w:val="002603D7"/>
    <w:rsid w:val="00260C7F"/>
    <w:rsid w:val="00260DD1"/>
    <w:rsid w:val="00260EFB"/>
    <w:rsid w:val="00261612"/>
    <w:rsid w:val="0026173F"/>
    <w:rsid w:val="00261759"/>
    <w:rsid w:val="0026188D"/>
    <w:rsid w:val="002625C2"/>
    <w:rsid w:val="00262A2C"/>
    <w:rsid w:val="00262D25"/>
    <w:rsid w:val="00262F62"/>
    <w:rsid w:val="00263431"/>
    <w:rsid w:val="00263EEE"/>
    <w:rsid w:val="00264470"/>
    <w:rsid w:val="00264795"/>
    <w:rsid w:val="00264D04"/>
    <w:rsid w:val="00264E18"/>
    <w:rsid w:val="00264EFF"/>
    <w:rsid w:val="00265014"/>
    <w:rsid w:val="002654B2"/>
    <w:rsid w:val="00265602"/>
    <w:rsid w:val="002656C5"/>
    <w:rsid w:val="00265719"/>
    <w:rsid w:val="0026574B"/>
    <w:rsid w:val="00265AB1"/>
    <w:rsid w:val="00265B40"/>
    <w:rsid w:val="00265DF9"/>
    <w:rsid w:val="00265E64"/>
    <w:rsid w:val="00265EDC"/>
    <w:rsid w:val="00265FE8"/>
    <w:rsid w:val="002661EA"/>
    <w:rsid w:val="00266263"/>
    <w:rsid w:val="00266379"/>
    <w:rsid w:val="002664F4"/>
    <w:rsid w:val="002666A6"/>
    <w:rsid w:val="002668BA"/>
    <w:rsid w:val="00266CC1"/>
    <w:rsid w:val="00266E1A"/>
    <w:rsid w:val="00267366"/>
    <w:rsid w:val="00267671"/>
    <w:rsid w:val="002678DB"/>
    <w:rsid w:val="00267B77"/>
    <w:rsid w:val="00267CEC"/>
    <w:rsid w:val="00267DBB"/>
    <w:rsid w:val="00267F9A"/>
    <w:rsid w:val="0027015E"/>
    <w:rsid w:val="00270779"/>
    <w:rsid w:val="00270D8E"/>
    <w:rsid w:val="00270DBE"/>
    <w:rsid w:val="00271374"/>
    <w:rsid w:val="0027158E"/>
    <w:rsid w:val="002715BA"/>
    <w:rsid w:val="002719AB"/>
    <w:rsid w:val="00271DF9"/>
    <w:rsid w:val="00272812"/>
    <w:rsid w:val="00272972"/>
    <w:rsid w:val="002731DD"/>
    <w:rsid w:val="0027330D"/>
    <w:rsid w:val="002737B0"/>
    <w:rsid w:val="00273B34"/>
    <w:rsid w:val="00273E76"/>
    <w:rsid w:val="00273F26"/>
    <w:rsid w:val="00273F3C"/>
    <w:rsid w:val="00274001"/>
    <w:rsid w:val="002746F6"/>
    <w:rsid w:val="0027473D"/>
    <w:rsid w:val="00274D41"/>
    <w:rsid w:val="00275086"/>
    <w:rsid w:val="00275118"/>
    <w:rsid w:val="0027575B"/>
    <w:rsid w:val="002757DB"/>
    <w:rsid w:val="002759C7"/>
    <w:rsid w:val="00275CB8"/>
    <w:rsid w:val="00275CDE"/>
    <w:rsid w:val="00275E58"/>
    <w:rsid w:val="00275E6E"/>
    <w:rsid w:val="00275EB0"/>
    <w:rsid w:val="00275F3B"/>
    <w:rsid w:val="00276016"/>
    <w:rsid w:val="002762C7"/>
    <w:rsid w:val="002762C8"/>
    <w:rsid w:val="0027648E"/>
    <w:rsid w:val="002764DD"/>
    <w:rsid w:val="002767A0"/>
    <w:rsid w:val="00276B73"/>
    <w:rsid w:val="00276C35"/>
    <w:rsid w:val="00276CEB"/>
    <w:rsid w:val="00276DE6"/>
    <w:rsid w:val="002772DD"/>
    <w:rsid w:val="00277399"/>
    <w:rsid w:val="002774B4"/>
    <w:rsid w:val="00277790"/>
    <w:rsid w:val="002800E7"/>
    <w:rsid w:val="0028024A"/>
    <w:rsid w:val="0028063F"/>
    <w:rsid w:val="00280B30"/>
    <w:rsid w:val="00280CB5"/>
    <w:rsid w:val="002812CA"/>
    <w:rsid w:val="0028162F"/>
    <w:rsid w:val="00281EDE"/>
    <w:rsid w:val="00282261"/>
    <w:rsid w:val="00282559"/>
    <w:rsid w:val="00282595"/>
    <w:rsid w:val="002825F5"/>
    <w:rsid w:val="00282714"/>
    <w:rsid w:val="00282E2C"/>
    <w:rsid w:val="00283162"/>
    <w:rsid w:val="00283640"/>
    <w:rsid w:val="00283B27"/>
    <w:rsid w:val="00284189"/>
    <w:rsid w:val="002841EF"/>
    <w:rsid w:val="00284BFE"/>
    <w:rsid w:val="00284D05"/>
    <w:rsid w:val="00284F1C"/>
    <w:rsid w:val="00284F6B"/>
    <w:rsid w:val="00285379"/>
    <w:rsid w:val="00285547"/>
    <w:rsid w:val="0028592C"/>
    <w:rsid w:val="00285E37"/>
    <w:rsid w:val="00285E4F"/>
    <w:rsid w:val="00285EFC"/>
    <w:rsid w:val="00286030"/>
    <w:rsid w:val="00286433"/>
    <w:rsid w:val="002867A6"/>
    <w:rsid w:val="00286828"/>
    <w:rsid w:val="00286C66"/>
    <w:rsid w:val="00287017"/>
    <w:rsid w:val="002872F9"/>
    <w:rsid w:val="002874A0"/>
    <w:rsid w:val="002874A8"/>
    <w:rsid w:val="00287647"/>
    <w:rsid w:val="002877D2"/>
    <w:rsid w:val="0028782F"/>
    <w:rsid w:val="00287D5D"/>
    <w:rsid w:val="00290085"/>
    <w:rsid w:val="00290200"/>
    <w:rsid w:val="002904B9"/>
    <w:rsid w:val="00290977"/>
    <w:rsid w:val="00290D67"/>
    <w:rsid w:val="00290EB4"/>
    <w:rsid w:val="00291093"/>
    <w:rsid w:val="0029129F"/>
    <w:rsid w:val="002915DD"/>
    <w:rsid w:val="002916F1"/>
    <w:rsid w:val="002916F2"/>
    <w:rsid w:val="002918F1"/>
    <w:rsid w:val="00291CCC"/>
    <w:rsid w:val="00292642"/>
    <w:rsid w:val="00292B23"/>
    <w:rsid w:val="00292C9C"/>
    <w:rsid w:val="00292CC2"/>
    <w:rsid w:val="00292D13"/>
    <w:rsid w:val="00292D87"/>
    <w:rsid w:val="00292EC8"/>
    <w:rsid w:val="0029309A"/>
    <w:rsid w:val="00293436"/>
    <w:rsid w:val="00293EBA"/>
    <w:rsid w:val="00294100"/>
    <w:rsid w:val="002942D2"/>
    <w:rsid w:val="002942DE"/>
    <w:rsid w:val="002943ED"/>
    <w:rsid w:val="00294783"/>
    <w:rsid w:val="002954A9"/>
    <w:rsid w:val="002959F1"/>
    <w:rsid w:val="00295A1C"/>
    <w:rsid w:val="00295AB9"/>
    <w:rsid w:val="00295DB2"/>
    <w:rsid w:val="00295F9D"/>
    <w:rsid w:val="00296046"/>
    <w:rsid w:val="00296087"/>
    <w:rsid w:val="002962AC"/>
    <w:rsid w:val="0029644F"/>
    <w:rsid w:val="002967DE"/>
    <w:rsid w:val="00297037"/>
    <w:rsid w:val="00297182"/>
    <w:rsid w:val="00297186"/>
    <w:rsid w:val="00297637"/>
    <w:rsid w:val="002978EE"/>
    <w:rsid w:val="00297A2B"/>
    <w:rsid w:val="00297B58"/>
    <w:rsid w:val="002A01F5"/>
    <w:rsid w:val="002A0794"/>
    <w:rsid w:val="002A09A1"/>
    <w:rsid w:val="002A0AEE"/>
    <w:rsid w:val="002A0C50"/>
    <w:rsid w:val="002A0FAE"/>
    <w:rsid w:val="002A16CF"/>
    <w:rsid w:val="002A17D9"/>
    <w:rsid w:val="002A1B22"/>
    <w:rsid w:val="002A1BC8"/>
    <w:rsid w:val="002A1C66"/>
    <w:rsid w:val="002A2420"/>
    <w:rsid w:val="002A2902"/>
    <w:rsid w:val="002A2B83"/>
    <w:rsid w:val="002A2DDF"/>
    <w:rsid w:val="002A2E81"/>
    <w:rsid w:val="002A3955"/>
    <w:rsid w:val="002A3AF5"/>
    <w:rsid w:val="002A3B85"/>
    <w:rsid w:val="002A3BCF"/>
    <w:rsid w:val="002A43A8"/>
    <w:rsid w:val="002A49AA"/>
    <w:rsid w:val="002A4A87"/>
    <w:rsid w:val="002A52C8"/>
    <w:rsid w:val="002A5456"/>
    <w:rsid w:val="002A56EA"/>
    <w:rsid w:val="002A5A25"/>
    <w:rsid w:val="002A5BA9"/>
    <w:rsid w:val="002A5E01"/>
    <w:rsid w:val="002A5F07"/>
    <w:rsid w:val="002A626A"/>
    <w:rsid w:val="002A642F"/>
    <w:rsid w:val="002A6506"/>
    <w:rsid w:val="002A65C5"/>
    <w:rsid w:val="002A6961"/>
    <w:rsid w:val="002A6A78"/>
    <w:rsid w:val="002A6BAA"/>
    <w:rsid w:val="002A6CA9"/>
    <w:rsid w:val="002A6CB9"/>
    <w:rsid w:val="002A718A"/>
    <w:rsid w:val="002A7213"/>
    <w:rsid w:val="002A7546"/>
    <w:rsid w:val="002A778E"/>
    <w:rsid w:val="002A7D19"/>
    <w:rsid w:val="002A7E01"/>
    <w:rsid w:val="002B00E0"/>
    <w:rsid w:val="002B017D"/>
    <w:rsid w:val="002B01AB"/>
    <w:rsid w:val="002B0487"/>
    <w:rsid w:val="002B0893"/>
    <w:rsid w:val="002B0943"/>
    <w:rsid w:val="002B0AA2"/>
    <w:rsid w:val="002B0EB7"/>
    <w:rsid w:val="002B1120"/>
    <w:rsid w:val="002B11BE"/>
    <w:rsid w:val="002B129F"/>
    <w:rsid w:val="002B1464"/>
    <w:rsid w:val="002B18B4"/>
    <w:rsid w:val="002B1AE0"/>
    <w:rsid w:val="002B1B8D"/>
    <w:rsid w:val="002B1C3A"/>
    <w:rsid w:val="002B21E4"/>
    <w:rsid w:val="002B23B1"/>
    <w:rsid w:val="002B2572"/>
    <w:rsid w:val="002B270D"/>
    <w:rsid w:val="002B2B85"/>
    <w:rsid w:val="002B2C0E"/>
    <w:rsid w:val="002B2E1A"/>
    <w:rsid w:val="002B2F5F"/>
    <w:rsid w:val="002B3149"/>
    <w:rsid w:val="002B35EB"/>
    <w:rsid w:val="002B3A5E"/>
    <w:rsid w:val="002B40B0"/>
    <w:rsid w:val="002B43D5"/>
    <w:rsid w:val="002B44D0"/>
    <w:rsid w:val="002B49DE"/>
    <w:rsid w:val="002B4B68"/>
    <w:rsid w:val="002B4BA5"/>
    <w:rsid w:val="002B4EB6"/>
    <w:rsid w:val="002B4FC7"/>
    <w:rsid w:val="002B5272"/>
    <w:rsid w:val="002B5278"/>
    <w:rsid w:val="002B5541"/>
    <w:rsid w:val="002B560D"/>
    <w:rsid w:val="002B5665"/>
    <w:rsid w:val="002B5958"/>
    <w:rsid w:val="002B61C8"/>
    <w:rsid w:val="002B67FD"/>
    <w:rsid w:val="002B691E"/>
    <w:rsid w:val="002B6C00"/>
    <w:rsid w:val="002B6D0C"/>
    <w:rsid w:val="002B739F"/>
    <w:rsid w:val="002B73CD"/>
    <w:rsid w:val="002B74C0"/>
    <w:rsid w:val="002B7519"/>
    <w:rsid w:val="002B759B"/>
    <w:rsid w:val="002B784B"/>
    <w:rsid w:val="002C04D4"/>
    <w:rsid w:val="002C0566"/>
    <w:rsid w:val="002C056F"/>
    <w:rsid w:val="002C0D4B"/>
    <w:rsid w:val="002C194C"/>
    <w:rsid w:val="002C220B"/>
    <w:rsid w:val="002C278A"/>
    <w:rsid w:val="002C3112"/>
    <w:rsid w:val="002C32C0"/>
    <w:rsid w:val="002C32D1"/>
    <w:rsid w:val="002C32D6"/>
    <w:rsid w:val="002C3437"/>
    <w:rsid w:val="002C3513"/>
    <w:rsid w:val="002C38C6"/>
    <w:rsid w:val="002C3CAF"/>
    <w:rsid w:val="002C3FA6"/>
    <w:rsid w:val="002C4123"/>
    <w:rsid w:val="002C43E3"/>
    <w:rsid w:val="002C446A"/>
    <w:rsid w:val="002C480C"/>
    <w:rsid w:val="002C4B39"/>
    <w:rsid w:val="002C5AB9"/>
    <w:rsid w:val="002C5ED2"/>
    <w:rsid w:val="002C5F11"/>
    <w:rsid w:val="002C5F7D"/>
    <w:rsid w:val="002C6041"/>
    <w:rsid w:val="002C60D3"/>
    <w:rsid w:val="002C676F"/>
    <w:rsid w:val="002C6C92"/>
    <w:rsid w:val="002C6CC1"/>
    <w:rsid w:val="002C6F6C"/>
    <w:rsid w:val="002C763A"/>
    <w:rsid w:val="002C76CE"/>
    <w:rsid w:val="002C7771"/>
    <w:rsid w:val="002C7878"/>
    <w:rsid w:val="002C790B"/>
    <w:rsid w:val="002C7A5A"/>
    <w:rsid w:val="002C7E17"/>
    <w:rsid w:val="002D00C3"/>
    <w:rsid w:val="002D0109"/>
    <w:rsid w:val="002D029A"/>
    <w:rsid w:val="002D02DF"/>
    <w:rsid w:val="002D0316"/>
    <w:rsid w:val="002D0377"/>
    <w:rsid w:val="002D0875"/>
    <w:rsid w:val="002D0A35"/>
    <w:rsid w:val="002D0B00"/>
    <w:rsid w:val="002D0CBD"/>
    <w:rsid w:val="002D11BB"/>
    <w:rsid w:val="002D1551"/>
    <w:rsid w:val="002D1ADC"/>
    <w:rsid w:val="002D1B07"/>
    <w:rsid w:val="002D1B7A"/>
    <w:rsid w:val="002D2935"/>
    <w:rsid w:val="002D2C19"/>
    <w:rsid w:val="002D2D6F"/>
    <w:rsid w:val="002D2E68"/>
    <w:rsid w:val="002D367E"/>
    <w:rsid w:val="002D3781"/>
    <w:rsid w:val="002D3E9F"/>
    <w:rsid w:val="002D3FC9"/>
    <w:rsid w:val="002D4108"/>
    <w:rsid w:val="002D4168"/>
    <w:rsid w:val="002D4EF9"/>
    <w:rsid w:val="002D516C"/>
    <w:rsid w:val="002D54E3"/>
    <w:rsid w:val="002D54EC"/>
    <w:rsid w:val="002D5535"/>
    <w:rsid w:val="002D5900"/>
    <w:rsid w:val="002D5AE0"/>
    <w:rsid w:val="002D5BA6"/>
    <w:rsid w:val="002D5C09"/>
    <w:rsid w:val="002D6AA6"/>
    <w:rsid w:val="002D6BF6"/>
    <w:rsid w:val="002D6E72"/>
    <w:rsid w:val="002D7C5A"/>
    <w:rsid w:val="002D7F8C"/>
    <w:rsid w:val="002E008A"/>
    <w:rsid w:val="002E12AA"/>
    <w:rsid w:val="002E12AC"/>
    <w:rsid w:val="002E164D"/>
    <w:rsid w:val="002E1893"/>
    <w:rsid w:val="002E1A99"/>
    <w:rsid w:val="002E1AC7"/>
    <w:rsid w:val="002E2219"/>
    <w:rsid w:val="002E2411"/>
    <w:rsid w:val="002E247C"/>
    <w:rsid w:val="002E2611"/>
    <w:rsid w:val="002E2902"/>
    <w:rsid w:val="002E293C"/>
    <w:rsid w:val="002E2E55"/>
    <w:rsid w:val="002E33D4"/>
    <w:rsid w:val="002E3942"/>
    <w:rsid w:val="002E39AD"/>
    <w:rsid w:val="002E3AB2"/>
    <w:rsid w:val="002E3C00"/>
    <w:rsid w:val="002E3C3A"/>
    <w:rsid w:val="002E3E0B"/>
    <w:rsid w:val="002E3ECC"/>
    <w:rsid w:val="002E418C"/>
    <w:rsid w:val="002E41CB"/>
    <w:rsid w:val="002E4988"/>
    <w:rsid w:val="002E4A16"/>
    <w:rsid w:val="002E4ADD"/>
    <w:rsid w:val="002E4C65"/>
    <w:rsid w:val="002E4FAE"/>
    <w:rsid w:val="002E519E"/>
    <w:rsid w:val="002E519F"/>
    <w:rsid w:val="002E52D4"/>
    <w:rsid w:val="002E577B"/>
    <w:rsid w:val="002E57E6"/>
    <w:rsid w:val="002E5E2B"/>
    <w:rsid w:val="002E6016"/>
    <w:rsid w:val="002E63F9"/>
    <w:rsid w:val="002E66E8"/>
    <w:rsid w:val="002E6A0F"/>
    <w:rsid w:val="002E6E2C"/>
    <w:rsid w:val="002E7232"/>
    <w:rsid w:val="002E74E6"/>
    <w:rsid w:val="002E7A57"/>
    <w:rsid w:val="002E7B2E"/>
    <w:rsid w:val="002E7B40"/>
    <w:rsid w:val="002E7B41"/>
    <w:rsid w:val="002E7DD9"/>
    <w:rsid w:val="002F015D"/>
    <w:rsid w:val="002F0409"/>
    <w:rsid w:val="002F0658"/>
    <w:rsid w:val="002F07FC"/>
    <w:rsid w:val="002F0C01"/>
    <w:rsid w:val="002F0C42"/>
    <w:rsid w:val="002F1065"/>
    <w:rsid w:val="002F1AD1"/>
    <w:rsid w:val="002F1DB1"/>
    <w:rsid w:val="002F20CB"/>
    <w:rsid w:val="002F226A"/>
    <w:rsid w:val="002F2606"/>
    <w:rsid w:val="002F2936"/>
    <w:rsid w:val="002F2BE9"/>
    <w:rsid w:val="002F2C09"/>
    <w:rsid w:val="002F2C31"/>
    <w:rsid w:val="002F2CDB"/>
    <w:rsid w:val="002F2CEC"/>
    <w:rsid w:val="002F3372"/>
    <w:rsid w:val="002F3726"/>
    <w:rsid w:val="002F37D8"/>
    <w:rsid w:val="002F3A1D"/>
    <w:rsid w:val="002F3C78"/>
    <w:rsid w:val="002F3F02"/>
    <w:rsid w:val="002F41AA"/>
    <w:rsid w:val="002F466F"/>
    <w:rsid w:val="002F4945"/>
    <w:rsid w:val="002F4AA9"/>
    <w:rsid w:val="002F4CDA"/>
    <w:rsid w:val="002F53FD"/>
    <w:rsid w:val="002F5579"/>
    <w:rsid w:val="002F5593"/>
    <w:rsid w:val="002F586A"/>
    <w:rsid w:val="002F5A72"/>
    <w:rsid w:val="002F5BFD"/>
    <w:rsid w:val="002F623E"/>
    <w:rsid w:val="002F627B"/>
    <w:rsid w:val="002F63C7"/>
    <w:rsid w:val="002F6A3C"/>
    <w:rsid w:val="002F705B"/>
    <w:rsid w:val="002F72C5"/>
    <w:rsid w:val="002F7432"/>
    <w:rsid w:val="002F7A96"/>
    <w:rsid w:val="002F7BA4"/>
    <w:rsid w:val="002F7D20"/>
    <w:rsid w:val="002F7D9A"/>
    <w:rsid w:val="002F7E17"/>
    <w:rsid w:val="00300190"/>
    <w:rsid w:val="00300274"/>
    <w:rsid w:val="0030074E"/>
    <w:rsid w:val="0030078F"/>
    <w:rsid w:val="003007C3"/>
    <w:rsid w:val="00300888"/>
    <w:rsid w:val="003009B1"/>
    <w:rsid w:val="00300A53"/>
    <w:rsid w:val="003010D3"/>
    <w:rsid w:val="003016DE"/>
    <w:rsid w:val="003018C9"/>
    <w:rsid w:val="00301F69"/>
    <w:rsid w:val="003023F3"/>
    <w:rsid w:val="003025FB"/>
    <w:rsid w:val="0030267E"/>
    <w:rsid w:val="003026AE"/>
    <w:rsid w:val="00302845"/>
    <w:rsid w:val="003029EC"/>
    <w:rsid w:val="00302A3E"/>
    <w:rsid w:val="00302AFF"/>
    <w:rsid w:val="00302E33"/>
    <w:rsid w:val="0030317B"/>
    <w:rsid w:val="00303468"/>
    <w:rsid w:val="00303A1C"/>
    <w:rsid w:val="00303B4D"/>
    <w:rsid w:val="003040B6"/>
    <w:rsid w:val="0030463E"/>
    <w:rsid w:val="00304BE8"/>
    <w:rsid w:val="00304F84"/>
    <w:rsid w:val="0030501E"/>
    <w:rsid w:val="00305119"/>
    <w:rsid w:val="003052B1"/>
    <w:rsid w:val="0030535F"/>
    <w:rsid w:val="003056C9"/>
    <w:rsid w:val="00305916"/>
    <w:rsid w:val="00305AE0"/>
    <w:rsid w:val="00305B3F"/>
    <w:rsid w:val="00305B6B"/>
    <w:rsid w:val="00305BBF"/>
    <w:rsid w:val="00305C77"/>
    <w:rsid w:val="00305E1D"/>
    <w:rsid w:val="00305F3A"/>
    <w:rsid w:val="00305F5D"/>
    <w:rsid w:val="003061E7"/>
    <w:rsid w:val="003064B7"/>
    <w:rsid w:val="00306762"/>
    <w:rsid w:val="00306827"/>
    <w:rsid w:val="00306A37"/>
    <w:rsid w:val="00306A4E"/>
    <w:rsid w:val="00306BE4"/>
    <w:rsid w:val="00306C4B"/>
    <w:rsid w:val="00307114"/>
    <w:rsid w:val="00307321"/>
    <w:rsid w:val="00307638"/>
    <w:rsid w:val="00310498"/>
    <w:rsid w:val="003105C1"/>
    <w:rsid w:val="00310DD4"/>
    <w:rsid w:val="00310E91"/>
    <w:rsid w:val="00311035"/>
    <w:rsid w:val="003113F3"/>
    <w:rsid w:val="00311526"/>
    <w:rsid w:val="003116DA"/>
    <w:rsid w:val="00311738"/>
    <w:rsid w:val="00311916"/>
    <w:rsid w:val="0031198B"/>
    <w:rsid w:val="00311B04"/>
    <w:rsid w:val="00311D85"/>
    <w:rsid w:val="00311DA0"/>
    <w:rsid w:val="00312861"/>
    <w:rsid w:val="00312A52"/>
    <w:rsid w:val="0031304C"/>
    <w:rsid w:val="003135C8"/>
    <w:rsid w:val="00313E99"/>
    <w:rsid w:val="00314040"/>
    <w:rsid w:val="003141F9"/>
    <w:rsid w:val="0031455B"/>
    <w:rsid w:val="00314819"/>
    <w:rsid w:val="0031486D"/>
    <w:rsid w:val="003148CD"/>
    <w:rsid w:val="00315019"/>
    <w:rsid w:val="00315307"/>
    <w:rsid w:val="00315821"/>
    <w:rsid w:val="003161D1"/>
    <w:rsid w:val="00316209"/>
    <w:rsid w:val="003162F6"/>
    <w:rsid w:val="003164C9"/>
    <w:rsid w:val="00316AEC"/>
    <w:rsid w:val="00316D28"/>
    <w:rsid w:val="00316D8E"/>
    <w:rsid w:val="00316E4E"/>
    <w:rsid w:val="00316FB2"/>
    <w:rsid w:val="00316FF1"/>
    <w:rsid w:val="00317031"/>
    <w:rsid w:val="00317160"/>
    <w:rsid w:val="003171C8"/>
    <w:rsid w:val="003172A3"/>
    <w:rsid w:val="00317386"/>
    <w:rsid w:val="00317404"/>
    <w:rsid w:val="003175A7"/>
    <w:rsid w:val="00317A5C"/>
    <w:rsid w:val="00317C1A"/>
    <w:rsid w:val="00317EE6"/>
    <w:rsid w:val="00320036"/>
    <w:rsid w:val="00320210"/>
    <w:rsid w:val="00320438"/>
    <w:rsid w:val="003205E2"/>
    <w:rsid w:val="00320663"/>
    <w:rsid w:val="003206EB"/>
    <w:rsid w:val="00320771"/>
    <w:rsid w:val="00320C2F"/>
    <w:rsid w:val="00321052"/>
    <w:rsid w:val="00321180"/>
    <w:rsid w:val="00321229"/>
    <w:rsid w:val="00321617"/>
    <w:rsid w:val="0032164A"/>
    <w:rsid w:val="00321801"/>
    <w:rsid w:val="00321A28"/>
    <w:rsid w:val="00321EE8"/>
    <w:rsid w:val="00322310"/>
    <w:rsid w:val="00322338"/>
    <w:rsid w:val="003225AE"/>
    <w:rsid w:val="003225DA"/>
    <w:rsid w:val="00322616"/>
    <w:rsid w:val="00322640"/>
    <w:rsid w:val="0032271A"/>
    <w:rsid w:val="00323070"/>
    <w:rsid w:val="00323235"/>
    <w:rsid w:val="00323933"/>
    <w:rsid w:val="00323BCD"/>
    <w:rsid w:val="00323D61"/>
    <w:rsid w:val="00323E1D"/>
    <w:rsid w:val="00324F35"/>
    <w:rsid w:val="00324F4B"/>
    <w:rsid w:val="003251C2"/>
    <w:rsid w:val="00325284"/>
    <w:rsid w:val="003257F8"/>
    <w:rsid w:val="0032594E"/>
    <w:rsid w:val="003259B7"/>
    <w:rsid w:val="00325D3D"/>
    <w:rsid w:val="0032637C"/>
    <w:rsid w:val="00326714"/>
    <w:rsid w:val="00326972"/>
    <w:rsid w:val="00326976"/>
    <w:rsid w:val="003269FB"/>
    <w:rsid w:val="00326C01"/>
    <w:rsid w:val="00326C42"/>
    <w:rsid w:val="00326E6B"/>
    <w:rsid w:val="00326EF5"/>
    <w:rsid w:val="003275FA"/>
    <w:rsid w:val="00327938"/>
    <w:rsid w:val="00327BC4"/>
    <w:rsid w:val="00327CA7"/>
    <w:rsid w:val="00327CBE"/>
    <w:rsid w:val="00327E2E"/>
    <w:rsid w:val="003304E7"/>
    <w:rsid w:val="003304ED"/>
    <w:rsid w:val="003304F5"/>
    <w:rsid w:val="0033060C"/>
    <w:rsid w:val="00330CB0"/>
    <w:rsid w:val="00330D04"/>
    <w:rsid w:val="0033135D"/>
    <w:rsid w:val="00331E10"/>
    <w:rsid w:val="00331EAC"/>
    <w:rsid w:val="00331ECE"/>
    <w:rsid w:val="003326CA"/>
    <w:rsid w:val="00332736"/>
    <w:rsid w:val="00332833"/>
    <w:rsid w:val="003328B3"/>
    <w:rsid w:val="00332B63"/>
    <w:rsid w:val="00332B80"/>
    <w:rsid w:val="00332BD9"/>
    <w:rsid w:val="00332C5C"/>
    <w:rsid w:val="00332D07"/>
    <w:rsid w:val="00332D8E"/>
    <w:rsid w:val="00332DB1"/>
    <w:rsid w:val="00333472"/>
    <w:rsid w:val="00333CBF"/>
    <w:rsid w:val="00333CDA"/>
    <w:rsid w:val="00333CDD"/>
    <w:rsid w:val="00333E1B"/>
    <w:rsid w:val="003340CB"/>
    <w:rsid w:val="003343B6"/>
    <w:rsid w:val="0033470B"/>
    <w:rsid w:val="003347D8"/>
    <w:rsid w:val="00334BCB"/>
    <w:rsid w:val="00334D9B"/>
    <w:rsid w:val="00334EE3"/>
    <w:rsid w:val="00335017"/>
    <w:rsid w:val="003352F3"/>
    <w:rsid w:val="003353AD"/>
    <w:rsid w:val="003357CF"/>
    <w:rsid w:val="00336102"/>
    <w:rsid w:val="00336168"/>
    <w:rsid w:val="0033617A"/>
    <w:rsid w:val="00336258"/>
    <w:rsid w:val="003364B6"/>
    <w:rsid w:val="0033672B"/>
    <w:rsid w:val="00336856"/>
    <w:rsid w:val="003369E6"/>
    <w:rsid w:val="00336C55"/>
    <w:rsid w:val="00336DE6"/>
    <w:rsid w:val="003370C3"/>
    <w:rsid w:val="003375DD"/>
    <w:rsid w:val="003375FA"/>
    <w:rsid w:val="0033794B"/>
    <w:rsid w:val="00337A13"/>
    <w:rsid w:val="00337BE5"/>
    <w:rsid w:val="00340182"/>
    <w:rsid w:val="003401EA"/>
    <w:rsid w:val="00340394"/>
    <w:rsid w:val="003404FE"/>
    <w:rsid w:val="00340859"/>
    <w:rsid w:val="00340B65"/>
    <w:rsid w:val="00340C38"/>
    <w:rsid w:val="003414CA"/>
    <w:rsid w:val="003419E2"/>
    <w:rsid w:val="00341BCF"/>
    <w:rsid w:val="00341C3F"/>
    <w:rsid w:val="00341FD9"/>
    <w:rsid w:val="00341FF2"/>
    <w:rsid w:val="003421B1"/>
    <w:rsid w:val="003428EF"/>
    <w:rsid w:val="00342963"/>
    <w:rsid w:val="003440F8"/>
    <w:rsid w:val="00344267"/>
    <w:rsid w:val="00344898"/>
    <w:rsid w:val="003448DF"/>
    <w:rsid w:val="003448FC"/>
    <w:rsid w:val="00344931"/>
    <w:rsid w:val="00344A6B"/>
    <w:rsid w:val="00344E4D"/>
    <w:rsid w:val="00344F45"/>
    <w:rsid w:val="003451C5"/>
    <w:rsid w:val="00345293"/>
    <w:rsid w:val="0034575E"/>
    <w:rsid w:val="00345E60"/>
    <w:rsid w:val="003460C2"/>
    <w:rsid w:val="003464C0"/>
    <w:rsid w:val="003469C5"/>
    <w:rsid w:val="00346A45"/>
    <w:rsid w:val="00346DE5"/>
    <w:rsid w:val="00346F1D"/>
    <w:rsid w:val="003478B6"/>
    <w:rsid w:val="00347AAB"/>
    <w:rsid w:val="00347CF3"/>
    <w:rsid w:val="00347E71"/>
    <w:rsid w:val="00350013"/>
    <w:rsid w:val="00350637"/>
    <w:rsid w:val="00350809"/>
    <w:rsid w:val="00350DE7"/>
    <w:rsid w:val="0035114C"/>
    <w:rsid w:val="00351B03"/>
    <w:rsid w:val="00352080"/>
    <w:rsid w:val="00352196"/>
    <w:rsid w:val="003523DE"/>
    <w:rsid w:val="003524BE"/>
    <w:rsid w:val="003525E6"/>
    <w:rsid w:val="00352607"/>
    <w:rsid w:val="003527DD"/>
    <w:rsid w:val="003528B4"/>
    <w:rsid w:val="00352945"/>
    <w:rsid w:val="00352A07"/>
    <w:rsid w:val="00352EC6"/>
    <w:rsid w:val="00352EE7"/>
    <w:rsid w:val="00352FAE"/>
    <w:rsid w:val="0035321B"/>
    <w:rsid w:val="00353278"/>
    <w:rsid w:val="00354117"/>
    <w:rsid w:val="00354B18"/>
    <w:rsid w:val="00354DAE"/>
    <w:rsid w:val="00354FED"/>
    <w:rsid w:val="003557AA"/>
    <w:rsid w:val="00355943"/>
    <w:rsid w:val="00355CF6"/>
    <w:rsid w:val="00356323"/>
    <w:rsid w:val="003566F0"/>
    <w:rsid w:val="0035672B"/>
    <w:rsid w:val="003568DE"/>
    <w:rsid w:val="00357082"/>
    <w:rsid w:val="003572AF"/>
    <w:rsid w:val="003572BF"/>
    <w:rsid w:val="0035735A"/>
    <w:rsid w:val="003577AA"/>
    <w:rsid w:val="003579AC"/>
    <w:rsid w:val="003602BF"/>
    <w:rsid w:val="003603F5"/>
    <w:rsid w:val="003609B0"/>
    <w:rsid w:val="00360CF4"/>
    <w:rsid w:val="00360E8E"/>
    <w:rsid w:val="00361080"/>
    <w:rsid w:val="00361595"/>
    <w:rsid w:val="0036180C"/>
    <w:rsid w:val="00361930"/>
    <w:rsid w:val="0036212D"/>
    <w:rsid w:val="00362558"/>
    <w:rsid w:val="00362780"/>
    <w:rsid w:val="0036285B"/>
    <w:rsid w:val="00362997"/>
    <w:rsid w:val="00362A68"/>
    <w:rsid w:val="00362B8B"/>
    <w:rsid w:val="00362BD8"/>
    <w:rsid w:val="00362BEC"/>
    <w:rsid w:val="00362D1E"/>
    <w:rsid w:val="003631DE"/>
    <w:rsid w:val="00363A19"/>
    <w:rsid w:val="00363C5E"/>
    <w:rsid w:val="00363C98"/>
    <w:rsid w:val="00363E70"/>
    <w:rsid w:val="00363FB1"/>
    <w:rsid w:val="00364157"/>
    <w:rsid w:val="00364287"/>
    <w:rsid w:val="0036461E"/>
    <w:rsid w:val="00364D00"/>
    <w:rsid w:val="0036575F"/>
    <w:rsid w:val="003657B5"/>
    <w:rsid w:val="003659DF"/>
    <w:rsid w:val="00365BA3"/>
    <w:rsid w:val="00365F40"/>
    <w:rsid w:val="003664B0"/>
    <w:rsid w:val="00366B8A"/>
    <w:rsid w:val="0036717C"/>
    <w:rsid w:val="00367F79"/>
    <w:rsid w:val="00370166"/>
    <w:rsid w:val="003703DE"/>
    <w:rsid w:val="00370536"/>
    <w:rsid w:val="003706D3"/>
    <w:rsid w:val="0037074B"/>
    <w:rsid w:val="00370887"/>
    <w:rsid w:val="003708E6"/>
    <w:rsid w:val="00370987"/>
    <w:rsid w:val="00370A1E"/>
    <w:rsid w:val="00370B3D"/>
    <w:rsid w:val="00370BBB"/>
    <w:rsid w:val="003713EC"/>
    <w:rsid w:val="00371639"/>
    <w:rsid w:val="0037169C"/>
    <w:rsid w:val="00371A62"/>
    <w:rsid w:val="00371B1D"/>
    <w:rsid w:val="0037241C"/>
    <w:rsid w:val="00372CDC"/>
    <w:rsid w:val="00372D9C"/>
    <w:rsid w:val="00372DC3"/>
    <w:rsid w:val="00372E35"/>
    <w:rsid w:val="003730B4"/>
    <w:rsid w:val="003732B5"/>
    <w:rsid w:val="003737ED"/>
    <w:rsid w:val="00373D1A"/>
    <w:rsid w:val="00373D55"/>
    <w:rsid w:val="00373E8B"/>
    <w:rsid w:val="00373F07"/>
    <w:rsid w:val="00374045"/>
    <w:rsid w:val="00374B0E"/>
    <w:rsid w:val="00374B50"/>
    <w:rsid w:val="00374F17"/>
    <w:rsid w:val="003751AB"/>
    <w:rsid w:val="003752B9"/>
    <w:rsid w:val="0037546B"/>
    <w:rsid w:val="00375BD7"/>
    <w:rsid w:val="00375D39"/>
    <w:rsid w:val="00375D49"/>
    <w:rsid w:val="00376035"/>
    <w:rsid w:val="003763D7"/>
    <w:rsid w:val="003767A5"/>
    <w:rsid w:val="00376DA8"/>
    <w:rsid w:val="00376F40"/>
    <w:rsid w:val="00377270"/>
    <w:rsid w:val="0037737C"/>
    <w:rsid w:val="0037759D"/>
    <w:rsid w:val="00377ACF"/>
    <w:rsid w:val="00377C62"/>
    <w:rsid w:val="00377CCC"/>
    <w:rsid w:val="00377E4F"/>
    <w:rsid w:val="003801D2"/>
    <w:rsid w:val="00380A8D"/>
    <w:rsid w:val="00380AA4"/>
    <w:rsid w:val="00380B27"/>
    <w:rsid w:val="00380DFD"/>
    <w:rsid w:val="00380E9B"/>
    <w:rsid w:val="00380F8A"/>
    <w:rsid w:val="00381208"/>
    <w:rsid w:val="00381360"/>
    <w:rsid w:val="003816AA"/>
    <w:rsid w:val="00381743"/>
    <w:rsid w:val="003817E7"/>
    <w:rsid w:val="00381DE6"/>
    <w:rsid w:val="00381F6D"/>
    <w:rsid w:val="00382068"/>
    <w:rsid w:val="00382245"/>
    <w:rsid w:val="00382DA9"/>
    <w:rsid w:val="00382DEC"/>
    <w:rsid w:val="003832CD"/>
    <w:rsid w:val="00383339"/>
    <w:rsid w:val="0038343F"/>
    <w:rsid w:val="0038347E"/>
    <w:rsid w:val="0038359C"/>
    <w:rsid w:val="00383AA0"/>
    <w:rsid w:val="00383B4C"/>
    <w:rsid w:val="00383CAA"/>
    <w:rsid w:val="00383D6F"/>
    <w:rsid w:val="00383FBC"/>
    <w:rsid w:val="003840CA"/>
    <w:rsid w:val="003844F1"/>
    <w:rsid w:val="003848B2"/>
    <w:rsid w:val="003848F3"/>
    <w:rsid w:val="00384EFC"/>
    <w:rsid w:val="0038504A"/>
    <w:rsid w:val="0038514E"/>
    <w:rsid w:val="003856CF"/>
    <w:rsid w:val="003858DC"/>
    <w:rsid w:val="003859D3"/>
    <w:rsid w:val="00385BB2"/>
    <w:rsid w:val="00385FF7"/>
    <w:rsid w:val="00386030"/>
    <w:rsid w:val="003860AA"/>
    <w:rsid w:val="00386341"/>
    <w:rsid w:val="00386685"/>
    <w:rsid w:val="003867E6"/>
    <w:rsid w:val="00386AF2"/>
    <w:rsid w:val="00386CD3"/>
    <w:rsid w:val="00386EC0"/>
    <w:rsid w:val="003872CD"/>
    <w:rsid w:val="00387544"/>
    <w:rsid w:val="0038792B"/>
    <w:rsid w:val="003879B8"/>
    <w:rsid w:val="00387A4A"/>
    <w:rsid w:val="00387CCD"/>
    <w:rsid w:val="00387D33"/>
    <w:rsid w:val="00387E12"/>
    <w:rsid w:val="00387EAD"/>
    <w:rsid w:val="00390059"/>
    <w:rsid w:val="00390337"/>
    <w:rsid w:val="00390790"/>
    <w:rsid w:val="00390BD7"/>
    <w:rsid w:val="00390BE6"/>
    <w:rsid w:val="00390BF2"/>
    <w:rsid w:val="00390C29"/>
    <w:rsid w:val="00390C2D"/>
    <w:rsid w:val="0039101B"/>
    <w:rsid w:val="003910C0"/>
    <w:rsid w:val="003910E4"/>
    <w:rsid w:val="00391447"/>
    <w:rsid w:val="003916C5"/>
    <w:rsid w:val="00391753"/>
    <w:rsid w:val="003919FC"/>
    <w:rsid w:val="00391A26"/>
    <w:rsid w:val="00391DC5"/>
    <w:rsid w:val="003924DC"/>
    <w:rsid w:val="00392A5D"/>
    <w:rsid w:val="00392CF9"/>
    <w:rsid w:val="00392DAE"/>
    <w:rsid w:val="00392DF0"/>
    <w:rsid w:val="00392F84"/>
    <w:rsid w:val="00393082"/>
    <w:rsid w:val="00393701"/>
    <w:rsid w:val="00393B81"/>
    <w:rsid w:val="00394101"/>
    <w:rsid w:val="003944C2"/>
    <w:rsid w:val="00394642"/>
    <w:rsid w:val="003946C5"/>
    <w:rsid w:val="003947AC"/>
    <w:rsid w:val="003954A5"/>
    <w:rsid w:val="00395C43"/>
    <w:rsid w:val="003965AA"/>
    <w:rsid w:val="00396B29"/>
    <w:rsid w:val="00396BAD"/>
    <w:rsid w:val="00396BE5"/>
    <w:rsid w:val="0039731A"/>
    <w:rsid w:val="00397337"/>
    <w:rsid w:val="0039799F"/>
    <w:rsid w:val="00397D3D"/>
    <w:rsid w:val="003A03E6"/>
    <w:rsid w:val="003A05BF"/>
    <w:rsid w:val="003A07F8"/>
    <w:rsid w:val="003A119A"/>
    <w:rsid w:val="003A1AF4"/>
    <w:rsid w:val="003A1F9D"/>
    <w:rsid w:val="003A21C8"/>
    <w:rsid w:val="003A22D3"/>
    <w:rsid w:val="003A231A"/>
    <w:rsid w:val="003A2613"/>
    <w:rsid w:val="003A280D"/>
    <w:rsid w:val="003A2AC6"/>
    <w:rsid w:val="003A2BD9"/>
    <w:rsid w:val="003A3446"/>
    <w:rsid w:val="003A345F"/>
    <w:rsid w:val="003A373E"/>
    <w:rsid w:val="003A39C2"/>
    <w:rsid w:val="003A415F"/>
    <w:rsid w:val="003A427A"/>
    <w:rsid w:val="003A4AE7"/>
    <w:rsid w:val="003A4B6F"/>
    <w:rsid w:val="003A527E"/>
    <w:rsid w:val="003A5664"/>
    <w:rsid w:val="003A5DAE"/>
    <w:rsid w:val="003A5DDC"/>
    <w:rsid w:val="003A5E93"/>
    <w:rsid w:val="003A60F8"/>
    <w:rsid w:val="003A6115"/>
    <w:rsid w:val="003A63E7"/>
    <w:rsid w:val="003A65C8"/>
    <w:rsid w:val="003A6BB5"/>
    <w:rsid w:val="003A72FF"/>
    <w:rsid w:val="003A732C"/>
    <w:rsid w:val="003A7A3C"/>
    <w:rsid w:val="003A7E27"/>
    <w:rsid w:val="003B01DC"/>
    <w:rsid w:val="003B062E"/>
    <w:rsid w:val="003B08D3"/>
    <w:rsid w:val="003B0BC3"/>
    <w:rsid w:val="003B100D"/>
    <w:rsid w:val="003B116E"/>
    <w:rsid w:val="003B1514"/>
    <w:rsid w:val="003B1AA1"/>
    <w:rsid w:val="003B1B18"/>
    <w:rsid w:val="003B1B5D"/>
    <w:rsid w:val="003B1B72"/>
    <w:rsid w:val="003B1C8B"/>
    <w:rsid w:val="003B1FF1"/>
    <w:rsid w:val="003B2307"/>
    <w:rsid w:val="003B28C4"/>
    <w:rsid w:val="003B2959"/>
    <w:rsid w:val="003B2BC3"/>
    <w:rsid w:val="003B2E6E"/>
    <w:rsid w:val="003B3297"/>
    <w:rsid w:val="003B352A"/>
    <w:rsid w:val="003B423B"/>
    <w:rsid w:val="003B479E"/>
    <w:rsid w:val="003B49CF"/>
    <w:rsid w:val="003B4D7F"/>
    <w:rsid w:val="003B4E6B"/>
    <w:rsid w:val="003B503C"/>
    <w:rsid w:val="003B586B"/>
    <w:rsid w:val="003B5A54"/>
    <w:rsid w:val="003B5BA2"/>
    <w:rsid w:val="003B5E04"/>
    <w:rsid w:val="003B5E50"/>
    <w:rsid w:val="003B5FAA"/>
    <w:rsid w:val="003B606F"/>
    <w:rsid w:val="003B656C"/>
    <w:rsid w:val="003B686A"/>
    <w:rsid w:val="003B69CC"/>
    <w:rsid w:val="003B6D7C"/>
    <w:rsid w:val="003B6E6A"/>
    <w:rsid w:val="003B6F46"/>
    <w:rsid w:val="003B73B9"/>
    <w:rsid w:val="003B753F"/>
    <w:rsid w:val="003B7690"/>
    <w:rsid w:val="003B7A19"/>
    <w:rsid w:val="003B7AA4"/>
    <w:rsid w:val="003B7D62"/>
    <w:rsid w:val="003C0063"/>
    <w:rsid w:val="003C0770"/>
    <w:rsid w:val="003C0857"/>
    <w:rsid w:val="003C0A44"/>
    <w:rsid w:val="003C0C0F"/>
    <w:rsid w:val="003C0F18"/>
    <w:rsid w:val="003C10C8"/>
    <w:rsid w:val="003C10EF"/>
    <w:rsid w:val="003C1159"/>
    <w:rsid w:val="003C14E6"/>
    <w:rsid w:val="003C1573"/>
    <w:rsid w:val="003C1932"/>
    <w:rsid w:val="003C1987"/>
    <w:rsid w:val="003C1AFD"/>
    <w:rsid w:val="003C1D1B"/>
    <w:rsid w:val="003C1D38"/>
    <w:rsid w:val="003C2064"/>
    <w:rsid w:val="003C2933"/>
    <w:rsid w:val="003C2A64"/>
    <w:rsid w:val="003C2C39"/>
    <w:rsid w:val="003C32EE"/>
    <w:rsid w:val="003C32F2"/>
    <w:rsid w:val="003C361C"/>
    <w:rsid w:val="003C38ED"/>
    <w:rsid w:val="003C3B43"/>
    <w:rsid w:val="003C3BA4"/>
    <w:rsid w:val="003C4113"/>
    <w:rsid w:val="003C419B"/>
    <w:rsid w:val="003C49AD"/>
    <w:rsid w:val="003C49FD"/>
    <w:rsid w:val="003C4C71"/>
    <w:rsid w:val="003C4CA2"/>
    <w:rsid w:val="003C4EFD"/>
    <w:rsid w:val="003C5220"/>
    <w:rsid w:val="003C526D"/>
    <w:rsid w:val="003C58BD"/>
    <w:rsid w:val="003C590E"/>
    <w:rsid w:val="003C5A33"/>
    <w:rsid w:val="003C5B31"/>
    <w:rsid w:val="003C5B66"/>
    <w:rsid w:val="003C5BCF"/>
    <w:rsid w:val="003C6543"/>
    <w:rsid w:val="003C69F6"/>
    <w:rsid w:val="003C726D"/>
    <w:rsid w:val="003C72E6"/>
    <w:rsid w:val="003C7409"/>
    <w:rsid w:val="003C76C8"/>
    <w:rsid w:val="003C7AF6"/>
    <w:rsid w:val="003D0515"/>
    <w:rsid w:val="003D06A1"/>
    <w:rsid w:val="003D06CD"/>
    <w:rsid w:val="003D0ADC"/>
    <w:rsid w:val="003D0BBA"/>
    <w:rsid w:val="003D0D55"/>
    <w:rsid w:val="003D0DBD"/>
    <w:rsid w:val="003D0FA6"/>
    <w:rsid w:val="003D103E"/>
    <w:rsid w:val="003D152B"/>
    <w:rsid w:val="003D15CF"/>
    <w:rsid w:val="003D160F"/>
    <w:rsid w:val="003D23A5"/>
    <w:rsid w:val="003D2902"/>
    <w:rsid w:val="003D29B6"/>
    <w:rsid w:val="003D2E0E"/>
    <w:rsid w:val="003D303C"/>
    <w:rsid w:val="003D3069"/>
    <w:rsid w:val="003D34A7"/>
    <w:rsid w:val="003D381C"/>
    <w:rsid w:val="003D3E4E"/>
    <w:rsid w:val="003D3EBC"/>
    <w:rsid w:val="003D3F50"/>
    <w:rsid w:val="003D423B"/>
    <w:rsid w:val="003D4BA1"/>
    <w:rsid w:val="003D4EE2"/>
    <w:rsid w:val="003D5018"/>
    <w:rsid w:val="003D518A"/>
    <w:rsid w:val="003D53A8"/>
    <w:rsid w:val="003D541C"/>
    <w:rsid w:val="003D56CC"/>
    <w:rsid w:val="003D570F"/>
    <w:rsid w:val="003D582E"/>
    <w:rsid w:val="003D583D"/>
    <w:rsid w:val="003D58CA"/>
    <w:rsid w:val="003D5B94"/>
    <w:rsid w:val="003D5F08"/>
    <w:rsid w:val="003D6302"/>
    <w:rsid w:val="003D6309"/>
    <w:rsid w:val="003D6548"/>
    <w:rsid w:val="003D693C"/>
    <w:rsid w:val="003D70A6"/>
    <w:rsid w:val="003D74AB"/>
    <w:rsid w:val="003D753B"/>
    <w:rsid w:val="003D772D"/>
    <w:rsid w:val="003D790C"/>
    <w:rsid w:val="003D7C6E"/>
    <w:rsid w:val="003D7F17"/>
    <w:rsid w:val="003E043C"/>
    <w:rsid w:val="003E086F"/>
    <w:rsid w:val="003E0A78"/>
    <w:rsid w:val="003E0C3B"/>
    <w:rsid w:val="003E1607"/>
    <w:rsid w:val="003E17CF"/>
    <w:rsid w:val="003E1C41"/>
    <w:rsid w:val="003E1F59"/>
    <w:rsid w:val="003E1F9D"/>
    <w:rsid w:val="003E1FE2"/>
    <w:rsid w:val="003E23EE"/>
    <w:rsid w:val="003E291F"/>
    <w:rsid w:val="003E2C6A"/>
    <w:rsid w:val="003E2E1B"/>
    <w:rsid w:val="003E3787"/>
    <w:rsid w:val="003E39CC"/>
    <w:rsid w:val="003E3B3C"/>
    <w:rsid w:val="003E4083"/>
    <w:rsid w:val="003E41D3"/>
    <w:rsid w:val="003E4440"/>
    <w:rsid w:val="003E4636"/>
    <w:rsid w:val="003E47B7"/>
    <w:rsid w:val="003E49D4"/>
    <w:rsid w:val="003E4AD6"/>
    <w:rsid w:val="003E4B29"/>
    <w:rsid w:val="003E4F64"/>
    <w:rsid w:val="003E541C"/>
    <w:rsid w:val="003E545D"/>
    <w:rsid w:val="003E556A"/>
    <w:rsid w:val="003E5736"/>
    <w:rsid w:val="003E5853"/>
    <w:rsid w:val="003E58D1"/>
    <w:rsid w:val="003E59B3"/>
    <w:rsid w:val="003E5FE4"/>
    <w:rsid w:val="003E6105"/>
    <w:rsid w:val="003E6290"/>
    <w:rsid w:val="003E62B1"/>
    <w:rsid w:val="003E6319"/>
    <w:rsid w:val="003E640F"/>
    <w:rsid w:val="003E68A6"/>
    <w:rsid w:val="003E70BF"/>
    <w:rsid w:val="003E7776"/>
    <w:rsid w:val="003E7810"/>
    <w:rsid w:val="003E7A20"/>
    <w:rsid w:val="003E7A24"/>
    <w:rsid w:val="003E7D0C"/>
    <w:rsid w:val="003F03D0"/>
    <w:rsid w:val="003F040D"/>
    <w:rsid w:val="003F0572"/>
    <w:rsid w:val="003F0CC2"/>
    <w:rsid w:val="003F0D1F"/>
    <w:rsid w:val="003F0DC5"/>
    <w:rsid w:val="003F1126"/>
    <w:rsid w:val="003F1141"/>
    <w:rsid w:val="003F1357"/>
    <w:rsid w:val="003F1B33"/>
    <w:rsid w:val="003F1D58"/>
    <w:rsid w:val="003F211D"/>
    <w:rsid w:val="003F2278"/>
    <w:rsid w:val="003F2793"/>
    <w:rsid w:val="003F27AE"/>
    <w:rsid w:val="003F28A9"/>
    <w:rsid w:val="003F2C2E"/>
    <w:rsid w:val="003F2CB9"/>
    <w:rsid w:val="003F3144"/>
    <w:rsid w:val="003F3633"/>
    <w:rsid w:val="003F37B0"/>
    <w:rsid w:val="003F3F40"/>
    <w:rsid w:val="003F40D6"/>
    <w:rsid w:val="003F43CC"/>
    <w:rsid w:val="003F4449"/>
    <w:rsid w:val="003F4653"/>
    <w:rsid w:val="003F48D0"/>
    <w:rsid w:val="003F4D4F"/>
    <w:rsid w:val="003F4FEC"/>
    <w:rsid w:val="003F5244"/>
    <w:rsid w:val="003F5731"/>
    <w:rsid w:val="003F5899"/>
    <w:rsid w:val="003F5A5F"/>
    <w:rsid w:val="003F5A7A"/>
    <w:rsid w:val="003F612C"/>
    <w:rsid w:val="003F652B"/>
    <w:rsid w:val="003F680B"/>
    <w:rsid w:val="003F6964"/>
    <w:rsid w:val="003F6D1F"/>
    <w:rsid w:val="003F6D7C"/>
    <w:rsid w:val="003F6E32"/>
    <w:rsid w:val="003F6FF5"/>
    <w:rsid w:val="003F754A"/>
    <w:rsid w:val="003F75DB"/>
    <w:rsid w:val="003F75EC"/>
    <w:rsid w:val="003F79F0"/>
    <w:rsid w:val="003F7C34"/>
    <w:rsid w:val="003F7CF3"/>
    <w:rsid w:val="003F7D97"/>
    <w:rsid w:val="003F7D98"/>
    <w:rsid w:val="003F7F2D"/>
    <w:rsid w:val="0040018E"/>
    <w:rsid w:val="004008B9"/>
    <w:rsid w:val="004009B3"/>
    <w:rsid w:val="00400AC5"/>
    <w:rsid w:val="00401246"/>
    <w:rsid w:val="0040141F"/>
    <w:rsid w:val="00401565"/>
    <w:rsid w:val="00401C9B"/>
    <w:rsid w:val="00402263"/>
    <w:rsid w:val="004022CC"/>
    <w:rsid w:val="00402417"/>
    <w:rsid w:val="004024A2"/>
    <w:rsid w:val="004031B3"/>
    <w:rsid w:val="00403206"/>
    <w:rsid w:val="004032FD"/>
    <w:rsid w:val="0040342E"/>
    <w:rsid w:val="0040365A"/>
    <w:rsid w:val="004036FE"/>
    <w:rsid w:val="0040376F"/>
    <w:rsid w:val="0040379D"/>
    <w:rsid w:val="00403821"/>
    <w:rsid w:val="00403A14"/>
    <w:rsid w:val="00403A99"/>
    <w:rsid w:val="00403B3C"/>
    <w:rsid w:val="00403BD3"/>
    <w:rsid w:val="00403C44"/>
    <w:rsid w:val="00404018"/>
    <w:rsid w:val="0040417D"/>
    <w:rsid w:val="00404639"/>
    <w:rsid w:val="004049AD"/>
    <w:rsid w:val="00404DAD"/>
    <w:rsid w:val="00404F12"/>
    <w:rsid w:val="004050C2"/>
    <w:rsid w:val="0040538F"/>
    <w:rsid w:val="00405421"/>
    <w:rsid w:val="004055A1"/>
    <w:rsid w:val="00405669"/>
    <w:rsid w:val="004056C9"/>
    <w:rsid w:val="00405D19"/>
    <w:rsid w:val="0040607F"/>
    <w:rsid w:val="004061CA"/>
    <w:rsid w:val="00406261"/>
    <w:rsid w:val="00406837"/>
    <w:rsid w:val="00406931"/>
    <w:rsid w:val="00406BCF"/>
    <w:rsid w:val="00406C53"/>
    <w:rsid w:val="00406E44"/>
    <w:rsid w:val="00406ED9"/>
    <w:rsid w:val="0040714E"/>
    <w:rsid w:val="00407186"/>
    <w:rsid w:val="0040754A"/>
    <w:rsid w:val="00407585"/>
    <w:rsid w:val="00407727"/>
    <w:rsid w:val="004077D5"/>
    <w:rsid w:val="00407839"/>
    <w:rsid w:val="00407A02"/>
    <w:rsid w:val="00407A68"/>
    <w:rsid w:val="00410647"/>
    <w:rsid w:val="0041089C"/>
    <w:rsid w:val="004109B0"/>
    <w:rsid w:val="00410A35"/>
    <w:rsid w:val="00410B2A"/>
    <w:rsid w:val="00410B68"/>
    <w:rsid w:val="00410F60"/>
    <w:rsid w:val="0041131E"/>
    <w:rsid w:val="00411423"/>
    <w:rsid w:val="00411813"/>
    <w:rsid w:val="00411A66"/>
    <w:rsid w:val="00411E59"/>
    <w:rsid w:val="004122CA"/>
    <w:rsid w:val="004123FF"/>
    <w:rsid w:val="00412BB7"/>
    <w:rsid w:val="004133FA"/>
    <w:rsid w:val="004134C4"/>
    <w:rsid w:val="00413610"/>
    <w:rsid w:val="00413980"/>
    <w:rsid w:val="00413B00"/>
    <w:rsid w:val="00413C1C"/>
    <w:rsid w:val="00413DBA"/>
    <w:rsid w:val="00413E45"/>
    <w:rsid w:val="00414508"/>
    <w:rsid w:val="004147A5"/>
    <w:rsid w:val="00414E2B"/>
    <w:rsid w:val="00414F5C"/>
    <w:rsid w:val="0041517F"/>
    <w:rsid w:val="00415236"/>
    <w:rsid w:val="00415E27"/>
    <w:rsid w:val="00415EC9"/>
    <w:rsid w:val="004162B5"/>
    <w:rsid w:val="0041663C"/>
    <w:rsid w:val="00416651"/>
    <w:rsid w:val="0041668B"/>
    <w:rsid w:val="0041704D"/>
    <w:rsid w:val="0041771B"/>
    <w:rsid w:val="0041783F"/>
    <w:rsid w:val="00417A90"/>
    <w:rsid w:val="00417F0C"/>
    <w:rsid w:val="00417FA7"/>
    <w:rsid w:val="00420304"/>
    <w:rsid w:val="0042055D"/>
    <w:rsid w:val="004205DC"/>
    <w:rsid w:val="00420736"/>
    <w:rsid w:val="004207EB"/>
    <w:rsid w:val="00420E24"/>
    <w:rsid w:val="004212D3"/>
    <w:rsid w:val="004213E4"/>
    <w:rsid w:val="004215EF"/>
    <w:rsid w:val="004216C3"/>
    <w:rsid w:val="00421874"/>
    <w:rsid w:val="00421A24"/>
    <w:rsid w:val="00421C26"/>
    <w:rsid w:val="00421FA1"/>
    <w:rsid w:val="00421FDB"/>
    <w:rsid w:val="00422226"/>
    <w:rsid w:val="004223BD"/>
    <w:rsid w:val="0042276D"/>
    <w:rsid w:val="00422809"/>
    <w:rsid w:val="00422BB9"/>
    <w:rsid w:val="00422E47"/>
    <w:rsid w:val="0042324F"/>
    <w:rsid w:val="00423312"/>
    <w:rsid w:val="0042333E"/>
    <w:rsid w:val="00423370"/>
    <w:rsid w:val="0042377B"/>
    <w:rsid w:val="00423AD5"/>
    <w:rsid w:val="00423C8C"/>
    <w:rsid w:val="0042425E"/>
    <w:rsid w:val="0042427E"/>
    <w:rsid w:val="0042433B"/>
    <w:rsid w:val="004243AF"/>
    <w:rsid w:val="0042466E"/>
    <w:rsid w:val="00424C19"/>
    <w:rsid w:val="00424D2B"/>
    <w:rsid w:val="00424D54"/>
    <w:rsid w:val="00424D81"/>
    <w:rsid w:val="0042527C"/>
    <w:rsid w:val="0042597F"/>
    <w:rsid w:val="00425C99"/>
    <w:rsid w:val="00425C9B"/>
    <w:rsid w:val="00425CCD"/>
    <w:rsid w:val="00425D95"/>
    <w:rsid w:val="004261AF"/>
    <w:rsid w:val="0042628F"/>
    <w:rsid w:val="00426395"/>
    <w:rsid w:val="00426783"/>
    <w:rsid w:val="0042684A"/>
    <w:rsid w:val="00426CBA"/>
    <w:rsid w:val="00426CED"/>
    <w:rsid w:val="00426F96"/>
    <w:rsid w:val="00427111"/>
    <w:rsid w:val="00427333"/>
    <w:rsid w:val="004273FA"/>
    <w:rsid w:val="004275FC"/>
    <w:rsid w:val="004277B4"/>
    <w:rsid w:val="0042787A"/>
    <w:rsid w:val="00427BA3"/>
    <w:rsid w:val="00427C31"/>
    <w:rsid w:val="00430168"/>
    <w:rsid w:val="00430242"/>
    <w:rsid w:val="00430477"/>
    <w:rsid w:val="00430612"/>
    <w:rsid w:val="00430628"/>
    <w:rsid w:val="00430DB2"/>
    <w:rsid w:val="00430E87"/>
    <w:rsid w:val="00430EBE"/>
    <w:rsid w:val="00431375"/>
    <w:rsid w:val="00431385"/>
    <w:rsid w:val="004313C7"/>
    <w:rsid w:val="00431589"/>
    <w:rsid w:val="00431803"/>
    <w:rsid w:val="0043189F"/>
    <w:rsid w:val="0043190B"/>
    <w:rsid w:val="00431975"/>
    <w:rsid w:val="004319E0"/>
    <w:rsid w:val="00431AD4"/>
    <w:rsid w:val="00431AD6"/>
    <w:rsid w:val="00431DFF"/>
    <w:rsid w:val="00432007"/>
    <w:rsid w:val="0043211E"/>
    <w:rsid w:val="004321FA"/>
    <w:rsid w:val="00432397"/>
    <w:rsid w:val="00432443"/>
    <w:rsid w:val="004324EC"/>
    <w:rsid w:val="004329C0"/>
    <w:rsid w:val="00432CFF"/>
    <w:rsid w:val="004330B6"/>
    <w:rsid w:val="0043328C"/>
    <w:rsid w:val="004332F9"/>
    <w:rsid w:val="004335C2"/>
    <w:rsid w:val="004336BC"/>
    <w:rsid w:val="00433E66"/>
    <w:rsid w:val="00433F06"/>
    <w:rsid w:val="00433F6D"/>
    <w:rsid w:val="00434704"/>
    <w:rsid w:val="004348AE"/>
    <w:rsid w:val="0043496B"/>
    <w:rsid w:val="00434B54"/>
    <w:rsid w:val="00434C6E"/>
    <w:rsid w:val="00435020"/>
    <w:rsid w:val="00435181"/>
    <w:rsid w:val="004351EA"/>
    <w:rsid w:val="004352ED"/>
    <w:rsid w:val="004354C1"/>
    <w:rsid w:val="00435513"/>
    <w:rsid w:val="00435AE3"/>
    <w:rsid w:val="00435D56"/>
    <w:rsid w:val="00435D6C"/>
    <w:rsid w:val="00435E71"/>
    <w:rsid w:val="00436251"/>
    <w:rsid w:val="004362CD"/>
    <w:rsid w:val="004363C8"/>
    <w:rsid w:val="00436789"/>
    <w:rsid w:val="00436820"/>
    <w:rsid w:val="00436A4A"/>
    <w:rsid w:val="00436B44"/>
    <w:rsid w:val="00436CF4"/>
    <w:rsid w:val="00437132"/>
    <w:rsid w:val="0043734B"/>
    <w:rsid w:val="0043799F"/>
    <w:rsid w:val="00437B55"/>
    <w:rsid w:val="00437B5F"/>
    <w:rsid w:val="00437F70"/>
    <w:rsid w:val="00437FBF"/>
    <w:rsid w:val="004402FE"/>
    <w:rsid w:val="004407A8"/>
    <w:rsid w:val="00440A60"/>
    <w:rsid w:val="00440B14"/>
    <w:rsid w:val="00440B1C"/>
    <w:rsid w:val="00440D0E"/>
    <w:rsid w:val="00440FA9"/>
    <w:rsid w:val="0044126B"/>
    <w:rsid w:val="004412E1"/>
    <w:rsid w:val="0044135B"/>
    <w:rsid w:val="004414F3"/>
    <w:rsid w:val="00441789"/>
    <w:rsid w:val="00441869"/>
    <w:rsid w:val="00441AB5"/>
    <w:rsid w:val="0044206A"/>
    <w:rsid w:val="00442286"/>
    <w:rsid w:val="00442CAF"/>
    <w:rsid w:val="00442D33"/>
    <w:rsid w:val="00443023"/>
    <w:rsid w:val="00443202"/>
    <w:rsid w:val="004435DF"/>
    <w:rsid w:val="00443759"/>
    <w:rsid w:val="00443AD5"/>
    <w:rsid w:val="00443C54"/>
    <w:rsid w:val="00443DC0"/>
    <w:rsid w:val="004449D7"/>
    <w:rsid w:val="00444C3D"/>
    <w:rsid w:val="00444C9F"/>
    <w:rsid w:val="00444F13"/>
    <w:rsid w:val="004455D5"/>
    <w:rsid w:val="0044581B"/>
    <w:rsid w:val="004458FE"/>
    <w:rsid w:val="0044593F"/>
    <w:rsid w:val="00445A21"/>
    <w:rsid w:val="0044607D"/>
    <w:rsid w:val="0044618F"/>
    <w:rsid w:val="00446490"/>
    <w:rsid w:val="00446665"/>
    <w:rsid w:val="004468CC"/>
    <w:rsid w:val="0044690C"/>
    <w:rsid w:val="00446CE8"/>
    <w:rsid w:val="00446D41"/>
    <w:rsid w:val="00446E7B"/>
    <w:rsid w:val="00447E42"/>
    <w:rsid w:val="00447EC9"/>
    <w:rsid w:val="004505DF"/>
    <w:rsid w:val="00450763"/>
    <w:rsid w:val="00450B30"/>
    <w:rsid w:val="00450FEE"/>
    <w:rsid w:val="004510B8"/>
    <w:rsid w:val="004511B2"/>
    <w:rsid w:val="004512FC"/>
    <w:rsid w:val="00451415"/>
    <w:rsid w:val="00451749"/>
    <w:rsid w:val="0045192A"/>
    <w:rsid w:val="00451CA6"/>
    <w:rsid w:val="004524E4"/>
    <w:rsid w:val="004524F3"/>
    <w:rsid w:val="00452598"/>
    <w:rsid w:val="00452ACC"/>
    <w:rsid w:val="00452CB4"/>
    <w:rsid w:val="00453094"/>
    <w:rsid w:val="004531FB"/>
    <w:rsid w:val="004532AE"/>
    <w:rsid w:val="004532E3"/>
    <w:rsid w:val="004533C6"/>
    <w:rsid w:val="00453599"/>
    <w:rsid w:val="00453766"/>
    <w:rsid w:val="00453996"/>
    <w:rsid w:val="00453DB7"/>
    <w:rsid w:val="00453EF9"/>
    <w:rsid w:val="0045408F"/>
    <w:rsid w:val="00454343"/>
    <w:rsid w:val="00454643"/>
    <w:rsid w:val="00454986"/>
    <w:rsid w:val="00454B4C"/>
    <w:rsid w:val="0045514E"/>
    <w:rsid w:val="00455228"/>
    <w:rsid w:val="00455689"/>
    <w:rsid w:val="0045584F"/>
    <w:rsid w:val="0045592E"/>
    <w:rsid w:val="00455B70"/>
    <w:rsid w:val="00455C2F"/>
    <w:rsid w:val="00455F83"/>
    <w:rsid w:val="0045691E"/>
    <w:rsid w:val="00456C76"/>
    <w:rsid w:val="00456D83"/>
    <w:rsid w:val="00456D97"/>
    <w:rsid w:val="00456EAD"/>
    <w:rsid w:val="004570C3"/>
    <w:rsid w:val="004570C5"/>
    <w:rsid w:val="00457957"/>
    <w:rsid w:val="00457B90"/>
    <w:rsid w:val="00460497"/>
    <w:rsid w:val="00460730"/>
    <w:rsid w:val="00460891"/>
    <w:rsid w:val="004609AF"/>
    <w:rsid w:val="00460D0D"/>
    <w:rsid w:val="00461241"/>
    <w:rsid w:val="0046125F"/>
    <w:rsid w:val="004616B4"/>
    <w:rsid w:val="004617A6"/>
    <w:rsid w:val="00461B14"/>
    <w:rsid w:val="00461B8E"/>
    <w:rsid w:val="00461C7F"/>
    <w:rsid w:val="00462356"/>
    <w:rsid w:val="004624F9"/>
    <w:rsid w:val="00462C11"/>
    <w:rsid w:val="0046300A"/>
    <w:rsid w:val="00463093"/>
    <w:rsid w:val="0046345B"/>
    <w:rsid w:val="00463805"/>
    <w:rsid w:val="00463808"/>
    <w:rsid w:val="00463935"/>
    <w:rsid w:val="00463B35"/>
    <w:rsid w:val="00463D5C"/>
    <w:rsid w:val="00463D64"/>
    <w:rsid w:val="00463E21"/>
    <w:rsid w:val="00463E98"/>
    <w:rsid w:val="004640A6"/>
    <w:rsid w:val="004640B6"/>
    <w:rsid w:val="00464212"/>
    <w:rsid w:val="00464369"/>
    <w:rsid w:val="004644E8"/>
    <w:rsid w:val="0046491C"/>
    <w:rsid w:val="00464DBF"/>
    <w:rsid w:val="00465092"/>
    <w:rsid w:val="0046513B"/>
    <w:rsid w:val="004656D8"/>
    <w:rsid w:val="00465BDE"/>
    <w:rsid w:val="00465F1D"/>
    <w:rsid w:val="00465F71"/>
    <w:rsid w:val="0046636A"/>
    <w:rsid w:val="0046638D"/>
    <w:rsid w:val="00466539"/>
    <w:rsid w:val="00466611"/>
    <w:rsid w:val="00466915"/>
    <w:rsid w:val="00466CA9"/>
    <w:rsid w:val="00466D92"/>
    <w:rsid w:val="00467022"/>
    <w:rsid w:val="00467171"/>
    <w:rsid w:val="0046718D"/>
    <w:rsid w:val="004672C8"/>
    <w:rsid w:val="004674AD"/>
    <w:rsid w:val="0046761E"/>
    <w:rsid w:val="00467993"/>
    <w:rsid w:val="00467A81"/>
    <w:rsid w:val="00467BBB"/>
    <w:rsid w:val="00467C8F"/>
    <w:rsid w:val="00467CA6"/>
    <w:rsid w:val="00467E46"/>
    <w:rsid w:val="00467EC0"/>
    <w:rsid w:val="00470092"/>
    <w:rsid w:val="004702CD"/>
    <w:rsid w:val="00470548"/>
    <w:rsid w:val="00470626"/>
    <w:rsid w:val="004708BA"/>
    <w:rsid w:val="00470AEA"/>
    <w:rsid w:val="00470E44"/>
    <w:rsid w:val="00470EF1"/>
    <w:rsid w:val="0047114F"/>
    <w:rsid w:val="00471253"/>
    <w:rsid w:val="00471377"/>
    <w:rsid w:val="0047139F"/>
    <w:rsid w:val="00471423"/>
    <w:rsid w:val="00471484"/>
    <w:rsid w:val="00471628"/>
    <w:rsid w:val="004718DB"/>
    <w:rsid w:val="0047204C"/>
    <w:rsid w:val="0047217C"/>
    <w:rsid w:val="0047240B"/>
    <w:rsid w:val="00472A71"/>
    <w:rsid w:val="00472A82"/>
    <w:rsid w:val="00472BB7"/>
    <w:rsid w:val="00472EF9"/>
    <w:rsid w:val="00472F9E"/>
    <w:rsid w:val="00473316"/>
    <w:rsid w:val="004733ED"/>
    <w:rsid w:val="00473417"/>
    <w:rsid w:val="004737F3"/>
    <w:rsid w:val="00473CCD"/>
    <w:rsid w:val="00473D2C"/>
    <w:rsid w:val="00473EE0"/>
    <w:rsid w:val="00474131"/>
    <w:rsid w:val="0047448C"/>
    <w:rsid w:val="004749F9"/>
    <w:rsid w:val="00474AFA"/>
    <w:rsid w:val="00474E78"/>
    <w:rsid w:val="00474FAA"/>
    <w:rsid w:val="0047521B"/>
    <w:rsid w:val="0047584E"/>
    <w:rsid w:val="00475B13"/>
    <w:rsid w:val="00475EED"/>
    <w:rsid w:val="00476130"/>
    <w:rsid w:val="00476214"/>
    <w:rsid w:val="004763B2"/>
    <w:rsid w:val="004765C3"/>
    <w:rsid w:val="004765DC"/>
    <w:rsid w:val="00476608"/>
    <w:rsid w:val="004767FB"/>
    <w:rsid w:val="00476803"/>
    <w:rsid w:val="00476881"/>
    <w:rsid w:val="0047692C"/>
    <w:rsid w:val="00476BCE"/>
    <w:rsid w:val="00476FD0"/>
    <w:rsid w:val="00477185"/>
    <w:rsid w:val="004779F8"/>
    <w:rsid w:val="00477E7D"/>
    <w:rsid w:val="004800E5"/>
    <w:rsid w:val="00480449"/>
    <w:rsid w:val="004804AE"/>
    <w:rsid w:val="0048066B"/>
    <w:rsid w:val="004808CC"/>
    <w:rsid w:val="00480B72"/>
    <w:rsid w:val="00480C5D"/>
    <w:rsid w:val="00480D76"/>
    <w:rsid w:val="00481162"/>
    <w:rsid w:val="00481179"/>
    <w:rsid w:val="0048128D"/>
    <w:rsid w:val="004813E7"/>
    <w:rsid w:val="00481493"/>
    <w:rsid w:val="004816FA"/>
    <w:rsid w:val="0048183B"/>
    <w:rsid w:val="0048195F"/>
    <w:rsid w:val="00481AA0"/>
    <w:rsid w:val="00482631"/>
    <w:rsid w:val="00482BAE"/>
    <w:rsid w:val="00482C2B"/>
    <w:rsid w:val="00482D2C"/>
    <w:rsid w:val="00482E50"/>
    <w:rsid w:val="004836F7"/>
    <w:rsid w:val="00483A73"/>
    <w:rsid w:val="00483E97"/>
    <w:rsid w:val="00483FE6"/>
    <w:rsid w:val="00484550"/>
    <w:rsid w:val="00484842"/>
    <w:rsid w:val="004849CD"/>
    <w:rsid w:val="00484B88"/>
    <w:rsid w:val="00484D39"/>
    <w:rsid w:val="004850D6"/>
    <w:rsid w:val="004852A5"/>
    <w:rsid w:val="0048534F"/>
    <w:rsid w:val="0048586B"/>
    <w:rsid w:val="00485CF7"/>
    <w:rsid w:val="00485D7A"/>
    <w:rsid w:val="00485EB0"/>
    <w:rsid w:val="004869A3"/>
    <w:rsid w:val="00486AD5"/>
    <w:rsid w:val="00486B21"/>
    <w:rsid w:val="00486D5F"/>
    <w:rsid w:val="0048708C"/>
    <w:rsid w:val="00487321"/>
    <w:rsid w:val="00487699"/>
    <w:rsid w:val="00487A16"/>
    <w:rsid w:val="0049016F"/>
    <w:rsid w:val="004902B5"/>
    <w:rsid w:val="00490625"/>
    <w:rsid w:val="0049074C"/>
    <w:rsid w:val="00490E95"/>
    <w:rsid w:val="00490F68"/>
    <w:rsid w:val="00491179"/>
    <w:rsid w:val="004911DF"/>
    <w:rsid w:val="00491302"/>
    <w:rsid w:val="00491A1A"/>
    <w:rsid w:val="00492AE0"/>
    <w:rsid w:val="004932EB"/>
    <w:rsid w:val="00493321"/>
    <w:rsid w:val="004933C0"/>
    <w:rsid w:val="00493497"/>
    <w:rsid w:val="00493564"/>
    <w:rsid w:val="00493652"/>
    <w:rsid w:val="004936FA"/>
    <w:rsid w:val="0049383E"/>
    <w:rsid w:val="00493AC4"/>
    <w:rsid w:val="00494228"/>
    <w:rsid w:val="0049422D"/>
    <w:rsid w:val="00494373"/>
    <w:rsid w:val="00494420"/>
    <w:rsid w:val="004946A5"/>
    <w:rsid w:val="00494D3F"/>
    <w:rsid w:val="00495039"/>
    <w:rsid w:val="004950FB"/>
    <w:rsid w:val="00495214"/>
    <w:rsid w:val="00495987"/>
    <w:rsid w:val="00495E70"/>
    <w:rsid w:val="00495F1B"/>
    <w:rsid w:val="00495F42"/>
    <w:rsid w:val="00496156"/>
    <w:rsid w:val="0049653B"/>
    <w:rsid w:val="004968A9"/>
    <w:rsid w:val="00496B79"/>
    <w:rsid w:val="00496CA4"/>
    <w:rsid w:val="00496EFC"/>
    <w:rsid w:val="00496F09"/>
    <w:rsid w:val="00497261"/>
    <w:rsid w:val="00497793"/>
    <w:rsid w:val="0049790D"/>
    <w:rsid w:val="004A028E"/>
    <w:rsid w:val="004A030D"/>
    <w:rsid w:val="004A0390"/>
    <w:rsid w:val="004A04B2"/>
    <w:rsid w:val="004A08A8"/>
    <w:rsid w:val="004A0AF9"/>
    <w:rsid w:val="004A0B76"/>
    <w:rsid w:val="004A0CBE"/>
    <w:rsid w:val="004A17CC"/>
    <w:rsid w:val="004A1A6F"/>
    <w:rsid w:val="004A1CB6"/>
    <w:rsid w:val="004A243A"/>
    <w:rsid w:val="004A25FC"/>
    <w:rsid w:val="004A26B1"/>
    <w:rsid w:val="004A273D"/>
    <w:rsid w:val="004A279C"/>
    <w:rsid w:val="004A293D"/>
    <w:rsid w:val="004A2966"/>
    <w:rsid w:val="004A2F39"/>
    <w:rsid w:val="004A3086"/>
    <w:rsid w:val="004A337C"/>
    <w:rsid w:val="004A340F"/>
    <w:rsid w:val="004A34F1"/>
    <w:rsid w:val="004A38F2"/>
    <w:rsid w:val="004A3CDC"/>
    <w:rsid w:val="004A3E6A"/>
    <w:rsid w:val="004A4253"/>
    <w:rsid w:val="004A4477"/>
    <w:rsid w:val="004A4702"/>
    <w:rsid w:val="004A483E"/>
    <w:rsid w:val="004A522A"/>
    <w:rsid w:val="004A64FE"/>
    <w:rsid w:val="004A661E"/>
    <w:rsid w:val="004A67FC"/>
    <w:rsid w:val="004A6A35"/>
    <w:rsid w:val="004A6C65"/>
    <w:rsid w:val="004A735C"/>
    <w:rsid w:val="004A7686"/>
    <w:rsid w:val="004A7696"/>
    <w:rsid w:val="004A791E"/>
    <w:rsid w:val="004A7AD8"/>
    <w:rsid w:val="004A7FC2"/>
    <w:rsid w:val="004B0302"/>
    <w:rsid w:val="004B04DD"/>
    <w:rsid w:val="004B0529"/>
    <w:rsid w:val="004B05D3"/>
    <w:rsid w:val="004B06BC"/>
    <w:rsid w:val="004B09BF"/>
    <w:rsid w:val="004B0A2D"/>
    <w:rsid w:val="004B0C4C"/>
    <w:rsid w:val="004B0CBF"/>
    <w:rsid w:val="004B0E5F"/>
    <w:rsid w:val="004B0F90"/>
    <w:rsid w:val="004B14A5"/>
    <w:rsid w:val="004B16CD"/>
    <w:rsid w:val="004B17FA"/>
    <w:rsid w:val="004B194D"/>
    <w:rsid w:val="004B1A61"/>
    <w:rsid w:val="004B20DC"/>
    <w:rsid w:val="004B216E"/>
    <w:rsid w:val="004B25B1"/>
    <w:rsid w:val="004B27AA"/>
    <w:rsid w:val="004B29A7"/>
    <w:rsid w:val="004B2BA8"/>
    <w:rsid w:val="004B2BE3"/>
    <w:rsid w:val="004B2F29"/>
    <w:rsid w:val="004B36A3"/>
    <w:rsid w:val="004B3E78"/>
    <w:rsid w:val="004B4000"/>
    <w:rsid w:val="004B43FE"/>
    <w:rsid w:val="004B4684"/>
    <w:rsid w:val="004B47AE"/>
    <w:rsid w:val="004B486F"/>
    <w:rsid w:val="004B487D"/>
    <w:rsid w:val="004B4926"/>
    <w:rsid w:val="004B4B74"/>
    <w:rsid w:val="004B4C2A"/>
    <w:rsid w:val="004B4D71"/>
    <w:rsid w:val="004B4DE9"/>
    <w:rsid w:val="004B599C"/>
    <w:rsid w:val="004B5C43"/>
    <w:rsid w:val="004B5EC5"/>
    <w:rsid w:val="004B6319"/>
    <w:rsid w:val="004B65A7"/>
    <w:rsid w:val="004B6639"/>
    <w:rsid w:val="004B6722"/>
    <w:rsid w:val="004B6A83"/>
    <w:rsid w:val="004B6AB3"/>
    <w:rsid w:val="004B6E3F"/>
    <w:rsid w:val="004B6EB8"/>
    <w:rsid w:val="004B70A4"/>
    <w:rsid w:val="004B7152"/>
    <w:rsid w:val="004B7372"/>
    <w:rsid w:val="004B73DA"/>
    <w:rsid w:val="004B7406"/>
    <w:rsid w:val="004B7424"/>
    <w:rsid w:val="004B7A9C"/>
    <w:rsid w:val="004B7B14"/>
    <w:rsid w:val="004B7ECE"/>
    <w:rsid w:val="004B7F79"/>
    <w:rsid w:val="004C0520"/>
    <w:rsid w:val="004C0544"/>
    <w:rsid w:val="004C073B"/>
    <w:rsid w:val="004C08EE"/>
    <w:rsid w:val="004C0D39"/>
    <w:rsid w:val="004C11F4"/>
    <w:rsid w:val="004C157E"/>
    <w:rsid w:val="004C162A"/>
    <w:rsid w:val="004C1718"/>
    <w:rsid w:val="004C18A7"/>
    <w:rsid w:val="004C190B"/>
    <w:rsid w:val="004C1BD2"/>
    <w:rsid w:val="004C1CE9"/>
    <w:rsid w:val="004C2036"/>
    <w:rsid w:val="004C249B"/>
    <w:rsid w:val="004C2502"/>
    <w:rsid w:val="004C2871"/>
    <w:rsid w:val="004C2A3B"/>
    <w:rsid w:val="004C2F82"/>
    <w:rsid w:val="004C2FEF"/>
    <w:rsid w:val="004C32D3"/>
    <w:rsid w:val="004C35B5"/>
    <w:rsid w:val="004C3757"/>
    <w:rsid w:val="004C38EA"/>
    <w:rsid w:val="004C392A"/>
    <w:rsid w:val="004C3B51"/>
    <w:rsid w:val="004C3C20"/>
    <w:rsid w:val="004C3D95"/>
    <w:rsid w:val="004C3F05"/>
    <w:rsid w:val="004C428A"/>
    <w:rsid w:val="004C443C"/>
    <w:rsid w:val="004C44BC"/>
    <w:rsid w:val="004C44FE"/>
    <w:rsid w:val="004C4750"/>
    <w:rsid w:val="004C4A85"/>
    <w:rsid w:val="004C4BA4"/>
    <w:rsid w:val="004C4DBD"/>
    <w:rsid w:val="004C5283"/>
    <w:rsid w:val="004C5498"/>
    <w:rsid w:val="004C599E"/>
    <w:rsid w:val="004C5A6C"/>
    <w:rsid w:val="004C5B8C"/>
    <w:rsid w:val="004C5CB2"/>
    <w:rsid w:val="004C5F03"/>
    <w:rsid w:val="004C618C"/>
    <w:rsid w:val="004C6B16"/>
    <w:rsid w:val="004C6D05"/>
    <w:rsid w:val="004C70E1"/>
    <w:rsid w:val="004C720F"/>
    <w:rsid w:val="004C73AB"/>
    <w:rsid w:val="004C7522"/>
    <w:rsid w:val="004C7F2B"/>
    <w:rsid w:val="004C7F75"/>
    <w:rsid w:val="004C7F79"/>
    <w:rsid w:val="004D0251"/>
    <w:rsid w:val="004D0B97"/>
    <w:rsid w:val="004D1079"/>
    <w:rsid w:val="004D10A8"/>
    <w:rsid w:val="004D12E0"/>
    <w:rsid w:val="004D13BC"/>
    <w:rsid w:val="004D14CA"/>
    <w:rsid w:val="004D1550"/>
    <w:rsid w:val="004D15EA"/>
    <w:rsid w:val="004D1CAF"/>
    <w:rsid w:val="004D1FF0"/>
    <w:rsid w:val="004D2168"/>
    <w:rsid w:val="004D27BE"/>
    <w:rsid w:val="004D28BB"/>
    <w:rsid w:val="004D28CD"/>
    <w:rsid w:val="004D2F80"/>
    <w:rsid w:val="004D3259"/>
    <w:rsid w:val="004D369B"/>
    <w:rsid w:val="004D3896"/>
    <w:rsid w:val="004D3F26"/>
    <w:rsid w:val="004D41DE"/>
    <w:rsid w:val="004D4201"/>
    <w:rsid w:val="004D475E"/>
    <w:rsid w:val="004D4C5B"/>
    <w:rsid w:val="004D4F53"/>
    <w:rsid w:val="004D5105"/>
    <w:rsid w:val="004D5166"/>
    <w:rsid w:val="004D530C"/>
    <w:rsid w:val="004D5919"/>
    <w:rsid w:val="004D5AD4"/>
    <w:rsid w:val="004D5BA6"/>
    <w:rsid w:val="004D63B8"/>
    <w:rsid w:val="004D7387"/>
    <w:rsid w:val="004D73B6"/>
    <w:rsid w:val="004D73EB"/>
    <w:rsid w:val="004D7852"/>
    <w:rsid w:val="004D7D77"/>
    <w:rsid w:val="004E00FF"/>
    <w:rsid w:val="004E0AA2"/>
    <w:rsid w:val="004E0B0B"/>
    <w:rsid w:val="004E107D"/>
    <w:rsid w:val="004E1359"/>
    <w:rsid w:val="004E150F"/>
    <w:rsid w:val="004E1587"/>
    <w:rsid w:val="004E1645"/>
    <w:rsid w:val="004E1812"/>
    <w:rsid w:val="004E1985"/>
    <w:rsid w:val="004E19BD"/>
    <w:rsid w:val="004E1D4D"/>
    <w:rsid w:val="004E2267"/>
    <w:rsid w:val="004E282F"/>
    <w:rsid w:val="004E2FED"/>
    <w:rsid w:val="004E3292"/>
    <w:rsid w:val="004E3385"/>
    <w:rsid w:val="004E38F9"/>
    <w:rsid w:val="004E391D"/>
    <w:rsid w:val="004E3B63"/>
    <w:rsid w:val="004E3BBA"/>
    <w:rsid w:val="004E3C22"/>
    <w:rsid w:val="004E3D83"/>
    <w:rsid w:val="004E3FFE"/>
    <w:rsid w:val="004E41AE"/>
    <w:rsid w:val="004E47BB"/>
    <w:rsid w:val="004E4C33"/>
    <w:rsid w:val="004E4D49"/>
    <w:rsid w:val="004E4ECF"/>
    <w:rsid w:val="004E558D"/>
    <w:rsid w:val="004E57FF"/>
    <w:rsid w:val="004E5908"/>
    <w:rsid w:val="004E61F8"/>
    <w:rsid w:val="004E63D2"/>
    <w:rsid w:val="004E66C2"/>
    <w:rsid w:val="004E6952"/>
    <w:rsid w:val="004E6D7D"/>
    <w:rsid w:val="004E6E87"/>
    <w:rsid w:val="004E7002"/>
    <w:rsid w:val="004E7131"/>
    <w:rsid w:val="004E74D4"/>
    <w:rsid w:val="004E755D"/>
    <w:rsid w:val="004E76B5"/>
    <w:rsid w:val="004E7A15"/>
    <w:rsid w:val="004E7AA2"/>
    <w:rsid w:val="004E7C6E"/>
    <w:rsid w:val="004E7D09"/>
    <w:rsid w:val="004E7DBF"/>
    <w:rsid w:val="004E7E7C"/>
    <w:rsid w:val="004E7ED4"/>
    <w:rsid w:val="004F006D"/>
    <w:rsid w:val="004F0481"/>
    <w:rsid w:val="004F0936"/>
    <w:rsid w:val="004F0AD5"/>
    <w:rsid w:val="004F0B4E"/>
    <w:rsid w:val="004F0B85"/>
    <w:rsid w:val="004F0C74"/>
    <w:rsid w:val="004F0D6E"/>
    <w:rsid w:val="004F0E02"/>
    <w:rsid w:val="004F0E3A"/>
    <w:rsid w:val="004F0F26"/>
    <w:rsid w:val="004F1173"/>
    <w:rsid w:val="004F11DC"/>
    <w:rsid w:val="004F15F7"/>
    <w:rsid w:val="004F166E"/>
    <w:rsid w:val="004F1783"/>
    <w:rsid w:val="004F1EAD"/>
    <w:rsid w:val="004F1F11"/>
    <w:rsid w:val="004F2066"/>
    <w:rsid w:val="004F23F7"/>
    <w:rsid w:val="004F2731"/>
    <w:rsid w:val="004F2DE8"/>
    <w:rsid w:val="004F378E"/>
    <w:rsid w:val="004F37A5"/>
    <w:rsid w:val="004F3ACF"/>
    <w:rsid w:val="004F3BA7"/>
    <w:rsid w:val="004F3EB8"/>
    <w:rsid w:val="004F4561"/>
    <w:rsid w:val="004F45C5"/>
    <w:rsid w:val="004F48FD"/>
    <w:rsid w:val="004F4A21"/>
    <w:rsid w:val="004F4D5B"/>
    <w:rsid w:val="004F5169"/>
    <w:rsid w:val="004F5293"/>
    <w:rsid w:val="004F5433"/>
    <w:rsid w:val="004F54EB"/>
    <w:rsid w:val="004F5BC2"/>
    <w:rsid w:val="004F5C9E"/>
    <w:rsid w:val="004F5CB7"/>
    <w:rsid w:val="004F6D9F"/>
    <w:rsid w:val="004F7106"/>
    <w:rsid w:val="004F71BC"/>
    <w:rsid w:val="004F7337"/>
    <w:rsid w:val="004F7346"/>
    <w:rsid w:val="004F76C8"/>
    <w:rsid w:val="004F7937"/>
    <w:rsid w:val="004F7A18"/>
    <w:rsid w:val="004F7A9B"/>
    <w:rsid w:val="004F7B7F"/>
    <w:rsid w:val="004F7C70"/>
    <w:rsid w:val="004F7E45"/>
    <w:rsid w:val="005000CB"/>
    <w:rsid w:val="005001B2"/>
    <w:rsid w:val="005008DE"/>
    <w:rsid w:val="00500AFA"/>
    <w:rsid w:val="00500C45"/>
    <w:rsid w:val="00500CEB"/>
    <w:rsid w:val="00501643"/>
    <w:rsid w:val="005016B1"/>
    <w:rsid w:val="005018B8"/>
    <w:rsid w:val="005018C5"/>
    <w:rsid w:val="00501AC7"/>
    <w:rsid w:val="00501CA8"/>
    <w:rsid w:val="00501E94"/>
    <w:rsid w:val="00502194"/>
    <w:rsid w:val="005021C5"/>
    <w:rsid w:val="00502618"/>
    <w:rsid w:val="00502B27"/>
    <w:rsid w:val="00502C57"/>
    <w:rsid w:val="00503126"/>
    <w:rsid w:val="005033BA"/>
    <w:rsid w:val="00503F89"/>
    <w:rsid w:val="00503FB5"/>
    <w:rsid w:val="005040AE"/>
    <w:rsid w:val="005046AD"/>
    <w:rsid w:val="005046AE"/>
    <w:rsid w:val="005048CD"/>
    <w:rsid w:val="0050494C"/>
    <w:rsid w:val="00504BE5"/>
    <w:rsid w:val="00504F0E"/>
    <w:rsid w:val="00505183"/>
    <w:rsid w:val="00505229"/>
    <w:rsid w:val="00505A79"/>
    <w:rsid w:val="00505BF0"/>
    <w:rsid w:val="00505CF3"/>
    <w:rsid w:val="00505D3D"/>
    <w:rsid w:val="005061C2"/>
    <w:rsid w:val="0050678D"/>
    <w:rsid w:val="00506B06"/>
    <w:rsid w:val="00506EBF"/>
    <w:rsid w:val="00507172"/>
    <w:rsid w:val="005073B0"/>
    <w:rsid w:val="00507496"/>
    <w:rsid w:val="00507568"/>
    <w:rsid w:val="00507B95"/>
    <w:rsid w:val="00507CD4"/>
    <w:rsid w:val="00507EC1"/>
    <w:rsid w:val="005101CA"/>
    <w:rsid w:val="005105E7"/>
    <w:rsid w:val="00510A35"/>
    <w:rsid w:val="00510F75"/>
    <w:rsid w:val="00510FFD"/>
    <w:rsid w:val="00511049"/>
    <w:rsid w:val="0051112B"/>
    <w:rsid w:val="0051120F"/>
    <w:rsid w:val="005112E4"/>
    <w:rsid w:val="0051152E"/>
    <w:rsid w:val="0051153D"/>
    <w:rsid w:val="00511A20"/>
    <w:rsid w:val="00512886"/>
    <w:rsid w:val="00512895"/>
    <w:rsid w:val="0051299C"/>
    <w:rsid w:val="00512A04"/>
    <w:rsid w:val="00512E9A"/>
    <w:rsid w:val="005130B3"/>
    <w:rsid w:val="00513157"/>
    <w:rsid w:val="005134A7"/>
    <w:rsid w:val="00513623"/>
    <w:rsid w:val="00514257"/>
    <w:rsid w:val="0051434F"/>
    <w:rsid w:val="005146DF"/>
    <w:rsid w:val="00514A6C"/>
    <w:rsid w:val="00514E14"/>
    <w:rsid w:val="00514E8A"/>
    <w:rsid w:val="00515094"/>
    <w:rsid w:val="005156A0"/>
    <w:rsid w:val="00515C3A"/>
    <w:rsid w:val="00515D05"/>
    <w:rsid w:val="00515DCB"/>
    <w:rsid w:val="00515E93"/>
    <w:rsid w:val="00516345"/>
    <w:rsid w:val="00516459"/>
    <w:rsid w:val="00516609"/>
    <w:rsid w:val="005170FA"/>
    <w:rsid w:val="00517258"/>
    <w:rsid w:val="0051740C"/>
    <w:rsid w:val="00517420"/>
    <w:rsid w:val="00517C74"/>
    <w:rsid w:val="00520205"/>
    <w:rsid w:val="00520328"/>
    <w:rsid w:val="00520515"/>
    <w:rsid w:val="005206A4"/>
    <w:rsid w:val="00520838"/>
    <w:rsid w:val="005208EC"/>
    <w:rsid w:val="00520A00"/>
    <w:rsid w:val="00520A2C"/>
    <w:rsid w:val="00520C5A"/>
    <w:rsid w:val="00520EBC"/>
    <w:rsid w:val="00521183"/>
    <w:rsid w:val="0052181A"/>
    <w:rsid w:val="0052197B"/>
    <w:rsid w:val="00521AE3"/>
    <w:rsid w:val="00521B68"/>
    <w:rsid w:val="00521CFE"/>
    <w:rsid w:val="00521D26"/>
    <w:rsid w:val="00521F29"/>
    <w:rsid w:val="00521F94"/>
    <w:rsid w:val="00522310"/>
    <w:rsid w:val="0052235E"/>
    <w:rsid w:val="0052255C"/>
    <w:rsid w:val="0052347D"/>
    <w:rsid w:val="00523F4D"/>
    <w:rsid w:val="00524010"/>
    <w:rsid w:val="00524522"/>
    <w:rsid w:val="005246BA"/>
    <w:rsid w:val="00524906"/>
    <w:rsid w:val="00524968"/>
    <w:rsid w:val="00524D78"/>
    <w:rsid w:val="0052504C"/>
    <w:rsid w:val="005250FC"/>
    <w:rsid w:val="005255DC"/>
    <w:rsid w:val="00525CD7"/>
    <w:rsid w:val="005264B5"/>
    <w:rsid w:val="00526842"/>
    <w:rsid w:val="00526DD0"/>
    <w:rsid w:val="005270DB"/>
    <w:rsid w:val="0052711F"/>
    <w:rsid w:val="0052743D"/>
    <w:rsid w:val="00527666"/>
    <w:rsid w:val="00527696"/>
    <w:rsid w:val="00527722"/>
    <w:rsid w:val="005277A2"/>
    <w:rsid w:val="00527807"/>
    <w:rsid w:val="005279C2"/>
    <w:rsid w:val="00527BA1"/>
    <w:rsid w:val="00527C31"/>
    <w:rsid w:val="00530172"/>
    <w:rsid w:val="005302D4"/>
    <w:rsid w:val="00530A55"/>
    <w:rsid w:val="00530A67"/>
    <w:rsid w:val="00530CB7"/>
    <w:rsid w:val="00530CCF"/>
    <w:rsid w:val="00530FBD"/>
    <w:rsid w:val="005311AA"/>
    <w:rsid w:val="005312E1"/>
    <w:rsid w:val="005318F1"/>
    <w:rsid w:val="00531A68"/>
    <w:rsid w:val="00531C8A"/>
    <w:rsid w:val="00531CC7"/>
    <w:rsid w:val="00531DE4"/>
    <w:rsid w:val="00531E6B"/>
    <w:rsid w:val="00532460"/>
    <w:rsid w:val="00532673"/>
    <w:rsid w:val="00532749"/>
    <w:rsid w:val="00532EE6"/>
    <w:rsid w:val="00533222"/>
    <w:rsid w:val="005332F4"/>
    <w:rsid w:val="00533476"/>
    <w:rsid w:val="00533BFE"/>
    <w:rsid w:val="00533DA2"/>
    <w:rsid w:val="00534832"/>
    <w:rsid w:val="00534992"/>
    <w:rsid w:val="00534B11"/>
    <w:rsid w:val="00534D03"/>
    <w:rsid w:val="00534E70"/>
    <w:rsid w:val="005350FD"/>
    <w:rsid w:val="00535176"/>
    <w:rsid w:val="00535B92"/>
    <w:rsid w:val="00535C5D"/>
    <w:rsid w:val="00536217"/>
    <w:rsid w:val="0053638C"/>
    <w:rsid w:val="005363FA"/>
    <w:rsid w:val="0053649D"/>
    <w:rsid w:val="005365FA"/>
    <w:rsid w:val="00536A06"/>
    <w:rsid w:val="00536C58"/>
    <w:rsid w:val="00536FAD"/>
    <w:rsid w:val="005378E4"/>
    <w:rsid w:val="005401E4"/>
    <w:rsid w:val="00540375"/>
    <w:rsid w:val="00540560"/>
    <w:rsid w:val="005405B7"/>
    <w:rsid w:val="00540B0B"/>
    <w:rsid w:val="00540C5F"/>
    <w:rsid w:val="00540ED4"/>
    <w:rsid w:val="005418EB"/>
    <w:rsid w:val="00541CD6"/>
    <w:rsid w:val="00541CEA"/>
    <w:rsid w:val="00541F4F"/>
    <w:rsid w:val="005422E7"/>
    <w:rsid w:val="00542439"/>
    <w:rsid w:val="00542783"/>
    <w:rsid w:val="00542B2A"/>
    <w:rsid w:val="00543033"/>
    <w:rsid w:val="0054312A"/>
    <w:rsid w:val="0054361A"/>
    <w:rsid w:val="005437C9"/>
    <w:rsid w:val="0054390A"/>
    <w:rsid w:val="00543A3E"/>
    <w:rsid w:val="00543EC4"/>
    <w:rsid w:val="00543F5F"/>
    <w:rsid w:val="00544643"/>
    <w:rsid w:val="0054474A"/>
    <w:rsid w:val="0054477A"/>
    <w:rsid w:val="00544B01"/>
    <w:rsid w:val="00544C98"/>
    <w:rsid w:val="00544EA3"/>
    <w:rsid w:val="005455F8"/>
    <w:rsid w:val="005456B8"/>
    <w:rsid w:val="00545BDB"/>
    <w:rsid w:val="00545CAA"/>
    <w:rsid w:val="00545ED9"/>
    <w:rsid w:val="00545FF4"/>
    <w:rsid w:val="00546485"/>
    <w:rsid w:val="00546B94"/>
    <w:rsid w:val="00546CCB"/>
    <w:rsid w:val="00546DA6"/>
    <w:rsid w:val="00547529"/>
    <w:rsid w:val="005475BF"/>
    <w:rsid w:val="0054770B"/>
    <w:rsid w:val="005478BD"/>
    <w:rsid w:val="00547CD6"/>
    <w:rsid w:val="00550161"/>
    <w:rsid w:val="00550227"/>
    <w:rsid w:val="0055031B"/>
    <w:rsid w:val="005503B6"/>
    <w:rsid w:val="005503FB"/>
    <w:rsid w:val="00551040"/>
    <w:rsid w:val="005514AA"/>
    <w:rsid w:val="00551567"/>
    <w:rsid w:val="0055162F"/>
    <w:rsid w:val="00551638"/>
    <w:rsid w:val="00551806"/>
    <w:rsid w:val="00551B8B"/>
    <w:rsid w:val="00551BC0"/>
    <w:rsid w:val="005520BD"/>
    <w:rsid w:val="00552169"/>
    <w:rsid w:val="005521D0"/>
    <w:rsid w:val="005521E0"/>
    <w:rsid w:val="005522E6"/>
    <w:rsid w:val="00552529"/>
    <w:rsid w:val="00552608"/>
    <w:rsid w:val="00552909"/>
    <w:rsid w:val="00552B19"/>
    <w:rsid w:val="00552BD0"/>
    <w:rsid w:val="00552C73"/>
    <w:rsid w:val="00552DF4"/>
    <w:rsid w:val="00552ED6"/>
    <w:rsid w:val="00552F5F"/>
    <w:rsid w:val="00553208"/>
    <w:rsid w:val="00553284"/>
    <w:rsid w:val="00553287"/>
    <w:rsid w:val="00553455"/>
    <w:rsid w:val="00553484"/>
    <w:rsid w:val="00553A60"/>
    <w:rsid w:val="00554040"/>
    <w:rsid w:val="0055415D"/>
    <w:rsid w:val="0055417B"/>
    <w:rsid w:val="00554332"/>
    <w:rsid w:val="005547A7"/>
    <w:rsid w:val="00555058"/>
    <w:rsid w:val="005555D6"/>
    <w:rsid w:val="00555882"/>
    <w:rsid w:val="00555B5D"/>
    <w:rsid w:val="00555C27"/>
    <w:rsid w:val="00555C60"/>
    <w:rsid w:val="00555FE5"/>
    <w:rsid w:val="00556096"/>
    <w:rsid w:val="00556121"/>
    <w:rsid w:val="005563A1"/>
    <w:rsid w:val="00556670"/>
    <w:rsid w:val="005566A3"/>
    <w:rsid w:val="00556919"/>
    <w:rsid w:val="00556941"/>
    <w:rsid w:val="00556A35"/>
    <w:rsid w:val="005573B3"/>
    <w:rsid w:val="00557637"/>
    <w:rsid w:val="00557A4E"/>
    <w:rsid w:val="00557A9B"/>
    <w:rsid w:val="00557B42"/>
    <w:rsid w:val="00557E08"/>
    <w:rsid w:val="00557E96"/>
    <w:rsid w:val="00560BD4"/>
    <w:rsid w:val="00560C4A"/>
    <w:rsid w:val="00560D4F"/>
    <w:rsid w:val="00560F5B"/>
    <w:rsid w:val="00561609"/>
    <w:rsid w:val="005617CC"/>
    <w:rsid w:val="00561B8A"/>
    <w:rsid w:val="005620BA"/>
    <w:rsid w:val="00562294"/>
    <w:rsid w:val="005622F8"/>
    <w:rsid w:val="00562A2A"/>
    <w:rsid w:val="00562A7E"/>
    <w:rsid w:val="00562C66"/>
    <w:rsid w:val="0056331D"/>
    <w:rsid w:val="005633C5"/>
    <w:rsid w:val="0056348C"/>
    <w:rsid w:val="00563883"/>
    <w:rsid w:val="005638BA"/>
    <w:rsid w:val="00563AC4"/>
    <w:rsid w:val="00563EDB"/>
    <w:rsid w:val="00563F04"/>
    <w:rsid w:val="005642C4"/>
    <w:rsid w:val="00564396"/>
    <w:rsid w:val="00564511"/>
    <w:rsid w:val="005648FE"/>
    <w:rsid w:val="00564C6D"/>
    <w:rsid w:val="00565250"/>
    <w:rsid w:val="005658CD"/>
    <w:rsid w:val="00565F3C"/>
    <w:rsid w:val="005665B0"/>
    <w:rsid w:val="0056675A"/>
    <w:rsid w:val="00567101"/>
    <w:rsid w:val="005674AD"/>
    <w:rsid w:val="005677E4"/>
    <w:rsid w:val="00567975"/>
    <w:rsid w:val="005679AD"/>
    <w:rsid w:val="00567B81"/>
    <w:rsid w:val="00567E61"/>
    <w:rsid w:val="00567FB5"/>
    <w:rsid w:val="00570490"/>
    <w:rsid w:val="005704EB"/>
    <w:rsid w:val="0057096A"/>
    <w:rsid w:val="005709ED"/>
    <w:rsid w:val="00570B5A"/>
    <w:rsid w:val="00570B7A"/>
    <w:rsid w:val="00570D3D"/>
    <w:rsid w:val="00571134"/>
    <w:rsid w:val="00571175"/>
    <w:rsid w:val="00571564"/>
    <w:rsid w:val="005715E2"/>
    <w:rsid w:val="00571682"/>
    <w:rsid w:val="00571696"/>
    <w:rsid w:val="005716E8"/>
    <w:rsid w:val="0057173D"/>
    <w:rsid w:val="00571790"/>
    <w:rsid w:val="005717C0"/>
    <w:rsid w:val="00571993"/>
    <w:rsid w:val="00571B97"/>
    <w:rsid w:val="00571BB9"/>
    <w:rsid w:val="00571DAB"/>
    <w:rsid w:val="00571EA3"/>
    <w:rsid w:val="005722D3"/>
    <w:rsid w:val="00572774"/>
    <w:rsid w:val="0057290E"/>
    <w:rsid w:val="0057292A"/>
    <w:rsid w:val="00572A34"/>
    <w:rsid w:val="00572D22"/>
    <w:rsid w:val="00572DF3"/>
    <w:rsid w:val="00573107"/>
    <w:rsid w:val="00573297"/>
    <w:rsid w:val="00573349"/>
    <w:rsid w:val="005735B1"/>
    <w:rsid w:val="00573700"/>
    <w:rsid w:val="00573BDC"/>
    <w:rsid w:val="00573BEB"/>
    <w:rsid w:val="00573C9D"/>
    <w:rsid w:val="00573FAC"/>
    <w:rsid w:val="0057425F"/>
    <w:rsid w:val="00574301"/>
    <w:rsid w:val="005743CF"/>
    <w:rsid w:val="005743F3"/>
    <w:rsid w:val="005744DE"/>
    <w:rsid w:val="00574561"/>
    <w:rsid w:val="005745EB"/>
    <w:rsid w:val="00574E2D"/>
    <w:rsid w:val="00574ED7"/>
    <w:rsid w:val="00574F52"/>
    <w:rsid w:val="00575128"/>
    <w:rsid w:val="005759F1"/>
    <w:rsid w:val="00575AC0"/>
    <w:rsid w:val="00575B32"/>
    <w:rsid w:val="00575B70"/>
    <w:rsid w:val="00575D6E"/>
    <w:rsid w:val="00575EAF"/>
    <w:rsid w:val="00576380"/>
    <w:rsid w:val="005764B1"/>
    <w:rsid w:val="00576509"/>
    <w:rsid w:val="00576990"/>
    <w:rsid w:val="00576EBE"/>
    <w:rsid w:val="00576FC1"/>
    <w:rsid w:val="0057764B"/>
    <w:rsid w:val="005776E5"/>
    <w:rsid w:val="00577718"/>
    <w:rsid w:val="00577A3D"/>
    <w:rsid w:val="00577BA0"/>
    <w:rsid w:val="00577EFA"/>
    <w:rsid w:val="00577F3F"/>
    <w:rsid w:val="00580330"/>
    <w:rsid w:val="0058048B"/>
    <w:rsid w:val="005806D7"/>
    <w:rsid w:val="0058073B"/>
    <w:rsid w:val="00580748"/>
    <w:rsid w:val="00580801"/>
    <w:rsid w:val="005808B6"/>
    <w:rsid w:val="00581376"/>
    <w:rsid w:val="005813FE"/>
    <w:rsid w:val="00581920"/>
    <w:rsid w:val="00581978"/>
    <w:rsid w:val="00581D67"/>
    <w:rsid w:val="005824AB"/>
    <w:rsid w:val="0058268E"/>
    <w:rsid w:val="0058275F"/>
    <w:rsid w:val="00582859"/>
    <w:rsid w:val="005828E8"/>
    <w:rsid w:val="005829AD"/>
    <w:rsid w:val="005829DD"/>
    <w:rsid w:val="00582ACC"/>
    <w:rsid w:val="00582BAE"/>
    <w:rsid w:val="00583026"/>
    <w:rsid w:val="0058315F"/>
    <w:rsid w:val="00583951"/>
    <w:rsid w:val="00583A99"/>
    <w:rsid w:val="00583FA9"/>
    <w:rsid w:val="00584352"/>
    <w:rsid w:val="00584702"/>
    <w:rsid w:val="00584A46"/>
    <w:rsid w:val="005853EC"/>
    <w:rsid w:val="00585A35"/>
    <w:rsid w:val="00585BCF"/>
    <w:rsid w:val="00585E6E"/>
    <w:rsid w:val="00585FA1"/>
    <w:rsid w:val="0058624E"/>
    <w:rsid w:val="0058632F"/>
    <w:rsid w:val="0058665B"/>
    <w:rsid w:val="005868C1"/>
    <w:rsid w:val="00586907"/>
    <w:rsid w:val="005869FA"/>
    <w:rsid w:val="00586AEA"/>
    <w:rsid w:val="00586DE4"/>
    <w:rsid w:val="00586E2B"/>
    <w:rsid w:val="0058751C"/>
    <w:rsid w:val="00587652"/>
    <w:rsid w:val="00587744"/>
    <w:rsid w:val="00587E2F"/>
    <w:rsid w:val="00587FA6"/>
    <w:rsid w:val="005907A0"/>
    <w:rsid w:val="0059082A"/>
    <w:rsid w:val="00590A4E"/>
    <w:rsid w:val="00590D44"/>
    <w:rsid w:val="0059143E"/>
    <w:rsid w:val="005915C0"/>
    <w:rsid w:val="005916AB"/>
    <w:rsid w:val="0059190A"/>
    <w:rsid w:val="00591AAF"/>
    <w:rsid w:val="005921B0"/>
    <w:rsid w:val="00592353"/>
    <w:rsid w:val="00592751"/>
    <w:rsid w:val="00592C05"/>
    <w:rsid w:val="00593174"/>
    <w:rsid w:val="00593255"/>
    <w:rsid w:val="005932C4"/>
    <w:rsid w:val="00593593"/>
    <w:rsid w:val="005939B7"/>
    <w:rsid w:val="00593B9B"/>
    <w:rsid w:val="005940FD"/>
    <w:rsid w:val="0059411E"/>
    <w:rsid w:val="00594195"/>
    <w:rsid w:val="005942E6"/>
    <w:rsid w:val="00594306"/>
    <w:rsid w:val="0059458B"/>
    <w:rsid w:val="0059522E"/>
    <w:rsid w:val="00595715"/>
    <w:rsid w:val="00595D8A"/>
    <w:rsid w:val="00595F4B"/>
    <w:rsid w:val="00595FD3"/>
    <w:rsid w:val="00596439"/>
    <w:rsid w:val="0059671A"/>
    <w:rsid w:val="005968C8"/>
    <w:rsid w:val="00596C65"/>
    <w:rsid w:val="00596D63"/>
    <w:rsid w:val="00596FB7"/>
    <w:rsid w:val="00597019"/>
    <w:rsid w:val="005976F3"/>
    <w:rsid w:val="00597866"/>
    <w:rsid w:val="00597C44"/>
    <w:rsid w:val="00597E74"/>
    <w:rsid w:val="00597FB4"/>
    <w:rsid w:val="005A049A"/>
    <w:rsid w:val="005A06ED"/>
    <w:rsid w:val="005A0AD3"/>
    <w:rsid w:val="005A1A9D"/>
    <w:rsid w:val="005A1CED"/>
    <w:rsid w:val="005A1D56"/>
    <w:rsid w:val="005A20E2"/>
    <w:rsid w:val="005A221B"/>
    <w:rsid w:val="005A22E1"/>
    <w:rsid w:val="005A24EA"/>
    <w:rsid w:val="005A27BE"/>
    <w:rsid w:val="005A2A48"/>
    <w:rsid w:val="005A327A"/>
    <w:rsid w:val="005A3865"/>
    <w:rsid w:val="005A3958"/>
    <w:rsid w:val="005A3AD0"/>
    <w:rsid w:val="005A3B39"/>
    <w:rsid w:val="005A4426"/>
    <w:rsid w:val="005A44D0"/>
    <w:rsid w:val="005A44E7"/>
    <w:rsid w:val="005A48F1"/>
    <w:rsid w:val="005A498F"/>
    <w:rsid w:val="005A4A5B"/>
    <w:rsid w:val="005A4AB4"/>
    <w:rsid w:val="005A521C"/>
    <w:rsid w:val="005A5609"/>
    <w:rsid w:val="005A5EF0"/>
    <w:rsid w:val="005A6115"/>
    <w:rsid w:val="005A6430"/>
    <w:rsid w:val="005A6643"/>
    <w:rsid w:val="005A672B"/>
    <w:rsid w:val="005A684E"/>
    <w:rsid w:val="005A693D"/>
    <w:rsid w:val="005A6AA0"/>
    <w:rsid w:val="005A6AAC"/>
    <w:rsid w:val="005A6EA8"/>
    <w:rsid w:val="005A6EA9"/>
    <w:rsid w:val="005A7416"/>
    <w:rsid w:val="005A7A63"/>
    <w:rsid w:val="005A7A97"/>
    <w:rsid w:val="005A7E39"/>
    <w:rsid w:val="005A7F15"/>
    <w:rsid w:val="005B0266"/>
    <w:rsid w:val="005B06CF"/>
    <w:rsid w:val="005B0811"/>
    <w:rsid w:val="005B0912"/>
    <w:rsid w:val="005B0BB4"/>
    <w:rsid w:val="005B0C2E"/>
    <w:rsid w:val="005B0EFA"/>
    <w:rsid w:val="005B164A"/>
    <w:rsid w:val="005B1753"/>
    <w:rsid w:val="005B1E09"/>
    <w:rsid w:val="005B2432"/>
    <w:rsid w:val="005B2A44"/>
    <w:rsid w:val="005B2ADE"/>
    <w:rsid w:val="005B2B5C"/>
    <w:rsid w:val="005B2F5F"/>
    <w:rsid w:val="005B2FFC"/>
    <w:rsid w:val="005B3304"/>
    <w:rsid w:val="005B33D5"/>
    <w:rsid w:val="005B34FA"/>
    <w:rsid w:val="005B3CCB"/>
    <w:rsid w:val="005B3E51"/>
    <w:rsid w:val="005B4277"/>
    <w:rsid w:val="005B44B5"/>
    <w:rsid w:val="005B462C"/>
    <w:rsid w:val="005B4B1D"/>
    <w:rsid w:val="005B4B1F"/>
    <w:rsid w:val="005B4BD8"/>
    <w:rsid w:val="005B4FC1"/>
    <w:rsid w:val="005B5357"/>
    <w:rsid w:val="005B55A4"/>
    <w:rsid w:val="005B5656"/>
    <w:rsid w:val="005B622E"/>
    <w:rsid w:val="005B6333"/>
    <w:rsid w:val="005B6458"/>
    <w:rsid w:val="005B6802"/>
    <w:rsid w:val="005B6D53"/>
    <w:rsid w:val="005B6EAE"/>
    <w:rsid w:val="005B73E3"/>
    <w:rsid w:val="005B78BC"/>
    <w:rsid w:val="005B7BB6"/>
    <w:rsid w:val="005B7D5F"/>
    <w:rsid w:val="005B7DE7"/>
    <w:rsid w:val="005B7F6D"/>
    <w:rsid w:val="005C01F1"/>
    <w:rsid w:val="005C0232"/>
    <w:rsid w:val="005C03A8"/>
    <w:rsid w:val="005C03FE"/>
    <w:rsid w:val="005C0719"/>
    <w:rsid w:val="005C074D"/>
    <w:rsid w:val="005C0786"/>
    <w:rsid w:val="005C0904"/>
    <w:rsid w:val="005C0930"/>
    <w:rsid w:val="005C0C22"/>
    <w:rsid w:val="005C1312"/>
    <w:rsid w:val="005C151A"/>
    <w:rsid w:val="005C16AF"/>
    <w:rsid w:val="005C226D"/>
    <w:rsid w:val="005C2DC0"/>
    <w:rsid w:val="005C2DFC"/>
    <w:rsid w:val="005C315B"/>
    <w:rsid w:val="005C319F"/>
    <w:rsid w:val="005C320E"/>
    <w:rsid w:val="005C327A"/>
    <w:rsid w:val="005C347B"/>
    <w:rsid w:val="005C3640"/>
    <w:rsid w:val="005C366E"/>
    <w:rsid w:val="005C3678"/>
    <w:rsid w:val="005C38BB"/>
    <w:rsid w:val="005C393B"/>
    <w:rsid w:val="005C39A8"/>
    <w:rsid w:val="005C3B8B"/>
    <w:rsid w:val="005C3C4D"/>
    <w:rsid w:val="005C3E97"/>
    <w:rsid w:val="005C4264"/>
    <w:rsid w:val="005C4470"/>
    <w:rsid w:val="005C46DB"/>
    <w:rsid w:val="005C47BF"/>
    <w:rsid w:val="005C48FC"/>
    <w:rsid w:val="005C4DD6"/>
    <w:rsid w:val="005C4F49"/>
    <w:rsid w:val="005C5110"/>
    <w:rsid w:val="005C5233"/>
    <w:rsid w:val="005C5297"/>
    <w:rsid w:val="005C549B"/>
    <w:rsid w:val="005C562F"/>
    <w:rsid w:val="005C56B7"/>
    <w:rsid w:val="005C57D8"/>
    <w:rsid w:val="005C58A3"/>
    <w:rsid w:val="005C596B"/>
    <w:rsid w:val="005C5B4B"/>
    <w:rsid w:val="005C5F18"/>
    <w:rsid w:val="005C603A"/>
    <w:rsid w:val="005C6071"/>
    <w:rsid w:val="005C67A7"/>
    <w:rsid w:val="005C712A"/>
    <w:rsid w:val="005C7187"/>
    <w:rsid w:val="005C719C"/>
    <w:rsid w:val="005C7399"/>
    <w:rsid w:val="005C77E3"/>
    <w:rsid w:val="005C784C"/>
    <w:rsid w:val="005C7868"/>
    <w:rsid w:val="005D0087"/>
    <w:rsid w:val="005D030A"/>
    <w:rsid w:val="005D0597"/>
    <w:rsid w:val="005D0F67"/>
    <w:rsid w:val="005D1350"/>
    <w:rsid w:val="005D1791"/>
    <w:rsid w:val="005D187A"/>
    <w:rsid w:val="005D1BBB"/>
    <w:rsid w:val="005D1CE7"/>
    <w:rsid w:val="005D2020"/>
    <w:rsid w:val="005D2154"/>
    <w:rsid w:val="005D231A"/>
    <w:rsid w:val="005D2740"/>
    <w:rsid w:val="005D2902"/>
    <w:rsid w:val="005D2A46"/>
    <w:rsid w:val="005D2A92"/>
    <w:rsid w:val="005D2FE7"/>
    <w:rsid w:val="005D3257"/>
    <w:rsid w:val="005D33A1"/>
    <w:rsid w:val="005D350E"/>
    <w:rsid w:val="005D359C"/>
    <w:rsid w:val="005D35B6"/>
    <w:rsid w:val="005D393C"/>
    <w:rsid w:val="005D39E6"/>
    <w:rsid w:val="005D4053"/>
    <w:rsid w:val="005D432F"/>
    <w:rsid w:val="005D445D"/>
    <w:rsid w:val="005D4578"/>
    <w:rsid w:val="005D4FC7"/>
    <w:rsid w:val="005D58D0"/>
    <w:rsid w:val="005D58EE"/>
    <w:rsid w:val="005D5C75"/>
    <w:rsid w:val="005D6070"/>
    <w:rsid w:val="005D61BD"/>
    <w:rsid w:val="005D6308"/>
    <w:rsid w:val="005D64EA"/>
    <w:rsid w:val="005D6C12"/>
    <w:rsid w:val="005D6C97"/>
    <w:rsid w:val="005D6D0B"/>
    <w:rsid w:val="005D6D24"/>
    <w:rsid w:val="005D7099"/>
    <w:rsid w:val="005D743A"/>
    <w:rsid w:val="005D7B5F"/>
    <w:rsid w:val="005D7EE4"/>
    <w:rsid w:val="005E033D"/>
    <w:rsid w:val="005E0752"/>
    <w:rsid w:val="005E0818"/>
    <w:rsid w:val="005E0A4D"/>
    <w:rsid w:val="005E0A67"/>
    <w:rsid w:val="005E0E19"/>
    <w:rsid w:val="005E0FC3"/>
    <w:rsid w:val="005E103A"/>
    <w:rsid w:val="005E11C6"/>
    <w:rsid w:val="005E131B"/>
    <w:rsid w:val="005E15B9"/>
    <w:rsid w:val="005E15EB"/>
    <w:rsid w:val="005E1766"/>
    <w:rsid w:val="005E1868"/>
    <w:rsid w:val="005E1918"/>
    <w:rsid w:val="005E19D1"/>
    <w:rsid w:val="005E1A24"/>
    <w:rsid w:val="005E1AFD"/>
    <w:rsid w:val="005E1F7D"/>
    <w:rsid w:val="005E22F1"/>
    <w:rsid w:val="005E25A6"/>
    <w:rsid w:val="005E2883"/>
    <w:rsid w:val="005E335F"/>
    <w:rsid w:val="005E3970"/>
    <w:rsid w:val="005E398E"/>
    <w:rsid w:val="005E3A47"/>
    <w:rsid w:val="005E3B22"/>
    <w:rsid w:val="005E3E70"/>
    <w:rsid w:val="005E422F"/>
    <w:rsid w:val="005E423A"/>
    <w:rsid w:val="005E4388"/>
    <w:rsid w:val="005E4829"/>
    <w:rsid w:val="005E49BF"/>
    <w:rsid w:val="005E4A67"/>
    <w:rsid w:val="005E4C4F"/>
    <w:rsid w:val="005E50B1"/>
    <w:rsid w:val="005E52EA"/>
    <w:rsid w:val="005E538E"/>
    <w:rsid w:val="005E5C65"/>
    <w:rsid w:val="005E5C97"/>
    <w:rsid w:val="005E5E81"/>
    <w:rsid w:val="005E62D0"/>
    <w:rsid w:val="005E6361"/>
    <w:rsid w:val="005E636B"/>
    <w:rsid w:val="005E6379"/>
    <w:rsid w:val="005E6387"/>
    <w:rsid w:val="005E6429"/>
    <w:rsid w:val="005E6BD7"/>
    <w:rsid w:val="005E76E1"/>
    <w:rsid w:val="005E7B29"/>
    <w:rsid w:val="005E7BC9"/>
    <w:rsid w:val="005E7C32"/>
    <w:rsid w:val="005E7E57"/>
    <w:rsid w:val="005E7E8A"/>
    <w:rsid w:val="005E7E9A"/>
    <w:rsid w:val="005E7F33"/>
    <w:rsid w:val="005E7F3E"/>
    <w:rsid w:val="005F00AA"/>
    <w:rsid w:val="005F0187"/>
    <w:rsid w:val="005F08C6"/>
    <w:rsid w:val="005F0F03"/>
    <w:rsid w:val="005F0F56"/>
    <w:rsid w:val="005F1063"/>
    <w:rsid w:val="005F12DE"/>
    <w:rsid w:val="005F14DB"/>
    <w:rsid w:val="005F1669"/>
    <w:rsid w:val="005F1720"/>
    <w:rsid w:val="005F1922"/>
    <w:rsid w:val="005F1DB4"/>
    <w:rsid w:val="005F1E74"/>
    <w:rsid w:val="005F200C"/>
    <w:rsid w:val="005F244C"/>
    <w:rsid w:val="005F24F6"/>
    <w:rsid w:val="005F26F7"/>
    <w:rsid w:val="005F31FC"/>
    <w:rsid w:val="005F3419"/>
    <w:rsid w:val="005F3CF9"/>
    <w:rsid w:val="005F3DBC"/>
    <w:rsid w:val="005F3E19"/>
    <w:rsid w:val="005F3E94"/>
    <w:rsid w:val="005F4348"/>
    <w:rsid w:val="005F437A"/>
    <w:rsid w:val="005F4A02"/>
    <w:rsid w:val="005F4A74"/>
    <w:rsid w:val="005F4A81"/>
    <w:rsid w:val="005F524F"/>
    <w:rsid w:val="005F52DC"/>
    <w:rsid w:val="005F5458"/>
    <w:rsid w:val="005F55C0"/>
    <w:rsid w:val="005F5748"/>
    <w:rsid w:val="005F5819"/>
    <w:rsid w:val="005F61DD"/>
    <w:rsid w:val="005F6356"/>
    <w:rsid w:val="005F63A1"/>
    <w:rsid w:val="005F649C"/>
    <w:rsid w:val="005F65A4"/>
    <w:rsid w:val="005F6671"/>
    <w:rsid w:val="005F66E2"/>
    <w:rsid w:val="005F676E"/>
    <w:rsid w:val="005F682C"/>
    <w:rsid w:val="005F6B92"/>
    <w:rsid w:val="005F7000"/>
    <w:rsid w:val="005F7085"/>
    <w:rsid w:val="005F7172"/>
    <w:rsid w:val="005F71CC"/>
    <w:rsid w:val="005F73FD"/>
    <w:rsid w:val="005F7DCB"/>
    <w:rsid w:val="005F7FB6"/>
    <w:rsid w:val="006003C9"/>
    <w:rsid w:val="0060054B"/>
    <w:rsid w:val="006005A1"/>
    <w:rsid w:val="00600811"/>
    <w:rsid w:val="00600CBD"/>
    <w:rsid w:val="006012CB"/>
    <w:rsid w:val="006012D8"/>
    <w:rsid w:val="00601712"/>
    <w:rsid w:val="0060171F"/>
    <w:rsid w:val="0060186D"/>
    <w:rsid w:val="00601AE8"/>
    <w:rsid w:val="00601DFA"/>
    <w:rsid w:val="00601E4F"/>
    <w:rsid w:val="006020FD"/>
    <w:rsid w:val="00602127"/>
    <w:rsid w:val="0060257F"/>
    <w:rsid w:val="00602AB5"/>
    <w:rsid w:val="00602C0E"/>
    <w:rsid w:val="00602FB6"/>
    <w:rsid w:val="0060316C"/>
    <w:rsid w:val="0060329A"/>
    <w:rsid w:val="00603581"/>
    <w:rsid w:val="006037E0"/>
    <w:rsid w:val="00603872"/>
    <w:rsid w:val="00603A76"/>
    <w:rsid w:val="00603AC8"/>
    <w:rsid w:val="00603BF1"/>
    <w:rsid w:val="00604128"/>
    <w:rsid w:val="00604288"/>
    <w:rsid w:val="0060444C"/>
    <w:rsid w:val="00604701"/>
    <w:rsid w:val="0060470A"/>
    <w:rsid w:val="006049BF"/>
    <w:rsid w:val="006049C0"/>
    <w:rsid w:val="00604B8F"/>
    <w:rsid w:val="00604CB4"/>
    <w:rsid w:val="00604F88"/>
    <w:rsid w:val="006053A8"/>
    <w:rsid w:val="0060572E"/>
    <w:rsid w:val="006061AA"/>
    <w:rsid w:val="00606329"/>
    <w:rsid w:val="006066D9"/>
    <w:rsid w:val="0060670C"/>
    <w:rsid w:val="0060693E"/>
    <w:rsid w:val="00606EAE"/>
    <w:rsid w:val="0060725D"/>
    <w:rsid w:val="00607BB1"/>
    <w:rsid w:val="00607C9A"/>
    <w:rsid w:val="00607D53"/>
    <w:rsid w:val="00607D55"/>
    <w:rsid w:val="00607FDF"/>
    <w:rsid w:val="0061029B"/>
    <w:rsid w:val="00610428"/>
    <w:rsid w:val="00610954"/>
    <w:rsid w:val="00610A06"/>
    <w:rsid w:val="00610B7A"/>
    <w:rsid w:val="00610E69"/>
    <w:rsid w:val="00610EC4"/>
    <w:rsid w:val="0061104D"/>
    <w:rsid w:val="006114E5"/>
    <w:rsid w:val="00611684"/>
    <w:rsid w:val="006118E0"/>
    <w:rsid w:val="00611AC1"/>
    <w:rsid w:val="006120DC"/>
    <w:rsid w:val="00612144"/>
    <w:rsid w:val="006123BA"/>
    <w:rsid w:val="006127A4"/>
    <w:rsid w:val="00612B14"/>
    <w:rsid w:val="00612B39"/>
    <w:rsid w:val="00612F79"/>
    <w:rsid w:val="00613E08"/>
    <w:rsid w:val="006146AF"/>
    <w:rsid w:val="00614875"/>
    <w:rsid w:val="00614A21"/>
    <w:rsid w:val="00615476"/>
    <w:rsid w:val="0061561B"/>
    <w:rsid w:val="00615723"/>
    <w:rsid w:val="006158F8"/>
    <w:rsid w:val="00615CA0"/>
    <w:rsid w:val="00615FF4"/>
    <w:rsid w:val="0061617F"/>
    <w:rsid w:val="00616505"/>
    <w:rsid w:val="006167BC"/>
    <w:rsid w:val="006168C2"/>
    <w:rsid w:val="006173CE"/>
    <w:rsid w:val="006176C0"/>
    <w:rsid w:val="00617BDF"/>
    <w:rsid w:val="00617C39"/>
    <w:rsid w:val="00617E29"/>
    <w:rsid w:val="00617E49"/>
    <w:rsid w:val="00617E7E"/>
    <w:rsid w:val="006200FB"/>
    <w:rsid w:val="00620184"/>
    <w:rsid w:val="00620322"/>
    <w:rsid w:val="00620380"/>
    <w:rsid w:val="0062057F"/>
    <w:rsid w:val="006206EB"/>
    <w:rsid w:val="00620813"/>
    <w:rsid w:val="006209FA"/>
    <w:rsid w:val="00620B44"/>
    <w:rsid w:val="006214AC"/>
    <w:rsid w:val="006214DC"/>
    <w:rsid w:val="00621516"/>
    <w:rsid w:val="006215E3"/>
    <w:rsid w:val="00621692"/>
    <w:rsid w:val="0062243C"/>
    <w:rsid w:val="00622787"/>
    <w:rsid w:val="00622971"/>
    <w:rsid w:val="00622A67"/>
    <w:rsid w:val="00623020"/>
    <w:rsid w:val="006235CE"/>
    <w:rsid w:val="006238E2"/>
    <w:rsid w:val="00623953"/>
    <w:rsid w:val="00623B18"/>
    <w:rsid w:val="00623B37"/>
    <w:rsid w:val="00623B53"/>
    <w:rsid w:val="00623C28"/>
    <w:rsid w:val="00623CAA"/>
    <w:rsid w:val="00623CB3"/>
    <w:rsid w:val="00623D7A"/>
    <w:rsid w:val="00623F36"/>
    <w:rsid w:val="00624210"/>
    <w:rsid w:val="006242C1"/>
    <w:rsid w:val="00624434"/>
    <w:rsid w:val="00624665"/>
    <w:rsid w:val="0062469B"/>
    <w:rsid w:val="006248E5"/>
    <w:rsid w:val="0062498C"/>
    <w:rsid w:val="00624F4C"/>
    <w:rsid w:val="00624F7F"/>
    <w:rsid w:val="006251BB"/>
    <w:rsid w:val="00625562"/>
    <w:rsid w:val="00625959"/>
    <w:rsid w:val="00625BF8"/>
    <w:rsid w:val="00625CBE"/>
    <w:rsid w:val="00626044"/>
    <w:rsid w:val="00626177"/>
    <w:rsid w:val="00626221"/>
    <w:rsid w:val="006263E6"/>
    <w:rsid w:val="0062643B"/>
    <w:rsid w:val="00626B71"/>
    <w:rsid w:val="00627319"/>
    <w:rsid w:val="0062745B"/>
    <w:rsid w:val="0062761D"/>
    <w:rsid w:val="006276E0"/>
    <w:rsid w:val="006277A3"/>
    <w:rsid w:val="006278E5"/>
    <w:rsid w:val="006279D1"/>
    <w:rsid w:val="00627AD3"/>
    <w:rsid w:val="00627D56"/>
    <w:rsid w:val="00627E11"/>
    <w:rsid w:val="0063037A"/>
    <w:rsid w:val="00630445"/>
    <w:rsid w:val="00630AA8"/>
    <w:rsid w:val="0063106E"/>
    <w:rsid w:val="006315F0"/>
    <w:rsid w:val="006316C7"/>
    <w:rsid w:val="00631D5C"/>
    <w:rsid w:val="00631DB4"/>
    <w:rsid w:val="00631E7E"/>
    <w:rsid w:val="00631EAC"/>
    <w:rsid w:val="00631FF3"/>
    <w:rsid w:val="006324B6"/>
    <w:rsid w:val="006324CB"/>
    <w:rsid w:val="006327F8"/>
    <w:rsid w:val="0063287C"/>
    <w:rsid w:val="006329BC"/>
    <w:rsid w:val="00632A03"/>
    <w:rsid w:val="00632BA2"/>
    <w:rsid w:val="00632C4F"/>
    <w:rsid w:val="00632D2A"/>
    <w:rsid w:val="00632EB6"/>
    <w:rsid w:val="0063300A"/>
    <w:rsid w:val="00633150"/>
    <w:rsid w:val="00633739"/>
    <w:rsid w:val="006337A8"/>
    <w:rsid w:val="00633960"/>
    <w:rsid w:val="00633ECE"/>
    <w:rsid w:val="00633FA0"/>
    <w:rsid w:val="00633FAD"/>
    <w:rsid w:val="00634376"/>
    <w:rsid w:val="0063495B"/>
    <w:rsid w:val="00634B89"/>
    <w:rsid w:val="00634C3F"/>
    <w:rsid w:val="00634D36"/>
    <w:rsid w:val="00634D8B"/>
    <w:rsid w:val="00635058"/>
    <w:rsid w:val="00635128"/>
    <w:rsid w:val="006352FA"/>
    <w:rsid w:val="00635ADF"/>
    <w:rsid w:val="00635BAF"/>
    <w:rsid w:val="00635CBE"/>
    <w:rsid w:val="006360ED"/>
    <w:rsid w:val="006360FE"/>
    <w:rsid w:val="00637097"/>
    <w:rsid w:val="0063713A"/>
    <w:rsid w:val="006372E4"/>
    <w:rsid w:val="00637672"/>
    <w:rsid w:val="006379DD"/>
    <w:rsid w:val="00637C11"/>
    <w:rsid w:val="00640043"/>
    <w:rsid w:val="00640045"/>
    <w:rsid w:val="00640271"/>
    <w:rsid w:val="0064038F"/>
    <w:rsid w:val="006403D0"/>
    <w:rsid w:val="006404CC"/>
    <w:rsid w:val="00640744"/>
    <w:rsid w:val="00640751"/>
    <w:rsid w:val="00640784"/>
    <w:rsid w:val="006408AF"/>
    <w:rsid w:val="00640CC2"/>
    <w:rsid w:val="00640E66"/>
    <w:rsid w:val="0064101F"/>
    <w:rsid w:val="00641082"/>
    <w:rsid w:val="0064147B"/>
    <w:rsid w:val="006414CD"/>
    <w:rsid w:val="006417DD"/>
    <w:rsid w:val="00641960"/>
    <w:rsid w:val="00641CFF"/>
    <w:rsid w:val="0064204E"/>
    <w:rsid w:val="00642160"/>
    <w:rsid w:val="00642BAE"/>
    <w:rsid w:val="00642E6B"/>
    <w:rsid w:val="0064308C"/>
    <w:rsid w:val="0064345E"/>
    <w:rsid w:val="00643B17"/>
    <w:rsid w:val="00643E69"/>
    <w:rsid w:val="006440EE"/>
    <w:rsid w:val="006442C3"/>
    <w:rsid w:val="00644436"/>
    <w:rsid w:val="006447C7"/>
    <w:rsid w:val="00644C41"/>
    <w:rsid w:val="00644DBA"/>
    <w:rsid w:val="006450FD"/>
    <w:rsid w:val="0064511A"/>
    <w:rsid w:val="0064559B"/>
    <w:rsid w:val="00645877"/>
    <w:rsid w:val="006458AD"/>
    <w:rsid w:val="00645C62"/>
    <w:rsid w:val="00645EB5"/>
    <w:rsid w:val="00645FF2"/>
    <w:rsid w:val="006462DD"/>
    <w:rsid w:val="006469DA"/>
    <w:rsid w:val="00646A0C"/>
    <w:rsid w:val="00646B8E"/>
    <w:rsid w:val="00646C13"/>
    <w:rsid w:val="00646C5B"/>
    <w:rsid w:val="00646CE0"/>
    <w:rsid w:val="0064709D"/>
    <w:rsid w:val="006470FB"/>
    <w:rsid w:val="00647168"/>
    <w:rsid w:val="006473A8"/>
    <w:rsid w:val="0064759E"/>
    <w:rsid w:val="0064776D"/>
    <w:rsid w:val="00647869"/>
    <w:rsid w:val="0064795C"/>
    <w:rsid w:val="00647C32"/>
    <w:rsid w:val="00647E78"/>
    <w:rsid w:val="006500F6"/>
    <w:rsid w:val="00650318"/>
    <w:rsid w:val="006503C2"/>
    <w:rsid w:val="00650565"/>
    <w:rsid w:val="00650B6B"/>
    <w:rsid w:val="00650E0D"/>
    <w:rsid w:val="00651541"/>
    <w:rsid w:val="006518C5"/>
    <w:rsid w:val="00651A3F"/>
    <w:rsid w:val="00651DA9"/>
    <w:rsid w:val="006522F0"/>
    <w:rsid w:val="006523EA"/>
    <w:rsid w:val="006525EC"/>
    <w:rsid w:val="0065271E"/>
    <w:rsid w:val="00652B8A"/>
    <w:rsid w:val="0065307B"/>
    <w:rsid w:val="006530CA"/>
    <w:rsid w:val="00653205"/>
    <w:rsid w:val="006536BF"/>
    <w:rsid w:val="0065399C"/>
    <w:rsid w:val="00653AF5"/>
    <w:rsid w:val="00653BC5"/>
    <w:rsid w:val="00653C94"/>
    <w:rsid w:val="0065405C"/>
    <w:rsid w:val="006540F1"/>
    <w:rsid w:val="0065447B"/>
    <w:rsid w:val="006545F1"/>
    <w:rsid w:val="00654B4D"/>
    <w:rsid w:val="0065511A"/>
    <w:rsid w:val="006554D1"/>
    <w:rsid w:val="006556D2"/>
    <w:rsid w:val="0065599E"/>
    <w:rsid w:val="00655AD4"/>
    <w:rsid w:val="00655D45"/>
    <w:rsid w:val="00655E2A"/>
    <w:rsid w:val="00655EC5"/>
    <w:rsid w:val="00655FB8"/>
    <w:rsid w:val="00656160"/>
    <w:rsid w:val="006562F7"/>
    <w:rsid w:val="0065653C"/>
    <w:rsid w:val="006568CF"/>
    <w:rsid w:val="00656BA2"/>
    <w:rsid w:val="0065731F"/>
    <w:rsid w:val="00657331"/>
    <w:rsid w:val="0065755C"/>
    <w:rsid w:val="00657613"/>
    <w:rsid w:val="006576AE"/>
    <w:rsid w:val="0066003A"/>
    <w:rsid w:val="0066018C"/>
    <w:rsid w:val="00660368"/>
    <w:rsid w:val="0066065A"/>
    <w:rsid w:val="0066089A"/>
    <w:rsid w:val="006608FC"/>
    <w:rsid w:val="00660E3E"/>
    <w:rsid w:val="00660F25"/>
    <w:rsid w:val="00660FE9"/>
    <w:rsid w:val="006613B9"/>
    <w:rsid w:val="00661527"/>
    <w:rsid w:val="006615C7"/>
    <w:rsid w:val="006615EC"/>
    <w:rsid w:val="0066163F"/>
    <w:rsid w:val="0066168F"/>
    <w:rsid w:val="00661A76"/>
    <w:rsid w:val="00662276"/>
    <w:rsid w:val="006627FE"/>
    <w:rsid w:val="00662A3E"/>
    <w:rsid w:val="00662BB5"/>
    <w:rsid w:val="00662E91"/>
    <w:rsid w:val="006634B2"/>
    <w:rsid w:val="0066358F"/>
    <w:rsid w:val="00663882"/>
    <w:rsid w:val="00663C4F"/>
    <w:rsid w:val="00663F6A"/>
    <w:rsid w:val="00663FEE"/>
    <w:rsid w:val="0066427A"/>
    <w:rsid w:val="006642DA"/>
    <w:rsid w:val="006642E9"/>
    <w:rsid w:val="00664588"/>
    <w:rsid w:val="00664A07"/>
    <w:rsid w:val="00664C46"/>
    <w:rsid w:val="00664E6A"/>
    <w:rsid w:val="00664F26"/>
    <w:rsid w:val="006654CC"/>
    <w:rsid w:val="006657C1"/>
    <w:rsid w:val="00665A20"/>
    <w:rsid w:val="00665ACA"/>
    <w:rsid w:val="00665C75"/>
    <w:rsid w:val="00665E90"/>
    <w:rsid w:val="00666212"/>
    <w:rsid w:val="006668C5"/>
    <w:rsid w:val="00666DDB"/>
    <w:rsid w:val="00666E0D"/>
    <w:rsid w:val="006674F2"/>
    <w:rsid w:val="00667A9C"/>
    <w:rsid w:val="00667C83"/>
    <w:rsid w:val="0067055B"/>
    <w:rsid w:val="0067057F"/>
    <w:rsid w:val="00670806"/>
    <w:rsid w:val="00670C54"/>
    <w:rsid w:val="00670C7E"/>
    <w:rsid w:val="00670CBC"/>
    <w:rsid w:val="00671312"/>
    <w:rsid w:val="00671475"/>
    <w:rsid w:val="0067167E"/>
    <w:rsid w:val="006716E5"/>
    <w:rsid w:val="006717B3"/>
    <w:rsid w:val="00671933"/>
    <w:rsid w:val="00671C2C"/>
    <w:rsid w:val="00671C65"/>
    <w:rsid w:val="0067209A"/>
    <w:rsid w:val="006724EB"/>
    <w:rsid w:val="006725D3"/>
    <w:rsid w:val="00672A63"/>
    <w:rsid w:val="00672A80"/>
    <w:rsid w:val="00672A9D"/>
    <w:rsid w:val="00672E99"/>
    <w:rsid w:val="00672EAE"/>
    <w:rsid w:val="00673078"/>
    <w:rsid w:val="00673596"/>
    <w:rsid w:val="00673842"/>
    <w:rsid w:val="00673C4C"/>
    <w:rsid w:val="00673CCE"/>
    <w:rsid w:val="00673E10"/>
    <w:rsid w:val="00673F2B"/>
    <w:rsid w:val="00673F88"/>
    <w:rsid w:val="00674522"/>
    <w:rsid w:val="0067491C"/>
    <w:rsid w:val="00674C2E"/>
    <w:rsid w:val="00675012"/>
    <w:rsid w:val="00675197"/>
    <w:rsid w:val="00675319"/>
    <w:rsid w:val="00675774"/>
    <w:rsid w:val="00675779"/>
    <w:rsid w:val="006757E0"/>
    <w:rsid w:val="0067584A"/>
    <w:rsid w:val="006759E5"/>
    <w:rsid w:val="00675A08"/>
    <w:rsid w:val="00675A75"/>
    <w:rsid w:val="00675B47"/>
    <w:rsid w:val="00675B67"/>
    <w:rsid w:val="00675FB2"/>
    <w:rsid w:val="0067605D"/>
    <w:rsid w:val="00676068"/>
    <w:rsid w:val="006762A4"/>
    <w:rsid w:val="0067656C"/>
    <w:rsid w:val="00676BA5"/>
    <w:rsid w:val="00676CD9"/>
    <w:rsid w:val="00676F2F"/>
    <w:rsid w:val="00676F60"/>
    <w:rsid w:val="00676FB4"/>
    <w:rsid w:val="0067730F"/>
    <w:rsid w:val="0067740D"/>
    <w:rsid w:val="00677559"/>
    <w:rsid w:val="006775F7"/>
    <w:rsid w:val="006778FB"/>
    <w:rsid w:val="00677926"/>
    <w:rsid w:val="00677AA3"/>
    <w:rsid w:val="00677AE2"/>
    <w:rsid w:val="006806CC"/>
    <w:rsid w:val="00680A25"/>
    <w:rsid w:val="00680B57"/>
    <w:rsid w:val="00680C1C"/>
    <w:rsid w:val="00681032"/>
    <w:rsid w:val="006813CC"/>
    <w:rsid w:val="0068153D"/>
    <w:rsid w:val="006815B6"/>
    <w:rsid w:val="00681F89"/>
    <w:rsid w:val="006821C5"/>
    <w:rsid w:val="006828DB"/>
    <w:rsid w:val="00682921"/>
    <w:rsid w:val="00682A84"/>
    <w:rsid w:val="00682C69"/>
    <w:rsid w:val="0068320C"/>
    <w:rsid w:val="00683211"/>
    <w:rsid w:val="00683330"/>
    <w:rsid w:val="006833CE"/>
    <w:rsid w:val="0068438A"/>
    <w:rsid w:val="00684948"/>
    <w:rsid w:val="00684A2F"/>
    <w:rsid w:val="00684F44"/>
    <w:rsid w:val="00685255"/>
    <w:rsid w:val="00685755"/>
    <w:rsid w:val="006859CC"/>
    <w:rsid w:val="00685BD3"/>
    <w:rsid w:val="00685EAA"/>
    <w:rsid w:val="00685F01"/>
    <w:rsid w:val="00686213"/>
    <w:rsid w:val="006864BB"/>
    <w:rsid w:val="0068654A"/>
    <w:rsid w:val="00686CD9"/>
    <w:rsid w:val="00686E2A"/>
    <w:rsid w:val="00686F1E"/>
    <w:rsid w:val="00687171"/>
    <w:rsid w:val="006871AD"/>
    <w:rsid w:val="0068741E"/>
    <w:rsid w:val="00687688"/>
    <w:rsid w:val="00687E9D"/>
    <w:rsid w:val="00687FF7"/>
    <w:rsid w:val="0069068F"/>
    <w:rsid w:val="006908C5"/>
    <w:rsid w:val="00690BF9"/>
    <w:rsid w:val="00690F75"/>
    <w:rsid w:val="0069172D"/>
    <w:rsid w:val="00691847"/>
    <w:rsid w:val="0069198D"/>
    <w:rsid w:val="00691AAD"/>
    <w:rsid w:val="00691E3D"/>
    <w:rsid w:val="00691E62"/>
    <w:rsid w:val="00692021"/>
    <w:rsid w:val="00692231"/>
    <w:rsid w:val="0069227E"/>
    <w:rsid w:val="00692645"/>
    <w:rsid w:val="006928DF"/>
    <w:rsid w:val="00692A5C"/>
    <w:rsid w:val="00692CC7"/>
    <w:rsid w:val="00692EF3"/>
    <w:rsid w:val="006930CC"/>
    <w:rsid w:val="006931EC"/>
    <w:rsid w:val="0069335E"/>
    <w:rsid w:val="0069363B"/>
    <w:rsid w:val="00693EC5"/>
    <w:rsid w:val="00693ED1"/>
    <w:rsid w:val="00694260"/>
    <w:rsid w:val="00694E5D"/>
    <w:rsid w:val="00695008"/>
    <w:rsid w:val="00695021"/>
    <w:rsid w:val="00695405"/>
    <w:rsid w:val="0069554B"/>
    <w:rsid w:val="006955FA"/>
    <w:rsid w:val="006956B6"/>
    <w:rsid w:val="00695D00"/>
    <w:rsid w:val="00695FFD"/>
    <w:rsid w:val="006964AA"/>
    <w:rsid w:val="00696571"/>
    <w:rsid w:val="00696B9B"/>
    <w:rsid w:val="00696E21"/>
    <w:rsid w:val="006971B6"/>
    <w:rsid w:val="0069755D"/>
    <w:rsid w:val="00697643"/>
    <w:rsid w:val="00697BEF"/>
    <w:rsid w:val="00697C07"/>
    <w:rsid w:val="006A01B1"/>
    <w:rsid w:val="006A0287"/>
    <w:rsid w:val="006A0352"/>
    <w:rsid w:val="006A073C"/>
    <w:rsid w:val="006A0B7B"/>
    <w:rsid w:val="006A0C77"/>
    <w:rsid w:val="006A0CE4"/>
    <w:rsid w:val="006A0DEE"/>
    <w:rsid w:val="006A120D"/>
    <w:rsid w:val="006A1355"/>
    <w:rsid w:val="006A156E"/>
    <w:rsid w:val="006A1622"/>
    <w:rsid w:val="006A18F1"/>
    <w:rsid w:val="006A1B13"/>
    <w:rsid w:val="006A2318"/>
    <w:rsid w:val="006A24EF"/>
    <w:rsid w:val="006A262E"/>
    <w:rsid w:val="006A2C54"/>
    <w:rsid w:val="006A2D13"/>
    <w:rsid w:val="006A2E86"/>
    <w:rsid w:val="006A2ECE"/>
    <w:rsid w:val="006A2F45"/>
    <w:rsid w:val="006A307D"/>
    <w:rsid w:val="006A3561"/>
    <w:rsid w:val="006A375A"/>
    <w:rsid w:val="006A378F"/>
    <w:rsid w:val="006A38F3"/>
    <w:rsid w:val="006A4227"/>
    <w:rsid w:val="006A47C4"/>
    <w:rsid w:val="006A49D8"/>
    <w:rsid w:val="006A4A32"/>
    <w:rsid w:val="006A4C5C"/>
    <w:rsid w:val="006A4D96"/>
    <w:rsid w:val="006A4F44"/>
    <w:rsid w:val="006A5643"/>
    <w:rsid w:val="006A56FC"/>
    <w:rsid w:val="006A58D6"/>
    <w:rsid w:val="006A5902"/>
    <w:rsid w:val="006A593F"/>
    <w:rsid w:val="006A60BE"/>
    <w:rsid w:val="006A6250"/>
    <w:rsid w:val="006A65A4"/>
    <w:rsid w:val="006A6BE9"/>
    <w:rsid w:val="006A7022"/>
    <w:rsid w:val="006A7D38"/>
    <w:rsid w:val="006B0081"/>
    <w:rsid w:val="006B0570"/>
    <w:rsid w:val="006B05EB"/>
    <w:rsid w:val="006B0808"/>
    <w:rsid w:val="006B085E"/>
    <w:rsid w:val="006B121C"/>
    <w:rsid w:val="006B1289"/>
    <w:rsid w:val="006B1869"/>
    <w:rsid w:val="006B1994"/>
    <w:rsid w:val="006B1D57"/>
    <w:rsid w:val="006B1E61"/>
    <w:rsid w:val="006B1F46"/>
    <w:rsid w:val="006B21D4"/>
    <w:rsid w:val="006B2627"/>
    <w:rsid w:val="006B281E"/>
    <w:rsid w:val="006B28E1"/>
    <w:rsid w:val="006B2C41"/>
    <w:rsid w:val="006B2DF1"/>
    <w:rsid w:val="006B3092"/>
    <w:rsid w:val="006B319A"/>
    <w:rsid w:val="006B35EB"/>
    <w:rsid w:val="006B36BB"/>
    <w:rsid w:val="006B3715"/>
    <w:rsid w:val="006B389F"/>
    <w:rsid w:val="006B38AC"/>
    <w:rsid w:val="006B3903"/>
    <w:rsid w:val="006B3918"/>
    <w:rsid w:val="006B3AB1"/>
    <w:rsid w:val="006B3C28"/>
    <w:rsid w:val="006B3C4E"/>
    <w:rsid w:val="006B3DED"/>
    <w:rsid w:val="006B3F0C"/>
    <w:rsid w:val="006B3F83"/>
    <w:rsid w:val="006B412D"/>
    <w:rsid w:val="006B42FC"/>
    <w:rsid w:val="006B46AB"/>
    <w:rsid w:val="006B4823"/>
    <w:rsid w:val="006B496D"/>
    <w:rsid w:val="006B49CE"/>
    <w:rsid w:val="006B546E"/>
    <w:rsid w:val="006B55B1"/>
    <w:rsid w:val="006B56DA"/>
    <w:rsid w:val="006B5F74"/>
    <w:rsid w:val="006B6607"/>
    <w:rsid w:val="006B691F"/>
    <w:rsid w:val="006B6A40"/>
    <w:rsid w:val="006B6ACE"/>
    <w:rsid w:val="006B6BEA"/>
    <w:rsid w:val="006B6CCA"/>
    <w:rsid w:val="006B6F5F"/>
    <w:rsid w:val="006B7020"/>
    <w:rsid w:val="006B7118"/>
    <w:rsid w:val="006B74E1"/>
    <w:rsid w:val="006B7CDB"/>
    <w:rsid w:val="006B7D17"/>
    <w:rsid w:val="006B7EB9"/>
    <w:rsid w:val="006C001B"/>
    <w:rsid w:val="006C01B3"/>
    <w:rsid w:val="006C08F3"/>
    <w:rsid w:val="006C0F0C"/>
    <w:rsid w:val="006C10B0"/>
    <w:rsid w:val="006C1159"/>
    <w:rsid w:val="006C14AF"/>
    <w:rsid w:val="006C1ED0"/>
    <w:rsid w:val="006C217B"/>
    <w:rsid w:val="006C2400"/>
    <w:rsid w:val="006C24AF"/>
    <w:rsid w:val="006C2708"/>
    <w:rsid w:val="006C285D"/>
    <w:rsid w:val="006C2906"/>
    <w:rsid w:val="006C29AC"/>
    <w:rsid w:val="006C2BCE"/>
    <w:rsid w:val="006C33B9"/>
    <w:rsid w:val="006C38DA"/>
    <w:rsid w:val="006C3A4E"/>
    <w:rsid w:val="006C47D6"/>
    <w:rsid w:val="006C4A34"/>
    <w:rsid w:val="006C52D3"/>
    <w:rsid w:val="006C535C"/>
    <w:rsid w:val="006C5703"/>
    <w:rsid w:val="006C576D"/>
    <w:rsid w:val="006C5997"/>
    <w:rsid w:val="006C5EBB"/>
    <w:rsid w:val="006C5F26"/>
    <w:rsid w:val="006C6382"/>
    <w:rsid w:val="006C6834"/>
    <w:rsid w:val="006C6CC1"/>
    <w:rsid w:val="006C6D57"/>
    <w:rsid w:val="006C6F0A"/>
    <w:rsid w:val="006C77AB"/>
    <w:rsid w:val="006C799A"/>
    <w:rsid w:val="006C7A74"/>
    <w:rsid w:val="006C7AC0"/>
    <w:rsid w:val="006D028D"/>
    <w:rsid w:val="006D0706"/>
    <w:rsid w:val="006D0792"/>
    <w:rsid w:val="006D090E"/>
    <w:rsid w:val="006D0930"/>
    <w:rsid w:val="006D0A95"/>
    <w:rsid w:val="006D0F83"/>
    <w:rsid w:val="006D156D"/>
    <w:rsid w:val="006D1844"/>
    <w:rsid w:val="006D1C7F"/>
    <w:rsid w:val="006D1D22"/>
    <w:rsid w:val="006D1D3E"/>
    <w:rsid w:val="006D1FE3"/>
    <w:rsid w:val="006D23D0"/>
    <w:rsid w:val="006D2668"/>
    <w:rsid w:val="006D27FA"/>
    <w:rsid w:val="006D2893"/>
    <w:rsid w:val="006D2D75"/>
    <w:rsid w:val="006D2E6E"/>
    <w:rsid w:val="006D3117"/>
    <w:rsid w:val="006D32F6"/>
    <w:rsid w:val="006D3549"/>
    <w:rsid w:val="006D356E"/>
    <w:rsid w:val="006D35CB"/>
    <w:rsid w:val="006D35E5"/>
    <w:rsid w:val="006D36C0"/>
    <w:rsid w:val="006D3786"/>
    <w:rsid w:val="006D3A7B"/>
    <w:rsid w:val="006D3BF5"/>
    <w:rsid w:val="006D3C84"/>
    <w:rsid w:val="006D3D85"/>
    <w:rsid w:val="006D3FD8"/>
    <w:rsid w:val="006D4015"/>
    <w:rsid w:val="006D415D"/>
    <w:rsid w:val="006D48EE"/>
    <w:rsid w:val="006D4CEC"/>
    <w:rsid w:val="006D517F"/>
    <w:rsid w:val="006D548C"/>
    <w:rsid w:val="006D54E6"/>
    <w:rsid w:val="006D56AB"/>
    <w:rsid w:val="006D5BBD"/>
    <w:rsid w:val="006D5C23"/>
    <w:rsid w:val="006D5F87"/>
    <w:rsid w:val="006D6041"/>
    <w:rsid w:val="006D6368"/>
    <w:rsid w:val="006D6591"/>
    <w:rsid w:val="006D7152"/>
    <w:rsid w:val="006D763D"/>
    <w:rsid w:val="006D7BE3"/>
    <w:rsid w:val="006D7C41"/>
    <w:rsid w:val="006D7FD1"/>
    <w:rsid w:val="006E00BF"/>
    <w:rsid w:val="006E00CF"/>
    <w:rsid w:val="006E036D"/>
    <w:rsid w:val="006E0457"/>
    <w:rsid w:val="006E05E1"/>
    <w:rsid w:val="006E06DF"/>
    <w:rsid w:val="006E077A"/>
    <w:rsid w:val="006E07B6"/>
    <w:rsid w:val="006E07F0"/>
    <w:rsid w:val="006E094B"/>
    <w:rsid w:val="006E0C15"/>
    <w:rsid w:val="006E0D18"/>
    <w:rsid w:val="006E0D94"/>
    <w:rsid w:val="006E1A1B"/>
    <w:rsid w:val="006E200A"/>
    <w:rsid w:val="006E216B"/>
    <w:rsid w:val="006E312E"/>
    <w:rsid w:val="006E31D9"/>
    <w:rsid w:val="006E3266"/>
    <w:rsid w:val="006E3282"/>
    <w:rsid w:val="006E38C0"/>
    <w:rsid w:val="006E38C3"/>
    <w:rsid w:val="006E3BF3"/>
    <w:rsid w:val="006E3DCD"/>
    <w:rsid w:val="006E4030"/>
    <w:rsid w:val="006E410C"/>
    <w:rsid w:val="006E4284"/>
    <w:rsid w:val="006E4319"/>
    <w:rsid w:val="006E431A"/>
    <w:rsid w:val="006E47E9"/>
    <w:rsid w:val="006E4C55"/>
    <w:rsid w:val="006E4C9A"/>
    <w:rsid w:val="006E4D44"/>
    <w:rsid w:val="006E4DBA"/>
    <w:rsid w:val="006E50A5"/>
    <w:rsid w:val="006E5439"/>
    <w:rsid w:val="006E5627"/>
    <w:rsid w:val="006E56E0"/>
    <w:rsid w:val="006E56F7"/>
    <w:rsid w:val="006E577B"/>
    <w:rsid w:val="006E5D1F"/>
    <w:rsid w:val="006E5E2E"/>
    <w:rsid w:val="006E5E55"/>
    <w:rsid w:val="006E6328"/>
    <w:rsid w:val="006E6461"/>
    <w:rsid w:val="006E655D"/>
    <w:rsid w:val="006E6715"/>
    <w:rsid w:val="006E6717"/>
    <w:rsid w:val="006E68FE"/>
    <w:rsid w:val="006E6A19"/>
    <w:rsid w:val="006E6AD6"/>
    <w:rsid w:val="006E6B9A"/>
    <w:rsid w:val="006E6C3B"/>
    <w:rsid w:val="006E6E1C"/>
    <w:rsid w:val="006E728C"/>
    <w:rsid w:val="006E741F"/>
    <w:rsid w:val="006E768E"/>
    <w:rsid w:val="006E7C42"/>
    <w:rsid w:val="006E7D3E"/>
    <w:rsid w:val="006E7ED1"/>
    <w:rsid w:val="006F048B"/>
    <w:rsid w:val="006F0527"/>
    <w:rsid w:val="006F07CB"/>
    <w:rsid w:val="006F0BE0"/>
    <w:rsid w:val="006F10E3"/>
    <w:rsid w:val="006F10E5"/>
    <w:rsid w:val="006F13B2"/>
    <w:rsid w:val="006F1822"/>
    <w:rsid w:val="006F1831"/>
    <w:rsid w:val="006F1967"/>
    <w:rsid w:val="006F1AC1"/>
    <w:rsid w:val="006F1FCE"/>
    <w:rsid w:val="006F2128"/>
    <w:rsid w:val="006F2186"/>
    <w:rsid w:val="006F2507"/>
    <w:rsid w:val="006F2765"/>
    <w:rsid w:val="006F2E83"/>
    <w:rsid w:val="006F34CD"/>
    <w:rsid w:val="006F351E"/>
    <w:rsid w:val="006F37D6"/>
    <w:rsid w:val="006F3813"/>
    <w:rsid w:val="006F39E5"/>
    <w:rsid w:val="006F3A27"/>
    <w:rsid w:val="006F3D6F"/>
    <w:rsid w:val="006F3F12"/>
    <w:rsid w:val="006F3F92"/>
    <w:rsid w:val="006F44CE"/>
    <w:rsid w:val="006F4586"/>
    <w:rsid w:val="006F4598"/>
    <w:rsid w:val="006F4650"/>
    <w:rsid w:val="006F476F"/>
    <w:rsid w:val="006F4841"/>
    <w:rsid w:val="006F593F"/>
    <w:rsid w:val="006F596E"/>
    <w:rsid w:val="006F5FB3"/>
    <w:rsid w:val="006F65A5"/>
    <w:rsid w:val="006F69F2"/>
    <w:rsid w:val="006F7117"/>
    <w:rsid w:val="006F71A5"/>
    <w:rsid w:val="006F7238"/>
    <w:rsid w:val="006F72DB"/>
    <w:rsid w:val="006F78B6"/>
    <w:rsid w:val="006F7AB0"/>
    <w:rsid w:val="006F7ABE"/>
    <w:rsid w:val="006F7D80"/>
    <w:rsid w:val="006F7EB3"/>
    <w:rsid w:val="006F7FFE"/>
    <w:rsid w:val="0070012A"/>
    <w:rsid w:val="00700327"/>
    <w:rsid w:val="00700563"/>
    <w:rsid w:val="007005BB"/>
    <w:rsid w:val="007006F4"/>
    <w:rsid w:val="00700772"/>
    <w:rsid w:val="00700943"/>
    <w:rsid w:val="00700A92"/>
    <w:rsid w:val="00700C3D"/>
    <w:rsid w:val="00701112"/>
    <w:rsid w:val="0070155C"/>
    <w:rsid w:val="00701920"/>
    <w:rsid w:val="00701E54"/>
    <w:rsid w:val="0070208C"/>
    <w:rsid w:val="00702B32"/>
    <w:rsid w:val="00702B7C"/>
    <w:rsid w:val="00702DC1"/>
    <w:rsid w:val="00702E50"/>
    <w:rsid w:val="00702EE2"/>
    <w:rsid w:val="00703116"/>
    <w:rsid w:val="00703768"/>
    <w:rsid w:val="00703836"/>
    <w:rsid w:val="007039C0"/>
    <w:rsid w:val="00703E7C"/>
    <w:rsid w:val="00703F26"/>
    <w:rsid w:val="00704575"/>
    <w:rsid w:val="00704774"/>
    <w:rsid w:val="0070486A"/>
    <w:rsid w:val="007048DB"/>
    <w:rsid w:val="007048E8"/>
    <w:rsid w:val="00704BC9"/>
    <w:rsid w:val="00704E00"/>
    <w:rsid w:val="00705174"/>
    <w:rsid w:val="0070575F"/>
    <w:rsid w:val="007057EA"/>
    <w:rsid w:val="00705CAE"/>
    <w:rsid w:val="00706330"/>
    <w:rsid w:val="0070639D"/>
    <w:rsid w:val="007064DC"/>
    <w:rsid w:val="00706957"/>
    <w:rsid w:val="00706C64"/>
    <w:rsid w:val="00706D93"/>
    <w:rsid w:val="0070729C"/>
    <w:rsid w:val="007074B2"/>
    <w:rsid w:val="007074E2"/>
    <w:rsid w:val="007077E9"/>
    <w:rsid w:val="007078FA"/>
    <w:rsid w:val="00707952"/>
    <w:rsid w:val="00707E40"/>
    <w:rsid w:val="007100F9"/>
    <w:rsid w:val="0071015B"/>
    <w:rsid w:val="00710A1E"/>
    <w:rsid w:val="00710B62"/>
    <w:rsid w:val="00710C15"/>
    <w:rsid w:val="00710F7F"/>
    <w:rsid w:val="00711056"/>
    <w:rsid w:val="00711418"/>
    <w:rsid w:val="00711450"/>
    <w:rsid w:val="007115CC"/>
    <w:rsid w:val="00711AAD"/>
    <w:rsid w:val="00711B9C"/>
    <w:rsid w:val="00711BC5"/>
    <w:rsid w:val="00711CF3"/>
    <w:rsid w:val="0071215C"/>
    <w:rsid w:val="007121B8"/>
    <w:rsid w:val="007121B9"/>
    <w:rsid w:val="007122A3"/>
    <w:rsid w:val="0071248E"/>
    <w:rsid w:val="00712598"/>
    <w:rsid w:val="007129EC"/>
    <w:rsid w:val="00712E2D"/>
    <w:rsid w:val="00713359"/>
    <w:rsid w:val="00713655"/>
    <w:rsid w:val="00713B04"/>
    <w:rsid w:val="00713B10"/>
    <w:rsid w:val="00714085"/>
    <w:rsid w:val="0071467C"/>
    <w:rsid w:val="00714885"/>
    <w:rsid w:val="00714A0F"/>
    <w:rsid w:val="00714D47"/>
    <w:rsid w:val="00714FAA"/>
    <w:rsid w:val="00715485"/>
    <w:rsid w:val="00715EF2"/>
    <w:rsid w:val="00716141"/>
    <w:rsid w:val="00716588"/>
    <w:rsid w:val="00716D06"/>
    <w:rsid w:val="00716E02"/>
    <w:rsid w:val="00716FA3"/>
    <w:rsid w:val="007175FE"/>
    <w:rsid w:val="0071760C"/>
    <w:rsid w:val="0071798D"/>
    <w:rsid w:val="00717A1C"/>
    <w:rsid w:val="00717C33"/>
    <w:rsid w:val="00717CC0"/>
    <w:rsid w:val="0072005E"/>
    <w:rsid w:val="0072010F"/>
    <w:rsid w:val="00720AB9"/>
    <w:rsid w:val="00720B07"/>
    <w:rsid w:val="00720B4E"/>
    <w:rsid w:val="00720D66"/>
    <w:rsid w:val="00720E2B"/>
    <w:rsid w:val="00720FE6"/>
    <w:rsid w:val="007210EC"/>
    <w:rsid w:val="0072150F"/>
    <w:rsid w:val="007215DA"/>
    <w:rsid w:val="00721894"/>
    <w:rsid w:val="00721D87"/>
    <w:rsid w:val="00721F6B"/>
    <w:rsid w:val="007222FC"/>
    <w:rsid w:val="0072298A"/>
    <w:rsid w:val="00722994"/>
    <w:rsid w:val="00722A7A"/>
    <w:rsid w:val="00722CA8"/>
    <w:rsid w:val="00722D34"/>
    <w:rsid w:val="00722E3B"/>
    <w:rsid w:val="00722F00"/>
    <w:rsid w:val="00722F40"/>
    <w:rsid w:val="00723079"/>
    <w:rsid w:val="00723343"/>
    <w:rsid w:val="007236E4"/>
    <w:rsid w:val="007238A1"/>
    <w:rsid w:val="007239D5"/>
    <w:rsid w:val="00723A53"/>
    <w:rsid w:val="00723D88"/>
    <w:rsid w:val="007241CC"/>
    <w:rsid w:val="00724442"/>
    <w:rsid w:val="00724855"/>
    <w:rsid w:val="00724AC0"/>
    <w:rsid w:val="00724B69"/>
    <w:rsid w:val="0072500C"/>
    <w:rsid w:val="007253AD"/>
    <w:rsid w:val="0072545C"/>
    <w:rsid w:val="0072594D"/>
    <w:rsid w:val="007259FE"/>
    <w:rsid w:val="00725A5C"/>
    <w:rsid w:val="00725C66"/>
    <w:rsid w:val="00725F04"/>
    <w:rsid w:val="007262DF"/>
    <w:rsid w:val="0072697E"/>
    <w:rsid w:val="007269A0"/>
    <w:rsid w:val="00726C67"/>
    <w:rsid w:val="00726D4F"/>
    <w:rsid w:val="00726E8F"/>
    <w:rsid w:val="007273BF"/>
    <w:rsid w:val="0072773F"/>
    <w:rsid w:val="00727C3F"/>
    <w:rsid w:val="00727E4C"/>
    <w:rsid w:val="00727F26"/>
    <w:rsid w:val="00727FAF"/>
    <w:rsid w:val="00730038"/>
    <w:rsid w:val="0073005E"/>
    <w:rsid w:val="00730071"/>
    <w:rsid w:val="0073035B"/>
    <w:rsid w:val="00730764"/>
    <w:rsid w:val="00730793"/>
    <w:rsid w:val="0073090D"/>
    <w:rsid w:val="00730C7C"/>
    <w:rsid w:val="00731530"/>
    <w:rsid w:val="00731724"/>
    <w:rsid w:val="00731774"/>
    <w:rsid w:val="00731B68"/>
    <w:rsid w:val="00731DE2"/>
    <w:rsid w:val="00732146"/>
    <w:rsid w:val="00732276"/>
    <w:rsid w:val="0073285B"/>
    <w:rsid w:val="0073293F"/>
    <w:rsid w:val="00732AF2"/>
    <w:rsid w:val="00732B91"/>
    <w:rsid w:val="00733385"/>
    <w:rsid w:val="007333F6"/>
    <w:rsid w:val="00733551"/>
    <w:rsid w:val="007335BE"/>
    <w:rsid w:val="007335E9"/>
    <w:rsid w:val="007336B0"/>
    <w:rsid w:val="007336C5"/>
    <w:rsid w:val="00733CA2"/>
    <w:rsid w:val="00734503"/>
    <w:rsid w:val="007349AE"/>
    <w:rsid w:val="00734CF9"/>
    <w:rsid w:val="00735063"/>
    <w:rsid w:val="00735231"/>
    <w:rsid w:val="00735306"/>
    <w:rsid w:val="00735384"/>
    <w:rsid w:val="007357BD"/>
    <w:rsid w:val="00735B9F"/>
    <w:rsid w:val="00735BC6"/>
    <w:rsid w:val="00735C93"/>
    <w:rsid w:val="00735DFF"/>
    <w:rsid w:val="007360DA"/>
    <w:rsid w:val="0073616F"/>
    <w:rsid w:val="007361DF"/>
    <w:rsid w:val="0073633B"/>
    <w:rsid w:val="00736B46"/>
    <w:rsid w:val="00736D88"/>
    <w:rsid w:val="00736F96"/>
    <w:rsid w:val="00737482"/>
    <w:rsid w:val="0073767C"/>
    <w:rsid w:val="00737D84"/>
    <w:rsid w:val="00737F2B"/>
    <w:rsid w:val="00740152"/>
    <w:rsid w:val="0074029F"/>
    <w:rsid w:val="007403A3"/>
    <w:rsid w:val="007403A8"/>
    <w:rsid w:val="00740649"/>
    <w:rsid w:val="007408D1"/>
    <w:rsid w:val="00740EB3"/>
    <w:rsid w:val="0074100A"/>
    <w:rsid w:val="007416F0"/>
    <w:rsid w:val="00741A82"/>
    <w:rsid w:val="00741BA0"/>
    <w:rsid w:val="00741C4C"/>
    <w:rsid w:val="00741EC5"/>
    <w:rsid w:val="0074202F"/>
    <w:rsid w:val="007420B9"/>
    <w:rsid w:val="007428C4"/>
    <w:rsid w:val="00742AD9"/>
    <w:rsid w:val="00742CB5"/>
    <w:rsid w:val="00742D18"/>
    <w:rsid w:val="00742D5F"/>
    <w:rsid w:val="00742D65"/>
    <w:rsid w:val="0074300B"/>
    <w:rsid w:val="00743418"/>
    <w:rsid w:val="0074359E"/>
    <w:rsid w:val="00743792"/>
    <w:rsid w:val="00743CF8"/>
    <w:rsid w:val="00744231"/>
    <w:rsid w:val="007446EF"/>
    <w:rsid w:val="0074475C"/>
    <w:rsid w:val="00744E57"/>
    <w:rsid w:val="007455CC"/>
    <w:rsid w:val="0074564D"/>
    <w:rsid w:val="0074588D"/>
    <w:rsid w:val="007458A6"/>
    <w:rsid w:val="00745B70"/>
    <w:rsid w:val="00745D92"/>
    <w:rsid w:val="0074601F"/>
    <w:rsid w:val="00746135"/>
    <w:rsid w:val="0074647D"/>
    <w:rsid w:val="007467CF"/>
    <w:rsid w:val="00746A59"/>
    <w:rsid w:val="00746A6E"/>
    <w:rsid w:val="00746F6E"/>
    <w:rsid w:val="00747750"/>
    <w:rsid w:val="00747BC3"/>
    <w:rsid w:val="00747C8B"/>
    <w:rsid w:val="00747DDF"/>
    <w:rsid w:val="00747EBF"/>
    <w:rsid w:val="00750268"/>
    <w:rsid w:val="00750273"/>
    <w:rsid w:val="007502F5"/>
    <w:rsid w:val="0075087A"/>
    <w:rsid w:val="00750A20"/>
    <w:rsid w:val="00751434"/>
    <w:rsid w:val="007515DA"/>
    <w:rsid w:val="00751FB7"/>
    <w:rsid w:val="0075201B"/>
    <w:rsid w:val="00752291"/>
    <w:rsid w:val="0075230F"/>
    <w:rsid w:val="00752666"/>
    <w:rsid w:val="00752AA7"/>
    <w:rsid w:val="00752AC5"/>
    <w:rsid w:val="00752D2A"/>
    <w:rsid w:val="0075309A"/>
    <w:rsid w:val="00753116"/>
    <w:rsid w:val="0075316E"/>
    <w:rsid w:val="0075338F"/>
    <w:rsid w:val="0075344E"/>
    <w:rsid w:val="00753471"/>
    <w:rsid w:val="007535DD"/>
    <w:rsid w:val="0075372A"/>
    <w:rsid w:val="007538DF"/>
    <w:rsid w:val="00753926"/>
    <w:rsid w:val="00753943"/>
    <w:rsid w:val="00753D8B"/>
    <w:rsid w:val="007541B2"/>
    <w:rsid w:val="007542E1"/>
    <w:rsid w:val="007544F8"/>
    <w:rsid w:val="0075466E"/>
    <w:rsid w:val="00754876"/>
    <w:rsid w:val="007549E5"/>
    <w:rsid w:val="00754E0C"/>
    <w:rsid w:val="00754EA7"/>
    <w:rsid w:val="00754EDD"/>
    <w:rsid w:val="007551AC"/>
    <w:rsid w:val="007552E2"/>
    <w:rsid w:val="007552F8"/>
    <w:rsid w:val="0075536C"/>
    <w:rsid w:val="007553F8"/>
    <w:rsid w:val="007558B4"/>
    <w:rsid w:val="00755D58"/>
    <w:rsid w:val="0075628F"/>
    <w:rsid w:val="00756351"/>
    <w:rsid w:val="00756517"/>
    <w:rsid w:val="0075656E"/>
    <w:rsid w:val="00756769"/>
    <w:rsid w:val="007567F1"/>
    <w:rsid w:val="007568C0"/>
    <w:rsid w:val="00756C5A"/>
    <w:rsid w:val="00756D6B"/>
    <w:rsid w:val="00756DB2"/>
    <w:rsid w:val="0075781E"/>
    <w:rsid w:val="00757886"/>
    <w:rsid w:val="00757F1F"/>
    <w:rsid w:val="00760123"/>
    <w:rsid w:val="00760127"/>
    <w:rsid w:val="00760223"/>
    <w:rsid w:val="007604AA"/>
    <w:rsid w:val="0076058C"/>
    <w:rsid w:val="00760CA6"/>
    <w:rsid w:val="00760D81"/>
    <w:rsid w:val="00760E21"/>
    <w:rsid w:val="00760F42"/>
    <w:rsid w:val="0076102C"/>
    <w:rsid w:val="00761910"/>
    <w:rsid w:val="0076194C"/>
    <w:rsid w:val="00761D5C"/>
    <w:rsid w:val="00761F77"/>
    <w:rsid w:val="00762629"/>
    <w:rsid w:val="00762913"/>
    <w:rsid w:val="00762AED"/>
    <w:rsid w:val="00762C0B"/>
    <w:rsid w:val="00762E3B"/>
    <w:rsid w:val="0076332B"/>
    <w:rsid w:val="00763442"/>
    <w:rsid w:val="007639B3"/>
    <w:rsid w:val="00763B5A"/>
    <w:rsid w:val="00763EBF"/>
    <w:rsid w:val="00763FBB"/>
    <w:rsid w:val="00764447"/>
    <w:rsid w:val="0076482B"/>
    <w:rsid w:val="00764A72"/>
    <w:rsid w:val="00764C06"/>
    <w:rsid w:val="007650FC"/>
    <w:rsid w:val="007658DA"/>
    <w:rsid w:val="00766103"/>
    <w:rsid w:val="00766587"/>
    <w:rsid w:val="00766795"/>
    <w:rsid w:val="007667E8"/>
    <w:rsid w:val="007669BB"/>
    <w:rsid w:val="007672B6"/>
    <w:rsid w:val="0076779A"/>
    <w:rsid w:val="00767842"/>
    <w:rsid w:val="007678F9"/>
    <w:rsid w:val="0076798A"/>
    <w:rsid w:val="00767CF4"/>
    <w:rsid w:val="00770321"/>
    <w:rsid w:val="007707A8"/>
    <w:rsid w:val="00770AC3"/>
    <w:rsid w:val="00770E78"/>
    <w:rsid w:val="00770F22"/>
    <w:rsid w:val="0077112F"/>
    <w:rsid w:val="0077126D"/>
    <w:rsid w:val="007714BF"/>
    <w:rsid w:val="007717EF"/>
    <w:rsid w:val="00771A00"/>
    <w:rsid w:val="00771E50"/>
    <w:rsid w:val="00772169"/>
    <w:rsid w:val="00772486"/>
    <w:rsid w:val="007724FC"/>
    <w:rsid w:val="0077251C"/>
    <w:rsid w:val="00772CE2"/>
    <w:rsid w:val="00772DFA"/>
    <w:rsid w:val="00773158"/>
    <w:rsid w:val="00773197"/>
    <w:rsid w:val="00773315"/>
    <w:rsid w:val="007739C0"/>
    <w:rsid w:val="00773AE7"/>
    <w:rsid w:val="00773B29"/>
    <w:rsid w:val="00773B7E"/>
    <w:rsid w:val="007740B4"/>
    <w:rsid w:val="007740E4"/>
    <w:rsid w:val="0077425D"/>
    <w:rsid w:val="00774280"/>
    <w:rsid w:val="007743E7"/>
    <w:rsid w:val="007745AD"/>
    <w:rsid w:val="007745CF"/>
    <w:rsid w:val="0077488A"/>
    <w:rsid w:val="00774BBC"/>
    <w:rsid w:val="00774C16"/>
    <w:rsid w:val="00774EDF"/>
    <w:rsid w:val="00775024"/>
    <w:rsid w:val="007751DA"/>
    <w:rsid w:val="00775403"/>
    <w:rsid w:val="007755B9"/>
    <w:rsid w:val="00775ABA"/>
    <w:rsid w:val="00775DE6"/>
    <w:rsid w:val="00776641"/>
    <w:rsid w:val="007767C7"/>
    <w:rsid w:val="00776D9F"/>
    <w:rsid w:val="007772B2"/>
    <w:rsid w:val="007772D2"/>
    <w:rsid w:val="0077735D"/>
    <w:rsid w:val="007773DD"/>
    <w:rsid w:val="0078006F"/>
    <w:rsid w:val="0078040A"/>
    <w:rsid w:val="00780429"/>
    <w:rsid w:val="00780455"/>
    <w:rsid w:val="0078071F"/>
    <w:rsid w:val="007808A4"/>
    <w:rsid w:val="00780B10"/>
    <w:rsid w:val="0078115A"/>
    <w:rsid w:val="007815AD"/>
    <w:rsid w:val="00781867"/>
    <w:rsid w:val="007818F9"/>
    <w:rsid w:val="0078237F"/>
    <w:rsid w:val="007823AD"/>
    <w:rsid w:val="00782624"/>
    <w:rsid w:val="00782680"/>
    <w:rsid w:val="00782723"/>
    <w:rsid w:val="007827FD"/>
    <w:rsid w:val="00782832"/>
    <w:rsid w:val="00782A01"/>
    <w:rsid w:val="00782A26"/>
    <w:rsid w:val="00782A8E"/>
    <w:rsid w:val="0078309A"/>
    <w:rsid w:val="0078311F"/>
    <w:rsid w:val="007832C9"/>
    <w:rsid w:val="0078345C"/>
    <w:rsid w:val="007836DB"/>
    <w:rsid w:val="00783855"/>
    <w:rsid w:val="0078395E"/>
    <w:rsid w:val="00783BD9"/>
    <w:rsid w:val="00783CE4"/>
    <w:rsid w:val="00783EB8"/>
    <w:rsid w:val="00784086"/>
    <w:rsid w:val="007841DA"/>
    <w:rsid w:val="007843A4"/>
    <w:rsid w:val="007845A1"/>
    <w:rsid w:val="007847F3"/>
    <w:rsid w:val="007848FC"/>
    <w:rsid w:val="00784B17"/>
    <w:rsid w:val="00784BD6"/>
    <w:rsid w:val="00784D44"/>
    <w:rsid w:val="00784D9B"/>
    <w:rsid w:val="00785F17"/>
    <w:rsid w:val="00786732"/>
    <w:rsid w:val="00786A23"/>
    <w:rsid w:val="00786C36"/>
    <w:rsid w:val="00786C44"/>
    <w:rsid w:val="00786ED7"/>
    <w:rsid w:val="00787110"/>
    <w:rsid w:val="00787157"/>
    <w:rsid w:val="007871B3"/>
    <w:rsid w:val="00787307"/>
    <w:rsid w:val="0078750A"/>
    <w:rsid w:val="0078783D"/>
    <w:rsid w:val="00787C82"/>
    <w:rsid w:val="00790093"/>
    <w:rsid w:val="00790188"/>
    <w:rsid w:val="0079056A"/>
    <w:rsid w:val="00790666"/>
    <w:rsid w:val="007908E1"/>
    <w:rsid w:val="00790B59"/>
    <w:rsid w:val="00790BC2"/>
    <w:rsid w:val="007912EC"/>
    <w:rsid w:val="0079141E"/>
    <w:rsid w:val="007916EC"/>
    <w:rsid w:val="00791759"/>
    <w:rsid w:val="00791A04"/>
    <w:rsid w:val="00791D2B"/>
    <w:rsid w:val="00792214"/>
    <w:rsid w:val="00792357"/>
    <w:rsid w:val="0079311D"/>
    <w:rsid w:val="007936F5"/>
    <w:rsid w:val="00793A4D"/>
    <w:rsid w:val="00793A70"/>
    <w:rsid w:val="00793D1E"/>
    <w:rsid w:val="00793D3F"/>
    <w:rsid w:val="00793FBE"/>
    <w:rsid w:val="00794434"/>
    <w:rsid w:val="0079493E"/>
    <w:rsid w:val="007949C7"/>
    <w:rsid w:val="00794BE1"/>
    <w:rsid w:val="00794E3F"/>
    <w:rsid w:val="00794FFF"/>
    <w:rsid w:val="00795097"/>
    <w:rsid w:val="007952D8"/>
    <w:rsid w:val="00795383"/>
    <w:rsid w:val="0079548C"/>
    <w:rsid w:val="00795773"/>
    <w:rsid w:val="00795C38"/>
    <w:rsid w:val="00796011"/>
    <w:rsid w:val="00796065"/>
    <w:rsid w:val="00796190"/>
    <w:rsid w:val="007961CE"/>
    <w:rsid w:val="00796844"/>
    <w:rsid w:val="00797205"/>
    <w:rsid w:val="007973D2"/>
    <w:rsid w:val="00797501"/>
    <w:rsid w:val="00797585"/>
    <w:rsid w:val="00797805"/>
    <w:rsid w:val="007978C6"/>
    <w:rsid w:val="007978D3"/>
    <w:rsid w:val="00797E5A"/>
    <w:rsid w:val="007A03B0"/>
    <w:rsid w:val="007A0756"/>
    <w:rsid w:val="007A0B83"/>
    <w:rsid w:val="007A0C0E"/>
    <w:rsid w:val="007A0ECB"/>
    <w:rsid w:val="007A12C9"/>
    <w:rsid w:val="007A1495"/>
    <w:rsid w:val="007A1562"/>
    <w:rsid w:val="007A1586"/>
    <w:rsid w:val="007A1B6B"/>
    <w:rsid w:val="007A1C51"/>
    <w:rsid w:val="007A1C53"/>
    <w:rsid w:val="007A1F45"/>
    <w:rsid w:val="007A23D0"/>
    <w:rsid w:val="007A25A4"/>
    <w:rsid w:val="007A267F"/>
    <w:rsid w:val="007A2929"/>
    <w:rsid w:val="007A2A99"/>
    <w:rsid w:val="007A2D6D"/>
    <w:rsid w:val="007A2DCD"/>
    <w:rsid w:val="007A3507"/>
    <w:rsid w:val="007A368D"/>
    <w:rsid w:val="007A39B6"/>
    <w:rsid w:val="007A39E2"/>
    <w:rsid w:val="007A3DBB"/>
    <w:rsid w:val="007A4182"/>
    <w:rsid w:val="007A44CE"/>
    <w:rsid w:val="007A48A1"/>
    <w:rsid w:val="007A49F8"/>
    <w:rsid w:val="007A49F9"/>
    <w:rsid w:val="007A4B7A"/>
    <w:rsid w:val="007A4C6D"/>
    <w:rsid w:val="007A51A7"/>
    <w:rsid w:val="007A5216"/>
    <w:rsid w:val="007A538A"/>
    <w:rsid w:val="007A5416"/>
    <w:rsid w:val="007A5805"/>
    <w:rsid w:val="007A58A8"/>
    <w:rsid w:val="007A6079"/>
    <w:rsid w:val="007A63AD"/>
    <w:rsid w:val="007A67BB"/>
    <w:rsid w:val="007A6EB0"/>
    <w:rsid w:val="007A728E"/>
    <w:rsid w:val="007A74B7"/>
    <w:rsid w:val="007A77F8"/>
    <w:rsid w:val="007A7A06"/>
    <w:rsid w:val="007B001F"/>
    <w:rsid w:val="007B02AE"/>
    <w:rsid w:val="007B066C"/>
    <w:rsid w:val="007B06B6"/>
    <w:rsid w:val="007B0A4A"/>
    <w:rsid w:val="007B0A56"/>
    <w:rsid w:val="007B0ADC"/>
    <w:rsid w:val="007B0CBD"/>
    <w:rsid w:val="007B0DC0"/>
    <w:rsid w:val="007B102B"/>
    <w:rsid w:val="007B1519"/>
    <w:rsid w:val="007B164E"/>
    <w:rsid w:val="007B17F3"/>
    <w:rsid w:val="007B1939"/>
    <w:rsid w:val="007B196D"/>
    <w:rsid w:val="007B1C73"/>
    <w:rsid w:val="007B1C94"/>
    <w:rsid w:val="007B1E03"/>
    <w:rsid w:val="007B1F7D"/>
    <w:rsid w:val="007B263D"/>
    <w:rsid w:val="007B2649"/>
    <w:rsid w:val="007B2734"/>
    <w:rsid w:val="007B287F"/>
    <w:rsid w:val="007B2B13"/>
    <w:rsid w:val="007B2D86"/>
    <w:rsid w:val="007B38FA"/>
    <w:rsid w:val="007B3E3C"/>
    <w:rsid w:val="007B3F90"/>
    <w:rsid w:val="007B41F8"/>
    <w:rsid w:val="007B430A"/>
    <w:rsid w:val="007B492E"/>
    <w:rsid w:val="007B4B07"/>
    <w:rsid w:val="007B4EC6"/>
    <w:rsid w:val="007B52A3"/>
    <w:rsid w:val="007B52E2"/>
    <w:rsid w:val="007B544F"/>
    <w:rsid w:val="007B5495"/>
    <w:rsid w:val="007B54B0"/>
    <w:rsid w:val="007B5511"/>
    <w:rsid w:val="007B5622"/>
    <w:rsid w:val="007B572C"/>
    <w:rsid w:val="007B57DB"/>
    <w:rsid w:val="007B5985"/>
    <w:rsid w:val="007B5F91"/>
    <w:rsid w:val="007B622E"/>
    <w:rsid w:val="007B64FC"/>
    <w:rsid w:val="007B6811"/>
    <w:rsid w:val="007B6CD5"/>
    <w:rsid w:val="007B73D5"/>
    <w:rsid w:val="007B7413"/>
    <w:rsid w:val="007B7653"/>
    <w:rsid w:val="007B7A4E"/>
    <w:rsid w:val="007C0935"/>
    <w:rsid w:val="007C1647"/>
    <w:rsid w:val="007C1730"/>
    <w:rsid w:val="007C18F2"/>
    <w:rsid w:val="007C1A8A"/>
    <w:rsid w:val="007C1D90"/>
    <w:rsid w:val="007C217B"/>
    <w:rsid w:val="007C2756"/>
    <w:rsid w:val="007C28C4"/>
    <w:rsid w:val="007C29CC"/>
    <w:rsid w:val="007C2D4B"/>
    <w:rsid w:val="007C2E16"/>
    <w:rsid w:val="007C2FBC"/>
    <w:rsid w:val="007C3101"/>
    <w:rsid w:val="007C31B2"/>
    <w:rsid w:val="007C3306"/>
    <w:rsid w:val="007C3504"/>
    <w:rsid w:val="007C3724"/>
    <w:rsid w:val="007C3D8E"/>
    <w:rsid w:val="007C3F84"/>
    <w:rsid w:val="007C3FF9"/>
    <w:rsid w:val="007C42B4"/>
    <w:rsid w:val="007C4804"/>
    <w:rsid w:val="007C4854"/>
    <w:rsid w:val="007C4A6B"/>
    <w:rsid w:val="007C4B99"/>
    <w:rsid w:val="007C4C6F"/>
    <w:rsid w:val="007C4FC3"/>
    <w:rsid w:val="007C5288"/>
    <w:rsid w:val="007C563B"/>
    <w:rsid w:val="007C570F"/>
    <w:rsid w:val="007C5AC3"/>
    <w:rsid w:val="007C68F5"/>
    <w:rsid w:val="007C6FD5"/>
    <w:rsid w:val="007C7484"/>
    <w:rsid w:val="007C7872"/>
    <w:rsid w:val="007C7E0E"/>
    <w:rsid w:val="007D0194"/>
    <w:rsid w:val="007D04B3"/>
    <w:rsid w:val="007D0A55"/>
    <w:rsid w:val="007D0B6C"/>
    <w:rsid w:val="007D1065"/>
    <w:rsid w:val="007D13A4"/>
    <w:rsid w:val="007D1415"/>
    <w:rsid w:val="007D17E9"/>
    <w:rsid w:val="007D1C90"/>
    <w:rsid w:val="007D1D4D"/>
    <w:rsid w:val="007D1DFA"/>
    <w:rsid w:val="007D1E4A"/>
    <w:rsid w:val="007D22E8"/>
    <w:rsid w:val="007D2330"/>
    <w:rsid w:val="007D23F2"/>
    <w:rsid w:val="007D29CD"/>
    <w:rsid w:val="007D2ACD"/>
    <w:rsid w:val="007D2CFE"/>
    <w:rsid w:val="007D2E9D"/>
    <w:rsid w:val="007D3252"/>
    <w:rsid w:val="007D326E"/>
    <w:rsid w:val="007D3301"/>
    <w:rsid w:val="007D3529"/>
    <w:rsid w:val="007D35D5"/>
    <w:rsid w:val="007D387A"/>
    <w:rsid w:val="007D38EE"/>
    <w:rsid w:val="007D39AA"/>
    <w:rsid w:val="007D3D17"/>
    <w:rsid w:val="007D423B"/>
    <w:rsid w:val="007D42DE"/>
    <w:rsid w:val="007D431C"/>
    <w:rsid w:val="007D48E7"/>
    <w:rsid w:val="007D4E87"/>
    <w:rsid w:val="007D50AE"/>
    <w:rsid w:val="007D51C5"/>
    <w:rsid w:val="007D51E6"/>
    <w:rsid w:val="007D52C6"/>
    <w:rsid w:val="007D532C"/>
    <w:rsid w:val="007D53CA"/>
    <w:rsid w:val="007D5623"/>
    <w:rsid w:val="007D5745"/>
    <w:rsid w:val="007D5791"/>
    <w:rsid w:val="007D5FAA"/>
    <w:rsid w:val="007D61CE"/>
    <w:rsid w:val="007D69D7"/>
    <w:rsid w:val="007D6CA6"/>
    <w:rsid w:val="007D6ED9"/>
    <w:rsid w:val="007D70A9"/>
    <w:rsid w:val="007D7164"/>
    <w:rsid w:val="007D789A"/>
    <w:rsid w:val="007D7B7A"/>
    <w:rsid w:val="007D7D19"/>
    <w:rsid w:val="007D7EB9"/>
    <w:rsid w:val="007D7F91"/>
    <w:rsid w:val="007E0146"/>
    <w:rsid w:val="007E0BFA"/>
    <w:rsid w:val="007E0DB7"/>
    <w:rsid w:val="007E0FA9"/>
    <w:rsid w:val="007E1153"/>
    <w:rsid w:val="007E164F"/>
    <w:rsid w:val="007E1784"/>
    <w:rsid w:val="007E1D4D"/>
    <w:rsid w:val="007E1FB9"/>
    <w:rsid w:val="007E2032"/>
    <w:rsid w:val="007E2A10"/>
    <w:rsid w:val="007E2A5F"/>
    <w:rsid w:val="007E2D03"/>
    <w:rsid w:val="007E2D9E"/>
    <w:rsid w:val="007E2F68"/>
    <w:rsid w:val="007E30C8"/>
    <w:rsid w:val="007E3AFE"/>
    <w:rsid w:val="007E3C68"/>
    <w:rsid w:val="007E3F5F"/>
    <w:rsid w:val="007E4573"/>
    <w:rsid w:val="007E47C3"/>
    <w:rsid w:val="007E47E0"/>
    <w:rsid w:val="007E4CC4"/>
    <w:rsid w:val="007E5211"/>
    <w:rsid w:val="007E52BD"/>
    <w:rsid w:val="007E52CF"/>
    <w:rsid w:val="007E52F0"/>
    <w:rsid w:val="007E5785"/>
    <w:rsid w:val="007E5A8B"/>
    <w:rsid w:val="007E5B4D"/>
    <w:rsid w:val="007E5E1B"/>
    <w:rsid w:val="007E60A8"/>
    <w:rsid w:val="007E6137"/>
    <w:rsid w:val="007E61B4"/>
    <w:rsid w:val="007E623C"/>
    <w:rsid w:val="007E6306"/>
    <w:rsid w:val="007E67F9"/>
    <w:rsid w:val="007E6A35"/>
    <w:rsid w:val="007E725C"/>
    <w:rsid w:val="007E72C3"/>
    <w:rsid w:val="007E7465"/>
    <w:rsid w:val="007E7826"/>
    <w:rsid w:val="007E7B23"/>
    <w:rsid w:val="007F012F"/>
    <w:rsid w:val="007F0191"/>
    <w:rsid w:val="007F033F"/>
    <w:rsid w:val="007F09A7"/>
    <w:rsid w:val="007F0B89"/>
    <w:rsid w:val="007F0C18"/>
    <w:rsid w:val="007F0E9E"/>
    <w:rsid w:val="007F1363"/>
    <w:rsid w:val="007F1407"/>
    <w:rsid w:val="007F1529"/>
    <w:rsid w:val="007F1594"/>
    <w:rsid w:val="007F175C"/>
    <w:rsid w:val="007F193A"/>
    <w:rsid w:val="007F1C3A"/>
    <w:rsid w:val="007F1F47"/>
    <w:rsid w:val="007F2551"/>
    <w:rsid w:val="007F27B2"/>
    <w:rsid w:val="007F29E8"/>
    <w:rsid w:val="007F2E31"/>
    <w:rsid w:val="007F2FAF"/>
    <w:rsid w:val="007F309A"/>
    <w:rsid w:val="007F3290"/>
    <w:rsid w:val="007F3692"/>
    <w:rsid w:val="007F3766"/>
    <w:rsid w:val="007F39A2"/>
    <w:rsid w:val="007F3A9B"/>
    <w:rsid w:val="007F3B86"/>
    <w:rsid w:val="007F3FBE"/>
    <w:rsid w:val="007F478C"/>
    <w:rsid w:val="007F47F2"/>
    <w:rsid w:val="007F4F3B"/>
    <w:rsid w:val="007F514A"/>
    <w:rsid w:val="007F5235"/>
    <w:rsid w:val="007F52B5"/>
    <w:rsid w:val="007F5F58"/>
    <w:rsid w:val="007F6402"/>
    <w:rsid w:val="007F6457"/>
    <w:rsid w:val="007F6ABF"/>
    <w:rsid w:val="007F7435"/>
    <w:rsid w:val="007F7983"/>
    <w:rsid w:val="007F7A32"/>
    <w:rsid w:val="007F7CCD"/>
    <w:rsid w:val="007F7DD7"/>
    <w:rsid w:val="007F7E56"/>
    <w:rsid w:val="008003B2"/>
    <w:rsid w:val="008003C9"/>
    <w:rsid w:val="008003F1"/>
    <w:rsid w:val="0080044E"/>
    <w:rsid w:val="00800652"/>
    <w:rsid w:val="00800A20"/>
    <w:rsid w:val="00800A8C"/>
    <w:rsid w:val="00800DDE"/>
    <w:rsid w:val="00800F79"/>
    <w:rsid w:val="008010FF"/>
    <w:rsid w:val="0080118E"/>
    <w:rsid w:val="00801287"/>
    <w:rsid w:val="008017BB"/>
    <w:rsid w:val="00801B2C"/>
    <w:rsid w:val="00801D3A"/>
    <w:rsid w:val="008023F9"/>
    <w:rsid w:val="00802584"/>
    <w:rsid w:val="008026BE"/>
    <w:rsid w:val="00802853"/>
    <w:rsid w:val="00802B28"/>
    <w:rsid w:val="00802CCB"/>
    <w:rsid w:val="00802CFF"/>
    <w:rsid w:val="00802F89"/>
    <w:rsid w:val="00803012"/>
    <w:rsid w:val="00803336"/>
    <w:rsid w:val="0080335F"/>
    <w:rsid w:val="00803399"/>
    <w:rsid w:val="0080345D"/>
    <w:rsid w:val="00803841"/>
    <w:rsid w:val="00803DBE"/>
    <w:rsid w:val="0080454F"/>
    <w:rsid w:val="008045DA"/>
    <w:rsid w:val="00804687"/>
    <w:rsid w:val="00804870"/>
    <w:rsid w:val="008048D4"/>
    <w:rsid w:val="0080490A"/>
    <w:rsid w:val="00804957"/>
    <w:rsid w:val="00804E46"/>
    <w:rsid w:val="00804E53"/>
    <w:rsid w:val="008055F1"/>
    <w:rsid w:val="00805C0E"/>
    <w:rsid w:val="00805C17"/>
    <w:rsid w:val="00805D75"/>
    <w:rsid w:val="00806190"/>
    <w:rsid w:val="0080636E"/>
    <w:rsid w:val="008064CD"/>
    <w:rsid w:val="00806510"/>
    <w:rsid w:val="00806654"/>
    <w:rsid w:val="00806CB9"/>
    <w:rsid w:val="00806EDB"/>
    <w:rsid w:val="0080744D"/>
    <w:rsid w:val="00807A6E"/>
    <w:rsid w:val="00807AB3"/>
    <w:rsid w:val="00807F5B"/>
    <w:rsid w:val="00810045"/>
    <w:rsid w:val="00810148"/>
    <w:rsid w:val="0081014C"/>
    <w:rsid w:val="00810193"/>
    <w:rsid w:val="008101B3"/>
    <w:rsid w:val="008105FC"/>
    <w:rsid w:val="00810713"/>
    <w:rsid w:val="008107D9"/>
    <w:rsid w:val="00810A26"/>
    <w:rsid w:val="00810AAB"/>
    <w:rsid w:val="00810C7B"/>
    <w:rsid w:val="00810F89"/>
    <w:rsid w:val="00810FAA"/>
    <w:rsid w:val="0081101A"/>
    <w:rsid w:val="00811401"/>
    <w:rsid w:val="008114EA"/>
    <w:rsid w:val="00811513"/>
    <w:rsid w:val="008117C9"/>
    <w:rsid w:val="00811C30"/>
    <w:rsid w:val="00811C6D"/>
    <w:rsid w:val="00812065"/>
    <w:rsid w:val="00812429"/>
    <w:rsid w:val="008128A9"/>
    <w:rsid w:val="00812A3B"/>
    <w:rsid w:val="008130C0"/>
    <w:rsid w:val="0081310A"/>
    <w:rsid w:val="008132FC"/>
    <w:rsid w:val="008133F6"/>
    <w:rsid w:val="00814193"/>
    <w:rsid w:val="00814291"/>
    <w:rsid w:val="00814355"/>
    <w:rsid w:val="008143F8"/>
    <w:rsid w:val="008145ED"/>
    <w:rsid w:val="00814BB8"/>
    <w:rsid w:val="00814C3F"/>
    <w:rsid w:val="00814E17"/>
    <w:rsid w:val="0081540A"/>
    <w:rsid w:val="00815729"/>
    <w:rsid w:val="00815AC4"/>
    <w:rsid w:val="00815C8E"/>
    <w:rsid w:val="00815CAF"/>
    <w:rsid w:val="00815D6D"/>
    <w:rsid w:val="00815F10"/>
    <w:rsid w:val="008161AF"/>
    <w:rsid w:val="008162A0"/>
    <w:rsid w:val="008163EB"/>
    <w:rsid w:val="0081676A"/>
    <w:rsid w:val="00816B2F"/>
    <w:rsid w:val="00816C2D"/>
    <w:rsid w:val="00816F93"/>
    <w:rsid w:val="0081751D"/>
    <w:rsid w:val="00817708"/>
    <w:rsid w:val="0082060E"/>
    <w:rsid w:val="00820735"/>
    <w:rsid w:val="00820A31"/>
    <w:rsid w:val="00820B17"/>
    <w:rsid w:val="008212D6"/>
    <w:rsid w:val="008216E6"/>
    <w:rsid w:val="00821A16"/>
    <w:rsid w:val="00821EF7"/>
    <w:rsid w:val="00822816"/>
    <w:rsid w:val="00822F7F"/>
    <w:rsid w:val="00823120"/>
    <w:rsid w:val="008235DB"/>
    <w:rsid w:val="0082378F"/>
    <w:rsid w:val="00824237"/>
    <w:rsid w:val="008244EF"/>
    <w:rsid w:val="00824632"/>
    <w:rsid w:val="00824715"/>
    <w:rsid w:val="008252E2"/>
    <w:rsid w:val="0082535B"/>
    <w:rsid w:val="008256FC"/>
    <w:rsid w:val="0082576D"/>
    <w:rsid w:val="008257F8"/>
    <w:rsid w:val="0082590F"/>
    <w:rsid w:val="0082592A"/>
    <w:rsid w:val="00825A39"/>
    <w:rsid w:val="00825ADF"/>
    <w:rsid w:val="00825C76"/>
    <w:rsid w:val="00825CFE"/>
    <w:rsid w:val="00825DAF"/>
    <w:rsid w:val="008260E0"/>
    <w:rsid w:val="00826219"/>
    <w:rsid w:val="00826389"/>
    <w:rsid w:val="0082640B"/>
    <w:rsid w:val="00826643"/>
    <w:rsid w:val="0082690C"/>
    <w:rsid w:val="008269BD"/>
    <w:rsid w:val="00826C05"/>
    <w:rsid w:val="00827346"/>
    <w:rsid w:val="0082768A"/>
    <w:rsid w:val="008279B8"/>
    <w:rsid w:val="00827CE5"/>
    <w:rsid w:val="00827E70"/>
    <w:rsid w:val="00827F3A"/>
    <w:rsid w:val="00830133"/>
    <w:rsid w:val="00830375"/>
    <w:rsid w:val="008308D8"/>
    <w:rsid w:val="008308E8"/>
    <w:rsid w:val="00830D60"/>
    <w:rsid w:val="00831472"/>
    <w:rsid w:val="0083164F"/>
    <w:rsid w:val="00831A21"/>
    <w:rsid w:val="00831AB3"/>
    <w:rsid w:val="00831B4B"/>
    <w:rsid w:val="00831C8A"/>
    <w:rsid w:val="00831EFA"/>
    <w:rsid w:val="00832022"/>
    <w:rsid w:val="00832093"/>
    <w:rsid w:val="0083287E"/>
    <w:rsid w:val="008329D5"/>
    <w:rsid w:val="00833449"/>
    <w:rsid w:val="008337B3"/>
    <w:rsid w:val="00833B83"/>
    <w:rsid w:val="00833C0F"/>
    <w:rsid w:val="00833C27"/>
    <w:rsid w:val="00833FC6"/>
    <w:rsid w:val="0083417C"/>
    <w:rsid w:val="008343A9"/>
    <w:rsid w:val="008345A4"/>
    <w:rsid w:val="00834CB5"/>
    <w:rsid w:val="00834FBE"/>
    <w:rsid w:val="00835259"/>
    <w:rsid w:val="0083537B"/>
    <w:rsid w:val="0083537D"/>
    <w:rsid w:val="00835550"/>
    <w:rsid w:val="008355FC"/>
    <w:rsid w:val="00835792"/>
    <w:rsid w:val="00835861"/>
    <w:rsid w:val="008359F2"/>
    <w:rsid w:val="00835BE7"/>
    <w:rsid w:val="00835C4B"/>
    <w:rsid w:val="00835CEF"/>
    <w:rsid w:val="008365C2"/>
    <w:rsid w:val="008366BC"/>
    <w:rsid w:val="008368BC"/>
    <w:rsid w:val="00836A8A"/>
    <w:rsid w:val="00836C35"/>
    <w:rsid w:val="0083701E"/>
    <w:rsid w:val="00837213"/>
    <w:rsid w:val="008373B4"/>
    <w:rsid w:val="00840255"/>
    <w:rsid w:val="0084034F"/>
    <w:rsid w:val="00840980"/>
    <w:rsid w:val="00840D10"/>
    <w:rsid w:val="00841339"/>
    <w:rsid w:val="008414EA"/>
    <w:rsid w:val="00841558"/>
    <w:rsid w:val="0084166C"/>
    <w:rsid w:val="00841D5A"/>
    <w:rsid w:val="008423E4"/>
    <w:rsid w:val="00842EB2"/>
    <w:rsid w:val="00842FB5"/>
    <w:rsid w:val="00843079"/>
    <w:rsid w:val="008432F7"/>
    <w:rsid w:val="008433D3"/>
    <w:rsid w:val="00843433"/>
    <w:rsid w:val="00843CF7"/>
    <w:rsid w:val="00844623"/>
    <w:rsid w:val="00844E4A"/>
    <w:rsid w:val="00844E9E"/>
    <w:rsid w:val="00844F43"/>
    <w:rsid w:val="00845071"/>
    <w:rsid w:val="008450EF"/>
    <w:rsid w:val="008458EB"/>
    <w:rsid w:val="00845BB8"/>
    <w:rsid w:val="008463A4"/>
    <w:rsid w:val="00846880"/>
    <w:rsid w:val="00846A87"/>
    <w:rsid w:val="00846AED"/>
    <w:rsid w:val="00846E24"/>
    <w:rsid w:val="008471E2"/>
    <w:rsid w:val="008476CC"/>
    <w:rsid w:val="0085067D"/>
    <w:rsid w:val="008506F0"/>
    <w:rsid w:val="0085073F"/>
    <w:rsid w:val="00850921"/>
    <w:rsid w:val="00850CE5"/>
    <w:rsid w:val="00850D10"/>
    <w:rsid w:val="00850DE6"/>
    <w:rsid w:val="00850F46"/>
    <w:rsid w:val="00850FAC"/>
    <w:rsid w:val="008510DF"/>
    <w:rsid w:val="008512BE"/>
    <w:rsid w:val="008515DC"/>
    <w:rsid w:val="00851787"/>
    <w:rsid w:val="00851790"/>
    <w:rsid w:val="0085194E"/>
    <w:rsid w:val="008519E3"/>
    <w:rsid w:val="00851A08"/>
    <w:rsid w:val="00851BA8"/>
    <w:rsid w:val="00851BC5"/>
    <w:rsid w:val="00851E88"/>
    <w:rsid w:val="008520AB"/>
    <w:rsid w:val="008523CE"/>
    <w:rsid w:val="008524BC"/>
    <w:rsid w:val="008524F7"/>
    <w:rsid w:val="00852539"/>
    <w:rsid w:val="00852578"/>
    <w:rsid w:val="00852DED"/>
    <w:rsid w:val="0085300A"/>
    <w:rsid w:val="0085307B"/>
    <w:rsid w:val="008530A2"/>
    <w:rsid w:val="00853585"/>
    <w:rsid w:val="008536F5"/>
    <w:rsid w:val="0085385A"/>
    <w:rsid w:val="00854BA2"/>
    <w:rsid w:val="008553AF"/>
    <w:rsid w:val="0085557F"/>
    <w:rsid w:val="00855805"/>
    <w:rsid w:val="00855965"/>
    <w:rsid w:val="00856017"/>
    <w:rsid w:val="008563A0"/>
    <w:rsid w:val="00856693"/>
    <w:rsid w:val="00856723"/>
    <w:rsid w:val="00856920"/>
    <w:rsid w:val="00856E3C"/>
    <w:rsid w:val="00856ED6"/>
    <w:rsid w:val="0085713F"/>
    <w:rsid w:val="008571FF"/>
    <w:rsid w:val="008573FE"/>
    <w:rsid w:val="008575AB"/>
    <w:rsid w:val="00857AD3"/>
    <w:rsid w:val="00857CEB"/>
    <w:rsid w:val="0086011C"/>
    <w:rsid w:val="00860284"/>
    <w:rsid w:val="008603B4"/>
    <w:rsid w:val="00860BFB"/>
    <w:rsid w:val="0086119D"/>
    <w:rsid w:val="00861405"/>
    <w:rsid w:val="00861B06"/>
    <w:rsid w:val="00861BB8"/>
    <w:rsid w:val="00861BC0"/>
    <w:rsid w:val="00861CD3"/>
    <w:rsid w:val="00861D5D"/>
    <w:rsid w:val="00861DCA"/>
    <w:rsid w:val="00861EDE"/>
    <w:rsid w:val="0086203A"/>
    <w:rsid w:val="00862211"/>
    <w:rsid w:val="008624D3"/>
    <w:rsid w:val="0086259C"/>
    <w:rsid w:val="0086279C"/>
    <w:rsid w:val="0086304F"/>
    <w:rsid w:val="00863460"/>
    <w:rsid w:val="00863633"/>
    <w:rsid w:val="00863A63"/>
    <w:rsid w:val="00863AC8"/>
    <w:rsid w:val="008640A6"/>
    <w:rsid w:val="008645C3"/>
    <w:rsid w:val="00864871"/>
    <w:rsid w:val="00864A61"/>
    <w:rsid w:val="00864AE2"/>
    <w:rsid w:val="00865066"/>
    <w:rsid w:val="0086511F"/>
    <w:rsid w:val="008656CE"/>
    <w:rsid w:val="008658B2"/>
    <w:rsid w:val="008658DD"/>
    <w:rsid w:val="00865E47"/>
    <w:rsid w:val="0086663A"/>
    <w:rsid w:val="00866C2B"/>
    <w:rsid w:val="00866E61"/>
    <w:rsid w:val="00867078"/>
    <w:rsid w:val="00867109"/>
    <w:rsid w:val="00867447"/>
    <w:rsid w:val="008676FF"/>
    <w:rsid w:val="008678BC"/>
    <w:rsid w:val="008705F1"/>
    <w:rsid w:val="0087071E"/>
    <w:rsid w:val="00870791"/>
    <w:rsid w:val="00870822"/>
    <w:rsid w:val="00870ABD"/>
    <w:rsid w:val="00870B0F"/>
    <w:rsid w:val="00870EFF"/>
    <w:rsid w:val="00870FF2"/>
    <w:rsid w:val="008710FB"/>
    <w:rsid w:val="008711F6"/>
    <w:rsid w:val="008711F8"/>
    <w:rsid w:val="0087190D"/>
    <w:rsid w:val="00871C11"/>
    <w:rsid w:val="008723A4"/>
    <w:rsid w:val="0087255F"/>
    <w:rsid w:val="0087330D"/>
    <w:rsid w:val="00873829"/>
    <w:rsid w:val="008739F4"/>
    <w:rsid w:val="008739F5"/>
    <w:rsid w:val="00873C45"/>
    <w:rsid w:val="00873EB6"/>
    <w:rsid w:val="0087430A"/>
    <w:rsid w:val="00874DED"/>
    <w:rsid w:val="00874F47"/>
    <w:rsid w:val="00874FB4"/>
    <w:rsid w:val="00875433"/>
    <w:rsid w:val="008755C9"/>
    <w:rsid w:val="00875876"/>
    <w:rsid w:val="00875B7B"/>
    <w:rsid w:val="00875FE6"/>
    <w:rsid w:val="00876443"/>
    <w:rsid w:val="008764E0"/>
    <w:rsid w:val="00876987"/>
    <w:rsid w:val="00876F64"/>
    <w:rsid w:val="00876FB1"/>
    <w:rsid w:val="00877D0F"/>
    <w:rsid w:val="00877FAB"/>
    <w:rsid w:val="00880542"/>
    <w:rsid w:val="00880A77"/>
    <w:rsid w:val="00880BAE"/>
    <w:rsid w:val="00880F10"/>
    <w:rsid w:val="008813D7"/>
    <w:rsid w:val="00881571"/>
    <w:rsid w:val="008817D4"/>
    <w:rsid w:val="00881B3E"/>
    <w:rsid w:val="00881C25"/>
    <w:rsid w:val="00881C66"/>
    <w:rsid w:val="00881FA5"/>
    <w:rsid w:val="008820F2"/>
    <w:rsid w:val="008821BB"/>
    <w:rsid w:val="0088235A"/>
    <w:rsid w:val="00882391"/>
    <w:rsid w:val="00882E29"/>
    <w:rsid w:val="008830C6"/>
    <w:rsid w:val="00883177"/>
    <w:rsid w:val="00883386"/>
    <w:rsid w:val="008833A2"/>
    <w:rsid w:val="0088398A"/>
    <w:rsid w:val="00883B31"/>
    <w:rsid w:val="00883C16"/>
    <w:rsid w:val="00884133"/>
    <w:rsid w:val="0088460F"/>
    <w:rsid w:val="008848A4"/>
    <w:rsid w:val="00884A64"/>
    <w:rsid w:val="00884F81"/>
    <w:rsid w:val="0088501E"/>
    <w:rsid w:val="00885185"/>
    <w:rsid w:val="00885F6E"/>
    <w:rsid w:val="00886238"/>
    <w:rsid w:val="00886559"/>
    <w:rsid w:val="0088697D"/>
    <w:rsid w:val="00886B75"/>
    <w:rsid w:val="00886F7D"/>
    <w:rsid w:val="008871CD"/>
    <w:rsid w:val="00887A3B"/>
    <w:rsid w:val="00887AFC"/>
    <w:rsid w:val="00887B72"/>
    <w:rsid w:val="00887BAC"/>
    <w:rsid w:val="00887E4B"/>
    <w:rsid w:val="00887EE8"/>
    <w:rsid w:val="00887F05"/>
    <w:rsid w:val="008902C3"/>
    <w:rsid w:val="008905F2"/>
    <w:rsid w:val="008908A6"/>
    <w:rsid w:val="00890CE1"/>
    <w:rsid w:val="00890EC7"/>
    <w:rsid w:val="00891118"/>
    <w:rsid w:val="0089125D"/>
    <w:rsid w:val="0089129B"/>
    <w:rsid w:val="00891506"/>
    <w:rsid w:val="00891773"/>
    <w:rsid w:val="00891960"/>
    <w:rsid w:val="00891CAC"/>
    <w:rsid w:val="00891D06"/>
    <w:rsid w:val="00891DBF"/>
    <w:rsid w:val="0089216D"/>
    <w:rsid w:val="0089248A"/>
    <w:rsid w:val="00892DBA"/>
    <w:rsid w:val="00893270"/>
    <w:rsid w:val="00893667"/>
    <w:rsid w:val="00893BF6"/>
    <w:rsid w:val="00894155"/>
    <w:rsid w:val="008942E9"/>
    <w:rsid w:val="0089445B"/>
    <w:rsid w:val="00894488"/>
    <w:rsid w:val="00894A10"/>
    <w:rsid w:val="00894D0A"/>
    <w:rsid w:val="00894E4F"/>
    <w:rsid w:val="0089501E"/>
    <w:rsid w:val="0089513F"/>
    <w:rsid w:val="008951A9"/>
    <w:rsid w:val="00895719"/>
    <w:rsid w:val="00895F1E"/>
    <w:rsid w:val="00896A60"/>
    <w:rsid w:val="00896CC3"/>
    <w:rsid w:val="00896EC4"/>
    <w:rsid w:val="00897031"/>
    <w:rsid w:val="00897391"/>
    <w:rsid w:val="00897537"/>
    <w:rsid w:val="0089770D"/>
    <w:rsid w:val="008A02FD"/>
    <w:rsid w:val="008A03A4"/>
    <w:rsid w:val="008A0472"/>
    <w:rsid w:val="008A0481"/>
    <w:rsid w:val="008A0501"/>
    <w:rsid w:val="008A093D"/>
    <w:rsid w:val="008A095F"/>
    <w:rsid w:val="008A096A"/>
    <w:rsid w:val="008A09FC"/>
    <w:rsid w:val="008A0AEF"/>
    <w:rsid w:val="008A0E79"/>
    <w:rsid w:val="008A1321"/>
    <w:rsid w:val="008A151D"/>
    <w:rsid w:val="008A1B8D"/>
    <w:rsid w:val="008A1C5F"/>
    <w:rsid w:val="008A1CFD"/>
    <w:rsid w:val="008A1E67"/>
    <w:rsid w:val="008A2155"/>
    <w:rsid w:val="008A22D4"/>
    <w:rsid w:val="008A2380"/>
    <w:rsid w:val="008A2602"/>
    <w:rsid w:val="008A2CF7"/>
    <w:rsid w:val="008A2DC7"/>
    <w:rsid w:val="008A31D3"/>
    <w:rsid w:val="008A31F0"/>
    <w:rsid w:val="008A3395"/>
    <w:rsid w:val="008A355C"/>
    <w:rsid w:val="008A3A85"/>
    <w:rsid w:val="008A3C7C"/>
    <w:rsid w:val="008A3E74"/>
    <w:rsid w:val="008A3F04"/>
    <w:rsid w:val="008A423A"/>
    <w:rsid w:val="008A44B5"/>
    <w:rsid w:val="008A465B"/>
    <w:rsid w:val="008A476E"/>
    <w:rsid w:val="008A47D1"/>
    <w:rsid w:val="008A47DD"/>
    <w:rsid w:val="008A4B10"/>
    <w:rsid w:val="008A4D3B"/>
    <w:rsid w:val="008A55F5"/>
    <w:rsid w:val="008A572F"/>
    <w:rsid w:val="008A5753"/>
    <w:rsid w:val="008A5B19"/>
    <w:rsid w:val="008A5D48"/>
    <w:rsid w:val="008A5EC9"/>
    <w:rsid w:val="008A6150"/>
    <w:rsid w:val="008A6F24"/>
    <w:rsid w:val="008A7058"/>
    <w:rsid w:val="008A7080"/>
    <w:rsid w:val="008A70E2"/>
    <w:rsid w:val="008A76DD"/>
    <w:rsid w:val="008A7EF7"/>
    <w:rsid w:val="008B01F2"/>
    <w:rsid w:val="008B051B"/>
    <w:rsid w:val="008B0731"/>
    <w:rsid w:val="008B0768"/>
    <w:rsid w:val="008B0DD1"/>
    <w:rsid w:val="008B0F9A"/>
    <w:rsid w:val="008B11F5"/>
    <w:rsid w:val="008B1484"/>
    <w:rsid w:val="008B15BE"/>
    <w:rsid w:val="008B16F2"/>
    <w:rsid w:val="008B187F"/>
    <w:rsid w:val="008B1A1E"/>
    <w:rsid w:val="008B1A63"/>
    <w:rsid w:val="008B1F82"/>
    <w:rsid w:val="008B217F"/>
    <w:rsid w:val="008B21CA"/>
    <w:rsid w:val="008B2380"/>
    <w:rsid w:val="008B2717"/>
    <w:rsid w:val="008B2833"/>
    <w:rsid w:val="008B2920"/>
    <w:rsid w:val="008B2BC9"/>
    <w:rsid w:val="008B2F76"/>
    <w:rsid w:val="008B2FB7"/>
    <w:rsid w:val="008B3418"/>
    <w:rsid w:val="008B4365"/>
    <w:rsid w:val="008B45B1"/>
    <w:rsid w:val="008B461B"/>
    <w:rsid w:val="008B48C0"/>
    <w:rsid w:val="008B4A10"/>
    <w:rsid w:val="008B4C88"/>
    <w:rsid w:val="008B4FCE"/>
    <w:rsid w:val="008B52B6"/>
    <w:rsid w:val="008B52F3"/>
    <w:rsid w:val="008B532F"/>
    <w:rsid w:val="008B54A2"/>
    <w:rsid w:val="008B56B6"/>
    <w:rsid w:val="008B56F2"/>
    <w:rsid w:val="008B5DE6"/>
    <w:rsid w:val="008B64B6"/>
    <w:rsid w:val="008B6ABC"/>
    <w:rsid w:val="008B6B77"/>
    <w:rsid w:val="008B6DC3"/>
    <w:rsid w:val="008B6E6E"/>
    <w:rsid w:val="008B7078"/>
    <w:rsid w:val="008B75FA"/>
    <w:rsid w:val="008C00D9"/>
    <w:rsid w:val="008C034D"/>
    <w:rsid w:val="008C05E0"/>
    <w:rsid w:val="008C0733"/>
    <w:rsid w:val="008C0A05"/>
    <w:rsid w:val="008C0A9A"/>
    <w:rsid w:val="008C0ADB"/>
    <w:rsid w:val="008C0FB0"/>
    <w:rsid w:val="008C1201"/>
    <w:rsid w:val="008C161A"/>
    <w:rsid w:val="008C18AE"/>
    <w:rsid w:val="008C1A31"/>
    <w:rsid w:val="008C1A4B"/>
    <w:rsid w:val="008C1B38"/>
    <w:rsid w:val="008C1DAE"/>
    <w:rsid w:val="008C1E64"/>
    <w:rsid w:val="008C1F6C"/>
    <w:rsid w:val="008C2116"/>
    <w:rsid w:val="008C22C6"/>
    <w:rsid w:val="008C2704"/>
    <w:rsid w:val="008C2812"/>
    <w:rsid w:val="008C2A72"/>
    <w:rsid w:val="008C3677"/>
    <w:rsid w:val="008C37C1"/>
    <w:rsid w:val="008C388C"/>
    <w:rsid w:val="008C3CD5"/>
    <w:rsid w:val="008C3DD6"/>
    <w:rsid w:val="008C3FF4"/>
    <w:rsid w:val="008C4033"/>
    <w:rsid w:val="008C43E7"/>
    <w:rsid w:val="008C4781"/>
    <w:rsid w:val="008C49A9"/>
    <w:rsid w:val="008C4DEA"/>
    <w:rsid w:val="008C513F"/>
    <w:rsid w:val="008C529B"/>
    <w:rsid w:val="008C52A8"/>
    <w:rsid w:val="008C52C4"/>
    <w:rsid w:val="008C53F9"/>
    <w:rsid w:val="008C587F"/>
    <w:rsid w:val="008C5A9C"/>
    <w:rsid w:val="008C642E"/>
    <w:rsid w:val="008C6524"/>
    <w:rsid w:val="008C65D8"/>
    <w:rsid w:val="008C68B3"/>
    <w:rsid w:val="008C6A94"/>
    <w:rsid w:val="008C6B6D"/>
    <w:rsid w:val="008C716C"/>
    <w:rsid w:val="008C78F8"/>
    <w:rsid w:val="008C7E28"/>
    <w:rsid w:val="008D000E"/>
    <w:rsid w:val="008D01FD"/>
    <w:rsid w:val="008D07B1"/>
    <w:rsid w:val="008D08E8"/>
    <w:rsid w:val="008D0DA3"/>
    <w:rsid w:val="008D133B"/>
    <w:rsid w:val="008D194D"/>
    <w:rsid w:val="008D1F9F"/>
    <w:rsid w:val="008D239F"/>
    <w:rsid w:val="008D25B7"/>
    <w:rsid w:val="008D2665"/>
    <w:rsid w:val="008D29CB"/>
    <w:rsid w:val="008D2A38"/>
    <w:rsid w:val="008D2C55"/>
    <w:rsid w:val="008D2CAF"/>
    <w:rsid w:val="008D2D1E"/>
    <w:rsid w:val="008D365D"/>
    <w:rsid w:val="008D3BF1"/>
    <w:rsid w:val="008D3F62"/>
    <w:rsid w:val="008D3FBF"/>
    <w:rsid w:val="008D4283"/>
    <w:rsid w:val="008D4942"/>
    <w:rsid w:val="008D520C"/>
    <w:rsid w:val="008D53D1"/>
    <w:rsid w:val="008D5760"/>
    <w:rsid w:val="008D58C8"/>
    <w:rsid w:val="008D5C99"/>
    <w:rsid w:val="008D5CCD"/>
    <w:rsid w:val="008D6447"/>
    <w:rsid w:val="008D675F"/>
    <w:rsid w:val="008D6A23"/>
    <w:rsid w:val="008D6E70"/>
    <w:rsid w:val="008D6F7D"/>
    <w:rsid w:val="008D7175"/>
    <w:rsid w:val="008D73FA"/>
    <w:rsid w:val="008D75DF"/>
    <w:rsid w:val="008D7C97"/>
    <w:rsid w:val="008D7D78"/>
    <w:rsid w:val="008D7E93"/>
    <w:rsid w:val="008E05A6"/>
    <w:rsid w:val="008E07BB"/>
    <w:rsid w:val="008E089A"/>
    <w:rsid w:val="008E0B6F"/>
    <w:rsid w:val="008E0BB4"/>
    <w:rsid w:val="008E0D14"/>
    <w:rsid w:val="008E0E80"/>
    <w:rsid w:val="008E12C8"/>
    <w:rsid w:val="008E12CC"/>
    <w:rsid w:val="008E12D5"/>
    <w:rsid w:val="008E131A"/>
    <w:rsid w:val="008E1354"/>
    <w:rsid w:val="008E147E"/>
    <w:rsid w:val="008E158C"/>
    <w:rsid w:val="008E179D"/>
    <w:rsid w:val="008E18A7"/>
    <w:rsid w:val="008E1D21"/>
    <w:rsid w:val="008E22EE"/>
    <w:rsid w:val="008E2497"/>
    <w:rsid w:val="008E25A6"/>
    <w:rsid w:val="008E270C"/>
    <w:rsid w:val="008E2C6B"/>
    <w:rsid w:val="008E370A"/>
    <w:rsid w:val="008E3ECD"/>
    <w:rsid w:val="008E4424"/>
    <w:rsid w:val="008E449E"/>
    <w:rsid w:val="008E4515"/>
    <w:rsid w:val="008E4A93"/>
    <w:rsid w:val="008E4BDF"/>
    <w:rsid w:val="008E4CFF"/>
    <w:rsid w:val="008E4F13"/>
    <w:rsid w:val="008E4F37"/>
    <w:rsid w:val="008E514B"/>
    <w:rsid w:val="008E559B"/>
    <w:rsid w:val="008E59EE"/>
    <w:rsid w:val="008E5A42"/>
    <w:rsid w:val="008E5E1C"/>
    <w:rsid w:val="008E64A2"/>
    <w:rsid w:val="008E68AA"/>
    <w:rsid w:val="008E68E9"/>
    <w:rsid w:val="008E68F2"/>
    <w:rsid w:val="008E69BB"/>
    <w:rsid w:val="008E6C8F"/>
    <w:rsid w:val="008E6F8A"/>
    <w:rsid w:val="008E793E"/>
    <w:rsid w:val="008E7974"/>
    <w:rsid w:val="008E7BD2"/>
    <w:rsid w:val="008F0014"/>
    <w:rsid w:val="008F0117"/>
    <w:rsid w:val="008F0302"/>
    <w:rsid w:val="008F07D1"/>
    <w:rsid w:val="008F07DC"/>
    <w:rsid w:val="008F085A"/>
    <w:rsid w:val="008F095C"/>
    <w:rsid w:val="008F0EA6"/>
    <w:rsid w:val="008F1266"/>
    <w:rsid w:val="008F131A"/>
    <w:rsid w:val="008F1334"/>
    <w:rsid w:val="008F14F9"/>
    <w:rsid w:val="008F1AF3"/>
    <w:rsid w:val="008F2428"/>
    <w:rsid w:val="008F2C33"/>
    <w:rsid w:val="008F2C58"/>
    <w:rsid w:val="008F2C95"/>
    <w:rsid w:val="008F2CBF"/>
    <w:rsid w:val="008F337E"/>
    <w:rsid w:val="008F3414"/>
    <w:rsid w:val="008F3AA9"/>
    <w:rsid w:val="008F3CC1"/>
    <w:rsid w:val="008F3F89"/>
    <w:rsid w:val="008F4264"/>
    <w:rsid w:val="008F4320"/>
    <w:rsid w:val="008F43BD"/>
    <w:rsid w:val="008F467B"/>
    <w:rsid w:val="008F47F8"/>
    <w:rsid w:val="008F48E7"/>
    <w:rsid w:val="008F4AD0"/>
    <w:rsid w:val="008F4D4A"/>
    <w:rsid w:val="008F5291"/>
    <w:rsid w:val="008F548E"/>
    <w:rsid w:val="008F5559"/>
    <w:rsid w:val="008F56FF"/>
    <w:rsid w:val="008F5A4F"/>
    <w:rsid w:val="008F5D0B"/>
    <w:rsid w:val="008F60D2"/>
    <w:rsid w:val="008F619F"/>
    <w:rsid w:val="008F70A3"/>
    <w:rsid w:val="008F713D"/>
    <w:rsid w:val="008F71F3"/>
    <w:rsid w:val="008F7516"/>
    <w:rsid w:val="008F75F3"/>
    <w:rsid w:val="008F7682"/>
    <w:rsid w:val="008F770C"/>
    <w:rsid w:val="008F7867"/>
    <w:rsid w:val="008F79F7"/>
    <w:rsid w:val="008F7F52"/>
    <w:rsid w:val="0090000E"/>
    <w:rsid w:val="0090012D"/>
    <w:rsid w:val="00900303"/>
    <w:rsid w:val="009009FB"/>
    <w:rsid w:val="00900C95"/>
    <w:rsid w:val="00900D3A"/>
    <w:rsid w:val="009013D3"/>
    <w:rsid w:val="0090148C"/>
    <w:rsid w:val="00901CB3"/>
    <w:rsid w:val="009024BF"/>
    <w:rsid w:val="00902B12"/>
    <w:rsid w:val="00902EB3"/>
    <w:rsid w:val="00902FAF"/>
    <w:rsid w:val="00902FCE"/>
    <w:rsid w:val="00903038"/>
    <w:rsid w:val="00903183"/>
    <w:rsid w:val="0090419B"/>
    <w:rsid w:val="00904221"/>
    <w:rsid w:val="00904ED8"/>
    <w:rsid w:val="009051F9"/>
    <w:rsid w:val="00905442"/>
    <w:rsid w:val="00905533"/>
    <w:rsid w:val="00905801"/>
    <w:rsid w:val="00905A94"/>
    <w:rsid w:val="00905E17"/>
    <w:rsid w:val="00906410"/>
    <w:rsid w:val="00906533"/>
    <w:rsid w:val="00906722"/>
    <w:rsid w:val="009069F6"/>
    <w:rsid w:val="00906BD3"/>
    <w:rsid w:val="00906C00"/>
    <w:rsid w:val="00906C02"/>
    <w:rsid w:val="009072D6"/>
    <w:rsid w:val="00907658"/>
    <w:rsid w:val="00907860"/>
    <w:rsid w:val="00910268"/>
    <w:rsid w:val="009102C4"/>
    <w:rsid w:val="009104B2"/>
    <w:rsid w:val="0091052C"/>
    <w:rsid w:val="009109B1"/>
    <w:rsid w:val="00910F57"/>
    <w:rsid w:val="00911205"/>
    <w:rsid w:val="00911274"/>
    <w:rsid w:val="009115A9"/>
    <w:rsid w:val="00911C01"/>
    <w:rsid w:val="00911DE1"/>
    <w:rsid w:val="00911E3D"/>
    <w:rsid w:val="00912445"/>
    <w:rsid w:val="00912A64"/>
    <w:rsid w:val="00912D27"/>
    <w:rsid w:val="00912F64"/>
    <w:rsid w:val="0091319A"/>
    <w:rsid w:val="00913AAC"/>
    <w:rsid w:val="00913B1B"/>
    <w:rsid w:val="00913C57"/>
    <w:rsid w:val="0091427D"/>
    <w:rsid w:val="00914503"/>
    <w:rsid w:val="00914516"/>
    <w:rsid w:val="00914BF9"/>
    <w:rsid w:val="00914C2E"/>
    <w:rsid w:val="00914CD0"/>
    <w:rsid w:val="0091500A"/>
    <w:rsid w:val="009156BB"/>
    <w:rsid w:val="0091578F"/>
    <w:rsid w:val="00915F7D"/>
    <w:rsid w:val="0091644C"/>
    <w:rsid w:val="00916893"/>
    <w:rsid w:val="00916A13"/>
    <w:rsid w:val="0091725D"/>
    <w:rsid w:val="0091752F"/>
    <w:rsid w:val="009175CA"/>
    <w:rsid w:val="00917BDA"/>
    <w:rsid w:val="00917EE7"/>
    <w:rsid w:val="00920D80"/>
    <w:rsid w:val="00920E18"/>
    <w:rsid w:val="00920F6F"/>
    <w:rsid w:val="00920FF3"/>
    <w:rsid w:val="00920FF8"/>
    <w:rsid w:val="00921072"/>
    <w:rsid w:val="00921091"/>
    <w:rsid w:val="009214F5"/>
    <w:rsid w:val="00921C17"/>
    <w:rsid w:val="00921C6F"/>
    <w:rsid w:val="00921E91"/>
    <w:rsid w:val="00922043"/>
    <w:rsid w:val="00922096"/>
    <w:rsid w:val="009220D0"/>
    <w:rsid w:val="009225D4"/>
    <w:rsid w:val="00922BCC"/>
    <w:rsid w:val="00922C22"/>
    <w:rsid w:val="00922C45"/>
    <w:rsid w:val="00922E96"/>
    <w:rsid w:val="00922F0D"/>
    <w:rsid w:val="00923223"/>
    <w:rsid w:val="009233EB"/>
    <w:rsid w:val="009234C2"/>
    <w:rsid w:val="00923A82"/>
    <w:rsid w:val="00923E1F"/>
    <w:rsid w:val="0092421C"/>
    <w:rsid w:val="0092427B"/>
    <w:rsid w:val="00924531"/>
    <w:rsid w:val="00924FED"/>
    <w:rsid w:val="009250D1"/>
    <w:rsid w:val="009252F8"/>
    <w:rsid w:val="009253DA"/>
    <w:rsid w:val="009253F6"/>
    <w:rsid w:val="00925459"/>
    <w:rsid w:val="00925565"/>
    <w:rsid w:val="009257C4"/>
    <w:rsid w:val="009257FD"/>
    <w:rsid w:val="00925807"/>
    <w:rsid w:val="009259C0"/>
    <w:rsid w:val="00925C69"/>
    <w:rsid w:val="00925DA0"/>
    <w:rsid w:val="00925E5C"/>
    <w:rsid w:val="00926202"/>
    <w:rsid w:val="0092656D"/>
    <w:rsid w:val="0092658A"/>
    <w:rsid w:val="00926696"/>
    <w:rsid w:val="00926ACD"/>
    <w:rsid w:val="00926D16"/>
    <w:rsid w:val="00926E1F"/>
    <w:rsid w:val="009274F4"/>
    <w:rsid w:val="009278D5"/>
    <w:rsid w:val="00927ADE"/>
    <w:rsid w:val="00927C8A"/>
    <w:rsid w:val="00927EF0"/>
    <w:rsid w:val="00927F99"/>
    <w:rsid w:val="0093016F"/>
    <w:rsid w:val="009304B5"/>
    <w:rsid w:val="009305E0"/>
    <w:rsid w:val="00930693"/>
    <w:rsid w:val="00930710"/>
    <w:rsid w:val="00930B32"/>
    <w:rsid w:val="00930B39"/>
    <w:rsid w:val="00930BD6"/>
    <w:rsid w:val="00930D39"/>
    <w:rsid w:val="00930F35"/>
    <w:rsid w:val="00930F78"/>
    <w:rsid w:val="00931117"/>
    <w:rsid w:val="0093147B"/>
    <w:rsid w:val="00931642"/>
    <w:rsid w:val="009316EC"/>
    <w:rsid w:val="00931C66"/>
    <w:rsid w:val="009322C1"/>
    <w:rsid w:val="009323DA"/>
    <w:rsid w:val="0093254F"/>
    <w:rsid w:val="00932765"/>
    <w:rsid w:val="00932A2B"/>
    <w:rsid w:val="00932B3B"/>
    <w:rsid w:val="0093362D"/>
    <w:rsid w:val="00933DF5"/>
    <w:rsid w:val="00933EFC"/>
    <w:rsid w:val="009340BC"/>
    <w:rsid w:val="009342B5"/>
    <w:rsid w:val="00934577"/>
    <w:rsid w:val="00934673"/>
    <w:rsid w:val="00934D0B"/>
    <w:rsid w:val="00934E18"/>
    <w:rsid w:val="00934E33"/>
    <w:rsid w:val="00934F81"/>
    <w:rsid w:val="009351FC"/>
    <w:rsid w:val="009356C4"/>
    <w:rsid w:val="009357FF"/>
    <w:rsid w:val="009359FD"/>
    <w:rsid w:val="00935C24"/>
    <w:rsid w:val="00935E26"/>
    <w:rsid w:val="009361C4"/>
    <w:rsid w:val="0093628D"/>
    <w:rsid w:val="00936307"/>
    <w:rsid w:val="0093641F"/>
    <w:rsid w:val="009364C0"/>
    <w:rsid w:val="00936AA4"/>
    <w:rsid w:val="00936CC8"/>
    <w:rsid w:val="00936D0F"/>
    <w:rsid w:val="00936DC3"/>
    <w:rsid w:val="00936EFD"/>
    <w:rsid w:val="00936EFE"/>
    <w:rsid w:val="009373A0"/>
    <w:rsid w:val="00937440"/>
    <w:rsid w:val="0093796B"/>
    <w:rsid w:val="00937EDB"/>
    <w:rsid w:val="00940646"/>
    <w:rsid w:val="00940D9D"/>
    <w:rsid w:val="00940E80"/>
    <w:rsid w:val="0094133A"/>
    <w:rsid w:val="009420FC"/>
    <w:rsid w:val="0094241A"/>
    <w:rsid w:val="009428A3"/>
    <w:rsid w:val="009428B2"/>
    <w:rsid w:val="00942900"/>
    <w:rsid w:val="00942F88"/>
    <w:rsid w:val="00943036"/>
    <w:rsid w:val="009432BD"/>
    <w:rsid w:val="0094331C"/>
    <w:rsid w:val="00943C97"/>
    <w:rsid w:val="00944188"/>
    <w:rsid w:val="00944456"/>
    <w:rsid w:val="009459CC"/>
    <w:rsid w:val="00945A78"/>
    <w:rsid w:val="00945CA1"/>
    <w:rsid w:val="009460DA"/>
    <w:rsid w:val="009462BB"/>
    <w:rsid w:val="0094674D"/>
    <w:rsid w:val="0094683A"/>
    <w:rsid w:val="009469BA"/>
    <w:rsid w:val="00946F96"/>
    <w:rsid w:val="00947093"/>
    <w:rsid w:val="009471EB"/>
    <w:rsid w:val="0094723B"/>
    <w:rsid w:val="00947260"/>
    <w:rsid w:val="009476AC"/>
    <w:rsid w:val="00947947"/>
    <w:rsid w:val="009479B9"/>
    <w:rsid w:val="00947AE6"/>
    <w:rsid w:val="00950230"/>
    <w:rsid w:val="009502B3"/>
    <w:rsid w:val="0095095C"/>
    <w:rsid w:val="00950A82"/>
    <w:rsid w:val="00950ED8"/>
    <w:rsid w:val="009512DB"/>
    <w:rsid w:val="00951333"/>
    <w:rsid w:val="009513C8"/>
    <w:rsid w:val="009514CE"/>
    <w:rsid w:val="009516A9"/>
    <w:rsid w:val="00951771"/>
    <w:rsid w:val="0095186C"/>
    <w:rsid w:val="00951B25"/>
    <w:rsid w:val="00951C7B"/>
    <w:rsid w:val="009523B4"/>
    <w:rsid w:val="00952482"/>
    <w:rsid w:val="00952661"/>
    <w:rsid w:val="009527D4"/>
    <w:rsid w:val="009527EC"/>
    <w:rsid w:val="00952D5F"/>
    <w:rsid w:val="00952F76"/>
    <w:rsid w:val="0095309D"/>
    <w:rsid w:val="009534D6"/>
    <w:rsid w:val="009536F4"/>
    <w:rsid w:val="00953B07"/>
    <w:rsid w:val="00953C30"/>
    <w:rsid w:val="00953E1C"/>
    <w:rsid w:val="00953F27"/>
    <w:rsid w:val="0095451B"/>
    <w:rsid w:val="00954618"/>
    <w:rsid w:val="009546DC"/>
    <w:rsid w:val="009548E8"/>
    <w:rsid w:val="00954B11"/>
    <w:rsid w:val="00954CA7"/>
    <w:rsid w:val="00954EEB"/>
    <w:rsid w:val="009554F1"/>
    <w:rsid w:val="00955613"/>
    <w:rsid w:val="00955829"/>
    <w:rsid w:val="0095587F"/>
    <w:rsid w:val="00955B70"/>
    <w:rsid w:val="00955C0B"/>
    <w:rsid w:val="00956E6A"/>
    <w:rsid w:val="009571DD"/>
    <w:rsid w:val="009571ED"/>
    <w:rsid w:val="009571FD"/>
    <w:rsid w:val="009573A9"/>
    <w:rsid w:val="00957441"/>
    <w:rsid w:val="0095766E"/>
    <w:rsid w:val="009576F2"/>
    <w:rsid w:val="00957A74"/>
    <w:rsid w:val="00957B28"/>
    <w:rsid w:val="0096013D"/>
    <w:rsid w:val="009604A5"/>
    <w:rsid w:val="0096062E"/>
    <w:rsid w:val="009606B4"/>
    <w:rsid w:val="00960EA3"/>
    <w:rsid w:val="00961050"/>
    <w:rsid w:val="009611F3"/>
    <w:rsid w:val="0096149D"/>
    <w:rsid w:val="00961766"/>
    <w:rsid w:val="009619EE"/>
    <w:rsid w:val="00961B9B"/>
    <w:rsid w:val="00961DA6"/>
    <w:rsid w:val="00961EFD"/>
    <w:rsid w:val="009620EE"/>
    <w:rsid w:val="009625B9"/>
    <w:rsid w:val="00962653"/>
    <w:rsid w:val="00962B9B"/>
    <w:rsid w:val="00962DBA"/>
    <w:rsid w:val="00963340"/>
    <w:rsid w:val="0096347B"/>
    <w:rsid w:val="00963B72"/>
    <w:rsid w:val="009640D5"/>
    <w:rsid w:val="00964246"/>
    <w:rsid w:val="0096449E"/>
    <w:rsid w:val="009649BA"/>
    <w:rsid w:val="00964B8C"/>
    <w:rsid w:val="00964C12"/>
    <w:rsid w:val="00964C2D"/>
    <w:rsid w:val="00964D03"/>
    <w:rsid w:val="00964D1E"/>
    <w:rsid w:val="00965374"/>
    <w:rsid w:val="0096562D"/>
    <w:rsid w:val="00965927"/>
    <w:rsid w:val="00965D0B"/>
    <w:rsid w:val="00966250"/>
    <w:rsid w:val="00966473"/>
    <w:rsid w:val="0096678D"/>
    <w:rsid w:val="00966B41"/>
    <w:rsid w:val="00966D2C"/>
    <w:rsid w:val="00966DEE"/>
    <w:rsid w:val="00966EAC"/>
    <w:rsid w:val="00967119"/>
    <w:rsid w:val="009673E6"/>
    <w:rsid w:val="00967573"/>
    <w:rsid w:val="009677E0"/>
    <w:rsid w:val="0096789B"/>
    <w:rsid w:val="00967E24"/>
    <w:rsid w:val="009700A2"/>
    <w:rsid w:val="009700BD"/>
    <w:rsid w:val="0097012B"/>
    <w:rsid w:val="0097026C"/>
    <w:rsid w:val="0097052F"/>
    <w:rsid w:val="0097054F"/>
    <w:rsid w:val="00971119"/>
    <w:rsid w:val="009712C6"/>
    <w:rsid w:val="009712F4"/>
    <w:rsid w:val="009712F6"/>
    <w:rsid w:val="009713D6"/>
    <w:rsid w:val="00971403"/>
    <w:rsid w:val="00971461"/>
    <w:rsid w:val="009716CB"/>
    <w:rsid w:val="00971733"/>
    <w:rsid w:val="0097195A"/>
    <w:rsid w:val="00971A48"/>
    <w:rsid w:val="00971FCE"/>
    <w:rsid w:val="00972B60"/>
    <w:rsid w:val="00972B9D"/>
    <w:rsid w:val="00972CE6"/>
    <w:rsid w:val="00972D08"/>
    <w:rsid w:val="009734C3"/>
    <w:rsid w:val="00973A0C"/>
    <w:rsid w:val="00973F1E"/>
    <w:rsid w:val="0097422A"/>
    <w:rsid w:val="0097426E"/>
    <w:rsid w:val="0097433D"/>
    <w:rsid w:val="009747B7"/>
    <w:rsid w:val="00974AFF"/>
    <w:rsid w:val="00974EA1"/>
    <w:rsid w:val="00974EED"/>
    <w:rsid w:val="00975126"/>
    <w:rsid w:val="00975958"/>
    <w:rsid w:val="00975E23"/>
    <w:rsid w:val="00976329"/>
    <w:rsid w:val="0097699C"/>
    <w:rsid w:val="00976C17"/>
    <w:rsid w:val="00976D44"/>
    <w:rsid w:val="00976D8F"/>
    <w:rsid w:val="00976F40"/>
    <w:rsid w:val="009774C9"/>
    <w:rsid w:val="00977654"/>
    <w:rsid w:val="009778CB"/>
    <w:rsid w:val="00977AE4"/>
    <w:rsid w:val="00977C02"/>
    <w:rsid w:val="00977C31"/>
    <w:rsid w:val="0098021F"/>
    <w:rsid w:val="009806FB"/>
    <w:rsid w:val="00980851"/>
    <w:rsid w:val="00981025"/>
    <w:rsid w:val="00981037"/>
    <w:rsid w:val="009811C8"/>
    <w:rsid w:val="009819DB"/>
    <w:rsid w:val="00981D6A"/>
    <w:rsid w:val="00981FA5"/>
    <w:rsid w:val="009820E5"/>
    <w:rsid w:val="009822BD"/>
    <w:rsid w:val="009822BE"/>
    <w:rsid w:val="0098237E"/>
    <w:rsid w:val="009825E3"/>
    <w:rsid w:val="0098294B"/>
    <w:rsid w:val="00982C10"/>
    <w:rsid w:val="00982C4D"/>
    <w:rsid w:val="00982CBA"/>
    <w:rsid w:val="00982D38"/>
    <w:rsid w:val="00982EE6"/>
    <w:rsid w:val="00983155"/>
    <w:rsid w:val="0098351D"/>
    <w:rsid w:val="00983598"/>
    <w:rsid w:val="00983632"/>
    <w:rsid w:val="00984040"/>
    <w:rsid w:val="0098423A"/>
    <w:rsid w:val="00984483"/>
    <w:rsid w:val="00984896"/>
    <w:rsid w:val="00984A0F"/>
    <w:rsid w:val="009852A5"/>
    <w:rsid w:val="0098534D"/>
    <w:rsid w:val="009853B5"/>
    <w:rsid w:val="00985484"/>
    <w:rsid w:val="009854C5"/>
    <w:rsid w:val="00985930"/>
    <w:rsid w:val="00985A61"/>
    <w:rsid w:val="00985A7A"/>
    <w:rsid w:val="00985ECD"/>
    <w:rsid w:val="00986104"/>
    <w:rsid w:val="009868C1"/>
    <w:rsid w:val="00986DF5"/>
    <w:rsid w:val="00987464"/>
    <w:rsid w:val="00987468"/>
    <w:rsid w:val="0098750D"/>
    <w:rsid w:val="009875B9"/>
    <w:rsid w:val="009876F9"/>
    <w:rsid w:val="009878EA"/>
    <w:rsid w:val="00987CB7"/>
    <w:rsid w:val="00990031"/>
    <w:rsid w:val="00990073"/>
    <w:rsid w:val="009903C1"/>
    <w:rsid w:val="009904E4"/>
    <w:rsid w:val="00990631"/>
    <w:rsid w:val="00990857"/>
    <w:rsid w:val="00990927"/>
    <w:rsid w:val="00990999"/>
    <w:rsid w:val="00990CD9"/>
    <w:rsid w:val="00990E6B"/>
    <w:rsid w:val="0099129D"/>
    <w:rsid w:val="009912F3"/>
    <w:rsid w:val="0099130E"/>
    <w:rsid w:val="00991436"/>
    <w:rsid w:val="009914A3"/>
    <w:rsid w:val="009915AF"/>
    <w:rsid w:val="00991754"/>
    <w:rsid w:val="009917BA"/>
    <w:rsid w:val="00991A8B"/>
    <w:rsid w:val="00991ACC"/>
    <w:rsid w:val="0099298C"/>
    <w:rsid w:val="00992A48"/>
    <w:rsid w:val="00992B6F"/>
    <w:rsid w:val="009933C2"/>
    <w:rsid w:val="00993EA0"/>
    <w:rsid w:val="00993F08"/>
    <w:rsid w:val="00994083"/>
    <w:rsid w:val="0099433F"/>
    <w:rsid w:val="00994463"/>
    <w:rsid w:val="00994524"/>
    <w:rsid w:val="00994566"/>
    <w:rsid w:val="009947C6"/>
    <w:rsid w:val="00994E60"/>
    <w:rsid w:val="0099564D"/>
    <w:rsid w:val="0099568F"/>
    <w:rsid w:val="009957E4"/>
    <w:rsid w:val="00995978"/>
    <w:rsid w:val="00995BE8"/>
    <w:rsid w:val="00995C2B"/>
    <w:rsid w:val="00995EF9"/>
    <w:rsid w:val="00996533"/>
    <w:rsid w:val="009966CB"/>
    <w:rsid w:val="00996783"/>
    <w:rsid w:val="00996858"/>
    <w:rsid w:val="00996AB3"/>
    <w:rsid w:val="00996AC4"/>
    <w:rsid w:val="00996D87"/>
    <w:rsid w:val="00996E90"/>
    <w:rsid w:val="00996E95"/>
    <w:rsid w:val="00996FA7"/>
    <w:rsid w:val="00997192"/>
    <w:rsid w:val="009975DF"/>
    <w:rsid w:val="0099761D"/>
    <w:rsid w:val="009977D8"/>
    <w:rsid w:val="00997826"/>
    <w:rsid w:val="00997A05"/>
    <w:rsid w:val="00997DBF"/>
    <w:rsid w:val="00997E5E"/>
    <w:rsid w:val="009A02BA"/>
    <w:rsid w:val="009A0453"/>
    <w:rsid w:val="009A05D2"/>
    <w:rsid w:val="009A0750"/>
    <w:rsid w:val="009A077B"/>
    <w:rsid w:val="009A083E"/>
    <w:rsid w:val="009A124C"/>
    <w:rsid w:val="009A12F7"/>
    <w:rsid w:val="009A16DC"/>
    <w:rsid w:val="009A1BA0"/>
    <w:rsid w:val="009A1C53"/>
    <w:rsid w:val="009A1EF8"/>
    <w:rsid w:val="009A207D"/>
    <w:rsid w:val="009A210E"/>
    <w:rsid w:val="009A2226"/>
    <w:rsid w:val="009A2239"/>
    <w:rsid w:val="009A23D4"/>
    <w:rsid w:val="009A25CA"/>
    <w:rsid w:val="009A26EA"/>
    <w:rsid w:val="009A2757"/>
    <w:rsid w:val="009A2C9C"/>
    <w:rsid w:val="009A3422"/>
    <w:rsid w:val="009A3546"/>
    <w:rsid w:val="009A3626"/>
    <w:rsid w:val="009A3708"/>
    <w:rsid w:val="009A3AD9"/>
    <w:rsid w:val="009A3CC5"/>
    <w:rsid w:val="009A41FF"/>
    <w:rsid w:val="009A4215"/>
    <w:rsid w:val="009A4233"/>
    <w:rsid w:val="009A4399"/>
    <w:rsid w:val="009A43BB"/>
    <w:rsid w:val="009A4555"/>
    <w:rsid w:val="009A481C"/>
    <w:rsid w:val="009A49FF"/>
    <w:rsid w:val="009A4A19"/>
    <w:rsid w:val="009A4B4E"/>
    <w:rsid w:val="009A4D07"/>
    <w:rsid w:val="009A502B"/>
    <w:rsid w:val="009A510C"/>
    <w:rsid w:val="009A511F"/>
    <w:rsid w:val="009A5227"/>
    <w:rsid w:val="009A5353"/>
    <w:rsid w:val="009A54AB"/>
    <w:rsid w:val="009A5592"/>
    <w:rsid w:val="009A5F5E"/>
    <w:rsid w:val="009A6433"/>
    <w:rsid w:val="009A6473"/>
    <w:rsid w:val="009A6561"/>
    <w:rsid w:val="009A6B58"/>
    <w:rsid w:val="009A76EB"/>
    <w:rsid w:val="009A7AF0"/>
    <w:rsid w:val="009A7CBA"/>
    <w:rsid w:val="009A7EA4"/>
    <w:rsid w:val="009B02F0"/>
    <w:rsid w:val="009B0520"/>
    <w:rsid w:val="009B0B80"/>
    <w:rsid w:val="009B1444"/>
    <w:rsid w:val="009B1506"/>
    <w:rsid w:val="009B1567"/>
    <w:rsid w:val="009B1834"/>
    <w:rsid w:val="009B1ACF"/>
    <w:rsid w:val="009B1B23"/>
    <w:rsid w:val="009B1CB4"/>
    <w:rsid w:val="009B1CD7"/>
    <w:rsid w:val="009B207E"/>
    <w:rsid w:val="009B2567"/>
    <w:rsid w:val="009B2682"/>
    <w:rsid w:val="009B2709"/>
    <w:rsid w:val="009B2794"/>
    <w:rsid w:val="009B2814"/>
    <w:rsid w:val="009B2953"/>
    <w:rsid w:val="009B2A83"/>
    <w:rsid w:val="009B3213"/>
    <w:rsid w:val="009B322A"/>
    <w:rsid w:val="009B333E"/>
    <w:rsid w:val="009B3626"/>
    <w:rsid w:val="009B3895"/>
    <w:rsid w:val="009B3DDB"/>
    <w:rsid w:val="009B3FD5"/>
    <w:rsid w:val="009B4225"/>
    <w:rsid w:val="009B432A"/>
    <w:rsid w:val="009B46FD"/>
    <w:rsid w:val="009B4880"/>
    <w:rsid w:val="009B494D"/>
    <w:rsid w:val="009B49FA"/>
    <w:rsid w:val="009B4C38"/>
    <w:rsid w:val="009B54AE"/>
    <w:rsid w:val="009B57B3"/>
    <w:rsid w:val="009B587D"/>
    <w:rsid w:val="009B5AB4"/>
    <w:rsid w:val="009B5D46"/>
    <w:rsid w:val="009B5DA3"/>
    <w:rsid w:val="009B5ECD"/>
    <w:rsid w:val="009B63E2"/>
    <w:rsid w:val="009B653A"/>
    <w:rsid w:val="009B6792"/>
    <w:rsid w:val="009B67AB"/>
    <w:rsid w:val="009B69CB"/>
    <w:rsid w:val="009B69EA"/>
    <w:rsid w:val="009B6A62"/>
    <w:rsid w:val="009B6B01"/>
    <w:rsid w:val="009B6EED"/>
    <w:rsid w:val="009B6F1E"/>
    <w:rsid w:val="009B7000"/>
    <w:rsid w:val="009B7081"/>
    <w:rsid w:val="009B7103"/>
    <w:rsid w:val="009B7411"/>
    <w:rsid w:val="009B74DF"/>
    <w:rsid w:val="009B795E"/>
    <w:rsid w:val="009B7982"/>
    <w:rsid w:val="009B7BE5"/>
    <w:rsid w:val="009C003E"/>
    <w:rsid w:val="009C00A8"/>
    <w:rsid w:val="009C0235"/>
    <w:rsid w:val="009C054B"/>
    <w:rsid w:val="009C0742"/>
    <w:rsid w:val="009C07FD"/>
    <w:rsid w:val="009C0837"/>
    <w:rsid w:val="009C14D5"/>
    <w:rsid w:val="009C15BC"/>
    <w:rsid w:val="009C177B"/>
    <w:rsid w:val="009C1811"/>
    <w:rsid w:val="009C1C5A"/>
    <w:rsid w:val="009C1D32"/>
    <w:rsid w:val="009C2377"/>
    <w:rsid w:val="009C2736"/>
    <w:rsid w:val="009C28B0"/>
    <w:rsid w:val="009C29ED"/>
    <w:rsid w:val="009C2F92"/>
    <w:rsid w:val="009C3092"/>
    <w:rsid w:val="009C31CE"/>
    <w:rsid w:val="009C3444"/>
    <w:rsid w:val="009C3725"/>
    <w:rsid w:val="009C3AD0"/>
    <w:rsid w:val="009C3D1E"/>
    <w:rsid w:val="009C3D87"/>
    <w:rsid w:val="009C3E28"/>
    <w:rsid w:val="009C3E93"/>
    <w:rsid w:val="009C3FE1"/>
    <w:rsid w:val="009C40D2"/>
    <w:rsid w:val="009C444B"/>
    <w:rsid w:val="009C453E"/>
    <w:rsid w:val="009C46EB"/>
    <w:rsid w:val="009C479C"/>
    <w:rsid w:val="009C4A08"/>
    <w:rsid w:val="009C4C0D"/>
    <w:rsid w:val="009C4FC0"/>
    <w:rsid w:val="009C5119"/>
    <w:rsid w:val="009C5297"/>
    <w:rsid w:val="009C5585"/>
    <w:rsid w:val="009C592E"/>
    <w:rsid w:val="009C5DA6"/>
    <w:rsid w:val="009C60B5"/>
    <w:rsid w:val="009C614D"/>
    <w:rsid w:val="009C643D"/>
    <w:rsid w:val="009C6481"/>
    <w:rsid w:val="009C65E8"/>
    <w:rsid w:val="009C66B1"/>
    <w:rsid w:val="009C6751"/>
    <w:rsid w:val="009C6CBA"/>
    <w:rsid w:val="009C6E70"/>
    <w:rsid w:val="009C7435"/>
    <w:rsid w:val="009C779F"/>
    <w:rsid w:val="009C7949"/>
    <w:rsid w:val="009C7E8F"/>
    <w:rsid w:val="009C7F99"/>
    <w:rsid w:val="009D010B"/>
    <w:rsid w:val="009D051C"/>
    <w:rsid w:val="009D05CB"/>
    <w:rsid w:val="009D06FE"/>
    <w:rsid w:val="009D0C7B"/>
    <w:rsid w:val="009D0F8F"/>
    <w:rsid w:val="009D11D3"/>
    <w:rsid w:val="009D1419"/>
    <w:rsid w:val="009D17AE"/>
    <w:rsid w:val="009D25E5"/>
    <w:rsid w:val="009D27AB"/>
    <w:rsid w:val="009D27B3"/>
    <w:rsid w:val="009D27DC"/>
    <w:rsid w:val="009D2887"/>
    <w:rsid w:val="009D2C99"/>
    <w:rsid w:val="009D2C9C"/>
    <w:rsid w:val="009D2E6B"/>
    <w:rsid w:val="009D36F7"/>
    <w:rsid w:val="009D382F"/>
    <w:rsid w:val="009D39C4"/>
    <w:rsid w:val="009D3ECE"/>
    <w:rsid w:val="009D410B"/>
    <w:rsid w:val="009D42A7"/>
    <w:rsid w:val="009D474A"/>
    <w:rsid w:val="009D4863"/>
    <w:rsid w:val="009D48AE"/>
    <w:rsid w:val="009D4AA7"/>
    <w:rsid w:val="009D51A5"/>
    <w:rsid w:val="009D549B"/>
    <w:rsid w:val="009D5824"/>
    <w:rsid w:val="009D5963"/>
    <w:rsid w:val="009D5A51"/>
    <w:rsid w:val="009D5CFF"/>
    <w:rsid w:val="009D5F33"/>
    <w:rsid w:val="009D637A"/>
    <w:rsid w:val="009D6520"/>
    <w:rsid w:val="009D6CF7"/>
    <w:rsid w:val="009D7773"/>
    <w:rsid w:val="009D79F1"/>
    <w:rsid w:val="009D7C83"/>
    <w:rsid w:val="009D7E14"/>
    <w:rsid w:val="009D7F0F"/>
    <w:rsid w:val="009E0149"/>
    <w:rsid w:val="009E0327"/>
    <w:rsid w:val="009E0A41"/>
    <w:rsid w:val="009E0B76"/>
    <w:rsid w:val="009E0BCF"/>
    <w:rsid w:val="009E0C2B"/>
    <w:rsid w:val="009E0CFD"/>
    <w:rsid w:val="009E10D6"/>
    <w:rsid w:val="009E129A"/>
    <w:rsid w:val="009E14E3"/>
    <w:rsid w:val="009E164F"/>
    <w:rsid w:val="009E172A"/>
    <w:rsid w:val="009E173A"/>
    <w:rsid w:val="009E182B"/>
    <w:rsid w:val="009E1A88"/>
    <w:rsid w:val="009E1B4F"/>
    <w:rsid w:val="009E25A3"/>
    <w:rsid w:val="009E2A2A"/>
    <w:rsid w:val="009E2F14"/>
    <w:rsid w:val="009E3161"/>
    <w:rsid w:val="009E34DD"/>
    <w:rsid w:val="009E36DF"/>
    <w:rsid w:val="009E377E"/>
    <w:rsid w:val="009E3EB7"/>
    <w:rsid w:val="009E3EED"/>
    <w:rsid w:val="009E3FD7"/>
    <w:rsid w:val="009E4144"/>
    <w:rsid w:val="009E41D4"/>
    <w:rsid w:val="009E4284"/>
    <w:rsid w:val="009E4463"/>
    <w:rsid w:val="009E454C"/>
    <w:rsid w:val="009E4596"/>
    <w:rsid w:val="009E48AC"/>
    <w:rsid w:val="009E49D5"/>
    <w:rsid w:val="009E4AF8"/>
    <w:rsid w:val="009E5BD2"/>
    <w:rsid w:val="009E5CB5"/>
    <w:rsid w:val="009E5D65"/>
    <w:rsid w:val="009E5DC2"/>
    <w:rsid w:val="009E5ECF"/>
    <w:rsid w:val="009E604A"/>
    <w:rsid w:val="009E6162"/>
    <w:rsid w:val="009E617B"/>
    <w:rsid w:val="009E64F7"/>
    <w:rsid w:val="009E65F8"/>
    <w:rsid w:val="009E6747"/>
    <w:rsid w:val="009E68B8"/>
    <w:rsid w:val="009E68FA"/>
    <w:rsid w:val="009E695D"/>
    <w:rsid w:val="009E6A88"/>
    <w:rsid w:val="009E6C74"/>
    <w:rsid w:val="009E6E73"/>
    <w:rsid w:val="009E72C6"/>
    <w:rsid w:val="009E74B2"/>
    <w:rsid w:val="009E74FA"/>
    <w:rsid w:val="009E75F2"/>
    <w:rsid w:val="009E78E0"/>
    <w:rsid w:val="009E7C3A"/>
    <w:rsid w:val="009E7E72"/>
    <w:rsid w:val="009E7EC4"/>
    <w:rsid w:val="009F00C6"/>
    <w:rsid w:val="009F039C"/>
    <w:rsid w:val="009F059A"/>
    <w:rsid w:val="009F05B6"/>
    <w:rsid w:val="009F0769"/>
    <w:rsid w:val="009F07F6"/>
    <w:rsid w:val="009F0A82"/>
    <w:rsid w:val="009F0C79"/>
    <w:rsid w:val="009F1018"/>
    <w:rsid w:val="009F10CA"/>
    <w:rsid w:val="009F14E4"/>
    <w:rsid w:val="009F193D"/>
    <w:rsid w:val="009F198C"/>
    <w:rsid w:val="009F19DB"/>
    <w:rsid w:val="009F1A24"/>
    <w:rsid w:val="009F1BE8"/>
    <w:rsid w:val="009F1BF6"/>
    <w:rsid w:val="009F1FE1"/>
    <w:rsid w:val="009F2616"/>
    <w:rsid w:val="009F276E"/>
    <w:rsid w:val="009F27CE"/>
    <w:rsid w:val="009F2D02"/>
    <w:rsid w:val="009F2D13"/>
    <w:rsid w:val="009F2E65"/>
    <w:rsid w:val="009F327E"/>
    <w:rsid w:val="009F337D"/>
    <w:rsid w:val="009F39EE"/>
    <w:rsid w:val="009F3C82"/>
    <w:rsid w:val="009F3D06"/>
    <w:rsid w:val="009F3D84"/>
    <w:rsid w:val="009F433F"/>
    <w:rsid w:val="009F4607"/>
    <w:rsid w:val="009F481C"/>
    <w:rsid w:val="009F4B89"/>
    <w:rsid w:val="009F4F4B"/>
    <w:rsid w:val="009F5639"/>
    <w:rsid w:val="009F5968"/>
    <w:rsid w:val="009F5971"/>
    <w:rsid w:val="009F5DD7"/>
    <w:rsid w:val="009F5E96"/>
    <w:rsid w:val="009F6287"/>
    <w:rsid w:val="009F62C1"/>
    <w:rsid w:val="009F694D"/>
    <w:rsid w:val="009F6A2A"/>
    <w:rsid w:val="009F6FFC"/>
    <w:rsid w:val="009F74FD"/>
    <w:rsid w:val="009F7544"/>
    <w:rsid w:val="009F773B"/>
    <w:rsid w:val="009F7974"/>
    <w:rsid w:val="009F7AF3"/>
    <w:rsid w:val="009F7EAC"/>
    <w:rsid w:val="00A000D9"/>
    <w:rsid w:val="00A0054C"/>
    <w:rsid w:val="00A00A98"/>
    <w:rsid w:val="00A00B8C"/>
    <w:rsid w:val="00A00C51"/>
    <w:rsid w:val="00A01182"/>
    <w:rsid w:val="00A011AF"/>
    <w:rsid w:val="00A012E9"/>
    <w:rsid w:val="00A0198E"/>
    <w:rsid w:val="00A01AD7"/>
    <w:rsid w:val="00A01B51"/>
    <w:rsid w:val="00A01CF5"/>
    <w:rsid w:val="00A02075"/>
    <w:rsid w:val="00A0226E"/>
    <w:rsid w:val="00A025C1"/>
    <w:rsid w:val="00A02ABC"/>
    <w:rsid w:val="00A03008"/>
    <w:rsid w:val="00A0305D"/>
    <w:rsid w:val="00A0310D"/>
    <w:rsid w:val="00A036D5"/>
    <w:rsid w:val="00A03999"/>
    <w:rsid w:val="00A03DFE"/>
    <w:rsid w:val="00A03EA0"/>
    <w:rsid w:val="00A04326"/>
    <w:rsid w:val="00A04442"/>
    <w:rsid w:val="00A04557"/>
    <w:rsid w:val="00A046AC"/>
    <w:rsid w:val="00A04938"/>
    <w:rsid w:val="00A04BA0"/>
    <w:rsid w:val="00A05202"/>
    <w:rsid w:val="00A0567E"/>
    <w:rsid w:val="00A0570C"/>
    <w:rsid w:val="00A057E0"/>
    <w:rsid w:val="00A05DAB"/>
    <w:rsid w:val="00A060D5"/>
    <w:rsid w:val="00A060DD"/>
    <w:rsid w:val="00A06BC7"/>
    <w:rsid w:val="00A07095"/>
    <w:rsid w:val="00A0718B"/>
    <w:rsid w:val="00A0776A"/>
    <w:rsid w:val="00A07813"/>
    <w:rsid w:val="00A07DB2"/>
    <w:rsid w:val="00A07ED7"/>
    <w:rsid w:val="00A1037D"/>
    <w:rsid w:val="00A10606"/>
    <w:rsid w:val="00A10976"/>
    <w:rsid w:val="00A10BFF"/>
    <w:rsid w:val="00A10C6E"/>
    <w:rsid w:val="00A114CC"/>
    <w:rsid w:val="00A116DB"/>
    <w:rsid w:val="00A123F5"/>
    <w:rsid w:val="00A1298A"/>
    <w:rsid w:val="00A12C39"/>
    <w:rsid w:val="00A12F45"/>
    <w:rsid w:val="00A130E4"/>
    <w:rsid w:val="00A13142"/>
    <w:rsid w:val="00A1329E"/>
    <w:rsid w:val="00A13600"/>
    <w:rsid w:val="00A1380C"/>
    <w:rsid w:val="00A13CAA"/>
    <w:rsid w:val="00A13E30"/>
    <w:rsid w:val="00A141BD"/>
    <w:rsid w:val="00A143B4"/>
    <w:rsid w:val="00A14556"/>
    <w:rsid w:val="00A145DE"/>
    <w:rsid w:val="00A14A77"/>
    <w:rsid w:val="00A15151"/>
    <w:rsid w:val="00A151E8"/>
    <w:rsid w:val="00A15533"/>
    <w:rsid w:val="00A15666"/>
    <w:rsid w:val="00A1580C"/>
    <w:rsid w:val="00A15840"/>
    <w:rsid w:val="00A15F8B"/>
    <w:rsid w:val="00A1612E"/>
    <w:rsid w:val="00A163E7"/>
    <w:rsid w:val="00A1645E"/>
    <w:rsid w:val="00A165F3"/>
    <w:rsid w:val="00A169E5"/>
    <w:rsid w:val="00A16BA2"/>
    <w:rsid w:val="00A16BC9"/>
    <w:rsid w:val="00A17108"/>
    <w:rsid w:val="00A17815"/>
    <w:rsid w:val="00A17930"/>
    <w:rsid w:val="00A1799D"/>
    <w:rsid w:val="00A179C6"/>
    <w:rsid w:val="00A17AB6"/>
    <w:rsid w:val="00A17F1B"/>
    <w:rsid w:val="00A20B6D"/>
    <w:rsid w:val="00A20E6A"/>
    <w:rsid w:val="00A211CA"/>
    <w:rsid w:val="00A21524"/>
    <w:rsid w:val="00A21628"/>
    <w:rsid w:val="00A21B69"/>
    <w:rsid w:val="00A21D33"/>
    <w:rsid w:val="00A21D81"/>
    <w:rsid w:val="00A22228"/>
    <w:rsid w:val="00A22318"/>
    <w:rsid w:val="00A225A2"/>
    <w:rsid w:val="00A2280A"/>
    <w:rsid w:val="00A22876"/>
    <w:rsid w:val="00A23630"/>
    <w:rsid w:val="00A23B25"/>
    <w:rsid w:val="00A23C41"/>
    <w:rsid w:val="00A23D05"/>
    <w:rsid w:val="00A23EEB"/>
    <w:rsid w:val="00A23FBE"/>
    <w:rsid w:val="00A24064"/>
    <w:rsid w:val="00A24291"/>
    <w:rsid w:val="00A242E1"/>
    <w:rsid w:val="00A2435D"/>
    <w:rsid w:val="00A24440"/>
    <w:rsid w:val="00A245A5"/>
    <w:rsid w:val="00A249EE"/>
    <w:rsid w:val="00A24A11"/>
    <w:rsid w:val="00A24AD6"/>
    <w:rsid w:val="00A24DF7"/>
    <w:rsid w:val="00A25170"/>
    <w:rsid w:val="00A252D9"/>
    <w:rsid w:val="00A25323"/>
    <w:rsid w:val="00A25777"/>
    <w:rsid w:val="00A2577A"/>
    <w:rsid w:val="00A257A9"/>
    <w:rsid w:val="00A25B47"/>
    <w:rsid w:val="00A25C9A"/>
    <w:rsid w:val="00A25D60"/>
    <w:rsid w:val="00A260EC"/>
    <w:rsid w:val="00A2637D"/>
    <w:rsid w:val="00A2675F"/>
    <w:rsid w:val="00A26836"/>
    <w:rsid w:val="00A26CDA"/>
    <w:rsid w:val="00A26DED"/>
    <w:rsid w:val="00A26E22"/>
    <w:rsid w:val="00A26FED"/>
    <w:rsid w:val="00A27235"/>
    <w:rsid w:val="00A2738E"/>
    <w:rsid w:val="00A2744B"/>
    <w:rsid w:val="00A274B7"/>
    <w:rsid w:val="00A3088E"/>
    <w:rsid w:val="00A30CDA"/>
    <w:rsid w:val="00A31156"/>
    <w:rsid w:val="00A31335"/>
    <w:rsid w:val="00A313C2"/>
    <w:rsid w:val="00A3143B"/>
    <w:rsid w:val="00A319A2"/>
    <w:rsid w:val="00A31A5E"/>
    <w:rsid w:val="00A31D17"/>
    <w:rsid w:val="00A31D9E"/>
    <w:rsid w:val="00A32103"/>
    <w:rsid w:val="00A3212E"/>
    <w:rsid w:val="00A3226E"/>
    <w:rsid w:val="00A323DC"/>
    <w:rsid w:val="00A32401"/>
    <w:rsid w:val="00A324DE"/>
    <w:rsid w:val="00A32AF0"/>
    <w:rsid w:val="00A32B08"/>
    <w:rsid w:val="00A32B7A"/>
    <w:rsid w:val="00A32FFE"/>
    <w:rsid w:val="00A333F4"/>
    <w:rsid w:val="00A33530"/>
    <w:rsid w:val="00A33C54"/>
    <w:rsid w:val="00A33D58"/>
    <w:rsid w:val="00A345EA"/>
    <w:rsid w:val="00A34625"/>
    <w:rsid w:val="00A348C3"/>
    <w:rsid w:val="00A349DA"/>
    <w:rsid w:val="00A349FF"/>
    <w:rsid w:val="00A35586"/>
    <w:rsid w:val="00A35816"/>
    <w:rsid w:val="00A35A64"/>
    <w:rsid w:val="00A35F4B"/>
    <w:rsid w:val="00A36039"/>
    <w:rsid w:val="00A3619E"/>
    <w:rsid w:val="00A3643A"/>
    <w:rsid w:val="00A36499"/>
    <w:rsid w:val="00A36AB5"/>
    <w:rsid w:val="00A36ACD"/>
    <w:rsid w:val="00A36F29"/>
    <w:rsid w:val="00A36FD2"/>
    <w:rsid w:val="00A37379"/>
    <w:rsid w:val="00A37453"/>
    <w:rsid w:val="00A3776B"/>
    <w:rsid w:val="00A3779B"/>
    <w:rsid w:val="00A37A14"/>
    <w:rsid w:val="00A37A5A"/>
    <w:rsid w:val="00A37B1F"/>
    <w:rsid w:val="00A37C46"/>
    <w:rsid w:val="00A37FB6"/>
    <w:rsid w:val="00A4043B"/>
    <w:rsid w:val="00A4057E"/>
    <w:rsid w:val="00A405A0"/>
    <w:rsid w:val="00A40C04"/>
    <w:rsid w:val="00A40D90"/>
    <w:rsid w:val="00A410C9"/>
    <w:rsid w:val="00A41431"/>
    <w:rsid w:val="00A41825"/>
    <w:rsid w:val="00A41E44"/>
    <w:rsid w:val="00A41EA0"/>
    <w:rsid w:val="00A4229A"/>
    <w:rsid w:val="00A4244E"/>
    <w:rsid w:val="00A429C9"/>
    <w:rsid w:val="00A42C10"/>
    <w:rsid w:val="00A42D8D"/>
    <w:rsid w:val="00A42DD4"/>
    <w:rsid w:val="00A4310C"/>
    <w:rsid w:val="00A43907"/>
    <w:rsid w:val="00A4391F"/>
    <w:rsid w:val="00A43C2D"/>
    <w:rsid w:val="00A4403E"/>
    <w:rsid w:val="00A4439C"/>
    <w:rsid w:val="00A44527"/>
    <w:rsid w:val="00A44575"/>
    <w:rsid w:val="00A44809"/>
    <w:rsid w:val="00A44A0D"/>
    <w:rsid w:val="00A44C40"/>
    <w:rsid w:val="00A44D0E"/>
    <w:rsid w:val="00A457AA"/>
    <w:rsid w:val="00A45C74"/>
    <w:rsid w:val="00A45FBD"/>
    <w:rsid w:val="00A46192"/>
    <w:rsid w:val="00A46598"/>
    <w:rsid w:val="00A4664D"/>
    <w:rsid w:val="00A4674F"/>
    <w:rsid w:val="00A46764"/>
    <w:rsid w:val="00A46AFA"/>
    <w:rsid w:val="00A46CBB"/>
    <w:rsid w:val="00A46D37"/>
    <w:rsid w:val="00A470F8"/>
    <w:rsid w:val="00A47288"/>
    <w:rsid w:val="00A473A5"/>
    <w:rsid w:val="00A474FA"/>
    <w:rsid w:val="00A478FE"/>
    <w:rsid w:val="00A47905"/>
    <w:rsid w:val="00A47AE9"/>
    <w:rsid w:val="00A47AF1"/>
    <w:rsid w:val="00A47D53"/>
    <w:rsid w:val="00A47E74"/>
    <w:rsid w:val="00A50100"/>
    <w:rsid w:val="00A5068C"/>
    <w:rsid w:val="00A509B4"/>
    <w:rsid w:val="00A509D5"/>
    <w:rsid w:val="00A50AFC"/>
    <w:rsid w:val="00A50DF1"/>
    <w:rsid w:val="00A50FE5"/>
    <w:rsid w:val="00A510E0"/>
    <w:rsid w:val="00A51236"/>
    <w:rsid w:val="00A5126B"/>
    <w:rsid w:val="00A513B4"/>
    <w:rsid w:val="00A5152A"/>
    <w:rsid w:val="00A519D4"/>
    <w:rsid w:val="00A52150"/>
    <w:rsid w:val="00A52254"/>
    <w:rsid w:val="00A52595"/>
    <w:rsid w:val="00A5288F"/>
    <w:rsid w:val="00A528CD"/>
    <w:rsid w:val="00A529D2"/>
    <w:rsid w:val="00A52B69"/>
    <w:rsid w:val="00A53071"/>
    <w:rsid w:val="00A53418"/>
    <w:rsid w:val="00A53521"/>
    <w:rsid w:val="00A53571"/>
    <w:rsid w:val="00A537E0"/>
    <w:rsid w:val="00A539E1"/>
    <w:rsid w:val="00A53A81"/>
    <w:rsid w:val="00A53ADF"/>
    <w:rsid w:val="00A547FC"/>
    <w:rsid w:val="00A5489D"/>
    <w:rsid w:val="00A548FA"/>
    <w:rsid w:val="00A54D8D"/>
    <w:rsid w:val="00A54E9C"/>
    <w:rsid w:val="00A54EF7"/>
    <w:rsid w:val="00A550B2"/>
    <w:rsid w:val="00A552FD"/>
    <w:rsid w:val="00A554B3"/>
    <w:rsid w:val="00A555DE"/>
    <w:rsid w:val="00A555F9"/>
    <w:rsid w:val="00A55609"/>
    <w:rsid w:val="00A5599A"/>
    <w:rsid w:val="00A55A83"/>
    <w:rsid w:val="00A55C9C"/>
    <w:rsid w:val="00A55FFD"/>
    <w:rsid w:val="00A56143"/>
    <w:rsid w:val="00A56476"/>
    <w:rsid w:val="00A568A0"/>
    <w:rsid w:val="00A569BF"/>
    <w:rsid w:val="00A569EF"/>
    <w:rsid w:val="00A56AC3"/>
    <w:rsid w:val="00A5710E"/>
    <w:rsid w:val="00A571D0"/>
    <w:rsid w:val="00A5738E"/>
    <w:rsid w:val="00A57756"/>
    <w:rsid w:val="00A57E4B"/>
    <w:rsid w:val="00A57F7B"/>
    <w:rsid w:val="00A6067F"/>
    <w:rsid w:val="00A60691"/>
    <w:rsid w:val="00A60EA9"/>
    <w:rsid w:val="00A60F22"/>
    <w:rsid w:val="00A61475"/>
    <w:rsid w:val="00A61617"/>
    <w:rsid w:val="00A61B32"/>
    <w:rsid w:val="00A62263"/>
    <w:rsid w:val="00A62532"/>
    <w:rsid w:val="00A62A6B"/>
    <w:rsid w:val="00A62AA2"/>
    <w:rsid w:val="00A62B18"/>
    <w:rsid w:val="00A63410"/>
    <w:rsid w:val="00A634C5"/>
    <w:rsid w:val="00A63898"/>
    <w:rsid w:val="00A63991"/>
    <w:rsid w:val="00A639D1"/>
    <w:rsid w:val="00A63CF9"/>
    <w:rsid w:val="00A6468D"/>
    <w:rsid w:val="00A646A5"/>
    <w:rsid w:val="00A647DF"/>
    <w:rsid w:val="00A64B93"/>
    <w:rsid w:val="00A64CDD"/>
    <w:rsid w:val="00A64F8E"/>
    <w:rsid w:val="00A64FFB"/>
    <w:rsid w:val="00A65541"/>
    <w:rsid w:val="00A65667"/>
    <w:rsid w:val="00A65B27"/>
    <w:rsid w:val="00A65C2A"/>
    <w:rsid w:val="00A65E96"/>
    <w:rsid w:val="00A65EE0"/>
    <w:rsid w:val="00A66297"/>
    <w:rsid w:val="00A666CD"/>
    <w:rsid w:val="00A666DC"/>
    <w:rsid w:val="00A666F0"/>
    <w:rsid w:val="00A668B3"/>
    <w:rsid w:val="00A66ABF"/>
    <w:rsid w:val="00A66B67"/>
    <w:rsid w:val="00A6765C"/>
    <w:rsid w:val="00A678E7"/>
    <w:rsid w:val="00A67C3A"/>
    <w:rsid w:val="00A70242"/>
    <w:rsid w:val="00A707EC"/>
    <w:rsid w:val="00A70D2A"/>
    <w:rsid w:val="00A7122B"/>
    <w:rsid w:val="00A7130A"/>
    <w:rsid w:val="00A71400"/>
    <w:rsid w:val="00A71476"/>
    <w:rsid w:val="00A7147C"/>
    <w:rsid w:val="00A715AF"/>
    <w:rsid w:val="00A71618"/>
    <w:rsid w:val="00A71741"/>
    <w:rsid w:val="00A71CF5"/>
    <w:rsid w:val="00A71FC1"/>
    <w:rsid w:val="00A723AC"/>
    <w:rsid w:val="00A724B8"/>
    <w:rsid w:val="00A72803"/>
    <w:rsid w:val="00A72A3C"/>
    <w:rsid w:val="00A72BE4"/>
    <w:rsid w:val="00A72CE4"/>
    <w:rsid w:val="00A72D59"/>
    <w:rsid w:val="00A72DE1"/>
    <w:rsid w:val="00A73128"/>
    <w:rsid w:val="00A7318E"/>
    <w:rsid w:val="00A73466"/>
    <w:rsid w:val="00A739A8"/>
    <w:rsid w:val="00A7429D"/>
    <w:rsid w:val="00A742C4"/>
    <w:rsid w:val="00A7473F"/>
    <w:rsid w:val="00A74854"/>
    <w:rsid w:val="00A74C4F"/>
    <w:rsid w:val="00A75307"/>
    <w:rsid w:val="00A753CC"/>
    <w:rsid w:val="00A7541B"/>
    <w:rsid w:val="00A7563F"/>
    <w:rsid w:val="00A758DD"/>
    <w:rsid w:val="00A75C0A"/>
    <w:rsid w:val="00A75D41"/>
    <w:rsid w:val="00A761B0"/>
    <w:rsid w:val="00A762FD"/>
    <w:rsid w:val="00A765E6"/>
    <w:rsid w:val="00A7673C"/>
    <w:rsid w:val="00A76867"/>
    <w:rsid w:val="00A76AA4"/>
    <w:rsid w:val="00A76E86"/>
    <w:rsid w:val="00A77100"/>
    <w:rsid w:val="00A77163"/>
    <w:rsid w:val="00A7720E"/>
    <w:rsid w:val="00A77376"/>
    <w:rsid w:val="00A77388"/>
    <w:rsid w:val="00A77518"/>
    <w:rsid w:val="00A77729"/>
    <w:rsid w:val="00A7789B"/>
    <w:rsid w:val="00A778CF"/>
    <w:rsid w:val="00A77975"/>
    <w:rsid w:val="00A779E9"/>
    <w:rsid w:val="00A77A06"/>
    <w:rsid w:val="00A77D82"/>
    <w:rsid w:val="00A77FF9"/>
    <w:rsid w:val="00A8013E"/>
    <w:rsid w:val="00A802E1"/>
    <w:rsid w:val="00A80913"/>
    <w:rsid w:val="00A809DA"/>
    <w:rsid w:val="00A80C4A"/>
    <w:rsid w:val="00A80DDE"/>
    <w:rsid w:val="00A80DFC"/>
    <w:rsid w:val="00A80E93"/>
    <w:rsid w:val="00A80FD0"/>
    <w:rsid w:val="00A811ED"/>
    <w:rsid w:val="00A81A98"/>
    <w:rsid w:val="00A81CDB"/>
    <w:rsid w:val="00A8208D"/>
    <w:rsid w:val="00A8268F"/>
    <w:rsid w:val="00A828C7"/>
    <w:rsid w:val="00A82B1E"/>
    <w:rsid w:val="00A82E10"/>
    <w:rsid w:val="00A83404"/>
    <w:rsid w:val="00A83F58"/>
    <w:rsid w:val="00A83F90"/>
    <w:rsid w:val="00A840A2"/>
    <w:rsid w:val="00A848F6"/>
    <w:rsid w:val="00A84977"/>
    <w:rsid w:val="00A84A6E"/>
    <w:rsid w:val="00A84C95"/>
    <w:rsid w:val="00A84E12"/>
    <w:rsid w:val="00A85342"/>
    <w:rsid w:val="00A85498"/>
    <w:rsid w:val="00A85970"/>
    <w:rsid w:val="00A859B5"/>
    <w:rsid w:val="00A85B85"/>
    <w:rsid w:val="00A85E3F"/>
    <w:rsid w:val="00A85EBC"/>
    <w:rsid w:val="00A864E2"/>
    <w:rsid w:val="00A86A00"/>
    <w:rsid w:val="00A86B18"/>
    <w:rsid w:val="00A86C97"/>
    <w:rsid w:val="00A8708C"/>
    <w:rsid w:val="00A87158"/>
    <w:rsid w:val="00A878C4"/>
    <w:rsid w:val="00A906BC"/>
    <w:rsid w:val="00A90791"/>
    <w:rsid w:val="00A90816"/>
    <w:rsid w:val="00A90F0C"/>
    <w:rsid w:val="00A91053"/>
    <w:rsid w:val="00A91151"/>
    <w:rsid w:val="00A91460"/>
    <w:rsid w:val="00A91481"/>
    <w:rsid w:val="00A9161A"/>
    <w:rsid w:val="00A91808"/>
    <w:rsid w:val="00A919E9"/>
    <w:rsid w:val="00A91BFA"/>
    <w:rsid w:val="00A91E5B"/>
    <w:rsid w:val="00A92200"/>
    <w:rsid w:val="00A92514"/>
    <w:rsid w:val="00A9276D"/>
    <w:rsid w:val="00A92A94"/>
    <w:rsid w:val="00A92A9E"/>
    <w:rsid w:val="00A92E61"/>
    <w:rsid w:val="00A93698"/>
    <w:rsid w:val="00A93872"/>
    <w:rsid w:val="00A93B66"/>
    <w:rsid w:val="00A940C6"/>
    <w:rsid w:val="00A9419E"/>
    <w:rsid w:val="00A94660"/>
    <w:rsid w:val="00A94D28"/>
    <w:rsid w:val="00A94FD2"/>
    <w:rsid w:val="00A95062"/>
    <w:rsid w:val="00A954CB"/>
    <w:rsid w:val="00A95774"/>
    <w:rsid w:val="00A95858"/>
    <w:rsid w:val="00A958DC"/>
    <w:rsid w:val="00A95EF0"/>
    <w:rsid w:val="00A96139"/>
    <w:rsid w:val="00A9669C"/>
    <w:rsid w:val="00A96933"/>
    <w:rsid w:val="00A96B07"/>
    <w:rsid w:val="00A96BFB"/>
    <w:rsid w:val="00A96D52"/>
    <w:rsid w:val="00A971A3"/>
    <w:rsid w:val="00A97338"/>
    <w:rsid w:val="00A9786A"/>
    <w:rsid w:val="00A978B9"/>
    <w:rsid w:val="00A97A24"/>
    <w:rsid w:val="00A97A95"/>
    <w:rsid w:val="00A97BC4"/>
    <w:rsid w:val="00A97CC4"/>
    <w:rsid w:val="00A97F5A"/>
    <w:rsid w:val="00AA039F"/>
    <w:rsid w:val="00AA05D3"/>
    <w:rsid w:val="00AA07E8"/>
    <w:rsid w:val="00AA0A1F"/>
    <w:rsid w:val="00AA0CB0"/>
    <w:rsid w:val="00AA0D3E"/>
    <w:rsid w:val="00AA0DEE"/>
    <w:rsid w:val="00AA13B9"/>
    <w:rsid w:val="00AA143F"/>
    <w:rsid w:val="00AA1558"/>
    <w:rsid w:val="00AA1621"/>
    <w:rsid w:val="00AA18C8"/>
    <w:rsid w:val="00AA1929"/>
    <w:rsid w:val="00AA197C"/>
    <w:rsid w:val="00AA1B79"/>
    <w:rsid w:val="00AA1D76"/>
    <w:rsid w:val="00AA1DE7"/>
    <w:rsid w:val="00AA1E8D"/>
    <w:rsid w:val="00AA2484"/>
    <w:rsid w:val="00AA2619"/>
    <w:rsid w:val="00AA273B"/>
    <w:rsid w:val="00AA27EB"/>
    <w:rsid w:val="00AA27FF"/>
    <w:rsid w:val="00AA29B2"/>
    <w:rsid w:val="00AA2C55"/>
    <w:rsid w:val="00AA3050"/>
    <w:rsid w:val="00AA31AA"/>
    <w:rsid w:val="00AA3249"/>
    <w:rsid w:val="00AA33B6"/>
    <w:rsid w:val="00AA386D"/>
    <w:rsid w:val="00AA4E59"/>
    <w:rsid w:val="00AA56A8"/>
    <w:rsid w:val="00AA5730"/>
    <w:rsid w:val="00AA5A31"/>
    <w:rsid w:val="00AA5A66"/>
    <w:rsid w:val="00AA5B13"/>
    <w:rsid w:val="00AA5B68"/>
    <w:rsid w:val="00AA6E4B"/>
    <w:rsid w:val="00AA6EE5"/>
    <w:rsid w:val="00AA6FD4"/>
    <w:rsid w:val="00AA7542"/>
    <w:rsid w:val="00AA754C"/>
    <w:rsid w:val="00AA760E"/>
    <w:rsid w:val="00AA7929"/>
    <w:rsid w:val="00AA79E1"/>
    <w:rsid w:val="00AA7A7E"/>
    <w:rsid w:val="00AA7B4C"/>
    <w:rsid w:val="00AA7B71"/>
    <w:rsid w:val="00AA7FDF"/>
    <w:rsid w:val="00AB010C"/>
    <w:rsid w:val="00AB02E4"/>
    <w:rsid w:val="00AB08F2"/>
    <w:rsid w:val="00AB0D2E"/>
    <w:rsid w:val="00AB0E9F"/>
    <w:rsid w:val="00AB0EF7"/>
    <w:rsid w:val="00AB119E"/>
    <w:rsid w:val="00AB12C0"/>
    <w:rsid w:val="00AB16A9"/>
    <w:rsid w:val="00AB1837"/>
    <w:rsid w:val="00AB1838"/>
    <w:rsid w:val="00AB185A"/>
    <w:rsid w:val="00AB1AE8"/>
    <w:rsid w:val="00AB2171"/>
    <w:rsid w:val="00AB23C3"/>
    <w:rsid w:val="00AB23D1"/>
    <w:rsid w:val="00AB259B"/>
    <w:rsid w:val="00AB25BA"/>
    <w:rsid w:val="00AB26AC"/>
    <w:rsid w:val="00AB2809"/>
    <w:rsid w:val="00AB3154"/>
    <w:rsid w:val="00AB353F"/>
    <w:rsid w:val="00AB378F"/>
    <w:rsid w:val="00AB3A68"/>
    <w:rsid w:val="00AB3E2F"/>
    <w:rsid w:val="00AB435C"/>
    <w:rsid w:val="00AB44C6"/>
    <w:rsid w:val="00AB4714"/>
    <w:rsid w:val="00AB4966"/>
    <w:rsid w:val="00AB4D5E"/>
    <w:rsid w:val="00AB509F"/>
    <w:rsid w:val="00AB5132"/>
    <w:rsid w:val="00AB5176"/>
    <w:rsid w:val="00AB520C"/>
    <w:rsid w:val="00AB529E"/>
    <w:rsid w:val="00AB52A7"/>
    <w:rsid w:val="00AB5CEB"/>
    <w:rsid w:val="00AB6118"/>
    <w:rsid w:val="00AB6D01"/>
    <w:rsid w:val="00AB6ED9"/>
    <w:rsid w:val="00AB6F09"/>
    <w:rsid w:val="00AB6FFC"/>
    <w:rsid w:val="00AB7070"/>
    <w:rsid w:val="00AB73C6"/>
    <w:rsid w:val="00AB7452"/>
    <w:rsid w:val="00AB7524"/>
    <w:rsid w:val="00AB759E"/>
    <w:rsid w:val="00AB7758"/>
    <w:rsid w:val="00AB7860"/>
    <w:rsid w:val="00AB7B5B"/>
    <w:rsid w:val="00AB7ED5"/>
    <w:rsid w:val="00AC027E"/>
    <w:rsid w:val="00AC08A7"/>
    <w:rsid w:val="00AC0903"/>
    <w:rsid w:val="00AC09A7"/>
    <w:rsid w:val="00AC0EFA"/>
    <w:rsid w:val="00AC112D"/>
    <w:rsid w:val="00AC125D"/>
    <w:rsid w:val="00AC13AD"/>
    <w:rsid w:val="00AC1493"/>
    <w:rsid w:val="00AC17E3"/>
    <w:rsid w:val="00AC19B9"/>
    <w:rsid w:val="00AC19F5"/>
    <w:rsid w:val="00AC1B54"/>
    <w:rsid w:val="00AC1C1A"/>
    <w:rsid w:val="00AC1D60"/>
    <w:rsid w:val="00AC215E"/>
    <w:rsid w:val="00AC2160"/>
    <w:rsid w:val="00AC22CD"/>
    <w:rsid w:val="00AC22FB"/>
    <w:rsid w:val="00AC2330"/>
    <w:rsid w:val="00AC2ABE"/>
    <w:rsid w:val="00AC3087"/>
    <w:rsid w:val="00AC324C"/>
    <w:rsid w:val="00AC36EF"/>
    <w:rsid w:val="00AC3775"/>
    <w:rsid w:val="00AC377C"/>
    <w:rsid w:val="00AC3DB2"/>
    <w:rsid w:val="00AC4238"/>
    <w:rsid w:val="00AC51AF"/>
    <w:rsid w:val="00AC55A6"/>
    <w:rsid w:val="00AC57F5"/>
    <w:rsid w:val="00AC5854"/>
    <w:rsid w:val="00AC5AED"/>
    <w:rsid w:val="00AC5C1E"/>
    <w:rsid w:val="00AC5CD4"/>
    <w:rsid w:val="00AC61FF"/>
    <w:rsid w:val="00AC62E2"/>
    <w:rsid w:val="00AC7071"/>
    <w:rsid w:val="00AC714B"/>
    <w:rsid w:val="00AC73A2"/>
    <w:rsid w:val="00AC74D7"/>
    <w:rsid w:val="00AC7687"/>
    <w:rsid w:val="00AC7896"/>
    <w:rsid w:val="00AC7968"/>
    <w:rsid w:val="00AC7B85"/>
    <w:rsid w:val="00AC7F1D"/>
    <w:rsid w:val="00AD0376"/>
    <w:rsid w:val="00AD05A3"/>
    <w:rsid w:val="00AD095E"/>
    <w:rsid w:val="00AD0CE9"/>
    <w:rsid w:val="00AD0D4A"/>
    <w:rsid w:val="00AD16BA"/>
    <w:rsid w:val="00AD17B0"/>
    <w:rsid w:val="00AD17F8"/>
    <w:rsid w:val="00AD1B12"/>
    <w:rsid w:val="00AD1EFD"/>
    <w:rsid w:val="00AD1F5F"/>
    <w:rsid w:val="00AD20D0"/>
    <w:rsid w:val="00AD2909"/>
    <w:rsid w:val="00AD2C26"/>
    <w:rsid w:val="00AD2D45"/>
    <w:rsid w:val="00AD2E04"/>
    <w:rsid w:val="00AD2EC9"/>
    <w:rsid w:val="00AD2ED3"/>
    <w:rsid w:val="00AD3127"/>
    <w:rsid w:val="00AD33D1"/>
    <w:rsid w:val="00AD3A2B"/>
    <w:rsid w:val="00AD3C9B"/>
    <w:rsid w:val="00AD3EEF"/>
    <w:rsid w:val="00AD4263"/>
    <w:rsid w:val="00AD4A7E"/>
    <w:rsid w:val="00AD4B3A"/>
    <w:rsid w:val="00AD4F4C"/>
    <w:rsid w:val="00AD5B6F"/>
    <w:rsid w:val="00AD5E37"/>
    <w:rsid w:val="00AD6094"/>
    <w:rsid w:val="00AD6359"/>
    <w:rsid w:val="00AD64B8"/>
    <w:rsid w:val="00AD65D9"/>
    <w:rsid w:val="00AD6BE9"/>
    <w:rsid w:val="00AD6C10"/>
    <w:rsid w:val="00AD6ED4"/>
    <w:rsid w:val="00AD6F17"/>
    <w:rsid w:val="00AD736A"/>
    <w:rsid w:val="00AD73D9"/>
    <w:rsid w:val="00AD74DE"/>
    <w:rsid w:val="00AD7556"/>
    <w:rsid w:val="00AD761D"/>
    <w:rsid w:val="00AD783F"/>
    <w:rsid w:val="00AD79D1"/>
    <w:rsid w:val="00AD7B1A"/>
    <w:rsid w:val="00AD7C03"/>
    <w:rsid w:val="00AE022E"/>
    <w:rsid w:val="00AE04CE"/>
    <w:rsid w:val="00AE0674"/>
    <w:rsid w:val="00AE0BFE"/>
    <w:rsid w:val="00AE0E86"/>
    <w:rsid w:val="00AE0F3A"/>
    <w:rsid w:val="00AE14C9"/>
    <w:rsid w:val="00AE1788"/>
    <w:rsid w:val="00AE1818"/>
    <w:rsid w:val="00AE1D41"/>
    <w:rsid w:val="00AE1D95"/>
    <w:rsid w:val="00AE23AB"/>
    <w:rsid w:val="00AE23D5"/>
    <w:rsid w:val="00AE261F"/>
    <w:rsid w:val="00AE2C84"/>
    <w:rsid w:val="00AE2F75"/>
    <w:rsid w:val="00AE3288"/>
    <w:rsid w:val="00AE34D2"/>
    <w:rsid w:val="00AE3508"/>
    <w:rsid w:val="00AE38F5"/>
    <w:rsid w:val="00AE3B70"/>
    <w:rsid w:val="00AE4053"/>
    <w:rsid w:val="00AE40DD"/>
    <w:rsid w:val="00AE4456"/>
    <w:rsid w:val="00AE484A"/>
    <w:rsid w:val="00AE4AA2"/>
    <w:rsid w:val="00AE4B07"/>
    <w:rsid w:val="00AE4B36"/>
    <w:rsid w:val="00AE4BF2"/>
    <w:rsid w:val="00AE4C73"/>
    <w:rsid w:val="00AE54A7"/>
    <w:rsid w:val="00AE5E41"/>
    <w:rsid w:val="00AE5F02"/>
    <w:rsid w:val="00AE6081"/>
    <w:rsid w:val="00AE61E8"/>
    <w:rsid w:val="00AE6264"/>
    <w:rsid w:val="00AE653C"/>
    <w:rsid w:val="00AE67BB"/>
    <w:rsid w:val="00AE68BA"/>
    <w:rsid w:val="00AE6DA4"/>
    <w:rsid w:val="00AE6DFF"/>
    <w:rsid w:val="00AE6E0A"/>
    <w:rsid w:val="00AE6FAF"/>
    <w:rsid w:val="00AE70EF"/>
    <w:rsid w:val="00AE73EF"/>
    <w:rsid w:val="00AE74FD"/>
    <w:rsid w:val="00AE7557"/>
    <w:rsid w:val="00AE76AD"/>
    <w:rsid w:val="00AE7901"/>
    <w:rsid w:val="00AE7999"/>
    <w:rsid w:val="00AE7C27"/>
    <w:rsid w:val="00AF027F"/>
    <w:rsid w:val="00AF04A7"/>
    <w:rsid w:val="00AF0500"/>
    <w:rsid w:val="00AF0570"/>
    <w:rsid w:val="00AF09BF"/>
    <w:rsid w:val="00AF0A35"/>
    <w:rsid w:val="00AF0B47"/>
    <w:rsid w:val="00AF0F8F"/>
    <w:rsid w:val="00AF11DA"/>
    <w:rsid w:val="00AF12B9"/>
    <w:rsid w:val="00AF14DE"/>
    <w:rsid w:val="00AF16E2"/>
    <w:rsid w:val="00AF1808"/>
    <w:rsid w:val="00AF18E3"/>
    <w:rsid w:val="00AF19D7"/>
    <w:rsid w:val="00AF1A7B"/>
    <w:rsid w:val="00AF1CBC"/>
    <w:rsid w:val="00AF1CED"/>
    <w:rsid w:val="00AF1F54"/>
    <w:rsid w:val="00AF2112"/>
    <w:rsid w:val="00AF23BD"/>
    <w:rsid w:val="00AF286C"/>
    <w:rsid w:val="00AF2A4C"/>
    <w:rsid w:val="00AF2B86"/>
    <w:rsid w:val="00AF2C43"/>
    <w:rsid w:val="00AF3111"/>
    <w:rsid w:val="00AF3117"/>
    <w:rsid w:val="00AF32EB"/>
    <w:rsid w:val="00AF3729"/>
    <w:rsid w:val="00AF3958"/>
    <w:rsid w:val="00AF3E44"/>
    <w:rsid w:val="00AF4449"/>
    <w:rsid w:val="00AF457A"/>
    <w:rsid w:val="00AF4D09"/>
    <w:rsid w:val="00AF4D43"/>
    <w:rsid w:val="00AF4FAE"/>
    <w:rsid w:val="00AF579C"/>
    <w:rsid w:val="00AF5866"/>
    <w:rsid w:val="00AF5972"/>
    <w:rsid w:val="00AF5EB0"/>
    <w:rsid w:val="00AF5F3B"/>
    <w:rsid w:val="00AF639F"/>
    <w:rsid w:val="00AF692A"/>
    <w:rsid w:val="00AF6A0F"/>
    <w:rsid w:val="00AF6B2D"/>
    <w:rsid w:val="00AF6CFF"/>
    <w:rsid w:val="00AF6DEA"/>
    <w:rsid w:val="00AF6FF6"/>
    <w:rsid w:val="00AF70DE"/>
    <w:rsid w:val="00AF738B"/>
    <w:rsid w:val="00AF74AF"/>
    <w:rsid w:val="00AF7617"/>
    <w:rsid w:val="00AF763A"/>
    <w:rsid w:val="00AF7673"/>
    <w:rsid w:val="00AF78DF"/>
    <w:rsid w:val="00B002AE"/>
    <w:rsid w:val="00B002CD"/>
    <w:rsid w:val="00B00474"/>
    <w:rsid w:val="00B0047E"/>
    <w:rsid w:val="00B0066D"/>
    <w:rsid w:val="00B006D0"/>
    <w:rsid w:val="00B0083F"/>
    <w:rsid w:val="00B0093B"/>
    <w:rsid w:val="00B00AED"/>
    <w:rsid w:val="00B00DEF"/>
    <w:rsid w:val="00B00F3D"/>
    <w:rsid w:val="00B00FDA"/>
    <w:rsid w:val="00B01229"/>
    <w:rsid w:val="00B0128A"/>
    <w:rsid w:val="00B015E8"/>
    <w:rsid w:val="00B01894"/>
    <w:rsid w:val="00B01B83"/>
    <w:rsid w:val="00B01E36"/>
    <w:rsid w:val="00B022BC"/>
    <w:rsid w:val="00B0233D"/>
    <w:rsid w:val="00B024F4"/>
    <w:rsid w:val="00B0267A"/>
    <w:rsid w:val="00B0267D"/>
    <w:rsid w:val="00B0322F"/>
    <w:rsid w:val="00B033A8"/>
    <w:rsid w:val="00B035C2"/>
    <w:rsid w:val="00B0379B"/>
    <w:rsid w:val="00B03853"/>
    <w:rsid w:val="00B0389A"/>
    <w:rsid w:val="00B038F0"/>
    <w:rsid w:val="00B03A99"/>
    <w:rsid w:val="00B03D4F"/>
    <w:rsid w:val="00B03F99"/>
    <w:rsid w:val="00B0454D"/>
    <w:rsid w:val="00B04A2D"/>
    <w:rsid w:val="00B05249"/>
    <w:rsid w:val="00B056EE"/>
    <w:rsid w:val="00B05975"/>
    <w:rsid w:val="00B05B38"/>
    <w:rsid w:val="00B060FF"/>
    <w:rsid w:val="00B06635"/>
    <w:rsid w:val="00B066E1"/>
    <w:rsid w:val="00B06778"/>
    <w:rsid w:val="00B068CF"/>
    <w:rsid w:val="00B06DF9"/>
    <w:rsid w:val="00B06F50"/>
    <w:rsid w:val="00B0795E"/>
    <w:rsid w:val="00B07CBA"/>
    <w:rsid w:val="00B07D82"/>
    <w:rsid w:val="00B10467"/>
    <w:rsid w:val="00B104A1"/>
    <w:rsid w:val="00B109BB"/>
    <w:rsid w:val="00B10A37"/>
    <w:rsid w:val="00B10D2E"/>
    <w:rsid w:val="00B10F8D"/>
    <w:rsid w:val="00B11369"/>
    <w:rsid w:val="00B11A2E"/>
    <w:rsid w:val="00B11A68"/>
    <w:rsid w:val="00B11AD4"/>
    <w:rsid w:val="00B11E61"/>
    <w:rsid w:val="00B12A2F"/>
    <w:rsid w:val="00B12BB8"/>
    <w:rsid w:val="00B12EB5"/>
    <w:rsid w:val="00B12EC3"/>
    <w:rsid w:val="00B13296"/>
    <w:rsid w:val="00B13358"/>
    <w:rsid w:val="00B13714"/>
    <w:rsid w:val="00B13C02"/>
    <w:rsid w:val="00B13D40"/>
    <w:rsid w:val="00B1416D"/>
    <w:rsid w:val="00B147DD"/>
    <w:rsid w:val="00B148FA"/>
    <w:rsid w:val="00B1492C"/>
    <w:rsid w:val="00B14A4D"/>
    <w:rsid w:val="00B14AD1"/>
    <w:rsid w:val="00B14B49"/>
    <w:rsid w:val="00B14B83"/>
    <w:rsid w:val="00B14E30"/>
    <w:rsid w:val="00B14E88"/>
    <w:rsid w:val="00B14F7F"/>
    <w:rsid w:val="00B14FAF"/>
    <w:rsid w:val="00B15478"/>
    <w:rsid w:val="00B15533"/>
    <w:rsid w:val="00B15979"/>
    <w:rsid w:val="00B15CF7"/>
    <w:rsid w:val="00B161E8"/>
    <w:rsid w:val="00B169CA"/>
    <w:rsid w:val="00B17105"/>
    <w:rsid w:val="00B173E1"/>
    <w:rsid w:val="00B175E9"/>
    <w:rsid w:val="00B179BF"/>
    <w:rsid w:val="00B17AF0"/>
    <w:rsid w:val="00B17EAD"/>
    <w:rsid w:val="00B17F61"/>
    <w:rsid w:val="00B17F63"/>
    <w:rsid w:val="00B204EC"/>
    <w:rsid w:val="00B20946"/>
    <w:rsid w:val="00B20CFB"/>
    <w:rsid w:val="00B20D84"/>
    <w:rsid w:val="00B20E05"/>
    <w:rsid w:val="00B20EFD"/>
    <w:rsid w:val="00B213C1"/>
    <w:rsid w:val="00B213FB"/>
    <w:rsid w:val="00B217EC"/>
    <w:rsid w:val="00B21994"/>
    <w:rsid w:val="00B21BD5"/>
    <w:rsid w:val="00B21C52"/>
    <w:rsid w:val="00B21C6D"/>
    <w:rsid w:val="00B21F00"/>
    <w:rsid w:val="00B2222D"/>
    <w:rsid w:val="00B223A6"/>
    <w:rsid w:val="00B2248F"/>
    <w:rsid w:val="00B2274C"/>
    <w:rsid w:val="00B22999"/>
    <w:rsid w:val="00B22B97"/>
    <w:rsid w:val="00B22E69"/>
    <w:rsid w:val="00B22F7C"/>
    <w:rsid w:val="00B23028"/>
    <w:rsid w:val="00B232AE"/>
    <w:rsid w:val="00B232CC"/>
    <w:rsid w:val="00B23746"/>
    <w:rsid w:val="00B23A73"/>
    <w:rsid w:val="00B23BDE"/>
    <w:rsid w:val="00B24021"/>
    <w:rsid w:val="00B2464C"/>
    <w:rsid w:val="00B24787"/>
    <w:rsid w:val="00B24909"/>
    <w:rsid w:val="00B24CCF"/>
    <w:rsid w:val="00B25C51"/>
    <w:rsid w:val="00B25C68"/>
    <w:rsid w:val="00B26123"/>
    <w:rsid w:val="00B262ED"/>
    <w:rsid w:val="00B2685A"/>
    <w:rsid w:val="00B26DC7"/>
    <w:rsid w:val="00B26E39"/>
    <w:rsid w:val="00B26E77"/>
    <w:rsid w:val="00B27421"/>
    <w:rsid w:val="00B27504"/>
    <w:rsid w:val="00B3030F"/>
    <w:rsid w:val="00B303B0"/>
    <w:rsid w:val="00B3054B"/>
    <w:rsid w:val="00B306AD"/>
    <w:rsid w:val="00B306E3"/>
    <w:rsid w:val="00B308E1"/>
    <w:rsid w:val="00B3094C"/>
    <w:rsid w:val="00B30A77"/>
    <w:rsid w:val="00B310CF"/>
    <w:rsid w:val="00B318E2"/>
    <w:rsid w:val="00B31A71"/>
    <w:rsid w:val="00B31B22"/>
    <w:rsid w:val="00B31F62"/>
    <w:rsid w:val="00B32006"/>
    <w:rsid w:val="00B320A1"/>
    <w:rsid w:val="00B320A7"/>
    <w:rsid w:val="00B322C3"/>
    <w:rsid w:val="00B324E9"/>
    <w:rsid w:val="00B3254C"/>
    <w:rsid w:val="00B327AC"/>
    <w:rsid w:val="00B32927"/>
    <w:rsid w:val="00B3333B"/>
    <w:rsid w:val="00B333A6"/>
    <w:rsid w:val="00B334C3"/>
    <w:rsid w:val="00B33530"/>
    <w:rsid w:val="00B33974"/>
    <w:rsid w:val="00B33A7E"/>
    <w:rsid w:val="00B33B14"/>
    <w:rsid w:val="00B33D4A"/>
    <w:rsid w:val="00B33E66"/>
    <w:rsid w:val="00B33F18"/>
    <w:rsid w:val="00B33F21"/>
    <w:rsid w:val="00B341A4"/>
    <w:rsid w:val="00B3422D"/>
    <w:rsid w:val="00B3479F"/>
    <w:rsid w:val="00B347F9"/>
    <w:rsid w:val="00B34882"/>
    <w:rsid w:val="00B34BA0"/>
    <w:rsid w:val="00B34EE3"/>
    <w:rsid w:val="00B352CC"/>
    <w:rsid w:val="00B35807"/>
    <w:rsid w:val="00B35E63"/>
    <w:rsid w:val="00B36A58"/>
    <w:rsid w:val="00B36E8F"/>
    <w:rsid w:val="00B36FCE"/>
    <w:rsid w:val="00B3710D"/>
    <w:rsid w:val="00B37366"/>
    <w:rsid w:val="00B3741C"/>
    <w:rsid w:val="00B37422"/>
    <w:rsid w:val="00B3743A"/>
    <w:rsid w:val="00B37471"/>
    <w:rsid w:val="00B37997"/>
    <w:rsid w:val="00B379DC"/>
    <w:rsid w:val="00B400D8"/>
    <w:rsid w:val="00B4015A"/>
    <w:rsid w:val="00B407F2"/>
    <w:rsid w:val="00B40E7C"/>
    <w:rsid w:val="00B4110B"/>
    <w:rsid w:val="00B41174"/>
    <w:rsid w:val="00B4151A"/>
    <w:rsid w:val="00B4189D"/>
    <w:rsid w:val="00B41F52"/>
    <w:rsid w:val="00B41FB8"/>
    <w:rsid w:val="00B420E3"/>
    <w:rsid w:val="00B428D2"/>
    <w:rsid w:val="00B42C73"/>
    <w:rsid w:val="00B42E5D"/>
    <w:rsid w:val="00B4341D"/>
    <w:rsid w:val="00B43838"/>
    <w:rsid w:val="00B438CE"/>
    <w:rsid w:val="00B43C0B"/>
    <w:rsid w:val="00B43CC2"/>
    <w:rsid w:val="00B43D04"/>
    <w:rsid w:val="00B43DA4"/>
    <w:rsid w:val="00B43E78"/>
    <w:rsid w:val="00B4407B"/>
    <w:rsid w:val="00B442E9"/>
    <w:rsid w:val="00B44542"/>
    <w:rsid w:val="00B44BA8"/>
    <w:rsid w:val="00B45094"/>
    <w:rsid w:val="00B4535E"/>
    <w:rsid w:val="00B4549E"/>
    <w:rsid w:val="00B455A2"/>
    <w:rsid w:val="00B458AF"/>
    <w:rsid w:val="00B46213"/>
    <w:rsid w:val="00B46266"/>
    <w:rsid w:val="00B46374"/>
    <w:rsid w:val="00B4642D"/>
    <w:rsid w:val="00B464E9"/>
    <w:rsid w:val="00B46673"/>
    <w:rsid w:val="00B46759"/>
    <w:rsid w:val="00B46A94"/>
    <w:rsid w:val="00B46AA1"/>
    <w:rsid w:val="00B46BBD"/>
    <w:rsid w:val="00B46DDD"/>
    <w:rsid w:val="00B47082"/>
    <w:rsid w:val="00B47084"/>
    <w:rsid w:val="00B470A0"/>
    <w:rsid w:val="00B4728A"/>
    <w:rsid w:val="00B47427"/>
    <w:rsid w:val="00B47887"/>
    <w:rsid w:val="00B47C4C"/>
    <w:rsid w:val="00B47C4F"/>
    <w:rsid w:val="00B47D1B"/>
    <w:rsid w:val="00B50236"/>
    <w:rsid w:val="00B50290"/>
    <w:rsid w:val="00B50358"/>
    <w:rsid w:val="00B50478"/>
    <w:rsid w:val="00B504A7"/>
    <w:rsid w:val="00B5084B"/>
    <w:rsid w:val="00B50B53"/>
    <w:rsid w:val="00B513AE"/>
    <w:rsid w:val="00B51586"/>
    <w:rsid w:val="00B516A8"/>
    <w:rsid w:val="00B51A2D"/>
    <w:rsid w:val="00B51C12"/>
    <w:rsid w:val="00B51D92"/>
    <w:rsid w:val="00B52118"/>
    <w:rsid w:val="00B524DA"/>
    <w:rsid w:val="00B526C3"/>
    <w:rsid w:val="00B52BBC"/>
    <w:rsid w:val="00B52D5E"/>
    <w:rsid w:val="00B530EF"/>
    <w:rsid w:val="00B531B0"/>
    <w:rsid w:val="00B53719"/>
    <w:rsid w:val="00B537B1"/>
    <w:rsid w:val="00B53A1C"/>
    <w:rsid w:val="00B53C03"/>
    <w:rsid w:val="00B542BE"/>
    <w:rsid w:val="00B5434C"/>
    <w:rsid w:val="00B5445A"/>
    <w:rsid w:val="00B545EF"/>
    <w:rsid w:val="00B546EB"/>
    <w:rsid w:val="00B547C9"/>
    <w:rsid w:val="00B5499D"/>
    <w:rsid w:val="00B54E31"/>
    <w:rsid w:val="00B553E6"/>
    <w:rsid w:val="00B556D1"/>
    <w:rsid w:val="00B55796"/>
    <w:rsid w:val="00B5586C"/>
    <w:rsid w:val="00B56587"/>
    <w:rsid w:val="00B569C5"/>
    <w:rsid w:val="00B56BEE"/>
    <w:rsid w:val="00B56E68"/>
    <w:rsid w:val="00B56F69"/>
    <w:rsid w:val="00B5757F"/>
    <w:rsid w:val="00B575FF"/>
    <w:rsid w:val="00B57AF1"/>
    <w:rsid w:val="00B57C2A"/>
    <w:rsid w:val="00B57F81"/>
    <w:rsid w:val="00B6008A"/>
    <w:rsid w:val="00B60453"/>
    <w:rsid w:val="00B605BA"/>
    <w:rsid w:val="00B607F4"/>
    <w:rsid w:val="00B609D2"/>
    <w:rsid w:val="00B60CAE"/>
    <w:rsid w:val="00B60D5F"/>
    <w:rsid w:val="00B60EFE"/>
    <w:rsid w:val="00B60FFA"/>
    <w:rsid w:val="00B612CB"/>
    <w:rsid w:val="00B613F4"/>
    <w:rsid w:val="00B614A0"/>
    <w:rsid w:val="00B614D3"/>
    <w:rsid w:val="00B618E9"/>
    <w:rsid w:val="00B61B1F"/>
    <w:rsid w:val="00B61DEA"/>
    <w:rsid w:val="00B6200C"/>
    <w:rsid w:val="00B62502"/>
    <w:rsid w:val="00B62661"/>
    <w:rsid w:val="00B62D7E"/>
    <w:rsid w:val="00B62E63"/>
    <w:rsid w:val="00B62F08"/>
    <w:rsid w:val="00B62F4B"/>
    <w:rsid w:val="00B6323B"/>
    <w:rsid w:val="00B63903"/>
    <w:rsid w:val="00B63955"/>
    <w:rsid w:val="00B63ED9"/>
    <w:rsid w:val="00B63F85"/>
    <w:rsid w:val="00B64EDA"/>
    <w:rsid w:val="00B64F7B"/>
    <w:rsid w:val="00B6504E"/>
    <w:rsid w:val="00B650B4"/>
    <w:rsid w:val="00B65603"/>
    <w:rsid w:val="00B65639"/>
    <w:rsid w:val="00B65902"/>
    <w:rsid w:val="00B659D9"/>
    <w:rsid w:val="00B65BBC"/>
    <w:rsid w:val="00B66090"/>
    <w:rsid w:val="00B662E8"/>
    <w:rsid w:val="00B66481"/>
    <w:rsid w:val="00B66E76"/>
    <w:rsid w:val="00B66F00"/>
    <w:rsid w:val="00B66F61"/>
    <w:rsid w:val="00B66F71"/>
    <w:rsid w:val="00B66FCD"/>
    <w:rsid w:val="00B67156"/>
    <w:rsid w:val="00B67185"/>
    <w:rsid w:val="00B672FC"/>
    <w:rsid w:val="00B673B4"/>
    <w:rsid w:val="00B67454"/>
    <w:rsid w:val="00B67D19"/>
    <w:rsid w:val="00B67D36"/>
    <w:rsid w:val="00B67D3C"/>
    <w:rsid w:val="00B704C9"/>
    <w:rsid w:val="00B70732"/>
    <w:rsid w:val="00B70C0C"/>
    <w:rsid w:val="00B70DBF"/>
    <w:rsid w:val="00B70E5C"/>
    <w:rsid w:val="00B70EF8"/>
    <w:rsid w:val="00B71289"/>
    <w:rsid w:val="00B71369"/>
    <w:rsid w:val="00B71397"/>
    <w:rsid w:val="00B717B2"/>
    <w:rsid w:val="00B718D5"/>
    <w:rsid w:val="00B71D16"/>
    <w:rsid w:val="00B72406"/>
    <w:rsid w:val="00B724B3"/>
    <w:rsid w:val="00B72BB3"/>
    <w:rsid w:val="00B7313D"/>
    <w:rsid w:val="00B73337"/>
    <w:rsid w:val="00B733EA"/>
    <w:rsid w:val="00B7351A"/>
    <w:rsid w:val="00B73911"/>
    <w:rsid w:val="00B73963"/>
    <w:rsid w:val="00B73CF7"/>
    <w:rsid w:val="00B73DE0"/>
    <w:rsid w:val="00B73FCD"/>
    <w:rsid w:val="00B74107"/>
    <w:rsid w:val="00B74168"/>
    <w:rsid w:val="00B744A7"/>
    <w:rsid w:val="00B74837"/>
    <w:rsid w:val="00B74C64"/>
    <w:rsid w:val="00B74CDA"/>
    <w:rsid w:val="00B750DA"/>
    <w:rsid w:val="00B755F5"/>
    <w:rsid w:val="00B75953"/>
    <w:rsid w:val="00B75999"/>
    <w:rsid w:val="00B75AAD"/>
    <w:rsid w:val="00B75D0F"/>
    <w:rsid w:val="00B75EAD"/>
    <w:rsid w:val="00B75F2A"/>
    <w:rsid w:val="00B75F3D"/>
    <w:rsid w:val="00B76141"/>
    <w:rsid w:val="00B762B7"/>
    <w:rsid w:val="00B76457"/>
    <w:rsid w:val="00B767E9"/>
    <w:rsid w:val="00B76937"/>
    <w:rsid w:val="00B76BA5"/>
    <w:rsid w:val="00B76BCE"/>
    <w:rsid w:val="00B7717A"/>
    <w:rsid w:val="00B771C2"/>
    <w:rsid w:val="00B777EE"/>
    <w:rsid w:val="00B77806"/>
    <w:rsid w:val="00B77C87"/>
    <w:rsid w:val="00B77F99"/>
    <w:rsid w:val="00B80029"/>
    <w:rsid w:val="00B80288"/>
    <w:rsid w:val="00B80492"/>
    <w:rsid w:val="00B80A0B"/>
    <w:rsid w:val="00B80A15"/>
    <w:rsid w:val="00B80BFE"/>
    <w:rsid w:val="00B81243"/>
    <w:rsid w:val="00B81405"/>
    <w:rsid w:val="00B8193E"/>
    <w:rsid w:val="00B819F6"/>
    <w:rsid w:val="00B81C18"/>
    <w:rsid w:val="00B81EA8"/>
    <w:rsid w:val="00B821F3"/>
    <w:rsid w:val="00B823D5"/>
    <w:rsid w:val="00B82682"/>
    <w:rsid w:val="00B82833"/>
    <w:rsid w:val="00B829FD"/>
    <w:rsid w:val="00B82B07"/>
    <w:rsid w:val="00B82BCA"/>
    <w:rsid w:val="00B82C03"/>
    <w:rsid w:val="00B82CC9"/>
    <w:rsid w:val="00B82CF8"/>
    <w:rsid w:val="00B82E86"/>
    <w:rsid w:val="00B82F96"/>
    <w:rsid w:val="00B837E6"/>
    <w:rsid w:val="00B839BB"/>
    <w:rsid w:val="00B83BE7"/>
    <w:rsid w:val="00B83C31"/>
    <w:rsid w:val="00B84139"/>
    <w:rsid w:val="00B843C3"/>
    <w:rsid w:val="00B846F7"/>
    <w:rsid w:val="00B847C2"/>
    <w:rsid w:val="00B8495C"/>
    <w:rsid w:val="00B849EC"/>
    <w:rsid w:val="00B84BBD"/>
    <w:rsid w:val="00B84C76"/>
    <w:rsid w:val="00B84D3D"/>
    <w:rsid w:val="00B84DD8"/>
    <w:rsid w:val="00B84F08"/>
    <w:rsid w:val="00B85326"/>
    <w:rsid w:val="00B8544C"/>
    <w:rsid w:val="00B855DE"/>
    <w:rsid w:val="00B8579A"/>
    <w:rsid w:val="00B8595C"/>
    <w:rsid w:val="00B85E09"/>
    <w:rsid w:val="00B85ECA"/>
    <w:rsid w:val="00B8612B"/>
    <w:rsid w:val="00B863C3"/>
    <w:rsid w:val="00B86416"/>
    <w:rsid w:val="00B86461"/>
    <w:rsid w:val="00B86774"/>
    <w:rsid w:val="00B86D2B"/>
    <w:rsid w:val="00B86D74"/>
    <w:rsid w:val="00B870AB"/>
    <w:rsid w:val="00B8744D"/>
    <w:rsid w:val="00B87850"/>
    <w:rsid w:val="00B87853"/>
    <w:rsid w:val="00B879A4"/>
    <w:rsid w:val="00B879C4"/>
    <w:rsid w:val="00B901D6"/>
    <w:rsid w:val="00B901E4"/>
    <w:rsid w:val="00B90502"/>
    <w:rsid w:val="00B90741"/>
    <w:rsid w:val="00B9083F"/>
    <w:rsid w:val="00B9087D"/>
    <w:rsid w:val="00B9088F"/>
    <w:rsid w:val="00B90F31"/>
    <w:rsid w:val="00B91036"/>
    <w:rsid w:val="00B910BE"/>
    <w:rsid w:val="00B91641"/>
    <w:rsid w:val="00B9196F"/>
    <w:rsid w:val="00B91BC2"/>
    <w:rsid w:val="00B91F7C"/>
    <w:rsid w:val="00B920F0"/>
    <w:rsid w:val="00B92323"/>
    <w:rsid w:val="00B923A8"/>
    <w:rsid w:val="00B9273E"/>
    <w:rsid w:val="00B9278B"/>
    <w:rsid w:val="00B928D7"/>
    <w:rsid w:val="00B928F7"/>
    <w:rsid w:val="00B92FE6"/>
    <w:rsid w:val="00B931F3"/>
    <w:rsid w:val="00B93320"/>
    <w:rsid w:val="00B93411"/>
    <w:rsid w:val="00B9383A"/>
    <w:rsid w:val="00B93864"/>
    <w:rsid w:val="00B93B30"/>
    <w:rsid w:val="00B93CF1"/>
    <w:rsid w:val="00B93E4F"/>
    <w:rsid w:val="00B9407D"/>
    <w:rsid w:val="00B94094"/>
    <w:rsid w:val="00B94164"/>
    <w:rsid w:val="00B941E7"/>
    <w:rsid w:val="00B94615"/>
    <w:rsid w:val="00B94A16"/>
    <w:rsid w:val="00B94A4A"/>
    <w:rsid w:val="00B94A55"/>
    <w:rsid w:val="00B95319"/>
    <w:rsid w:val="00B9544F"/>
    <w:rsid w:val="00B9586E"/>
    <w:rsid w:val="00B95B26"/>
    <w:rsid w:val="00B95D11"/>
    <w:rsid w:val="00B95D64"/>
    <w:rsid w:val="00B95DC9"/>
    <w:rsid w:val="00B95F92"/>
    <w:rsid w:val="00B95FEC"/>
    <w:rsid w:val="00B9638D"/>
    <w:rsid w:val="00B96441"/>
    <w:rsid w:val="00B96FDC"/>
    <w:rsid w:val="00B9737B"/>
    <w:rsid w:val="00B97C30"/>
    <w:rsid w:val="00B97F18"/>
    <w:rsid w:val="00BA00AF"/>
    <w:rsid w:val="00BA0420"/>
    <w:rsid w:val="00BA05C8"/>
    <w:rsid w:val="00BA0748"/>
    <w:rsid w:val="00BA0AA2"/>
    <w:rsid w:val="00BA0B15"/>
    <w:rsid w:val="00BA0D88"/>
    <w:rsid w:val="00BA0F92"/>
    <w:rsid w:val="00BA0FF9"/>
    <w:rsid w:val="00BA11B2"/>
    <w:rsid w:val="00BA1242"/>
    <w:rsid w:val="00BA12A2"/>
    <w:rsid w:val="00BA1526"/>
    <w:rsid w:val="00BA19E0"/>
    <w:rsid w:val="00BA1C21"/>
    <w:rsid w:val="00BA2101"/>
    <w:rsid w:val="00BA2151"/>
    <w:rsid w:val="00BA21F1"/>
    <w:rsid w:val="00BA220A"/>
    <w:rsid w:val="00BA2346"/>
    <w:rsid w:val="00BA3034"/>
    <w:rsid w:val="00BA3145"/>
    <w:rsid w:val="00BA31CA"/>
    <w:rsid w:val="00BA327C"/>
    <w:rsid w:val="00BA3323"/>
    <w:rsid w:val="00BA38A7"/>
    <w:rsid w:val="00BA39F8"/>
    <w:rsid w:val="00BA3DBB"/>
    <w:rsid w:val="00BA4042"/>
    <w:rsid w:val="00BA4127"/>
    <w:rsid w:val="00BA4A38"/>
    <w:rsid w:val="00BA5160"/>
    <w:rsid w:val="00BA52D1"/>
    <w:rsid w:val="00BA54B0"/>
    <w:rsid w:val="00BA574B"/>
    <w:rsid w:val="00BA57C4"/>
    <w:rsid w:val="00BA5D52"/>
    <w:rsid w:val="00BA5FB4"/>
    <w:rsid w:val="00BA60EB"/>
    <w:rsid w:val="00BA647C"/>
    <w:rsid w:val="00BA6AB9"/>
    <w:rsid w:val="00BA7109"/>
    <w:rsid w:val="00BA7210"/>
    <w:rsid w:val="00BA74BC"/>
    <w:rsid w:val="00BA776F"/>
    <w:rsid w:val="00BA7804"/>
    <w:rsid w:val="00BA78E1"/>
    <w:rsid w:val="00BA7ED9"/>
    <w:rsid w:val="00BB01AF"/>
    <w:rsid w:val="00BB0241"/>
    <w:rsid w:val="00BB0243"/>
    <w:rsid w:val="00BB02A1"/>
    <w:rsid w:val="00BB06B0"/>
    <w:rsid w:val="00BB0A3A"/>
    <w:rsid w:val="00BB0E0B"/>
    <w:rsid w:val="00BB0FB7"/>
    <w:rsid w:val="00BB1084"/>
    <w:rsid w:val="00BB1100"/>
    <w:rsid w:val="00BB18F6"/>
    <w:rsid w:val="00BB1A4C"/>
    <w:rsid w:val="00BB1B7D"/>
    <w:rsid w:val="00BB1C04"/>
    <w:rsid w:val="00BB2093"/>
    <w:rsid w:val="00BB22CC"/>
    <w:rsid w:val="00BB265B"/>
    <w:rsid w:val="00BB2779"/>
    <w:rsid w:val="00BB2896"/>
    <w:rsid w:val="00BB2AB2"/>
    <w:rsid w:val="00BB2C29"/>
    <w:rsid w:val="00BB2D9F"/>
    <w:rsid w:val="00BB2F75"/>
    <w:rsid w:val="00BB3060"/>
    <w:rsid w:val="00BB315C"/>
    <w:rsid w:val="00BB3167"/>
    <w:rsid w:val="00BB3228"/>
    <w:rsid w:val="00BB3274"/>
    <w:rsid w:val="00BB35B3"/>
    <w:rsid w:val="00BB3D73"/>
    <w:rsid w:val="00BB40CA"/>
    <w:rsid w:val="00BB43D5"/>
    <w:rsid w:val="00BB4419"/>
    <w:rsid w:val="00BB45C1"/>
    <w:rsid w:val="00BB4A51"/>
    <w:rsid w:val="00BB4AE4"/>
    <w:rsid w:val="00BB4FC8"/>
    <w:rsid w:val="00BB520B"/>
    <w:rsid w:val="00BB52A8"/>
    <w:rsid w:val="00BB535D"/>
    <w:rsid w:val="00BB541E"/>
    <w:rsid w:val="00BB5653"/>
    <w:rsid w:val="00BB5705"/>
    <w:rsid w:val="00BB58E3"/>
    <w:rsid w:val="00BB5A15"/>
    <w:rsid w:val="00BB5A52"/>
    <w:rsid w:val="00BB5B31"/>
    <w:rsid w:val="00BB5B85"/>
    <w:rsid w:val="00BB5D9D"/>
    <w:rsid w:val="00BB5F3F"/>
    <w:rsid w:val="00BB616A"/>
    <w:rsid w:val="00BB62AA"/>
    <w:rsid w:val="00BB64A7"/>
    <w:rsid w:val="00BB65B2"/>
    <w:rsid w:val="00BB67EC"/>
    <w:rsid w:val="00BB682E"/>
    <w:rsid w:val="00BB7538"/>
    <w:rsid w:val="00BB7847"/>
    <w:rsid w:val="00BB7DE9"/>
    <w:rsid w:val="00BB7E1D"/>
    <w:rsid w:val="00BB7E76"/>
    <w:rsid w:val="00BC0352"/>
    <w:rsid w:val="00BC04B3"/>
    <w:rsid w:val="00BC083F"/>
    <w:rsid w:val="00BC0A89"/>
    <w:rsid w:val="00BC0E86"/>
    <w:rsid w:val="00BC0F13"/>
    <w:rsid w:val="00BC1060"/>
    <w:rsid w:val="00BC1188"/>
    <w:rsid w:val="00BC11DF"/>
    <w:rsid w:val="00BC139A"/>
    <w:rsid w:val="00BC2086"/>
    <w:rsid w:val="00BC2387"/>
    <w:rsid w:val="00BC2480"/>
    <w:rsid w:val="00BC25EE"/>
    <w:rsid w:val="00BC27ED"/>
    <w:rsid w:val="00BC28BD"/>
    <w:rsid w:val="00BC3016"/>
    <w:rsid w:val="00BC3030"/>
    <w:rsid w:val="00BC31B4"/>
    <w:rsid w:val="00BC3543"/>
    <w:rsid w:val="00BC38C4"/>
    <w:rsid w:val="00BC39E5"/>
    <w:rsid w:val="00BC3AB6"/>
    <w:rsid w:val="00BC3CB2"/>
    <w:rsid w:val="00BC3CB4"/>
    <w:rsid w:val="00BC3E44"/>
    <w:rsid w:val="00BC3F54"/>
    <w:rsid w:val="00BC3FD8"/>
    <w:rsid w:val="00BC3FE2"/>
    <w:rsid w:val="00BC49F1"/>
    <w:rsid w:val="00BC4D96"/>
    <w:rsid w:val="00BC507A"/>
    <w:rsid w:val="00BC50BE"/>
    <w:rsid w:val="00BC50E1"/>
    <w:rsid w:val="00BC52E5"/>
    <w:rsid w:val="00BC544E"/>
    <w:rsid w:val="00BC5561"/>
    <w:rsid w:val="00BC5753"/>
    <w:rsid w:val="00BC579F"/>
    <w:rsid w:val="00BC57E2"/>
    <w:rsid w:val="00BC5CBE"/>
    <w:rsid w:val="00BC6209"/>
    <w:rsid w:val="00BC6548"/>
    <w:rsid w:val="00BC656F"/>
    <w:rsid w:val="00BC6A1E"/>
    <w:rsid w:val="00BC6A4C"/>
    <w:rsid w:val="00BC6AA9"/>
    <w:rsid w:val="00BC6C7F"/>
    <w:rsid w:val="00BC6C91"/>
    <w:rsid w:val="00BC710F"/>
    <w:rsid w:val="00BC71FF"/>
    <w:rsid w:val="00BC74EB"/>
    <w:rsid w:val="00BC7A92"/>
    <w:rsid w:val="00BC7AC3"/>
    <w:rsid w:val="00BC7AF2"/>
    <w:rsid w:val="00BC7BA0"/>
    <w:rsid w:val="00BC7BBB"/>
    <w:rsid w:val="00BD0044"/>
    <w:rsid w:val="00BD01BF"/>
    <w:rsid w:val="00BD05A4"/>
    <w:rsid w:val="00BD061F"/>
    <w:rsid w:val="00BD069B"/>
    <w:rsid w:val="00BD0BA5"/>
    <w:rsid w:val="00BD0D63"/>
    <w:rsid w:val="00BD137B"/>
    <w:rsid w:val="00BD13FD"/>
    <w:rsid w:val="00BD14B6"/>
    <w:rsid w:val="00BD1628"/>
    <w:rsid w:val="00BD1641"/>
    <w:rsid w:val="00BD16AE"/>
    <w:rsid w:val="00BD186C"/>
    <w:rsid w:val="00BD1BFC"/>
    <w:rsid w:val="00BD1F05"/>
    <w:rsid w:val="00BD231D"/>
    <w:rsid w:val="00BD2687"/>
    <w:rsid w:val="00BD29B4"/>
    <w:rsid w:val="00BD2A0C"/>
    <w:rsid w:val="00BD2C40"/>
    <w:rsid w:val="00BD2C45"/>
    <w:rsid w:val="00BD2C7A"/>
    <w:rsid w:val="00BD2E1C"/>
    <w:rsid w:val="00BD3042"/>
    <w:rsid w:val="00BD3330"/>
    <w:rsid w:val="00BD37B1"/>
    <w:rsid w:val="00BD3B96"/>
    <w:rsid w:val="00BD3D88"/>
    <w:rsid w:val="00BD3DE8"/>
    <w:rsid w:val="00BD4241"/>
    <w:rsid w:val="00BD449C"/>
    <w:rsid w:val="00BD44ED"/>
    <w:rsid w:val="00BD46F5"/>
    <w:rsid w:val="00BD478F"/>
    <w:rsid w:val="00BD4876"/>
    <w:rsid w:val="00BD4A9F"/>
    <w:rsid w:val="00BD4B26"/>
    <w:rsid w:val="00BD4E27"/>
    <w:rsid w:val="00BD506E"/>
    <w:rsid w:val="00BD50F9"/>
    <w:rsid w:val="00BD5645"/>
    <w:rsid w:val="00BD5E96"/>
    <w:rsid w:val="00BD5EC7"/>
    <w:rsid w:val="00BD5F04"/>
    <w:rsid w:val="00BD643E"/>
    <w:rsid w:val="00BD696F"/>
    <w:rsid w:val="00BD6B02"/>
    <w:rsid w:val="00BD6C85"/>
    <w:rsid w:val="00BD6D45"/>
    <w:rsid w:val="00BD6F6E"/>
    <w:rsid w:val="00BD7031"/>
    <w:rsid w:val="00BD7349"/>
    <w:rsid w:val="00BD7516"/>
    <w:rsid w:val="00BD7664"/>
    <w:rsid w:val="00BD7C0B"/>
    <w:rsid w:val="00BD7C49"/>
    <w:rsid w:val="00BD7E7F"/>
    <w:rsid w:val="00BD7ED7"/>
    <w:rsid w:val="00BD7EDC"/>
    <w:rsid w:val="00BE00AA"/>
    <w:rsid w:val="00BE0207"/>
    <w:rsid w:val="00BE06BD"/>
    <w:rsid w:val="00BE07EB"/>
    <w:rsid w:val="00BE0BDC"/>
    <w:rsid w:val="00BE1132"/>
    <w:rsid w:val="00BE1408"/>
    <w:rsid w:val="00BE18A4"/>
    <w:rsid w:val="00BE194A"/>
    <w:rsid w:val="00BE21AF"/>
    <w:rsid w:val="00BE2639"/>
    <w:rsid w:val="00BE2670"/>
    <w:rsid w:val="00BE2844"/>
    <w:rsid w:val="00BE2978"/>
    <w:rsid w:val="00BE2B15"/>
    <w:rsid w:val="00BE2B31"/>
    <w:rsid w:val="00BE2FF6"/>
    <w:rsid w:val="00BE31EF"/>
    <w:rsid w:val="00BE344A"/>
    <w:rsid w:val="00BE36AA"/>
    <w:rsid w:val="00BE3886"/>
    <w:rsid w:val="00BE38BF"/>
    <w:rsid w:val="00BE39ED"/>
    <w:rsid w:val="00BE3CE5"/>
    <w:rsid w:val="00BE4082"/>
    <w:rsid w:val="00BE440E"/>
    <w:rsid w:val="00BE4628"/>
    <w:rsid w:val="00BE4688"/>
    <w:rsid w:val="00BE46BA"/>
    <w:rsid w:val="00BE49B4"/>
    <w:rsid w:val="00BE4AFF"/>
    <w:rsid w:val="00BE5262"/>
    <w:rsid w:val="00BE5308"/>
    <w:rsid w:val="00BE543B"/>
    <w:rsid w:val="00BE5559"/>
    <w:rsid w:val="00BE5CED"/>
    <w:rsid w:val="00BE5E38"/>
    <w:rsid w:val="00BE6108"/>
    <w:rsid w:val="00BE62BF"/>
    <w:rsid w:val="00BE6398"/>
    <w:rsid w:val="00BE6E30"/>
    <w:rsid w:val="00BE6FF0"/>
    <w:rsid w:val="00BE73A9"/>
    <w:rsid w:val="00BE74B0"/>
    <w:rsid w:val="00BE74BF"/>
    <w:rsid w:val="00BE76E9"/>
    <w:rsid w:val="00BE79DF"/>
    <w:rsid w:val="00BE7BAE"/>
    <w:rsid w:val="00BE7C5A"/>
    <w:rsid w:val="00BE7CE0"/>
    <w:rsid w:val="00BF0214"/>
    <w:rsid w:val="00BF0275"/>
    <w:rsid w:val="00BF043D"/>
    <w:rsid w:val="00BF0741"/>
    <w:rsid w:val="00BF0D7B"/>
    <w:rsid w:val="00BF122E"/>
    <w:rsid w:val="00BF18AB"/>
    <w:rsid w:val="00BF1C16"/>
    <w:rsid w:val="00BF2065"/>
    <w:rsid w:val="00BF226A"/>
    <w:rsid w:val="00BF237D"/>
    <w:rsid w:val="00BF23E8"/>
    <w:rsid w:val="00BF2405"/>
    <w:rsid w:val="00BF2575"/>
    <w:rsid w:val="00BF2940"/>
    <w:rsid w:val="00BF2BB3"/>
    <w:rsid w:val="00BF2FBC"/>
    <w:rsid w:val="00BF353F"/>
    <w:rsid w:val="00BF3A8B"/>
    <w:rsid w:val="00BF3AED"/>
    <w:rsid w:val="00BF3F7B"/>
    <w:rsid w:val="00BF41A4"/>
    <w:rsid w:val="00BF41A9"/>
    <w:rsid w:val="00BF44F6"/>
    <w:rsid w:val="00BF48EF"/>
    <w:rsid w:val="00BF4B99"/>
    <w:rsid w:val="00BF4BE2"/>
    <w:rsid w:val="00BF4D45"/>
    <w:rsid w:val="00BF51D8"/>
    <w:rsid w:val="00BF56F4"/>
    <w:rsid w:val="00BF5751"/>
    <w:rsid w:val="00BF58C3"/>
    <w:rsid w:val="00BF5B2C"/>
    <w:rsid w:val="00BF5C8B"/>
    <w:rsid w:val="00BF5F46"/>
    <w:rsid w:val="00BF6158"/>
    <w:rsid w:val="00BF638A"/>
    <w:rsid w:val="00BF69A7"/>
    <w:rsid w:val="00BF6A21"/>
    <w:rsid w:val="00BF6B65"/>
    <w:rsid w:val="00BF6C7A"/>
    <w:rsid w:val="00BF759D"/>
    <w:rsid w:val="00BF76F2"/>
    <w:rsid w:val="00BF77FB"/>
    <w:rsid w:val="00BF7966"/>
    <w:rsid w:val="00BF79E4"/>
    <w:rsid w:val="00BF7A3B"/>
    <w:rsid w:val="00C0010D"/>
    <w:rsid w:val="00C00150"/>
    <w:rsid w:val="00C001A3"/>
    <w:rsid w:val="00C007B8"/>
    <w:rsid w:val="00C00E40"/>
    <w:rsid w:val="00C016C4"/>
    <w:rsid w:val="00C01AE7"/>
    <w:rsid w:val="00C01C8F"/>
    <w:rsid w:val="00C01C91"/>
    <w:rsid w:val="00C01FC4"/>
    <w:rsid w:val="00C01FF5"/>
    <w:rsid w:val="00C02077"/>
    <w:rsid w:val="00C021FA"/>
    <w:rsid w:val="00C0222D"/>
    <w:rsid w:val="00C024E4"/>
    <w:rsid w:val="00C02B46"/>
    <w:rsid w:val="00C02F30"/>
    <w:rsid w:val="00C02FAA"/>
    <w:rsid w:val="00C0304D"/>
    <w:rsid w:val="00C030D5"/>
    <w:rsid w:val="00C033C2"/>
    <w:rsid w:val="00C03635"/>
    <w:rsid w:val="00C03653"/>
    <w:rsid w:val="00C03744"/>
    <w:rsid w:val="00C037E7"/>
    <w:rsid w:val="00C03A21"/>
    <w:rsid w:val="00C04072"/>
    <w:rsid w:val="00C04406"/>
    <w:rsid w:val="00C0465C"/>
    <w:rsid w:val="00C04776"/>
    <w:rsid w:val="00C049A0"/>
    <w:rsid w:val="00C04B77"/>
    <w:rsid w:val="00C04C9B"/>
    <w:rsid w:val="00C04DD5"/>
    <w:rsid w:val="00C04ECA"/>
    <w:rsid w:val="00C05081"/>
    <w:rsid w:val="00C0534E"/>
    <w:rsid w:val="00C054A4"/>
    <w:rsid w:val="00C05713"/>
    <w:rsid w:val="00C0577E"/>
    <w:rsid w:val="00C058AC"/>
    <w:rsid w:val="00C05A28"/>
    <w:rsid w:val="00C05AAE"/>
    <w:rsid w:val="00C05B10"/>
    <w:rsid w:val="00C05EB2"/>
    <w:rsid w:val="00C05F09"/>
    <w:rsid w:val="00C06165"/>
    <w:rsid w:val="00C067F9"/>
    <w:rsid w:val="00C068F1"/>
    <w:rsid w:val="00C06AC5"/>
    <w:rsid w:val="00C06ECF"/>
    <w:rsid w:val="00C07422"/>
    <w:rsid w:val="00C074EA"/>
    <w:rsid w:val="00C07504"/>
    <w:rsid w:val="00C0777B"/>
    <w:rsid w:val="00C077C6"/>
    <w:rsid w:val="00C077DA"/>
    <w:rsid w:val="00C1001D"/>
    <w:rsid w:val="00C100BC"/>
    <w:rsid w:val="00C101A3"/>
    <w:rsid w:val="00C106B9"/>
    <w:rsid w:val="00C1085F"/>
    <w:rsid w:val="00C109EF"/>
    <w:rsid w:val="00C10A05"/>
    <w:rsid w:val="00C10BB1"/>
    <w:rsid w:val="00C10C0B"/>
    <w:rsid w:val="00C10C60"/>
    <w:rsid w:val="00C10D69"/>
    <w:rsid w:val="00C112A6"/>
    <w:rsid w:val="00C11A27"/>
    <w:rsid w:val="00C11AA5"/>
    <w:rsid w:val="00C12056"/>
    <w:rsid w:val="00C123F6"/>
    <w:rsid w:val="00C12DD8"/>
    <w:rsid w:val="00C131E0"/>
    <w:rsid w:val="00C13259"/>
    <w:rsid w:val="00C13691"/>
    <w:rsid w:val="00C138AD"/>
    <w:rsid w:val="00C139AB"/>
    <w:rsid w:val="00C13A3A"/>
    <w:rsid w:val="00C13B28"/>
    <w:rsid w:val="00C13DFF"/>
    <w:rsid w:val="00C14077"/>
    <w:rsid w:val="00C1454E"/>
    <w:rsid w:val="00C148F0"/>
    <w:rsid w:val="00C14A35"/>
    <w:rsid w:val="00C14A9B"/>
    <w:rsid w:val="00C14E5E"/>
    <w:rsid w:val="00C14ED7"/>
    <w:rsid w:val="00C1527A"/>
    <w:rsid w:val="00C15734"/>
    <w:rsid w:val="00C158F1"/>
    <w:rsid w:val="00C15B59"/>
    <w:rsid w:val="00C15B9F"/>
    <w:rsid w:val="00C15D50"/>
    <w:rsid w:val="00C1627A"/>
    <w:rsid w:val="00C163B1"/>
    <w:rsid w:val="00C16690"/>
    <w:rsid w:val="00C1669C"/>
    <w:rsid w:val="00C166B4"/>
    <w:rsid w:val="00C1698A"/>
    <w:rsid w:val="00C16D87"/>
    <w:rsid w:val="00C16F58"/>
    <w:rsid w:val="00C17450"/>
    <w:rsid w:val="00C17607"/>
    <w:rsid w:val="00C17860"/>
    <w:rsid w:val="00C17973"/>
    <w:rsid w:val="00C17D19"/>
    <w:rsid w:val="00C17F4A"/>
    <w:rsid w:val="00C17F7D"/>
    <w:rsid w:val="00C2013D"/>
    <w:rsid w:val="00C202AD"/>
    <w:rsid w:val="00C2068B"/>
    <w:rsid w:val="00C206A5"/>
    <w:rsid w:val="00C207E6"/>
    <w:rsid w:val="00C2084B"/>
    <w:rsid w:val="00C2087C"/>
    <w:rsid w:val="00C20B78"/>
    <w:rsid w:val="00C20C60"/>
    <w:rsid w:val="00C214FB"/>
    <w:rsid w:val="00C21523"/>
    <w:rsid w:val="00C21A8F"/>
    <w:rsid w:val="00C21AC5"/>
    <w:rsid w:val="00C2233E"/>
    <w:rsid w:val="00C224C4"/>
    <w:rsid w:val="00C22556"/>
    <w:rsid w:val="00C22767"/>
    <w:rsid w:val="00C22AE4"/>
    <w:rsid w:val="00C23381"/>
    <w:rsid w:val="00C23538"/>
    <w:rsid w:val="00C235A0"/>
    <w:rsid w:val="00C236D8"/>
    <w:rsid w:val="00C239E0"/>
    <w:rsid w:val="00C23D64"/>
    <w:rsid w:val="00C23F8D"/>
    <w:rsid w:val="00C23F98"/>
    <w:rsid w:val="00C23FC2"/>
    <w:rsid w:val="00C24097"/>
    <w:rsid w:val="00C2451F"/>
    <w:rsid w:val="00C24675"/>
    <w:rsid w:val="00C2479D"/>
    <w:rsid w:val="00C248AA"/>
    <w:rsid w:val="00C24B21"/>
    <w:rsid w:val="00C24C91"/>
    <w:rsid w:val="00C24EF8"/>
    <w:rsid w:val="00C2500E"/>
    <w:rsid w:val="00C250DA"/>
    <w:rsid w:val="00C25331"/>
    <w:rsid w:val="00C25584"/>
    <w:rsid w:val="00C25696"/>
    <w:rsid w:val="00C25772"/>
    <w:rsid w:val="00C2577F"/>
    <w:rsid w:val="00C25858"/>
    <w:rsid w:val="00C258DC"/>
    <w:rsid w:val="00C267FE"/>
    <w:rsid w:val="00C26827"/>
    <w:rsid w:val="00C2694E"/>
    <w:rsid w:val="00C26A84"/>
    <w:rsid w:val="00C26B6B"/>
    <w:rsid w:val="00C26C12"/>
    <w:rsid w:val="00C272DE"/>
    <w:rsid w:val="00C276F8"/>
    <w:rsid w:val="00C277B6"/>
    <w:rsid w:val="00C27933"/>
    <w:rsid w:val="00C30074"/>
    <w:rsid w:val="00C3009B"/>
    <w:rsid w:val="00C302FE"/>
    <w:rsid w:val="00C30675"/>
    <w:rsid w:val="00C3069C"/>
    <w:rsid w:val="00C306CA"/>
    <w:rsid w:val="00C30F83"/>
    <w:rsid w:val="00C31386"/>
    <w:rsid w:val="00C31791"/>
    <w:rsid w:val="00C31A76"/>
    <w:rsid w:val="00C31AF3"/>
    <w:rsid w:val="00C32018"/>
    <w:rsid w:val="00C3222A"/>
    <w:rsid w:val="00C32392"/>
    <w:rsid w:val="00C32624"/>
    <w:rsid w:val="00C3264A"/>
    <w:rsid w:val="00C32695"/>
    <w:rsid w:val="00C326B9"/>
    <w:rsid w:val="00C32937"/>
    <w:rsid w:val="00C32945"/>
    <w:rsid w:val="00C32CFB"/>
    <w:rsid w:val="00C32F1E"/>
    <w:rsid w:val="00C3303F"/>
    <w:rsid w:val="00C336C2"/>
    <w:rsid w:val="00C33817"/>
    <w:rsid w:val="00C33D91"/>
    <w:rsid w:val="00C33F13"/>
    <w:rsid w:val="00C33F1E"/>
    <w:rsid w:val="00C33F36"/>
    <w:rsid w:val="00C34264"/>
    <w:rsid w:val="00C34339"/>
    <w:rsid w:val="00C343A0"/>
    <w:rsid w:val="00C34443"/>
    <w:rsid w:val="00C34693"/>
    <w:rsid w:val="00C346FA"/>
    <w:rsid w:val="00C3485A"/>
    <w:rsid w:val="00C34A2B"/>
    <w:rsid w:val="00C34A69"/>
    <w:rsid w:val="00C34C86"/>
    <w:rsid w:val="00C352F6"/>
    <w:rsid w:val="00C3559E"/>
    <w:rsid w:val="00C357F9"/>
    <w:rsid w:val="00C35A4A"/>
    <w:rsid w:val="00C35EDA"/>
    <w:rsid w:val="00C35EFB"/>
    <w:rsid w:val="00C36129"/>
    <w:rsid w:val="00C36229"/>
    <w:rsid w:val="00C363CA"/>
    <w:rsid w:val="00C369C4"/>
    <w:rsid w:val="00C36A50"/>
    <w:rsid w:val="00C36B30"/>
    <w:rsid w:val="00C36DE2"/>
    <w:rsid w:val="00C3742F"/>
    <w:rsid w:val="00C37716"/>
    <w:rsid w:val="00C37C23"/>
    <w:rsid w:val="00C37CD8"/>
    <w:rsid w:val="00C37D0C"/>
    <w:rsid w:val="00C4007F"/>
    <w:rsid w:val="00C40230"/>
    <w:rsid w:val="00C404A5"/>
    <w:rsid w:val="00C40BD7"/>
    <w:rsid w:val="00C40DE7"/>
    <w:rsid w:val="00C40F3B"/>
    <w:rsid w:val="00C411B7"/>
    <w:rsid w:val="00C417DE"/>
    <w:rsid w:val="00C41840"/>
    <w:rsid w:val="00C41DD0"/>
    <w:rsid w:val="00C41F86"/>
    <w:rsid w:val="00C4289C"/>
    <w:rsid w:val="00C42994"/>
    <w:rsid w:val="00C42D5E"/>
    <w:rsid w:val="00C42F9B"/>
    <w:rsid w:val="00C4307D"/>
    <w:rsid w:val="00C430EC"/>
    <w:rsid w:val="00C435B9"/>
    <w:rsid w:val="00C43932"/>
    <w:rsid w:val="00C43A09"/>
    <w:rsid w:val="00C43AF6"/>
    <w:rsid w:val="00C43B79"/>
    <w:rsid w:val="00C43DF0"/>
    <w:rsid w:val="00C44056"/>
    <w:rsid w:val="00C444C2"/>
    <w:rsid w:val="00C44610"/>
    <w:rsid w:val="00C446C1"/>
    <w:rsid w:val="00C448D1"/>
    <w:rsid w:val="00C44A0D"/>
    <w:rsid w:val="00C44B80"/>
    <w:rsid w:val="00C44C0E"/>
    <w:rsid w:val="00C44F8E"/>
    <w:rsid w:val="00C452F2"/>
    <w:rsid w:val="00C454F0"/>
    <w:rsid w:val="00C45A0D"/>
    <w:rsid w:val="00C45BD5"/>
    <w:rsid w:val="00C45CD1"/>
    <w:rsid w:val="00C46293"/>
    <w:rsid w:val="00C465B3"/>
    <w:rsid w:val="00C4675A"/>
    <w:rsid w:val="00C46819"/>
    <w:rsid w:val="00C46F3E"/>
    <w:rsid w:val="00C47B71"/>
    <w:rsid w:val="00C47E45"/>
    <w:rsid w:val="00C47E90"/>
    <w:rsid w:val="00C50098"/>
    <w:rsid w:val="00C503E3"/>
    <w:rsid w:val="00C50CE6"/>
    <w:rsid w:val="00C51099"/>
    <w:rsid w:val="00C5109A"/>
    <w:rsid w:val="00C512EE"/>
    <w:rsid w:val="00C5198F"/>
    <w:rsid w:val="00C51BCD"/>
    <w:rsid w:val="00C5254D"/>
    <w:rsid w:val="00C526AC"/>
    <w:rsid w:val="00C5282F"/>
    <w:rsid w:val="00C52BD3"/>
    <w:rsid w:val="00C52DB8"/>
    <w:rsid w:val="00C52E47"/>
    <w:rsid w:val="00C52F86"/>
    <w:rsid w:val="00C53138"/>
    <w:rsid w:val="00C538E8"/>
    <w:rsid w:val="00C538FF"/>
    <w:rsid w:val="00C53D65"/>
    <w:rsid w:val="00C54202"/>
    <w:rsid w:val="00C543B5"/>
    <w:rsid w:val="00C5457D"/>
    <w:rsid w:val="00C547D9"/>
    <w:rsid w:val="00C5484F"/>
    <w:rsid w:val="00C54878"/>
    <w:rsid w:val="00C5491D"/>
    <w:rsid w:val="00C54BCA"/>
    <w:rsid w:val="00C54F21"/>
    <w:rsid w:val="00C55193"/>
    <w:rsid w:val="00C55812"/>
    <w:rsid w:val="00C55B27"/>
    <w:rsid w:val="00C56012"/>
    <w:rsid w:val="00C56247"/>
    <w:rsid w:val="00C565BD"/>
    <w:rsid w:val="00C56A90"/>
    <w:rsid w:val="00C571C7"/>
    <w:rsid w:val="00C5727B"/>
    <w:rsid w:val="00C5729D"/>
    <w:rsid w:val="00C57344"/>
    <w:rsid w:val="00C57CB8"/>
    <w:rsid w:val="00C57CB9"/>
    <w:rsid w:val="00C60031"/>
    <w:rsid w:val="00C60405"/>
    <w:rsid w:val="00C604E7"/>
    <w:rsid w:val="00C60B29"/>
    <w:rsid w:val="00C60BBA"/>
    <w:rsid w:val="00C60C5E"/>
    <w:rsid w:val="00C60E42"/>
    <w:rsid w:val="00C6131A"/>
    <w:rsid w:val="00C61585"/>
    <w:rsid w:val="00C616C8"/>
    <w:rsid w:val="00C617BC"/>
    <w:rsid w:val="00C61A60"/>
    <w:rsid w:val="00C61D5A"/>
    <w:rsid w:val="00C6272A"/>
    <w:rsid w:val="00C627A8"/>
    <w:rsid w:val="00C62845"/>
    <w:rsid w:val="00C62FDC"/>
    <w:rsid w:val="00C63158"/>
    <w:rsid w:val="00C6359B"/>
    <w:rsid w:val="00C637FA"/>
    <w:rsid w:val="00C63A01"/>
    <w:rsid w:val="00C63B19"/>
    <w:rsid w:val="00C6409F"/>
    <w:rsid w:val="00C64195"/>
    <w:rsid w:val="00C645C6"/>
    <w:rsid w:val="00C64F21"/>
    <w:rsid w:val="00C650FB"/>
    <w:rsid w:val="00C65178"/>
    <w:rsid w:val="00C65290"/>
    <w:rsid w:val="00C652F1"/>
    <w:rsid w:val="00C653FA"/>
    <w:rsid w:val="00C65512"/>
    <w:rsid w:val="00C65B04"/>
    <w:rsid w:val="00C65C32"/>
    <w:rsid w:val="00C668F4"/>
    <w:rsid w:val="00C669A2"/>
    <w:rsid w:val="00C66D06"/>
    <w:rsid w:val="00C67156"/>
    <w:rsid w:val="00C671C7"/>
    <w:rsid w:val="00C67665"/>
    <w:rsid w:val="00C67E86"/>
    <w:rsid w:val="00C67FAA"/>
    <w:rsid w:val="00C70D04"/>
    <w:rsid w:val="00C70EDC"/>
    <w:rsid w:val="00C7111B"/>
    <w:rsid w:val="00C71200"/>
    <w:rsid w:val="00C71A48"/>
    <w:rsid w:val="00C71ACE"/>
    <w:rsid w:val="00C722ED"/>
    <w:rsid w:val="00C7230B"/>
    <w:rsid w:val="00C7233A"/>
    <w:rsid w:val="00C72727"/>
    <w:rsid w:val="00C727ED"/>
    <w:rsid w:val="00C72D79"/>
    <w:rsid w:val="00C72FA8"/>
    <w:rsid w:val="00C73211"/>
    <w:rsid w:val="00C7331C"/>
    <w:rsid w:val="00C738CB"/>
    <w:rsid w:val="00C73A93"/>
    <w:rsid w:val="00C73E37"/>
    <w:rsid w:val="00C745BD"/>
    <w:rsid w:val="00C745FB"/>
    <w:rsid w:val="00C747FC"/>
    <w:rsid w:val="00C74B28"/>
    <w:rsid w:val="00C74BF0"/>
    <w:rsid w:val="00C74C1A"/>
    <w:rsid w:val="00C74F1D"/>
    <w:rsid w:val="00C752E3"/>
    <w:rsid w:val="00C761BB"/>
    <w:rsid w:val="00C763A0"/>
    <w:rsid w:val="00C76531"/>
    <w:rsid w:val="00C76BB6"/>
    <w:rsid w:val="00C771ED"/>
    <w:rsid w:val="00C773B0"/>
    <w:rsid w:val="00C77578"/>
    <w:rsid w:val="00C7758B"/>
    <w:rsid w:val="00C77B3B"/>
    <w:rsid w:val="00C77FA0"/>
    <w:rsid w:val="00C804C0"/>
    <w:rsid w:val="00C808E4"/>
    <w:rsid w:val="00C80C39"/>
    <w:rsid w:val="00C81096"/>
    <w:rsid w:val="00C812C3"/>
    <w:rsid w:val="00C81369"/>
    <w:rsid w:val="00C8138C"/>
    <w:rsid w:val="00C81539"/>
    <w:rsid w:val="00C81B99"/>
    <w:rsid w:val="00C81C17"/>
    <w:rsid w:val="00C81C85"/>
    <w:rsid w:val="00C81DDB"/>
    <w:rsid w:val="00C822BF"/>
    <w:rsid w:val="00C82753"/>
    <w:rsid w:val="00C82A2D"/>
    <w:rsid w:val="00C82BCC"/>
    <w:rsid w:val="00C83134"/>
    <w:rsid w:val="00C83197"/>
    <w:rsid w:val="00C83811"/>
    <w:rsid w:val="00C83B7D"/>
    <w:rsid w:val="00C83E5F"/>
    <w:rsid w:val="00C83F09"/>
    <w:rsid w:val="00C8406F"/>
    <w:rsid w:val="00C843D7"/>
    <w:rsid w:val="00C846D4"/>
    <w:rsid w:val="00C84A55"/>
    <w:rsid w:val="00C84B3A"/>
    <w:rsid w:val="00C84D2F"/>
    <w:rsid w:val="00C85D99"/>
    <w:rsid w:val="00C85F83"/>
    <w:rsid w:val="00C8666B"/>
    <w:rsid w:val="00C86703"/>
    <w:rsid w:val="00C86798"/>
    <w:rsid w:val="00C86F38"/>
    <w:rsid w:val="00C87198"/>
    <w:rsid w:val="00C872D6"/>
    <w:rsid w:val="00C87814"/>
    <w:rsid w:val="00C8794D"/>
    <w:rsid w:val="00C8797C"/>
    <w:rsid w:val="00C87A54"/>
    <w:rsid w:val="00C87C9C"/>
    <w:rsid w:val="00C87EA5"/>
    <w:rsid w:val="00C900F9"/>
    <w:rsid w:val="00C905FF"/>
    <w:rsid w:val="00C907CE"/>
    <w:rsid w:val="00C90A56"/>
    <w:rsid w:val="00C90C1B"/>
    <w:rsid w:val="00C915A8"/>
    <w:rsid w:val="00C91FA7"/>
    <w:rsid w:val="00C92137"/>
    <w:rsid w:val="00C92284"/>
    <w:rsid w:val="00C9233E"/>
    <w:rsid w:val="00C92740"/>
    <w:rsid w:val="00C9281C"/>
    <w:rsid w:val="00C92B3F"/>
    <w:rsid w:val="00C92E17"/>
    <w:rsid w:val="00C9321D"/>
    <w:rsid w:val="00C93C8A"/>
    <w:rsid w:val="00C93FB8"/>
    <w:rsid w:val="00C9413E"/>
    <w:rsid w:val="00C94230"/>
    <w:rsid w:val="00C94421"/>
    <w:rsid w:val="00C9445D"/>
    <w:rsid w:val="00C94EB3"/>
    <w:rsid w:val="00C95047"/>
    <w:rsid w:val="00C95204"/>
    <w:rsid w:val="00C954ED"/>
    <w:rsid w:val="00C955A9"/>
    <w:rsid w:val="00C9563F"/>
    <w:rsid w:val="00C95C9C"/>
    <w:rsid w:val="00C95DD6"/>
    <w:rsid w:val="00C960D5"/>
    <w:rsid w:val="00C96109"/>
    <w:rsid w:val="00C96445"/>
    <w:rsid w:val="00C96715"/>
    <w:rsid w:val="00C96A62"/>
    <w:rsid w:val="00C96B25"/>
    <w:rsid w:val="00C96EF3"/>
    <w:rsid w:val="00C96F93"/>
    <w:rsid w:val="00C96FF4"/>
    <w:rsid w:val="00C97072"/>
    <w:rsid w:val="00C973A7"/>
    <w:rsid w:val="00C9760B"/>
    <w:rsid w:val="00C97620"/>
    <w:rsid w:val="00C97893"/>
    <w:rsid w:val="00C97A3C"/>
    <w:rsid w:val="00C97E77"/>
    <w:rsid w:val="00C97F10"/>
    <w:rsid w:val="00CA0031"/>
    <w:rsid w:val="00CA0064"/>
    <w:rsid w:val="00CA086E"/>
    <w:rsid w:val="00CA08EB"/>
    <w:rsid w:val="00CA0E1C"/>
    <w:rsid w:val="00CA0EC6"/>
    <w:rsid w:val="00CA1855"/>
    <w:rsid w:val="00CA1A06"/>
    <w:rsid w:val="00CA1D66"/>
    <w:rsid w:val="00CA20CD"/>
    <w:rsid w:val="00CA2564"/>
    <w:rsid w:val="00CA2825"/>
    <w:rsid w:val="00CA2902"/>
    <w:rsid w:val="00CA2D43"/>
    <w:rsid w:val="00CA2F2B"/>
    <w:rsid w:val="00CA2FFC"/>
    <w:rsid w:val="00CA3163"/>
    <w:rsid w:val="00CA355A"/>
    <w:rsid w:val="00CA380B"/>
    <w:rsid w:val="00CA3B15"/>
    <w:rsid w:val="00CA3C7B"/>
    <w:rsid w:val="00CA3E2A"/>
    <w:rsid w:val="00CA40D7"/>
    <w:rsid w:val="00CA4389"/>
    <w:rsid w:val="00CA4798"/>
    <w:rsid w:val="00CA48B2"/>
    <w:rsid w:val="00CA48BC"/>
    <w:rsid w:val="00CA4A4B"/>
    <w:rsid w:val="00CA4B5F"/>
    <w:rsid w:val="00CA4C81"/>
    <w:rsid w:val="00CA4E1B"/>
    <w:rsid w:val="00CA4EFE"/>
    <w:rsid w:val="00CA511B"/>
    <w:rsid w:val="00CA5245"/>
    <w:rsid w:val="00CA5258"/>
    <w:rsid w:val="00CA53BF"/>
    <w:rsid w:val="00CA546C"/>
    <w:rsid w:val="00CA5549"/>
    <w:rsid w:val="00CA5D03"/>
    <w:rsid w:val="00CA5DA4"/>
    <w:rsid w:val="00CA63E1"/>
    <w:rsid w:val="00CA692C"/>
    <w:rsid w:val="00CA696E"/>
    <w:rsid w:val="00CA6A8E"/>
    <w:rsid w:val="00CA6AD4"/>
    <w:rsid w:val="00CA6CAE"/>
    <w:rsid w:val="00CA6FAB"/>
    <w:rsid w:val="00CA7616"/>
    <w:rsid w:val="00CA78E5"/>
    <w:rsid w:val="00CA7B57"/>
    <w:rsid w:val="00CA7BB3"/>
    <w:rsid w:val="00CA7D27"/>
    <w:rsid w:val="00CA7D93"/>
    <w:rsid w:val="00CA7F85"/>
    <w:rsid w:val="00CB014A"/>
    <w:rsid w:val="00CB0515"/>
    <w:rsid w:val="00CB0733"/>
    <w:rsid w:val="00CB0C0E"/>
    <w:rsid w:val="00CB0C98"/>
    <w:rsid w:val="00CB0E76"/>
    <w:rsid w:val="00CB1104"/>
    <w:rsid w:val="00CB1311"/>
    <w:rsid w:val="00CB1375"/>
    <w:rsid w:val="00CB140E"/>
    <w:rsid w:val="00CB1A84"/>
    <w:rsid w:val="00CB1A93"/>
    <w:rsid w:val="00CB1C2E"/>
    <w:rsid w:val="00CB1D1F"/>
    <w:rsid w:val="00CB2906"/>
    <w:rsid w:val="00CB297B"/>
    <w:rsid w:val="00CB2B51"/>
    <w:rsid w:val="00CB326D"/>
    <w:rsid w:val="00CB34B9"/>
    <w:rsid w:val="00CB35EC"/>
    <w:rsid w:val="00CB36B4"/>
    <w:rsid w:val="00CB398B"/>
    <w:rsid w:val="00CB3B2E"/>
    <w:rsid w:val="00CB416F"/>
    <w:rsid w:val="00CB4334"/>
    <w:rsid w:val="00CB4930"/>
    <w:rsid w:val="00CB4ACD"/>
    <w:rsid w:val="00CB4B00"/>
    <w:rsid w:val="00CB5309"/>
    <w:rsid w:val="00CB54A7"/>
    <w:rsid w:val="00CB553E"/>
    <w:rsid w:val="00CB579A"/>
    <w:rsid w:val="00CB5923"/>
    <w:rsid w:val="00CB5F26"/>
    <w:rsid w:val="00CB60AA"/>
    <w:rsid w:val="00CB60BD"/>
    <w:rsid w:val="00CB612B"/>
    <w:rsid w:val="00CB61B7"/>
    <w:rsid w:val="00CB63E1"/>
    <w:rsid w:val="00CB652E"/>
    <w:rsid w:val="00CB65C3"/>
    <w:rsid w:val="00CB687F"/>
    <w:rsid w:val="00CB6B2B"/>
    <w:rsid w:val="00CB6CD8"/>
    <w:rsid w:val="00CB6E00"/>
    <w:rsid w:val="00CB7716"/>
    <w:rsid w:val="00CB7889"/>
    <w:rsid w:val="00CB7907"/>
    <w:rsid w:val="00CB7C69"/>
    <w:rsid w:val="00CB7EB0"/>
    <w:rsid w:val="00CB7F08"/>
    <w:rsid w:val="00CC0587"/>
    <w:rsid w:val="00CC092E"/>
    <w:rsid w:val="00CC09EB"/>
    <w:rsid w:val="00CC0A5B"/>
    <w:rsid w:val="00CC0B6A"/>
    <w:rsid w:val="00CC0B86"/>
    <w:rsid w:val="00CC0F99"/>
    <w:rsid w:val="00CC1265"/>
    <w:rsid w:val="00CC1484"/>
    <w:rsid w:val="00CC169E"/>
    <w:rsid w:val="00CC18B0"/>
    <w:rsid w:val="00CC1D29"/>
    <w:rsid w:val="00CC21AD"/>
    <w:rsid w:val="00CC228D"/>
    <w:rsid w:val="00CC25C9"/>
    <w:rsid w:val="00CC2800"/>
    <w:rsid w:val="00CC2834"/>
    <w:rsid w:val="00CC2BA9"/>
    <w:rsid w:val="00CC2C93"/>
    <w:rsid w:val="00CC2F67"/>
    <w:rsid w:val="00CC309B"/>
    <w:rsid w:val="00CC30E3"/>
    <w:rsid w:val="00CC3291"/>
    <w:rsid w:val="00CC3637"/>
    <w:rsid w:val="00CC3ADF"/>
    <w:rsid w:val="00CC3B3F"/>
    <w:rsid w:val="00CC3B4D"/>
    <w:rsid w:val="00CC3C14"/>
    <w:rsid w:val="00CC3E27"/>
    <w:rsid w:val="00CC3FB5"/>
    <w:rsid w:val="00CC4215"/>
    <w:rsid w:val="00CC426C"/>
    <w:rsid w:val="00CC43D9"/>
    <w:rsid w:val="00CC47CC"/>
    <w:rsid w:val="00CC47DA"/>
    <w:rsid w:val="00CC4830"/>
    <w:rsid w:val="00CC4978"/>
    <w:rsid w:val="00CC49CA"/>
    <w:rsid w:val="00CC4C79"/>
    <w:rsid w:val="00CC4CAD"/>
    <w:rsid w:val="00CC4D29"/>
    <w:rsid w:val="00CC4EF5"/>
    <w:rsid w:val="00CC4FDE"/>
    <w:rsid w:val="00CC51E7"/>
    <w:rsid w:val="00CC5326"/>
    <w:rsid w:val="00CC5371"/>
    <w:rsid w:val="00CC542F"/>
    <w:rsid w:val="00CC55F0"/>
    <w:rsid w:val="00CC574E"/>
    <w:rsid w:val="00CC5C30"/>
    <w:rsid w:val="00CC604E"/>
    <w:rsid w:val="00CC6835"/>
    <w:rsid w:val="00CC6B49"/>
    <w:rsid w:val="00CC6E16"/>
    <w:rsid w:val="00CC6E41"/>
    <w:rsid w:val="00CC71FE"/>
    <w:rsid w:val="00CC73DB"/>
    <w:rsid w:val="00CC75EE"/>
    <w:rsid w:val="00CC7839"/>
    <w:rsid w:val="00CD00B3"/>
    <w:rsid w:val="00CD0386"/>
    <w:rsid w:val="00CD0546"/>
    <w:rsid w:val="00CD05B6"/>
    <w:rsid w:val="00CD074E"/>
    <w:rsid w:val="00CD0B78"/>
    <w:rsid w:val="00CD0C63"/>
    <w:rsid w:val="00CD0C77"/>
    <w:rsid w:val="00CD0DCB"/>
    <w:rsid w:val="00CD0E89"/>
    <w:rsid w:val="00CD1251"/>
    <w:rsid w:val="00CD12CB"/>
    <w:rsid w:val="00CD165C"/>
    <w:rsid w:val="00CD1660"/>
    <w:rsid w:val="00CD1755"/>
    <w:rsid w:val="00CD17E6"/>
    <w:rsid w:val="00CD2327"/>
    <w:rsid w:val="00CD25AA"/>
    <w:rsid w:val="00CD26D1"/>
    <w:rsid w:val="00CD2F6A"/>
    <w:rsid w:val="00CD32E0"/>
    <w:rsid w:val="00CD33B8"/>
    <w:rsid w:val="00CD348C"/>
    <w:rsid w:val="00CD3B3C"/>
    <w:rsid w:val="00CD4251"/>
    <w:rsid w:val="00CD4350"/>
    <w:rsid w:val="00CD4543"/>
    <w:rsid w:val="00CD4723"/>
    <w:rsid w:val="00CD494E"/>
    <w:rsid w:val="00CD4AFD"/>
    <w:rsid w:val="00CD4B4F"/>
    <w:rsid w:val="00CD4C0A"/>
    <w:rsid w:val="00CD5135"/>
    <w:rsid w:val="00CD5376"/>
    <w:rsid w:val="00CD5378"/>
    <w:rsid w:val="00CD5422"/>
    <w:rsid w:val="00CD57D1"/>
    <w:rsid w:val="00CD5A4B"/>
    <w:rsid w:val="00CD5C92"/>
    <w:rsid w:val="00CD5EDE"/>
    <w:rsid w:val="00CD6029"/>
    <w:rsid w:val="00CD67E0"/>
    <w:rsid w:val="00CD693F"/>
    <w:rsid w:val="00CD69A3"/>
    <w:rsid w:val="00CD6A5F"/>
    <w:rsid w:val="00CD6AD2"/>
    <w:rsid w:val="00CD6BC7"/>
    <w:rsid w:val="00CD6E46"/>
    <w:rsid w:val="00CD6FDF"/>
    <w:rsid w:val="00CD70C4"/>
    <w:rsid w:val="00CD7316"/>
    <w:rsid w:val="00CD755C"/>
    <w:rsid w:val="00CD7580"/>
    <w:rsid w:val="00CD771F"/>
    <w:rsid w:val="00CD7CF2"/>
    <w:rsid w:val="00CD7FA2"/>
    <w:rsid w:val="00CD7FBA"/>
    <w:rsid w:val="00CE000E"/>
    <w:rsid w:val="00CE0487"/>
    <w:rsid w:val="00CE07C5"/>
    <w:rsid w:val="00CE08AA"/>
    <w:rsid w:val="00CE0D2C"/>
    <w:rsid w:val="00CE0D76"/>
    <w:rsid w:val="00CE0DAF"/>
    <w:rsid w:val="00CE0DC8"/>
    <w:rsid w:val="00CE0FBC"/>
    <w:rsid w:val="00CE1093"/>
    <w:rsid w:val="00CE13FB"/>
    <w:rsid w:val="00CE145C"/>
    <w:rsid w:val="00CE214B"/>
    <w:rsid w:val="00CE2358"/>
    <w:rsid w:val="00CE246E"/>
    <w:rsid w:val="00CE267C"/>
    <w:rsid w:val="00CE29A3"/>
    <w:rsid w:val="00CE398D"/>
    <w:rsid w:val="00CE39CA"/>
    <w:rsid w:val="00CE3CF5"/>
    <w:rsid w:val="00CE3D40"/>
    <w:rsid w:val="00CE3DBB"/>
    <w:rsid w:val="00CE3EC5"/>
    <w:rsid w:val="00CE3ECE"/>
    <w:rsid w:val="00CE41D2"/>
    <w:rsid w:val="00CE42A9"/>
    <w:rsid w:val="00CE482B"/>
    <w:rsid w:val="00CE4980"/>
    <w:rsid w:val="00CE4D1A"/>
    <w:rsid w:val="00CE5490"/>
    <w:rsid w:val="00CE55D4"/>
    <w:rsid w:val="00CE59BA"/>
    <w:rsid w:val="00CE5A9E"/>
    <w:rsid w:val="00CE69CE"/>
    <w:rsid w:val="00CE6A76"/>
    <w:rsid w:val="00CE6CA8"/>
    <w:rsid w:val="00CE6CFB"/>
    <w:rsid w:val="00CE6F48"/>
    <w:rsid w:val="00CE70D1"/>
    <w:rsid w:val="00CE70EB"/>
    <w:rsid w:val="00CE718D"/>
    <w:rsid w:val="00CE71C3"/>
    <w:rsid w:val="00CE7B88"/>
    <w:rsid w:val="00CE7C3B"/>
    <w:rsid w:val="00CE7E90"/>
    <w:rsid w:val="00CF047E"/>
    <w:rsid w:val="00CF0592"/>
    <w:rsid w:val="00CF05D8"/>
    <w:rsid w:val="00CF07E3"/>
    <w:rsid w:val="00CF0C82"/>
    <w:rsid w:val="00CF0FEC"/>
    <w:rsid w:val="00CF14CE"/>
    <w:rsid w:val="00CF15A8"/>
    <w:rsid w:val="00CF1DFA"/>
    <w:rsid w:val="00CF1EB9"/>
    <w:rsid w:val="00CF1ED5"/>
    <w:rsid w:val="00CF1EDB"/>
    <w:rsid w:val="00CF2160"/>
    <w:rsid w:val="00CF2229"/>
    <w:rsid w:val="00CF223F"/>
    <w:rsid w:val="00CF23EF"/>
    <w:rsid w:val="00CF2502"/>
    <w:rsid w:val="00CF334F"/>
    <w:rsid w:val="00CF352A"/>
    <w:rsid w:val="00CF355C"/>
    <w:rsid w:val="00CF39FA"/>
    <w:rsid w:val="00CF3F97"/>
    <w:rsid w:val="00CF45E7"/>
    <w:rsid w:val="00CF49E6"/>
    <w:rsid w:val="00CF4A97"/>
    <w:rsid w:val="00CF4B8F"/>
    <w:rsid w:val="00CF4BF7"/>
    <w:rsid w:val="00CF525E"/>
    <w:rsid w:val="00CF5403"/>
    <w:rsid w:val="00CF592A"/>
    <w:rsid w:val="00CF5941"/>
    <w:rsid w:val="00CF5D88"/>
    <w:rsid w:val="00CF5FDC"/>
    <w:rsid w:val="00CF627D"/>
    <w:rsid w:val="00CF6459"/>
    <w:rsid w:val="00CF6B3E"/>
    <w:rsid w:val="00CF6C5B"/>
    <w:rsid w:val="00CF6F1C"/>
    <w:rsid w:val="00CF7111"/>
    <w:rsid w:val="00CF7271"/>
    <w:rsid w:val="00CF72D7"/>
    <w:rsid w:val="00CF7516"/>
    <w:rsid w:val="00CF7789"/>
    <w:rsid w:val="00CF7893"/>
    <w:rsid w:val="00CF78E5"/>
    <w:rsid w:val="00CF7B2C"/>
    <w:rsid w:val="00CF7FDD"/>
    <w:rsid w:val="00D00154"/>
    <w:rsid w:val="00D001F9"/>
    <w:rsid w:val="00D00A58"/>
    <w:rsid w:val="00D00AC9"/>
    <w:rsid w:val="00D00AEA"/>
    <w:rsid w:val="00D00CE4"/>
    <w:rsid w:val="00D00F5D"/>
    <w:rsid w:val="00D00FEE"/>
    <w:rsid w:val="00D01386"/>
    <w:rsid w:val="00D019AB"/>
    <w:rsid w:val="00D01D18"/>
    <w:rsid w:val="00D01D4B"/>
    <w:rsid w:val="00D01F91"/>
    <w:rsid w:val="00D0221C"/>
    <w:rsid w:val="00D022E4"/>
    <w:rsid w:val="00D02648"/>
    <w:rsid w:val="00D02655"/>
    <w:rsid w:val="00D029CB"/>
    <w:rsid w:val="00D02A56"/>
    <w:rsid w:val="00D02F1A"/>
    <w:rsid w:val="00D0308E"/>
    <w:rsid w:val="00D03163"/>
    <w:rsid w:val="00D0349E"/>
    <w:rsid w:val="00D0356C"/>
    <w:rsid w:val="00D03E3F"/>
    <w:rsid w:val="00D04110"/>
    <w:rsid w:val="00D0425B"/>
    <w:rsid w:val="00D046A5"/>
    <w:rsid w:val="00D04727"/>
    <w:rsid w:val="00D04BF2"/>
    <w:rsid w:val="00D04DDB"/>
    <w:rsid w:val="00D04FDD"/>
    <w:rsid w:val="00D05637"/>
    <w:rsid w:val="00D0570A"/>
    <w:rsid w:val="00D0586D"/>
    <w:rsid w:val="00D058C7"/>
    <w:rsid w:val="00D05F37"/>
    <w:rsid w:val="00D05FCB"/>
    <w:rsid w:val="00D062C4"/>
    <w:rsid w:val="00D06B83"/>
    <w:rsid w:val="00D06B95"/>
    <w:rsid w:val="00D06CA7"/>
    <w:rsid w:val="00D06DE3"/>
    <w:rsid w:val="00D0771E"/>
    <w:rsid w:val="00D07AB0"/>
    <w:rsid w:val="00D107C1"/>
    <w:rsid w:val="00D10C25"/>
    <w:rsid w:val="00D10E82"/>
    <w:rsid w:val="00D11BC1"/>
    <w:rsid w:val="00D11C23"/>
    <w:rsid w:val="00D11E5A"/>
    <w:rsid w:val="00D1209E"/>
    <w:rsid w:val="00D12616"/>
    <w:rsid w:val="00D12D7C"/>
    <w:rsid w:val="00D12DC7"/>
    <w:rsid w:val="00D12E1D"/>
    <w:rsid w:val="00D12EB9"/>
    <w:rsid w:val="00D1301C"/>
    <w:rsid w:val="00D1344B"/>
    <w:rsid w:val="00D136F7"/>
    <w:rsid w:val="00D13C0A"/>
    <w:rsid w:val="00D1447F"/>
    <w:rsid w:val="00D14614"/>
    <w:rsid w:val="00D1474B"/>
    <w:rsid w:val="00D147BA"/>
    <w:rsid w:val="00D14881"/>
    <w:rsid w:val="00D148FA"/>
    <w:rsid w:val="00D149CC"/>
    <w:rsid w:val="00D14A54"/>
    <w:rsid w:val="00D14E93"/>
    <w:rsid w:val="00D15184"/>
    <w:rsid w:val="00D151C7"/>
    <w:rsid w:val="00D15209"/>
    <w:rsid w:val="00D157AB"/>
    <w:rsid w:val="00D157DF"/>
    <w:rsid w:val="00D158F0"/>
    <w:rsid w:val="00D15AE5"/>
    <w:rsid w:val="00D15BED"/>
    <w:rsid w:val="00D15C92"/>
    <w:rsid w:val="00D16013"/>
    <w:rsid w:val="00D1663F"/>
    <w:rsid w:val="00D16B13"/>
    <w:rsid w:val="00D16D3E"/>
    <w:rsid w:val="00D16ED9"/>
    <w:rsid w:val="00D16FFA"/>
    <w:rsid w:val="00D175DB"/>
    <w:rsid w:val="00D17654"/>
    <w:rsid w:val="00D17B66"/>
    <w:rsid w:val="00D17C95"/>
    <w:rsid w:val="00D17D18"/>
    <w:rsid w:val="00D20014"/>
    <w:rsid w:val="00D20169"/>
    <w:rsid w:val="00D20439"/>
    <w:rsid w:val="00D20466"/>
    <w:rsid w:val="00D20671"/>
    <w:rsid w:val="00D20875"/>
    <w:rsid w:val="00D209CD"/>
    <w:rsid w:val="00D20AED"/>
    <w:rsid w:val="00D20F0A"/>
    <w:rsid w:val="00D210DF"/>
    <w:rsid w:val="00D21377"/>
    <w:rsid w:val="00D2139D"/>
    <w:rsid w:val="00D214AB"/>
    <w:rsid w:val="00D2157B"/>
    <w:rsid w:val="00D21734"/>
    <w:rsid w:val="00D21A11"/>
    <w:rsid w:val="00D21E76"/>
    <w:rsid w:val="00D21F8A"/>
    <w:rsid w:val="00D2203C"/>
    <w:rsid w:val="00D220EF"/>
    <w:rsid w:val="00D222DD"/>
    <w:rsid w:val="00D22329"/>
    <w:rsid w:val="00D223A5"/>
    <w:rsid w:val="00D223AA"/>
    <w:rsid w:val="00D2245B"/>
    <w:rsid w:val="00D2252E"/>
    <w:rsid w:val="00D225BC"/>
    <w:rsid w:val="00D226B2"/>
    <w:rsid w:val="00D22746"/>
    <w:rsid w:val="00D22AAC"/>
    <w:rsid w:val="00D22D1E"/>
    <w:rsid w:val="00D2342F"/>
    <w:rsid w:val="00D23598"/>
    <w:rsid w:val="00D23657"/>
    <w:rsid w:val="00D23FB1"/>
    <w:rsid w:val="00D23FB9"/>
    <w:rsid w:val="00D24040"/>
    <w:rsid w:val="00D241CF"/>
    <w:rsid w:val="00D24A3B"/>
    <w:rsid w:val="00D24D29"/>
    <w:rsid w:val="00D24FCC"/>
    <w:rsid w:val="00D25278"/>
    <w:rsid w:val="00D253FE"/>
    <w:rsid w:val="00D2562A"/>
    <w:rsid w:val="00D2574C"/>
    <w:rsid w:val="00D25D51"/>
    <w:rsid w:val="00D25FAE"/>
    <w:rsid w:val="00D2636B"/>
    <w:rsid w:val="00D2637E"/>
    <w:rsid w:val="00D26773"/>
    <w:rsid w:val="00D2677E"/>
    <w:rsid w:val="00D267A9"/>
    <w:rsid w:val="00D26A0C"/>
    <w:rsid w:val="00D26D1B"/>
    <w:rsid w:val="00D270D4"/>
    <w:rsid w:val="00D27532"/>
    <w:rsid w:val="00D30007"/>
    <w:rsid w:val="00D30382"/>
    <w:rsid w:val="00D30531"/>
    <w:rsid w:val="00D30640"/>
    <w:rsid w:val="00D307A6"/>
    <w:rsid w:val="00D3097A"/>
    <w:rsid w:val="00D30B17"/>
    <w:rsid w:val="00D30BEC"/>
    <w:rsid w:val="00D3149A"/>
    <w:rsid w:val="00D32366"/>
    <w:rsid w:val="00D328C6"/>
    <w:rsid w:val="00D3313F"/>
    <w:rsid w:val="00D3314A"/>
    <w:rsid w:val="00D33269"/>
    <w:rsid w:val="00D3326E"/>
    <w:rsid w:val="00D334A5"/>
    <w:rsid w:val="00D337C2"/>
    <w:rsid w:val="00D339EE"/>
    <w:rsid w:val="00D33C8E"/>
    <w:rsid w:val="00D33CA7"/>
    <w:rsid w:val="00D33D29"/>
    <w:rsid w:val="00D33EE0"/>
    <w:rsid w:val="00D33F93"/>
    <w:rsid w:val="00D340EA"/>
    <w:rsid w:val="00D3475B"/>
    <w:rsid w:val="00D348E7"/>
    <w:rsid w:val="00D35011"/>
    <w:rsid w:val="00D35346"/>
    <w:rsid w:val="00D35544"/>
    <w:rsid w:val="00D35560"/>
    <w:rsid w:val="00D35968"/>
    <w:rsid w:val="00D35D66"/>
    <w:rsid w:val="00D35FA1"/>
    <w:rsid w:val="00D361D8"/>
    <w:rsid w:val="00D362B8"/>
    <w:rsid w:val="00D36300"/>
    <w:rsid w:val="00D36393"/>
    <w:rsid w:val="00D36447"/>
    <w:rsid w:val="00D36448"/>
    <w:rsid w:val="00D365A1"/>
    <w:rsid w:val="00D3692B"/>
    <w:rsid w:val="00D36988"/>
    <w:rsid w:val="00D36BCE"/>
    <w:rsid w:val="00D36EA2"/>
    <w:rsid w:val="00D37080"/>
    <w:rsid w:val="00D370FE"/>
    <w:rsid w:val="00D379C0"/>
    <w:rsid w:val="00D400AF"/>
    <w:rsid w:val="00D40C79"/>
    <w:rsid w:val="00D40D56"/>
    <w:rsid w:val="00D40E9F"/>
    <w:rsid w:val="00D41316"/>
    <w:rsid w:val="00D41635"/>
    <w:rsid w:val="00D416BC"/>
    <w:rsid w:val="00D41709"/>
    <w:rsid w:val="00D41816"/>
    <w:rsid w:val="00D41837"/>
    <w:rsid w:val="00D4195B"/>
    <w:rsid w:val="00D41BA4"/>
    <w:rsid w:val="00D41C21"/>
    <w:rsid w:val="00D42319"/>
    <w:rsid w:val="00D42595"/>
    <w:rsid w:val="00D42736"/>
    <w:rsid w:val="00D42781"/>
    <w:rsid w:val="00D42BF6"/>
    <w:rsid w:val="00D42C45"/>
    <w:rsid w:val="00D42CE6"/>
    <w:rsid w:val="00D42F92"/>
    <w:rsid w:val="00D42FC0"/>
    <w:rsid w:val="00D43207"/>
    <w:rsid w:val="00D434D6"/>
    <w:rsid w:val="00D4367D"/>
    <w:rsid w:val="00D4388C"/>
    <w:rsid w:val="00D43B5E"/>
    <w:rsid w:val="00D43BB9"/>
    <w:rsid w:val="00D43FE1"/>
    <w:rsid w:val="00D4401E"/>
    <w:rsid w:val="00D44761"/>
    <w:rsid w:val="00D44896"/>
    <w:rsid w:val="00D4489E"/>
    <w:rsid w:val="00D44C56"/>
    <w:rsid w:val="00D44D7E"/>
    <w:rsid w:val="00D44ED0"/>
    <w:rsid w:val="00D45129"/>
    <w:rsid w:val="00D45335"/>
    <w:rsid w:val="00D45919"/>
    <w:rsid w:val="00D45B2E"/>
    <w:rsid w:val="00D45C7F"/>
    <w:rsid w:val="00D45F7B"/>
    <w:rsid w:val="00D45FE3"/>
    <w:rsid w:val="00D4619F"/>
    <w:rsid w:val="00D463E6"/>
    <w:rsid w:val="00D46485"/>
    <w:rsid w:val="00D4675E"/>
    <w:rsid w:val="00D46B4F"/>
    <w:rsid w:val="00D46DE5"/>
    <w:rsid w:val="00D471AC"/>
    <w:rsid w:val="00D47747"/>
    <w:rsid w:val="00D47884"/>
    <w:rsid w:val="00D47B38"/>
    <w:rsid w:val="00D47D4C"/>
    <w:rsid w:val="00D47EFC"/>
    <w:rsid w:val="00D501E9"/>
    <w:rsid w:val="00D50210"/>
    <w:rsid w:val="00D5029B"/>
    <w:rsid w:val="00D5048F"/>
    <w:rsid w:val="00D5096A"/>
    <w:rsid w:val="00D50C96"/>
    <w:rsid w:val="00D50F4C"/>
    <w:rsid w:val="00D51A4E"/>
    <w:rsid w:val="00D51AC9"/>
    <w:rsid w:val="00D51ADF"/>
    <w:rsid w:val="00D51C0F"/>
    <w:rsid w:val="00D52311"/>
    <w:rsid w:val="00D5255B"/>
    <w:rsid w:val="00D528E0"/>
    <w:rsid w:val="00D52ADC"/>
    <w:rsid w:val="00D52D71"/>
    <w:rsid w:val="00D53059"/>
    <w:rsid w:val="00D53389"/>
    <w:rsid w:val="00D534B3"/>
    <w:rsid w:val="00D5368E"/>
    <w:rsid w:val="00D53731"/>
    <w:rsid w:val="00D53ACE"/>
    <w:rsid w:val="00D53B74"/>
    <w:rsid w:val="00D53F9A"/>
    <w:rsid w:val="00D53FE0"/>
    <w:rsid w:val="00D5425A"/>
    <w:rsid w:val="00D54388"/>
    <w:rsid w:val="00D543DB"/>
    <w:rsid w:val="00D54943"/>
    <w:rsid w:val="00D5497D"/>
    <w:rsid w:val="00D54C2E"/>
    <w:rsid w:val="00D54C86"/>
    <w:rsid w:val="00D54EC4"/>
    <w:rsid w:val="00D54F54"/>
    <w:rsid w:val="00D550BF"/>
    <w:rsid w:val="00D55563"/>
    <w:rsid w:val="00D556B5"/>
    <w:rsid w:val="00D55C80"/>
    <w:rsid w:val="00D55E9B"/>
    <w:rsid w:val="00D565D3"/>
    <w:rsid w:val="00D569FE"/>
    <w:rsid w:val="00D56B3F"/>
    <w:rsid w:val="00D57134"/>
    <w:rsid w:val="00D5713B"/>
    <w:rsid w:val="00D57492"/>
    <w:rsid w:val="00D576AE"/>
    <w:rsid w:val="00D57EE6"/>
    <w:rsid w:val="00D602F9"/>
    <w:rsid w:val="00D60448"/>
    <w:rsid w:val="00D6078C"/>
    <w:rsid w:val="00D609CB"/>
    <w:rsid w:val="00D60AA7"/>
    <w:rsid w:val="00D60BE2"/>
    <w:rsid w:val="00D60C9F"/>
    <w:rsid w:val="00D60F39"/>
    <w:rsid w:val="00D61227"/>
    <w:rsid w:val="00D614DC"/>
    <w:rsid w:val="00D61716"/>
    <w:rsid w:val="00D61C72"/>
    <w:rsid w:val="00D622C9"/>
    <w:rsid w:val="00D62330"/>
    <w:rsid w:val="00D6244C"/>
    <w:rsid w:val="00D62472"/>
    <w:rsid w:val="00D62579"/>
    <w:rsid w:val="00D62ACB"/>
    <w:rsid w:val="00D62DC9"/>
    <w:rsid w:val="00D63746"/>
    <w:rsid w:val="00D6381F"/>
    <w:rsid w:val="00D6391A"/>
    <w:rsid w:val="00D639BC"/>
    <w:rsid w:val="00D63AD4"/>
    <w:rsid w:val="00D63CCC"/>
    <w:rsid w:val="00D63CFE"/>
    <w:rsid w:val="00D642F2"/>
    <w:rsid w:val="00D64760"/>
    <w:rsid w:val="00D649AE"/>
    <w:rsid w:val="00D64BB2"/>
    <w:rsid w:val="00D64ECA"/>
    <w:rsid w:val="00D651D2"/>
    <w:rsid w:val="00D654EB"/>
    <w:rsid w:val="00D65A2B"/>
    <w:rsid w:val="00D662D1"/>
    <w:rsid w:val="00D66977"/>
    <w:rsid w:val="00D66D48"/>
    <w:rsid w:val="00D66DEF"/>
    <w:rsid w:val="00D67088"/>
    <w:rsid w:val="00D676A4"/>
    <w:rsid w:val="00D678CE"/>
    <w:rsid w:val="00D70221"/>
    <w:rsid w:val="00D7039E"/>
    <w:rsid w:val="00D70617"/>
    <w:rsid w:val="00D70706"/>
    <w:rsid w:val="00D708C9"/>
    <w:rsid w:val="00D70F3A"/>
    <w:rsid w:val="00D7136E"/>
    <w:rsid w:val="00D71C08"/>
    <w:rsid w:val="00D722E5"/>
    <w:rsid w:val="00D7260A"/>
    <w:rsid w:val="00D72B8B"/>
    <w:rsid w:val="00D72C79"/>
    <w:rsid w:val="00D72CE7"/>
    <w:rsid w:val="00D7310C"/>
    <w:rsid w:val="00D73E65"/>
    <w:rsid w:val="00D7418E"/>
    <w:rsid w:val="00D7459D"/>
    <w:rsid w:val="00D74785"/>
    <w:rsid w:val="00D747D7"/>
    <w:rsid w:val="00D74C79"/>
    <w:rsid w:val="00D750D8"/>
    <w:rsid w:val="00D752D3"/>
    <w:rsid w:val="00D7535D"/>
    <w:rsid w:val="00D756A9"/>
    <w:rsid w:val="00D75749"/>
    <w:rsid w:val="00D758D3"/>
    <w:rsid w:val="00D75ADC"/>
    <w:rsid w:val="00D7611F"/>
    <w:rsid w:val="00D761DC"/>
    <w:rsid w:val="00D76639"/>
    <w:rsid w:val="00D76C20"/>
    <w:rsid w:val="00D76E3E"/>
    <w:rsid w:val="00D76E73"/>
    <w:rsid w:val="00D77BC1"/>
    <w:rsid w:val="00D77D49"/>
    <w:rsid w:val="00D77EA6"/>
    <w:rsid w:val="00D77ED0"/>
    <w:rsid w:val="00D80098"/>
    <w:rsid w:val="00D801A3"/>
    <w:rsid w:val="00D80504"/>
    <w:rsid w:val="00D8093D"/>
    <w:rsid w:val="00D81084"/>
    <w:rsid w:val="00D8138B"/>
    <w:rsid w:val="00D818BB"/>
    <w:rsid w:val="00D81AA6"/>
    <w:rsid w:val="00D81B9A"/>
    <w:rsid w:val="00D81BD0"/>
    <w:rsid w:val="00D81D2F"/>
    <w:rsid w:val="00D81E5C"/>
    <w:rsid w:val="00D82072"/>
    <w:rsid w:val="00D82236"/>
    <w:rsid w:val="00D82319"/>
    <w:rsid w:val="00D8253C"/>
    <w:rsid w:val="00D82BDA"/>
    <w:rsid w:val="00D82F6C"/>
    <w:rsid w:val="00D83460"/>
    <w:rsid w:val="00D83534"/>
    <w:rsid w:val="00D83903"/>
    <w:rsid w:val="00D839BF"/>
    <w:rsid w:val="00D83B28"/>
    <w:rsid w:val="00D83B93"/>
    <w:rsid w:val="00D83F55"/>
    <w:rsid w:val="00D83FEB"/>
    <w:rsid w:val="00D842FA"/>
    <w:rsid w:val="00D843FD"/>
    <w:rsid w:val="00D84906"/>
    <w:rsid w:val="00D8498D"/>
    <w:rsid w:val="00D84BFF"/>
    <w:rsid w:val="00D84C30"/>
    <w:rsid w:val="00D84E7E"/>
    <w:rsid w:val="00D85242"/>
    <w:rsid w:val="00D8526A"/>
    <w:rsid w:val="00D85817"/>
    <w:rsid w:val="00D85997"/>
    <w:rsid w:val="00D85C8C"/>
    <w:rsid w:val="00D85D6A"/>
    <w:rsid w:val="00D860EE"/>
    <w:rsid w:val="00D86250"/>
    <w:rsid w:val="00D8633F"/>
    <w:rsid w:val="00D863A5"/>
    <w:rsid w:val="00D865D1"/>
    <w:rsid w:val="00D86702"/>
    <w:rsid w:val="00D86A26"/>
    <w:rsid w:val="00D86BE3"/>
    <w:rsid w:val="00D86F5E"/>
    <w:rsid w:val="00D87023"/>
    <w:rsid w:val="00D870C6"/>
    <w:rsid w:val="00D872D1"/>
    <w:rsid w:val="00D879FB"/>
    <w:rsid w:val="00D87AB2"/>
    <w:rsid w:val="00D87E95"/>
    <w:rsid w:val="00D87FEF"/>
    <w:rsid w:val="00D90631"/>
    <w:rsid w:val="00D90853"/>
    <w:rsid w:val="00D909C7"/>
    <w:rsid w:val="00D90C27"/>
    <w:rsid w:val="00D90D5B"/>
    <w:rsid w:val="00D90F46"/>
    <w:rsid w:val="00D9110F"/>
    <w:rsid w:val="00D9139E"/>
    <w:rsid w:val="00D91527"/>
    <w:rsid w:val="00D9170C"/>
    <w:rsid w:val="00D9181F"/>
    <w:rsid w:val="00D91A19"/>
    <w:rsid w:val="00D91D35"/>
    <w:rsid w:val="00D92108"/>
    <w:rsid w:val="00D92BC7"/>
    <w:rsid w:val="00D92E31"/>
    <w:rsid w:val="00D93266"/>
    <w:rsid w:val="00D9352F"/>
    <w:rsid w:val="00D93A04"/>
    <w:rsid w:val="00D93C23"/>
    <w:rsid w:val="00D93EF3"/>
    <w:rsid w:val="00D94291"/>
    <w:rsid w:val="00D9452B"/>
    <w:rsid w:val="00D94870"/>
    <w:rsid w:val="00D94DCD"/>
    <w:rsid w:val="00D94E2E"/>
    <w:rsid w:val="00D94EF5"/>
    <w:rsid w:val="00D950CE"/>
    <w:rsid w:val="00D951EA"/>
    <w:rsid w:val="00D958A5"/>
    <w:rsid w:val="00D9598E"/>
    <w:rsid w:val="00D95D80"/>
    <w:rsid w:val="00D95EBA"/>
    <w:rsid w:val="00D95F42"/>
    <w:rsid w:val="00D96090"/>
    <w:rsid w:val="00D960DD"/>
    <w:rsid w:val="00D9633F"/>
    <w:rsid w:val="00D96693"/>
    <w:rsid w:val="00D966B5"/>
    <w:rsid w:val="00D96956"/>
    <w:rsid w:val="00D96A4F"/>
    <w:rsid w:val="00D970C7"/>
    <w:rsid w:val="00D97580"/>
    <w:rsid w:val="00D977E9"/>
    <w:rsid w:val="00D97B56"/>
    <w:rsid w:val="00D97CC6"/>
    <w:rsid w:val="00D97E1C"/>
    <w:rsid w:val="00D97FBA"/>
    <w:rsid w:val="00DA0022"/>
    <w:rsid w:val="00DA0072"/>
    <w:rsid w:val="00DA00F2"/>
    <w:rsid w:val="00DA0251"/>
    <w:rsid w:val="00DA067A"/>
    <w:rsid w:val="00DA069A"/>
    <w:rsid w:val="00DA08C5"/>
    <w:rsid w:val="00DA09CE"/>
    <w:rsid w:val="00DA0EA2"/>
    <w:rsid w:val="00DA0F9E"/>
    <w:rsid w:val="00DA14C0"/>
    <w:rsid w:val="00DA1FC7"/>
    <w:rsid w:val="00DA26B7"/>
    <w:rsid w:val="00DA2757"/>
    <w:rsid w:val="00DA27C8"/>
    <w:rsid w:val="00DA2A51"/>
    <w:rsid w:val="00DA2B7F"/>
    <w:rsid w:val="00DA2FE5"/>
    <w:rsid w:val="00DA3140"/>
    <w:rsid w:val="00DA3219"/>
    <w:rsid w:val="00DA34D4"/>
    <w:rsid w:val="00DA3930"/>
    <w:rsid w:val="00DA39AF"/>
    <w:rsid w:val="00DA39C6"/>
    <w:rsid w:val="00DA3B77"/>
    <w:rsid w:val="00DA3C08"/>
    <w:rsid w:val="00DA3C4F"/>
    <w:rsid w:val="00DA3CA2"/>
    <w:rsid w:val="00DA3F6F"/>
    <w:rsid w:val="00DA3FF6"/>
    <w:rsid w:val="00DA4169"/>
    <w:rsid w:val="00DA4BB2"/>
    <w:rsid w:val="00DA4EED"/>
    <w:rsid w:val="00DA5212"/>
    <w:rsid w:val="00DA5A1B"/>
    <w:rsid w:val="00DA5DEE"/>
    <w:rsid w:val="00DA618E"/>
    <w:rsid w:val="00DA630E"/>
    <w:rsid w:val="00DA6350"/>
    <w:rsid w:val="00DA635A"/>
    <w:rsid w:val="00DA642A"/>
    <w:rsid w:val="00DA69A8"/>
    <w:rsid w:val="00DA69BE"/>
    <w:rsid w:val="00DA6ACC"/>
    <w:rsid w:val="00DA6D09"/>
    <w:rsid w:val="00DA72D8"/>
    <w:rsid w:val="00DA7393"/>
    <w:rsid w:val="00DA7569"/>
    <w:rsid w:val="00DA7871"/>
    <w:rsid w:val="00DA78EA"/>
    <w:rsid w:val="00DA7A1C"/>
    <w:rsid w:val="00DA7B91"/>
    <w:rsid w:val="00DA7E77"/>
    <w:rsid w:val="00DB03DA"/>
    <w:rsid w:val="00DB045A"/>
    <w:rsid w:val="00DB0CB0"/>
    <w:rsid w:val="00DB1168"/>
    <w:rsid w:val="00DB1A31"/>
    <w:rsid w:val="00DB1D97"/>
    <w:rsid w:val="00DB1EE3"/>
    <w:rsid w:val="00DB1F9D"/>
    <w:rsid w:val="00DB2237"/>
    <w:rsid w:val="00DB282E"/>
    <w:rsid w:val="00DB2866"/>
    <w:rsid w:val="00DB2A29"/>
    <w:rsid w:val="00DB3138"/>
    <w:rsid w:val="00DB341F"/>
    <w:rsid w:val="00DB3569"/>
    <w:rsid w:val="00DB39A6"/>
    <w:rsid w:val="00DB3E9B"/>
    <w:rsid w:val="00DB3F2B"/>
    <w:rsid w:val="00DB4117"/>
    <w:rsid w:val="00DB45AF"/>
    <w:rsid w:val="00DB48C7"/>
    <w:rsid w:val="00DB4A40"/>
    <w:rsid w:val="00DB4BA7"/>
    <w:rsid w:val="00DB4D85"/>
    <w:rsid w:val="00DB4E45"/>
    <w:rsid w:val="00DB58ED"/>
    <w:rsid w:val="00DB596A"/>
    <w:rsid w:val="00DB5CCA"/>
    <w:rsid w:val="00DB5CD9"/>
    <w:rsid w:val="00DB5CE6"/>
    <w:rsid w:val="00DB5DD3"/>
    <w:rsid w:val="00DB5FAC"/>
    <w:rsid w:val="00DB6249"/>
    <w:rsid w:val="00DB6727"/>
    <w:rsid w:val="00DB69D0"/>
    <w:rsid w:val="00DB6C03"/>
    <w:rsid w:val="00DB6E4D"/>
    <w:rsid w:val="00DB7064"/>
    <w:rsid w:val="00DB7A73"/>
    <w:rsid w:val="00DB7A74"/>
    <w:rsid w:val="00DB7B92"/>
    <w:rsid w:val="00DC03EB"/>
    <w:rsid w:val="00DC0578"/>
    <w:rsid w:val="00DC09D5"/>
    <w:rsid w:val="00DC0C9C"/>
    <w:rsid w:val="00DC0CC9"/>
    <w:rsid w:val="00DC178B"/>
    <w:rsid w:val="00DC1A69"/>
    <w:rsid w:val="00DC1F44"/>
    <w:rsid w:val="00DC1FC8"/>
    <w:rsid w:val="00DC20B8"/>
    <w:rsid w:val="00DC20E5"/>
    <w:rsid w:val="00DC24A4"/>
    <w:rsid w:val="00DC2503"/>
    <w:rsid w:val="00DC287F"/>
    <w:rsid w:val="00DC2C97"/>
    <w:rsid w:val="00DC2D56"/>
    <w:rsid w:val="00DC2DAC"/>
    <w:rsid w:val="00DC2F93"/>
    <w:rsid w:val="00DC310D"/>
    <w:rsid w:val="00DC37C7"/>
    <w:rsid w:val="00DC3B30"/>
    <w:rsid w:val="00DC3CC1"/>
    <w:rsid w:val="00DC3F26"/>
    <w:rsid w:val="00DC44E3"/>
    <w:rsid w:val="00DC4621"/>
    <w:rsid w:val="00DC4992"/>
    <w:rsid w:val="00DC4DC9"/>
    <w:rsid w:val="00DC4F31"/>
    <w:rsid w:val="00DC5A1C"/>
    <w:rsid w:val="00DC5B2A"/>
    <w:rsid w:val="00DC5BCC"/>
    <w:rsid w:val="00DC638F"/>
    <w:rsid w:val="00DC6A27"/>
    <w:rsid w:val="00DC6D27"/>
    <w:rsid w:val="00DC70A5"/>
    <w:rsid w:val="00DC70F4"/>
    <w:rsid w:val="00DC7288"/>
    <w:rsid w:val="00DC7938"/>
    <w:rsid w:val="00DD0094"/>
    <w:rsid w:val="00DD012D"/>
    <w:rsid w:val="00DD038F"/>
    <w:rsid w:val="00DD088E"/>
    <w:rsid w:val="00DD0BB6"/>
    <w:rsid w:val="00DD0E3F"/>
    <w:rsid w:val="00DD0F3B"/>
    <w:rsid w:val="00DD125E"/>
    <w:rsid w:val="00DD16EA"/>
    <w:rsid w:val="00DD17B3"/>
    <w:rsid w:val="00DD1C02"/>
    <w:rsid w:val="00DD1C40"/>
    <w:rsid w:val="00DD20DF"/>
    <w:rsid w:val="00DD29DE"/>
    <w:rsid w:val="00DD2B85"/>
    <w:rsid w:val="00DD2C88"/>
    <w:rsid w:val="00DD2DCF"/>
    <w:rsid w:val="00DD30A0"/>
    <w:rsid w:val="00DD3134"/>
    <w:rsid w:val="00DD31BB"/>
    <w:rsid w:val="00DD3262"/>
    <w:rsid w:val="00DD32E6"/>
    <w:rsid w:val="00DD33C7"/>
    <w:rsid w:val="00DD35C5"/>
    <w:rsid w:val="00DD3A96"/>
    <w:rsid w:val="00DD3E08"/>
    <w:rsid w:val="00DD3F03"/>
    <w:rsid w:val="00DD4020"/>
    <w:rsid w:val="00DD4085"/>
    <w:rsid w:val="00DD4871"/>
    <w:rsid w:val="00DD48F1"/>
    <w:rsid w:val="00DD4983"/>
    <w:rsid w:val="00DD4A58"/>
    <w:rsid w:val="00DD4F86"/>
    <w:rsid w:val="00DD5065"/>
    <w:rsid w:val="00DD515C"/>
    <w:rsid w:val="00DD5236"/>
    <w:rsid w:val="00DD577F"/>
    <w:rsid w:val="00DD643F"/>
    <w:rsid w:val="00DD6455"/>
    <w:rsid w:val="00DD65C0"/>
    <w:rsid w:val="00DD68ED"/>
    <w:rsid w:val="00DD6B43"/>
    <w:rsid w:val="00DD6B58"/>
    <w:rsid w:val="00DD6DAC"/>
    <w:rsid w:val="00DD73CD"/>
    <w:rsid w:val="00DD7551"/>
    <w:rsid w:val="00DD7BCE"/>
    <w:rsid w:val="00DD7E1B"/>
    <w:rsid w:val="00DE05EB"/>
    <w:rsid w:val="00DE062B"/>
    <w:rsid w:val="00DE06CA"/>
    <w:rsid w:val="00DE0885"/>
    <w:rsid w:val="00DE133C"/>
    <w:rsid w:val="00DE1477"/>
    <w:rsid w:val="00DE17AD"/>
    <w:rsid w:val="00DE18A9"/>
    <w:rsid w:val="00DE1B62"/>
    <w:rsid w:val="00DE1C64"/>
    <w:rsid w:val="00DE1EF5"/>
    <w:rsid w:val="00DE226E"/>
    <w:rsid w:val="00DE2551"/>
    <w:rsid w:val="00DE2844"/>
    <w:rsid w:val="00DE288B"/>
    <w:rsid w:val="00DE2DA8"/>
    <w:rsid w:val="00DE340D"/>
    <w:rsid w:val="00DE347A"/>
    <w:rsid w:val="00DE3590"/>
    <w:rsid w:val="00DE35B3"/>
    <w:rsid w:val="00DE3605"/>
    <w:rsid w:val="00DE3872"/>
    <w:rsid w:val="00DE397C"/>
    <w:rsid w:val="00DE397E"/>
    <w:rsid w:val="00DE3AEF"/>
    <w:rsid w:val="00DE3D03"/>
    <w:rsid w:val="00DE3EB3"/>
    <w:rsid w:val="00DE3FA7"/>
    <w:rsid w:val="00DE3FC2"/>
    <w:rsid w:val="00DE4162"/>
    <w:rsid w:val="00DE4269"/>
    <w:rsid w:val="00DE467A"/>
    <w:rsid w:val="00DE49A0"/>
    <w:rsid w:val="00DE4C0B"/>
    <w:rsid w:val="00DE4F88"/>
    <w:rsid w:val="00DE4FB5"/>
    <w:rsid w:val="00DE5168"/>
    <w:rsid w:val="00DE5E10"/>
    <w:rsid w:val="00DE5E1E"/>
    <w:rsid w:val="00DE5F52"/>
    <w:rsid w:val="00DE61E8"/>
    <w:rsid w:val="00DE65C0"/>
    <w:rsid w:val="00DE670D"/>
    <w:rsid w:val="00DE6B82"/>
    <w:rsid w:val="00DE6BBE"/>
    <w:rsid w:val="00DE702E"/>
    <w:rsid w:val="00DE7218"/>
    <w:rsid w:val="00DE7279"/>
    <w:rsid w:val="00DE74F7"/>
    <w:rsid w:val="00DE7594"/>
    <w:rsid w:val="00DE777A"/>
    <w:rsid w:val="00DF052C"/>
    <w:rsid w:val="00DF065F"/>
    <w:rsid w:val="00DF074E"/>
    <w:rsid w:val="00DF081E"/>
    <w:rsid w:val="00DF0996"/>
    <w:rsid w:val="00DF0BEC"/>
    <w:rsid w:val="00DF0C58"/>
    <w:rsid w:val="00DF0C60"/>
    <w:rsid w:val="00DF0CCC"/>
    <w:rsid w:val="00DF1577"/>
    <w:rsid w:val="00DF19EA"/>
    <w:rsid w:val="00DF1A5D"/>
    <w:rsid w:val="00DF2041"/>
    <w:rsid w:val="00DF28BD"/>
    <w:rsid w:val="00DF295B"/>
    <w:rsid w:val="00DF29A6"/>
    <w:rsid w:val="00DF2C95"/>
    <w:rsid w:val="00DF2F2D"/>
    <w:rsid w:val="00DF2FDF"/>
    <w:rsid w:val="00DF30CB"/>
    <w:rsid w:val="00DF336D"/>
    <w:rsid w:val="00DF349C"/>
    <w:rsid w:val="00DF349D"/>
    <w:rsid w:val="00DF36D6"/>
    <w:rsid w:val="00DF3705"/>
    <w:rsid w:val="00DF3A2E"/>
    <w:rsid w:val="00DF3DE7"/>
    <w:rsid w:val="00DF408C"/>
    <w:rsid w:val="00DF42B1"/>
    <w:rsid w:val="00DF4367"/>
    <w:rsid w:val="00DF44E8"/>
    <w:rsid w:val="00DF4884"/>
    <w:rsid w:val="00DF4A94"/>
    <w:rsid w:val="00DF4AF5"/>
    <w:rsid w:val="00DF4E7A"/>
    <w:rsid w:val="00DF5360"/>
    <w:rsid w:val="00DF561E"/>
    <w:rsid w:val="00DF59E6"/>
    <w:rsid w:val="00DF5AE8"/>
    <w:rsid w:val="00DF5C3A"/>
    <w:rsid w:val="00DF5C55"/>
    <w:rsid w:val="00DF5CBF"/>
    <w:rsid w:val="00DF5D6E"/>
    <w:rsid w:val="00DF61CD"/>
    <w:rsid w:val="00DF624C"/>
    <w:rsid w:val="00DF6426"/>
    <w:rsid w:val="00DF65C0"/>
    <w:rsid w:val="00DF65D0"/>
    <w:rsid w:val="00DF6B3D"/>
    <w:rsid w:val="00DF6BAA"/>
    <w:rsid w:val="00DF6CC4"/>
    <w:rsid w:val="00DF705C"/>
    <w:rsid w:val="00DF7243"/>
    <w:rsid w:val="00DF7747"/>
    <w:rsid w:val="00DF78AF"/>
    <w:rsid w:val="00DF7A7D"/>
    <w:rsid w:val="00DF7D29"/>
    <w:rsid w:val="00DF7E27"/>
    <w:rsid w:val="00DF7EC0"/>
    <w:rsid w:val="00DF7F10"/>
    <w:rsid w:val="00E00043"/>
    <w:rsid w:val="00E0005D"/>
    <w:rsid w:val="00E00247"/>
    <w:rsid w:val="00E005EC"/>
    <w:rsid w:val="00E00A65"/>
    <w:rsid w:val="00E00A6E"/>
    <w:rsid w:val="00E00C87"/>
    <w:rsid w:val="00E00D8C"/>
    <w:rsid w:val="00E010B8"/>
    <w:rsid w:val="00E0129B"/>
    <w:rsid w:val="00E0144A"/>
    <w:rsid w:val="00E01923"/>
    <w:rsid w:val="00E01990"/>
    <w:rsid w:val="00E01C0D"/>
    <w:rsid w:val="00E02111"/>
    <w:rsid w:val="00E02280"/>
    <w:rsid w:val="00E02321"/>
    <w:rsid w:val="00E02544"/>
    <w:rsid w:val="00E02566"/>
    <w:rsid w:val="00E025C2"/>
    <w:rsid w:val="00E026A6"/>
    <w:rsid w:val="00E02798"/>
    <w:rsid w:val="00E02CF7"/>
    <w:rsid w:val="00E02E13"/>
    <w:rsid w:val="00E0307E"/>
    <w:rsid w:val="00E03567"/>
    <w:rsid w:val="00E03762"/>
    <w:rsid w:val="00E039EB"/>
    <w:rsid w:val="00E04072"/>
    <w:rsid w:val="00E04143"/>
    <w:rsid w:val="00E0415D"/>
    <w:rsid w:val="00E04238"/>
    <w:rsid w:val="00E042FF"/>
    <w:rsid w:val="00E04373"/>
    <w:rsid w:val="00E04378"/>
    <w:rsid w:val="00E046D0"/>
    <w:rsid w:val="00E04AD6"/>
    <w:rsid w:val="00E04AF0"/>
    <w:rsid w:val="00E04C06"/>
    <w:rsid w:val="00E04EDB"/>
    <w:rsid w:val="00E052E9"/>
    <w:rsid w:val="00E05496"/>
    <w:rsid w:val="00E05634"/>
    <w:rsid w:val="00E056E1"/>
    <w:rsid w:val="00E05BE7"/>
    <w:rsid w:val="00E05C0D"/>
    <w:rsid w:val="00E05F8A"/>
    <w:rsid w:val="00E0641C"/>
    <w:rsid w:val="00E06743"/>
    <w:rsid w:val="00E06817"/>
    <w:rsid w:val="00E06979"/>
    <w:rsid w:val="00E06C26"/>
    <w:rsid w:val="00E06CEC"/>
    <w:rsid w:val="00E06CFB"/>
    <w:rsid w:val="00E06D7B"/>
    <w:rsid w:val="00E06DCE"/>
    <w:rsid w:val="00E07127"/>
    <w:rsid w:val="00E0749B"/>
    <w:rsid w:val="00E074CF"/>
    <w:rsid w:val="00E0773C"/>
    <w:rsid w:val="00E07746"/>
    <w:rsid w:val="00E07B89"/>
    <w:rsid w:val="00E07BC0"/>
    <w:rsid w:val="00E07C45"/>
    <w:rsid w:val="00E07DBA"/>
    <w:rsid w:val="00E1006C"/>
    <w:rsid w:val="00E10111"/>
    <w:rsid w:val="00E103AD"/>
    <w:rsid w:val="00E103E9"/>
    <w:rsid w:val="00E10ACB"/>
    <w:rsid w:val="00E10C02"/>
    <w:rsid w:val="00E10D17"/>
    <w:rsid w:val="00E10DB9"/>
    <w:rsid w:val="00E110BD"/>
    <w:rsid w:val="00E11156"/>
    <w:rsid w:val="00E111ED"/>
    <w:rsid w:val="00E1166A"/>
    <w:rsid w:val="00E11766"/>
    <w:rsid w:val="00E1186B"/>
    <w:rsid w:val="00E119C4"/>
    <w:rsid w:val="00E11B5E"/>
    <w:rsid w:val="00E11D77"/>
    <w:rsid w:val="00E11E15"/>
    <w:rsid w:val="00E11E68"/>
    <w:rsid w:val="00E120A1"/>
    <w:rsid w:val="00E120C2"/>
    <w:rsid w:val="00E12274"/>
    <w:rsid w:val="00E1284F"/>
    <w:rsid w:val="00E12879"/>
    <w:rsid w:val="00E12CFE"/>
    <w:rsid w:val="00E12EB3"/>
    <w:rsid w:val="00E13026"/>
    <w:rsid w:val="00E1304B"/>
    <w:rsid w:val="00E13223"/>
    <w:rsid w:val="00E132C0"/>
    <w:rsid w:val="00E1353C"/>
    <w:rsid w:val="00E1358C"/>
    <w:rsid w:val="00E136AB"/>
    <w:rsid w:val="00E13834"/>
    <w:rsid w:val="00E139D3"/>
    <w:rsid w:val="00E14010"/>
    <w:rsid w:val="00E14052"/>
    <w:rsid w:val="00E140D8"/>
    <w:rsid w:val="00E140EB"/>
    <w:rsid w:val="00E14383"/>
    <w:rsid w:val="00E144D9"/>
    <w:rsid w:val="00E1453C"/>
    <w:rsid w:val="00E14A7E"/>
    <w:rsid w:val="00E14CB0"/>
    <w:rsid w:val="00E14CB8"/>
    <w:rsid w:val="00E15587"/>
    <w:rsid w:val="00E15CAA"/>
    <w:rsid w:val="00E16147"/>
    <w:rsid w:val="00E16425"/>
    <w:rsid w:val="00E16768"/>
    <w:rsid w:val="00E169C0"/>
    <w:rsid w:val="00E169D7"/>
    <w:rsid w:val="00E16A66"/>
    <w:rsid w:val="00E16BA2"/>
    <w:rsid w:val="00E16BDD"/>
    <w:rsid w:val="00E16DDD"/>
    <w:rsid w:val="00E171C5"/>
    <w:rsid w:val="00E17A43"/>
    <w:rsid w:val="00E17BD7"/>
    <w:rsid w:val="00E17FCA"/>
    <w:rsid w:val="00E20205"/>
    <w:rsid w:val="00E2025A"/>
    <w:rsid w:val="00E20274"/>
    <w:rsid w:val="00E207CC"/>
    <w:rsid w:val="00E207D7"/>
    <w:rsid w:val="00E20C7D"/>
    <w:rsid w:val="00E20D1D"/>
    <w:rsid w:val="00E20D6C"/>
    <w:rsid w:val="00E210F3"/>
    <w:rsid w:val="00E21511"/>
    <w:rsid w:val="00E21874"/>
    <w:rsid w:val="00E21E4F"/>
    <w:rsid w:val="00E22151"/>
    <w:rsid w:val="00E221A1"/>
    <w:rsid w:val="00E224BB"/>
    <w:rsid w:val="00E22586"/>
    <w:rsid w:val="00E22AB6"/>
    <w:rsid w:val="00E22B41"/>
    <w:rsid w:val="00E23113"/>
    <w:rsid w:val="00E234CC"/>
    <w:rsid w:val="00E23578"/>
    <w:rsid w:val="00E2416F"/>
    <w:rsid w:val="00E24BEF"/>
    <w:rsid w:val="00E24F01"/>
    <w:rsid w:val="00E24F8A"/>
    <w:rsid w:val="00E250CD"/>
    <w:rsid w:val="00E25281"/>
    <w:rsid w:val="00E252E4"/>
    <w:rsid w:val="00E25572"/>
    <w:rsid w:val="00E257E8"/>
    <w:rsid w:val="00E25D71"/>
    <w:rsid w:val="00E25E34"/>
    <w:rsid w:val="00E25F40"/>
    <w:rsid w:val="00E26379"/>
    <w:rsid w:val="00E264A0"/>
    <w:rsid w:val="00E267A7"/>
    <w:rsid w:val="00E26862"/>
    <w:rsid w:val="00E26868"/>
    <w:rsid w:val="00E26AFE"/>
    <w:rsid w:val="00E26DAC"/>
    <w:rsid w:val="00E272FC"/>
    <w:rsid w:val="00E27664"/>
    <w:rsid w:val="00E27B0D"/>
    <w:rsid w:val="00E27F10"/>
    <w:rsid w:val="00E30410"/>
    <w:rsid w:val="00E3054D"/>
    <w:rsid w:val="00E30AE1"/>
    <w:rsid w:val="00E30E01"/>
    <w:rsid w:val="00E30E9E"/>
    <w:rsid w:val="00E3102F"/>
    <w:rsid w:val="00E310FC"/>
    <w:rsid w:val="00E311A6"/>
    <w:rsid w:val="00E317F3"/>
    <w:rsid w:val="00E319A9"/>
    <w:rsid w:val="00E31AC9"/>
    <w:rsid w:val="00E31BB3"/>
    <w:rsid w:val="00E320A9"/>
    <w:rsid w:val="00E32533"/>
    <w:rsid w:val="00E326FC"/>
    <w:rsid w:val="00E329E4"/>
    <w:rsid w:val="00E33105"/>
    <w:rsid w:val="00E33355"/>
    <w:rsid w:val="00E3372D"/>
    <w:rsid w:val="00E33A35"/>
    <w:rsid w:val="00E33AAB"/>
    <w:rsid w:val="00E33C77"/>
    <w:rsid w:val="00E33D4D"/>
    <w:rsid w:val="00E34118"/>
    <w:rsid w:val="00E3426A"/>
    <w:rsid w:val="00E34280"/>
    <w:rsid w:val="00E34438"/>
    <w:rsid w:val="00E34483"/>
    <w:rsid w:val="00E34591"/>
    <w:rsid w:val="00E34871"/>
    <w:rsid w:val="00E348F6"/>
    <w:rsid w:val="00E349D2"/>
    <w:rsid w:val="00E349E9"/>
    <w:rsid w:val="00E34AAD"/>
    <w:rsid w:val="00E35342"/>
    <w:rsid w:val="00E359D7"/>
    <w:rsid w:val="00E35A15"/>
    <w:rsid w:val="00E35E20"/>
    <w:rsid w:val="00E35FA3"/>
    <w:rsid w:val="00E36582"/>
    <w:rsid w:val="00E36641"/>
    <w:rsid w:val="00E36A22"/>
    <w:rsid w:val="00E36AAE"/>
    <w:rsid w:val="00E36CC0"/>
    <w:rsid w:val="00E36CF7"/>
    <w:rsid w:val="00E36E06"/>
    <w:rsid w:val="00E371E8"/>
    <w:rsid w:val="00E374B2"/>
    <w:rsid w:val="00E376FA"/>
    <w:rsid w:val="00E3772F"/>
    <w:rsid w:val="00E37733"/>
    <w:rsid w:val="00E37839"/>
    <w:rsid w:val="00E37B4C"/>
    <w:rsid w:val="00E37D56"/>
    <w:rsid w:val="00E40276"/>
    <w:rsid w:val="00E40451"/>
    <w:rsid w:val="00E405F7"/>
    <w:rsid w:val="00E409F2"/>
    <w:rsid w:val="00E40A58"/>
    <w:rsid w:val="00E40D52"/>
    <w:rsid w:val="00E40E9D"/>
    <w:rsid w:val="00E41055"/>
    <w:rsid w:val="00E41193"/>
    <w:rsid w:val="00E412D8"/>
    <w:rsid w:val="00E41679"/>
    <w:rsid w:val="00E41788"/>
    <w:rsid w:val="00E41FDF"/>
    <w:rsid w:val="00E42482"/>
    <w:rsid w:val="00E428C1"/>
    <w:rsid w:val="00E42A2E"/>
    <w:rsid w:val="00E42B5F"/>
    <w:rsid w:val="00E43206"/>
    <w:rsid w:val="00E43337"/>
    <w:rsid w:val="00E43454"/>
    <w:rsid w:val="00E435D0"/>
    <w:rsid w:val="00E4372C"/>
    <w:rsid w:val="00E43890"/>
    <w:rsid w:val="00E43997"/>
    <w:rsid w:val="00E43AF9"/>
    <w:rsid w:val="00E43B22"/>
    <w:rsid w:val="00E43D21"/>
    <w:rsid w:val="00E43DDD"/>
    <w:rsid w:val="00E43DFD"/>
    <w:rsid w:val="00E43EA7"/>
    <w:rsid w:val="00E43F35"/>
    <w:rsid w:val="00E43F48"/>
    <w:rsid w:val="00E440D1"/>
    <w:rsid w:val="00E441FE"/>
    <w:rsid w:val="00E4436B"/>
    <w:rsid w:val="00E4442C"/>
    <w:rsid w:val="00E444B4"/>
    <w:rsid w:val="00E444C9"/>
    <w:rsid w:val="00E448CF"/>
    <w:rsid w:val="00E44ABB"/>
    <w:rsid w:val="00E44CDF"/>
    <w:rsid w:val="00E44CEF"/>
    <w:rsid w:val="00E45113"/>
    <w:rsid w:val="00E45235"/>
    <w:rsid w:val="00E45AE6"/>
    <w:rsid w:val="00E45F60"/>
    <w:rsid w:val="00E46103"/>
    <w:rsid w:val="00E4619E"/>
    <w:rsid w:val="00E462B3"/>
    <w:rsid w:val="00E4647B"/>
    <w:rsid w:val="00E4670E"/>
    <w:rsid w:val="00E467A6"/>
    <w:rsid w:val="00E46BF8"/>
    <w:rsid w:val="00E46C5A"/>
    <w:rsid w:val="00E46D40"/>
    <w:rsid w:val="00E47344"/>
    <w:rsid w:val="00E4740C"/>
    <w:rsid w:val="00E479A5"/>
    <w:rsid w:val="00E47B14"/>
    <w:rsid w:val="00E47D19"/>
    <w:rsid w:val="00E500BE"/>
    <w:rsid w:val="00E507BE"/>
    <w:rsid w:val="00E507C4"/>
    <w:rsid w:val="00E50957"/>
    <w:rsid w:val="00E50ABD"/>
    <w:rsid w:val="00E50CEF"/>
    <w:rsid w:val="00E50EEA"/>
    <w:rsid w:val="00E51297"/>
    <w:rsid w:val="00E51DDA"/>
    <w:rsid w:val="00E51F65"/>
    <w:rsid w:val="00E52357"/>
    <w:rsid w:val="00E523A4"/>
    <w:rsid w:val="00E523C9"/>
    <w:rsid w:val="00E52547"/>
    <w:rsid w:val="00E5257C"/>
    <w:rsid w:val="00E526DA"/>
    <w:rsid w:val="00E52A3B"/>
    <w:rsid w:val="00E52BCD"/>
    <w:rsid w:val="00E52E17"/>
    <w:rsid w:val="00E536F5"/>
    <w:rsid w:val="00E53A09"/>
    <w:rsid w:val="00E53C9A"/>
    <w:rsid w:val="00E53DD1"/>
    <w:rsid w:val="00E53DD7"/>
    <w:rsid w:val="00E542DE"/>
    <w:rsid w:val="00E543B4"/>
    <w:rsid w:val="00E54B4A"/>
    <w:rsid w:val="00E54EEC"/>
    <w:rsid w:val="00E552F7"/>
    <w:rsid w:val="00E559CA"/>
    <w:rsid w:val="00E55AE0"/>
    <w:rsid w:val="00E55B1E"/>
    <w:rsid w:val="00E55BB0"/>
    <w:rsid w:val="00E5653F"/>
    <w:rsid w:val="00E569C8"/>
    <w:rsid w:val="00E56F1A"/>
    <w:rsid w:val="00E56F3F"/>
    <w:rsid w:val="00E56FDA"/>
    <w:rsid w:val="00E5720B"/>
    <w:rsid w:val="00E5755A"/>
    <w:rsid w:val="00E57733"/>
    <w:rsid w:val="00E57BF6"/>
    <w:rsid w:val="00E57D0B"/>
    <w:rsid w:val="00E57E13"/>
    <w:rsid w:val="00E60546"/>
    <w:rsid w:val="00E60951"/>
    <w:rsid w:val="00E60C62"/>
    <w:rsid w:val="00E60D65"/>
    <w:rsid w:val="00E60D93"/>
    <w:rsid w:val="00E610D3"/>
    <w:rsid w:val="00E61239"/>
    <w:rsid w:val="00E6131E"/>
    <w:rsid w:val="00E61704"/>
    <w:rsid w:val="00E62838"/>
    <w:rsid w:val="00E629BA"/>
    <w:rsid w:val="00E62F1C"/>
    <w:rsid w:val="00E62FA9"/>
    <w:rsid w:val="00E6302C"/>
    <w:rsid w:val="00E63538"/>
    <w:rsid w:val="00E635F8"/>
    <w:rsid w:val="00E63779"/>
    <w:rsid w:val="00E63DC1"/>
    <w:rsid w:val="00E63E06"/>
    <w:rsid w:val="00E6412D"/>
    <w:rsid w:val="00E643DA"/>
    <w:rsid w:val="00E6448C"/>
    <w:rsid w:val="00E646BA"/>
    <w:rsid w:val="00E6481C"/>
    <w:rsid w:val="00E64B33"/>
    <w:rsid w:val="00E64BCE"/>
    <w:rsid w:val="00E64C74"/>
    <w:rsid w:val="00E64F08"/>
    <w:rsid w:val="00E64F55"/>
    <w:rsid w:val="00E6510A"/>
    <w:rsid w:val="00E6547D"/>
    <w:rsid w:val="00E65687"/>
    <w:rsid w:val="00E65AF3"/>
    <w:rsid w:val="00E65B76"/>
    <w:rsid w:val="00E65EE2"/>
    <w:rsid w:val="00E6650D"/>
    <w:rsid w:val="00E665BF"/>
    <w:rsid w:val="00E6664D"/>
    <w:rsid w:val="00E66CB4"/>
    <w:rsid w:val="00E67105"/>
    <w:rsid w:val="00E67320"/>
    <w:rsid w:val="00E673EA"/>
    <w:rsid w:val="00E6758D"/>
    <w:rsid w:val="00E678BA"/>
    <w:rsid w:val="00E67A2E"/>
    <w:rsid w:val="00E67C44"/>
    <w:rsid w:val="00E67CF0"/>
    <w:rsid w:val="00E67DE1"/>
    <w:rsid w:val="00E705E5"/>
    <w:rsid w:val="00E7069A"/>
    <w:rsid w:val="00E708F2"/>
    <w:rsid w:val="00E70D9C"/>
    <w:rsid w:val="00E70DCC"/>
    <w:rsid w:val="00E70DF1"/>
    <w:rsid w:val="00E71486"/>
    <w:rsid w:val="00E71714"/>
    <w:rsid w:val="00E71CA4"/>
    <w:rsid w:val="00E72B82"/>
    <w:rsid w:val="00E72F24"/>
    <w:rsid w:val="00E731CF"/>
    <w:rsid w:val="00E73413"/>
    <w:rsid w:val="00E734E0"/>
    <w:rsid w:val="00E73EE1"/>
    <w:rsid w:val="00E740B7"/>
    <w:rsid w:val="00E741D7"/>
    <w:rsid w:val="00E7469F"/>
    <w:rsid w:val="00E746F1"/>
    <w:rsid w:val="00E749C0"/>
    <w:rsid w:val="00E74A30"/>
    <w:rsid w:val="00E74BD1"/>
    <w:rsid w:val="00E74C07"/>
    <w:rsid w:val="00E74F7E"/>
    <w:rsid w:val="00E751AD"/>
    <w:rsid w:val="00E75AC6"/>
    <w:rsid w:val="00E75CF5"/>
    <w:rsid w:val="00E765B9"/>
    <w:rsid w:val="00E767AF"/>
    <w:rsid w:val="00E76B16"/>
    <w:rsid w:val="00E76B32"/>
    <w:rsid w:val="00E76ECA"/>
    <w:rsid w:val="00E76FA8"/>
    <w:rsid w:val="00E7740F"/>
    <w:rsid w:val="00E779DB"/>
    <w:rsid w:val="00E77A7E"/>
    <w:rsid w:val="00E77CD0"/>
    <w:rsid w:val="00E80267"/>
    <w:rsid w:val="00E80420"/>
    <w:rsid w:val="00E80628"/>
    <w:rsid w:val="00E80A40"/>
    <w:rsid w:val="00E8143E"/>
    <w:rsid w:val="00E824CB"/>
    <w:rsid w:val="00E82810"/>
    <w:rsid w:val="00E82839"/>
    <w:rsid w:val="00E8300D"/>
    <w:rsid w:val="00E8305A"/>
    <w:rsid w:val="00E83142"/>
    <w:rsid w:val="00E832DF"/>
    <w:rsid w:val="00E83482"/>
    <w:rsid w:val="00E834A4"/>
    <w:rsid w:val="00E83604"/>
    <w:rsid w:val="00E836C7"/>
    <w:rsid w:val="00E83E4A"/>
    <w:rsid w:val="00E841D1"/>
    <w:rsid w:val="00E84453"/>
    <w:rsid w:val="00E8496D"/>
    <w:rsid w:val="00E84F71"/>
    <w:rsid w:val="00E850A8"/>
    <w:rsid w:val="00E850E1"/>
    <w:rsid w:val="00E8546C"/>
    <w:rsid w:val="00E85904"/>
    <w:rsid w:val="00E85A12"/>
    <w:rsid w:val="00E85C17"/>
    <w:rsid w:val="00E85F0D"/>
    <w:rsid w:val="00E86184"/>
    <w:rsid w:val="00E861D4"/>
    <w:rsid w:val="00E86273"/>
    <w:rsid w:val="00E863B6"/>
    <w:rsid w:val="00E8667D"/>
    <w:rsid w:val="00E867F5"/>
    <w:rsid w:val="00E869A6"/>
    <w:rsid w:val="00E86A8A"/>
    <w:rsid w:val="00E87114"/>
    <w:rsid w:val="00E876D9"/>
    <w:rsid w:val="00E8771E"/>
    <w:rsid w:val="00E87784"/>
    <w:rsid w:val="00E87A6D"/>
    <w:rsid w:val="00E87A90"/>
    <w:rsid w:val="00E87C13"/>
    <w:rsid w:val="00E87D2C"/>
    <w:rsid w:val="00E87F7A"/>
    <w:rsid w:val="00E9003E"/>
    <w:rsid w:val="00E9018B"/>
    <w:rsid w:val="00E90297"/>
    <w:rsid w:val="00E90459"/>
    <w:rsid w:val="00E906FE"/>
    <w:rsid w:val="00E90C41"/>
    <w:rsid w:val="00E91146"/>
    <w:rsid w:val="00E913E2"/>
    <w:rsid w:val="00E9191D"/>
    <w:rsid w:val="00E91C0D"/>
    <w:rsid w:val="00E91D2C"/>
    <w:rsid w:val="00E92270"/>
    <w:rsid w:val="00E9279B"/>
    <w:rsid w:val="00E927C4"/>
    <w:rsid w:val="00E927CB"/>
    <w:rsid w:val="00E92C65"/>
    <w:rsid w:val="00E9329E"/>
    <w:rsid w:val="00E93579"/>
    <w:rsid w:val="00E9390D"/>
    <w:rsid w:val="00E93DDA"/>
    <w:rsid w:val="00E9411E"/>
    <w:rsid w:val="00E94479"/>
    <w:rsid w:val="00E94563"/>
    <w:rsid w:val="00E946AA"/>
    <w:rsid w:val="00E94792"/>
    <w:rsid w:val="00E9502C"/>
    <w:rsid w:val="00E951AA"/>
    <w:rsid w:val="00E95283"/>
    <w:rsid w:val="00E95284"/>
    <w:rsid w:val="00E95401"/>
    <w:rsid w:val="00E954F6"/>
    <w:rsid w:val="00E955EC"/>
    <w:rsid w:val="00E95757"/>
    <w:rsid w:val="00E95805"/>
    <w:rsid w:val="00E95B13"/>
    <w:rsid w:val="00E95E07"/>
    <w:rsid w:val="00E95E58"/>
    <w:rsid w:val="00E96601"/>
    <w:rsid w:val="00E967AA"/>
    <w:rsid w:val="00E967F3"/>
    <w:rsid w:val="00E96B3F"/>
    <w:rsid w:val="00E96CFE"/>
    <w:rsid w:val="00E96D7F"/>
    <w:rsid w:val="00E97520"/>
    <w:rsid w:val="00E97643"/>
    <w:rsid w:val="00E97795"/>
    <w:rsid w:val="00E97D9D"/>
    <w:rsid w:val="00E97F62"/>
    <w:rsid w:val="00EA011C"/>
    <w:rsid w:val="00EA07D0"/>
    <w:rsid w:val="00EA08AE"/>
    <w:rsid w:val="00EA0905"/>
    <w:rsid w:val="00EA0A67"/>
    <w:rsid w:val="00EA0B25"/>
    <w:rsid w:val="00EA0B41"/>
    <w:rsid w:val="00EA12CD"/>
    <w:rsid w:val="00EA1522"/>
    <w:rsid w:val="00EA16E6"/>
    <w:rsid w:val="00EA17AE"/>
    <w:rsid w:val="00EA1925"/>
    <w:rsid w:val="00EA1F10"/>
    <w:rsid w:val="00EA2328"/>
    <w:rsid w:val="00EA2483"/>
    <w:rsid w:val="00EA261D"/>
    <w:rsid w:val="00EA280B"/>
    <w:rsid w:val="00EA2FE7"/>
    <w:rsid w:val="00EA3199"/>
    <w:rsid w:val="00EA32E5"/>
    <w:rsid w:val="00EA33ED"/>
    <w:rsid w:val="00EA3788"/>
    <w:rsid w:val="00EA37D8"/>
    <w:rsid w:val="00EA3BD0"/>
    <w:rsid w:val="00EA3D7E"/>
    <w:rsid w:val="00EA3DB1"/>
    <w:rsid w:val="00EA3EE5"/>
    <w:rsid w:val="00EA3F60"/>
    <w:rsid w:val="00EA4218"/>
    <w:rsid w:val="00EA42E0"/>
    <w:rsid w:val="00EA43E0"/>
    <w:rsid w:val="00EA45B0"/>
    <w:rsid w:val="00EA47FC"/>
    <w:rsid w:val="00EA485C"/>
    <w:rsid w:val="00EA49EC"/>
    <w:rsid w:val="00EA4A7F"/>
    <w:rsid w:val="00EA4D52"/>
    <w:rsid w:val="00EA4FE3"/>
    <w:rsid w:val="00EA4FF1"/>
    <w:rsid w:val="00EA51CD"/>
    <w:rsid w:val="00EA5EDE"/>
    <w:rsid w:val="00EA6230"/>
    <w:rsid w:val="00EA634D"/>
    <w:rsid w:val="00EA64E3"/>
    <w:rsid w:val="00EA7389"/>
    <w:rsid w:val="00EA74A7"/>
    <w:rsid w:val="00EA74D9"/>
    <w:rsid w:val="00EA79CF"/>
    <w:rsid w:val="00EA7B07"/>
    <w:rsid w:val="00EB002C"/>
    <w:rsid w:val="00EB00BF"/>
    <w:rsid w:val="00EB029F"/>
    <w:rsid w:val="00EB0408"/>
    <w:rsid w:val="00EB0595"/>
    <w:rsid w:val="00EB0628"/>
    <w:rsid w:val="00EB08FA"/>
    <w:rsid w:val="00EB1463"/>
    <w:rsid w:val="00EB1BB9"/>
    <w:rsid w:val="00EB21D6"/>
    <w:rsid w:val="00EB21F7"/>
    <w:rsid w:val="00EB28C0"/>
    <w:rsid w:val="00EB2A81"/>
    <w:rsid w:val="00EB2EA9"/>
    <w:rsid w:val="00EB33A0"/>
    <w:rsid w:val="00EB352B"/>
    <w:rsid w:val="00EB378D"/>
    <w:rsid w:val="00EB3D85"/>
    <w:rsid w:val="00EB3D95"/>
    <w:rsid w:val="00EB452D"/>
    <w:rsid w:val="00EB4538"/>
    <w:rsid w:val="00EB4CC7"/>
    <w:rsid w:val="00EB5086"/>
    <w:rsid w:val="00EB51D1"/>
    <w:rsid w:val="00EB57E5"/>
    <w:rsid w:val="00EB59F0"/>
    <w:rsid w:val="00EB5A8B"/>
    <w:rsid w:val="00EB5AB4"/>
    <w:rsid w:val="00EB5E92"/>
    <w:rsid w:val="00EB6006"/>
    <w:rsid w:val="00EB601E"/>
    <w:rsid w:val="00EB60B1"/>
    <w:rsid w:val="00EB6679"/>
    <w:rsid w:val="00EB678B"/>
    <w:rsid w:val="00EB67B0"/>
    <w:rsid w:val="00EB6C21"/>
    <w:rsid w:val="00EB6DD9"/>
    <w:rsid w:val="00EB72D5"/>
    <w:rsid w:val="00EB7376"/>
    <w:rsid w:val="00EB73FC"/>
    <w:rsid w:val="00EB74F6"/>
    <w:rsid w:val="00EB76DF"/>
    <w:rsid w:val="00EB76F5"/>
    <w:rsid w:val="00EB7731"/>
    <w:rsid w:val="00EB78A6"/>
    <w:rsid w:val="00EC01C2"/>
    <w:rsid w:val="00EC033B"/>
    <w:rsid w:val="00EC049E"/>
    <w:rsid w:val="00EC04D0"/>
    <w:rsid w:val="00EC0E97"/>
    <w:rsid w:val="00EC0ED0"/>
    <w:rsid w:val="00EC0FC9"/>
    <w:rsid w:val="00EC1348"/>
    <w:rsid w:val="00EC1428"/>
    <w:rsid w:val="00EC17A6"/>
    <w:rsid w:val="00EC1D1A"/>
    <w:rsid w:val="00EC2110"/>
    <w:rsid w:val="00EC26E0"/>
    <w:rsid w:val="00EC2B41"/>
    <w:rsid w:val="00EC33F4"/>
    <w:rsid w:val="00EC36E6"/>
    <w:rsid w:val="00EC3D85"/>
    <w:rsid w:val="00EC41F3"/>
    <w:rsid w:val="00EC43A9"/>
    <w:rsid w:val="00EC4A56"/>
    <w:rsid w:val="00EC4B3A"/>
    <w:rsid w:val="00EC4D7E"/>
    <w:rsid w:val="00EC5453"/>
    <w:rsid w:val="00EC591A"/>
    <w:rsid w:val="00EC5A32"/>
    <w:rsid w:val="00EC5B5B"/>
    <w:rsid w:val="00EC5ECF"/>
    <w:rsid w:val="00EC5F07"/>
    <w:rsid w:val="00EC6356"/>
    <w:rsid w:val="00EC6656"/>
    <w:rsid w:val="00EC6778"/>
    <w:rsid w:val="00EC67CB"/>
    <w:rsid w:val="00EC6847"/>
    <w:rsid w:val="00EC6B9B"/>
    <w:rsid w:val="00EC6CDC"/>
    <w:rsid w:val="00EC740A"/>
    <w:rsid w:val="00EC7533"/>
    <w:rsid w:val="00EC75C1"/>
    <w:rsid w:val="00EC7718"/>
    <w:rsid w:val="00EC7D55"/>
    <w:rsid w:val="00EC7D68"/>
    <w:rsid w:val="00EC7EF2"/>
    <w:rsid w:val="00EC7EF3"/>
    <w:rsid w:val="00ED053B"/>
    <w:rsid w:val="00ED05FF"/>
    <w:rsid w:val="00ED08BD"/>
    <w:rsid w:val="00ED0908"/>
    <w:rsid w:val="00ED10DC"/>
    <w:rsid w:val="00ED10FB"/>
    <w:rsid w:val="00ED1172"/>
    <w:rsid w:val="00ED14B2"/>
    <w:rsid w:val="00ED1676"/>
    <w:rsid w:val="00ED19AE"/>
    <w:rsid w:val="00ED1ADE"/>
    <w:rsid w:val="00ED1AF6"/>
    <w:rsid w:val="00ED1DA0"/>
    <w:rsid w:val="00ED23CE"/>
    <w:rsid w:val="00ED24D6"/>
    <w:rsid w:val="00ED2BCE"/>
    <w:rsid w:val="00ED336C"/>
    <w:rsid w:val="00ED3509"/>
    <w:rsid w:val="00ED35DE"/>
    <w:rsid w:val="00ED38FF"/>
    <w:rsid w:val="00ED3A61"/>
    <w:rsid w:val="00ED3EBA"/>
    <w:rsid w:val="00ED403E"/>
    <w:rsid w:val="00ED4208"/>
    <w:rsid w:val="00ED4332"/>
    <w:rsid w:val="00ED466B"/>
    <w:rsid w:val="00ED49E0"/>
    <w:rsid w:val="00ED4CB2"/>
    <w:rsid w:val="00ED50CA"/>
    <w:rsid w:val="00ED51F8"/>
    <w:rsid w:val="00ED53BB"/>
    <w:rsid w:val="00ED5717"/>
    <w:rsid w:val="00ED5B57"/>
    <w:rsid w:val="00ED5E96"/>
    <w:rsid w:val="00ED6101"/>
    <w:rsid w:val="00ED639E"/>
    <w:rsid w:val="00ED6AFB"/>
    <w:rsid w:val="00ED6F60"/>
    <w:rsid w:val="00ED6F89"/>
    <w:rsid w:val="00ED7B70"/>
    <w:rsid w:val="00ED7D64"/>
    <w:rsid w:val="00ED7D9C"/>
    <w:rsid w:val="00ED7E34"/>
    <w:rsid w:val="00ED7F6E"/>
    <w:rsid w:val="00ED7F8B"/>
    <w:rsid w:val="00EE00E6"/>
    <w:rsid w:val="00EE094B"/>
    <w:rsid w:val="00EE1191"/>
    <w:rsid w:val="00EE17D0"/>
    <w:rsid w:val="00EE17D6"/>
    <w:rsid w:val="00EE1CE3"/>
    <w:rsid w:val="00EE2919"/>
    <w:rsid w:val="00EE3114"/>
    <w:rsid w:val="00EE35D1"/>
    <w:rsid w:val="00EE37F5"/>
    <w:rsid w:val="00EE3912"/>
    <w:rsid w:val="00EE39E1"/>
    <w:rsid w:val="00EE3D7B"/>
    <w:rsid w:val="00EE3ECC"/>
    <w:rsid w:val="00EE431C"/>
    <w:rsid w:val="00EE4371"/>
    <w:rsid w:val="00EE460A"/>
    <w:rsid w:val="00EE47A8"/>
    <w:rsid w:val="00EE4AE8"/>
    <w:rsid w:val="00EE4CDA"/>
    <w:rsid w:val="00EE4FAB"/>
    <w:rsid w:val="00EE511A"/>
    <w:rsid w:val="00EE5237"/>
    <w:rsid w:val="00EE562E"/>
    <w:rsid w:val="00EE589E"/>
    <w:rsid w:val="00EE5A05"/>
    <w:rsid w:val="00EE617E"/>
    <w:rsid w:val="00EE666B"/>
    <w:rsid w:val="00EE667B"/>
    <w:rsid w:val="00EE6733"/>
    <w:rsid w:val="00EE699B"/>
    <w:rsid w:val="00EE69AB"/>
    <w:rsid w:val="00EE6A58"/>
    <w:rsid w:val="00EE6BD3"/>
    <w:rsid w:val="00EE6C26"/>
    <w:rsid w:val="00EE70A4"/>
    <w:rsid w:val="00EE73BB"/>
    <w:rsid w:val="00EE756F"/>
    <w:rsid w:val="00EE7AF6"/>
    <w:rsid w:val="00EF0549"/>
    <w:rsid w:val="00EF0E46"/>
    <w:rsid w:val="00EF127E"/>
    <w:rsid w:val="00EF12D3"/>
    <w:rsid w:val="00EF156C"/>
    <w:rsid w:val="00EF1809"/>
    <w:rsid w:val="00EF1B92"/>
    <w:rsid w:val="00EF229B"/>
    <w:rsid w:val="00EF235D"/>
    <w:rsid w:val="00EF23F2"/>
    <w:rsid w:val="00EF23F9"/>
    <w:rsid w:val="00EF26A2"/>
    <w:rsid w:val="00EF2A53"/>
    <w:rsid w:val="00EF2B85"/>
    <w:rsid w:val="00EF2BD6"/>
    <w:rsid w:val="00EF2C66"/>
    <w:rsid w:val="00EF30B1"/>
    <w:rsid w:val="00EF37A6"/>
    <w:rsid w:val="00EF3B59"/>
    <w:rsid w:val="00EF3BC0"/>
    <w:rsid w:val="00EF3FE7"/>
    <w:rsid w:val="00EF413F"/>
    <w:rsid w:val="00EF4428"/>
    <w:rsid w:val="00EF449D"/>
    <w:rsid w:val="00EF466C"/>
    <w:rsid w:val="00EF4766"/>
    <w:rsid w:val="00EF5039"/>
    <w:rsid w:val="00EF5106"/>
    <w:rsid w:val="00EF5158"/>
    <w:rsid w:val="00EF5641"/>
    <w:rsid w:val="00EF572B"/>
    <w:rsid w:val="00EF5790"/>
    <w:rsid w:val="00EF58C4"/>
    <w:rsid w:val="00EF5F4E"/>
    <w:rsid w:val="00EF5FB7"/>
    <w:rsid w:val="00EF6461"/>
    <w:rsid w:val="00EF657F"/>
    <w:rsid w:val="00EF6894"/>
    <w:rsid w:val="00EF6AD9"/>
    <w:rsid w:val="00EF731B"/>
    <w:rsid w:val="00EF76DE"/>
    <w:rsid w:val="00EF7747"/>
    <w:rsid w:val="00EF7ACA"/>
    <w:rsid w:val="00EF7B96"/>
    <w:rsid w:val="00EF7D39"/>
    <w:rsid w:val="00EF7DDE"/>
    <w:rsid w:val="00F00222"/>
    <w:rsid w:val="00F0053A"/>
    <w:rsid w:val="00F00784"/>
    <w:rsid w:val="00F00CF4"/>
    <w:rsid w:val="00F00EB9"/>
    <w:rsid w:val="00F010D2"/>
    <w:rsid w:val="00F010DB"/>
    <w:rsid w:val="00F012CF"/>
    <w:rsid w:val="00F01303"/>
    <w:rsid w:val="00F01CEF"/>
    <w:rsid w:val="00F02980"/>
    <w:rsid w:val="00F02ADE"/>
    <w:rsid w:val="00F033F9"/>
    <w:rsid w:val="00F03576"/>
    <w:rsid w:val="00F035D2"/>
    <w:rsid w:val="00F037F0"/>
    <w:rsid w:val="00F03A8D"/>
    <w:rsid w:val="00F0435D"/>
    <w:rsid w:val="00F0480E"/>
    <w:rsid w:val="00F0490C"/>
    <w:rsid w:val="00F04BC1"/>
    <w:rsid w:val="00F0505C"/>
    <w:rsid w:val="00F0549E"/>
    <w:rsid w:val="00F054D9"/>
    <w:rsid w:val="00F05940"/>
    <w:rsid w:val="00F05A0C"/>
    <w:rsid w:val="00F05C48"/>
    <w:rsid w:val="00F05DC7"/>
    <w:rsid w:val="00F06022"/>
    <w:rsid w:val="00F06103"/>
    <w:rsid w:val="00F063A9"/>
    <w:rsid w:val="00F06754"/>
    <w:rsid w:val="00F06880"/>
    <w:rsid w:val="00F06DFB"/>
    <w:rsid w:val="00F07C04"/>
    <w:rsid w:val="00F07C89"/>
    <w:rsid w:val="00F07D63"/>
    <w:rsid w:val="00F1047B"/>
    <w:rsid w:val="00F11976"/>
    <w:rsid w:val="00F11E04"/>
    <w:rsid w:val="00F12015"/>
    <w:rsid w:val="00F1221A"/>
    <w:rsid w:val="00F12581"/>
    <w:rsid w:val="00F1264B"/>
    <w:rsid w:val="00F127CA"/>
    <w:rsid w:val="00F12BDB"/>
    <w:rsid w:val="00F12E88"/>
    <w:rsid w:val="00F12E91"/>
    <w:rsid w:val="00F13176"/>
    <w:rsid w:val="00F13259"/>
    <w:rsid w:val="00F1348E"/>
    <w:rsid w:val="00F1372D"/>
    <w:rsid w:val="00F13808"/>
    <w:rsid w:val="00F13B3B"/>
    <w:rsid w:val="00F13E76"/>
    <w:rsid w:val="00F13ED0"/>
    <w:rsid w:val="00F13F66"/>
    <w:rsid w:val="00F1423B"/>
    <w:rsid w:val="00F14788"/>
    <w:rsid w:val="00F14BCD"/>
    <w:rsid w:val="00F14CF1"/>
    <w:rsid w:val="00F15045"/>
    <w:rsid w:val="00F1519C"/>
    <w:rsid w:val="00F1525C"/>
    <w:rsid w:val="00F155D0"/>
    <w:rsid w:val="00F15667"/>
    <w:rsid w:val="00F157BA"/>
    <w:rsid w:val="00F15B25"/>
    <w:rsid w:val="00F15CEE"/>
    <w:rsid w:val="00F1617C"/>
    <w:rsid w:val="00F16BF1"/>
    <w:rsid w:val="00F17138"/>
    <w:rsid w:val="00F1786E"/>
    <w:rsid w:val="00F17A4C"/>
    <w:rsid w:val="00F17D7D"/>
    <w:rsid w:val="00F17F5B"/>
    <w:rsid w:val="00F20612"/>
    <w:rsid w:val="00F2063D"/>
    <w:rsid w:val="00F20936"/>
    <w:rsid w:val="00F20FEC"/>
    <w:rsid w:val="00F2129A"/>
    <w:rsid w:val="00F216E4"/>
    <w:rsid w:val="00F216FA"/>
    <w:rsid w:val="00F21BD6"/>
    <w:rsid w:val="00F21E81"/>
    <w:rsid w:val="00F22001"/>
    <w:rsid w:val="00F22336"/>
    <w:rsid w:val="00F22365"/>
    <w:rsid w:val="00F223EF"/>
    <w:rsid w:val="00F22434"/>
    <w:rsid w:val="00F227FC"/>
    <w:rsid w:val="00F2292E"/>
    <w:rsid w:val="00F22990"/>
    <w:rsid w:val="00F229BC"/>
    <w:rsid w:val="00F22E31"/>
    <w:rsid w:val="00F2330A"/>
    <w:rsid w:val="00F238E3"/>
    <w:rsid w:val="00F239C0"/>
    <w:rsid w:val="00F23C0C"/>
    <w:rsid w:val="00F23D73"/>
    <w:rsid w:val="00F23F2C"/>
    <w:rsid w:val="00F23F7F"/>
    <w:rsid w:val="00F24276"/>
    <w:rsid w:val="00F243A3"/>
    <w:rsid w:val="00F244EA"/>
    <w:rsid w:val="00F24602"/>
    <w:rsid w:val="00F2460B"/>
    <w:rsid w:val="00F24BC6"/>
    <w:rsid w:val="00F24E4C"/>
    <w:rsid w:val="00F24F6B"/>
    <w:rsid w:val="00F254B2"/>
    <w:rsid w:val="00F25621"/>
    <w:rsid w:val="00F25654"/>
    <w:rsid w:val="00F256D7"/>
    <w:rsid w:val="00F25A6B"/>
    <w:rsid w:val="00F25C4F"/>
    <w:rsid w:val="00F25FD6"/>
    <w:rsid w:val="00F263D4"/>
    <w:rsid w:val="00F265BF"/>
    <w:rsid w:val="00F26769"/>
    <w:rsid w:val="00F267DD"/>
    <w:rsid w:val="00F2689D"/>
    <w:rsid w:val="00F26996"/>
    <w:rsid w:val="00F26C7A"/>
    <w:rsid w:val="00F26CCA"/>
    <w:rsid w:val="00F2711C"/>
    <w:rsid w:val="00F271AE"/>
    <w:rsid w:val="00F2723F"/>
    <w:rsid w:val="00F27272"/>
    <w:rsid w:val="00F27553"/>
    <w:rsid w:val="00F275DC"/>
    <w:rsid w:val="00F27980"/>
    <w:rsid w:val="00F302DE"/>
    <w:rsid w:val="00F30335"/>
    <w:rsid w:val="00F30787"/>
    <w:rsid w:val="00F307A1"/>
    <w:rsid w:val="00F309E3"/>
    <w:rsid w:val="00F30A4B"/>
    <w:rsid w:val="00F30CFE"/>
    <w:rsid w:val="00F310E4"/>
    <w:rsid w:val="00F312E4"/>
    <w:rsid w:val="00F31404"/>
    <w:rsid w:val="00F31931"/>
    <w:rsid w:val="00F31A8B"/>
    <w:rsid w:val="00F31B1D"/>
    <w:rsid w:val="00F320C6"/>
    <w:rsid w:val="00F321F0"/>
    <w:rsid w:val="00F323A2"/>
    <w:rsid w:val="00F3240A"/>
    <w:rsid w:val="00F325D9"/>
    <w:rsid w:val="00F32668"/>
    <w:rsid w:val="00F32B74"/>
    <w:rsid w:val="00F32D71"/>
    <w:rsid w:val="00F3323A"/>
    <w:rsid w:val="00F33297"/>
    <w:rsid w:val="00F33371"/>
    <w:rsid w:val="00F3339B"/>
    <w:rsid w:val="00F33591"/>
    <w:rsid w:val="00F336AE"/>
    <w:rsid w:val="00F33B51"/>
    <w:rsid w:val="00F33BAB"/>
    <w:rsid w:val="00F33EDB"/>
    <w:rsid w:val="00F344C9"/>
    <w:rsid w:val="00F34530"/>
    <w:rsid w:val="00F35620"/>
    <w:rsid w:val="00F35630"/>
    <w:rsid w:val="00F35A0C"/>
    <w:rsid w:val="00F35BC0"/>
    <w:rsid w:val="00F35CD9"/>
    <w:rsid w:val="00F35CF7"/>
    <w:rsid w:val="00F36078"/>
    <w:rsid w:val="00F3613C"/>
    <w:rsid w:val="00F361B6"/>
    <w:rsid w:val="00F362FE"/>
    <w:rsid w:val="00F364AF"/>
    <w:rsid w:val="00F36629"/>
    <w:rsid w:val="00F3668F"/>
    <w:rsid w:val="00F3681D"/>
    <w:rsid w:val="00F36AB6"/>
    <w:rsid w:val="00F36BB7"/>
    <w:rsid w:val="00F36C4E"/>
    <w:rsid w:val="00F371F6"/>
    <w:rsid w:val="00F37409"/>
    <w:rsid w:val="00F377FC"/>
    <w:rsid w:val="00F3795F"/>
    <w:rsid w:val="00F37DC7"/>
    <w:rsid w:val="00F40415"/>
    <w:rsid w:val="00F40446"/>
    <w:rsid w:val="00F40572"/>
    <w:rsid w:val="00F40614"/>
    <w:rsid w:val="00F4061F"/>
    <w:rsid w:val="00F406C2"/>
    <w:rsid w:val="00F40A65"/>
    <w:rsid w:val="00F40DE7"/>
    <w:rsid w:val="00F4119B"/>
    <w:rsid w:val="00F415F0"/>
    <w:rsid w:val="00F4170C"/>
    <w:rsid w:val="00F419CC"/>
    <w:rsid w:val="00F41C29"/>
    <w:rsid w:val="00F41C3C"/>
    <w:rsid w:val="00F41F57"/>
    <w:rsid w:val="00F42029"/>
    <w:rsid w:val="00F4238D"/>
    <w:rsid w:val="00F4243B"/>
    <w:rsid w:val="00F42792"/>
    <w:rsid w:val="00F428D4"/>
    <w:rsid w:val="00F42CE2"/>
    <w:rsid w:val="00F42D60"/>
    <w:rsid w:val="00F432B0"/>
    <w:rsid w:val="00F435AF"/>
    <w:rsid w:val="00F439CF"/>
    <w:rsid w:val="00F43A28"/>
    <w:rsid w:val="00F440BA"/>
    <w:rsid w:val="00F44646"/>
    <w:rsid w:val="00F4481C"/>
    <w:rsid w:val="00F44829"/>
    <w:rsid w:val="00F44936"/>
    <w:rsid w:val="00F44A8C"/>
    <w:rsid w:val="00F44C9E"/>
    <w:rsid w:val="00F44D18"/>
    <w:rsid w:val="00F44F61"/>
    <w:rsid w:val="00F45401"/>
    <w:rsid w:val="00F45A17"/>
    <w:rsid w:val="00F45BAE"/>
    <w:rsid w:val="00F4645D"/>
    <w:rsid w:val="00F46B2F"/>
    <w:rsid w:val="00F46DF4"/>
    <w:rsid w:val="00F46E90"/>
    <w:rsid w:val="00F47A1C"/>
    <w:rsid w:val="00F47AD1"/>
    <w:rsid w:val="00F47C1E"/>
    <w:rsid w:val="00F5021A"/>
    <w:rsid w:val="00F50424"/>
    <w:rsid w:val="00F5054E"/>
    <w:rsid w:val="00F50682"/>
    <w:rsid w:val="00F50754"/>
    <w:rsid w:val="00F5080B"/>
    <w:rsid w:val="00F50CCC"/>
    <w:rsid w:val="00F510C7"/>
    <w:rsid w:val="00F511D7"/>
    <w:rsid w:val="00F512F8"/>
    <w:rsid w:val="00F51F84"/>
    <w:rsid w:val="00F522B8"/>
    <w:rsid w:val="00F52380"/>
    <w:rsid w:val="00F5239E"/>
    <w:rsid w:val="00F52402"/>
    <w:rsid w:val="00F52555"/>
    <w:rsid w:val="00F52604"/>
    <w:rsid w:val="00F526AC"/>
    <w:rsid w:val="00F52936"/>
    <w:rsid w:val="00F52D9A"/>
    <w:rsid w:val="00F535C7"/>
    <w:rsid w:val="00F53744"/>
    <w:rsid w:val="00F53F38"/>
    <w:rsid w:val="00F54348"/>
    <w:rsid w:val="00F5488A"/>
    <w:rsid w:val="00F548B7"/>
    <w:rsid w:val="00F5498D"/>
    <w:rsid w:val="00F549EB"/>
    <w:rsid w:val="00F553E8"/>
    <w:rsid w:val="00F556A9"/>
    <w:rsid w:val="00F5579B"/>
    <w:rsid w:val="00F55C8B"/>
    <w:rsid w:val="00F55DD4"/>
    <w:rsid w:val="00F56561"/>
    <w:rsid w:val="00F5665D"/>
    <w:rsid w:val="00F567C2"/>
    <w:rsid w:val="00F568A6"/>
    <w:rsid w:val="00F568CC"/>
    <w:rsid w:val="00F56BE8"/>
    <w:rsid w:val="00F56D2F"/>
    <w:rsid w:val="00F56EE3"/>
    <w:rsid w:val="00F56F25"/>
    <w:rsid w:val="00F57224"/>
    <w:rsid w:val="00F576E1"/>
    <w:rsid w:val="00F57772"/>
    <w:rsid w:val="00F57A46"/>
    <w:rsid w:val="00F57AB2"/>
    <w:rsid w:val="00F57D5D"/>
    <w:rsid w:val="00F57DC8"/>
    <w:rsid w:val="00F57DCD"/>
    <w:rsid w:val="00F606CF"/>
    <w:rsid w:val="00F606E1"/>
    <w:rsid w:val="00F6093A"/>
    <w:rsid w:val="00F60A26"/>
    <w:rsid w:val="00F60BEB"/>
    <w:rsid w:val="00F60BED"/>
    <w:rsid w:val="00F60E4E"/>
    <w:rsid w:val="00F61592"/>
    <w:rsid w:val="00F619F7"/>
    <w:rsid w:val="00F61A63"/>
    <w:rsid w:val="00F61D97"/>
    <w:rsid w:val="00F61DA1"/>
    <w:rsid w:val="00F61E2E"/>
    <w:rsid w:val="00F61E56"/>
    <w:rsid w:val="00F61F98"/>
    <w:rsid w:val="00F62069"/>
    <w:rsid w:val="00F622E9"/>
    <w:rsid w:val="00F624C6"/>
    <w:rsid w:val="00F627AD"/>
    <w:rsid w:val="00F62926"/>
    <w:rsid w:val="00F62B19"/>
    <w:rsid w:val="00F62BCF"/>
    <w:rsid w:val="00F62F2D"/>
    <w:rsid w:val="00F62FA9"/>
    <w:rsid w:val="00F63029"/>
    <w:rsid w:val="00F6345D"/>
    <w:rsid w:val="00F63531"/>
    <w:rsid w:val="00F6358E"/>
    <w:rsid w:val="00F63726"/>
    <w:rsid w:val="00F63838"/>
    <w:rsid w:val="00F63864"/>
    <w:rsid w:val="00F63A30"/>
    <w:rsid w:val="00F63CF4"/>
    <w:rsid w:val="00F64005"/>
    <w:rsid w:val="00F640DC"/>
    <w:rsid w:val="00F6440B"/>
    <w:rsid w:val="00F64691"/>
    <w:rsid w:val="00F64F20"/>
    <w:rsid w:val="00F65492"/>
    <w:rsid w:val="00F654DE"/>
    <w:rsid w:val="00F655A3"/>
    <w:rsid w:val="00F65AC4"/>
    <w:rsid w:val="00F65C40"/>
    <w:rsid w:val="00F65E54"/>
    <w:rsid w:val="00F65ECE"/>
    <w:rsid w:val="00F65F2A"/>
    <w:rsid w:val="00F660E5"/>
    <w:rsid w:val="00F664EE"/>
    <w:rsid w:val="00F6659C"/>
    <w:rsid w:val="00F665A7"/>
    <w:rsid w:val="00F6660F"/>
    <w:rsid w:val="00F66808"/>
    <w:rsid w:val="00F6687D"/>
    <w:rsid w:val="00F66DC5"/>
    <w:rsid w:val="00F66EB2"/>
    <w:rsid w:val="00F6736B"/>
    <w:rsid w:val="00F6736C"/>
    <w:rsid w:val="00F6743C"/>
    <w:rsid w:val="00F6766B"/>
    <w:rsid w:val="00F67A89"/>
    <w:rsid w:val="00F67E30"/>
    <w:rsid w:val="00F67E34"/>
    <w:rsid w:val="00F700A1"/>
    <w:rsid w:val="00F70263"/>
    <w:rsid w:val="00F70452"/>
    <w:rsid w:val="00F70468"/>
    <w:rsid w:val="00F706FE"/>
    <w:rsid w:val="00F70748"/>
    <w:rsid w:val="00F708EC"/>
    <w:rsid w:val="00F709AC"/>
    <w:rsid w:val="00F709D0"/>
    <w:rsid w:val="00F70B11"/>
    <w:rsid w:val="00F710A2"/>
    <w:rsid w:val="00F71387"/>
    <w:rsid w:val="00F7138A"/>
    <w:rsid w:val="00F7158F"/>
    <w:rsid w:val="00F716E8"/>
    <w:rsid w:val="00F717FC"/>
    <w:rsid w:val="00F71A85"/>
    <w:rsid w:val="00F71FD8"/>
    <w:rsid w:val="00F7212A"/>
    <w:rsid w:val="00F72216"/>
    <w:rsid w:val="00F72429"/>
    <w:rsid w:val="00F72597"/>
    <w:rsid w:val="00F725DA"/>
    <w:rsid w:val="00F72786"/>
    <w:rsid w:val="00F7376B"/>
    <w:rsid w:val="00F73A40"/>
    <w:rsid w:val="00F73BA4"/>
    <w:rsid w:val="00F73F04"/>
    <w:rsid w:val="00F74095"/>
    <w:rsid w:val="00F741BD"/>
    <w:rsid w:val="00F7421F"/>
    <w:rsid w:val="00F743B5"/>
    <w:rsid w:val="00F743CC"/>
    <w:rsid w:val="00F749BD"/>
    <w:rsid w:val="00F74F9C"/>
    <w:rsid w:val="00F75296"/>
    <w:rsid w:val="00F7539A"/>
    <w:rsid w:val="00F75411"/>
    <w:rsid w:val="00F754E4"/>
    <w:rsid w:val="00F755F6"/>
    <w:rsid w:val="00F75980"/>
    <w:rsid w:val="00F75B80"/>
    <w:rsid w:val="00F75BA2"/>
    <w:rsid w:val="00F75D55"/>
    <w:rsid w:val="00F7617A"/>
    <w:rsid w:val="00F7624D"/>
    <w:rsid w:val="00F763C5"/>
    <w:rsid w:val="00F76445"/>
    <w:rsid w:val="00F76615"/>
    <w:rsid w:val="00F7663E"/>
    <w:rsid w:val="00F76BF8"/>
    <w:rsid w:val="00F76F74"/>
    <w:rsid w:val="00F76F77"/>
    <w:rsid w:val="00F77102"/>
    <w:rsid w:val="00F772A5"/>
    <w:rsid w:val="00F77583"/>
    <w:rsid w:val="00F778B1"/>
    <w:rsid w:val="00F778C1"/>
    <w:rsid w:val="00F779B3"/>
    <w:rsid w:val="00F77A39"/>
    <w:rsid w:val="00F77C5B"/>
    <w:rsid w:val="00F77EF6"/>
    <w:rsid w:val="00F8003E"/>
    <w:rsid w:val="00F803C4"/>
    <w:rsid w:val="00F80492"/>
    <w:rsid w:val="00F8085D"/>
    <w:rsid w:val="00F80D5A"/>
    <w:rsid w:val="00F80DEA"/>
    <w:rsid w:val="00F8119E"/>
    <w:rsid w:val="00F81207"/>
    <w:rsid w:val="00F81662"/>
    <w:rsid w:val="00F81B50"/>
    <w:rsid w:val="00F81CB7"/>
    <w:rsid w:val="00F81D53"/>
    <w:rsid w:val="00F82112"/>
    <w:rsid w:val="00F8212B"/>
    <w:rsid w:val="00F822A1"/>
    <w:rsid w:val="00F82398"/>
    <w:rsid w:val="00F826E3"/>
    <w:rsid w:val="00F8279F"/>
    <w:rsid w:val="00F82AF2"/>
    <w:rsid w:val="00F82C0D"/>
    <w:rsid w:val="00F8312A"/>
    <w:rsid w:val="00F8378D"/>
    <w:rsid w:val="00F83EAC"/>
    <w:rsid w:val="00F84318"/>
    <w:rsid w:val="00F84705"/>
    <w:rsid w:val="00F848E6"/>
    <w:rsid w:val="00F84B0E"/>
    <w:rsid w:val="00F84BDA"/>
    <w:rsid w:val="00F84DC7"/>
    <w:rsid w:val="00F85058"/>
    <w:rsid w:val="00F8524D"/>
    <w:rsid w:val="00F8528B"/>
    <w:rsid w:val="00F857FC"/>
    <w:rsid w:val="00F86564"/>
    <w:rsid w:val="00F86B92"/>
    <w:rsid w:val="00F86F4A"/>
    <w:rsid w:val="00F871BA"/>
    <w:rsid w:val="00F87746"/>
    <w:rsid w:val="00F8775A"/>
    <w:rsid w:val="00F8780A"/>
    <w:rsid w:val="00F87A10"/>
    <w:rsid w:val="00F87CD2"/>
    <w:rsid w:val="00F87D3F"/>
    <w:rsid w:val="00F9059C"/>
    <w:rsid w:val="00F90D49"/>
    <w:rsid w:val="00F911BC"/>
    <w:rsid w:val="00F91395"/>
    <w:rsid w:val="00F91492"/>
    <w:rsid w:val="00F91507"/>
    <w:rsid w:val="00F91549"/>
    <w:rsid w:val="00F917B6"/>
    <w:rsid w:val="00F917E0"/>
    <w:rsid w:val="00F919AD"/>
    <w:rsid w:val="00F91AD9"/>
    <w:rsid w:val="00F91BCB"/>
    <w:rsid w:val="00F91D10"/>
    <w:rsid w:val="00F91D9B"/>
    <w:rsid w:val="00F91FF1"/>
    <w:rsid w:val="00F91FF2"/>
    <w:rsid w:val="00F920D8"/>
    <w:rsid w:val="00F92386"/>
    <w:rsid w:val="00F925D5"/>
    <w:rsid w:val="00F92A2D"/>
    <w:rsid w:val="00F92A33"/>
    <w:rsid w:val="00F92B0F"/>
    <w:rsid w:val="00F93143"/>
    <w:rsid w:val="00F933F0"/>
    <w:rsid w:val="00F9346B"/>
    <w:rsid w:val="00F93530"/>
    <w:rsid w:val="00F93582"/>
    <w:rsid w:val="00F935B0"/>
    <w:rsid w:val="00F9440D"/>
    <w:rsid w:val="00F9487F"/>
    <w:rsid w:val="00F94935"/>
    <w:rsid w:val="00F94BEF"/>
    <w:rsid w:val="00F94DAB"/>
    <w:rsid w:val="00F95009"/>
    <w:rsid w:val="00F951D8"/>
    <w:rsid w:val="00F95929"/>
    <w:rsid w:val="00F95A28"/>
    <w:rsid w:val="00F95CFC"/>
    <w:rsid w:val="00F95EC8"/>
    <w:rsid w:val="00F95F2F"/>
    <w:rsid w:val="00F9612E"/>
    <w:rsid w:val="00F96343"/>
    <w:rsid w:val="00F965E8"/>
    <w:rsid w:val="00F966A4"/>
    <w:rsid w:val="00F967D4"/>
    <w:rsid w:val="00F96932"/>
    <w:rsid w:val="00F96C7A"/>
    <w:rsid w:val="00F96D86"/>
    <w:rsid w:val="00F96DB9"/>
    <w:rsid w:val="00F96F6C"/>
    <w:rsid w:val="00F97098"/>
    <w:rsid w:val="00F971BA"/>
    <w:rsid w:val="00F973CB"/>
    <w:rsid w:val="00F97765"/>
    <w:rsid w:val="00F97843"/>
    <w:rsid w:val="00F97925"/>
    <w:rsid w:val="00F97BD1"/>
    <w:rsid w:val="00F97D41"/>
    <w:rsid w:val="00F97F40"/>
    <w:rsid w:val="00F97FD2"/>
    <w:rsid w:val="00FA02F6"/>
    <w:rsid w:val="00FA033C"/>
    <w:rsid w:val="00FA0432"/>
    <w:rsid w:val="00FA05D7"/>
    <w:rsid w:val="00FA08A2"/>
    <w:rsid w:val="00FA09A4"/>
    <w:rsid w:val="00FA0CD8"/>
    <w:rsid w:val="00FA1129"/>
    <w:rsid w:val="00FA14DA"/>
    <w:rsid w:val="00FA17CB"/>
    <w:rsid w:val="00FA19B6"/>
    <w:rsid w:val="00FA1A75"/>
    <w:rsid w:val="00FA1DA6"/>
    <w:rsid w:val="00FA1FAC"/>
    <w:rsid w:val="00FA2053"/>
    <w:rsid w:val="00FA2372"/>
    <w:rsid w:val="00FA245E"/>
    <w:rsid w:val="00FA25EF"/>
    <w:rsid w:val="00FA2769"/>
    <w:rsid w:val="00FA2858"/>
    <w:rsid w:val="00FA2C7B"/>
    <w:rsid w:val="00FA2C80"/>
    <w:rsid w:val="00FA2F5D"/>
    <w:rsid w:val="00FA2FF1"/>
    <w:rsid w:val="00FA334F"/>
    <w:rsid w:val="00FA33A0"/>
    <w:rsid w:val="00FA369A"/>
    <w:rsid w:val="00FA3B67"/>
    <w:rsid w:val="00FA3D57"/>
    <w:rsid w:val="00FA3DED"/>
    <w:rsid w:val="00FA46DA"/>
    <w:rsid w:val="00FA47E4"/>
    <w:rsid w:val="00FA493B"/>
    <w:rsid w:val="00FA49A3"/>
    <w:rsid w:val="00FA5260"/>
    <w:rsid w:val="00FA52B7"/>
    <w:rsid w:val="00FA5466"/>
    <w:rsid w:val="00FA5F2D"/>
    <w:rsid w:val="00FA6142"/>
    <w:rsid w:val="00FA6711"/>
    <w:rsid w:val="00FA6BD1"/>
    <w:rsid w:val="00FA6D7A"/>
    <w:rsid w:val="00FA6F48"/>
    <w:rsid w:val="00FA74F8"/>
    <w:rsid w:val="00FA772F"/>
    <w:rsid w:val="00FA77EB"/>
    <w:rsid w:val="00FA79FD"/>
    <w:rsid w:val="00FA7B0F"/>
    <w:rsid w:val="00FB0049"/>
    <w:rsid w:val="00FB020C"/>
    <w:rsid w:val="00FB0712"/>
    <w:rsid w:val="00FB071D"/>
    <w:rsid w:val="00FB096B"/>
    <w:rsid w:val="00FB0A3B"/>
    <w:rsid w:val="00FB0A3D"/>
    <w:rsid w:val="00FB0B39"/>
    <w:rsid w:val="00FB10F4"/>
    <w:rsid w:val="00FB11F2"/>
    <w:rsid w:val="00FB12D4"/>
    <w:rsid w:val="00FB1710"/>
    <w:rsid w:val="00FB203F"/>
    <w:rsid w:val="00FB2070"/>
    <w:rsid w:val="00FB208F"/>
    <w:rsid w:val="00FB20B6"/>
    <w:rsid w:val="00FB281E"/>
    <w:rsid w:val="00FB28D1"/>
    <w:rsid w:val="00FB2DAE"/>
    <w:rsid w:val="00FB2DAF"/>
    <w:rsid w:val="00FB2EF1"/>
    <w:rsid w:val="00FB3141"/>
    <w:rsid w:val="00FB316D"/>
    <w:rsid w:val="00FB3303"/>
    <w:rsid w:val="00FB35E3"/>
    <w:rsid w:val="00FB37E9"/>
    <w:rsid w:val="00FB3C44"/>
    <w:rsid w:val="00FB3D83"/>
    <w:rsid w:val="00FB4548"/>
    <w:rsid w:val="00FB457D"/>
    <w:rsid w:val="00FB4941"/>
    <w:rsid w:val="00FB4D02"/>
    <w:rsid w:val="00FB5192"/>
    <w:rsid w:val="00FB538C"/>
    <w:rsid w:val="00FB5E41"/>
    <w:rsid w:val="00FB5FC7"/>
    <w:rsid w:val="00FB6373"/>
    <w:rsid w:val="00FB663A"/>
    <w:rsid w:val="00FB6902"/>
    <w:rsid w:val="00FB6948"/>
    <w:rsid w:val="00FB6A7A"/>
    <w:rsid w:val="00FB6A86"/>
    <w:rsid w:val="00FB6B41"/>
    <w:rsid w:val="00FB6CBD"/>
    <w:rsid w:val="00FB6F74"/>
    <w:rsid w:val="00FB72E0"/>
    <w:rsid w:val="00FB740A"/>
    <w:rsid w:val="00FB77E3"/>
    <w:rsid w:val="00FB780C"/>
    <w:rsid w:val="00FB7A73"/>
    <w:rsid w:val="00FB7AC5"/>
    <w:rsid w:val="00FB7ECD"/>
    <w:rsid w:val="00FC002E"/>
    <w:rsid w:val="00FC0623"/>
    <w:rsid w:val="00FC08E9"/>
    <w:rsid w:val="00FC0C39"/>
    <w:rsid w:val="00FC1239"/>
    <w:rsid w:val="00FC1406"/>
    <w:rsid w:val="00FC16BA"/>
    <w:rsid w:val="00FC18E3"/>
    <w:rsid w:val="00FC1A37"/>
    <w:rsid w:val="00FC1B3E"/>
    <w:rsid w:val="00FC1BD6"/>
    <w:rsid w:val="00FC1C52"/>
    <w:rsid w:val="00FC1D01"/>
    <w:rsid w:val="00FC1F08"/>
    <w:rsid w:val="00FC2307"/>
    <w:rsid w:val="00FC257C"/>
    <w:rsid w:val="00FC2582"/>
    <w:rsid w:val="00FC2962"/>
    <w:rsid w:val="00FC2A25"/>
    <w:rsid w:val="00FC2EE1"/>
    <w:rsid w:val="00FC2F17"/>
    <w:rsid w:val="00FC309B"/>
    <w:rsid w:val="00FC31CE"/>
    <w:rsid w:val="00FC3213"/>
    <w:rsid w:val="00FC3236"/>
    <w:rsid w:val="00FC3991"/>
    <w:rsid w:val="00FC39C5"/>
    <w:rsid w:val="00FC3D0A"/>
    <w:rsid w:val="00FC42D8"/>
    <w:rsid w:val="00FC4548"/>
    <w:rsid w:val="00FC4705"/>
    <w:rsid w:val="00FC4789"/>
    <w:rsid w:val="00FC4879"/>
    <w:rsid w:val="00FC4888"/>
    <w:rsid w:val="00FC4920"/>
    <w:rsid w:val="00FC4AC4"/>
    <w:rsid w:val="00FC4B21"/>
    <w:rsid w:val="00FC4D37"/>
    <w:rsid w:val="00FC4F8E"/>
    <w:rsid w:val="00FC5011"/>
    <w:rsid w:val="00FC5291"/>
    <w:rsid w:val="00FC5BD5"/>
    <w:rsid w:val="00FC5EEA"/>
    <w:rsid w:val="00FC5F34"/>
    <w:rsid w:val="00FC6489"/>
    <w:rsid w:val="00FC668C"/>
    <w:rsid w:val="00FC67FD"/>
    <w:rsid w:val="00FC69D9"/>
    <w:rsid w:val="00FC6DF8"/>
    <w:rsid w:val="00FC72FB"/>
    <w:rsid w:val="00FC748E"/>
    <w:rsid w:val="00FC7524"/>
    <w:rsid w:val="00FC7650"/>
    <w:rsid w:val="00FC79EE"/>
    <w:rsid w:val="00FD0368"/>
    <w:rsid w:val="00FD0399"/>
    <w:rsid w:val="00FD0813"/>
    <w:rsid w:val="00FD0987"/>
    <w:rsid w:val="00FD0B19"/>
    <w:rsid w:val="00FD0BA1"/>
    <w:rsid w:val="00FD0F7E"/>
    <w:rsid w:val="00FD10AD"/>
    <w:rsid w:val="00FD13DF"/>
    <w:rsid w:val="00FD14A3"/>
    <w:rsid w:val="00FD1524"/>
    <w:rsid w:val="00FD198F"/>
    <w:rsid w:val="00FD1E8F"/>
    <w:rsid w:val="00FD1F51"/>
    <w:rsid w:val="00FD1FA3"/>
    <w:rsid w:val="00FD1FE2"/>
    <w:rsid w:val="00FD2272"/>
    <w:rsid w:val="00FD270B"/>
    <w:rsid w:val="00FD27E5"/>
    <w:rsid w:val="00FD2848"/>
    <w:rsid w:val="00FD2990"/>
    <w:rsid w:val="00FD2C4B"/>
    <w:rsid w:val="00FD31F9"/>
    <w:rsid w:val="00FD3753"/>
    <w:rsid w:val="00FD3816"/>
    <w:rsid w:val="00FD3BCE"/>
    <w:rsid w:val="00FD3BF9"/>
    <w:rsid w:val="00FD3F1F"/>
    <w:rsid w:val="00FD402E"/>
    <w:rsid w:val="00FD424D"/>
    <w:rsid w:val="00FD43CA"/>
    <w:rsid w:val="00FD49B0"/>
    <w:rsid w:val="00FD4FBA"/>
    <w:rsid w:val="00FD4FBB"/>
    <w:rsid w:val="00FD50CB"/>
    <w:rsid w:val="00FD5230"/>
    <w:rsid w:val="00FD554D"/>
    <w:rsid w:val="00FD5550"/>
    <w:rsid w:val="00FD5708"/>
    <w:rsid w:val="00FD587D"/>
    <w:rsid w:val="00FD59BF"/>
    <w:rsid w:val="00FD5E02"/>
    <w:rsid w:val="00FD6065"/>
    <w:rsid w:val="00FD65A9"/>
    <w:rsid w:val="00FD674D"/>
    <w:rsid w:val="00FD6B26"/>
    <w:rsid w:val="00FD6D71"/>
    <w:rsid w:val="00FD7233"/>
    <w:rsid w:val="00FD740A"/>
    <w:rsid w:val="00FD7480"/>
    <w:rsid w:val="00FD760C"/>
    <w:rsid w:val="00FD7717"/>
    <w:rsid w:val="00FD78C1"/>
    <w:rsid w:val="00FD7B4C"/>
    <w:rsid w:val="00FD7C27"/>
    <w:rsid w:val="00FD7F17"/>
    <w:rsid w:val="00FD7F87"/>
    <w:rsid w:val="00FE00E5"/>
    <w:rsid w:val="00FE0912"/>
    <w:rsid w:val="00FE0BC2"/>
    <w:rsid w:val="00FE0C70"/>
    <w:rsid w:val="00FE0FA5"/>
    <w:rsid w:val="00FE0FB6"/>
    <w:rsid w:val="00FE14EC"/>
    <w:rsid w:val="00FE181D"/>
    <w:rsid w:val="00FE1927"/>
    <w:rsid w:val="00FE1BE5"/>
    <w:rsid w:val="00FE1D42"/>
    <w:rsid w:val="00FE1D93"/>
    <w:rsid w:val="00FE1F81"/>
    <w:rsid w:val="00FE1FD5"/>
    <w:rsid w:val="00FE2065"/>
    <w:rsid w:val="00FE2382"/>
    <w:rsid w:val="00FE289B"/>
    <w:rsid w:val="00FE2B38"/>
    <w:rsid w:val="00FE2CC3"/>
    <w:rsid w:val="00FE31C1"/>
    <w:rsid w:val="00FE3305"/>
    <w:rsid w:val="00FE3384"/>
    <w:rsid w:val="00FE3531"/>
    <w:rsid w:val="00FE37D6"/>
    <w:rsid w:val="00FE3DA6"/>
    <w:rsid w:val="00FE4235"/>
    <w:rsid w:val="00FE434E"/>
    <w:rsid w:val="00FE4831"/>
    <w:rsid w:val="00FE4EC7"/>
    <w:rsid w:val="00FE4F60"/>
    <w:rsid w:val="00FE4FDE"/>
    <w:rsid w:val="00FE592A"/>
    <w:rsid w:val="00FE59AC"/>
    <w:rsid w:val="00FE5A1A"/>
    <w:rsid w:val="00FE5A3E"/>
    <w:rsid w:val="00FE5D77"/>
    <w:rsid w:val="00FE610D"/>
    <w:rsid w:val="00FE6A6B"/>
    <w:rsid w:val="00FE6D48"/>
    <w:rsid w:val="00FE6E51"/>
    <w:rsid w:val="00FE6E90"/>
    <w:rsid w:val="00FE71F3"/>
    <w:rsid w:val="00FE72C1"/>
    <w:rsid w:val="00FE741D"/>
    <w:rsid w:val="00FE770F"/>
    <w:rsid w:val="00FF002F"/>
    <w:rsid w:val="00FF05B2"/>
    <w:rsid w:val="00FF06B4"/>
    <w:rsid w:val="00FF0F7E"/>
    <w:rsid w:val="00FF1113"/>
    <w:rsid w:val="00FF15FB"/>
    <w:rsid w:val="00FF1BF1"/>
    <w:rsid w:val="00FF1FB5"/>
    <w:rsid w:val="00FF2B06"/>
    <w:rsid w:val="00FF2EA6"/>
    <w:rsid w:val="00FF3079"/>
    <w:rsid w:val="00FF3299"/>
    <w:rsid w:val="00FF33C6"/>
    <w:rsid w:val="00FF3A88"/>
    <w:rsid w:val="00FF3B2C"/>
    <w:rsid w:val="00FF3B39"/>
    <w:rsid w:val="00FF3C28"/>
    <w:rsid w:val="00FF3C6E"/>
    <w:rsid w:val="00FF3E15"/>
    <w:rsid w:val="00FF3F01"/>
    <w:rsid w:val="00FF49ED"/>
    <w:rsid w:val="00FF4B11"/>
    <w:rsid w:val="00FF4BF5"/>
    <w:rsid w:val="00FF4E41"/>
    <w:rsid w:val="00FF4E63"/>
    <w:rsid w:val="00FF51C2"/>
    <w:rsid w:val="00FF5265"/>
    <w:rsid w:val="00FF5399"/>
    <w:rsid w:val="00FF5671"/>
    <w:rsid w:val="00FF6068"/>
    <w:rsid w:val="00FF6530"/>
    <w:rsid w:val="00FF699F"/>
    <w:rsid w:val="00FF6A75"/>
    <w:rsid w:val="00FF6BBC"/>
    <w:rsid w:val="00FF6F92"/>
    <w:rsid w:val="00FF71B5"/>
    <w:rsid w:val="00FF71FD"/>
    <w:rsid w:val="00FF71FF"/>
    <w:rsid w:val="00FF7D2A"/>
    <w:rsid w:val="00FF7DD6"/>
    <w:rsid w:val="00FF7EA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BE22A3"/>
  <w15:chartTrackingRefBased/>
  <w15:docId w15:val="{E458356E-3D5C-4FF2-9937-6FF3E8EB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7B"/>
    <w:pPr>
      <w:spacing w:after="0" w:line="240" w:lineRule="auto"/>
      <w:jc w:val="both"/>
    </w:pPr>
    <w:rPr>
      <w:rFonts w:ascii="Times New Roman" w:hAnsi="Times New Roman"/>
      <w:sz w:val="28"/>
    </w:rPr>
  </w:style>
  <w:style w:type="paragraph" w:styleId="Ttulo1">
    <w:name w:val="heading 1"/>
    <w:basedOn w:val="Normal"/>
    <w:next w:val="Normal"/>
    <w:link w:val="Ttulo1Car"/>
    <w:uiPriority w:val="9"/>
    <w:qFormat/>
    <w:rsid w:val="001B612E"/>
    <w:pPr>
      <w:keepNext/>
      <w:keepLines/>
      <w:spacing w:before="240"/>
      <w:outlineLvl w:val="0"/>
    </w:pPr>
    <w:rPr>
      <w:rFonts w:eastAsiaTheme="majorEastAsia" w:cstheme="majorBidi"/>
      <w:b/>
      <w:color w:val="000000" w:themeColor="text1"/>
      <w:szCs w:val="32"/>
    </w:rPr>
  </w:style>
  <w:style w:type="paragraph" w:styleId="Ttulo2">
    <w:name w:val="heading 2"/>
    <w:basedOn w:val="Normal"/>
    <w:next w:val="Normal"/>
    <w:link w:val="Ttulo2Car"/>
    <w:uiPriority w:val="9"/>
    <w:unhideWhenUsed/>
    <w:qFormat/>
    <w:rsid w:val="0060054B"/>
    <w:pPr>
      <w:keepNext/>
      <w:keepLines/>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FD5E02"/>
    <w:pPr>
      <w:keepNext/>
      <w:keepLines/>
      <w:spacing w:before="40"/>
      <w:outlineLvl w:val="2"/>
    </w:pPr>
    <w:rPr>
      <w:rFonts w:eastAsiaTheme="majorEastAsia" w:cstheme="majorBidi"/>
      <w:b/>
      <w:color w:val="000000" w:themeColor="text1"/>
      <w:szCs w:val="24"/>
    </w:rPr>
  </w:style>
  <w:style w:type="paragraph" w:styleId="Ttulo4">
    <w:name w:val="heading 4"/>
    <w:basedOn w:val="Normal"/>
    <w:next w:val="Normal"/>
    <w:link w:val="Ttulo4Car"/>
    <w:uiPriority w:val="9"/>
    <w:unhideWhenUsed/>
    <w:qFormat/>
    <w:rsid w:val="00422809"/>
    <w:pPr>
      <w:keepNext/>
      <w:keepLines/>
      <w:spacing w:before="40"/>
      <w:outlineLvl w:val="3"/>
    </w:pPr>
    <w:rPr>
      <w:rFonts w:eastAsiaTheme="majorEastAsia" w:cstheme="majorBidi"/>
      <w:b/>
      <w:iCs/>
    </w:rPr>
  </w:style>
  <w:style w:type="paragraph" w:styleId="Ttulo5">
    <w:name w:val="heading 5"/>
    <w:basedOn w:val="Normal"/>
    <w:next w:val="Normal"/>
    <w:link w:val="Ttulo5Car"/>
    <w:uiPriority w:val="9"/>
    <w:unhideWhenUsed/>
    <w:qFormat/>
    <w:rsid w:val="00A82B1E"/>
    <w:pPr>
      <w:keepNext/>
      <w:keepLines/>
      <w:spacing w:before="40"/>
      <w:ind w:left="708"/>
      <w:outlineLvl w:val="4"/>
    </w:pPr>
    <w:rPr>
      <w:rFonts w:eastAsiaTheme="majorEastAsia" w:cstheme="majorBidi"/>
      <w:b/>
    </w:rPr>
  </w:style>
  <w:style w:type="paragraph" w:styleId="Ttulo6">
    <w:name w:val="heading 6"/>
    <w:basedOn w:val="Normal"/>
    <w:next w:val="Normal"/>
    <w:link w:val="Ttulo6Car"/>
    <w:uiPriority w:val="9"/>
    <w:unhideWhenUsed/>
    <w:qFormat/>
    <w:rsid w:val="0012509E"/>
    <w:pPr>
      <w:keepNext/>
      <w:keepLines/>
      <w:outlineLvl w:val="5"/>
    </w:pPr>
    <w:rPr>
      <w:rFonts w:eastAsiaTheme="majorEastAsia" w:cstheme="majorBidi"/>
      <w:b/>
    </w:rPr>
  </w:style>
  <w:style w:type="paragraph" w:styleId="Ttulo7">
    <w:name w:val="heading 7"/>
    <w:basedOn w:val="Normal"/>
    <w:next w:val="Normal"/>
    <w:link w:val="Ttulo7Car"/>
    <w:uiPriority w:val="9"/>
    <w:unhideWhenUsed/>
    <w:qFormat/>
    <w:rsid w:val="006E655D"/>
    <w:pPr>
      <w:keepNext/>
      <w:keepLines/>
      <w:outlineLvl w:val="6"/>
    </w:pPr>
    <w:rPr>
      <w:rFonts w:eastAsiaTheme="majorEastAsia" w:cstheme="majorBidi"/>
      <w:b/>
      <w:iCs/>
      <w:color w:val="000000" w:themeColor="text1"/>
    </w:rPr>
  </w:style>
  <w:style w:type="paragraph" w:styleId="Ttulo8">
    <w:name w:val="heading 8"/>
    <w:basedOn w:val="Normal"/>
    <w:next w:val="Normal"/>
    <w:link w:val="Ttulo8Car"/>
    <w:uiPriority w:val="9"/>
    <w:unhideWhenUsed/>
    <w:qFormat/>
    <w:rsid w:val="006C10B0"/>
    <w:pPr>
      <w:keepNext/>
      <w:keepLines/>
      <w:outlineLvl w:val="7"/>
    </w:pPr>
    <w:rPr>
      <w:rFonts w:eastAsiaTheme="majorEastAsia" w:cstheme="majorBidi"/>
      <w:b/>
      <w:color w:val="272727" w:themeColor="text1" w:themeTint="D8"/>
      <w:szCs w:val="21"/>
    </w:rPr>
  </w:style>
  <w:style w:type="paragraph" w:styleId="Ttulo9">
    <w:name w:val="heading 9"/>
    <w:basedOn w:val="Normal"/>
    <w:next w:val="Normal"/>
    <w:link w:val="Ttulo9Car"/>
    <w:uiPriority w:val="9"/>
    <w:unhideWhenUsed/>
    <w:qFormat/>
    <w:rsid w:val="005A4426"/>
    <w:pPr>
      <w:keepNext/>
      <w:keepLines/>
      <w:outlineLvl w:val="8"/>
    </w:pPr>
    <w:rPr>
      <w:rFonts w:eastAsiaTheme="majorEastAsia" w:cstheme="majorBidi"/>
      <w:b/>
      <w:iCs/>
      <w:color w:val="272727" w:themeColor="text1" w:themeTint="D8"/>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612E"/>
    <w:rPr>
      <w:rFonts w:ascii="Times New Roman" w:eastAsiaTheme="majorEastAsia" w:hAnsi="Times New Roman" w:cstheme="majorBidi"/>
      <w:b/>
      <w:color w:val="000000" w:themeColor="text1"/>
      <w:sz w:val="28"/>
      <w:szCs w:val="32"/>
    </w:rPr>
  </w:style>
  <w:style w:type="character" w:customStyle="1" w:styleId="Ttulo2Car">
    <w:name w:val="Título 2 Car"/>
    <w:basedOn w:val="Fuentedeprrafopredeter"/>
    <w:link w:val="Ttulo2"/>
    <w:uiPriority w:val="9"/>
    <w:rsid w:val="0060054B"/>
    <w:rPr>
      <w:rFonts w:ascii="Times New Roman" w:eastAsiaTheme="majorEastAsia" w:hAnsi="Times New Roman" w:cstheme="majorBidi"/>
      <w:b/>
      <w:sz w:val="28"/>
      <w:szCs w:val="26"/>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qFormat/>
    <w:locked/>
    <w:rsid w:val="00E5257C"/>
    <w:rPr>
      <w:rFonts w:ascii="Times New Roman" w:eastAsia="Arial" w:hAnsi="Times New Roman" w:cs="Arial"/>
      <w:color w:val="000000"/>
      <w:sz w:val="20"/>
      <w:lang w:eastAsia="es-CO"/>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notentext,ft"/>
    <w:basedOn w:val="Normal"/>
    <w:link w:val="TextonotapieCar"/>
    <w:uiPriority w:val="99"/>
    <w:unhideWhenUsed/>
    <w:qFormat/>
    <w:rsid w:val="00E5257C"/>
    <w:rPr>
      <w:rFonts w:eastAsia="Arial" w:cs="Arial"/>
      <w:color w:val="000000"/>
      <w:sz w:val="20"/>
      <w:lang w:eastAsia="es-CO"/>
    </w:rPr>
  </w:style>
  <w:style w:type="character" w:customStyle="1" w:styleId="TextonotapieCar1">
    <w:name w:val="Texto nota pie Car1"/>
    <w:aliases w:val="Ref. de nota al pie1 Car1,Texto de nota al pie Car1,referencia nota al pie Car1,Footnotes refss Car,Appel note de bas de page Car,Fago Fußnotenzeichen Car,Footnote number Car,BVI fnr Car,f Car,4_G Car,16 Point Car,F Car,FC Car"/>
    <w:basedOn w:val="Fuentedeprrafopredeter"/>
    <w:uiPriority w:val="99"/>
    <w:qFormat/>
    <w:rsid w:val="001A73CA"/>
    <w:rPr>
      <w:sz w:val="20"/>
      <w:szCs w:val="20"/>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Pie de P_gi"/>
    <w:link w:val="4GChar"/>
    <w:uiPriority w:val="99"/>
    <w:unhideWhenUsed/>
    <w:qFormat/>
    <w:rsid w:val="001A73C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A73CA"/>
    <w:rPr>
      <w:vertAlign w:val="superscript"/>
    </w:rPr>
  </w:style>
  <w:style w:type="paragraph" w:styleId="Encabezado">
    <w:name w:val="header"/>
    <w:basedOn w:val="Normal"/>
    <w:link w:val="EncabezadoCar"/>
    <w:uiPriority w:val="99"/>
    <w:unhideWhenUsed/>
    <w:rsid w:val="001A73CA"/>
    <w:pPr>
      <w:tabs>
        <w:tab w:val="center" w:pos="4419"/>
        <w:tab w:val="right" w:pos="8838"/>
      </w:tabs>
    </w:pPr>
    <w:rPr>
      <w:rFonts w:eastAsia="Calibri" w:cs="Times New Roman"/>
      <w:color w:val="000000"/>
      <w:szCs w:val="28"/>
    </w:rPr>
  </w:style>
  <w:style w:type="character" w:customStyle="1" w:styleId="EncabezadoCar">
    <w:name w:val="Encabezado Car"/>
    <w:basedOn w:val="Fuentedeprrafopredeter"/>
    <w:link w:val="Encabezado"/>
    <w:uiPriority w:val="99"/>
    <w:rsid w:val="001A73CA"/>
    <w:rPr>
      <w:rFonts w:ascii="Times New Roman" w:eastAsia="Calibri" w:hAnsi="Times New Roman" w:cs="Times New Roman"/>
      <w:color w:val="000000"/>
      <w:sz w:val="28"/>
      <w:szCs w:val="28"/>
    </w:rPr>
  </w:style>
  <w:style w:type="paragraph" w:styleId="Piedepgina">
    <w:name w:val="footer"/>
    <w:basedOn w:val="Normal"/>
    <w:link w:val="PiedepginaCar"/>
    <w:uiPriority w:val="99"/>
    <w:unhideWhenUsed/>
    <w:rsid w:val="001A73CA"/>
    <w:pPr>
      <w:tabs>
        <w:tab w:val="center" w:pos="4419"/>
        <w:tab w:val="right" w:pos="8838"/>
      </w:tabs>
    </w:pPr>
    <w:rPr>
      <w:rFonts w:eastAsia="Calibri" w:cs="Times New Roman"/>
      <w:color w:val="000000"/>
      <w:szCs w:val="28"/>
    </w:rPr>
  </w:style>
  <w:style w:type="character" w:customStyle="1" w:styleId="PiedepginaCar">
    <w:name w:val="Pie de página Car"/>
    <w:basedOn w:val="Fuentedeprrafopredeter"/>
    <w:link w:val="Piedepgina"/>
    <w:uiPriority w:val="99"/>
    <w:rsid w:val="001A73CA"/>
    <w:rPr>
      <w:rFonts w:ascii="Times New Roman" w:eastAsia="Calibri" w:hAnsi="Times New Roman" w:cs="Times New Roman"/>
      <w:color w:val="000000"/>
      <w:sz w:val="28"/>
      <w:szCs w:val="28"/>
    </w:rPr>
  </w:style>
  <w:style w:type="paragraph" w:styleId="Textodeglobo">
    <w:name w:val="Balloon Text"/>
    <w:basedOn w:val="Normal"/>
    <w:link w:val="TextodegloboCar"/>
    <w:uiPriority w:val="99"/>
    <w:semiHidden/>
    <w:unhideWhenUsed/>
    <w:rsid w:val="001A73CA"/>
    <w:rPr>
      <w:rFonts w:ascii="Segoe UI" w:eastAsia="Calibri" w:hAnsi="Segoe UI" w:cs="Segoe UI"/>
      <w:color w:val="000000"/>
      <w:sz w:val="18"/>
      <w:szCs w:val="18"/>
    </w:rPr>
  </w:style>
  <w:style w:type="character" w:customStyle="1" w:styleId="TextodegloboCar">
    <w:name w:val="Texto de globo Car"/>
    <w:basedOn w:val="Fuentedeprrafopredeter"/>
    <w:link w:val="Textodeglobo"/>
    <w:uiPriority w:val="99"/>
    <w:semiHidden/>
    <w:rsid w:val="001A73CA"/>
    <w:rPr>
      <w:rFonts w:ascii="Segoe UI" w:eastAsia="Calibri" w:hAnsi="Segoe UI" w:cs="Segoe UI"/>
      <w:color w:val="000000"/>
      <w:sz w:val="18"/>
      <w:szCs w:val="18"/>
    </w:rPr>
  </w:style>
  <w:style w:type="paragraph" w:styleId="Prrafodelista">
    <w:name w:val="List Paragraph"/>
    <w:aliases w:val="Footnote,Colorful List - Accent 11,List Paragraph2,List Paragraph1,Ha,lp1,Párrafo,Numbered Paragraph,Bullets,titulo 3,BOLADEF,BOLA,Párrafo de lista21,Guión,Titulo 8,HOJA,Chulito,Párrafo de lista3,MIBEX B,TITULO1REQ,Párrafo de lista31"/>
    <w:basedOn w:val="Normal"/>
    <w:link w:val="PrrafodelistaCar"/>
    <w:uiPriority w:val="34"/>
    <w:qFormat/>
    <w:rsid w:val="001A73CA"/>
    <w:pPr>
      <w:spacing w:line="276" w:lineRule="auto"/>
      <w:ind w:left="720"/>
      <w:contextualSpacing/>
    </w:pPr>
    <w:rPr>
      <w:rFonts w:eastAsia="Calibri" w:cs="Times New Roman"/>
      <w:color w:val="000000"/>
      <w:szCs w:val="28"/>
    </w:rPr>
  </w:style>
  <w:style w:type="character" w:styleId="Refdecomentario">
    <w:name w:val="annotation reference"/>
    <w:basedOn w:val="Fuentedeprrafopredeter"/>
    <w:uiPriority w:val="99"/>
    <w:semiHidden/>
    <w:unhideWhenUsed/>
    <w:rsid w:val="001A73CA"/>
    <w:rPr>
      <w:sz w:val="16"/>
      <w:szCs w:val="16"/>
    </w:rPr>
  </w:style>
  <w:style w:type="paragraph" w:styleId="Textocomentario">
    <w:name w:val="annotation text"/>
    <w:basedOn w:val="Normal"/>
    <w:link w:val="TextocomentarioCar"/>
    <w:uiPriority w:val="99"/>
    <w:unhideWhenUsed/>
    <w:rsid w:val="001A73CA"/>
    <w:rPr>
      <w:rFonts w:eastAsia="Calibri" w:cs="Times New Roman"/>
      <w:color w:val="000000"/>
      <w:sz w:val="20"/>
      <w:szCs w:val="20"/>
    </w:rPr>
  </w:style>
  <w:style w:type="character" w:customStyle="1" w:styleId="TextocomentarioCar">
    <w:name w:val="Texto comentario Car"/>
    <w:basedOn w:val="Fuentedeprrafopredeter"/>
    <w:link w:val="Textocomentario"/>
    <w:uiPriority w:val="99"/>
    <w:rsid w:val="001A73CA"/>
    <w:rPr>
      <w:rFonts w:ascii="Times New Roman" w:eastAsia="Calibri" w:hAnsi="Times New Roman"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1A73CA"/>
    <w:rPr>
      <w:b/>
      <w:bCs/>
    </w:rPr>
  </w:style>
  <w:style w:type="character" w:customStyle="1" w:styleId="AsuntodelcomentarioCar">
    <w:name w:val="Asunto del comentario Car"/>
    <w:basedOn w:val="TextocomentarioCar"/>
    <w:link w:val="Asuntodelcomentario"/>
    <w:uiPriority w:val="99"/>
    <w:semiHidden/>
    <w:rsid w:val="001A73CA"/>
    <w:rPr>
      <w:rFonts w:ascii="Times New Roman" w:eastAsia="Calibri" w:hAnsi="Times New Roman" w:cs="Times New Roman"/>
      <w:b/>
      <w:bCs/>
      <w:color w:val="000000"/>
      <w:sz w:val="20"/>
      <w:szCs w:val="20"/>
    </w:rPr>
  </w:style>
  <w:style w:type="paragraph" w:styleId="NormalWeb">
    <w:name w:val="Normal (Web)"/>
    <w:basedOn w:val="Normal"/>
    <w:uiPriority w:val="99"/>
    <w:unhideWhenUsed/>
    <w:rsid w:val="001A73CA"/>
    <w:pPr>
      <w:spacing w:before="100" w:beforeAutospacing="1" w:after="100" w:afterAutospacing="1"/>
    </w:pPr>
    <w:rPr>
      <w:rFonts w:eastAsia="Times New Roman" w:cs="Times New Roman"/>
      <w:sz w:val="24"/>
      <w:szCs w:val="24"/>
      <w:lang w:eastAsia="es-CO"/>
    </w:rPr>
  </w:style>
  <w:style w:type="paragraph" w:styleId="Sinespaciado">
    <w:name w:val="No Spacing"/>
    <w:aliases w:val="CAPITULO I"/>
    <w:link w:val="SinespaciadoCar"/>
    <w:uiPriority w:val="1"/>
    <w:qFormat/>
    <w:rsid w:val="001A73CA"/>
    <w:pPr>
      <w:spacing w:after="0" w:line="240" w:lineRule="auto"/>
    </w:pPr>
    <w:rPr>
      <w:rFonts w:ascii="Times New Roman" w:eastAsia="Calibri" w:hAnsi="Times New Roman" w:cs="Times New Roman"/>
      <w:color w:val="000000"/>
      <w:sz w:val="28"/>
      <w:szCs w:val="28"/>
    </w:rPr>
  </w:style>
  <w:style w:type="character" w:styleId="Hipervnculo">
    <w:name w:val="Hyperlink"/>
    <w:basedOn w:val="Fuentedeprrafopredeter"/>
    <w:uiPriority w:val="99"/>
    <w:unhideWhenUsed/>
    <w:rsid w:val="001A73CA"/>
    <w:rPr>
      <w:color w:val="0000FF"/>
      <w:u w:val="single"/>
    </w:rPr>
  </w:style>
  <w:style w:type="character" w:customStyle="1" w:styleId="iaj">
    <w:name w:val="i_aj"/>
    <w:basedOn w:val="Fuentedeprrafopredeter"/>
    <w:rsid w:val="001A73CA"/>
  </w:style>
  <w:style w:type="character" w:styleId="Textoennegrita">
    <w:name w:val="Strong"/>
    <w:basedOn w:val="Fuentedeprrafopredeter"/>
    <w:uiPriority w:val="22"/>
    <w:qFormat/>
    <w:rsid w:val="001A73CA"/>
    <w:rPr>
      <w:b/>
      <w:bCs/>
    </w:rPr>
  </w:style>
  <w:style w:type="table" w:styleId="Tablaconcuadrcula">
    <w:name w:val="Table Grid"/>
    <w:basedOn w:val="Tablanormal"/>
    <w:uiPriority w:val="39"/>
    <w:rsid w:val="001A7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1A7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intenso">
    <w:name w:val="Intense Emphasis"/>
    <w:basedOn w:val="Fuentedeprrafopredeter"/>
    <w:uiPriority w:val="21"/>
    <w:qFormat/>
    <w:rsid w:val="001A73CA"/>
    <w:rPr>
      <w:i/>
      <w:iCs/>
      <w:color w:val="4472C4" w:themeColor="accent1"/>
    </w:rPr>
  </w:style>
  <w:style w:type="paragraph" w:styleId="Revisin">
    <w:name w:val="Revision"/>
    <w:hidden/>
    <w:uiPriority w:val="99"/>
    <w:semiHidden/>
    <w:rsid w:val="001A73CA"/>
    <w:pPr>
      <w:spacing w:after="0" w:line="240" w:lineRule="auto"/>
    </w:pPr>
  </w:style>
  <w:style w:type="character" w:styleId="Textodelmarcadordeposicin">
    <w:name w:val="Placeholder Text"/>
    <w:basedOn w:val="Fuentedeprrafopredeter"/>
    <w:uiPriority w:val="99"/>
    <w:semiHidden/>
    <w:rsid w:val="001A73CA"/>
    <w:rPr>
      <w:color w:val="808080"/>
    </w:rPr>
  </w:style>
  <w:style w:type="paragraph" w:styleId="Textoindependiente">
    <w:name w:val="Body Text"/>
    <w:basedOn w:val="Normal"/>
    <w:link w:val="TextoindependienteCar"/>
    <w:uiPriority w:val="99"/>
    <w:semiHidden/>
    <w:rsid w:val="001A73CA"/>
    <w:pPr>
      <w:spacing w:after="120"/>
    </w:pPr>
    <w:rPr>
      <w:rFonts w:eastAsia="Times New Roman" w:cs="Times New Roman"/>
      <w:position w:val="6"/>
      <w:szCs w:val="28"/>
      <w:lang w:eastAsia="es-ES"/>
    </w:rPr>
  </w:style>
  <w:style w:type="character" w:customStyle="1" w:styleId="TextoindependienteCar">
    <w:name w:val="Texto independiente Car"/>
    <w:basedOn w:val="Fuentedeprrafopredeter"/>
    <w:link w:val="Textoindependiente"/>
    <w:uiPriority w:val="99"/>
    <w:semiHidden/>
    <w:rsid w:val="001A73CA"/>
    <w:rPr>
      <w:rFonts w:ascii="Times New Roman" w:eastAsia="Times New Roman" w:hAnsi="Times New Roman" w:cs="Times New Roman"/>
      <w:position w:val="6"/>
      <w:sz w:val="28"/>
      <w:szCs w:val="28"/>
      <w:lang w:eastAsia="es-ES"/>
    </w:rPr>
  </w:style>
  <w:style w:type="character" w:customStyle="1" w:styleId="apple-style-span">
    <w:name w:val="apple-style-span"/>
    <w:uiPriority w:val="99"/>
    <w:rsid w:val="001A73CA"/>
    <w:rPr>
      <w:rFonts w:eastAsia="Times New Roman"/>
      <w:lang w:val="es-CO" w:eastAsia="es-CO"/>
    </w:rPr>
  </w:style>
  <w:style w:type="character" w:customStyle="1" w:styleId="Ref">
    <w:name w:val="Ref"/>
    <w:aliases w:val="de nota al pie"/>
    <w:rsid w:val="001A73CA"/>
    <w:rPr>
      <w:vertAlign w:val="superscript"/>
    </w:rPr>
  </w:style>
  <w:style w:type="character" w:customStyle="1" w:styleId="iaj0">
    <w:name w:val="iaj"/>
    <w:basedOn w:val="Fuentedeprrafopredeter"/>
    <w:rsid w:val="001A73CA"/>
  </w:style>
  <w:style w:type="character" w:customStyle="1" w:styleId="PrrafodelistaCar">
    <w:name w:val="Párrafo de lista Car"/>
    <w:aliases w:val="Footnote Car,Colorful List - Accent 11 Car,List Paragraph2 Car,List Paragraph1 Car,Ha Car,lp1 Car,Párrafo Car,Numbered Paragraph Car,Bullets Car,titulo 3 Car,BOLADEF Car,BOLA Car,Párrafo de lista21 Car,Guión Car,Titulo 8 Car"/>
    <w:link w:val="Prrafodelista"/>
    <w:uiPriority w:val="34"/>
    <w:qFormat/>
    <w:locked/>
    <w:rsid w:val="001A73CA"/>
    <w:rPr>
      <w:rFonts w:ascii="Times New Roman" w:eastAsia="Calibri" w:hAnsi="Times New Roman" w:cs="Times New Roman"/>
      <w:color w:val="000000"/>
      <w:sz w:val="28"/>
      <w:szCs w:val="28"/>
    </w:rPr>
  </w:style>
  <w:style w:type="character" w:customStyle="1" w:styleId="apple-converted-space">
    <w:name w:val="apple-converted-space"/>
    <w:basedOn w:val="Fuentedeprrafopredeter"/>
    <w:rsid w:val="001A73CA"/>
  </w:style>
  <w:style w:type="paragraph" w:customStyle="1" w:styleId="Piedepagina">
    <w:name w:val="Pie de pagina"/>
    <w:aliases w:val="Ref. de nota al pie2"/>
    <w:basedOn w:val="Normal"/>
    <w:uiPriority w:val="99"/>
    <w:rsid w:val="00EF731B"/>
    <w:pPr>
      <w:spacing w:line="240" w:lineRule="exact"/>
    </w:pPr>
    <w:rPr>
      <w:vertAlign w:val="superscript"/>
    </w:rPr>
  </w:style>
  <w:style w:type="character" w:customStyle="1" w:styleId="SinespaciadoCar">
    <w:name w:val="Sin espaciado Car"/>
    <w:aliases w:val="CAPITULO I Car"/>
    <w:basedOn w:val="Fuentedeprrafopredeter"/>
    <w:link w:val="Sinespaciado"/>
    <w:uiPriority w:val="1"/>
    <w:locked/>
    <w:rsid w:val="00EF731B"/>
    <w:rPr>
      <w:rFonts w:ascii="Times New Roman" w:eastAsia="Calibri" w:hAnsi="Times New Roman" w:cs="Times New Roman"/>
      <w:color w:val="000000"/>
      <w:sz w:val="28"/>
      <w:szCs w:val="28"/>
    </w:rPr>
  </w:style>
  <w:style w:type="paragraph" w:customStyle="1" w:styleId="Sinespaciado1">
    <w:name w:val="Sin espaciado1"/>
    <w:link w:val="NoSpacingChar"/>
    <w:qFormat/>
    <w:rsid w:val="00EF731B"/>
    <w:pPr>
      <w:spacing w:after="0" w:line="240" w:lineRule="auto"/>
    </w:pPr>
    <w:rPr>
      <w:rFonts w:ascii="Times New Roman" w:eastAsia="Times New Roman" w:hAnsi="Times New Roman" w:cs="Times New Roman"/>
      <w:sz w:val="24"/>
      <w:szCs w:val="24"/>
      <w:lang w:eastAsia="es-ES"/>
    </w:rPr>
  </w:style>
  <w:style w:type="character" w:customStyle="1" w:styleId="NoSpacingChar">
    <w:name w:val="No Spacing Char"/>
    <w:link w:val="Sinespaciado1"/>
    <w:locked/>
    <w:rsid w:val="00EF731B"/>
    <w:rPr>
      <w:rFonts w:ascii="Times New Roman" w:eastAsia="Times New Roman" w:hAnsi="Times New Roman" w:cs="Times New Roman"/>
      <w:sz w:val="24"/>
      <w:szCs w:val="24"/>
      <w:lang w:eastAsia="es-ES"/>
    </w:rPr>
  </w:style>
  <w:style w:type="character" w:customStyle="1" w:styleId="FontStyle21">
    <w:name w:val="Font Style21"/>
    <w:uiPriority w:val="99"/>
    <w:rsid w:val="00EF731B"/>
    <w:rPr>
      <w:rFonts w:ascii="Times New Roman" w:hAnsi="Times New Roman" w:cs="Times New Roman"/>
      <w:sz w:val="26"/>
      <w:szCs w:val="26"/>
    </w:rPr>
  </w:style>
  <w:style w:type="paragraph" w:customStyle="1" w:styleId="Style4">
    <w:name w:val="Style4"/>
    <w:basedOn w:val="Normal"/>
    <w:uiPriority w:val="99"/>
    <w:rsid w:val="00EF731B"/>
    <w:pPr>
      <w:widowControl w:val="0"/>
      <w:autoSpaceDE w:val="0"/>
      <w:autoSpaceDN w:val="0"/>
      <w:adjustRightInd w:val="0"/>
      <w:spacing w:line="360" w:lineRule="exact"/>
    </w:pPr>
    <w:rPr>
      <w:rFonts w:eastAsia="MS Mincho" w:cs="Times New Roman"/>
      <w:sz w:val="24"/>
      <w:szCs w:val="24"/>
      <w:u w:color="000000"/>
      <w:lang w:val="es-ES" w:eastAsia="es-ES"/>
    </w:rPr>
  </w:style>
  <w:style w:type="paragraph" w:styleId="Textonotaalfinal">
    <w:name w:val="endnote text"/>
    <w:basedOn w:val="Normal"/>
    <w:link w:val="TextonotaalfinalCar"/>
    <w:uiPriority w:val="99"/>
    <w:semiHidden/>
    <w:unhideWhenUsed/>
    <w:rsid w:val="00453094"/>
    <w:rPr>
      <w:sz w:val="20"/>
      <w:szCs w:val="20"/>
    </w:rPr>
  </w:style>
  <w:style w:type="character" w:customStyle="1" w:styleId="TextonotaalfinalCar">
    <w:name w:val="Texto nota al final Car"/>
    <w:basedOn w:val="Fuentedeprrafopredeter"/>
    <w:link w:val="Textonotaalfinal"/>
    <w:uiPriority w:val="99"/>
    <w:semiHidden/>
    <w:rsid w:val="00453094"/>
    <w:rPr>
      <w:sz w:val="20"/>
      <w:szCs w:val="20"/>
    </w:rPr>
  </w:style>
  <w:style w:type="character" w:styleId="Refdenotaalfinal">
    <w:name w:val="endnote reference"/>
    <w:basedOn w:val="Fuentedeprrafopredeter"/>
    <w:uiPriority w:val="99"/>
    <w:semiHidden/>
    <w:unhideWhenUsed/>
    <w:rsid w:val="00453094"/>
    <w:rPr>
      <w:vertAlign w:val="superscript"/>
    </w:rPr>
  </w:style>
  <w:style w:type="character" w:customStyle="1" w:styleId="Mencinsinresolver1">
    <w:name w:val="Mención sin resolver1"/>
    <w:basedOn w:val="Fuentedeprrafopredeter"/>
    <w:uiPriority w:val="99"/>
    <w:semiHidden/>
    <w:unhideWhenUsed/>
    <w:rsid w:val="00501CA8"/>
    <w:rPr>
      <w:color w:val="605E5C"/>
      <w:shd w:val="clear" w:color="auto" w:fill="E1DFDD"/>
    </w:rPr>
  </w:style>
  <w:style w:type="paragraph" w:customStyle="1" w:styleId="Normal1">
    <w:name w:val="Normal1"/>
    <w:rsid w:val="00E14CB8"/>
    <w:rPr>
      <w:rFonts w:ascii="Calibri" w:eastAsia="Times New Roman" w:hAnsi="Calibri" w:cs="Calibri"/>
      <w:color w:val="000000"/>
      <w:lang w:val="es-ES" w:eastAsia="es-ES"/>
    </w:rPr>
  </w:style>
  <w:style w:type="paragraph" w:customStyle="1" w:styleId="Default">
    <w:name w:val="Default"/>
    <w:rsid w:val="00544643"/>
    <w:pPr>
      <w:autoSpaceDE w:val="0"/>
      <w:autoSpaceDN w:val="0"/>
      <w:adjustRightInd w:val="0"/>
      <w:spacing w:after="0" w:line="240" w:lineRule="auto"/>
    </w:pPr>
    <w:rPr>
      <w:rFonts w:ascii="Arial" w:hAnsi="Arial" w:cs="Arial"/>
      <w:color w:val="000000"/>
      <w:sz w:val="24"/>
      <w:szCs w:val="24"/>
    </w:rPr>
  </w:style>
  <w:style w:type="table" w:customStyle="1" w:styleId="Tablaconcuadrcula4">
    <w:name w:val="Tabla con cuadrícula4"/>
    <w:basedOn w:val="Tablanormal"/>
    <w:next w:val="Tablaconcuadrcula"/>
    <w:uiPriority w:val="59"/>
    <w:rsid w:val="00735C93"/>
    <w:pPr>
      <w:spacing w:after="0" w:line="240" w:lineRule="auto"/>
    </w:pPr>
    <w:rPr>
      <w:rFonts w:ascii="Calibri" w:eastAsia="Times New Roman" w:hAnsi="Calibri" w:cs="Times New Roman"/>
      <w:sz w:val="20"/>
      <w:szCs w:val="2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D5E02"/>
    <w:rPr>
      <w:rFonts w:ascii="Times New Roman" w:eastAsiaTheme="majorEastAsia" w:hAnsi="Times New Roman" w:cstheme="majorBidi"/>
      <w:b/>
      <w:color w:val="000000" w:themeColor="text1"/>
      <w:sz w:val="28"/>
      <w:szCs w:val="24"/>
    </w:rPr>
  </w:style>
  <w:style w:type="paragraph" w:customStyle="1" w:styleId="Listamedia2-nfasis41">
    <w:name w:val="Lista media 2 - Énfasis 41"/>
    <w:basedOn w:val="Normal"/>
    <w:uiPriority w:val="34"/>
    <w:qFormat/>
    <w:rsid w:val="003F37B0"/>
    <w:pPr>
      <w:shd w:val="clear" w:color="auto" w:fill="FFFFFF"/>
      <w:ind w:left="720"/>
      <w:contextualSpacing/>
      <w:textAlignment w:val="baseline"/>
    </w:pPr>
    <w:rPr>
      <w:rFonts w:eastAsia="Times New Roman" w:cs="Times New Roman"/>
      <w:color w:val="000000" w:themeColor="text1"/>
      <w:szCs w:val="28"/>
      <w:lang w:val="pt-BR" w:eastAsia="pt-BR"/>
    </w:rPr>
  </w:style>
  <w:style w:type="table" w:customStyle="1" w:styleId="Tablaconcuadrcula2">
    <w:name w:val="Tabla con cuadrícula2"/>
    <w:basedOn w:val="Tablanormal"/>
    <w:next w:val="Tablaconcuadrcula"/>
    <w:uiPriority w:val="39"/>
    <w:rsid w:val="00756351"/>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563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422809"/>
    <w:rPr>
      <w:rFonts w:ascii="Times New Roman" w:eastAsiaTheme="majorEastAsia" w:hAnsi="Times New Roman" w:cstheme="majorBidi"/>
      <w:b/>
      <w:iCs/>
      <w:sz w:val="28"/>
    </w:rPr>
  </w:style>
  <w:style w:type="table" w:customStyle="1" w:styleId="Tablaconcuadrcula15">
    <w:name w:val="Tabla con cuadrícula15"/>
    <w:basedOn w:val="Tablanormal"/>
    <w:next w:val="Tablaconcuadrcula"/>
    <w:uiPriority w:val="39"/>
    <w:rsid w:val="00404DA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5Car">
    <w:name w:val="Título 5 Car"/>
    <w:basedOn w:val="Fuentedeprrafopredeter"/>
    <w:link w:val="Ttulo5"/>
    <w:uiPriority w:val="9"/>
    <w:rsid w:val="00A82B1E"/>
    <w:rPr>
      <w:rFonts w:ascii="Times New Roman" w:eastAsiaTheme="majorEastAsia" w:hAnsi="Times New Roman" w:cstheme="majorBidi"/>
      <w:b/>
      <w:sz w:val="28"/>
    </w:rPr>
  </w:style>
  <w:style w:type="paragraph" w:customStyle="1" w:styleId="Cuerpo">
    <w:name w:val="Cuerpo"/>
    <w:rsid w:val="000250F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u w:color="000000"/>
      <w:bdr w:val="nil"/>
      <w:lang w:eastAsia="es-CO"/>
    </w:rPr>
  </w:style>
  <w:style w:type="paragraph" w:styleId="Lista">
    <w:name w:val="List"/>
    <w:basedOn w:val="Normal"/>
    <w:unhideWhenUsed/>
    <w:rsid w:val="00533BFE"/>
    <w:pPr>
      <w:spacing w:after="200" w:line="276" w:lineRule="auto"/>
      <w:ind w:left="283" w:hanging="283"/>
      <w:contextualSpacing/>
    </w:pPr>
    <w:rPr>
      <w:rFonts w:eastAsia="Times New Roman" w:cs="Times New Roman"/>
      <w:szCs w:val="24"/>
    </w:rPr>
  </w:style>
  <w:style w:type="paragraph" w:customStyle="1" w:styleId="Sombreadomedio1-nfasis11">
    <w:name w:val="Sombreado medio 1 - Énfasis 11"/>
    <w:uiPriority w:val="1"/>
    <w:qFormat/>
    <w:rsid w:val="00533BFE"/>
    <w:pPr>
      <w:spacing w:after="0" w:line="240" w:lineRule="auto"/>
    </w:pPr>
    <w:rPr>
      <w:rFonts w:ascii="Calibri" w:eastAsia="Times New Roman" w:hAnsi="Calibri" w:cs="Calibri"/>
      <w:color w:val="000000"/>
      <w:lang w:val="es-ES_tradnl" w:eastAsia="es-ES"/>
    </w:rPr>
  </w:style>
  <w:style w:type="table" w:customStyle="1" w:styleId="Tablaconcuadrcula5">
    <w:name w:val="Tabla con cuadrícula5"/>
    <w:basedOn w:val="Tablanormal"/>
    <w:next w:val="Tablaconcuadrcula"/>
    <w:uiPriority w:val="39"/>
    <w:rsid w:val="003E7810"/>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B1492C"/>
    <w:pPr>
      <w:spacing w:after="0" w:line="240" w:lineRule="auto"/>
    </w:pPr>
    <w:rPr>
      <w:rFont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5C393B"/>
    <w:pPr>
      <w:spacing w:after="0" w:line="240" w:lineRule="auto"/>
    </w:pPr>
    <w:rPr>
      <w:rFonts w:eastAsia="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a5"/>
    <w:basedOn w:val="Fuentedeprrafopredeter"/>
    <w:rsid w:val="00406ED9"/>
  </w:style>
  <w:style w:type="character" w:customStyle="1" w:styleId="Ttulo6Car">
    <w:name w:val="Título 6 Car"/>
    <w:basedOn w:val="Fuentedeprrafopredeter"/>
    <w:link w:val="Ttulo6"/>
    <w:uiPriority w:val="9"/>
    <w:rsid w:val="0012509E"/>
    <w:rPr>
      <w:rFonts w:ascii="Times New Roman" w:eastAsiaTheme="majorEastAsia" w:hAnsi="Times New Roman" w:cstheme="majorBidi"/>
      <w:b/>
      <w:sz w:val="28"/>
    </w:rPr>
  </w:style>
  <w:style w:type="character" w:customStyle="1" w:styleId="Ttulo7Car">
    <w:name w:val="Título 7 Car"/>
    <w:basedOn w:val="Fuentedeprrafopredeter"/>
    <w:link w:val="Ttulo7"/>
    <w:uiPriority w:val="9"/>
    <w:rsid w:val="006E655D"/>
    <w:rPr>
      <w:rFonts w:ascii="Times New Roman" w:eastAsiaTheme="majorEastAsia" w:hAnsi="Times New Roman" w:cstheme="majorBidi"/>
      <w:b/>
      <w:iCs/>
      <w:color w:val="000000" w:themeColor="text1"/>
      <w:sz w:val="28"/>
    </w:rPr>
  </w:style>
  <w:style w:type="character" w:customStyle="1" w:styleId="Ttulo8Car">
    <w:name w:val="Título 8 Car"/>
    <w:basedOn w:val="Fuentedeprrafopredeter"/>
    <w:link w:val="Ttulo8"/>
    <w:uiPriority w:val="9"/>
    <w:rsid w:val="006C10B0"/>
    <w:rPr>
      <w:rFonts w:ascii="Times New Roman" w:eastAsiaTheme="majorEastAsia" w:hAnsi="Times New Roman" w:cstheme="majorBidi"/>
      <w:b/>
      <w:color w:val="272727" w:themeColor="text1" w:themeTint="D8"/>
      <w:sz w:val="28"/>
      <w:szCs w:val="21"/>
    </w:rPr>
  </w:style>
  <w:style w:type="character" w:customStyle="1" w:styleId="Ttulo9Car">
    <w:name w:val="Título 9 Car"/>
    <w:basedOn w:val="Fuentedeprrafopredeter"/>
    <w:link w:val="Ttulo9"/>
    <w:uiPriority w:val="9"/>
    <w:rsid w:val="005A4426"/>
    <w:rPr>
      <w:rFonts w:ascii="Times New Roman" w:eastAsiaTheme="majorEastAsia" w:hAnsi="Times New Roman" w:cstheme="majorBidi"/>
      <w:b/>
      <w:iCs/>
      <w:color w:val="272727" w:themeColor="text1" w:themeTint="D8"/>
      <w:sz w:val="28"/>
      <w:szCs w:val="21"/>
    </w:rPr>
  </w:style>
  <w:style w:type="table" w:customStyle="1" w:styleId="Tablaconcuadrcula54">
    <w:name w:val="Tabla con cuadrícula54"/>
    <w:basedOn w:val="Tablanormal"/>
    <w:next w:val="Tablaconcuadrcula"/>
    <w:uiPriority w:val="39"/>
    <w:rsid w:val="00332C5C"/>
    <w:pPr>
      <w:spacing w:after="0" w:line="240" w:lineRule="auto"/>
    </w:pPr>
    <w:rPr>
      <w:rFonts w:ascii="Times New Roman" w:eastAsia="Calibri"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332C5C"/>
    <w:pPr>
      <w:spacing w:after="0" w:line="240" w:lineRule="auto"/>
    </w:pPr>
    <w:rPr>
      <w:rFonts w:ascii="Times New Roman" w:eastAsia="Calibri"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 1"/>
    <w:basedOn w:val="Lista"/>
    <w:link w:val="Normal1Car"/>
    <w:qFormat/>
    <w:rsid w:val="00EF572B"/>
    <w:pPr>
      <w:tabs>
        <w:tab w:val="left" w:pos="0"/>
        <w:tab w:val="left" w:pos="567"/>
      </w:tabs>
      <w:spacing w:after="0" w:line="240" w:lineRule="auto"/>
      <w:ind w:left="0" w:firstLine="0"/>
    </w:pPr>
    <w:rPr>
      <w:rFonts w:eastAsia="Calibri"/>
      <w:szCs w:val="28"/>
      <w:lang w:val="es-ES_tradnl"/>
    </w:rPr>
  </w:style>
  <w:style w:type="character" w:customStyle="1" w:styleId="Normal1Car">
    <w:name w:val="Normal 1 Car"/>
    <w:basedOn w:val="Fuentedeprrafopredeter"/>
    <w:link w:val="Normal10"/>
    <w:rsid w:val="00EF572B"/>
    <w:rPr>
      <w:rFonts w:ascii="Times New Roman" w:eastAsia="Calibri" w:hAnsi="Times New Roman" w:cs="Times New Roman"/>
      <w:sz w:val="28"/>
      <w:szCs w:val="28"/>
      <w:lang w:val="es-ES_tradnl"/>
    </w:rPr>
  </w:style>
  <w:style w:type="paragraph" w:customStyle="1" w:styleId="Ttulo11">
    <w:name w:val="Título 11"/>
    <w:basedOn w:val="Normal"/>
    <w:uiPriority w:val="99"/>
    <w:rsid w:val="004E3D83"/>
    <w:pPr>
      <w:numPr>
        <w:numId w:val="1"/>
      </w:numPr>
      <w:jc w:val="left"/>
    </w:pPr>
    <w:rPr>
      <w:rFonts w:eastAsia="Times New Roman" w:cs="Times New Roman"/>
      <w:sz w:val="24"/>
      <w:szCs w:val="24"/>
      <w:lang w:val="es-ES" w:eastAsia="es-ES"/>
    </w:rPr>
  </w:style>
  <w:style w:type="paragraph" w:customStyle="1" w:styleId="Ttulo21">
    <w:name w:val="Título 21"/>
    <w:basedOn w:val="Normal"/>
    <w:uiPriority w:val="99"/>
    <w:rsid w:val="004E3D83"/>
    <w:pPr>
      <w:numPr>
        <w:ilvl w:val="1"/>
        <w:numId w:val="2"/>
      </w:numPr>
      <w:jc w:val="left"/>
    </w:pPr>
    <w:rPr>
      <w:rFonts w:eastAsia="Times New Roman" w:cs="Times New Roman"/>
      <w:sz w:val="24"/>
      <w:szCs w:val="24"/>
      <w:lang w:val="es-ES" w:eastAsia="es-ES"/>
    </w:rPr>
  </w:style>
  <w:style w:type="paragraph" w:customStyle="1" w:styleId="Ttulo31">
    <w:name w:val="Título 31"/>
    <w:basedOn w:val="Normal"/>
    <w:uiPriority w:val="99"/>
    <w:rsid w:val="004E3D83"/>
    <w:pPr>
      <w:numPr>
        <w:ilvl w:val="2"/>
        <w:numId w:val="3"/>
      </w:numPr>
      <w:jc w:val="left"/>
    </w:pPr>
    <w:rPr>
      <w:rFonts w:eastAsia="Times New Roman" w:cs="Times New Roman"/>
      <w:sz w:val="24"/>
      <w:szCs w:val="24"/>
      <w:lang w:val="es-ES" w:eastAsia="es-ES"/>
    </w:rPr>
  </w:style>
  <w:style w:type="paragraph" w:customStyle="1" w:styleId="Ttulo41">
    <w:name w:val="Título 41"/>
    <w:basedOn w:val="Normal"/>
    <w:uiPriority w:val="99"/>
    <w:rsid w:val="004E3D83"/>
    <w:pPr>
      <w:numPr>
        <w:ilvl w:val="3"/>
        <w:numId w:val="4"/>
      </w:numPr>
      <w:jc w:val="left"/>
    </w:pPr>
    <w:rPr>
      <w:rFonts w:eastAsia="Times New Roman" w:cs="Times New Roman"/>
      <w:sz w:val="24"/>
      <w:szCs w:val="24"/>
      <w:lang w:val="es-ES" w:eastAsia="es-ES"/>
    </w:rPr>
  </w:style>
  <w:style w:type="paragraph" w:customStyle="1" w:styleId="Ttulo51">
    <w:name w:val="Título 51"/>
    <w:basedOn w:val="Normal"/>
    <w:uiPriority w:val="99"/>
    <w:rsid w:val="004E3D83"/>
    <w:pPr>
      <w:numPr>
        <w:ilvl w:val="4"/>
        <w:numId w:val="5"/>
      </w:numPr>
      <w:jc w:val="left"/>
    </w:pPr>
    <w:rPr>
      <w:rFonts w:eastAsia="Times New Roman" w:cs="Times New Roman"/>
      <w:sz w:val="24"/>
      <w:szCs w:val="24"/>
      <w:lang w:val="es-ES" w:eastAsia="es-ES"/>
    </w:rPr>
  </w:style>
  <w:style w:type="paragraph" w:customStyle="1" w:styleId="Ttulo61">
    <w:name w:val="Título 61"/>
    <w:basedOn w:val="Normal"/>
    <w:uiPriority w:val="99"/>
    <w:rsid w:val="004E3D83"/>
    <w:pPr>
      <w:numPr>
        <w:ilvl w:val="5"/>
        <w:numId w:val="6"/>
      </w:numPr>
      <w:jc w:val="left"/>
    </w:pPr>
    <w:rPr>
      <w:rFonts w:eastAsia="Times New Roman" w:cs="Times New Roman"/>
      <w:sz w:val="24"/>
      <w:szCs w:val="24"/>
      <w:lang w:val="es-ES" w:eastAsia="es-ES"/>
    </w:rPr>
  </w:style>
  <w:style w:type="paragraph" w:customStyle="1" w:styleId="Ttulo71">
    <w:name w:val="Título 71"/>
    <w:basedOn w:val="Normal"/>
    <w:uiPriority w:val="99"/>
    <w:rsid w:val="004E3D83"/>
    <w:pPr>
      <w:numPr>
        <w:ilvl w:val="6"/>
        <w:numId w:val="7"/>
      </w:numPr>
      <w:jc w:val="left"/>
    </w:pPr>
    <w:rPr>
      <w:rFonts w:eastAsia="Times New Roman" w:cs="Times New Roman"/>
      <w:sz w:val="24"/>
      <w:szCs w:val="24"/>
      <w:lang w:val="es-ES" w:eastAsia="es-ES"/>
    </w:rPr>
  </w:style>
  <w:style w:type="paragraph" w:customStyle="1" w:styleId="Ttulo81">
    <w:name w:val="Título 81"/>
    <w:basedOn w:val="Normal"/>
    <w:uiPriority w:val="99"/>
    <w:rsid w:val="004E3D83"/>
    <w:pPr>
      <w:numPr>
        <w:ilvl w:val="7"/>
        <w:numId w:val="8"/>
      </w:numPr>
      <w:jc w:val="left"/>
    </w:pPr>
    <w:rPr>
      <w:rFonts w:eastAsia="Times New Roman" w:cs="Times New Roman"/>
      <w:sz w:val="24"/>
      <w:szCs w:val="24"/>
      <w:lang w:val="es-ES" w:eastAsia="es-ES"/>
    </w:rPr>
  </w:style>
  <w:style w:type="paragraph" w:customStyle="1" w:styleId="Ttulo91">
    <w:name w:val="Título 91"/>
    <w:basedOn w:val="Normal"/>
    <w:uiPriority w:val="99"/>
    <w:rsid w:val="004E3D83"/>
    <w:pPr>
      <w:numPr>
        <w:ilvl w:val="8"/>
        <w:numId w:val="9"/>
      </w:numPr>
      <w:jc w:val="left"/>
    </w:pPr>
    <w:rPr>
      <w:rFonts w:eastAsia="Times New Roman" w:cs="Times New Roman"/>
      <w:sz w:val="24"/>
      <w:szCs w:val="24"/>
      <w:lang w:val="es-ES" w:eastAsia="es-ES"/>
    </w:rPr>
  </w:style>
  <w:style w:type="paragraph" w:customStyle="1" w:styleId="Estilo">
    <w:name w:val="Estilo"/>
    <w:basedOn w:val="Normal"/>
    <w:rsid w:val="004E3D83"/>
    <w:pPr>
      <w:spacing w:after="160" w:line="240" w:lineRule="exact"/>
      <w:jc w:val="left"/>
    </w:pPr>
    <w:rPr>
      <w:rFonts w:eastAsia="Times New Roman" w:cs="Times New Roman"/>
      <w:noProof/>
      <w:color w:val="000000"/>
      <w:sz w:val="20"/>
      <w:szCs w:val="20"/>
      <w:lang w:eastAsia="es-ES"/>
    </w:rPr>
  </w:style>
  <w:style w:type="paragraph" w:styleId="Ttulo">
    <w:name w:val="Title"/>
    <w:basedOn w:val="Normal"/>
    <w:next w:val="Normal"/>
    <w:link w:val="TtuloCar"/>
    <w:uiPriority w:val="10"/>
    <w:qFormat/>
    <w:rsid w:val="00F725DA"/>
    <w:pPr>
      <w:widowControl w:val="0"/>
      <w:spacing w:after="80"/>
      <w:contextualSpacing/>
    </w:pPr>
    <w:rPr>
      <w:rFonts w:asciiTheme="majorHAnsi" w:eastAsiaTheme="majorEastAsia" w:hAnsiTheme="majorHAnsi" w:cstheme="majorBidi"/>
      <w:spacing w:val="-10"/>
      <w:kern w:val="28"/>
      <w:sz w:val="56"/>
      <w:szCs w:val="56"/>
      <w:lang w:eastAsia="es-CO"/>
    </w:rPr>
  </w:style>
  <w:style w:type="character" w:customStyle="1" w:styleId="TtuloCar">
    <w:name w:val="Título Car"/>
    <w:basedOn w:val="Fuentedeprrafopredeter"/>
    <w:link w:val="Ttulo"/>
    <w:uiPriority w:val="10"/>
    <w:rsid w:val="00F725DA"/>
    <w:rPr>
      <w:rFonts w:asciiTheme="majorHAnsi" w:eastAsiaTheme="majorEastAsia" w:hAnsiTheme="majorHAnsi" w:cstheme="majorBidi"/>
      <w:spacing w:val="-10"/>
      <w:kern w:val="28"/>
      <w:sz w:val="56"/>
      <w:szCs w:val="56"/>
      <w:lang w:eastAsia="es-CO"/>
    </w:rPr>
  </w:style>
  <w:style w:type="character" w:customStyle="1" w:styleId="Mencinsinresolver2">
    <w:name w:val="Mención sin resolver2"/>
    <w:basedOn w:val="Fuentedeprrafopredeter"/>
    <w:uiPriority w:val="99"/>
    <w:semiHidden/>
    <w:unhideWhenUsed/>
    <w:rsid w:val="00501CA8"/>
    <w:rPr>
      <w:color w:val="605E5C"/>
      <w:shd w:val="clear" w:color="auto" w:fill="E1DFDD"/>
    </w:rPr>
  </w:style>
  <w:style w:type="character" w:customStyle="1" w:styleId="Mencinsinresolver10">
    <w:name w:val="Mención sin resolver1"/>
    <w:basedOn w:val="Fuentedeprrafopredeter"/>
    <w:uiPriority w:val="99"/>
    <w:semiHidden/>
    <w:unhideWhenUsed/>
    <w:rsid w:val="00397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3524">
      <w:bodyDiv w:val="1"/>
      <w:marLeft w:val="0"/>
      <w:marRight w:val="0"/>
      <w:marTop w:val="0"/>
      <w:marBottom w:val="0"/>
      <w:divBdr>
        <w:top w:val="none" w:sz="0" w:space="0" w:color="auto"/>
        <w:left w:val="none" w:sz="0" w:space="0" w:color="auto"/>
        <w:bottom w:val="none" w:sz="0" w:space="0" w:color="auto"/>
        <w:right w:val="none" w:sz="0" w:space="0" w:color="auto"/>
      </w:divBdr>
    </w:div>
    <w:div w:id="83651727">
      <w:bodyDiv w:val="1"/>
      <w:marLeft w:val="0"/>
      <w:marRight w:val="0"/>
      <w:marTop w:val="0"/>
      <w:marBottom w:val="0"/>
      <w:divBdr>
        <w:top w:val="none" w:sz="0" w:space="0" w:color="auto"/>
        <w:left w:val="none" w:sz="0" w:space="0" w:color="auto"/>
        <w:bottom w:val="none" w:sz="0" w:space="0" w:color="auto"/>
        <w:right w:val="none" w:sz="0" w:space="0" w:color="auto"/>
      </w:divBdr>
    </w:div>
    <w:div w:id="172694591">
      <w:bodyDiv w:val="1"/>
      <w:marLeft w:val="0"/>
      <w:marRight w:val="0"/>
      <w:marTop w:val="0"/>
      <w:marBottom w:val="0"/>
      <w:divBdr>
        <w:top w:val="none" w:sz="0" w:space="0" w:color="auto"/>
        <w:left w:val="none" w:sz="0" w:space="0" w:color="auto"/>
        <w:bottom w:val="none" w:sz="0" w:space="0" w:color="auto"/>
        <w:right w:val="none" w:sz="0" w:space="0" w:color="auto"/>
      </w:divBdr>
    </w:div>
    <w:div w:id="237598932">
      <w:bodyDiv w:val="1"/>
      <w:marLeft w:val="0"/>
      <w:marRight w:val="0"/>
      <w:marTop w:val="0"/>
      <w:marBottom w:val="0"/>
      <w:divBdr>
        <w:top w:val="none" w:sz="0" w:space="0" w:color="auto"/>
        <w:left w:val="none" w:sz="0" w:space="0" w:color="auto"/>
        <w:bottom w:val="none" w:sz="0" w:space="0" w:color="auto"/>
        <w:right w:val="none" w:sz="0" w:space="0" w:color="auto"/>
      </w:divBdr>
    </w:div>
    <w:div w:id="266620904">
      <w:bodyDiv w:val="1"/>
      <w:marLeft w:val="0"/>
      <w:marRight w:val="0"/>
      <w:marTop w:val="0"/>
      <w:marBottom w:val="0"/>
      <w:divBdr>
        <w:top w:val="none" w:sz="0" w:space="0" w:color="auto"/>
        <w:left w:val="none" w:sz="0" w:space="0" w:color="auto"/>
        <w:bottom w:val="none" w:sz="0" w:space="0" w:color="auto"/>
        <w:right w:val="none" w:sz="0" w:space="0" w:color="auto"/>
      </w:divBdr>
    </w:div>
    <w:div w:id="271328229">
      <w:bodyDiv w:val="1"/>
      <w:marLeft w:val="0"/>
      <w:marRight w:val="0"/>
      <w:marTop w:val="0"/>
      <w:marBottom w:val="0"/>
      <w:divBdr>
        <w:top w:val="none" w:sz="0" w:space="0" w:color="auto"/>
        <w:left w:val="none" w:sz="0" w:space="0" w:color="auto"/>
        <w:bottom w:val="none" w:sz="0" w:space="0" w:color="auto"/>
        <w:right w:val="none" w:sz="0" w:space="0" w:color="auto"/>
      </w:divBdr>
    </w:div>
    <w:div w:id="274599163">
      <w:bodyDiv w:val="1"/>
      <w:marLeft w:val="0"/>
      <w:marRight w:val="0"/>
      <w:marTop w:val="0"/>
      <w:marBottom w:val="0"/>
      <w:divBdr>
        <w:top w:val="none" w:sz="0" w:space="0" w:color="auto"/>
        <w:left w:val="none" w:sz="0" w:space="0" w:color="auto"/>
        <w:bottom w:val="none" w:sz="0" w:space="0" w:color="auto"/>
        <w:right w:val="none" w:sz="0" w:space="0" w:color="auto"/>
      </w:divBdr>
    </w:div>
    <w:div w:id="378476334">
      <w:bodyDiv w:val="1"/>
      <w:marLeft w:val="0"/>
      <w:marRight w:val="0"/>
      <w:marTop w:val="0"/>
      <w:marBottom w:val="0"/>
      <w:divBdr>
        <w:top w:val="none" w:sz="0" w:space="0" w:color="auto"/>
        <w:left w:val="none" w:sz="0" w:space="0" w:color="auto"/>
        <w:bottom w:val="none" w:sz="0" w:space="0" w:color="auto"/>
        <w:right w:val="none" w:sz="0" w:space="0" w:color="auto"/>
      </w:divBdr>
    </w:div>
    <w:div w:id="427312893">
      <w:bodyDiv w:val="1"/>
      <w:marLeft w:val="0"/>
      <w:marRight w:val="0"/>
      <w:marTop w:val="0"/>
      <w:marBottom w:val="0"/>
      <w:divBdr>
        <w:top w:val="none" w:sz="0" w:space="0" w:color="auto"/>
        <w:left w:val="none" w:sz="0" w:space="0" w:color="auto"/>
        <w:bottom w:val="none" w:sz="0" w:space="0" w:color="auto"/>
        <w:right w:val="none" w:sz="0" w:space="0" w:color="auto"/>
      </w:divBdr>
    </w:div>
    <w:div w:id="556166219">
      <w:bodyDiv w:val="1"/>
      <w:marLeft w:val="0"/>
      <w:marRight w:val="0"/>
      <w:marTop w:val="0"/>
      <w:marBottom w:val="0"/>
      <w:divBdr>
        <w:top w:val="none" w:sz="0" w:space="0" w:color="auto"/>
        <w:left w:val="none" w:sz="0" w:space="0" w:color="auto"/>
        <w:bottom w:val="none" w:sz="0" w:space="0" w:color="auto"/>
        <w:right w:val="none" w:sz="0" w:space="0" w:color="auto"/>
      </w:divBdr>
    </w:div>
    <w:div w:id="626274631">
      <w:bodyDiv w:val="1"/>
      <w:marLeft w:val="0"/>
      <w:marRight w:val="0"/>
      <w:marTop w:val="0"/>
      <w:marBottom w:val="0"/>
      <w:divBdr>
        <w:top w:val="none" w:sz="0" w:space="0" w:color="auto"/>
        <w:left w:val="none" w:sz="0" w:space="0" w:color="auto"/>
        <w:bottom w:val="none" w:sz="0" w:space="0" w:color="auto"/>
        <w:right w:val="none" w:sz="0" w:space="0" w:color="auto"/>
      </w:divBdr>
    </w:div>
    <w:div w:id="628633958">
      <w:bodyDiv w:val="1"/>
      <w:marLeft w:val="0"/>
      <w:marRight w:val="0"/>
      <w:marTop w:val="0"/>
      <w:marBottom w:val="0"/>
      <w:divBdr>
        <w:top w:val="none" w:sz="0" w:space="0" w:color="auto"/>
        <w:left w:val="none" w:sz="0" w:space="0" w:color="auto"/>
        <w:bottom w:val="none" w:sz="0" w:space="0" w:color="auto"/>
        <w:right w:val="none" w:sz="0" w:space="0" w:color="auto"/>
      </w:divBdr>
    </w:div>
    <w:div w:id="633679002">
      <w:bodyDiv w:val="1"/>
      <w:marLeft w:val="0"/>
      <w:marRight w:val="0"/>
      <w:marTop w:val="0"/>
      <w:marBottom w:val="0"/>
      <w:divBdr>
        <w:top w:val="none" w:sz="0" w:space="0" w:color="auto"/>
        <w:left w:val="none" w:sz="0" w:space="0" w:color="auto"/>
        <w:bottom w:val="none" w:sz="0" w:space="0" w:color="auto"/>
        <w:right w:val="none" w:sz="0" w:space="0" w:color="auto"/>
      </w:divBdr>
    </w:div>
    <w:div w:id="744689360">
      <w:bodyDiv w:val="1"/>
      <w:marLeft w:val="0"/>
      <w:marRight w:val="0"/>
      <w:marTop w:val="0"/>
      <w:marBottom w:val="0"/>
      <w:divBdr>
        <w:top w:val="none" w:sz="0" w:space="0" w:color="auto"/>
        <w:left w:val="none" w:sz="0" w:space="0" w:color="auto"/>
        <w:bottom w:val="none" w:sz="0" w:space="0" w:color="auto"/>
        <w:right w:val="none" w:sz="0" w:space="0" w:color="auto"/>
      </w:divBdr>
    </w:div>
    <w:div w:id="1277371771">
      <w:bodyDiv w:val="1"/>
      <w:marLeft w:val="0"/>
      <w:marRight w:val="0"/>
      <w:marTop w:val="0"/>
      <w:marBottom w:val="0"/>
      <w:divBdr>
        <w:top w:val="none" w:sz="0" w:space="0" w:color="auto"/>
        <w:left w:val="none" w:sz="0" w:space="0" w:color="auto"/>
        <w:bottom w:val="none" w:sz="0" w:space="0" w:color="auto"/>
        <w:right w:val="none" w:sz="0" w:space="0" w:color="auto"/>
      </w:divBdr>
    </w:div>
    <w:div w:id="1359503185">
      <w:bodyDiv w:val="1"/>
      <w:marLeft w:val="0"/>
      <w:marRight w:val="0"/>
      <w:marTop w:val="0"/>
      <w:marBottom w:val="0"/>
      <w:divBdr>
        <w:top w:val="none" w:sz="0" w:space="0" w:color="auto"/>
        <w:left w:val="none" w:sz="0" w:space="0" w:color="auto"/>
        <w:bottom w:val="none" w:sz="0" w:space="0" w:color="auto"/>
        <w:right w:val="none" w:sz="0" w:space="0" w:color="auto"/>
      </w:divBdr>
    </w:div>
    <w:div w:id="1428893054">
      <w:bodyDiv w:val="1"/>
      <w:marLeft w:val="0"/>
      <w:marRight w:val="0"/>
      <w:marTop w:val="0"/>
      <w:marBottom w:val="0"/>
      <w:divBdr>
        <w:top w:val="none" w:sz="0" w:space="0" w:color="auto"/>
        <w:left w:val="none" w:sz="0" w:space="0" w:color="auto"/>
        <w:bottom w:val="none" w:sz="0" w:space="0" w:color="auto"/>
        <w:right w:val="none" w:sz="0" w:space="0" w:color="auto"/>
      </w:divBdr>
    </w:div>
    <w:div w:id="1616135898">
      <w:bodyDiv w:val="1"/>
      <w:marLeft w:val="0"/>
      <w:marRight w:val="0"/>
      <w:marTop w:val="0"/>
      <w:marBottom w:val="0"/>
      <w:divBdr>
        <w:top w:val="none" w:sz="0" w:space="0" w:color="auto"/>
        <w:left w:val="none" w:sz="0" w:space="0" w:color="auto"/>
        <w:bottom w:val="none" w:sz="0" w:space="0" w:color="auto"/>
        <w:right w:val="none" w:sz="0" w:space="0" w:color="auto"/>
      </w:divBdr>
      <w:divsChild>
        <w:div w:id="1686201839">
          <w:marLeft w:val="0"/>
          <w:marRight w:val="0"/>
          <w:marTop w:val="0"/>
          <w:marBottom w:val="0"/>
          <w:divBdr>
            <w:top w:val="single" w:sz="6" w:space="3" w:color="808080"/>
            <w:left w:val="single" w:sz="6" w:space="15" w:color="808080"/>
            <w:bottom w:val="single" w:sz="6" w:space="8" w:color="808080"/>
            <w:right w:val="single" w:sz="6" w:space="15" w:color="808080"/>
          </w:divBdr>
          <w:divsChild>
            <w:div w:id="2066946753">
              <w:marLeft w:val="0"/>
              <w:marRight w:val="0"/>
              <w:marTop w:val="0"/>
              <w:marBottom w:val="0"/>
              <w:divBdr>
                <w:top w:val="none" w:sz="0" w:space="0" w:color="auto"/>
                <w:left w:val="none" w:sz="0" w:space="0" w:color="auto"/>
                <w:bottom w:val="none" w:sz="0" w:space="0" w:color="auto"/>
                <w:right w:val="none" w:sz="0" w:space="0" w:color="auto"/>
              </w:divBdr>
            </w:div>
          </w:divsChild>
        </w:div>
        <w:div w:id="723522856">
          <w:marLeft w:val="0"/>
          <w:marRight w:val="0"/>
          <w:marTop w:val="0"/>
          <w:marBottom w:val="0"/>
          <w:divBdr>
            <w:top w:val="none" w:sz="0" w:space="0" w:color="auto"/>
            <w:left w:val="none" w:sz="0" w:space="0" w:color="auto"/>
            <w:bottom w:val="none" w:sz="0" w:space="0" w:color="auto"/>
            <w:right w:val="none" w:sz="0" w:space="0" w:color="auto"/>
          </w:divBdr>
        </w:div>
      </w:divsChild>
    </w:div>
    <w:div w:id="1632133111">
      <w:bodyDiv w:val="1"/>
      <w:marLeft w:val="0"/>
      <w:marRight w:val="0"/>
      <w:marTop w:val="0"/>
      <w:marBottom w:val="0"/>
      <w:divBdr>
        <w:top w:val="none" w:sz="0" w:space="0" w:color="auto"/>
        <w:left w:val="none" w:sz="0" w:space="0" w:color="auto"/>
        <w:bottom w:val="none" w:sz="0" w:space="0" w:color="auto"/>
        <w:right w:val="none" w:sz="0" w:space="0" w:color="auto"/>
      </w:divBdr>
    </w:div>
    <w:div w:id="1638876092">
      <w:bodyDiv w:val="1"/>
      <w:marLeft w:val="0"/>
      <w:marRight w:val="0"/>
      <w:marTop w:val="0"/>
      <w:marBottom w:val="0"/>
      <w:divBdr>
        <w:top w:val="none" w:sz="0" w:space="0" w:color="auto"/>
        <w:left w:val="none" w:sz="0" w:space="0" w:color="auto"/>
        <w:bottom w:val="none" w:sz="0" w:space="0" w:color="auto"/>
        <w:right w:val="none" w:sz="0" w:space="0" w:color="auto"/>
      </w:divBdr>
    </w:div>
    <w:div w:id="1792632652">
      <w:bodyDiv w:val="1"/>
      <w:marLeft w:val="0"/>
      <w:marRight w:val="0"/>
      <w:marTop w:val="0"/>
      <w:marBottom w:val="0"/>
      <w:divBdr>
        <w:top w:val="none" w:sz="0" w:space="0" w:color="auto"/>
        <w:left w:val="none" w:sz="0" w:space="0" w:color="auto"/>
        <w:bottom w:val="none" w:sz="0" w:space="0" w:color="auto"/>
        <w:right w:val="none" w:sz="0" w:space="0" w:color="auto"/>
      </w:divBdr>
    </w:div>
    <w:div w:id="1814374430">
      <w:bodyDiv w:val="1"/>
      <w:marLeft w:val="0"/>
      <w:marRight w:val="0"/>
      <w:marTop w:val="0"/>
      <w:marBottom w:val="0"/>
      <w:divBdr>
        <w:top w:val="none" w:sz="0" w:space="0" w:color="auto"/>
        <w:left w:val="none" w:sz="0" w:space="0" w:color="auto"/>
        <w:bottom w:val="none" w:sz="0" w:space="0" w:color="auto"/>
        <w:right w:val="none" w:sz="0" w:space="0" w:color="auto"/>
      </w:divBdr>
    </w:div>
    <w:div w:id="1869828256">
      <w:bodyDiv w:val="1"/>
      <w:marLeft w:val="0"/>
      <w:marRight w:val="0"/>
      <w:marTop w:val="0"/>
      <w:marBottom w:val="0"/>
      <w:divBdr>
        <w:top w:val="none" w:sz="0" w:space="0" w:color="auto"/>
        <w:left w:val="none" w:sz="0" w:space="0" w:color="auto"/>
        <w:bottom w:val="none" w:sz="0" w:space="0" w:color="auto"/>
        <w:right w:val="none" w:sz="0" w:space="0" w:color="auto"/>
      </w:divBdr>
    </w:div>
    <w:div w:id="2007905059">
      <w:bodyDiv w:val="1"/>
      <w:marLeft w:val="0"/>
      <w:marRight w:val="0"/>
      <w:marTop w:val="0"/>
      <w:marBottom w:val="0"/>
      <w:divBdr>
        <w:top w:val="none" w:sz="0" w:space="0" w:color="auto"/>
        <w:left w:val="none" w:sz="0" w:space="0" w:color="auto"/>
        <w:bottom w:val="none" w:sz="0" w:space="0" w:color="auto"/>
        <w:right w:val="none" w:sz="0" w:space="0" w:color="auto"/>
      </w:divBdr>
    </w:div>
    <w:div w:id="2012559682">
      <w:bodyDiv w:val="1"/>
      <w:marLeft w:val="0"/>
      <w:marRight w:val="0"/>
      <w:marTop w:val="0"/>
      <w:marBottom w:val="0"/>
      <w:divBdr>
        <w:top w:val="none" w:sz="0" w:space="0" w:color="auto"/>
        <w:left w:val="none" w:sz="0" w:space="0" w:color="auto"/>
        <w:bottom w:val="none" w:sz="0" w:space="0" w:color="auto"/>
        <w:right w:val="none" w:sz="0" w:space="0" w:color="auto"/>
      </w:divBdr>
    </w:div>
    <w:div w:id="2025326491">
      <w:bodyDiv w:val="1"/>
      <w:marLeft w:val="0"/>
      <w:marRight w:val="0"/>
      <w:marTop w:val="0"/>
      <w:marBottom w:val="0"/>
      <w:divBdr>
        <w:top w:val="none" w:sz="0" w:space="0" w:color="auto"/>
        <w:left w:val="none" w:sz="0" w:space="0" w:color="auto"/>
        <w:bottom w:val="none" w:sz="0" w:space="0" w:color="auto"/>
        <w:right w:val="none" w:sz="0" w:space="0" w:color="auto"/>
      </w:divBdr>
    </w:div>
    <w:div w:id="2061323501">
      <w:bodyDiv w:val="1"/>
      <w:marLeft w:val="0"/>
      <w:marRight w:val="0"/>
      <w:marTop w:val="0"/>
      <w:marBottom w:val="0"/>
      <w:divBdr>
        <w:top w:val="none" w:sz="0" w:space="0" w:color="auto"/>
        <w:left w:val="none" w:sz="0" w:space="0" w:color="auto"/>
        <w:bottom w:val="none" w:sz="0" w:space="0" w:color="auto"/>
        <w:right w:val="none" w:sz="0" w:space="0" w:color="auto"/>
      </w:divBdr>
    </w:div>
    <w:div w:id="209855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base.biz/lexbase/normas/leyes/2011/L1474de2011.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bin"/><Relationship Id="rId12" Type="http://schemas.openxmlformats.org/officeDocument/2006/relationships/hyperlink" Target="http://www.secretariasenado.gov.co/senado/basedoc/ley_0080_1993.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cretariasenado.gov.co/senado/basedoc/ley_0590_2000.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cretariasenado.gov.co/senado/basedoc/ley/2000/ley_0599_2000_pr012.html" TargetMode="External"/><Relationship Id="rId4" Type="http://schemas.openxmlformats.org/officeDocument/2006/relationships/webSettings" Target="webSettings.xml"/><Relationship Id="rId9" Type="http://schemas.openxmlformats.org/officeDocument/2006/relationships/hyperlink" Target="http://www.secretariasenado.gov.co/senado/basedoc/ley/2000/ley_0599_2000_pr012.htm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25980</Words>
  <Characters>142894</Characters>
  <Application>Microsoft Office Word</Application>
  <DocSecurity>0</DocSecurity>
  <Lines>1190</Lines>
  <Paragraphs>337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José Díaz Martínez</dc:creator>
  <cp:keywords/>
  <dc:description/>
  <cp:lastModifiedBy>Paulino Jose Solano Camargo</cp:lastModifiedBy>
  <cp:revision>2</cp:revision>
  <cp:lastPrinted>2024-04-08T17:03:00Z</cp:lastPrinted>
  <dcterms:created xsi:type="dcterms:W3CDTF">2025-08-19T14:57:00Z</dcterms:created>
  <dcterms:modified xsi:type="dcterms:W3CDTF">2025-08-19T14:57:00Z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0x010100D02C57C87F72F9419B14933B0B027C6B</vt:lpwstr>
  </property>
</Properties>
</file>