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BB5AB" w14:textId="77777777" w:rsidR="00A23883" w:rsidRPr="00AB4289" w:rsidRDefault="00A23883" w:rsidP="001F0D7E">
      <w:pPr>
        <w:overflowPunct w:val="0"/>
        <w:ind w:right="49"/>
        <w:jc w:val="center"/>
        <w:textAlignment w:val="baseline"/>
        <w:rPr>
          <w:rFonts w:eastAsia="Calibri"/>
          <w:b/>
          <w:bCs/>
          <w:sz w:val="28"/>
          <w:szCs w:val="28"/>
          <w:lang w:val="es-ES_tradnl" w:eastAsia="en-US"/>
        </w:rPr>
      </w:pPr>
      <w:r w:rsidRPr="00AB4289">
        <w:rPr>
          <w:rFonts w:eastAsia="Calibri"/>
          <w:b/>
          <w:bCs/>
          <w:sz w:val="28"/>
          <w:szCs w:val="28"/>
          <w:lang w:val="es-ES_tradnl" w:eastAsia="en-US"/>
        </w:rPr>
        <w:t>REPÚBLICA DE COLOMBIA</w:t>
      </w:r>
    </w:p>
    <w:p w14:paraId="1E753232" w14:textId="5A76E296" w:rsidR="00A23883" w:rsidRPr="00AB4289" w:rsidRDefault="001F0D7E" w:rsidP="001F0D7E">
      <w:pPr>
        <w:overflowPunct w:val="0"/>
        <w:ind w:right="49"/>
        <w:jc w:val="center"/>
        <w:textAlignment w:val="baseline"/>
        <w:rPr>
          <w:rFonts w:eastAsia="Calibri"/>
          <w:bCs/>
          <w:sz w:val="28"/>
          <w:szCs w:val="28"/>
          <w:lang w:val="es-ES_tradnl" w:eastAsia="en-US"/>
        </w:rPr>
      </w:pPr>
      <w:r>
        <w:rPr>
          <w:rFonts w:eastAsia="Calibri"/>
          <w:bCs/>
          <w:noProof/>
          <w:sz w:val="28"/>
          <w:szCs w:val="28"/>
          <w:lang w:val="es-ES_tradnl" w:eastAsia="en-US"/>
        </w:rPr>
        <w:drawing>
          <wp:inline distT="0" distB="0" distL="0" distR="0" wp14:anchorId="77280469" wp14:editId="038D2FFE">
            <wp:extent cx="792480" cy="792480"/>
            <wp:effectExtent l="0" t="0" r="7620" b="7620"/>
            <wp:docPr id="126049405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0AFFFD5D" w14:textId="77777777" w:rsidR="00A23883" w:rsidRPr="00AB4289" w:rsidRDefault="00A23883" w:rsidP="001F0D7E">
      <w:pPr>
        <w:overflowPunct w:val="0"/>
        <w:ind w:right="49"/>
        <w:jc w:val="center"/>
        <w:textAlignment w:val="baseline"/>
        <w:rPr>
          <w:rFonts w:eastAsia="Calibri"/>
          <w:b/>
          <w:bCs/>
          <w:sz w:val="28"/>
          <w:szCs w:val="28"/>
        </w:rPr>
      </w:pPr>
      <w:r w:rsidRPr="00AB4289">
        <w:rPr>
          <w:rFonts w:eastAsia="Calibri"/>
          <w:b/>
          <w:bCs/>
          <w:sz w:val="28"/>
          <w:szCs w:val="28"/>
        </w:rPr>
        <w:t>CORTE CONSTITUCIONAL</w:t>
      </w:r>
    </w:p>
    <w:p w14:paraId="4FC0DB52" w14:textId="77777777" w:rsidR="00801E67" w:rsidRPr="00AB4289" w:rsidRDefault="00801E67" w:rsidP="001F0D7E">
      <w:pPr>
        <w:overflowPunct w:val="0"/>
        <w:ind w:right="49"/>
        <w:textAlignment w:val="baseline"/>
        <w:rPr>
          <w:rFonts w:eastAsia="Calibri"/>
          <w:b/>
          <w:bCs/>
          <w:sz w:val="28"/>
          <w:szCs w:val="28"/>
        </w:rPr>
      </w:pPr>
    </w:p>
    <w:p w14:paraId="137C9D33" w14:textId="7B24515F" w:rsidR="00801E67" w:rsidRPr="00AB4289" w:rsidRDefault="00801E67" w:rsidP="00B40BE5">
      <w:pPr>
        <w:overflowPunct w:val="0"/>
        <w:ind w:right="49"/>
        <w:jc w:val="center"/>
        <w:textAlignment w:val="baseline"/>
        <w:rPr>
          <w:rFonts w:eastAsia="Calibri"/>
          <w:b/>
          <w:bCs/>
          <w:sz w:val="28"/>
          <w:szCs w:val="28"/>
        </w:rPr>
      </w:pPr>
      <w:r w:rsidRPr="00AB4289">
        <w:rPr>
          <w:rFonts w:eastAsia="Calibri"/>
          <w:b/>
          <w:bCs/>
          <w:sz w:val="28"/>
          <w:szCs w:val="28"/>
        </w:rPr>
        <w:t>SENTENCIA SU</w:t>
      </w:r>
      <w:r w:rsidR="00A16F4B" w:rsidRPr="00AB4289">
        <w:rPr>
          <w:rFonts w:eastAsia="Calibri"/>
          <w:b/>
          <w:bCs/>
          <w:sz w:val="28"/>
          <w:szCs w:val="28"/>
        </w:rPr>
        <w:t xml:space="preserve">-328 </w:t>
      </w:r>
      <w:r w:rsidRPr="00AB4289">
        <w:rPr>
          <w:rFonts w:eastAsia="Calibri"/>
          <w:b/>
          <w:bCs/>
          <w:sz w:val="28"/>
          <w:szCs w:val="28"/>
        </w:rPr>
        <w:t>DE 2025</w:t>
      </w:r>
    </w:p>
    <w:p w14:paraId="1995E596" w14:textId="77777777" w:rsidR="00A23883" w:rsidRPr="00AB4289" w:rsidRDefault="00A23883" w:rsidP="00B40BE5">
      <w:pPr>
        <w:jc w:val="both"/>
        <w:rPr>
          <w:sz w:val="28"/>
          <w:szCs w:val="28"/>
        </w:rPr>
      </w:pPr>
    </w:p>
    <w:p w14:paraId="269562CB" w14:textId="2E497774" w:rsidR="00A23883" w:rsidRPr="00AB4289" w:rsidRDefault="00A23883" w:rsidP="00B40BE5">
      <w:pPr>
        <w:ind w:left="4395" w:right="49"/>
        <w:jc w:val="both"/>
        <w:rPr>
          <w:b/>
          <w:bCs/>
          <w:sz w:val="28"/>
          <w:szCs w:val="28"/>
          <w:lang w:val="es-ES"/>
        </w:rPr>
      </w:pPr>
      <w:r w:rsidRPr="00AB4289">
        <w:rPr>
          <w:b/>
          <w:bCs/>
          <w:sz w:val="28"/>
          <w:szCs w:val="28"/>
        </w:rPr>
        <w:t>Referencia</w:t>
      </w:r>
      <w:r w:rsidRPr="00AB4289">
        <w:rPr>
          <w:sz w:val="28"/>
          <w:szCs w:val="28"/>
        </w:rPr>
        <w:t>:</w:t>
      </w:r>
      <w:bookmarkStart w:id="0" w:name="_Hlk163476471"/>
      <w:r w:rsidR="00184D3D" w:rsidRPr="00AB4289">
        <w:rPr>
          <w:sz w:val="28"/>
          <w:szCs w:val="28"/>
        </w:rPr>
        <w:t xml:space="preserve"> </w:t>
      </w:r>
      <w:r w:rsidRPr="00AB4289">
        <w:rPr>
          <w:sz w:val="28"/>
          <w:szCs w:val="28"/>
        </w:rPr>
        <w:t xml:space="preserve">expediente </w:t>
      </w:r>
      <w:r w:rsidRPr="00AB4289">
        <w:rPr>
          <w:sz w:val="28"/>
          <w:szCs w:val="28"/>
          <w:lang w:val="es-ES" w:eastAsia="en-US"/>
        </w:rPr>
        <w:t>T</w:t>
      </w:r>
      <w:r w:rsidR="00184D3D" w:rsidRPr="00AB4289">
        <w:rPr>
          <w:sz w:val="28"/>
          <w:szCs w:val="28"/>
          <w:lang w:val="es-ES" w:eastAsia="en-US"/>
        </w:rPr>
        <w:t xml:space="preserve">- </w:t>
      </w:r>
      <w:r w:rsidRPr="00AB4289">
        <w:rPr>
          <w:sz w:val="28"/>
          <w:szCs w:val="28"/>
          <w:lang w:val="es-ES"/>
        </w:rPr>
        <w:t>10.722.117</w:t>
      </w:r>
      <w:r w:rsidR="0057758B" w:rsidRPr="00AB4289">
        <w:rPr>
          <w:sz w:val="28"/>
          <w:szCs w:val="28"/>
          <w:lang w:val="es-ES"/>
        </w:rPr>
        <w:t>.</w:t>
      </w:r>
    </w:p>
    <w:bookmarkEnd w:id="0"/>
    <w:p w14:paraId="4BFBBB2B" w14:textId="77777777" w:rsidR="00A23883" w:rsidRPr="00AB4289" w:rsidRDefault="00A23883" w:rsidP="00B40BE5">
      <w:pPr>
        <w:ind w:left="4395" w:right="49"/>
        <w:jc w:val="both"/>
        <w:rPr>
          <w:sz w:val="28"/>
          <w:szCs w:val="28"/>
          <w:lang w:val="es-ES"/>
        </w:rPr>
      </w:pPr>
    </w:p>
    <w:p w14:paraId="13484E05" w14:textId="3B52AA9D" w:rsidR="00A23883" w:rsidRPr="00AB4289" w:rsidRDefault="005931CB" w:rsidP="00B40BE5">
      <w:pPr>
        <w:autoSpaceDE w:val="0"/>
        <w:autoSpaceDN w:val="0"/>
        <w:adjustRightInd w:val="0"/>
        <w:ind w:left="4395"/>
        <w:jc w:val="both"/>
        <w:rPr>
          <w:sz w:val="28"/>
          <w:szCs w:val="28"/>
          <w:lang w:val="es-ES"/>
        </w:rPr>
      </w:pPr>
      <w:r w:rsidRPr="00AB4289">
        <w:rPr>
          <w:b/>
          <w:bCs/>
          <w:sz w:val="28"/>
          <w:szCs w:val="28"/>
          <w:lang w:val="es-ES"/>
        </w:rPr>
        <w:t>Asunto</w:t>
      </w:r>
      <w:r w:rsidR="0090316F" w:rsidRPr="00AB4289">
        <w:rPr>
          <w:b/>
          <w:bCs/>
          <w:sz w:val="28"/>
          <w:szCs w:val="28"/>
          <w:lang w:val="es-ES"/>
        </w:rPr>
        <w:t>:</w:t>
      </w:r>
      <w:r w:rsidRPr="00AB4289">
        <w:rPr>
          <w:b/>
          <w:bCs/>
          <w:sz w:val="28"/>
          <w:szCs w:val="28"/>
          <w:lang w:val="es-ES"/>
        </w:rPr>
        <w:t xml:space="preserve"> </w:t>
      </w:r>
      <w:r w:rsidRPr="00AB4289">
        <w:rPr>
          <w:sz w:val="28"/>
          <w:szCs w:val="28"/>
          <w:lang w:val="es-ES"/>
        </w:rPr>
        <w:t>A</w:t>
      </w:r>
      <w:r w:rsidR="00A23883" w:rsidRPr="00AB4289">
        <w:rPr>
          <w:sz w:val="28"/>
          <w:szCs w:val="28"/>
          <w:lang w:val="es-ES"/>
        </w:rPr>
        <w:t xml:space="preserve">cción de tutela presentada por </w:t>
      </w:r>
      <w:bookmarkStart w:id="1" w:name="_Hlk129681538"/>
      <w:r w:rsidR="00A23883" w:rsidRPr="00AB4289">
        <w:rPr>
          <w:sz w:val="28"/>
          <w:szCs w:val="28"/>
          <w:lang w:val="es-ES"/>
        </w:rPr>
        <w:t xml:space="preserve">el señor Juan Pablo Barrientos en contra </w:t>
      </w:r>
      <w:r w:rsidR="0026497A" w:rsidRPr="00AB4289">
        <w:rPr>
          <w:sz w:val="28"/>
          <w:szCs w:val="28"/>
          <w:lang w:val="es-ES"/>
        </w:rPr>
        <w:t xml:space="preserve">del </w:t>
      </w:r>
      <w:r w:rsidR="00A23883" w:rsidRPr="00AB4289">
        <w:rPr>
          <w:sz w:val="28"/>
          <w:szCs w:val="28"/>
          <w:lang w:val="es-ES"/>
        </w:rPr>
        <w:t>presidente de la Corte Suprema de Justicia.</w:t>
      </w:r>
    </w:p>
    <w:bookmarkEnd w:id="1"/>
    <w:p w14:paraId="57E5D0C9" w14:textId="77777777" w:rsidR="00A23883" w:rsidRPr="00AB4289" w:rsidRDefault="00A23883" w:rsidP="00B40BE5">
      <w:pPr>
        <w:ind w:left="4395"/>
        <w:jc w:val="both"/>
        <w:rPr>
          <w:b/>
          <w:bCs/>
          <w:sz w:val="28"/>
          <w:szCs w:val="28"/>
          <w:lang w:val="es-ES_tradnl"/>
        </w:rPr>
      </w:pPr>
    </w:p>
    <w:p w14:paraId="268786FD" w14:textId="77777777" w:rsidR="00A23883" w:rsidRPr="00AB4289" w:rsidRDefault="00A23883" w:rsidP="00B40BE5">
      <w:pPr>
        <w:ind w:left="4395"/>
        <w:jc w:val="both"/>
        <w:rPr>
          <w:b/>
          <w:bCs/>
          <w:sz w:val="28"/>
          <w:szCs w:val="28"/>
        </w:rPr>
      </w:pPr>
      <w:r w:rsidRPr="00AB4289">
        <w:rPr>
          <w:b/>
          <w:bCs/>
          <w:sz w:val="28"/>
          <w:szCs w:val="28"/>
        </w:rPr>
        <w:t>Magistrada sustanciadora:</w:t>
      </w:r>
    </w:p>
    <w:p w14:paraId="385254D4" w14:textId="77777777" w:rsidR="00A23883" w:rsidRPr="00AB4289" w:rsidRDefault="00A23883" w:rsidP="00B40BE5">
      <w:pPr>
        <w:ind w:left="4395"/>
        <w:jc w:val="both"/>
        <w:rPr>
          <w:sz w:val="28"/>
          <w:szCs w:val="28"/>
        </w:rPr>
      </w:pPr>
      <w:r w:rsidRPr="00AB4289">
        <w:rPr>
          <w:rStyle w:val="normaltextrun"/>
          <w:sz w:val="28"/>
          <w:szCs w:val="28"/>
          <w:lang w:val="es-ES"/>
        </w:rPr>
        <w:t>Natalia Ángel Cabo</w:t>
      </w:r>
      <w:r w:rsidRPr="00AB4289">
        <w:rPr>
          <w:sz w:val="28"/>
          <w:szCs w:val="28"/>
        </w:rPr>
        <w:t>.</w:t>
      </w:r>
    </w:p>
    <w:p w14:paraId="218B2305" w14:textId="77777777" w:rsidR="00801E67" w:rsidRPr="00AB4289" w:rsidRDefault="00801E67" w:rsidP="00B40BE5">
      <w:pPr>
        <w:jc w:val="both"/>
        <w:rPr>
          <w:sz w:val="28"/>
          <w:szCs w:val="28"/>
        </w:rPr>
      </w:pPr>
    </w:p>
    <w:p w14:paraId="1B7581A9" w14:textId="77777777" w:rsidR="00801E67" w:rsidRPr="00AB4289" w:rsidRDefault="00801E67" w:rsidP="00B40BE5">
      <w:pPr>
        <w:jc w:val="both"/>
        <w:rPr>
          <w:sz w:val="28"/>
          <w:szCs w:val="28"/>
        </w:rPr>
      </w:pPr>
    </w:p>
    <w:p w14:paraId="4A394878" w14:textId="2D742F1A" w:rsidR="00801E67" w:rsidRPr="00AB4289" w:rsidRDefault="00801E67" w:rsidP="00B40BE5">
      <w:pPr>
        <w:jc w:val="both"/>
        <w:rPr>
          <w:sz w:val="28"/>
          <w:szCs w:val="28"/>
        </w:rPr>
      </w:pPr>
      <w:r w:rsidRPr="00AB4289">
        <w:rPr>
          <w:sz w:val="28"/>
          <w:szCs w:val="28"/>
        </w:rPr>
        <w:t xml:space="preserve">Bogotá, D.C., </w:t>
      </w:r>
      <w:r w:rsidR="00E70CC1" w:rsidRPr="00AB4289">
        <w:rPr>
          <w:sz w:val="28"/>
          <w:szCs w:val="28"/>
        </w:rPr>
        <w:t>treinta y uno</w:t>
      </w:r>
      <w:r w:rsidRPr="00AB4289">
        <w:rPr>
          <w:sz w:val="28"/>
          <w:szCs w:val="28"/>
        </w:rPr>
        <w:t xml:space="preserve"> (</w:t>
      </w:r>
      <w:r w:rsidR="00E70CC1" w:rsidRPr="00AB4289">
        <w:rPr>
          <w:sz w:val="28"/>
          <w:szCs w:val="28"/>
        </w:rPr>
        <w:t>31</w:t>
      </w:r>
      <w:r w:rsidRPr="00AB4289">
        <w:rPr>
          <w:sz w:val="28"/>
          <w:szCs w:val="28"/>
        </w:rPr>
        <w:t xml:space="preserve">) de </w:t>
      </w:r>
      <w:r w:rsidR="00E70CC1" w:rsidRPr="00AB4289">
        <w:rPr>
          <w:sz w:val="28"/>
          <w:szCs w:val="28"/>
        </w:rPr>
        <w:t xml:space="preserve">julio </w:t>
      </w:r>
      <w:r w:rsidRPr="00AB4289">
        <w:rPr>
          <w:sz w:val="28"/>
          <w:szCs w:val="28"/>
        </w:rPr>
        <w:t>de dos mil veinticinco (2025).</w:t>
      </w:r>
    </w:p>
    <w:p w14:paraId="129E0767" w14:textId="77777777" w:rsidR="00801E67" w:rsidRPr="00AB4289" w:rsidRDefault="00801E67" w:rsidP="00B40BE5">
      <w:pPr>
        <w:kinsoku w:val="0"/>
        <w:overflowPunct w:val="0"/>
        <w:autoSpaceDE w:val="0"/>
        <w:autoSpaceDN w:val="0"/>
        <w:adjustRightInd w:val="0"/>
        <w:ind w:right="49"/>
        <w:jc w:val="both"/>
        <w:rPr>
          <w:color w:val="000000" w:themeColor="text1"/>
          <w:sz w:val="28"/>
          <w:szCs w:val="28"/>
          <w:lang w:val="es-ES"/>
        </w:rPr>
      </w:pPr>
    </w:p>
    <w:p w14:paraId="538EABCB" w14:textId="77777777" w:rsidR="00801E67" w:rsidRPr="00AB4289" w:rsidRDefault="00801E67" w:rsidP="00B40BE5">
      <w:pPr>
        <w:ind w:right="49"/>
        <w:contextualSpacing/>
        <w:jc w:val="both"/>
        <w:rPr>
          <w:sz w:val="28"/>
          <w:szCs w:val="28"/>
          <w:shd w:val="clear" w:color="auto" w:fill="FFFFFF"/>
        </w:rPr>
      </w:pPr>
      <w:r w:rsidRPr="00AB4289">
        <w:rPr>
          <w:rFonts w:eastAsia="SimSun"/>
          <w:sz w:val="28"/>
          <w:szCs w:val="28"/>
          <w:lang w:eastAsia="es-CO"/>
        </w:rPr>
        <w:t xml:space="preserve">La Sala Plena de la Corte Constitucional, </w:t>
      </w:r>
      <w:r w:rsidRPr="00AB4289">
        <w:rPr>
          <w:sz w:val="28"/>
          <w:szCs w:val="28"/>
          <w:shd w:val="clear" w:color="auto" w:fill="FFFFFF"/>
        </w:rPr>
        <w:t>en ejercicio de sus competencias constitucionales y legales, profiere la siguiente:</w:t>
      </w:r>
    </w:p>
    <w:p w14:paraId="23617F7D" w14:textId="77777777" w:rsidR="00801E67" w:rsidRPr="00AB4289" w:rsidRDefault="00801E67" w:rsidP="00B40BE5">
      <w:pPr>
        <w:kinsoku w:val="0"/>
        <w:overflowPunct w:val="0"/>
        <w:autoSpaceDE w:val="0"/>
        <w:autoSpaceDN w:val="0"/>
        <w:adjustRightInd w:val="0"/>
        <w:ind w:right="49"/>
        <w:jc w:val="both"/>
        <w:rPr>
          <w:color w:val="000000" w:themeColor="text1"/>
          <w:sz w:val="28"/>
          <w:szCs w:val="28"/>
          <w:lang w:val="es-ES"/>
        </w:rPr>
      </w:pPr>
    </w:p>
    <w:p w14:paraId="6E6491BC" w14:textId="77777777" w:rsidR="00801E67" w:rsidRPr="00AB4289" w:rsidRDefault="00801E67" w:rsidP="00B40BE5">
      <w:pPr>
        <w:pStyle w:val="Sinespaciado"/>
        <w:ind w:right="49"/>
        <w:contextualSpacing/>
        <w:jc w:val="center"/>
        <w:rPr>
          <w:rFonts w:ascii="Times New Roman" w:hAnsi="Times New Roman" w:cs="Times New Roman"/>
          <w:b/>
          <w:bCs/>
          <w:color w:val="000000" w:themeColor="text1"/>
          <w:sz w:val="28"/>
          <w:szCs w:val="28"/>
          <w:lang w:val="es-ES"/>
        </w:rPr>
      </w:pPr>
      <w:r w:rsidRPr="00AB4289">
        <w:rPr>
          <w:rFonts w:ascii="Times New Roman" w:hAnsi="Times New Roman" w:cs="Times New Roman"/>
          <w:b/>
          <w:bCs/>
          <w:color w:val="000000" w:themeColor="text1"/>
          <w:sz w:val="28"/>
          <w:szCs w:val="28"/>
          <w:lang w:val="es-ES"/>
        </w:rPr>
        <w:t>SENTENCIA.</w:t>
      </w:r>
    </w:p>
    <w:p w14:paraId="2337C366" w14:textId="77777777" w:rsidR="00801E67" w:rsidRPr="00AB4289" w:rsidRDefault="00801E67" w:rsidP="00B40BE5">
      <w:pPr>
        <w:pStyle w:val="Sangradetextonormal"/>
        <w:spacing w:after="0"/>
        <w:rPr>
          <w:b/>
          <w:bCs/>
        </w:rPr>
      </w:pPr>
    </w:p>
    <w:p w14:paraId="2D4FDB53" w14:textId="388F9472" w:rsidR="00801E67" w:rsidRPr="00AB4289" w:rsidRDefault="00801E67" w:rsidP="00B40BE5">
      <w:pPr>
        <w:pStyle w:val="Sangradetextonormal"/>
        <w:spacing w:after="0"/>
        <w:ind w:left="0"/>
        <w:rPr>
          <w:lang w:eastAsia="es-MX"/>
        </w:rPr>
      </w:pPr>
      <w:r w:rsidRPr="00AB4289">
        <w:rPr>
          <w:color w:val="000000" w:themeColor="text1"/>
        </w:rPr>
        <w:t xml:space="preserve">Esta providencia se dicta en el proceso de revisión de los fallos proferidos en primera y segunda instancia por </w:t>
      </w:r>
      <w:r w:rsidRPr="00AB4289">
        <w:t xml:space="preserve">la Sala de Decisión de Tutelas No. 3 de la Sala de Casación Penal </w:t>
      </w:r>
      <w:r w:rsidRPr="00AB4289">
        <w:rPr>
          <w:bCs/>
          <w:color w:val="000000" w:themeColor="text1"/>
          <w:lang w:eastAsia="es-MX"/>
        </w:rPr>
        <w:t xml:space="preserve">y por </w:t>
      </w:r>
      <w:r w:rsidRPr="00AB4289">
        <w:t>la Sala de Casación Civil de la Corte Suprema de Justicia</w:t>
      </w:r>
      <w:r w:rsidRPr="00AB4289">
        <w:rPr>
          <w:color w:val="000000" w:themeColor="text1"/>
        </w:rPr>
        <w:t>, respectivamente, dentro del trámite de la acción de tutela promovida por</w:t>
      </w:r>
      <w:r w:rsidRPr="00AB4289">
        <w:rPr>
          <w:lang w:eastAsia="es-MX"/>
        </w:rPr>
        <w:t xml:space="preserve"> el señor Juan Pablo Barrientos en contra de</w:t>
      </w:r>
      <w:r w:rsidR="0026497A" w:rsidRPr="00AB4289">
        <w:rPr>
          <w:lang w:eastAsia="es-MX"/>
        </w:rPr>
        <w:t xml:space="preserve">l </w:t>
      </w:r>
      <w:r w:rsidRPr="00AB4289">
        <w:rPr>
          <w:lang w:eastAsia="es-MX"/>
        </w:rPr>
        <w:t>presidente</w:t>
      </w:r>
      <w:r w:rsidRPr="00AB4289">
        <w:t xml:space="preserve"> </w:t>
      </w:r>
      <w:r w:rsidRPr="00AB4289">
        <w:rPr>
          <w:lang w:eastAsia="es-MX"/>
        </w:rPr>
        <w:t>de la Corte Suprema de Justicia.</w:t>
      </w:r>
    </w:p>
    <w:p w14:paraId="6B9DCCA0" w14:textId="77777777" w:rsidR="00801E67" w:rsidRPr="00AB4289" w:rsidRDefault="00801E67" w:rsidP="00B40BE5">
      <w:pPr>
        <w:pStyle w:val="Sangradetextonormal"/>
        <w:spacing w:after="0"/>
        <w:ind w:left="0"/>
        <w:rPr>
          <w:lang w:eastAsia="es-MX"/>
        </w:rPr>
      </w:pPr>
    </w:p>
    <w:p w14:paraId="1FC00F49" w14:textId="77777777" w:rsidR="00801E67" w:rsidRPr="00AB4289" w:rsidRDefault="00801E67" w:rsidP="00B40BE5">
      <w:pPr>
        <w:pStyle w:val="Ttulo1"/>
        <w:spacing w:before="0" w:after="0"/>
        <w:jc w:val="both"/>
        <w:rPr>
          <w:rFonts w:ascii="Times New Roman" w:hAnsi="Times New Roman" w:cs="Times New Roman"/>
          <w:b/>
          <w:bCs/>
          <w:color w:val="000000" w:themeColor="text1"/>
          <w:sz w:val="28"/>
          <w:szCs w:val="28"/>
          <w:lang w:val="es-ES_tradnl"/>
        </w:rPr>
      </w:pPr>
      <w:bookmarkStart w:id="2" w:name="_Toc210202218"/>
      <w:r w:rsidRPr="00AB4289">
        <w:rPr>
          <w:rFonts w:ascii="Times New Roman" w:hAnsi="Times New Roman" w:cs="Times New Roman"/>
          <w:b/>
          <w:bCs/>
          <w:color w:val="000000" w:themeColor="text1"/>
          <w:sz w:val="28"/>
          <w:szCs w:val="28"/>
          <w:lang w:val="es-ES_tradnl"/>
        </w:rPr>
        <w:t>Síntesis de la decisión</w:t>
      </w:r>
      <w:bookmarkEnd w:id="2"/>
    </w:p>
    <w:p w14:paraId="2617326C" w14:textId="77777777" w:rsidR="00801E67" w:rsidRPr="00AB4289" w:rsidRDefault="00801E67" w:rsidP="00B40BE5">
      <w:pPr>
        <w:jc w:val="both"/>
        <w:rPr>
          <w:sz w:val="28"/>
          <w:szCs w:val="28"/>
        </w:rPr>
      </w:pPr>
    </w:p>
    <w:p w14:paraId="078351BD" w14:textId="514679F9" w:rsidR="003E430E" w:rsidRPr="00AB4289" w:rsidRDefault="003E430E" w:rsidP="00B40BE5">
      <w:pPr>
        <w:pStyle w:val="NormalWeb"/>
        <w:spacing w:before="0" w:beforeAutospacing="0" w:after="0" w:afterAutospacing="0"/>
        <w:jc w:val="both"/>
        <w:rPr>
          <w:sz w:val="28"/>
          <w:szCs w:val="28"/>
        </w:rPr>
      </w:pPr>
      <w:r w:rsidRPr="00AB4289">
        <w:rPr>
          <w:sz w:val="28"/>
          <w:szCs w:val="28"/>
        </w:rPr>
        <w:t xml:space="preserve">La Sala Plena revisó la acción de tutela que interpuso el periodista Juan Pablo Barrientos en contra de la Corte Suprema de Justicia después de que esta institución no hubiera respondido a </w:t>
      </w:r>
      <w:r w:rsidR="00706BA8">
        <w:rPr>
          <w:sz w:val="28"/>
          <w:szCs w:val="28"/>
        </w:rPr>
        <w:t xml:space="preserve">una </w:t>
      </w:r>
      <w:r w:rsidR="004D3490">
        <w:rPr>
          <w:sz w:val="28"/>
          <w:szCs w:val="28"/>
        </w:rPr>
        <w:t xml:space="preserve">solitud que realizó en ejercicio del derecho de petición de </w:t>
      </w:r>
      <w:r w:rsidRPr="00AB4289">
        <w:rPr>
          <w:sz w:val="28"/>
          <w:szCs w:val="28"/>
        </w:rPr>
        <w:t xml:space="preserve">la copia de las hojas de vida -con sus respectivos </w:t>
      </w:r>
      <w:r w:rsidRPr="00AB4289">
        <w:rPr>
          <w:sz w:val="28"/>
          <w:szCs w:val="28"/>
        </w:rPr>
        <w:lastRenderedPageBreak/>
        <w:t xml:space="preserve">soportes-, las declaraciones de bienes y rentas, los registros de los conflictos de interés y la declaración del impuesto sobre la renta y complementarios de los magistrados de la Sala Plena de esa </w:t>
      </w:r>
      <w:r w:rsidR="00A40E42" w:rsidRPr="00AB4289">
        <w:rPr>
          <w:sz w:val="28"/>
          <w:szCs w:val="28"/>
        </w:rPr>
        <w:t>C</w:t>
      </w:r>
      <w:r w:rsidRPr="00AB4289">
        <w:rPr>
          <w:sz w:val="28"/>
          <w:szCs w:val="28"/>
        </w:rPr>
        <w:t>orporación judicial. Por esta razón, el accionante solicitó en la tutela que se ampar</w:t>
      </w:r>
      <w:r w:rsidR="00A40E42" w:rsidRPr="00AB4289">
        <w:rPr>
          <w:sz w:val="28"/>
          <w:szCs w:val="28"/>
        </w:rPr>
        <w:t>aran</w:t>
      </w:r>
      <w:r w:rsidRPr="00AB4289">
        <w:rPr>
          <w:sz w:val="28"/>
          <w:szCs w:val="28"/>
        </w:rPr>
        <w:t xml:space="preserve"> sus derechos de petición, de libertad de expresión y de acceso a la información pública. </w:t>
      </w:r>
    </w:p>
    <w:p w14:paraId="53E385CB" w14:textId="77777777" w:rsidR="003E430E" w:rsidRPr="00AB4289" w:rsidRDefault="003E430E" w:rsidP="00B40BE5">
      <w:pPr>
        <w:pStyle w:val="NormalWeb"/>
        <w:spacing w:before="0" w:beforeAutospacing="0" w:after="0" w:afterAutospacing="0"/>
        <w:jc w:val="both"/>
        <w:rPr>
          <w:sz w:val="28"/>
          <w:szCs w:val="28"/>
        </w:rPr>
      </w:pPr>
    </w:p>
    <w:p w14:paraId="5A90972F" w14:textId="77777777" w:rsidR="003E430E" w:rsidRPr="00AB4289" w:rsidRDefault="003E430E" w:rsidP="00B40BE5">
      <w:pPr>
        <w:pStyle w:val="NormalWeb"/>
        <w:spacing w:before="0" w:beforeAutospacing="0" w:after="0" w:afterAutospacing="0"/>
        <w:jc w:val="both"/>
        <w:rPr>
          <w:sz w:val="28"/>
          <w:szCs w:val="28"/>
        </w:rPr>
      </w:pPr>
      <w:r w:rsidRPr="00AB4289">
        <w:rPr>
          <w:sz w:val="28"/>
          <w:szCs w:val="28"/>
        </w:rPr>
        <w:t>Durante el trámite de tutela, casi un mes después de la presentación de la solicitud, la Secretaría de la Corte Suprema respondió que no era posible entregar las hojas de vida con sus soportes, ya que sobre esta información recaía la reserva prevista en el artículo 24 de la Ley 1755 de 2015. Adicionalmente, indicó que las declaraciones del impuesto sobre la renta y de bienes y rentas, así como los registros de conflictos de interés, se encontraban disponibles en el portal del Departamento Administrativo de la Función Pública.</w:t>
      </w:r>
    </w:p>
    <w:p w14:paraId="3DDF90CB" w14:textId="188B1614" w:rsidR="00801E67" w:rsidRPr="00AB4289" w:rsidRDefault="00801E67" w:rsidP="00B40BE5">
      <w:pPr>
        <w:pStyle w:val="NormalWeb"/>
        <w:spacing w:before="0" w:beforeAutospacing="0" w:after="0" w:afterAutospacing="0"/>
        <w:jc w:val="both"/>
        <w:rPr>
          <w:sz w:val="28"/>
          <w:szCs w:val="28"/>
        </w:rPr>
      </w:pPr>
    </w:p>
    <w:p w14:paraId="40D6FB41" w14:textId="32DEE747" w:rsidR="00801E67" w:rsidRPr="00AB4289" w:rsidRDefault="00801E67" w:rsidP="00B40BE5">
      <w:pPr>
        <w:pStyle w:val="NormalWeb"/>
        <w:spacing w:before="0" w:beforeAutospacing="0" w:after="0" w:afterAutospacing="0"/>
        <w:jc w:val="both"/>
        <w:rPr>
          <w:sz w:val="28"/>
          <w:szCs w:val="28"/>
        </w:rPr>
      </w:pPr>
      <w:r w:rsidRPr="00AB4289">
        <w:rPr>
          <w:sz w:val="28"/>
          <w:szCs w:val="28"/>
        </w:rPr>
        <w:t>Al analizar el caso, la Corte Constitucional concluyó que</w:t>
      </w:r>
      <w:r w:rsidR="00F52C72" w:rsidRPr="00AB4289">
        <w:rPr>
          <w:sz w:val="28"/>
          <w:szCs w:val="28"/>
        </w:rPr>
        <w:t>, en efecto,</w:t>
      </w:r>
      <w:r w:rsidRPr="00AB4289">
        <w:rPr>
          <w:sz w:val="28"/>
          <w:szCs w:val="28"/>
        </w:rPr>
        <w:t xml:space="preserve"> se vulneraron los derechos fundamentales del accionante, razón por la cual ordenó la entrega de la información solicitada.</w:t>
      </w:r>
      <w:r w:rsidR="00F52C72" w:rsidRPr="00AB4289">
        <w:rPr>
          <w:sz w:val="28"/>
          <w:szCs w:val="28"/>
        </w:rPr>
        <w:t xml:space="preserve"> </w:t>
      </w:r>
      <w:r w:rsidRPr="00AB4289">
        <w:rPr>
          <w:sz w:val="28"/>
          <w:szCs w:val="28"/>
        </w:rPr>
        <w:t>Para llegar a esta decisión, la Corte desarrolló</w:t>
      </w:r>
      <w:r w:rsidR="00F52C72" w:rsidRPr="00AB4289">
        <w:rPr>
          <w:sz w:val="28"/>
          <w:szCs w:val="28"/>
        </w:rPr>
        <w:t>,</w:t>
      </w:r>
      <w:r w:rsidRPr="00AB4289">
        <w:rPr>
          <w:sz w:val="28"/>
          <w:szCs w:val="28"/>
        </w:rPr>
        <w:t xml:space="preserve"> primero</w:t>
      </w:r>
      <w:r w:rsidR="00F52C72" w:rsidRPr="00AB4289">
        <w:rPr>
          <w:sz w:val="28"/>
          <w:szCs w:val="28"/>
        </w:rPr>
        <w:t>,</w:t>
      </w:r>
      <w:r w:rsidRPr="00AB4289">
        <w:rPr>
          <w:sz w:val="28"/>
          <w:szCs w:val="28"/>
        </w:rPr>
        <w:t xml:space="preserve"> una presentación general sobre el derecho de acceso a la información pública y el marco normativo de la Ley 1712 de 2014. También se pronunció sobre el principio de transparencia y la importancia de la publicidad de las declaraciones de bienes</w:t>
      </w:r>
      <w:r w:rsidR="00F52C72" w:rsidRPr="00AB4289">
        <w:rPr>
          <w:sz w:val="28"/>
          <w:szCs w:val="28"/>
        </w:rPr>
        <w:t xml:space="preserve"> y rentas y del impuesto sobre la renta, al igual que</w:t>
      </w:r>
      <w:r w:rsidRPr="00AB4289">
        <w:rPr>
          <w:sz w:val="28"/>
          <w:szCs w:val="28"/>
        </w:rPr>
        <w:t xml:space="preserve"> los registros de conflictos de interés y las hojas de vida de los magistrados de las Altas Cortes como mecanismo para prevenir la corrupción y garantizar el control social sobre el poder judicial.</w:t>
      </w:r>
    </w:p>
    <w:p w14:paraId="1271CCAD" w14:textId="77777777" w:rsidR="00801E67" w:rsidRPr="00AB4289" w:rsidRDefault="00801E67" w:rsidP="00B40BE5">
      <w:pPr>
        <w:pStyle w:val="NormalWeb"/>
        <w:spacing w:before="0" w:beforeAutospacing="0" w:after="0" w:afterAutospacing="0"/>
        <w:jc w:val="both"/>
        <w:rPr>
          <w:sz w:val="28"/>
          <w:szCs w:val="28"/>
        </w:rPr>
      </w:pPr>
    </w:p>
    <w:p w14:paraId="32C5B714" w14:textId="61DFF38A" w:rsidR="00801E67" w:rsidRPr="00AB4289" w:rsidRDefault="00801E67" w:rsidP="00B40BE5">
      <w:pPr>
        <w:pStyle w:val="NormalWeb"/>
        <w:spacing w:before="0" w:beforeAutospacing="0" w:after="0" w:afterAutospacing="0"/>
        <w:jc w:val="both"/>
        <w:rPr>
          <w:sz w:val="28"/>
          <w:szCs w:val="28"/>
        </w:rPr>
      </w:pPr>
      <w:r w:rsidRPr="00AB4289">
        <w:rPr>
          <w:sz w:val="28"/>
          <w:szCs w:val="28"/>
        </w:rPr>
        <w:t>En el análisis del caso concreto, la Corte examinó, por un lado, la solicitud de acceso a las hojas de vida</w:t>
      </w:r>
      <w:r w:rsidR="00F52C72" w:rsidRPr="00AB4289">
        <w:rPr>
          <w:sz w:val="28"/>
          <w:szCs w:val="28"/>
        </w:rPr>
        <w:t xml:space="preserve">, junto con sus soportes, </w:t>
      </w:r>
      <w:r w:rsidRPr="00AB4289">
        <w:rPr>
          <w:sz w:val="28"/>
          <w:szCs w:val="28"/>
        </w:rPr>
        <w:t xml:space="preserve">y por otro, </w:t>
      </w:r>
      <w:r w:rsidR="00F52C72" w:rsidRPr="00AB4289">
        <w:rPr>
          <w:sz w:val="28"/>
          <w:szCs w:val="28"/>
        </w:rPr>
        <w:t xml:space="preserve">a </w:t>
      </w:r>
      <w:r w:rsidRPr="00AB4289">
        <w:rPr>
          <w:sz w:val="28"/>
          <w:szCs w:val="28"/>
        </w:rPr>
        <w:t>la información relacionada con las declaraciones</w:t>
      </w:r>
      <w:r w:rsidR="00F52C72" w:rsidRPr="00AB4289">
        <w:rPr>
          <w:sz w:val="28"/>
          <w:szCs w:val="28"/>
        </w:rPr>
        <w:t xml:space="preserve"> y registros solicitados por el accionante</w:t>
      </w:r>
      <w:r w:rsidRPr="00AB4289">
        <w:rPr>
          <w:sz w:val="28"/>
          <w:szCs w:val="28"/>
        </w:rPr>
        <w:t xml:space="preserve">. </w:t>
      </w:r>
      <w:r w:rsidR="00F52C72" w:rsidRPr="00AB4289">
        <w:rPr>
          <w:sz w:val="28"/>
          <w:szCs w:val="28"/>
        </w:rPr>
        <w:t>Esta Corporación d</w:t>
      </w:r>
      <w:r w:rsidRPr="00AB4289">
        <w:rPr>
          <w:sz w:val="28"/>
          <w:szCs w:val="28"/>
        </w:rPr>
        <w:t>eterminó que, en relación con las hojas de vida y sus soportes, la Corte Suprema de Justicia no justificó debidamente su negativa, y que la entrega de dicha información no afecta de forma desproporcionada los derechos a la intimidad, privacidad ni hábeas data de los magistrados. De igual forma, se comprobó que, contrario a lo afirmado por la entidad accionada, gran parte de la información relacionada con las declaraciones de bienes y rentas, las declaraciones de renta y los registros de conflictos de interés no se encontraba publicada en los aplicativos correspondientes, lo cual impide el acceso efectivo por parte de la ciudadanía.</w:t>
      </w:r>
    </w:p>
    <w:p w14:paraId="660D56E0" w14:textId="77777777" w:rsidR="00801E67" w:rsidRPr="00AB4289" w:rsidRDefault="00801E67" w:rsidP="00B40BE5">
      <w:pPr>
        <w:pStyle w:val="NormalWeb"/>
        <w:spacing w:before="0" w:beforeAutospacing="0" w:after="0" w:afterAutospacing="0"/>
        <w:jc w:val="both"/>
        <w:rPr>
          <w:sz w:val="28"/>
          <w:szCs w:val="28"/>
        </w:rPr>
      </w:pPr>
    </w:p>
    <w:p w14:paraId="28CABCB2" w14:textId="0D5DD52D" w:rsidR="00801E67" w:rsidRPr="00AB4289" w:rsidRDefault="00801E67" w:rsidP="00B40BE5">
      <w:pPr>
        <w:pStyle w:val="NormalWeb"/>
        <w:spacing w:before="0" w:beforeAutospacing="0" w:after="0" w:afterAutospacing="0"/>
        <w:jc w:val="both"/>
        <w:rPr>
          <w:sz w:val="28"/>
          <w:szCs w:val="28"/>
        </w:rPr>
      </w:pPr>
      <w:r w:rsidRPr="00AB4289">
        <w:rPr>
          <w:sz w:val="28"/>
          <w:szCs w:val="28"/>
        </w:rPr>
        <w:t xml:space="preserve">En este examen, la Corte evidenció que </w:t>
      </w:r>
      <w:r w:rsidRPr="00AB4289">
        <w:rPr>
          <w:sz w:val="28"/>
          <w:szCs w:val="28"/>
          <w:lang w:val="es-ES_tradnl"/>
        </w:rPr>
        <w:t xml:space="preserve">la imposibilidad de acceder a las hojas de vida, las declaraciones del impuesto sobre la renta, las declaraciones de </w:t>
      </w:r>
      <w:r w:rsidRPr="00AB4289">
        <w:rPr>
          <w:sz w:val="28"/>
          <w:szCs w:val="28"/>
          <w:lang w:val="es-ES_tradnl"/>
        </w:rPr>
        <w:lastRenderedPageBreak/>
        <w:t xml:space="preserve">bienes y rentas y los registros de los conflictos de interés no es un fenómeno </w:t>
      </w:r>
      <w:r w:rsidR="00F52C72" w:rsidRPr="00AB4289">
        <w:rPr>
          <w:sz w:val="28"/>
          <w:szCs w:val="28"/>
          <w:lang w:val="es-ES_tradnl"/>
        </w:rPr>
        <w:t xml:space="preserve">que se presente </w:t>
      </w:r>
      <w:r w:rsidRPr="00AB4289">
        <w:rPr>
          <w:sz w:val="28"/>
          <w:szCs w:val="28"/>
          <w:lang w:val="es-ES_tradnl"/>
        </w:rPr>
        <w:t>exclusiv</w:t>
      </w:r>
      <w:r w:rsidR="00F52C72" w:rsidRPr="00AB4289">
        <w:rPr>
          <w:sz w:val="28"/>
          <w:szCs w:val="28"/>
          <w:lang w:val="es-ES_tradnl"/>
        </w:rPr>
        <w:t xml:space="preserve">amente frente a </w:t>
      </w:r>
      <w:r w:rsidRPr="00AB4289">
        <w:rPr>
          <w:sz w:val="28"/>
          <w:szCs w:val="28"/>
          <w:lang w:val="es-ES_tradnl"/>
        </w:rPr>
        <w:t xml:space="preserve">los magistrados de la Corte Suprema de Justicia, sino que también </w:t>
      </w:r>
      <w:r w:rsidR="00F52C72" w:rsidRPr="00AB4289">
        <w:rPr>
          <w:sz w:val="28"/>
          <w:szCs w:val="28"/>
          <w:lang w:val="es-ES_tradnl"/>
        </w:rPr>
        <w:t>se configura frente a</w:t>
      </w:r>
      <w:r w:rsidRPr="00AB4289">
        <w:rPr>
          <w:sz w:val="28"/>
          <w:szCs w:val="28"/>
          <w:lang w:val="es-ES_tradnl"/>
        </w:rPr>
        <w:t xml:space="preserve"> los magistrados de todas las Altas Cortes</w:t>
      </w:r>
      <w:r w:rsidRPr="00AB4289">
        <w:rPr>
          <w:sz w:val="28"/>
          <w:szCs w:val="28"/>
        </w:rPr>
        <w:t xml:space="preserve"> en Colombia. </w:t>
      </w:r>
    </w:p>
    <w:p w14:paraId="04B5D308" w14:textId="77777777" w:rsidR="00801E67" w:rsidRPr="00AB4289" w:rsidRDefault="00801E67" w:rsidP="00B40BE5">
      <w:pPr>
        <w:pStyle w:val="NormalWeb"/>
        <w:spacing w:before="0" w:beforeAutospacing="0" w:after="0" w:afterAutospacing="0"/>
        <w:jc w:val="both"/>
        <w:rPr>
          <w:sz w:val="28"/>
          <w:szCs w:val="28"/>
        </w:rPr>
      </w:pPr>
    </w:p>
    <w:p w14:paraId="4E6D8FA1" w14:textId="136D69B2" w:rsidR="00801E67" w:rsidRPr="00AB4289" w:rsidRDefault="00801E67" w:rsidP="00B40BE5">
      <w:pPr>
        <w:pStyle w:val="NormalWeb"/>
        <w:spacing w:before="0" w:beforeAutospacing="0" w:after="0" w:afterAutospacing="0"/>
        <w:jc w:val="both"/>
        <w:rPr>
          <w:rStyle w:val="normaltextrun"/>
          <w:sz w:val="28"/>
          <w:szCs w:val="28"/>
        </w:rPr>
      </w:pPr>
      <w:r w:rsidRPr="00AB4289">
        <w:rPr>
          <w:sz w:val="28"/>
          <w:szCs w:val="28"/>
        </w:rPr>
        <w:t xml:space="preserve">Por tal razón, </w:t>
      </w:r>
      <w:r w:rsidR="00F52C72" w:rsidRPr="00AB4289">
        <w:rPr>
          <w:sz w:val="28"/>
          <w:szCs w:val="28"/>
        </w:rPr>
        <w:t>la Corte Constitucional</w:t>
      </w:r>
      <w:r w:rsidRPr="00AB4289">
        <w:rPr>
          <w:sz w:val="28"/>
          <w:szCs w:val="28"/>
        </w:rPr>
        <w:t xml:space="preserve"> hizo un llamado de atención para que se adopten medidas tendientes a garantizar la publicación efectiva de la información en los aplicativos correspondientes. En particular, se dirigieron órdenes a las Presidencias, Secretarías o dependencias encargadas de custodiar la información en cada Corporación, así como </w:t>
      </w:r>
      <w:r w:rsidR="00F52C72" w:rsidRPr="00AB4289">
        <w:rPr>
          <w:sz w:val="28"/>
          <w:szCs w:val="28"/>
        </w:rPr>
        <w:t>a</w:t>
      </w:r>
      <w:r w:rsidRPr="00AB4289">
        <w:rPr>
          <w:sz w:val="28"/>
          <w:szCs w:val="28"/>
        </w:rPr>
        <w:t xml:space="preserve">l Departamento Administrativo de la Función Pública y </w:t>
      </w:r>
      <w:r w:rsidR="00695978" w:rsidRPr="00AB4289">
        <w:rPr>
          <w:sz w:val="28"/>
          <w:szCs w:val="28"/>
        </w:rPr>
        <w:t>a</w:t>
      </w:r>
      <w:r w:rsidRPr="00AB4289">
        <w:rPr>
          <w:sz w:val="28"/>
          <w:szCs w:val="28"/>
        </w:rPr>
        <w:t>l Consejo Superior de la Judicatura</w:t>
      </w:r>
      <w:r w:rsidR="00695978" w:rsidRPr="00AB4289">
        <w:rPr>
          <w:sz w:val="28"/>
          <w:szCs w:val="28"/>
        </w:rPr>
        <w:t>, como entidades responsables de los aplicativos en los que deben publicarse esos datos.</w:t>
      </w:r>
      <w:r w:rsidR="00F52C72" w:rsidRPr="00AB4289">
        <w:rPr>
          <w:sz w:val="28"/>
          <w:szCs w:val="28"/>
        </w:rPr>
        <w:t xml:space="preserve"> Lo anterior, con el fin de garantizar que la ciudadanía </w:t>
      </w:r>
      <w:r w:rsidR="00363FC5" w:rsidRPr="00AB4289">
        <w:rPr>
          <w:sz w:val="28"/>
          <w:szCs w:val="28"/>
        </w:rPr>
        <w:t>tenga acceso</w:t>
      </w:r>
      <w:r w:rsidR="00F52C72" w:rsidRPr="00AB4289">
        <w:rPr>
          <w:sz w:val="28"/>
          <w:szCs w:val="28"/>
        </w:rPr>
        <w:t xml:space="preserve"> a información</w:t>
      </w:r>
      <w:r w:rsidR="00363FC5" w:rsidRPr="00AB4289">
        <w:rPr>
          <w:sz w:val="28"/>
          <w:szCs w:val="28"/>
        </w:rPr>
        <w:t xml:space="preserve"> que tiene derecho a conocer y cuya publicación constituye una herramienta fundamental para prevenir escenarios de corrupción y garantizar el ejercicio íntegro de la función judicial. </w:t>
      </w:r>
      <w:r w:rsidR="00F52C72" w:rsidRPr="00AB4289">
        <w:rPr>
          <w:sz w:val="28"/>
          <w:szCs w:val="28"/>
        </w:rPr>
        <w:t xml:space="preserve"> </w:t>
      </w:r>
    </w:p>
    <w:p w14:paraId="49DB507A" w14:textId="77777777" w:rsidR="00FB49B2" w:rsidRPr="00AB4289" w:rsidRDefault="00FB49B2" w:rsidP="00B40BE5">
      <w:pPr>
        <w:jc w:val="both"/>
        <w:rPr>
          <w:sz w:val="28"/>
          <w:szCs w:val="28"/>
        </w:rPr>
      </w:pPr>
    </w:p>
    <w:p w14:paraId="29F5747C" w14:textId="77777777" w:rsidR="00FB49B2" w:rsidRPr="00AB4289" w:rsidRDefault="00FB49B2" w:rsidP="00B40BE5">
      <w:pPr>
        <w:ind w:left="4395"/>
        <w:jc w:val="both"/>
        <w:rPr>
          <w:sz w:val="28"/>
          <w:szCs w:val="28"/>
        </w:rPr>
      </w:pPr>
    </w:p>
    <w:sdt>
      <w:sdtPr>
        <w:rPr>
          <w:rFonts w:ascii="Times New Roman" w:eastAsia="Times New Roman" w:hAnsi="Times New Roman" w:cs="Times New Roman"/>
          <w:b w:val="0"/>
          <w:bCs w:val="0"/>
          <w:color w:val="auto"/>
          <w:sz w:val="24"/>
          <w:szCs w:val="24"/>
          <w:lang w:val="es-ES"/>
        </w:rPr>
        <w:id w:val="1314299129"/>
        <w:docPartObj>
          <w:docPartGallery w:val="Table of Contents"/>
          <w:docPartUnique/>
        </w:docPartObj>
      </w:sdtPr>
      <w:sdtEndPr>
        <w:rPr>
          <w:noProof/>
          <w:lang w:val="es-CO"/>
        </w:rPr>
      </w:sdtEndPr>
      <w:sdtContent>
        <w:p w14:paraId="0D4A3F00" w14:textId="5B4D7992" w:rsidR="002169CF" w:rsidRPr="00AB4289" w:rsidRDefault="002169CF" w:rsidP="00B40BE5">
          <w:pPr>
            <w:pStyle w:val="TtuloTDC"/>
            <w:spacing w:before="0" w:line="240" w:lineRule="auto"/>
            <w:jc w:val="both"/>
            <w:rPr>
              <w:rFonts w:ascii="Times New Roman" w:hAnsi="Times New Roman" w:cs="Times New Roman"/>
              <w:color w:val="000000" w:themeColor="text1"/>
              <w:sz w:val="20"/>
              <w:szCs w:val="20"/>
            </w:rPr>
          </w:pPr>
          <w:r w:rsidRPr="00AB4289">
            <w:rPr>
              <w:rFonts w:ascii="Times New Roman" w:hAnsi="Times New Roman" w:cs="Times New Roman"/>
              <w:color w:val="000000" w:themeColor="text1"/>
              <w:sz w:val="20"/>
              <w:szCs w:val="20"/>
              <w:lang w:val="es-ES"/>
            </w:rPr>
            <w:t>Tabla de contenido</w:t>
          </w:r>
        </w:p>
        <w:p w14:paraId="48FD1F17" w14:textId="29BC78B2" w:rsidR="00EE4641" w:rsidRDefault="002169CF">
          <w:pPr>
            <w:pStyle w:val="TDC1"/>
            <w:tabs>
              <w:tab w:val="right" w:leader="dot" w:pos="8828"/>
            </w:tabs>
            <w:rPr>
              <w:rFonts w:eastAsiaTheme="minorEastAsia" w:cstheme="minorBidi"/>
              <w:b w:val="0"/>
              <w:bCs w:val="0"/>
              <w:i w:val="0"/>
              <w:iCs w:val="0"/>
              <w:noProof/>
              <w:kern w:val="2"/>
              <w14:ligatures w14:val="standardContextual"/>
            </w:rPr>
          </w:pPr>
          <w:r w:rsidRPr="00AB4289">
            <w:rPr>
              <w:rFonts w:ascii="Times New Roman" w:hAnsi="Times New Roman" w:cs="Times New Roman"/>
              <w:b w:val="0"/>
              <w:bCs w:val="0"/>
              <w:sz w:val="20"/>
              <w:szCs w:val="20"/>
            </w:rPr>
            <w:fldChar w:fldCharType="begin"/>
          </w:r>
          <w:r w:rsidRPr="00AB4289">
            <w:rPr>
              <w:rFonts w:ascii="Times New Roman" w:hAnsi="Times New Roman" w:cs="Times New Roman"/>
              <w:sz w:val="20"/>
              <w:szCs w:val="20"/>
            </w:rPr>
            <w:instrText>TOC \o "1-3" \h \z \u</w:instrText>
          </w:r>
          <w:r w:rsidRPr="00AB4289">
            <w:rPr>
              <w:rFonts w:ascii="Times New Roman" w:hAnsi="Times New Roman" w:cs="Times New Roman"/>
              <w:b w:val="0"/>
              <w:bCs w:val="0"/>
              <w:sz w:val="20"/>
              <w:szCs w:val="20"/>
            </w:rPr>
            <w:fldChar w:fldCharType="separate"/>
          </w:r>
          <w:hyperlink w:anchor="_Toc210202218" w:history="1">
            <w:r w:rsidR="00EE4641" w:rsidRPr="00F32010">
              <w:rPr>
                <w:rStyle w:val="Hipervnculo"/>
                <w:rFonts w:ascii="Times New Roman" w:eastAsiaTheme="majorEastAsia" w:hAnsi="Times New Roman" w:cs="Times New Roman"/>
                <w:noProof/>
                <w:lang w:val="es-ES_tradnl"/>
              </w:rPr>
              <w:t>Síntesis de la decisión</w:t>
            </w:r>
            <w:r w:rsidR="00EE4641">
              <w:rPr>
                <w:noProof/>
                <w:webHidden/>
              </w:rPr>
              <w:tab/>
            </w:r>
            <w:r w:rsidR="00EE4641">
              <w:rPr>
                <w:noProof/>
                <w:webHidden/>
              </w:rPr>
              <w:fldChar w:fldCharType="begin"/>
            </w:r>
            <w:r w:rsidR="00EE4641">
              <w:rPr>
                <w:noProof/>
                <w:webHidden/>
              </w:rPr>
              <w:instrText xml:space="preserve"> PAGEREF _Toc210202218 \h </w:instrText>
            </w:r>
            <w:r w:rsidR="00EE4641">
              <w:rPr>
                <w:noProof/>
                <w:webHidden/>
              </w:rPr>
            </w:r>
            <w:r w:rsidR="00EE4641">
              <w:rPr>
                <w:noProof/>
                <w:webHidden/>
              </w:rPr>
              <w:fldChar w:fldCharType="separate"/>
            </w:r>
            <w:r w:rsidR="00EE4641">
              <w:rPr>
                <w:noProof/>
                <w:webHidden/>
              </w:rPr>
              <w:t>1</w:t>
            </w:r>
            <w:r w:rsidR="00EE4641">
              <w:rPr>
                <w:noProof/>
                <w:webHidden/>
              </w:rPr>
              <w:fldChar w:fldCharType="end"/>
            </w:r>
          </w:hyperlink>
        </w:p>
        <w:p w14:paraId="319E9963" w14:textId="42940A5A" w:rsidR="00EE4641" w:rsidRDefault="00EE4641">
          <w:pPr>
            <w:pStyle w:val="TDC1"/>
            <w:tabs>
              <w:tab w:val="left" w:pos="480"/>
              <w:tab w:val="right" w:leader="dot" w:pos="8828"/>
            </w:tabs>
            <w:rPr>
              <w:rFonts w:eastAsiaTheme="minorEastAsia" w:cstheme="minorBidi"/>
              <w:b w:val="0"/>
              <w:bCs w:val="0"/>
              <w:i w:val="0"/>
              <w:iCs w:val="0"/>
              <w:noProof/>
              <w:kern w:val="2"/>
              <w14:ligatures w14:val="standardContextual"/>
            </w:rPr>
          </w:pPr>
          <w:hyperlink w:anchor="_Toc210202219" w:history="1">
            <w:r w:rsidRPr="00F32010">
              <w:rPr>
                <w:rStyle w:val="Hipervnculo"/>
                <w:rFonts w:ascii="Times New Roman" w:hAnsi="Times New Roman" w:cs="Times New Roman"/>
                <w:noProof/>
              </w:rPr>
              <w:t>I.</w:t>
            </w:r>
            <w:r>
              <w:rPr>
                <w:rFonts w:eastAsiaTheme="minorEastAsia" w:cstheme="minorBidi"/>
                <w:b w:val="0"/>
                <w:bCs w:val="0"/>
                <w:i w:val="0"/>
                <w:iCs w:val="0"/>
                <w:noProof/>
                <w:kern w:val="2"/>
                <w14:ligatures w14:val="standardContextual"/>
              </w:rPr>
              <w:tab/>
            </w:r>
            <w:r w:rsidRPr="00F32010">
              <w:rPr>
                <w:rStyle w:val="Hipervnculo"/>
                <w:rFonts w:ascii="Times New Roman" w:hAnsi="Times New Roman" w:cs="Times New Roman"/>
                <w:noProof/>
              </w:rPr>
              <w:t>ANTECEDENTES</w:t>
            </w:r>
            <w:r>
              <w:rPr>
                <w:noProof/>
                <w:webHidden/>
              </w:rPr>
              <w:tab/>
            </w:r>
            <w:r>
              <w:rPr>
                <w:noProof/>
                <w:webHidden/>
              </w:rPr>
              <w:fldChar w:fldCharType="begin"/>
            </w:r>
            <w:r>
              <w:rPr>
                <w:noProof/>
                <w:webHidden/>
              </w:rPr>
              <w:instrText xml:space="preserve"> PAGEREF _Toc210202219 \h </w:instrText>
            </w:r>
            <w:r>
              <w:rPr>
                <w:noProof/>
                <w:webHidden/>
              </w:rPr>
            </w:r>
            <w:r>
              <w:rPr>
                <w:noProof/>
                <w:webHidden/>
              </w:rPr>
              <w:fldChar w:fldCharType="separate"/>
            </w:r>
            <w:r>
              <w:rPr>
                <w:noProof/>
                <w:webHidden/>
              </w:rPr>
              <w:t>4</w:t>
            </w:r>
            <w:r>
              <w:rPr>
                <w:noProof/>
                <w:webHidden/>
              </w:rPr>
              <w:fldChar w:fldCharType="end"/>
            </w:r>
          </w:hyperlink>
        </w:p>
        <w:p w14:paraId="2C6F3140" w14:textId="6602DB32" w:rsidR="00EE4641" w:rsidRDefault="00EE4641">
          <w:pPr>
            <w:pStyle w:val="TDC2"/>
            <w:tabs>
              <w:tab w:val="right" w:leader="dot" w:pos="8828"/>
            </w:tabs>
            <w:rPr>
              <w:rFonts w:eastAsiaTheme="minorEastAsia" w:cstheme="minorBidi"/>
              <w:b w:val="0"/>
              <w:bCs w:val="0"/>
              <w:noProof/>
              <w:kern w:val="2"/>
              <w:sz w:val="24"/>
              <w:szCs w:val="24"/>
              <w14:ligatures w14:val="standardContextual"/>
            </w:rPr>
          </w:pPr>
          <w:hyperlink w:anchor="_Toc210202220" w:history="1">
            <w:r w:rsidRPr="00F32010">
              <w:rPr>
                <w:rStyle w:val="Hipervnculo"/>
                <w:rFonts w:ascii="Times New Roman" w:eastAsiaTheme="majorEastAsia" w:hAnsi="Times New Roman" w:cs="Times New Roman"/>
                <w:noProof/>
                <w:lang w:val="es-ES"/>
              </w:rPr>
              <w:t>1. Hechos y pretensiones</w:t>
            </w:r>
            <w:r>
              <w:rPr>
                <w:noProof/>
                <w:webHidden/>
              </w:rPr>
              <w:tab/>
            </w:r>
            <w:r>
              <w:rPr>
                <w:noProof/>
                <w:webHidden/>
              </w:rPr>
              <w:fldChar w:fldCharType="begin"/>
            </w:r>
            <w:r>
              <w:rPr>
                <w:noProof/>
                <w:webHidden/>
              </w:rPr>
              <w:instrText xml:space="preserve"> PAGEREF _Toc210202220 \h </w:instrText>
            </w:r>
            <w:r>
              <w:rPr>
                <w:noProof/>
                <w:webHidden/>
              </w:rPr>
            </w:r>
            <w:r>
              <w:rPr>
                <w:noProof/>
                <w:webHidden/>
              </w:rPr>
              <w:fldChar w:fldCharType="separate"/>
            </w:r>
            <w:r>
              <w:rPr>
                <w:noProof/>
                <w:webHidden/>
              </w:rPr>
              <w:t>4</w:t>
            </w:r>
            <w:r>
              <w:rPr>
                <w:noProof/>
                <w:webHidden/>
              </w:rPr>
              <w:fldChar w:fldCharType="end"/>
            </w:r>
          </w:hyperlink>
        </w:p>
        <w:p w14:paraId="40C12643" w14:textId="125F0128" w:rsidR="00EE4641" w:rsidRDefault="00EE4641">
          <w:pPr>
            <w:pStyle w:val="TDC2"/>
            <w:tabs>
              <w:tab w:val="right" w:leader="dot" w:pos="8828"/>
            </w:tabs>
            <w:rPr>
              <w:rFonts w:eastAsiaTheme="minorEastAsia" w:cstheme="minorBidi"/>
              <w:b w:val="0"/>
              <w:bCs w:val="0"/>
              <w:noProof/>
              <w:kern w:val="2"/>
              <w:sz w:val="24"/>
              <w:szCs w:val="24"/>
              <w14:ligatures w14:val="standardContextual"/>
            </w:rPr>
          </w:pPr>
          <w:hyperlink w:anchor="_Toc210202221" w:history="1">
            <w:r w:rsidRPr="00F32010">
              <w:rPr>
                <w:rStyle w:val="Hipervnculo"/>
                <w:rFonts w:ascii="Times New Roman" w:eastAsiaTheme="majorEastAsia" w:hAnsi="Times New Roman" w:cs="Times New Roman"/>
                <w:noProof/>
                <w:lang w:val="es-ES"/>
              </w:rPr>
              <w:t>2. Respuesta a la acción de tutela</w:t>
            </w:r>
            <w:r>
              <w:rPr>
                <w:noProof/>
                <w:webHidden/>
              </w:rPr>
              <w:tab/>
            </w:r>
            <w:r>
              <w:rPr>
                <w:noProof/>
                <w:webHidden/>
              </w:rPr>
              <w:fldChar w:fldCharType="begin"/>
            </w:r>
            <w:r>
              <w:rPr>
                <w:noProof/>
                <w:webHidden/>
              </w:rPr>
              <w:instrText xml:space="preserve"> PAGEREF _Toc210202221 \h </w:instrText>
            </w:r>
            <w:r>
              <w:rPr>
                <w:noProof/>
                <w:webHidden/>
              </w:rPr>
            </w:r>
            <w:r>
              <w:rPr>
                <w:noProof/>
                <w:webHidden/>
              </w:rPr>
              <w:fldChar w:fldCharType="separate"/>
            </w:r>
            <w:r>
              <w:rPr>
                <w:noProof/>
                <w:webHidden/>
              </w:rPr>
              <w:t>6</w:t>
            </w:r>
            <w:r>
              <w:rPr>
                <w:noProof/>
                <w:webHidden/>
              </w:rPr>
              <w:fldChar w:fldCharType="end"/>
            </w:r>
          </w:hyperlink>
        </w:p>
        <w:p w14:paraId="4CE5B327" w14:textId="05B29BC0" w:rsidR="00EE4641" w:rsidRDefault="00EE4641">
          <w:pPr>
            <w:pStyle w:val="TDC2"/>
            <w:tabs>
              <w:tab w:val="right" w:leader="dot" w:pos="8828"/>
            </w:tabs>
            <w:rPr>
              <w:rFonts w:eastAsiaTheme="minorEastAsia" w:cstheme="minorBidi"/>
              <w:b w:val="0"/>
              <w:bCs w:val="0"/>
              <w:noProof/>
              <w:kern w:val="2"/>
              <w:sz w:val="24"/>
              <w:szCs w:val="24"/>
              <w14:ligatures w14:val="standardContextual"/>
            </w:rPr>
          </w:pPr>
          <w:hyperlink w:anchor="_Toc210202222" w:history="1">
            <w:r w:rsidRPr="00F32010">
              <w:rPr>
                <w:rStyle w:val="Hipervnculo"/>
                <w:rFonts w:ascii="Times New Roman" w:eastAsiaTheme="majorEastAsia" w:hAnsi="Times New Roman" w:cs="Times New Roman"/>
                <w:noProof/>
                <w:lang w:val="es-ES"/>
              </w:rPr>
              <w:t>3. Fallos de tutela objeto de revisión</w:t>
            </w:r>
            <w:r>
              <w:rPr>
                <w:noProof/>
                <w:webHidden/>
              </w:rPr>
              <w:tab/>
            </w:r>
            <w:r>
              <w:rPr>
                <w:noProof/>
                <w:webHidden/>
              </w:rPr>
              <w:fldChar w:fldCharType="begin"/>
            </w:r>
            <w:r>
              <w:rPr>
                <w:noProof/>
                <w:webHidden/>
              </w:rPr>
              <w:instrText xml:space="preserve"> PAGEREF _Toc210202222 \h </w:instrText>
            </w:r>
            <w:r>
              <w:rPr>
                <w:noProof/>
                <w:webHidden/>
              </w:rPr>
            </w:r>
            <w:r>
              <w:rPr>
                <w:noProof/>
                <w:webHidden/>
              </w:rPr>
              <w:fldChar w:fldCharType="separate"/>
            </w:r>
            <w:r>
              <w:rPr>
                <w:noProof/>
                <w:webHidden/>
              </w:rPr>
              <w:t>7</w:t>
            </w:r>
            <w:r>
              <w:rPr>
                <w:noProof/>
                <w:webHidden/>
              </w:rPr>
              <w:fldChar w:fldCharType="end"/>
            </w:r>
          </w:hyperlink>
        </w:p>
        <w:p w14:paraId="2316BEB4" w14:textId="1960066C" w:rsidR="00EE4641" w:rsidRDefault="00EE4641">
          <w:pPr>
            <w:pStyle w:val="TDC1"/>
            <w:tabs>
              <w:tab w:val="left" w:pos="720"/>
              <w:tab w:val="right" w:leader="dot" w:pos="8828"/>
            </w:tabs>
            <w:rPr>
              <w:rFonts w:eastAsiaTheme="minorEastAsia" w:cstheme="minorBidi"/>
              <w:b w:val="0"/>
              <w:bCs w:val="0"/>
              <w:i w:val="0"/>
              <w:iCs w:val="0"/>
              <w:noProof/>
              <w:kern w:val="2"/>
              <w14:ligatures w14:val="standardContextual"/>
            </w:rPr>
          </w:pPr>
          <w:hyperlink w:anchor="_Toc210202223" w:history="1">
            <w:r w:rsidRPr="00F32010">
              <w:rPr>
                <w:rStyle w:val="Hipervnculo"/>
                <w:rFonts w:ascii="Times New Roman" w:hAnsi="Times New Roman" w:cs="Times New Roman"/>
                <w:noProof/>
                <w:lang w:val="es-ES_tradnl"/>
              </w:rPr>
              <w:t>II.</w:t>
            </w:r>
            <w:r>
              <w:rPr>
                <w:rFonts w:eastAsiaTheme="minorEastAsia" w:cstheme="minorBidi"/>
                <w:b w:val="0"/>
                <w:bCs w:val="0"/>
                <w:i w:val="0"/>
                <w:iCs w:val="0"/>
                <w:noProof/>
                <w:kern w:val="2"/>
                <w14:ligatures w14:val="standardContextual"/>
              </w:rPr>
              <w:tab/>
            </w:r>
            <w:r w:rsidRPr="00F32010">
              <w:rPr>
                <w:rStyle w:val="Hipervnculo"/>
                <w:rFonts w:ascii="Times New Roman" w:hAnsi="Times New Roman" w:cs="Times New Roman"/>
                <w:noProof/>
                <w:lang w:val="es-ES_tradnl"/>
              </w:rPr>
              <w:t>ACTUACIONES EN SEDE DE REVISIÓN</w:t>
            </w:r>
            <w:r>
              <w:rPr>
                <w:noProof/>
                <w:webHidden/>
              </w:rPr>
              <w:tab/>
            </w:r>
            <w:r>
              <w:rPr>
                <w:noProof/>
                <w:webHidden/>
              </w:rPr>
              <w:fldChar w:fldCharType="begin"/>
            </w:r>
            <w:r>
              <w:rPr>
                <w:noProof/>
                <w:webHidden/>
              </w:rPr>
              <w:instrText xml:space="preserve"> PAGEREF _Toc210202223 \h </w:instrText>
            </w:r>
            <w:r>
              <w:rPr>
                <w:noProof/>
                <w:webHidden/>
              </w:rPr>
            </w:r>
            <w:r>
              <w:rPr>
                <w:noProof/>
                <w:webHidden/>
              </w:rPr>
              <w:fldChar w:fldCharType="separate"/>
            </w:r>
            <w:r>
              <w:rPr>
                <w:noProof/>
                <w:webHidden/>
              </w:rPr>
              <w:t>10</w:t>
            </w:r>
            <w:r>
              <w:rPr>
                <w:noProof/>
                <w:webHidden/>
              </w:rPr>
              <w:fldChar w:fldCharType="end"/>
            </w:r>
          </w:hyperlink>
        </w:p>
        <w:p w14:paraId="3A9EC992" w14:textId="08E26958" w:rsidR="00EE4641" w:rsidRDefault="00EE4641">
          <w:pPr>
            <w:pStyle w:val="TDC1"/>
            <w:tabs>
              <w:tab w:val="left" w:pos="720"/>
              <w:tab w:val="right" w:leader="dot" w:pos="8828"/>
            </w:tabs>
            <w:rPr>
              <w:rFonts w:eastAsiaTheme="minorEastAsia" w:cstheme="minorBidi"/>
              <w:b w:val="0"/>
              <w:bCs w:val="0"/>
              <w:i w:val="0"/>
              <w:iCs w:val="0"/>
              <w:noProof/>
              <w:kern w:val="2"/>
              <w14:ligatures w14:val="standardContextual"/>
            </w:rPr>
          </w:pPr>
          <w:hyperlink w:anchor="_Toc210202224" w:history="1">
            <w:r w:rsidRPr="00F32010">
              <w:rPr>
                <w:rStyle w:val="Hipervnculo"/>
                <w:rFonts w:ascii="Times New Roman" w:hAnsi="Times New Roman" w:cs="Times New Roman"/>
                <w:noProof/>
                <w:lang w:val="es-ES_tradnl"/>
              </w:rPr>
              <w:t>III.</w:t>
            </w:r>
            <w:r>
              <w:rPr>
                <w:rFonts w:eastAsiaTheme="minorEastAsia" w:cstheme="minorBidi"/>
                <w:b w:val="0"/>
                <w:bCs w:val="0"/>
                <w:i w:val="0"/>
                <w:iCs w:val="0"/>
                <w:noProof/>
                <w:kern w:val="2"/>
                <w14:ligatures w14:val="standardContextual"/>
              </w:rPr>
              <w:tab/>
            </w:r>
            <w:r w:rsidRPr="00F32010">
              <w:rPr>
                <w:rStyle w:val="Hipervnculo"/>
                <w:rFonts w:ascii="Times New Roman" w:hAnsi="Times New Roman" w:cs="Times New Roman"/>
                <w:noProof/>
                <w:lang w:val="es-ES_tradnl"/>
              </w:rPr>
              <w:t>CONSIDERACIONES</w:t>
            </w:r>
            <w:r>
              <w:rPr>
                <w:noProof/>
                <w:webHidden/>
              </w:rPr>
              <w:tab/>
            </w:r>
            <w:r>
              <w:rPr>
                <w:noProof/>
                <w:webHidden/>
              </w:rPr>
              <w:fldChar w:fldCharType="begin"/>
            </w:r>
            <w:r>
              <w:rPr>
                <w:noProof/>
                <w:webHidden/>
              </w:rPr>
              <w:instrText xml:space="preserve"> PAGEREF _Toc210202224 \h </w:instrText>
            </w:r>
            <w:r>
              <w:rPr>
                <w:noProof/>
                <w:webHidden/>
              </w:rPr>
            </w:r>
            <w:r>
              <w:rPr>
                <w:noProof/>
                <w:webHidden/>
              </w:rPr>
              <w:fldChar w:fldCharType="separate"/>
            </w:r>
            <w:r>
              <w:rPr>
                <w:noProof/>
                <w:webHidden/>
              </w:rPr>
              <w:t>11</w:t>
            </w:r>
            <w:r>
              <w:rPr>
                <w:noProof/>
                <w:webHidden/>
              </w:rPr>
              <w:fldChar w:fldCharType="end"/>
            </w:r>
          </w:hyperlink>
        </w:p>
        <w:p w14:paraId="78A7B922" w14:textId="4518FCB9" w:rsidR="00EE4641" w:rsidRDefault="00EE4641">
          <w:pPr>
            <w:pStyle w:val="TDC2"/>
            <w:tabs>
              <w:tab w:val="left" w:pos="720"/>
              <w:tab w:val="right" w:leader="dot" w:pos="8828"/>
            </w:tabs>
            <w:rPr>
              <w:rFonts w:eastAsiaTheme="minorEastAsia" w:cstheme="minorBidi"/>
              <w:b w:val="0"/>
              <w:bCs w:val="0"/>
              <w:noProof/>
              <w:kern w:val="2"/>
              <w:sz w:val="24"/>
              <w:szCs w:val="24"/>
              <w14:ligatures w14:val="standardContextual"/>
            </w:rPr>
          </w:pPr>
          <w:hyperlink w:anchor="_Toc210202225" w:history="1">
            <w:r w:rsidRPr="00F32010">
              <w:rPr>
                <w:rStyle w:val="Hipervnculo"/>
                <w:rFonts w:ascii="Times New Roman" w:eastAsiaTheme="majorEastAsia" w:hAnsi="Times New Roman" w:cs="Times New Roman"/>
                <w:noProof/>
                <w:lang w:val="es-ES_tradnl"/>
              </w:rPr>
              <w:t>1.</w:t>
            </w:r>
            <w:r>
              <w:rPr>
                <w:rFonts w:eastAsiaTheme="minorEastAsia" w:cstheme="minorBidi"/>
                <w:b w:val="0"/>
                <w:bCs w:val="0"/>
                <w:noProof/>
                <w:kern w:val="2"/>
                <w:sz w:val="24"/>
                <w:szCs w:val="24"/>
                <w14:ligatures w14:val="standardContextual"/>
              </w:rPr>
              <w:tab/>
            </w:r>
            <w:r w:rsidRPr="00F32010">
              <w:rPr>
                <w:rStyle w:val="Hipervnculo"/>
                <w:rFonts w:ascii="Times New Roman" w:eastAsiaTheme="majorEastAsia" w:hAnsi="Times New Roman" w:cs="Times New Roman"/>
                <w:noProof/>
                <w:lang w:val="es-ES_tradnl"/>
              </w:rPr>
              <w:t>Competencia</w:t>
            </w:r>
            <w:r>
              <w:rPr>
                <w:noProof/>
                <w:webHidden/>
              </w:rPr>
              <w:tab/>
            </w:r>
            <w:r>
              <w:rPr>
                <w:noProof/>
                <w:webHidden/>
              </w:rPr>
              <w:fldChar w:fldCharType="begin"/>
            </w:r>
            <w:r>
              <w:rPr>
                <w:noProof/>
                <w:webHidden/>
              </w:rPr>
              <w:instrText xml:space="preserve"> PAGEREF _Toc210202225 \h </w:instrText>
            </w:r>
            <w:r>
              <w:rPr>
                <w:noProof/>
                <w:webHidden/>
              </w:rPr>
            </w:r>
            <w:r>
              <w:rPr>
                <w:noProof/>
                <w:webHidden/>
              </w:rPr>
              <w:fldChar w:fldCharType="separate"/>
            </w:r>
            <w:r>
              <w:rPr>
                <w:noProof/>
                <w:webHidden/>
              </w:rPr>
              <w:t>11</w:t>
            </w:r>
            <w:r>
              <w:rPr>
                <w:noProof/>
                <w:webHidden/>
              </w:rPr>
              <w:fldChar w:fldCharType="end"/>
            </w:r>
          </w:hyperlink>
        </w:p>
        <w:p w14:paraId="5576380C" w14:textId="33C0F29F" w:rsidR="00EE4641" w:rsidRDefault="00EE4641">
          <w:pPr>
            <w:pStyle w:val="TDC2"/>
            <w:tabs>
              <w:tab w:val="left" w:pos="720"/>
              <w:tab w:val="right" w:leader="dot" w:pos="8828"/>
            </w:tabs>
            <w:rPr>
              <w:rFonts w:eastAsiaTheme="minorEastAsia" w:cstheme="minorBidi"/>
              <w:b w:val="0"/>
              <w:bCs w:val="0"/>
              <w:noProof/>
              <w:kern w:val="2"/>
              <w:sz w:val="24"/>
              <w:szCs w:val="24"/>
              <w14:ligatures w14:val="standardContextual"/>
            </w:rPr>
          </w:pPr>
          <w:hyperlink w:anchor="_Toc210202226" w:history="1">
            <w:r w:rsidRPr="00F32010">
              <w:rPr>
                <w:rStyle w:val="Hipervnculo"/>
                <w:rFonts w:ascii="Times New Roman" w:eastAsiaTheme="majorEastAsia" w:hAnsi="Times New Roman" w:cs="Times New Roman"/>
                <w:noProof/>
                <w:lang w:val="es-ES_tradnl"/>
              </w:rPr>
              <w:t>2.</w:t>
            </w:r>
            <w:r>
              <w:rPr>
                <w:rFonts w:eastAsiaTheme="minorEastAsia" w:cstheme="minorBidi"/>
                <w:b w:val="0"/>
                <w:bCs w:val="0"/>
                <w:noProof/>
                <w:kern w:val="2"/>
                <w:sz w:val="24"/>
                <w:szCs w:val="24"/>
                <w14:ligatures w14:val="standardContextual"/>
              </w:rPr>
              <w:tab/>
            </w:r>
            <w:r w:rsidRPr="00F32010">
              <w:rPr>
                <w:rStyle w:val="Hipervnculo"/>
                <w:rFonts w:ascii="Times New Roman" w:eastAsiaTheme="majorEastAsia" w:hAnsi="Times New Roman" w:cs="Times New Roman"/>
                <w:noProof/>
                <w:lang w:val="es-ES_tradnl"/>
              </w:rPr>
              <w:t>Procedibilidad de la acción de tutela</w:t>
            </w:r>
            <w:r>
              <w:rPr>
                <w:noProof/>
                <w:webHidden/>
              </w:rPr>
              <w:tab/>
            </w:r>
            <w:r>
              <w:rPr>
                <w:noProof/>
                <w:webHidden/>
              </w:rPr>
              <w:fldChar w:fldCharType="begin"/>
            </w:r>
            <w:r>
              <w:rPr>
                <w:noProof/>
                <w:webHidden/>
              </w:rPr>
              <w:instrText xml:space="preserve"> PAGEREF _Toc210202226 \h </w:instrText>
            </w:r>
            <w:r>
              <w:rPr>
                <w:noProof/>
                <w:webHidden/>
              </w:rPr>
            </w:r>
            <w:r>
              <w:rPr>
                <w:noProof/>
                <w:webHidden/>
              </w:rPr>
              <w:fldChar w:fldCharType="separate"/>
            </w:r>
            <w:r>
              <w:rPr>
                <w:noProof/>
                <w:webHidden/>
              </w:rPr>
              <w:t>11</w:t>
            </w:r>
            <w:r>
              <w:rPr>
                <w:noProof/>
                <w:webHidden/>
              </w:rPr>
              <w:fldChar w:fldCharType="end"/>
            </w:r>
          </w:hyperlink>
        </w:p>
        <w:p w14:paraId="33511760" w14:textId="09FC9B43" w:rsidR="00EE4641" w:rsidRDefault="00EE4641">
          <w:pPr>
            <w:pStyle w:val="TDC2"/>
            <w:tabs>
              <w:tab w:val="left" w:pos="720"/>
              <w:tab w:val="right" w:leader="dot" w:pos="8828"/>
            </w:tabs>
            <w:rPr>
              <w:rFonts w:eastAsiaTheme="minorEastAsia" w:cstheme="minorBidi"/>
              <w:b w:val="0"/>
              <w:bCs w:val="0"/>
              <w:noProof/>
              <w:kern w:val="2"/>
              <w:sz w:val="24"/>
              <w:szCs w:val="24"/>
              <w14:ligatures w14:val="standardContextual"/>
            </w:rPr>
          </w:pPr>
          <w:hyperlink w:anchor="_Toc210202227" w:history="1">
            <w:r w:rsidRPr="00F32010">
              <w:rPr>
                <w:rStyle w:val="Hipervnculo"/>
                <w:rFonts w:ascii="Times New Roman" w:eastAsiaTheme="majorEastAsia" w:hAnsi="Times New Roman" w:cs="Times New Roman"/>
                <w:noProof/>
                <w:lang w:val="es-ES_tradnl"/>
              </w:rPr>
              <w:t>3.</w:t>
            </w:r>
            <w:r>
              <w:rPr>
                <w:rFonts w:eastAsiaTheme="minorEastAsia" w:cstheme="minorBidi"/>
                <w:b w:val="0"/>
                <w:bCs w:val="0"/>
                <w:noProof/>
                <w:kern w:val="2"/>
                <w:sz w:val="24"/>
                <w:szCs w:val="24"/>
                <w14:ligatures w14:val="standardContextual"/>
              </w:rPr>
              <w:tab/>
            </w:r>
            <w:r w:rsidRPr="00F32010">
              <w:rPr>
                <w:rStyle w:val="Hipervnculo"/>
                <w:rFonts w:ascii="Times New Roman" w:eastAsiaTheme="majorEastAsia" w:hAnsi="Times New Roman" w:cs="Times New Roman"/>
                <w:noProof/>
                <w:lang w:val="es-ES_tradnl"/>
              </w:rPr>
              <w:t>Cuestión preliminar: ausencia de carencia actual de objeto por hecho superado</w:t>
            </w:r>
            <w:r>
              <w:rPr>
                <w:noProof/>
                <w:webHidden/>
              </w:rPr>
              <w:tab/>
            </w:r>
            <w:r>
              <w:rPr>
                <w:noProof/>
                <w:webHidden/>
              </w:rPr>
              <w:fldChar w:fldCharType="begin"/>
            </w:r>
            <w:r>
              <w:rPr>
                <w:noProof/>
                <w:webHidden/>
              </w:rPr>
              <w:instrText xml:space="preserve"> PAGEREF _Toc210202227 \h </w:instrText>
            </w:r>
            <w:r>
              <w:rPr>
                <w:noProof/>
                <w:webHidden/>
              </w:rPr>
            </w:r>
            <w:r>
              <w:rPr>
                <w:noProof/>
                <w:webHidden/>
              </w:rPr>
              <w:fldChar w:fldCharType="separate"/>
            </w:r>
            <w:r>
              <w:rPr>
                <w:noProof/>
                <w:webHidden/>
              </w:rPr>
              <w:t>16</w:t>
            </w:r>
            <w:r>
              <w:rPr>
                <w:noProof/>
                <w:webHidden/>
              </w:rPr>
              <w:fldChar w:fldCharType="end"/>
            </w:r>
          </w:hyperlink>
        </w:p>
        <w:p w14:paraId="48FA90BF" w14:textId="4DEDF7D6" w:rsidR="00EE4641" w:rsidRDefault="00EE4641">
          <w:pPr>
            <w:pStyle w:val="TDC2"/>
            <w:tabs>
              <w:tab w:val="left" w:pos="720"/>
              <w:tab w:val="right" w:leader="dot" w:pos="8828"/>
            </w:tabs>
            <w:rPr>
              <w:rFonts w:eastAsiaTheme="minorEastAsia" w:cstheme="minorBidi"/>
              <w:b w:val="0"/>
              <w:bCs w:val="0"/>
              <w:noProof/>
              <w:kern w:val="2"/>
              <w:sz w:val="24"/>
              <w:szCs w:val="24"/>
              <w14:ligatures w14:val="standardContextual"/>
            </w:rPr>
          </w:pPr>
          <w:hyperlink w:anchor="_Toc210202228" w:history="1">
            <w:r w:rsidRPr="00F32010">
              <w:rPr>
                <w:rStyle w:val="Hipervnculo"/>
                <w:rFonts w:ascii="Times New Roman" w:eastAsiaTheme="majorEastAsia" w:hAnsi="Times New Roman" w:cs="Times New Roman"/>
                <w:noProof/>
                <w:lang w:val="es-ES_tradnl"/>
              </w:rPr>
              <w:t>4.</w:t>
            </w:r>
            <w:r>
              <w:rPr>
                <w:rFonts w:eastAsiaTheme="minorEastAsia" w:cstheme="minorBidi"/>
                <w:b w:val="0"/>
                <w:bCs w:val="0"/>
                <w:noProof/>
                <w:kern w:val="2"/>
                <w:sz w:val="24"/>
                <w:szCs w:val="24"/>
                <w14:ligatures w14:val="standardContextual"/>
              </w:rPr>
              <w:tab/>
            </w:r>
            <w:r w:rsidRPr="00F32010">
              <w:rPr>
                <w:rStyle w:val="Hipervnculo"/>
                <w:rFonts w:ascii="Times New Roman" w:eastAsiaTheme="majorEastAsia" w:hAnsi="Times New Roman" w:cs="Times New Roman"/>
                <w:noProof/>
                <w:lang w:val="es-ES_tradnl"/>
              </w:rPr>
              <w:t>Planteamiento del problema jurídico y metodología de la decisión</w:t>
            </w:r>
            <w:r>
              <w:rPr>
                <w:noProof/>
                <w:webHidden/>
              </w:rPr>
              <w:tab/>
            </w:r>
            <w:r>
              <w:rPr>
                <w:noProof/>
                <w:webHidden/>
              </w:rPr>
              <w:fldChar w:fldCharType="begin"/>
            </w:r>
            <w:r>
              <w:rPr>
                <w:noProof/>
                <w:webHidden/>
              </w:rPr>
              <w:instrText xml:space="preserve"> PAGEREF _Toc210202228 \h </w:instrText>
            </w:r>
            <w:r>
              <w:rPr>
                <w:noProof/>
                <w:webHidden/>
              </w:rPr>
            </w:r>
            <w:r>
              <w:rPr>
                <w:noProof/>
                <w:webHidden/>
              </w:rPr>
              <w:fldChar w:fldCharType="separate"/>
            </w:r>
            <w:r>
              <w:rPr>
                <w:noProof/>
                <w:webHidden/>
              </w:rPr>
              <w:t>20</w:t>
            </w:r>
            <w:r>
              <w:rPr>
                <w:noProof/>
                <w:webHidden/>
              </w:rPr>
              <w:fldChar w:fldCharType="end"/>
            </w:r>
          </w:hyperlink>
        </w:p>
        <w:p w14:paraId="4F8FC52E" w14:textId="50A78FD9" w:rsidR="00EE4641" w:rsidRDefault="00EE4641">
          <w:pPr>
            <w:pStyle w:val="TDC2"/>
            <w:tabs>
              <w:tab w:val="left" w:pos="720"/>
              <w:tab w:val="right" w:leader="dot" w:pos="8828"/>
            </w:tabs>
            <w:rPr>
              <w:rFonts w:eastAsiaTheme="minorEastAsia" w:cstheme="minorBidi"/>
              <w:b w:val="0"/>
              <w:bCs w:val="0"/>
              <w:noProof/>
              <w:kern w:val="2"/>
              <w:sz w:val="24"/>
              <w:szCs w:val="24"/>
              <w14:ligatures w14:val="standardContextual"/>
            </w:rPr>
          </w:pPr>
          <w:hyperlink w:anchor="_Toc210202229" w:history="1">
            <w:r w:rsidRPr="00F32010">
              <w:rPr>
                <w:rStyle w:val="Hipervnculo"/>
                <w:rFonts w:ascii="Times New Roman" w:eastAsiaTheme="majorEastAsia" w:hAnsi="Times New Roman" w:cs="Times New Roman"/>
                <w:noProof/>
                <w:lang w:val="es-ES_tradnl"/>
              </w:rPr>
              <w:t>5.</w:t>
            </w:r>
            <w:r>
              <w:rPr>
                <w:rFonts w:eastAsiaTheme="minorEastAsia" w:cstheme="minorBidi"/>
                <w:b w:val="0"/>
                <w:bCs w:val="0"/>
                <w:noProof/>
                <w:kern w:val="2"/>
                <w:sz w:val="24"/>
                <w:szCs w:val="24"/>
                <w14:ligatures w14:val="standardContextual"/>
              </w:rPr>
              <w:tab/>
            </w:r>
            <w:r w:rsidRPr="00F32010">
              <w:rPr>
                <w:rStyle w:val="Hipervnculo"/>
                <w:rFonts w:ascii="Times New Roman" w:eastAsiaTheme="majorEastAsia" w:hAnsi="Times New Roman" w:cs="Times New Roman"/>
                <w:noProof/>
                <w:lang w:val="es-ES_tradnl"/>
              </w:rPr>
              <w:t>El derecho de acceso a la información pública en el régimen establecido en la Ley 1712 de 2014 y los derechos al hábeas data y a la intimidad. Reiteración de jurisprudencia</w:t>
            </w:r>
            <w:r>
              <w:rPr>
                <w:noProof/>
                <w:webHidden/>
              </w:rPr>
              <w:tab/>
            </w:r>
            <w:r>
              <w:rPr>
                <w:noProof/>
                <w:webHidden/>
              </w:rPr>
              <w:fldChar w:fldCharType="begin"/>
            </w:r>
            <w:r>
              <w:rPr>
                <w:noProof/>
                <w:webHidden/>
              </w:rPr>
              <w:instrText xml:space="preserve"> PAGEREF _Toc210202229 \h </w:instrText>
            </w:r>
            <w:r>
              <w:rPr>
                <w:noProof/>
                <w:webHidden/>
              </w:rPr>
            </w:r>
            <w:r>
              <w:rPr>
                <w:noProof/>
                <w:webHidden/>
              </w:rPr>
              <w:fldChar w:fldCharType="separate"/>
            </w:r>
            <w:r>
              <w:rPr>
                <w:noProof/>
                <w:webHidden/>
              </w:rPr>
              <w:t>21</w:t>
            </w:r>
            <w:r>
              <w:rPr>
                <w:noProof/>
                <w:webHidden/>
              </w:rPr>
              <w:fldChar w:fldCharType="end"/>
            </w:r>
          </w:hyperlink>
        </w:p>
        <w:p w14:paraId="598C4EB9" w14:textId="706FFCE0" w:rsidR="00EE4641" w:rsidRDefault="00EE4641">
          <w:pPr>
            <w:pStyle w:val="TDC2"/>
            <w:tabs>
              <w:tab w:val="left" w:pos="720"/>
              <w:tab w:val="right" w:leader="dot" w:pos="8828"/>
            </w:tabs>
            <w:rPr>
              <w:rFonts w:eastAsiaTheme="minorEastAsia" w:cstheme="minorBidi"/>
              <w:b w:val="0"/>
              <w:bCs w:val="0"/>
              <w:noProof/>
              <w:kern w:val="2"/>
              <w:sz w:val="24"/>
              <w:szCs w:val="24"/>
              <w14:ligatures w14:val="standardContextual"/>
            </w:rPr>
          </w:pPr>
          <w:hyperlink w:anchor="_Toc210202230" w:history="1">
            <w:r w:rsidRPr="00F32010">
              <w:rPr>
                <w:rStyle w:val="Hipervnculo"/>
                <w:rFonts w:ascii="Times New Roman" w:eastAsiaTheme="majorEastAsia" w:hAnsi="Times New Roman" w:cs="Times New Roman"/>
                <w:noProof/>
                <w:lang w:val="es-ES_tradnl"/>
              </w:rPr>
              <w:t>6.</w:t>
            </w:r>
            <w:r>
              <w:rPr>
                <w:rFonts w:eastAsiaTheme="minorEastAsia" w:cstheme="minorBidi"/>
                <w:b w:val="0"/>
                <w:bCs w:val="0"/>
                <w:noProof/>
                <w:kern w:val="2"/>
                <w:sz w:val="24"/>
                <w:szCs w:val="24"/>
                <w14:ligatures w14:val="standardContextual"/>
              </w:rPr>
              <w:tab/>
            </w:r>
            <w:r w:rsidRPr="00F32010">
              <w:rPr>
                <w:rStyle w:val="Hipervnculo"/>
                <w:rFonts w:ascii="Times New Roman" w:eastAsiaTheme="majorEastAsia" w:hAnsi="Times New Roman" w:cs="Times New Roman"/>
                <w:noProof/>
                <w:lang w:val="es-ES_tradnl"/>
              </w:rPr>
              <w:t>Carga de justificación para la restricción a la información pública. Reiteración de jurisprudencia</w:t>
            </w:r>
            <w:r>
              <w:rPr>
                <w:noProof/>
                <w:webHidden/>
              </w:rPr>
              <w:tab/>
            </w:r>
            <w:r>
              <w:rPr>
                <w:noProof/>
                <w:webHidden/>
              </w:rPr>
              <w:fldChar w:fldCharType="begin"/>
            </w:r>
            <w:r>
              <w:rPr>
                <w:noProof/>
                <w:webHidden/>
              </w:rPr>
              <w:instrText xml:space="preserve"> PAGEREF _Toc210202230 \h </w:instrText>
            </w:r>
            <w:r>
              <w:rPr>
                <w:noProof/>
                <w:webHidden/>
              </w:rPr>
            </w:r>
            <w:r>
              <w:rPr>
                <w:noProof/>
                <w:webHidden/>
              </w:rPr>
              <w:fldChar w:fldCharType="separate"/>
            </w:r>
            <w:r>
              <w:rPr>
                <w:noProof/>
                <w:webHidden/>
              </w:rPr>
              <w:t>26</w:t>
            </w:r>
            <w:r>
              <w:rPr>
                <w:noProof/>
                <w:webHidden/>
              </w:rPr>
              <w:fldChar w:fldCharType="end"/>
            </w:r>
          </w:hyperlink>
        </w:p>
        <w:p w14:paraId="76B50750" w14:textId="5E334103" w:rsidR="00EE4641" w:rsidRDefault="00EE4641">
          <w:pPr>
            <w:pStyle w:val="TDC2"/>
            <w:tabs>
              <w:tab w:val="left" w:pos="720"/>
              <w:tab w:val="right" w:leader="dot" w:pos="8828"/>
            </w:tabs>
            <w:rPr>
              <w:rFonts w:eastAsiaTheme="minorEastAsia" w:cstheme="minorBidi"/>
              <w:b w:val="0"/>
              <w:bCs w:val="0"/>
              <w:noProof/>
              <w:kern w:val="2"/>
              <w:sz w:val="24"/>
              <w:szCs w:val="24"/>
              <w14:ligatures w14:val="standardContextual"/>
            </w:rPr>
          </w:pPr>
          <w:hyperlink w:anchor="_Toc210202231" w:history="1">
            <w:r w:rsidRPr="00F32010">
              <w:rPr>
                <w:rStyle w:val="Hipervnculo"/>
                <w:rFonts w:ascii="Times New Roman" w:eastAsiaTheme="majorEastAsia" w:hAnsi="Times New Roman" w:cs="Times New Roman"/>
                <w:noProof/>
                <w:lang w:val="es-ES_tradnl"/>
              </w:rPr>
              <w:t>7.</w:t>
            </w:r>
            <w:r>
              <w:rPr>
                <w:rFonts w:eastAsiaTheme="minorEastAsia" w:cstheme="minorBidi"/>
                <w:b w:val="0"/>
                <w:bCs w:val="0"/>
                <w:noProof/>
                <w:kern w:val="2"/>
                <w:sz w:val="24"/>
                <w:szCs w:val="24"/>
                <w14:ligatures w14:val="standardContextual"/>
              </w:rPr>
              <w:tab/>
            </w:r>
            <w:r w:rsidRPr="00F32010">
              <w:rPr>
                <w:rStyle w:val="Hipervnculo"/>
                <w:rFonts w:ascii="Times New Roman" w:eastAsiaTheme="majorEastAsia" w:hAnsi="Times New Roman" w:cs="Times New Roman"/>
                <w:noProof/>
                <w:lang w:val="es-ES_tradnl"/>
              </w:rPr>
              <w:t xml:space="preserve">El principio de transparencia frente a las </w:t>
            </w:r>
            <w:r w:rsidRPr="00F32010">
              <w:rPr>
                <w:rStyle w:val="Hipervnculo"/>
                <w:rFonts w:ascii="Times New Roman" w:eastAsiaTheme="minorHAnsi" w:hAnsi="Times New Roman" w:cs="Times New Roman"/>
                <w:noProof/>
                <w:lang w:val="es-ES_tradnl" w:eastAsia="en-US"/>
              </w:rPr>
              <w:t>declaraciones de bienes y rentas, el registro de conflictos de interés, las declaraciones del impuesto sobre la renta y las hojas de vida de los funcionarios judiciales</w:t>
            </w:r>
            <w:r>
              <w:rPr>
                <w:noProof/>
                <w:webHidden/>
              </w:rPr>
              <w:tab/>
            </w:r>
            <w:r>
              <w:rPr>
                <w:noProof/>
                <w:webHidden/>
              </w:rPr>
              <w:fldChar w:fldCharType="begin"/>
            </w:r>
            <w:r>
              <w:rPr>
                <w:noProof/>
                <w:webHidden/>
              </w:rPr>
              <w:instrText xml:space="preserve"> PAGEREF _Toc210202231 \h </w:instrText>
            </w:r>
            <w:r>
              <w:rPr>
                <w:noProof/>
                <w:webHidden/>
              </w:rPr>
            </w:r>
            <w:r>
              <w:rPr>
                <w:noProof/>
                <w:webHidden/>
              </w:rPr>
              <w:fldChar w:fldCharType="separate"/>
            </w:r>
            <w:r>
              <w:rPr>
                <w:noProof/>
                <w:webHidden/>
              </w:rPr>
              <w:t>32</w:t>
            </w:r>
            <w:r>
              <w:rPr>
                <w:noProof/>
                <w:webHidden/>
              </w:rPr>
              <w:fldChar w:fldCharType="end"/>
            </w:r>
          </w:hyperlink>
        </w:p>
        <w:p w14:paraId="19E68EC9" w14:textId="342F0525" w:rsidR="00EE4641" w:rsidRDefault="00EE4641">
          <w:pPr>
            <w:pStyle w:val="TDC1"/>
            <w:tabs>
              <w:tab w:val="left" w:pos="720"/>
              <w:tab w:val="right" w:leader="dot" w:pos="8828"/>
            </w:tabs>
            <w:rPr>
              <w:rFonts w:eastAsiaTheme="minorEastAsia" w:cstheme="minorBidi"/>
              <w:b w:val="0"/>
              <w:bCs w:val="0"/>
              <w:i w:val="0"/>
              <w:iCs w:val="0"/>
              <w:noProof/>
              <w:kern w:val="2"/>
              <w14:ligatures w14:val="standardContextual"/>
            </w:rPr>
          </w:pPr>
          <w:hyperlink w:anchor="_Toc210202232" w:history="1">
            <w:r w:rsidRPr="00F32010">
              <w:rPr>
                <w:rStyle w:val="Hipervnculo"/>
                <w:rFonts w:ascii="Times New Roman" w:eastAsiaTheme="majorEastAsia" w:hAnsi="Times New Roman" w:cs="Times New Roman"/>
                <w:noProof/>
                <w:lang w:val="es-ES_tradnl"/>
              </w:rPr>
              <w:t>IV.</w:t>
            </w:r>
            <w:r>
              <w:rPr>
                <w:rFonts w:eastAsiaTheme="minorEastAsia" w:cstheme="minorBidi"/>
                <w:b w:val="0"/>
                <w:bCs w:val="0"/>
                <w:i w:val="0"/>
                <w:iCs w:val="0"/>
                <w:noProof/>
                <w:kern w:val="2"/>
                <w14:ligatures w14:val="standardContextual"/>
              </w:rPr>
              <w:tab/>
            </w:r>
            <w:r w:rsidRPr="00F32010">
              <w:rPr>
                <w:rStyle w:val="Hipervnculo"/>
                <w:rFonts w:ascii="Times New Roman" w:eastAsiaTheme="majorEastAsia" w:hAnsi="Times New Roman" w:cs="Times New Roman"/>
                <w:noProof/>
                <w:lang w:val="es-ES_tradnl"/>
              </w:rPr>
              <w:t>CASO CONCRETO</w:t>
            </w:r>
            <w:r>
              <w:rPr>
                <w:noProof/>
                <w:webHidden/>
              </w:rPr>
              <w:tab/>
            </w:r>
            <w:r>
              <w:rPr>
                <w:noProof/>
                <w:webHidden/>
              </w:rPr>
              <w:fldChar w:fldCharType="begin"/>
            </w:r>
            <w:r>
              <w:rPr>
                <w:noProof/>
                <w:webHidden/>
              </w:rPr>
              <w:instrText xml:space="preserve"> PAGEREF _Toc210202232 \h </w:instrText>
            </w:r>
            <w:r>
              <w:rPr>
                <w:noProof/>
                <w:webHidden/>
              </w:rPr>
            </w:r>
            <w:r>
              <w:rPr>
                <w:noProof/>
                <w:webHidden/>
              </w:rPr>
              <w:fldChar w:fldCharType="separate"/>
            </w:r>
            <w:r>
              <w:rPr>
                <w:noProof/>
                <w:webHidden/>
              </w:rPr>
              <w:t>41</w:t>
            </w:r>
            <w:r>
              <w:rPr>
                <w:noProof/>
                <w:webHidden/>
              </w:rPr>
              <w:fldChar w:fldCharType="end"/>
            </w:r>
          </w:hyperlink>
        </w:p>
        <w:p w14:paraId="3D007F20" w14:textId="1277E6D6" w:rsidR="00EE4641" w:rsidRDefault="00EE4641">
          <w:pPr>
            <w:pStyle w:val="TDC2"/>
            <w:tabs>
              <w:tab w:val="left" w:pos="720"/>
              <w:tab w:val="right" w:leader="dot" w:pos="8828"/>
            </w:tabs>
            <w:rPr>
              <w:rFonts w:eastAsiaTheme="minorEastAsia" w:cstheme="minorBidi"/>
              <w:b w:val="0"/>
              <w:bCs w:val="0"/>
              <w:noProof/>
              <w:kern w:val="2"/>
              <w:sz w:val="24"/>
              <w:szCs w:val="24"/>
              <w14:ligatures w14:val="standardContextual"/>
            </w:rPr>
          </w:pPr>
          <w:hyperlink w:anchor="_Toc210202233" w:history="1">
            <w:r w:rsidRPr="00F32010">
              <w:rPr>
                <w:rStyle w:val="Hipervnculo"/>
                <w:rFonts w:ascii="Times New Roman" w:eastAsiaTheme="majorEastAsia" w:hAnsi="Times New Roman" w:cs="Times New Roman"/>
                <w:noProof/>
                <w:lang w:val="es-ES_tradnl"/>
              </w:rPr>
              <w:t>1.</w:t>
            </w:r>
            <w:r>
              <w:rPr>
                <w:rFonts w:eastAsiaTheme="minorEastAsia" w:cstheme="minorBidi"/>
                <w:b w:val="0"/>
                <w:bCs w:val="0"/>
                <w:noProof/>
                <w:kern w:val="2"/>
                <w:sz w:val="24"/>
                <w:szCs w:val="24"/>
                <w14:ligatures w14:val="standardContextual"/>
              </w:rPr>
              <w:tab/>
            </w:r>
            <w:r w:rsidRPr="00F32010">
              <w:rPr>
                <w:rStyle w:val="Hipervnculo"/>
                <w:rFonts w:ascii="Times New Roman" w:eastAsiaTheme="majorEastAsia" w:hAnsi="Times New Roman" w:cs="Times New Roman"/>
                <w:noProof/>
                <w:lang w:val="es-ES_tradnl"/>
              </w:rPr>
              <w:t>Las hojas de vida de los magistrados y sus respectivos soportes</w:t>
            </w:r>
            <w:r>
              <w:rPr>
                <w:noProof/>
                <w:webHidden/>
              </w:rPr>
              <w:tab/>
            </w:r>
            <w:r>
              <w:rPr>
                <w:noProof/>
                <w:webHidden/>
              </w:rPr>
              <w:fldChar w:fldCharType="begin"/>
            </w:r>
            <w:r>
              <w:rPr>
                <w:noProof/>
                <w:webHidden/>
              </w:rPr>
              <w:instrText xml:space="preserve"> PAGEREF _Toc210202233 \h </w:instrText>
            </w:r>
            <w:r>
              <w:rPr>
                <w:noProof/>
                <w:webHidden/>
              </w:rPr>
            </w:r>
            <w:r>
              <w:rPr>
                <w:noProof/>
                <w:webHidden/>
              </w:rPr>
              <w:fldChar w:fldCharType="separate"/>
            </w:r>
            <w:r>
              <w:rPr>
                <w:noProof/>
                <w:webHidden/>
              </w:rPr>
              <w:t>42</w:t>
            </w:r>
            <w:r>
              <w:rPr>
                <w:noProof/>
                <w:webHidden/>
              </w:rPr>
              <w:fldChar w:fldCharType="end"/>
            </w:r>
          </w:hyperlink>
        </w:p>
        <w:p w14:paraId="5719BAC0" w14:textId="40AA8472" w:rsidR="00EE4641" w:rsidRDefault="00EE4641">
          <w:pPr>
            <w:pStyle w:val="TDC2"/>
            <w:tabs>
              <w:tab w:val="left" w:pos="720"/>
              <w:tab w:val="right" w:leader="dot" w:pos="8828"/>
            </w:tabs>
            <w:rPr>
              <w:rFonts w:eastAsiaTheme="minorEastAsia" w:cstheme="minorBidi"/>
              <w:b w:val="0"/>
              <w:bCs w:val="0"/>
              <w:noProof/>
              <w:kern w:val="2"/>
              <w:sz w:val="24"/>
              <w:szCs w:val="24"/>
              <w14:ligatures w14:val="standardContextual"/>
            </w:rPr>
          </w:pPr>
          <w:hyperlink w:anchor="_Toc210202234" w:history="1">
            <w:r w:rsidRPr="00F32010">
              <w:rPr>
                <w:rStyle w:val="Hipervnculo"/>
                <w:rFonts w:ascii="Times New Roman" w:eastAsiaTheme="majorEastAsia" w:hAnsi="Times New Roman" w:cs="Times New Roman"/>
                <w:noProof/>
                <w:lang w:val="es-ES_tradnl"/>
              </w:rPr>
              <w:t>2.</w:t>
            </w:r>
            <w:r>
              <w:rPr>
                <w:rFonts w:eastAsiaTheme="minorEastAsia" w:cstheme="minorBidi"/>
                <w:b w:val="0"/>
                <w:bCs w:val="0"/>
                <w:noProof/>
                <w:kern w:val="2"/>
                <w:sz w:val="24"/>
                <w:szCs w:val="24"/>
                <w14:ligatures w14:val="standardContextual"/>
              </w:rPr>
              <w:tab/>
            </w:r>
            <w:r w:rsidRPr="00F32010">
              <w:rPr>
                <w:rStyle w:val="Hipervnculo"/>
                <w:rFonts w:ascii="Times New Roman" w:eastAsiaTheme="majorEastAsia" w:hAnsi="Times New Roman" w:cs="Times New Roman"/>
                <w:noProof/>
                <w:lang w:val="es-ES_tradnl"/>
              </w:rPr>
              <w:t>Las declaraciones del impuesto sobre la renta, las declaraciones de bienes y rentas y los registros de conflictos de interés de los magistrados</w:t>
            </w:r>
            <w:r>
              <w:rPr>
                <w:noProof/>
                <w:webHidden/>
              </w:rPr>
              <w:tab/>
            </w:r>
            <w:r>
              <w:rPr>
                <w:noProof/>
                <w:webHidden/>
              </w:rPr>
              <w:fldChar w:fldCharType="begin"/>
            </w:r>
            <w:r>
              <w:rPr>
                <w:noProof/>
                <w:webHidden/>
              </w:rPr>
              <w:instrText xml:space="preserve"> PAGEREF _Toc210202234 \h </w:instrText>
            </w:r>
            <w:r>
              <w:rPr>
                <w:noProof/>
                <w:webHidden/>
              </w:rPr>
            </w:r>
            <w:r>
              <w:rPr>
                <w:noProof/>
                <w:webHidden/>
              </w:rPr>
              <w:fldChar w:fldCharType="separate"/>
            </w:r>
            <w:r>
              <w:rPr>
                <w:noProof/>
                <w:webHidden/>
              </w:rPr>
              <w:t>48</w:t>
            </w:r>
            <w:r>
              <w:rPr>
                <w:noProof/>
                <w:webHidden/>
              </w:rPr>
              <w:fldChar w:fldCharType="end"/>
            </w:r>
          </w:hyperlink>
        </w:p>
        <w:p w14:paraId="111E4692" w14:textId="09592239" w:rsidR="00EE4641" w:rsidRDefault="00EE4641">
          <w:pPr>
            <w:pStyle w:val="TDC2"/>
            <w:tabs>
              <w:tab w:val="left" w:pos="720"/>
              <w:tab w:val="right" w:leader="dot" w:pos="8828"/>
            </w:tabs>
            <w:rPr>
              <w:rFonts w:eastAsiaTheme="minorEastAsia" w:cstheme="minorBidi"/>
              <w:b w:val="0"/>
              <w:bCs w:val="0"/>
              <w:noProof/>
              <w:kern w:val="2"/>
              <w:sz w:val="24"/>
              <w:szCs w:val="24"/>
              <w14:ligatures w14:val="standardContextual"/>
            </w:rPr>
          </w:pPr>
          <w:hyperlink w:anchor="_Toc210202235" w:history="1">
            <w:r w:rsidRPr="00F32010">
              <w:rPr>
                <w:rStyle w:val="Hipervnculo"/>
                <w:rFonts w:ascii="Times New Roman" w:eastAsiaTheme="majorEastAsia" w:hAnsi="Times New Roman" w:cs="Times New Roman"/>
                <w:noProof/>
                <w:lang w:val="es-ES_tradnl"/>
              </w:rPr>
              <w:t>3.</w:t>
            </w:r>
            <w:r>
              <w:rPr>
                <w:rFonts w:eastAsiaTheme="minorEastAsia" w:cstheme="minorBidi"/>
                <w:b w:val="0"/>
                <w:bCs w:val="0"/>
                <w:noProof/>
                <w:kern w:val="2"/>
                <w:sz w:val="24"/>
                <w:szCs w:val="24"/>
                <w14:ligatures w14:val="standardContextual"/>
              </w:rPr>
              <w:tab/>
            </w:r>
            <w:r w:rsidRPr="00F32010">
              <w:rPr>
                <w:rStyle w:val="Hipervnculo"/>
                <w:rFonts w:ascii="Times New Roman" w:eastAsiaTheme="majorEastAsia" w:hAnsi="Times New Roman" w:cs="Times New Roman"/>
                <w:noProof/>
                <w:lang w:val="es-ES_tradnl"/>
              </w:rPr>
              <w:t>Remedios Judiciales</w:t>
            </w:r>
            <w:r>
              <w:rPr>
                <w:noProof/>
                <w:webHidden/>
              </w:rPr>
              <w:tab/>
            </w:r>
            <w:r>
              <w:rPr>
                <w:noProof/>
                <w:webHidden/>
              </w:rPr>
              <w:fldChar w:fldCharType="begin"/>
            </w:r>
            <w:r>
              <w:rPr>
                <w:noProof/>
                <w:webHidden/>
              </w:rPr>
              <w:instrText xml:space="preserve"> PAGEREF _Toc210202235 \h </w:instrText>
            </w:r>
            <w:r>
              <w:rPr>
                <w:noProof/>
                <w:webHidden/>
              </w:rPr>
            </w:r>
            <w:r>
              <w:rPr>
                <w:noProof/>
                <w:webHidden/>
              </w:rPr>
              <w:fldChar w:fldCharType="separate"/>
            </w:r>
            <w:r>
              <w:rPr>
                <w:noProof/>
                <w:webHidden/>
              </w:rPr>
              <w:t>49</w:t>
            </w:r>
            <w:r>
              <w:rPr>
                <w:noProof/>
                <w:webHidden/>
              </w:rPr>
              <w:fldChar w:fldCharType="end"/>
            </w:r>
          </w:hyperlink>
        </w:p>
        <w:p w14:paraId="51861B51" w14:textId="1D2EC813" w:rsidR="00EE4641" w:rsidRDefault="00EE4641">
          <w:pPr>
            <w:pStyle w:val="TDC1"/>
            <w:tabs>
              <w:tab w:val="left" w:pos="480"/>
              <w:tab w:val="right" w:leader="dot" w:pos="8828"/>
            </w:tabs>
            <w:rPr>
              <w:rFonts w:eastAsiaTheme="minorEastAsia" w:cstheme="minorBidi"/>
              <w:b w:val="0"/>
              <w:bCs w:val="0"/>
              <w:i w:val="0"/>
              <w:iCs w:val="0"/>
              <w:noProof/>
              <w:kern w:val="2"/>
              <w14:ligatures w14:val="standardContextual"/>
            </w:rPr>
          </w:pPr>
          <w:hyperlink w:anchor="_Toc210202236" w:history="1">
            <w:r w:rsidRPr="00F32010">
              <w:rPr>
                <w:rStyle w:val="Hipervnculo"/>
                <w:rFonts w:ascii="Times New Roman" w:eastAsiaTheme="majorEastAsia" w:hAnsi="Times New Roman" w:cs="Times New Roman"/>
                <w:noProof/>
                <w:lang w:val="es-ES_tradnl"/>
              </w:rPr>
              <w:t>V.</w:t>
            </w:r>
            <w:r>
              <w:rPr>
                <w:rFonts w:eastAsiaTheme="minorEastAsia" w:cstheme="minorBidi"/>
                <w:b w:val="0"/>
                <w:bCs w:val="0"/>
                <w:i w:val="0"/>
                <w:iCs w:val="0"/>
                <w:noProof/>
                <w:kern w:val="2"/>
                <w14:ligatures w14:val="standardContextual"/>
              </w:rPr>
              <w:tab/>
            </w:r>
            <w:r w:rsidRPr="00F32010">
              <w:rPr>
                <w:rStyle w:val="Hipervnculo"/>
                <w:rFonts w:ascii="Times New Roman" w:eastAsiaTheme="majorEastAsia" w:hAnsi="Times New Roman" w:cs="Times New Roman"/>
                <w:noProof/>
                <w:lang w:val="es-ES_tradnl"/>
              </w:rPr>
              <w:t>DECISIÓN</w:t>
            </w:r>
            <w:r>
              <w:rPr>
                <w:noProof/>
                <w:webHidden/>
              </w:rPr>
              <w:tab/>
            </w:r>
            <w:r>
              <w:rPr>
                <w:noProof/>
                <w:webHidden/>
              </w:rPr>
              <w:fldChar w:fldCharType="begin"/>
            </w:r>
            <w:r>
              <w:rPr>
                <w:noProof/>
                <w:webHidden/>
              </w:rPr>
              <w:instrText xml:space="preserve"> PAGEREF _Toc210202236 \h </w:instrText>
            </w:r>
            <w:r>
              <w:rPr>
                <w:noProof/>
                <w:webHidden/>
              </w:rPr>
            </w:r>
            <w:r>
              <w:rPr>
                <w:noProof/>
                <w:webHidden/>
              </w:rPr>
              <w:fldChar w:fldCharType="separate"/>
            </w:r>
            <w:r>
              <w:rPr>
                <w:noProof/>
                <w:webHidden/>
              </w:rPr>
              <w:t>55</w:t>
            </w:r>
            <w:r>
              <w:rPr>
                <w:noProof/>
                <w:webHidden/>
              </w:rPr>
              <w:fldChar w:fldCharType="end"/>
            </w:r>
          </w:hyperlink>
        </w:p>
        <w:p w14:paraId="5EAD1748" w14:textId="20D2C8D2" w:rsidR="00C62C98" w:rsidRPr="00AB4289" w:rsidRDefault="002169CF" w:rsidP="00B40BE5">
          <w:pPr>
            <w:jc w:val="both"/>
          </w:pPr>
          <w:r w:rsidRPr="00AB4289">
            <w:rPr>
              <w:b/>
              <w:bCs/>
              <w:noProof/>
              <w:sz w:val="20"/>
              <w:szCs w:val="20"/>
            </w:rPr>
            <w:fldChar w:fldCharType="end"/>
          </w:r>
        </w:p>
      </w:sdtContent>
    </w:sdt>
    <w:p w14:paraId="798EB014" w14:textId="77777777" w:rsidR="00A23883" w:rsidRPr="00AB4289" w:rsidRDefault="00A23883" w:rsidP="00B40BE5">
      <w:pPr>
        <w:pStyle w:val="Sangradetextonormal"/>
        <w:spacing w:after="0"/>
        <w:ind w:left="0" w:right="49"/>
        <w:rPr>
          <w:rStyle w:val="normaltextrun"/>
          <w:rFonts w:eastAsia="Times New Roman"/>
          <w:b/>
          <w:bCs/>
        </w:rPr>
      </w:pPr>
    </w:p>
    <w:p w14:paraId="7205F9CE" w14:textId="5EC0178C" w:rsidR="00A23883" w:rsidRPr="00AB4289" w:rsidRDefault="00A23883" w:rsidP="00B40BE5">
      <w:pPr>
        <w:pStyle w:val="Ttulo1"/>
        <w:numPr>
          <w:ilvl w:val="0"/>
          <w:numId w:val="41"/>
        </w:numPr>
        <w:spacing w:before="0" w:after="0"/>
        <w:jc w:val="both"/>
        <w:rPr>
          <w:rFonts w:ascii="Times New Roman" w:eastAsia="Times New Roman" w:hAnsi="Times New Roman" w:cs="Times New Roman"/>
          <w:b/>
          <w:bCs/>
          <w:color w:val="000000" w:themeColor="text1"/>
          <w:sz w:val="28"/>
          <w:szCs w:val="28"/>
        </w:rPr>
      </w:pPr>
      <w:bookmarkStart w:id="3" w:name="_Toc210202219"/>
      <w:r w:rsidRPr="00AB4289">
        <w:rPr>
          <w:rFonts w:ascii="Times New Roman" w:eastAsia="Times New Roman" w:hAnsi="Times New Roman" w:cs="Times New Roman"/>
          <w:b/>
          <w:bCs/>
          <w:color w:val="000000" w:themeColor="text1"/>
          <w:sz w:val="28"/>
          <w:szCs w:val="28"/>
        </w:rPr>
        <w:t>ANTECEDENTES</w:t>
      </w:r>
      <w:bookmarkEnd w:id="3"/>
    </w:p>
    <w:p w14:paraId="6A4D4E7E" w14:textId="77777777" w:rsidR="00A23883" w:rsidRPr="00AB4289" w:rsidRDefault="00A23883" w:rsidP="00B40BE5">
      <w:pPr>
        <w:pStyle w:val="NormalWeb"/>
        <w:spacing w:before="0" w:beforeAutospacing="0" w:after="0" w:afterAutospacing="0"/>
        <w:ind w:right="49"/>
        <w:jc w:val="both"/>
        <w:rPr>
          <w:b/>
          <w:bCs/>
          <w:sz w:val="28"/>
          <w:szCs w:val="28"/>
          <w:lang w:val="es-ES"/>
        </w:rPr>
      </w:pPr>
      <w:bookmarkStart w:id="4" w:name="_Hlk163477004"/>
    </w:p>
    <w:p w14:paraId="32C91EF3" w14:textId="419120AC" w:rsidR="00A23883" w:rsidRPr="00AB4289" w:rsidRDefault="00A23883" w:rsidP="00B40BE5">
      <w:pPr>
        <w:pStyle w:val="Ttulo2"/>
        <w:spacing w:before="0" w:after="0"/>
        <w:jc w:val="both"/>
        <w:rPr>
          <w:rFonts w:ascii="Times New Roman" w:hAnsi="Times New Roman" w:cs="Times New Roman"/>
          <w:b/>
          <w:bCs/>
          <w:color w:val="000000" w:themeColor="text1"/>
          <w:sz w:val="28"/>
          <w:szCs w:val="28"/>
          <w:lang w:val="es-ES"/>
        </w:rPr>
      </w:pPr>
      <w:r w:rsidRPr="00AB4289">
        <w:rPr>
          <w:rFonts w:ascii="Times New Roman" w:hAnsi="Times New Roman" w:cs="Times New Roman"/>
          <w:b/>
          <w:bCs/>
          <w:color w:val="000000" w:themeColor="text1"/>
          <w:sz w:val="28"/>
          <w:szCs w:val="28"/>
          <w:lang w:val="es-ES"/>
        </w:rPr>
        <w:t xml:space="preserve"> </w:t>
      </w:r>
      <w:bookmarkStart w:id="5" w:name="_Toc210202220"/>
      <w:r w:rsidR="002169CF" w:rsidRPr="00AB4289">
        <w:rPr>
          <w:rFonts w:ascii="Times New Roman" w:hAnsi="Times New Roman" w:cs="Times New Roman"/>
          <w:b/>
          <w:bCs/>
          <w:color w:val="000000" w:themeColor="text1"/>
          <w:sz w:val="28"/>
          <w:szCs w:val="28"/>
          <w:lang w:val="es-ES"/>
        </w:rPr>
        <w:t>1.</w:t>
      </w:r>
      <w:r w:rsidR="00B43CD7" w:rsidRPr="00AB4289">
        <w:rPr>
          <w:rFonts w:ascii="Times New Roman" w:hAnsi="Times New Roman" w:cs="Times New Roman"/>
          <w:b/>
          <w:bCs/>
          <w:color w:val="000000" w:themeColor="text1"/>
          <w:sz w:val="28"/>
          <w:szCs w:val="28"/>
          <w:lang w:val="es-ES"/>
        </w:rPr>
        <w:t xml:space="preserve"> </w:t>
      </w:r>
      <w:r w:rsidRPr="00AB4289">
        <w:rPr>
          <w:rFonts w:ascii="Times New Roman" w:hAnsi="Times New Roman" w:cs="Times New Roman"/>
          <w:b/>
          <w:bCs/>
          <w:color w:val="000000" w:themeColor="text1"/>
          <w:sz w:val="28"/>
          <w:szCs w:val="28"/>
          <w:lang w:val="es-ES"/>
        </w:rPr>
        <w:t>Hechos y pretensiones</w:t>
      </w:r>
      <w:bookmarkEnd w:id="5"/>
    </w:p>
    <w:p w14:paraId="68B52EAF" w14:textId="77777777" w:rsidR="00A23883" w:rsidRPr="00AB4289" w:rsidRDefault="00A23883" w:rsidP="00B40BE5">
      <w:pPr>
        <w:pStyle w:val="NormalWeb"/>
        <w:tabs>
          <w:tab w:val="left" w:pos="284"/>
          <w:tab w:val="left" w:pos="426"/>
          <w:tab w:val="left" w:pos="567"/>
        </w:tabs>
        <w:spacing w:before="0" w:beforeAutospacing="0" w:after="0" w:afterAutospacing="0"/>
        <w:ind w:right="49"/>
        <w:jc w:val="both"/>
        <w:rPr>
          <w:sz w:val="28"/>
          <w:szCs w:val="28"/>
          <w:lang w:val="es-ES"/>
        </w:rPr>
      </w:pPr>
    </w:p>
    <w:p w14:paraId="09CCEAAF" w14:textId="7E896F5E" w:rsidR="00A23883" w:rsidRPr="00AB4289" w:rsidRDefault="00A23883"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
        </w:rPr>
      </w:pPr>
      <w:r w:rsidRPr="00AB4289">
        <w:rPr>
          <w:sz w:val="28"/>
          <w:szCs w:val="28"/>
          <w:lang w:val="es-ES"/>
        </w:rPr>
        <w:t xml:space="preserve"> El 9 de febrero de 2024, el señor Juan Pablo Barrientos radicó un</w:t>
      </w:r>
      <w:r w:rsidR="004D3490">
        <w:rPr>
          <w:sz w:val="28"/>
          <w:szCs w:val="28"/>
          <w:lang w:val="es-ES"/>
        </w:rPr>
        <w:t xml:space="preserve">a solicitud en ejercicio del </w:t>
      </w:r>
      <w:r w:rsidRPr="00AB4289">
        <w:rPr>
          <w:sz w:val="28"/>
          <w:szCs w:val="28"/>
          <w:lang w:val="es-ES"/>
        </w:rPr>
        <w:t>derecho de petición dirigid</w:t>
      </w:r>
      <w:r w:rsidR="005A5F5B">
        <w:rPr>
          <w:sz w:val="28"/>
          <w:szCs w:val="28"/>
          <w:lang w:val="es-ES"/>
        </w:rPr>
        <w:t>a</w:t>
      </w:r>
      <w:r w:rsidRPr="00AB4289">
        <w:rPr>
          <w:sz w:val="28"/>
          <w:szCs w:val="28"/>
          <w:lang w:val="es-ES"/>
        </w:rPr>
        <w:t xml:space="preserve"> al presidente de la Corte Suprema de Justicia</w:t>
      </w:r>
      <w:r w:rsidRPr="00AB4289">
        <w:rPr>
          <w:rStyle w:val="Refdenotaalpie"/>
          <w:rFonts w:cs="Times New Roman"/>
          <w:sz w:val="28"/>
          <w:szCs w:val="28"/>
        </w:rPr>
        <w:t xml:space="preserve"> </w:t>
      </w:r>
      <w:r w:rsidRPr="00AB4289">
        <w:rPr>
          <w:rStyle w:val="Refdenotaalpie"/>
          <w:rFonts w:cs="Times New Roman"/>
          <w:sz w:val="28"/>
          <w:szCs w:val="28"/>
        </w:rPr>
        <w:footnoteReference w:id="1"/>
      </w:r>
      <w:r w:rsidRPr="00AB4289">
        <w:rPr>
          <w:sz w:val="28"/>
          <w:szCs w:val="28"/>
          <w:lang w:val="es-ES"/>
        </w:rPr>
        <w:t xml:space="preserve">. </w:t>
      </w:r>
      <w:r w:rsidRPr="00AB4289">
        <w:rPr>
          <w:sz w:val="28"/>
          <w:szCs w:val="28"/>
        </w:rPr>
        <w:t>A través de dicha petición, el señor Barrientos solicitó la siguiente información:</w:t>
      </w:r>
    </w:p>
    <w:p w14:paraId="1553FFC3" w14:textId="77777777" w:rsidR="00A23883" w:rsidRPr="00AB4289" w:rsidRDefault="00A23883" w:rsidP="00B40BE5">
      <w:pPr>
        <w:pStyle w:val="Prrafodelista"/>
        <w:tabs>
          <w:tab w:val="left" w:pos="284"/>
          <w:tab w:val="left" w:pos="426"/>
          <w:tab w:val="left" w:pos="567"/>
        </w:tabs>
        <w:ind w:left="851" w:right="49"/>
        <w:jc w:val="both"/>
        <w:rPr>
          <w:sz w:val="28"/>
          <w:szCs w:val="28"/>
          <w:lang w:val="es-ES"/>
        </w:rPr>
      </w:pPr>
    </w:p>
    <w:p w14:paraId="52879A8E" w14:textId="77777777" w:rsidR="00A23883" w:rsidRPr="00AB4289" w:rsidRDefault="00A23883" w:rsidP="00B40BE5">
      <w:pPr>
        <w:tabs>
          <w:tab w:val="left" w:pos="284"/>
          <w:tab w:val="left" w:pos="426"/>
          <w:tab w:val="left" w:pos="567"/>
        </w:tabs>
        <w:autoSpaceDE w:val="0"/>
        <w:autoSpaceDN w:val="0"/>
        <w:adjustRightInd w:val="0"/>
        <w:ind w:left="851"/>
        <w:jc w:val="both"/>
        <w:rPr>
          <w:lang w:val="es-ES"/>
        </w:rPr>
      </w:pPr>
      <w:r w:rsidRPr="00AB4289">
        <w:rPr>
          <w:lang w:val="es-ES"/>
        </w:rPr>
        <w:t>“1. Copia de las hojas de vida, con sus respectivos soportes, de los 23 magistrados de la Sala Plena de la Corte Suprema de Justicia.</w:t>
      </w:r>
    </w:p>
    <w:p w14:paraId="374114B3" w14:textId="2BCBDF31" w:rsidR="00A23883" w:rsidRPr="00AB4289" w:rsidRDefault="00A23883" w:rsidP="00B40BE5">
      <w:pPr>
        <w:tabs>
          <w:tab w:val="left" w:pos="284"/>
          <w:tab w:val="left" w:pos="426"/>
          <w:tab w:val="left" w:pos="567"/>
        </w:tabs>
        <w:autoSpaceDE w:val="0"/>
        <w:autoSpaceDN w:val="0"/>
        <w:adjustRightInd w:val="0"/>
        <w:ind w:left="851"/>
        <w:jc w:val="both"/>
        <w:rPr>
          <w:lang w:val="es-ES"/>
        </w:rPr>
      </w:pPr>
      <w:r w:rsidRPr="00AB4289">
        <w:rPr>
          <w:lang w:val="es-ES"/>
        </w:rPr>
        <w:t>2.</w:t>
      </w:r>
      <w:r w:rsidR="0057758B" w:rsidRPr="00AB4289">
        <w:rPr>
          <w:lang w:val="es-ES"/>
        </w:rPr>
        <w:t xml:space="preserve"> </w:t>
      </w:r>
      <w:r w:rsidRPr="00AB4289">
        <w:rPr>
          <w:lang w:val="es-ES"/>
        </w:rPr>
        <w:t>Copia de las declaraciones de renta de los 23 magistrados de la Sala Plena de la Corte Suprema de Justicia, desde que asumieron su cargo hasta la fecha.</w:t>
      </w:r>
    </w:p>
    <w:p w14:paraId="56C3EC12" w14:textId="282C9A04" w:rsidR="00A23883" w:rsidRPr="00AB4289" w:rsidRDefault="00A23883" w:rsidP="00B40BE5">
      <w:pPr>
        <w:tabs>
          <w:tab w:val="left" w:pos="284"/>
          <w:tab w:val="left" w:pos="426"/>
          <w:tab w:val="left" w:pos="567"/>
        </w:tabs>
        <w:autoSpaceDE w:val="0"/>
        <w:autoSpaceDN w:val="0"/>
        <w:adjustRightInd w:val="0"/>
        <w:ind w:left="851"/>
        <w:jc w:val="both"/>
        <w:rPr>
          <w:lang w:val="es-ES"/>
        </w:rPr>
      </w:pPr>
      <w:r w:rsidRPr="00AB4289">
        <w:rPr>
          <w:lang w:val="es-ES"/>
        </w:rPr>
        <w:t>3.</w:t>
      </w:r>
      <w:r w:rsidR="0057758B" w:rsidRPr="00AB4289">
        <w:rPr>
          <w:lang w:val="es-ES"/>
        </w:rPr>
        <w:t xml:space="preserve"> </w:t>
      </w:r>
      <w:r w:rsidRPr="00AB4289">
        <w:rPr>
          <w:lang w:val="es-ES"/>
        </w:rPr>
        <w:t>Copia de las declaraciones de bienes y conflictos de intereses de los 23 magistrados de la Sala Plena de la Corte Suprema de Justicia”</w:t>
      </w:r>
      <w:r w:rsidRPr="00AB4289">
        <w:rPr>
          <w:rStyle w:val="Refdenotaalpie"/>
          <w:rFonts w:cs="Times New Roman"/>
        </w:rPr>
        <w:footnoteReference w:id="2"/>
      </w:r>
      <w:r w:rsidRPr="00AB4289">
        <w:rPr>
          <w:lang w:val="es-ES"/>
        </w:rPr>
        <w:t>.</w:t>
      </w:r>
    </w:p>
    <w:p w14:paraId="35444E99" w14:textId="77777777" w:rsidR="00A23883" w:rsidRPr="00AB4289" w:rsidRDefault="00A23883" w:rsidP="00B40BE5">
      <w:pPr>
        <w:pStyle w:val="Prrafodelista"/>
        <w:tabs>
          <w:tab w:val="left" w:pos="284"/>
          <w:tab w:val="left" w:pos="426"/>
          <w:tab w:val="left" w:pos="567"/>
        </w:tabs>
        <w:autoSpaceDE w:val="0"/>
        <w:autoSpaceDN w:val="0"/>
        <w:adjustRightInd w:val="0"/>
        <w:ind w:left="0"/>
        <w:jc w:val="both"/>
        <w:rPr>
          <w:sz w:val="28"/>
          <w:szCs w:val="28"/>
          <w:lang w:val="es-ES"/>
        </w:rPr>
      </w:pPr>
    </w:p>
    <w:p w14:paraId="1888182E" w14:textId="77777777" w:rsidR="00A23883" w:rsidRPr="00AB4289" w:rsidRDefault="00A23883" w:rsidP="00B40BE5">
      <w:pPr>
        <w:pStyle w:val="Prrafodelista"/>
        <w:numPr>
          <w:ilvl w:val="0"/>
          <w:numId w:val="2"/>
        </w:numPr>
        <w:tabs>
          <w:tab w:val="left" w:pos="284"/>
          <w:tab w:val="left" w:pos="426"/>
          <w:tab w:val="left" w:pos="567"/>
        </w:tabs>
        <w:autoSpaceDE w:val="0"/>
        <w:autoSpaceDN w:val="0"/>
        <w:adjustRightInd w:val="0"/>
        <w:ind w:left="0" w:firstLine="0"/>
        <w:jc w:val="both"/>
        <w:rPr>
          <w:sz w:val="28"/>
          <w:szCs w:val="28"/>
          <w:lang w:val="es-ES"/>
        </w:rPr>
      </w:pPr>
      <w:r w:rsidRPr="00AB4289">
        <w:rPr>
          <w:sz w:val="28"/>
          <w:szCs w:val="28"/>
          <w:lang w:val="es-ES"/>
        </w:rPr>
        <w:t xml:space="preserve">En el escrito de petición el accionante afirmó que su interés en obtener la información solicitada está fundado en el desarrollo de sus actividades como periodista. </w:t>
      </w:r>
    </w:p>
    <w:p w14:paraId="381452F6" w14:textId="77777777" w:rsidR="00A23883" w:rsidRPr="00AB4289" w:rsidRDefault="00A23883" w:rsidP="00B40BE5">
      <w:pPr>
        <w:pStyle w:val="Prrafodelista"/>
        <w:tabs>
          <w:tab w:val="left" w:pos="284"/>
          <w:tab w:val="left" w:pos="426"/>
          <w:tab w:val="left" w:pos="567"/>
        </w:tabs>
        <w:autoSpaceDE w:val="0"/>
        <w:autoSpaceDN w:val="0"/>
        <w:adjustRightInd w:val="0"/>
        <w:ind w:left="0"/>
        <w:jc w:val="both"/>
        <w:rPr>
          <w:sz w:val="28"/>
          <w:szCs w:val="28"/>
          <w:lang w:val="es-ES"/>
        </w:rPr>
      </w:pPr>
    </w:p>
    <w:p w14:paraId="7EBF6E52" w14:textId="6CA6FFDF" w:rsidR="00A23883" w:rsidRPr="00AB4289" w:rsidRDefault="00A23883" w:rsidP="00B40BE5">
      <w:pPr>
        <w:pStyle w:val="Prrafodelista"/>
        <w:numPr>
          <w:ilvl w:val="0"/>
          <w:numId w:val="2"/>
        </w:numPr>
        <w:tabs>
          <w:tab w:val="left" w:pos="284"/>
          <w:tab w:val="left" w:pos="426"/>
          <w:tab w:val="left" w:pos="567"/>
        </w:tabs>
        <w:autoSpaceDE w:val="0"/>
        <w:autoSpaceDN w:val="0"/>
        <w:adjustRightInd w:val="0"/>
        <w:ind w:left="0" w:firstLine="0"/>
        <w:jc w:val="both"/>
        <w:rPr>
          <w:sz w:val="28"/>
          <w:szCs w:val="28"/>
          <w:lang w:val="es-ES"/>
        </w:rPr>
      </w:pPr>
      <w:r w:rsidRPr="00AB4289">
        <w:rPr>
          <w:sz w:val="28"/>
          <w:szCs w:val="28"/>
          <w:lang w:val="es-ES"/>
        </w:rPr>
        <w:t xml:space="preserve">El 26 de marzo de 2024, el demandante formuló una acción de tutela en contra </w:t>
      </w:r>
      <w:r w:rsidR="0026497A" w:rsidRPr="00AB4289">
        <w:rPr>
          <w:sz w:val="28"/>
          <w:szCs w:val="28"/>
          <w:lang w:val="es-ES"/>
        </w:rPr>
        <w:t xml:space="preserve">del </w:t>
      </w:r>
      <w:r w:rsidRPr="00AB4289">
        <w:rPr>
          <w:sz w:val="28"/>
          <w:szCs w:val="28"/>
          <w:lang w:val="es-ES"/>
        </w:rPr>
        <w:t xml:space="preserve">presidente de la Corte Suprema de Justicia. A su juicio, dicho funcionario no respondió </w:t>
      </w:r>
      <w:r w:rsidR="0057758B" w:rsidRPr="00AB4289">
        <w:rPr>
          <w:sz w:val="28"/>
          <w:szCs w:val="28"/>
          <w:lang w:val="es-ES"/>
        </w:rPr>
        <w:t>su</w:t>
      </w:r>
      <w:r w:rsidRPr="00AB4289">
        <w:rPr>
          <w:sz w:val="28"/>
          <w:szCs w:val="28"/>
          <w:lang w:val="es-ES"/>
        </w:rPr>
        <w:t xml:space="preserve"> petición enviada el 9 de febrero de 2024</w:t>
      </w:r>
      <w:r w:rsidRPr="00AB4289">
        <w:rPr>
          <w:rStyle w:val="Refdenotaalpie"/>
          <w:rFonts w:cs="Times New Roman"/>
          <w:sz w:val="28"/>
          <w:szCs w:val="28"/>
        </w:rPr>
        <w:footnoteReference w:id="3"/>
      </w:r>
      <w:r w:rsidRPr="00AB4289">
        <w:rPr>
          <w:sz w:val="28"/>
          <w:szCs w:val="28"/>
          <w:lang w:val="es-ES"/>
        </w:rPr>
        <w:t>. Además, el señor Juan Pablo Barrientos señaló, como nota inicial en su escrito de tutela, que “todos los magistrados de la Corte Suprema de Justicia se encuentran impedidos para conocer y decidir esta acción de tutela”</w:t>
      </w:r>
      <w:r w:rsidRPr="00AB4289">
        <w:rPr>
          <w:rStyle w:val="Refdenotaalpie"/>
          <w:rFonts w:cs="Times New Roman"/>
          <w:sz w:val="28"/>
          <w:szCs w:val="28"/>
        </w:rPr>
        <w:footnoteReference w:id="4"/>
      </w:r>
      <w:r w:rsidRPr="00AB4289">
        <w:rPr>
          <w:sz w:val="28"/>
          <w:szCs w:val="28"/>
          <w:lang w:val="es-ES"/>
        </w:rPr>
        <w:t>.</w:t>
      </w:r>
    </w:p>
    <w:p w14:paraId="10F84085" w14:textId="77777777" w:rsidR="00A23883" w:rsidRPr="00AB4289" w:rsidRDefault="00A23883" w:rsidP="00B40BE5">
      <w:pPr>
        <w:pStyle w:val="Prrafodelista"/>
        <w:tabs>
          <w:tab w:val="left" w:pos="284"/>
          <w:tab w:val="left" w:pos="426"/>
          <w:tab w:val="left" w:pos="567"/>
        </w:tabs>
        <w:ind w:left="0"/>
        <w:jc w:val="both"/>
        <w:rPr>
          <w:sz w:val="28"/>
          <w:szCs w:val="28"/>
          <w:lang w:val="es-ES"/>
        </w:rPr>
      </w:pPr>
    </w:p>
    <w:p w14:paraId="1ECFE40B" w14:textId="5DB2FE2E" w:rsidR="00A23883" w:rsidRPr="00AB4289" w:rsidRDefault="00A23883" w:rsidP="00B40BE5">
      <w:pPr>
        <w:pStyle w:val="Prrafodelista"/>
        <w:numPr>
          <w:ilvl w:val="0"/>
          <w:numId w:val="2"/>
        </w:numPr>
        <w:tabs>
          <w:tab w:val="left" w:pos="284"/>
          <w:tab w:val="left" w:pos="426"/>
          <w:tab w:val="left" w:pos="567"/>
        </w:tabs>
        <w:ind w:left="0" w:firstLine="0"/>
        <w:jc w:val="both"/>
        <w:rPr>
          <w:sz w:val="28"/>
          <w:szCs w:val="28"/>
          <w:lang w:val="es-ES"/>
        </w:rPr>
      </w:pPr>
      <w:r w:rsidRPr="00AB4289">
        <w:rPr>
          <w:sz w:val="28"/>
          <w:szCs w:val="28"/>
          <w:lang w:val="es-ES"/>
        </w:rPr>
        <w:lastRenderedPageBreak/>
        <w:t xml:space="preserve">Posteriormente, el accionante manifestó que, para el momento en el que interpuso la acción de tutela, había transcurrido más de un mes y medio desde la presentación de su solicitud, sin que el </w:t>
      </w:r>
      <w:r w:rsidR="0026497A" w:rsidRPr="00AB4289">
        <w:rPr>
          <w:sz w:val="28"/>
          <w:szCs w:val="28"/>
          <w:lang w:val="es-ES"/>
        </w:rPr>
        <w:t xml:space="preserve">presidente de la Corte Suprema de Justicia </w:t>
      </w:r>
      <w:r w:rsidRPr="00AB4289">
        <w:rPr>
          <w:sz w:val="28"/>
          <w:szCs w:val="28"/>
          <w:lang w:val="es-ES"/>
        </w:rPr>
        <w:t>hubiese emitido respuesta alguna. El demandante señaló que dicha omisión vulnera su derecho fundamental de petición, consagrado en la Ley 1755 de 2015</w:t>
      </w:r>
      <w:r w:rsidRPr="00AB4289">
        <w:rPr>
          <w:rStyle w:val="Refdenotaalpie"/>
          <w:rFonts w:cs="Times New Roman"/>
          <w:sz w:val="28"/>
          <w:szCs w:val="28"/>
        </w:rPr>
        <w:footnoteReference w:id="5"/>
      </w:r>
      <w:r w:rsidRPr="00AB4289">
        <w:rPr>
          <w:sz w:val="28"/>
          <w:szCs w:val="28"/>
          <w:lang w:val="es-ES"/>
        </w:rPr>
        <w:t xml:space="preserve">, y otros conexos, tales como el derecho de acceso a la información y la libertad de expresión. </w:t>
      </w:r>
    </w:p>
    <w:p w14:paraId="286C368A" w14:textId="77777777" w:rsidR="00A23883" w:rsidRPr="00AB4289" w:rsidRDefault="00A23883" w:rsidP="00B40BE5">
      <w:pPr>
        <w:tabs>
          <w:tab w:val="left" w:pos="284"/>
          <w:tab w:val="left" w:pos="426"/>
          <w:tab w:val="left" w:pos="567"/>
        </w:tabs>
        <w:autoSpaceDE w:val="0"/>
        <w:autoSpaceDN w:val="0"/>
        <w:adjustRightInd w:val="0"/>
        <w:jc w:val="both"/>
        <w:rPr>
          <w:sz w:val="28"/>
          <w:szCs w:val="28"/>
          <w:lang w:val="es-ES"/>
        </w:rPr>
      </w:pPr>
    </w:p>
    <w:p w14:paraId="5A751CFB" w14:textId="36CE0167" w:rsidR="00A23883" w:rsidRPr="00AB4289" w:rsidRDefault="00A23883" w:rsidP="00B40BE5">
      <w:pPr>
        <w:pStyle w:val="Prrafodelista"/>
        <w:numPr>
          <w:ilvl w:val="0"/>
          <w:numId w:val="2"/>
        </w:numPr>
        <w:tabs>
          <w:tab w:val="left" w:pos="284"/>
          <w:tab w:val="left" w:pos="426"/>
          <w:tab w:val="left" w:pos="567"/>
        </w:tabs>
        <w:autoSpaceDE w:val="0"/>
        <w:autoSpaceDN w:val="0"/>
        <w:adjustRightInd w:val="0"/>
        <w:ind w:left="0" w:firstLine="0"/>
        <w:jc w:val="both"/>
        <w:rPr>
          <w:sz w:val="28"/>
          <w:szCs w:val="28"/>
          <w:lang w:val="es-ES"/>
        </w:rPr>
      </w:pPr>
      <w:r w:rsidRPr="00AB4289">
        <w:rPr>
          <w:sz w:val="28"/>
          <w:szCs w:val="28"/>
          <w:lang w:val="es-ES"/>
        </w:rPr>
        <w:t xml:space="preserve">Por otro lado, el actor indicó que la cuestión que se discute tiene relevancia constitucional puesto que el acceso a la información es una garantía que permite materializar y garantizar el principio de democracia participativa y </w:t>
      </w:r>
      <w:r w:rsidR="00AD084D" w:rsidRPr="00AB4289">
        <w:rPr>
          <w:sz w:val="28"/>
          <w:szCs w:val="28"/>
          <w:lang w:val="es-ES"/>
        </w:rPr>
        <w:t xml:space="preserve">ejercer </w:t>
      </w:r>
      <w:r w:rsidRPr="00AB4289">
        <w:rPr>
          <w:sz w:val="28"/>
          <w:szCs w:val="28"/>
          <w:lang w:val="es-ES"/>
        </w:rPr>
        <w:t xml:space="preserve">los derechos políticos. Al respecto, el señor Barrientos señaló que la Corte Constitucional ha resaltado la relevancia de garantizar el ejercicio libre de la labor periodística, especialmente en aquellos casos en los que el derecho de acceso a la información puede entrar en tensión con otros derechos fundamentales. El accionante sostuvo que la ausencia de respuesta por parte del </w:t>
      </w:r>
      <w:r w:rsidR="0026497A" w:rsidRPr="00AB4289">
        <w:rPr>
          <w:sz w:val="28"/>
          <w:szCs w:val="28"/>
          <w:lang w:val="es-ES"/>
        </w:rPr>
        <w:t xml:space="preserve">presidente de la Corte Suprema de Justicia </w:t>
      </w:r>
      <w:r w:rsidRPr="00AB4289">
        <w:rPr>
          <w:sz w:val="28"/>
          <w:szCs w:val="28"/>
          <w:lang w:val="es-ES"/>
        </w:rPr>
        <w:t xml:space="preserve">resulta particularmente grave, ya que la solicitud proviene de un periodista que ejerce sus derechos a la libertad de expresión, a la libertad de información y al trabajo a través de sus investigaciones. Por último, el </w:t>
      </w:r>
      <w:r w:rsidR="00AD084D" w:rsidRPr="00AB4289">
        <w:rPr>
          <w:sz w:val="28"/>
          <w:szCs w:val="28"/>
          <w:lang w:val="es-ES"/>
        </w:rPr>
        <w:t>demandante</w:t>
      </w:r>
      <w:r w:rsidRPr="00AB4289">
        <w:rPr>
          <w:sz w:val="28"/>
          <w:szCs w:val="28"/>
          <w:lang w:val="es-ES"/>
        </w:rPr>
        <w:t xml:space="preserve"> </w:t>
      </w:r>
      <w:r w:rsidR="00AD084D" w:rsidRPr="00AB4289">
        <w:rPr>
          <w:sz w:val="28"/>
          <w:szCs w:val="28"/>
          <w:lang w:val="es-ES"/>
        </w:rPr>
        <w:t xml:space="preserve">se refirió </w:t>
      </w:r>
      <w:r w:rsidRPr="00AB4289">
        <w:rPr>
          <w:sz w:val="28"/>
          <w:szCs w:val="28"/>
          <w:lang w:val="es-ES"/>
        </w:rPr>
        <w:t>al bloque de constitucionalidad, en particular al artículo 13 de la Convención Americana sobre Derechos Humanos</w:t>
      </w:r>
      <w:r w:rsidRPr="00AB4289">
        <w:rPr>
          <w:rStyle w:val="Refdenotaalpie"/>
          <w:rFonts w:cs="Times New Roman"/>
          <w:sz w:val="28"/>
          <w:szCs w:val="28"/>
        </w:rPr>
        <w:footnoteReference w:id="6"/>
      </w:r>
      <w:r w:rsidRPr="00AB4289">
        <w:rPr>
          <w:sz w:val="28"/>
          <w:szCs w:val="28"/>
          <w:lang w:val="es-ES"/>
        </w:rPr>
        <w:t xml:space="preserve"> y </w:t>
      </w:r>
      <w:r w:rsidR="00AD084D" w:rsidRPr="00AB4289">
        <w:rPr>
          <w:sz w:val="28"/>
          <w:szCs w:val="28"/>
          <w:lang w:val="es-ES"/>
        </w:rPr>
        <w:t>a</w:t>
      </w:r>
      <w:r w:rsidRPr="00AB4289">
        <w:rPr>
          <w:sz w:val="28"/>
          <w:szCs w:val="28"/>
          <w:lang w:val="es-ES"/>
        </w:rPr>
        <w:t>l artículo 19 del Pacto Internacional de Derechos Civiles y Políticos</w:t>
      </w:r>
      <w:r w:rsidRPr="00AB4289">
        <w:rPr>
          <w:rStyle w:val="Refdenotaalpie"/>
          <w:rFonts w:cs="Times New Roman"/>
          <w:sz w:val="28"/>
          <w:szCs w:val="28"/>
        </w:rPr>
        <w:footnoteReference w:id="7"/>
      </w:r>
      <w:r w:rsidRPr="00AB4289">
        <w:rPr>
          <w:sz w:val="28"/>
          <w:szCs w:val="28"/>
          <w:lang w:val="es-ES"/>
        </w:rPr>
        <w:t>.</w:t>
      </w:r>
    </w:p>
    <w:p w14:paraId="59E5A2A6" w14:textId="77777777" w:rsidR="00A23883" w:rsidRPr="00AB4289" w:rsidRDefault="00A23883" w:rsidP="00B40BE5">
      <w:pPr>
        <w:pStyle w:val="Prrafodelista"/>
        <w:tabs>
          <w:tab w:val="left" w:pos="284"/>
          <w:tab w:val="left" w:pos="426"/>
          <w:tab w:val="left" w:pos="567"/>
        </w:tabs>
        <w:ind w:left="0"/>
        <w:jc w:val="both"/>
        <w:rPr>
          <w:sz w:val="28"/>
          <w:szCs w:val="28"/>
          <w:lang w:val="es-ES"/>
        </w:rPr>
      </w:pPr>
    </w:p>
    <w:p w14:paraId="1C09AA95" w14:textId="0CCBC855" w:rsidR="00AD084D" w:rsidRPr="00AB4289" w:rsidRDefault="00A23883" w:rsidP="00B40BE5">
      <w:pPr>
        <w:pStyle w:val="Prrafodelista"/>
        <w:numPr>
          <w:ilvl w:val="0"/>
          <w:numId w:val="2"/>
        </w:numPr>
        <w:tabs>
          <w:tab w:val="left" w:pos="284"/>
          <w:tab w:val="left" w:pos="426"/>
          <w:tab w:val="left" w:pos="567"/>
        </w:tabs>
        <w:autoSpaceDE w:val="0"/>
        <w:autoSpaceDN w:val="0"/>
        <w:adjustRightInd w:val="0"/>
        <w:ind w:left="0" w:firstLine="0"/>
        <w:jc w:val="both"/>
        <w:rPr>
          <w:sz w:val="28"/>
          <w:szCs w:val="28"/>
          <w:lang w:val="es-ES"/>
        </w:rPr>
      </w:pPr>
      <w:r w:rsidRPr="00AB4289">
        <w:rPr>
          <w:sz w:val="28"/>
          <w:szCs w:val="28"/>
          <w:lang w:val="es-ES"/>
        </w:rPr>
        <w:t xml:space="preserve">A partir de estos argumentos, el accionante pidió la protección de sus derechos fundamentales de petición, de acceso a la información, de libertad de opinión y expresión. En esa medida, solicitó que se ordene al presidente de la Corte Suprema de Justicia responder </w:t>
      </w:r>
      <w:r w:rsidR="004D3490">
        <w:rPr>
          <w:sz w:val="28"/>
          <w:szCs w:val="28"/>
          <w:lang w:val="es-ES"/>
        </w:rPr>
        <w:t xml:space="preserve">la solicitud realizada en ejercicio del </w:t>
      </w:r>
      <w:r w:rsidRPr="00AB4289">
        <w:rPr>
          <w:sz w:val="28"/>
          <w:szCs w:val="28"/>
          <w:lang w:val="es-ES"/>
        </w:rPr>
        <w:t>derecho de petición enviad</w:t>
      </w:r>
      <w:r w:rsidR="005A5F5B">
        <w:rPr>
          <w:sz w:val="28"/>
          <w:szCs w:val="28"/>
          <w:lang w:val="es-ES"/>
        </w:rPr>
        <w:t>a</w:t>
      </w:r>
      <w:r w:rsidRPr="00AB4289">
        <w:rPr>
          <w:sz w:val="28"/>
          <w:szCs w:val="28"/>
          <w:lang w:val="es-ES"/>
        </w:rPr>
        <w:t xml:space="preserve"> el 9 de febrero de 2024.</w:t>
      </w:r>
    </w:p>
    <w:p w14:paraId="0C96E923" w14:textId="77777777" w:rsidR="00A23883" w:rsidRPr="00AB4289" w:rsidRDefault="00A23883" w:rsidP="00B40BE5">
      <w:pPr>
        <w:pStyle w:val="Prrafodelista"/>
        <w:tabs>
          <w:tab w:val="left" w:pos="284"/>
          <w:tab w:val="left" w:pos="426"/>
          <w:tab w:val="left" w:pos="567"/>
        </w:tabs>
        <w:ind w:left="0"/>
        <w:jc w:val="both"/>
        <w:rPr>
          <w:sz w:val="28"/>
          <w:szCs w:val="28"/>
          <w:lang w:val="es-ES"/>
        </w:rPr>
      </w:pPr>
    </w:p>
    <w:p w14:paraId="147A89B5" w14:textId="552C0BB5" w:rsidR="00A23883" w:rsidRPr="00AB4289" w:rsidRDefault="00A23883" w:rsidP="00B40BE5">
      <w:pPr>
        <w:pStyle w:val="Prrafodelista"/>
        <w:numPr>
          <w:ilvl w:val="0"/>
          <w:numId w:val="2"/>
        </w:numPr>
        <w:tabs>
          <w:tab w:val="left" w:pos="284"/>
          <w:tab w:val="left" w:pos="426"/>
          <w:tab w:val="left" w:pos="567"/>
        </w:tabs>
        <w:autoSpaceDE w:val="0"/>
        <w:autoSpaceDN w:val="0"/>
        <w:adjustRightInd w:val="0"/>
        <w:ind w:left="0" w:firstLine="0"/>
        <w:jc w:val="both"/>
        <w:rPr>
          <w:sz w:val="28"/>
          <w:szCs w:val="28"/>
          <w:lang w:val="es-ES"/>
        </w:rPr>
      </w:pPr>
      <w:r w:rsidRPr="00AB4289">
        <w:rPr>
          <w:sz w:val="28"/>
          <w:szCs w:val="28"/>
          <w:lang w:val="es-ES"/>
        </w:rPr>
        <w:t xml:space="preserve">El caso le correspondió por reparto a la Sala de Decisión de Tutelas </w:t>
      </w:r>
      <w:r w:rsidR="00AD084D" w:rsidRPr="00AB4289">
        <w:rPr>
          <w:sz w:val="28"/>
          <w:szCs w:val="28"/>
          <w:lang w:val="es-ES"/>
        </w:rPr>
        <w:t>No.</w:t>
      </w:r>
      <w:r w:rsidRPr="00AB4289">
        <w:rPr>
          <w:sz w:val="28"/>
          <w:szCs w:val="28"/>
          <w:lang w:val="es-ES"/>
        </w:rPr>
        <w:t xml:space="preserve"> 3 de la Sala de Casación Penal de la Corte Suprema de Justicia</w:t>
      </w:r>
      <w:r w:rsidRPr="00AB4289">
        <w:rPr>
          <w:rStyle w:val="Refdenotaalpie"/>
          <w:rFonts w:cs="Times New Roman"/>
          <w:sz w:val="28"/>
          <w:szCs w:val="28"/>
        </w:rPr>
        <w:t xml:space="preserve"> </w:t>
      </w:r>
      <w:r w:rsidRPr="00AB4289">
        <w:rPr>
          <w:rStyle w:val="Refdenotaalpie"/>
          <w:rFonts w:cs="Times New Roman"/>
          <w:sz w:val="28"/>
          <w:szCs w:val="28"/>
        </w:rPr>
        <w:footnoteReference w:id="8"/>
      </w:r>
      <w:r w:rsidRPr="00AB4289">
        <w:rPr>
          <w:sz w:val="28"/>
          <w:szCs w:val="28"/>
          <w:lang w:val="es-ES"/>
        </w:rPr>
        <w:t xml:space="preserve">. Los magistrados </w:t>
      </w:r>
      <w:r w:rsidRPr="00AB4289">
        <w:rPr>
          <w:sz w:val="28"/>
          <w:szCs w:val="28"/>
          <w:lang w:val="es-ES"/>
        </w:rPr>
        <w:lastRenderedPageBreak/>
        <w:t>Gersón Chaverra Castro y Diego Eugenio Corredor Beltrán, quienes hacen parte de dicha Sala, manifestaron su impedimento con fundamento en el numeral 1 del artículo 56 de la Ley 906 de 2004, que establece que “el funcionario judicial […] tenga interés en la actuación procesal […]”. Por lo tanto, consideraron que debían ser separados del conocimiento del asunto para garantizar la independencia e imparcialidad de la administración de justicia.</w:t>
      </w:r>
    </w:p>
    <w:p w14:paraId="3C019BC0" w14:textId="77777777" w:rsidR="00A23883" w:rsidRPr="00AB4289" w:rsidRDefault="00A23883" w:rsidP="00B40BE5">
      <w:pPr>
        <w:pStyle w:val="Prrafodelista"/>
        <w:tabs>
          <w:tab w:val="left" w:pos="284"/>
          <w:tab w:val="left" w:pos="426"/>
          <w:tab w:val="left" w:pos="567"/>
        </w:tabs>
        <w:ind w:left="0"/>
        <w:jc w:val="both"/>
        <w:rPr>
          <w:sz w:val="28"/>
          <w:szCs w:val="28"/>
          <w:lang w:val="es-ES"/>
        </w:rPr>
      </w:pPr>
    </w:p>
    <w:p w14:paraId="24C0FB07" w14:textId="022F772E" w:rsidR="00A23883" w:rsidRPr="00AB4289" w:rsidRDefault="00A23883" w:rsidP="00B40BE5">
      <w:pPr>
        <w:pStyle w:val="Prrafodelista"/>
        <w:numPr>
          <w:ilvl w:val="0"/>
          <w:numId w:val="2"/>
        </w:numPr>
        <w:tabs>
          <w:tab w:val="left" w:pos="284"/>
          <w:tab w:val="left" w:pos="426"/>
          <w:tab w:val="left" w:pos="567"/>
        </w:tabs>
        <w:autoSpaceDE w:val="0"/>
        <w:autoSpaceDN w:val="0"/>
        <w:adjustRightInd w:val="0"/>
        <w:ind w:left="0" w:firstLine="0"/>
        <w:jc w:val="both"/>
        <w:rPr>
          <w:sz w:val="28"/>
          <w:szCs w:val="28"/>
          <w:lang w:val="es-ES"/>
        </w:rPr>
      </w:pPr>
      <w:r w:rsidRPr="00AB4289">
        <w:rPr>
          <w:sz w:val="28"/>
          <w:szCs w:val="28"/>
          <w:lang w:val="es-ES"/>
        </w:rPr>
        <w:t xml:space="preserve">El 18 de abril de 2024, la Sala de Decisión de Tutelas </w:t>
      </w:r>
      <w:r w:rsidR="00AD084D" w:rsidRPr="00AB4289">
        <w:rPr>
          <w:sz w:val="28"/>
          <w:szCs w:val="28"/>
          <w:lang w:val="es-ES"/>
        </w:rPr>
        <w:t>No.</w:t>
      </w:r>
      <w:r w:rsidRPr="00AB4289">
        <w:rPr>
          <w:sz w:val="28"/>
          <w:szCs w:val="28"/>
          <w:lang w:val="es-ES"/>
        </w:rPr>
        <w:t xml:space="preserve"> 3 de la Sala de Casación Penal de la Corte Suprema de Justicia</w:t>
      </w:r>
      <w:r w:rsidRPr="00AB4289">
        <w:rPr>
          <w:rStyle w:val="Refdenotaalpie"/>
          <w:rFonts w:cs="Times New Roman"/>
          <w:sz w:val="28"/>
          <w:szCs w:val="28"/>
        </w:rPr>
        <w:t xml:space="preserve"> </w:t>
      </w:r>
      <w:r w:rsidRPr="00AB4289">
        <w:rPr>
          <w:sz w:val="28"/>
          <w:szCs w:val="28"/>
          <w:lang w:val="es-ES"/>
        </w:rPr>
        <w:t>declaró fundados dichos impedimentos</w:t>
      </w:r>
      <w:r w:rsidRPr="00AB4289">
        <w:rPr>
          <w:rStyle w:val="Refdenotaalpie"/>
          <w:rFonts w:cs="Times New Roman"/>
          <w:sz w:val="28"/>
          <w:szCs w:val="28"/>
        </w:rPr>
        <w:footnoteReference w:id="9"/>
      </w:r>
      <w:r w:rsidRPr="00AB4289">
        <w:rPr>
          <w:sz w:val="28"/>
          <w:szCs w:val="28"/>
          <w:lang w:val="es-ES"/>
        </w:rPr>
        <w:t xml:space="preserve">. La magistrada a quien le correspondió por reparto el asunto, Myriam Ávila, indicó que los cuestionamientos de la acción de tutela en efecto se dirigen </w:t>
      </w:r>
      <w:r w:rsidR="00AD084D" w:rsidRPr="00AB4289">
        <w:rPr>
          <w:sz w:val="28"/>
          <w:szCs w:val="28"/>
          <w:lang w:val="es-ES"/>
        </w:rPr>
        <w:t xml:space="preserve">en </w:t>
      </w:r>
      <w:r w:rsidRPr="00AB4289">
        <w:rPr>
          <w:sz w:val="28"/>
          <w:szCs w:val="28"/>
          <w:lang w:val="es-ES"/>
        </w:rPr>
        <w:t xml:space="preserve">contra </w:t>
      </w:r>
      <w:r w:rsidR="00AD084D" w:rsidRPr="00AB4289">
        <w:rPr>
          <w:sz w:val="28"/>
          <w:szCs w:val="28"/>
          <w:lang w:val="es-ES"/>
        </w:rPr>
        <w:t>d</w:t>
      </w:r>
      <w:r w:rsidRPr="00AB4289">
        <w:rPr>
          <w:sz w:val="28"/>
          <w:szCs w:val="28"/>
          <w:lang w:val="es-ES"/>
        </w:rPr>
        <w:t xml:space="preserve">el presidente de la Corte Suprema de Justicia, el magistrado Gersón Chaverra Castro. Así mismo, la magistrada Ávila indicó que el 20 de febrero de 2024 se celebró una Sala de Gobierno en la que participó el presidente de la Sala de Casación Penal de la Corte Suprema de Justicia y el magistrado Diego Eugenio Corredor Beltrán, y en la cual se abordó una discusión sobre la respuesta a la petición que constituye objeto de la solicitud de amparo objeto de estudio. A partir de estas consideraciones, la magistrada declaró fundados los impedimentos planteados por los magistrados Gersón Chaverra Castro y Diego Eugenio Corredor Beltrán para participar en la decisión de la acción de tutela interpuesta por el señor Juan Pablo Barrientos. </w:t>
      </w:r>
    </w:p>
    <w:p w14:paraId="1A6B1310" w14:textId="77777777" w:rsidR="00A23883" w:rsidRPr="00AB4289" w:rsidRDefault="00A23883" w:rsidP="00B40BE5">
      <w:pPr>
        <w:pStyle w:val="Prrafodelista"/>
        <w:tabs>
          <w:tab w:val="left" w:pos="284"/>
          <w:tab w:val="left" w:pos="426"/>
          <w:tab w:val="left" w:pos="567"/>
        </w:tabs>
        <w:ind w:left="0"/>
        <w:jc w:val="both"/>
        <w:rPr>
          <w:sz w:val="28"/>
          <w:szCs w:val="28"/>
          <w:lang w:val="es-ES"/>
        </w:rPr>
      </w:pPr>
    </w:p>
    <w:p w14:paraId="18C70649" w14:textId="67A3A09E" w:rsidR="00A23883" w:rsidRPr="00AB4289" w:rsidRDefault="00A23883" w:rsidP="00B40BE5">
      <w:pPr>
        <w:pStyle w:val="Prrafodelista"/>
        <w:numPr>
          <w:ilvl w:val="0"/>
          <w:numId w:val="2"/>
        </w:numPr>
        <w:tabs>
          <w:tab w:val="left" w:pos="284"/>
          <w:tab w:val="left" w:pos="426"/>
          <w:tab w:val="left" w:pos="567"/>
        </w:tabs>
        <w:autoSpaceDE w:val="0"/>
        <w:autoSpaceDN w:val="0"/>
        <w:adjustRightInd w:val="0"/>
        <w:ind w:left="0" w:firstLine="0"/>
        <w:jc w:val="both"/>
        <w:rPr>
          <w:sz w:val="28"/>
          <w:szCs w:val="28"/>
          <w:lang w:val="es-ES"/>
        </w:rPr>
      </w:pPr>
      <w:r w:rsidRPr="00AB4289">
        <w:rPr>
          <w:sz w:val="28"/>
          <w:szCs w:val="28"/>
          <w:lang w:val="es-ES"/>
        </w:rPr>
        <w:t xml:space="preserve">El 22 de abril </w:t>
      </w:r>
      <w:r w:rsidR="00AD084D" w:rsidRPr="00AB4289">
        <w:rPr>
          <w:sz w:val="28"/>
          <w:szCs w:val="28"/>
          <w:lang w:val="es-ES"/>
        </w:rPr>
        <w:t>de 2024</w:t>
      </w:r>
      <w:r w:rsidRPr="00AB4289">
        <w:rPr>
          <w:sz w:val="28"/>
          <w:szCs w:val="28"/>
          <w:lang w:val="es-ES"/>
        </w:rPr>
        <w:t xml:space="preserve">, la Sala de Decisión de Tutelas </w:t>
      </w:r>
      <w:r w:rsidR="00AD084D" w:rsidRPr="00AB4289">
        <w:rPr>
          <w:sz w:val="28"/>
          <w:szCs w:val="28"/>
          <w:lang w:val="es-ES"/>
        </w:rPr>
        <w:t>No.</w:t>
      </w:r>
      <w:r w:rsidRPr="00AB4289">
        <w:rPr>
          <w:sz w:val="28"/>
          <w:szCs w:val="28"/>
          <w:lang w:val="es-ES"/>
        </w:rPr>
        <w:t xml:space="preserve"> 3 de la Sala de Casación Penal de la Corte Suprema de Justicia admitió la acción de tutela y corrió traslado del texto de la demanda y sus anexos a la autoridad accionada.</w:t>
      </w:r>
    </w:p>
    <w:p w14:paraId="2648DE36" w14:textId="77777777" w:rsidR="00A23883" w:rsidRPr="00AB4289" w:rsidRDefault="00A23883" w:rsidP="00B40BE5">
      <w:pPr>
        <w:pStyle w:val="Prrafodelista"/>
        <w:ind w:left="0" w:right="49"/>
        <w:jc w:val="both"/>
        <w:rPr>
          <w:b/>
          <w:bCs/>
          <w:sz w:val="28"/>
          <w:szCs w:val="28"/>
          <w:lang w:val="es-ES"/>
        </w:rPr>
      </w:pPr>
    </w:p>
    <w:p w14:paraId="5481803A" w14:textId="7F9B9677" w:rsidR="00A23883" w:rsidRPr="00AB4289" w:rsidRDefault="00A23883" w:rsidP="00B40BE5">
      <w:pPr>
        <w:pStyle w:val="Ttulo2"/>
        <w:spacing w:before="0" w:after="0"/>
        <w:jc w:val="both"/>
        <w:rPr>
          <w:rFonts w:ascii="Times New Roman" w:hAnsi="Times New Roman" w:cs="Times New Roman"/>
          <w:b/>
          <w:bCs/>
          <w:color w:val="000000" w:themeColor="text1"/>
          <w:sz w:val="28"/>
          <w:szCs w:val="28"/>
          <w:lang w:val="es-ES"/>
        </w:rPr>
      </w:pPr>
      <w:r w:rsidRPr="00AB4289">
        <w:rPr>
          <w:rFonts w:ascii="Times New Roman" w:hAnsi="Times New Roman" w:cs="Times New Roman"/>
          <w:b/>
          <w:bCs/>
          <w:color w:val="000000" w:themeColor="text1"/>
          <w:sz w:val="28"/>
          <w:szCs w:val="28"/>
          <w:lang w:val="es-ES"/>
        </w:rPr>
        <w:t xml:space="preserve"> </w:t>
      </w:r>
      <w:bookmarkStart w:id="6" w:name="_Toc210202221"/>
      <w:r w:rsidR="002169CF" w:rsidRPr="00AB4289">
        <w:rPr>
          <w:rFonts w:ascii="Times New Roman" w:hAnsi="Times New Roman" w:cs="Times New Roman"/>
          <w:b/>
          <w:bCs/>
          <w:color w:val="000000" w:themeColor="text1"/>
          <w:sz w:val="28"/>
          <w:szCs w:val="28"/>
          <w:lang w:val="es-ES"/>
        </w:rPr>
        <w:t>2</w:t>
      </w:r>
      <w:r w:rsidR="00B43CD7" w:rsidRPr="00AB4289">
        <w:rPr>
          <w:rFonts w:ascii="Times New Roman" w:hAnsi="Times New Roman" w:cs="Times New Roman"/>
          <w:b/>
          <w:bCs/>
          <w:color w:val="000000" w:themeColor="text1"/>
          <w:sz w:val="28"/>
          <w:szCs w:val="28"/>
          <w:lang w:val="es-ES"/>
        </w:rPr>
        <w:t>.</w:t>
      </w:r>
      <w:r w:rsidR="002169CF" w:rsidRPr="00AB4289">
        <w:rPr>
          <w:rFonts w:ascii="Times New Roman" w:hAnsi="Times New Roman" w:cs="Times New Roman"/>
          <w:b/>
          <w:bCs/>
          <w:color w:val="000000" w:themeColor="text1"/>
          <w:sz w:val="28"/>
          <w:szCs w:val="28"/>
          <w:lang w:val="es-ES"/>
        </w:rPr>
        <w:t xml:space="preserve"> </w:t>
      </w:r>
      <w:r w:rsidRPr="00AB4289">
        <w:rPr>
          <w:rFonts w:ascii="Times New Roman" w:hAnsi="Times New Roman" w:cs="Times New Roman"/>
          <w:b/>
          <w:bCs/>
          <w:color w:val="000000" w:themeColor="text1"/>
          <w:sz w:val="28"/>
          <w:szCs w:val="28"/>
          <w:lang w:val="es-ES"/>
        </w:rPr>
        <w:t>Respuesta a la acción de tutela</w:t>
      </w:r>
      <w:bookmarkEnd w:id="6"/>
    </w:p>
    <w:p w14:paraId="07211D45" w14:textId="77777777" w:rsidR="00A23883" w:rsidRPr="00AB4289" w:rsidRDefault="00A23883" w:rsidP="00B40BE5">
      <w:pPr>
        <w:pStyle w:val="NormalWeb"/>
        <w:spacing w:before="0" w:beforeAutospacing="0" w:after="0" w:afterAutospacing="0"/>
        <w:ind w:right="49"/>
        <w:jc w:val="both"/>
        <w:rPr>
          <w:sz w:val="28"/>
          <w:szCs w:val="28"/>
          <w:lang w:val="es-ES"/>
        </w:rPr>
      </w:pPr>
    </w:p>
    <w:p w14:paraId="1C6C9EA2" w14:textId="3C176B50" w:rsidR="00A23883" w:rsidRPr="00AB4289" w:rsidRDefault="00A23883"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
        </w:rPr>
      </w:pPr>
      <w:r w:rsidRPr="00AB4289">
        <w:rPr>
          <w:sz w:val="28"/>
          <w:szCs w:val="28"/>
          <w:lang w:val="es-ES"/>
        </w:rPr>
        <w:t>El 23 de abril de 2024, el presidente de la Corte Suprema de Justicia respondió al escrito de tutela</w:t>
      </w:r>
      <w:r w:rsidRPr="00AB4289">
        <w:rPr>
          <w:rStyle w:val="Refdenotaalpie"/>
          <w:rFonts w:cs="Times New Roman"/>
          <w:sz w:val="28"/>
          <w:szCs w:val="28"/>
        </w:rPr>
        <w:footnoteReference w:id="10"/>
      </w:r>
      <w:r w:rsidRPr="00AB4289">
        <w:rPr>
          <w:sz w:val="28"/>
          <w:szCs w:val="28"/>
          <w:lang w:val="es-ES"/>
        </w:rPr>
        <w:t xml:space="preserve">. El </w:t>
      </w:r>
      <w:r w:rsidR="0026497A" w:rsidRPr="00AB4289">
        <w:rPr>
          <w:sz w:val="28"/>
          <w:szCs w:val="28"/>
          <w:lang w:val="es-ES"/>
        </w:rPr>
        <w:t xml:space="preserve">funcionario </w:t>
      </w:r>
      <w:r w:rsidRPr="00AB4289">
        <w:rPr>
          <w:sz w:val="28"/>
          <w:szCs w:val="28"/>
          <w:lang w:val="es-ES"/>
        </w:rPr>
        <w:t xml:space="preserve">indicó que dentro de las funciones de la Presidencia de la Corte Suprema de Justicia no figura aquella de dar información como la solicitada por el accionante. El </w:t>
      </w:r>
      <w:r w:rsidR="00AD084D" w:rsidRPr="00AB4289">
        <w:rPr>
          <w:sz w:val="28"/>
          <w:szCs w:val="28"/>
          <w:lang w:val="es-ES"/>
        </w:rPr>
        <w:t>demandado</w:t>
      </w:r>
      <w:r w:rsidRPr="00AB4289">
        <w:rPr>
          <w:sz w:val="28"/>
          <w:szCs w:val="28"/>
          <w:lang w:val="es-ES"/>
        </w:rPr>
        <w:t xml:space="preserve"> señaló que, por tal motivo, la petición del señor Juan Pablo Barrientos fue remitida a la Secretaría General de la Corporación para los fines pertinentes.</w:t>
      </w:r>
    </w:p>
    <w:p w14:paraId="0E0E7A08" w14:textId="77777777" w:rsidR="00A23883" w:rsidRPr="00AB4289" w:rsidRDefault="00A23883" w:rsidP="00B40BE5">
      <w:pPr>
        <w:pStyle w:val="NormalWeb"/>
        <w:tabs>
          <w:tab w:val="left" w:pos="284"/>
          <w:tab w:val="left" w:pos="426"/>
          <w:tab w:val="left" w:pos="567"/>
        </w:tabs>
        <w:spacing w:before="0" w:beforeAutospacing="0" w:after="0" w:afterAutospacing="0"/>
        <w:ind w:right="49"/>
        <w:jc w:val="both"/>
        <w:rPr>
          <w:sz w:val="28"/>
          <w:szCs w:val="28"/>
          <w:lang w:val="es-ES"/>
        </w:rPr>
      </w:pPr>
    </w:p>
    <w:p w14:paraId="5C6C3BD4" w14:textId="26855574" w:rsidR="00A23883" w:rsidRPr="00AB4289" w:rsidRDefault="00AD084D"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
        </w:rPr>
      </w:pPr>
      <w:r w:rsidRPr="00AB4289">
        <w:rPr>
          <w:sz w:val="28"/>
          <w:szCs w:val="28"/>
          <w:lang w:val="es-ES"/>
        </w:rPr>
        <w:lastRenderedPageBreak/>
        <w:t>Además,</w:t>
      </w:r>
      <w:r w:rsidR="00A23883" w:rsidRPr="00AB4289">
        <w:rPr>
          <w:sz w:val="28"/>
          <w:szCs w:val="28"/>
          <w:lang w:val="es-ES"/>
        </w:rPr>
        <w:t xml:space="preserve"> agregó que</w:t>
      </w:r>
      <w:r w:rsidR="000B7720" w:rsidRPr="00AB4289">
        <w:rPr>
          <w:sz w:val="28"/>
          <w:szCs w:val="28"/>
          <w:lang w:val="es-ES"/>
        </w:rPr>
        <w:t xml:space="preserve"> l</w:t>
      </w:r>
      <w:r w:rsidR="00A23883" w:rsidRPr="00AB4289">
        <w:rPr>
          <w:sz w:val="28"/>
          <w:szCs w:val="28"/>
          <w:lang w:val="es-ES"/>
        </w:rPr>
        <w:t>a Secretar</w:t>
      </w:r>
      <w:r w:rsidR="00614CE7">
        <w:rPr>
          <w:sz w:val="28"/>
          <w:szCs w:val="28"/>
          <w:lang w:val="es-ES"/>
        </w:rPr>
        <w:t>í</w:t>
      </w:r>
      <w:r w:rsidR="00A23883" w:rsidRPr="00AB4289">
        <w:rPr>
          <w:sz w:val="28"/>
          <w:szCs w:val="28"/>
          <w:lang w:val="es-ES"/>
        </w:rPr>
        <w:t>a General de la Corte Suprema en efecto dio respuesta al accionante</w:t>
      </w:r>
      <w:r w:rsidR="000B7720" w:rsidRPr="00AB4289">
        <w:rPr>
          <w:rStyle w:val="Refdenotaalpie"/>
          <w:rFonts w:cs="Times New Roman"/>
          <w:sz w:val="28"/>
          <w:szCs w:val="28"/>
          <w:lang w:val="es-ES"/>
        </w:rPr>
        <w:footnoteReference w:id="11"/>
      </w:r>
      <w:r w:rsidR="00A23883" w:rsidRPr="00AB4289">
        <w:rPr>
          <w:sz w:val="28"/>
          <w:szCs w:val="28"/>
          <w:lang w:val="es-ES"/>
        </w:rPr>
        <w:t xml:space="preserve">. </w:t>
      </w:r>
      <w:r w:rsidR="000B7720" w:rsidRPr="00AB4289">
        <w:rPr>
          <w:sz w:val="28"/>
          <w:szCs w:val="28"/>
          <w:lang w:val="es-ES"/>
        </w:rPr>
        <w:t>Según el accionado,</w:t>
      </w:r>
      <w:r w:rsidR="00A23883" w:rsidRPr="00AB4289">
        <w:rPr>
          <w:sz w:val="28"/>
          <w:szCs w:val="28"/>
          <w:lang w:val="es-ES"/>
        </w:rPr>
        <w:t xml:space="preserve"> Secretar</w:t>
      </w:r>
      <w:r w:rsidR="00614CE7">
        <w:rPr>
          <w:sz w:val="28"/>
          <w:szCs w:val="28"/>
          <w:lang w:val="es-ES"/>
        </w:rPr>
        <w:t>í</w:t>
      </w:r>
      <w:r w:rsidR="00A23883" w:rsidRPr="00AB4289">
        <w:rPr>
          <w:sz w:val="28"/>
          <w:szCs w:val="28"/>
          <w:lang w:val="es-ES"/>
        </w:rPr>
        <w:t xml:space="preserve">a indicó que no es posible efectuar la entrega de los documentos y soportes solicitados, toda vez que sobre ellos recae la reserva descrita en </w:t>
      </w:r>
      <w:r w:rsidRPr="00AB4289">
        <w:rPr>
          <w:sz w:val="28"/>
          <w:szCs w:val="28"/>
          <w:lang w:val="es-ES"/>
        </w:rPr>
        <w:t xml:space="preserve">el </w:t>
      </w:r>
      <w:r w:rsidR="00A23883" w:rsidRPr="00AB4289">
        <w:rPr>
          <w:sz w:val="28"/>
          <w:szCs w:val="28"/>
          <w:lang w:val="es-ES"/>
        </w:rPr>
        <w:t>artículo 24</w:t>
      </w:r>
      <w:r w:rsidRPr="00AB4289">
        <w:rPr>
          <w:sz w:val="28"/>
          <w:szCs w:val="28"/>
          <w:lang w:val="es-ES"/>
        </w:rPr>
        <w:t>-3</w:t>
      </w:r>
      <w:r w:rsidR="00A23883" w:rsidRPr="00AB4289">
        <w:rPr>
          <w:sz w:val="28"/>
          <w:szCs w:val="28"/>
          <w:lang w:val="es-ES"/>
        </w:rPr>
        <w:t xml:space="preserve"> de la Ley 1755 de 2015</w:t>
      </w:r>
      <w:r w:rsidR="00A23883" w:rsidRPr="00AB4289">
        <w:rPr>
          <w:rStyle w:val="Refdenotaalpie"/>
          <w:rFonts w:cs="Times New Roman"/>
          <w:sz w:val="28"/>
          <w:szCs w:val="28"/>
        </w:rPr>
        <w:footnoteReference w:id="12"/>
      </w:r>
      <w:r w:rsidR="00A23883" w:rsidRPr="00AB4289">
        <w:rPr>
          <w:sz w:val="28"/>
          <w:szCs w:val="28"/>
          <w:lang w:val="es-ES"/>
        </w:rPr>
        <w:t>. En ese sentido, señaló que la información solicitada hace parte integral de la historia laboral de los magistrados y magistradas y contiene información privada y personal.</w:t>
      </w:r>
      <w:r w:rsidR="00651882" w:rsidRPr="00AB4289">
        <w:rPr>
          <w:sz w:val="28"/>
          <w:szCs w:val="28"/>
          <w:lang w:val="es-ES"/>
        </w:rPr>
        <w:t xml:space="preserve"> Además, destacó que </w:t>
      </w:r>
      <w:r w:rsidR="00097BCA" w:rsidRPr="00AB4289">
        <w:rPr>
          <w:sz w:val="28"/>
          <w:szCs w:val="28"/>
          <w:lang w:val="es-ES_tradnl"/>
        </w:rPr>
        <w:t xml:space="preserve">las declaraciones sobre el impuesto de renta, sus declaraciones de bienes y rentas, y sus registros de conflictos de interés </w:t>
      </w:r>
      <w:r w:rsidR="00651882" w:rsidRPr="00AB4289">
        <w:rPr>
          <w:sz w:val="28"/>
          <w:szCs w:val="28"/>
          <w:lang w:val="es-ES"/>
        </w:rPr>
        <w:t xml:space="preserve">se encuentra en la página de la función pública. </w:t>
      </w:r>
    </w:p>
    <w:p w14:paraId="3F401353" w14:textId="77777777" w:rsidR="00A23883" w:rsidRPr="00AB4289" w:rsidRDefault="00A23883" w:rsidP="00B40BE5">
      <w:pPr>
        <w:pStyle w:val="Prrafodelista"/>
        <w:jc w:val="both"/>
        <w:rPr>
          <w:sz w:val="28"/>
          <w:szCs w:val="28"/>
          <w:lang w:val="es-ES"/>
        </w:rPr>
      </w:pPr>
    </w:p>
    <w:p w14:paraId="183232CB" w14:textId="2C47425D" w:rsidR="00A23883" w:rsidRPr="00AB4289" w:rsidRDefault="00A23883"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
        </w:rPr>
      </w:pPr>
      <w:r w:rsidRPr="00AB4289">
        <w:rPr>
          <w:sz w:val="28"/>
          <w:szCs w:val="28"/>
          <w:lang w:val="es-ES"/>
        </w:rPr>
        <w:t>Por otro lado, la Secretar</w:t>
      </w:r>
      <w:r w:rsidR="00614CE7">
        <w:rPr>
          <w:sz w:val="28"/>
          <w:szCs w:val="28"/>
          <w:lang w:val="es-ES"/>
        </w:rPr>
        <w:t>í</w:t>
      </w:r>
      <w:r w:rsidRPr="00AB4289">
        <w:rPr>
          <w:sz w:val="28"/>
          <w:szCs w:val="28"/>
          <w:lang w:val="es-ES"/>
        </w:rPr>
        <w:t xml:space="preserve">a General </w:t>
      </w:r>
      <w:r w:rsidR="00484DCF" w:rsidRPr="00AB4289">
        <w:rPr>
          <w:sz w:val="28"/>
          <w:szCs w:val="28"/>
          <w:lang w:val="es-ES"/>
        </w:rPr>
        <w:t xml:space="preserve">de la Corte Suprema de Justicia </w:t>
      </w:r>
      <w:r w:rsidRPr="00AB4289">
        <w:rPr>
          <w:sz w:val="28"/>
          <w:szCs w:val="28"/>
          <w:lang w:val="es-ES"/>
        </w:rPr>
        <w:t xml:space="preserve">indicó que </w:t>
      </w:r>
      <w:r w:rsidR="00097BCA" w:rsidRPr="00AB4289">
        <w:rPr>
          <w:sz w:val="28"/>
          <w:szCs w:val="28"/>
          <w:lang w:val="es-ES_tradnl"/>
        </w:rPr>
        <w:t xml:space="preserve">las declaraciones sobre el impuesto de renta, sus declaraciones de bienes y rentas, y sus registros de conflictos de interés </w:t>
      </w:r>
      <w:r w:rsidRPr="00AB4289">
        <w:rPr>
          <w:sz w:val="28"/>
          <w:szCs w:val="28"/>
          <w:lang w:val="es-ES"/>
        </w:rPr>
        <w:t>para consulta ciudadana pueden ser encontradas en la página web oficial de</w:t>
      </w:r>
      <w:r w:rsidR="00122FA6" w:rsidRPr="00AB4289">
        <w:rPr>
          <w:sz w:val="28"/>
          <w:szCs w:val="28"/>
          <w:lang w:val="es-ES"/>
        </w:rPr>
        <w:t>l Departamento Administrativo de la</w:t>
      </w:r>
      <w:r w:rsidRPr="00AB4289">
        <w:rPr>
          <w:sz w:val="28"/>
          <w:szCs w:val="28"/>
          <w:lang w:val="es-ES"/>
        </w:rPr>
        <w:t xml:space="preserve"> Función Pública.</w:t>
      </w:r>
    </w:p>
    <w:p w14:paraId="58D34ED7" w14:textId="77777777" w:rsidR="00A23883" w:rsidRPr="00AB4289" w:rsidRDefault="00A23883" w:rsidP="00B40BE5">
      <w:pPr>
        <w:pStyle w:val="NormalWeb"/>
        <w:tabs>
          <w:tab w:val="left" w:pos="284"/>
          <w:tab w:val="left" w:pos="426"/>
          <w:tab w:val="left" w:pos="567"/>
        </w:tabs>
        <w:spacing w:before="0" w:beforeAutospacing="0" w:after="0" w:afterAutospacing="0"/>
        <w:ind w:right="49"/>
        <w:jc w:val="both"/>
        <w:rPr>
          <w:sz w:val="28"/>
          <w:szCs w:val="28"/>
          <w:lang w:val="es-ES"/>
        </w:rPr>
      </w:pPr>
    </w:p>
    <w:p w14:paraId="3D8477AE" w14:textId="67CD9497" w:rsidR="00A23883" w:rsidRPr="00AB4289" w:rsidRDefault="002169CF" w:rsidP="00B40BE5">
      <w:pPr>
        <w:pStyle w:val="Ttulo2"/>
        <w:spacing w:before="0" w:after="0"/>
        <w:jc w:val="both"/>
        <w:rPr>
          <w:rFonts w:ascii="Times New Roman" w:hAnsi="Times New Roman" w:cs="Times New Roman"/>
          <w:b/>
          <w:bCs/>
          <w:color w:val="000000" w:themeColor="text1"/>
          <w:sz w:val="28"/>
          <w:szCs w:val="28"/>
          <w:lang w:val="es-ES"/>
        </w:rPr>
      </w:pPr>
      <w:r w:rsidRPr="00AB4289">
        <w:rPr>
          <w:rFonts w:ascii="Times New Roman" w:hAnsi="Times New Roman" w:cs="Times New Roman"/>
          <w:b/>
          <w:bCs/>
          <w:color w:val="000000" w:themeColor="text1"/>
          <w:sz w:val="28"/>
          <w:szCs w:val="28"/>
          <w:lang w:val="es-ES"/>
        </w:rPr>
        <w:t xml:space="preserve"> </w:t>
      </w:r>
      <w:bookmarkStart w:id="7" w:name="_Toc210202222"/>
      <w:r w:rsidRPr="00AB4289">
        <w:rPr>
          <w:rFonts w:ascii="Times New Roman" w:hAnsi="Times New Roman" w:cs="Times New Roman"/>
          <w:b/>
          <w:bCs/>
          <w:color w:val="000000" w:themeColor="text1"/>
          <w:sz w:val="28"/>
          <w:szCs w:val="28"/>
          <w:lang w:val="es-ES"/>
        </w:rPr>
        <w:t>3</w:t>
      </w:r>
      <w:r w:rsidR="00EE4641">
        <w:rPr>
          <w:rFonts w:ascii="Times New Roman" w:hAnsi="Times New Roman" w:cs="Times New Roman"/>
          <w:b/>
          <w:bCs/>
          <w:color w:val="000000" w:themeColor="text1"/>
          <w:sz w:val="28"/>
          <w:szCs w:val="28"/>
          <w:lang w:val="es-ES"/>
        </w:rPr>
        <w:t xml:space="preserve">. </w:t>
      </w:r>
      <w:r w:rsidR="00A23883" w:rsidRPr="00AB4289">
        <w:rPr>
          <w:rFonts w:ascii="Times New Roman" w:hAnsi="Times New Roman" w:cs="Times New Roman"/>
          <w:b/>
          <w:bCs/>
          <w:color w:val="000000" w:themeColor="text1"/>
          <w:sz w:val="28"/>
          <w:szCs w:val="28"/>
          <w:lang w:val="es-ES"/>
        </w:rPr>
        <w:t>Fallos de tutela objeto de revisión</w:t>
      </w:r>
      <w:bookmarkEnd w:id="7"/>
    </w:p>
    <w:p w14:paraId="1DF0256E" w14:textId="77777777" w:rsidR="00A23883" w:rsidRPr="00AB4289" w:rsidRDefault="00A23883" w:rsidP="00B40BE5">
      <w:pPr>
        <w:ind w:right="49"/>
        <w:jc w:val="both"/>
        <w:rPr>
          <w:sz w:val="28"/>
          <w:szCs w:val="28"/>
          <w:lang w:val="es-ES"/>
        </w:rPr>
      </w:pPr>
    </w:p>
    <w:p w14:paraId="20D8B0EC" w14:textId="77777777" w:rsidR="00A23883" w:rsidRPr="00AB4289" w:rsidRDefault="00A23883" w:rsidP="00B40BE5">
      <w:pPr>
        <w:ind w:right="49"/>
        <w:jc w:val="both"/>
        <w:rPr>
          <w:b/>
          <w:bCs/>
          <w:sz w:val="28"/>
          <w:szCs w:val="28"/>
          <w:lang w:val="es-ES"/>
        </w:rPr>
      </w:pPr>
      <w:r w:rsidRPr="00AB4289">
        <w:rPr>
          <w:b/>
          <w:bCs/>
          <w:sz w:val="28"/>
          <w:szCs w:val="28"/>
          <w:lang w:val="es-ES"/>
        </w:rPr>
        <w:t>Primera instancia</w:t>
      </w:r>
    </w:p>
    <w:p w14:paraId="34081DE9" w14:textId="77777777" w:rsidR="00A23883" w:rsidRPr="00AB4289" w:rsidRDefault="00A23883" w:rsidP="00B40BE5">
      <w:pPr>
        <w:ind w:right="49"/>
        <w:jc w:val="both"/>
        <w:rPr>
          <w:b/>
          <w:bCs/>
          <w:sz w:val="28"/>
          <w:szCs w:val="28"/>
          <w:lang w:val="es-ES"/>
        </w:rPr>
      </w:pPr>
    </w:p>
    <w:p w14:paraId="367034C2" w14:textId="755D1436" w:rsidR="00A23883" w:rsidRPr="00AB4289" w:rsidRDefault="00A23883" w:rsidP="00B40BE5">
      <w:pPr>
        <w:pStyle w:val="NormalWeb"/>
        <w:numPr>
          <w:ilvl w:val="0"/>
          <w:numId w:val="2"/>
        </w:numPr>
        <w:tabs>
          <w:tab w:val="left" w:pos="284"/>
          <w:tab w:val="left" w:pos="426"/>
          <w:tab w:val="left" w:pos="567"/>
        </w:tabs>
        <w:spacing w:before="0" w:beforeAutospacing="0" w:after="0" w:afterAutospacing="0"/>
        <w:ind w:left="0" w:right="49" w:firstLine="0"/>
        <w:jc w:val="both"/>
        <w:rPr>
          <w:b/>
          <w:bCs/>
          <w:sz w:val="28"/>
          <w:szCs w:val="28"/>
          <w:lang w:val="es-ES"/>
        </w:rPr>
      </w:pPr>
      <w:r w:rsidRPr="00AB4289">
        <w:rPr>
          <w:sz w:val="28"/>
          <w:szCs w:val="28"/>
          <w:lang w:val="es-ES"/>
        </w:rPr>
        <w:t>Mediante sentencia del 25 de abril de 2024</w:t>
      </w:r>
      <w:r w:rsidR="00484DCF" w:rsidRPr="00AB4289">
        <w:rPr>
          <w:sz w:val="28"/>
          <w:szCs w:val="28"/>
          <w:lang w:val="es-ES"/>
        </w:rPr>
        <w:t>,</w:t>
      </w:r>
      <w:r w:rsidRPr="00AB4289">
        <w:rPr>
          <w:sz w:val="28"/>
          <w:szCs w:val="28"/>
          <w:lang w:val="es-ES"/>
        </w:rPr>
        <w:t xml:space="preserve"> la Sala de Decisión de Tutelas </w:t>
      </w:r>
      <w:r w:rsidR="00484DCF" w:rsidRPr="00AB4289">
        <w:rPr>
          <w:sz w:val="28"/>
          <w:szCs w:val="28"/>
          <w:lang w:val="es-ES"/>
        </w:rPr>
        <w:t>No.</w:t>
      </w:r>
      <w:r w:rsidRPr="00AB4289">
        <w:rPr>
          <w:sz w:val="28"/>
          <w:szCs w:val="28"/>
          <w:lang w:val="es-ES"/>
        </w:rPr>
        <w:t xml:space="preserve"> 3 de la Sala de Casación Penal de la Corte Suprema de Justicia declaró la carencia actual de objeto</w:t>
      </w:r>
      <w:r w:rsidRPr="00AB4289">
        <w:rPr>
          <w:rStyle w:val="Refdenotaalpie"/>
          <w:rFonts w:cs="Times New Roman"/>
          <w:sz w:val="28"/>
          <w:szCs w:val="28"/>
        </w:rPr>
        <w:footnoteReference w:id="13"/>
      </w:r>
      <w:r w:rsidRPr="00AB4289">
        <w:rPr>
          <w:sz w:val="28"/>
          <w:szCs w:val="28"/>
          <w:lang w:val="es-ES"/>
        </w:rPr>
        <w:t>.</w:t>
      </w:r>
      <w:r w:rsidR="00A60096" w:rsidRPr="00AB4289">
        <w:rPr>
          <w:sz w:val="28"/>
          <w:szCs w:val="28"/>
          <w:lang w:val="es-ES"/>
        </w:rPr>
        <w:t xml:space="preserve"> A su juicio,</w:t>
      </w:r>
      <w:r w:rsidRPr="00AB4289">
        <w:rPr>
          <w:sz w:val="28"/>
          <w:szCs w:val="28"/>
          <w:lang w:val="es-ES"/>
        </w:rPr>
        <w:t xml:space="preserve"> el 5 de abril de 2024</w:t>
      </w:r>
      <w:r w:rsidR="00983434" w:rsidRPr="00AB4289">
        <w:rPr>
          <w:sz w:val="28"/>
          <w:szCs w:val="28"/>
          <w:lang w:val="es-ES"/>
        </w:rPr>
        <w:t>,</w:t>
      </w:r>
      <w:r w:rsidRPr="00AB4289">
        <w:rPr>
          <w:sz w:val="28"/>
          <w:szCs w:val="28"/>
          <w:lang w:val="es-ES"/>
        </w:rPr>
        <w:t xml:space="preserve"> la Secretar</w:t>
      </w:r>
      <w:r w:rsidR="00614CE7">
        <w:rPr>
          <w:sz w:val="28"/>
          <w:szCs w:val="28"/>
          <w:lang w:val="es-ES"/>
        </w:rPr>
        <w:t>í</w:t>
      </w:r>
      <w:r w:rsidRPr="00AB4289">
        <w:rPr>
          <w:sz w:val="28"/>
          <w:szCs w:val="28"/>
          <w:lang w:val="es-ES"/>
        </w:rPr>
        <w:t xml:space="preserve">a General de dicha Corporación envió al correo electrónico del señor Barrientos la respuesta a la petición que radicó el 9 de febrero de 2024. </w:t>
      </w:r>
    </w:p>
    <w:p w14:paraId="09A4CA66" w14:textId="77777777" w:rsidR="00A23883" w:rsidRPr="00AB4289" w:rsidRDefault="00A23883" w:rsidP="00B40BE5">
      <w:pPr>
        <w:pStyle w:val="NormalWeb"/>
        <w:tabs>
          <w:tab w:val="left" w:pos="284"/>
          <w:tab w:val="left" w:pos="426"/>
          <w:tab w:val="left" w:pos="567"/>
        </w:tabs>
        <w:spacing w:before="0" w:beforeAutospacing="0" w:after="0" w:afterAutospacing="0"/>
        <w:ind w:right="49"/>
        <w:jc w:val="both"/>
        <w:rPr>
          <w:b/>
          <w:bCs/>
          <w:sz w:val="28"/>
          <w:szCs w:val="28"/>
          <w:lang w:val="es-ES"/>
        </w:rPr>
      </w:pPr>
    </w:p>
    <w:p w14:paraId="11F56F51" w14:textId="20F26A8B" w:rsidR="00A23883" w:rsidRPr="00AB4289" w:rsidRDefault="00A23883" w:rsidP="00B40BE5">
      <w:pPr>
        <w:pStyle w:val="NormalWeb"/>
        <w:numPr>
          <w:ilvl w:val="0"/>
          <w:numId w:val="2"/>
        </w:numPr>
        <w:tabs>
          <w:tab w:val="left" w:pos="284"/>
          <w:tab w:val="left" w:pos="426"/>
          <w:tab w:val="left" w:pos="567"/>
        </w:tabs>
        <w:spacing w:before="0" w:beforeAutospacing="0" w:after="0" w:afterAutospacing="0"/>
        <w:ind w:left="0" w:right="49" w:firstLine="0"/>
        <w:jc w:val="both"/>
        <w:rPr>
          <w:b/>
          <w:bCs/>
          <w:sz w:val="28"/>
          <w:szCs w:val="28"/>
          <w:lang w:val="es-ES"/>
        </w:rPr>
      </w:pPr>
      <w:r w:rsidRPr="00AB4289">
        <w:rPr>
          <w:sz w:val="28"/>
          <w:szCs w:val="28"/>
          <w:lang w:val="es-ES"/>
        </w:rPr>
        <w:t xml:space="preserve">La Sala de Decisión de Tutelas indicó </w:t>
      </w:r>
      <w:r w:rsidRPr="00AB4289">
        <w:rPr>
          <w:sz w:val="28"/>
          <w:szCs w:val="28"/>
        </w:rPr>
        <w:t>que “el sentido de la respuesta que busca el accionante no hace parte del ámbito de protección del derecho fundamental de petición”</w:t>
      </w:r>
      <w:r w:rsidRPr="00AB4289">
        <w:rPr>
          <w:rStyle w:val="Refdenotaalpie"/>
          <w:rFonts w:cs="Times New Roman"/>
          <w:sz w:val="28"/>
          <w:szCs w:val="28"/>
        </w:rPr>
        <w:footnoteReference w:id="14"/>
      </w:r>
      <w:r w:rsidRPr="00AB4289">
        <w:rPr>
          <w:sz w:val="28"/>
          <w:szCs w:val="28"/>
        </w:rPr>
        <w:t xml:space="preserve">. </w:t>
      </w:r>
      <w:r w:rsidR="00A60096" w:rsidRPr="00AB4289">
        <w:rPr>
          <w:sz w:val="28"/>
          <w:szCs w:val="28"/>
        </w:rPr>
        <w:t xml:space="preserve">También </w:t>
      </w:r>
      <w:r w:rsidRPr="00AB4289">
        <w:rPr>
          <w:sz w:val="28"/>
          <w:szCs w:val="28"/>
        </w:rPr>
        <w:t>señaló que, de acuerdo con la jurisprudencia constitucional, el núcleo esencial de este derecho lo integran tres elementos: (i) la posibilidad de formular la petición; (</w:t>
      </w:r>
      <w:proofErr w:type="spellStart"/>
      <w:r w:rsidRPr="00AB4289">
        <w:rPr>
          <w:sz w:val="28"/>
          <w:szCs w:val="28"/>
        </w:rPr>
        <w:t>ii</w:t>
      </w:r>
      <w:proofErr w:type="spellEnd"/>
      <w:r w:rsidRPr="00AB4289">
        <w:rPr>
          <w:sz w:val="28"/>
          <w:szCs w:val="28"/>
        </w:rPr>
        <w:t xml:space="preserve">) el derecho a obtener una respuesta de fondo, clara y congruente -independientemente de su </w:t>
      </w:r>
      <w:r w:rsidRPr="00AB4289">
        <w:rPr>
          <w:sz w:val="28"/>
          <w:szCs w:val="28"/>
        </w:rPr>
        <w:lastRenderedPageBreak/>
        <w:t>orientación- y (</w:t>
      </w:r>
      <w:proofErr w:type="spellStart"/>
      <w:r w:rsidRPr="00AB4289">
        <w:rPr>
          <w:sz w:val="28"/>
          <w:szCs w:val="28"/>
        </w:rPr>
        <w:t>iii</w:t>
      </w:r>
      <w:proofErr w:type="spellEnd"/>
      <w:r w:rsidRPr="00AB4289">
        <w:rPr>
          <w:sz w:val="28"/>
          <w:szCs w:val="28"/>
        </w:rPr>
        <w:t>) que la resolución de la petición se dé dentro del plazo establecido en la ley.</w:t>
      </w:r>
    </w:p>
    <w:p w14:paraId="0FBC3C1D" w14:textId="77777777" w:rsidR="00A23883" w:rsidRPr="00AB4289" w:rsidRDefault="00A23883" w:rsidP="00B40BE5">
      <w:pPr>
        <w:pStyle w:val="NormalWeb"/>
        <w:tabs>
          <w:tab w:val="left" w:pos="284"/>
          <w:tab w:val="left" w:pos="426"/>
          <w:tab w:val="left" w:pos="567"/>
        </w:tabs>
        <w:spacing w:before="0" w:beforeAutospacing="0" w:after="0" w:afterAutospacing="0"/>
        <w:ind w:right="49"/>
        <w:jc w:val="both"/>
        <w:rPr>
          <w:b/>
          <w:bCs/>
          <w:sz w:val="28"/>
          <w:szCs w:val="28"/>
          <w:lang w:val="es-ES"/>
        </w:rPr>
      </w:pPr>
    </w:p>
    <w:p w14:paraId="435AD52A" w14:textId="0EEE1D4F" w:rsidR="00A23883" w:rsidRPr="00AB4289" w:rsidRDefault="00A23883" w:rsidP="00B40BE5">
      <w:pPr>
        <w:pStyle w:val="NormalWeb"/>
        <w:numPr>
          <w:ilvl w:val="0"/>
          <w:numId w:val="2"/>
        </w:numPr>
        <w:tabs>
          <w:tab w:val="left" w:pos="284"/>
          <w:tab w:val="left" w:pos="426"/>
          <w:tab w:val="left" w:pos="567"/>
        </w:tabs>
        <w:spacing w:before="0" w:beforeAutospacing="0" w:after="0" w:afterAutospacing="0"/>
        <w:ind w:left="0" w:right="49" w:firstLine="0"/>
        <w:jc w:val="both"/>
        <w:rPr>
          <w:b/>
          <w:bCs/>
          <w:sz w:val="28"/>
          <w:szCs w:val="28"/>
          <w:lang w:val="es-ES"/>
        </w:rPr>
      </w:pPr>
      <w:r w:rsidRPr="00AB4289">
        <w:rPr>
          <w:sz w:val="28"/>
          <w:szCs w:val="28"/>
        </w:rPr>
        <w:t xml:space="preserve">Por </w:t>
      </w:r>
      <w:proofErr w:type="gramStart"/>
      <w:r w:rsidRPr="00AB4289">
        <w:rPr>
          <w:sz w:val="28"/>
          <w:szCs w:val="28"/>
        </w:rPr>
        <w:t>último</w:t>
      </w:r>
      <w:proofErr w:type="gramEnd"/>
      <w:r w:rsidRPr="00AB4289">
        <w:rPr>
          <w:sz w:val="28"/>
          <w:szCs w:val="28"/>
        </w:rPr>
        <w:t xml:space="preserve"> la Sala de Decisión de Tutelas </w:t>
      </w:r>
      <w:r w:rsidR="00A60096" w:rsidRPr="00AB4289">
        <w:rPr>
          <w:sz w:val="28"/>
          <w:szCs w:val="28"/>
        </w:rPr>
        <w:t>afirmó</w:t>
      </w:r>
      <w:r w:rsidRPr="00AB4289">
        <w:rPr>
          <w:sz w:val="28"/>
          <w:szCs w:val="28"/>
        </w:rPr>
        <w:t xml:space="preserve"> que, en caso de que el peticionario no esté satisfecho con el contenido y el alcance de la respuesta recibida, tiene a su disposición el recurso de insistencia establecido en el artículo 26 de la Ley 1715 de 2015.</w:t>
      </w:r>
    </w:p>
    <w:p w14:paraId="0EB081AE" w14:textId="77777777" w:rsidR="00A23883" w:rsidRPr="00AB4289" w:rsidRDefault="00A23883" w:rsidP="00B40BE5">
      <w:pPr>
        <w:pStyle w:val="NormalWeb"/>
        <w:tabs>
          <w:tab w:val="left" w:pos="284"/>
          <w:tab w:val="left" w:pos="426"/>
          <w:tab w:val="left" w:pos="567"/>
        </w:tabs>
        <w:spacing w:before="0" w:beforeAutospacing="0" w:after="0" w:afterAutospacing="0"/>
        <w:ind w:right="49"/>
        <w:jc w:val="both"/>
        <w:rPr>
          <w:b/>
          <w:bCs/>
          <w:sz w:val="28"/>
          <w:szCs w:val="28"/>
          <w:lang w:val="es-ES"/>
        </w:rPr>
      </w:pPr>
    </w:p>
    <w:p w14:paraId="246BA663" w14:textId="77777777" w:rsidR="00A23883" w:rsidRPr="00AB4289" w:rsidRDefault="00A23883" w:rsidP="00B40BE5">
      <w:pPr>
        <w:ind w:right="49"/>
        <w:jc w:val="both"/>
        <w:rPr>
          <w:b/>
          <w:bCs/>
          <w:sz w:val="28"/>
          <w:szCs w:val="28"/>
          <w:lang w:val="es-ES"/>
        </w:rPr>
      </w:pPr>
      <w:r w:rsidRPr="00AB4289">
        <w:rPr>
          <w:b/>
          <w:bCs/>
          <w:sz w:val="28"/>
          <w:szCs w:val="28"/>
          <w:lang w:val="es-ES"/>
        </w:rPr>
        <w:t>Impugnación</w:t>
      </w:r>
    </w:p>
    <w:p w14:paraId="50DAE3F4" w14:textId="77777777" w:rsidR="00A23883" w:rsidRPr="00AB4289" w:rsidRDefault="00A23883" w:rsidP="00B40BE5">
      <w:pPr>
        <w:ind w:right="49"/>
        <w:jc w:val="both"/>
        <w:rPr>
          <w:b/>
          <w:bCs/>
          <w:sz w:val="28"/>
          <w:szCs w:val="28"/>
          <w:lang w:val="es-ES"/>
        </w:rPr>
      </w:pPr>
    </w:p>
    <w:p w14:paraId="7867E61F" w14:textId="235CA2C8" w:rsidR="00A23883" w:rsidRPr="00AB4289" w:rsidRDefault="00A23883"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
        </w:rPr>
      </w:pPr>
      <w:r w:rsidRPr="00AB4289">
        <w:rPr>
          <w:sz w:val="28"/>
          <w:szCs w:val="28"/>
          <w:lang w:val="es-ES"/>
        </w:rPr>
        <w:t>El 7 de mayo de 2024, el señor Juan Pablo Barrientos impugnó la decisión de primera instancia</w:t>
      </w:r>
      <w:r w:rsidRPr="00AB4289">
        <w:rPr>
          <w:rStyle w:val="Refdenotaalpie"/>
          <w:rFonts w:cs="Times New Roman"/>
          <w:sz w:val="28"/>
          <w:szCs w:val="28"/>
        </w:rPr>
        <w:footnoteReference w:id="15"/>
      </w:r>
      <w:r w:rsidRPr="00AB4289">
        <w:rPr>
          <w:sz w:val="28"/>
          <w:szCs w:val="28"/>
          <w:lang w:val="es-ES"/>
        </w:rPr>
        <w:t>. En primer lugar, el accionante sostuvo que todos los magistrados de la Corte Suprema de Justicia debieron declararse impedidos para decidir sobre la acción de tutela, en la medida en que solicitó la información de todos ellos. En ese sentido, manifestó que la situación de la magistrada Myriam Ávila</w:t>
      </w:r>
      <w:r w:rsidR="00A907D6" w:rsidRPr="00AB4289">
        <w:rPr>
          <w:sz w:val="28"/>
          <w:szCs w:val="28"/>
          <w:lang w:val="es-ES"/>
        </w:rPr>
        <w:t>,</w:t>
      </w:r>
      <w:r w:rsidRPr="00AB4289">
        <w:rPr>
          <w:sz w:val="28"/>
          <w:szCs w:val="28"/>
          <w:lang w:val="es-ES"/>
        </w:rPr>
        <w:t xml:space="preserve"> quien sustanció la decisión de primera instancia</w:t>
      </w:r>
      <w:r w:rsidR="00A907D6" w:rsidRPr="00AB4289">
        <w:rPr>
          <w:sz w:val="28"/>
          <w:szCs w:val="28"/>
          <w:lang w:val="es-ES"/>
        </w:rPr>
        <w:t>,</w:t>
      </w:r>
      <w:r w:rsidRPr="00AB4289">
        <w:rPr>
          <w:sz w:val="28"/>
          <w:szCs w:val="28"/>
          <w:lang w:val="es-ES"/>
        </w:rPr>
        <w:t xml:space="preserve"> no es diferente de la de los magistrados Gersón Chaverra Castro y Diego Eugenio Corredor Beltrán, a quienes sí se les aceptó el impedimento. </w:t>
      </w:r>
    </w:p>
    <w:p w14:paraId="44F43556" w14:textId="77777777" w:rsidR="00A23883" w:rsidRPr="00AB4289" w:rsidRDefault="00A23883" w:rsidP="00B40BE5">
      <w:pPr>
        <w:pStyle w:val="NormalWeb"/>
        <w:tabs>
          <w:tab w:val="left" w:pos="284"/>
          <w:tab w:val="left" w:pos="426"/>
          <w:tab w:val="left" w:pos="567"/>
        </w:tabs>
        <w:spacing w:before="0" w:beforeAutospacing="0" w:after="0" w:afterAutospacing="0"/>
        <w:ind w:right="49"/>
        <w:jc w:val="both"/>
        <w:rPr>
          <w:sz w:val="28"/>
          <w:szCs w:val="28"/>
          <w:lang w:val="es-ES"/>
        </w:rPr>
      </w:pPr>
    </w:p>
    <w:p w14:paraId="67AF0AAB" w14:textId="77777777" w:rsidR="00A23883" w:rsidRPr="00AB4289" w:rsidRDefault="00A23883" w:rsidP="00B40BE5">
      <w:pPr>
        <w:pStyle w:val="NormalWeb"/>
        <w:numPr>
          <w:ilvl w:val="0"/>
          <w:numId w:val="2"/>
        </w:numPr>
        <w:tabs>
          <w:tab w:val="left" w:pos="284"/>
          <w:tab w:val="left" w:pos="426"/>
          <w:tab w:val="left" w:pos="567"/>
        </w:tabs>
        <w:spacing w:before="0" w:beforeAutospacing="0" w:after="0" w:afterAutospacing="0"/>
        <w:ind w:left="0" w:right="49" w:firstLine="0"/>
        <w:jc w:val="both"/>
        <w:rPr>
          <w:b/>
          <w:bCs/>
          <w:sz w:val="28"/>
          <w:szCs w:val="28"/>
          <w:lang w:val="es-ES"/>
        </w:rPr>
      </w:pPr>
      <w:r w:rsidRPr="00AB4289">
        <w:rPr>
          <w:sz w:val="28"/>
          <w:szCs w:val="28"/>
          <w:lang w:val="es-ES"/>
        </w:rPr>
        <w:t>En segundo lugar, el accionante señaló que la respuesta que recibió no da lugar a la configuración de la carencia actual de objeto, pues no se dio una respuesta de fondo a su petición. El demandante afirmó que es alarmante que la Corte Suprema de Justicia se niegue a entregar información que no tiene reserva y que es de interés público.</w:t>
      </w:r>
    </w:p>
    <w:p w14:paraId="41392793" w14:textId="77777777" w:rsidR="00A23883" w:rsidRPr="00AB4289" w:rsidRDefault="00A23883" w:rsidP="00B40BE5">
      <w:pPr>
        <w:pStyle w:val="Prrafodelista"/>
        <w:jc w:val="both"/>
        <w:rPr>
          <w:sz w:val="28"/>
          <w:szCs w:val="28"/>
          <w:lang w:val="es-ES"/>
        </w:rPr>
      </w:pPr>
    </w:p>
    <w:p w14:paraId="48B009FE" w14:textId="5EF9AF83" w:rsidR="00A23883" w:rsidRPr="00AB4289" w:rsidRDefault="00A23883"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
        </w:rPr>
      </w:pPr>
      <w:r w:rsidRPr="00AB4289">
        <w:rPr>
          <w:sz w:val="28"/>
          <w:szCs w:val="28"/>
          <w:lang w:val="es-ES"/>
        </w:rPr>
        <w:t xml:space="preserve">En tercer lugar, el señor Barrientos alegó que todos los altos funcionarios del país, incluidos los magistrados y las magistradas de las </w:t>
      </w:r>
      <w:r w:rsidR="00A60096" w:rsidRPr="00AB4289">
        <w:rPr>
          <w:sz w:val="28"/>
          <w:szCs w:val="28"/>
          <w:lang w:val="es-ES"/>
        </w:rPr>
        <w:t>A</w:t>
      </w:r>
      <w:r w:rsidRPr="00AB4289">
        <w:rPr>
          <w:sz w:val="28"/>
          <w:szCs w:val="28"/>
          <w:lang w:val="es-ES"/>
        </w:rPr>
        <w:t xml:space="preserve">ltas Cortes, deben hacer pública su hoja de vida antes de su posesión. El accionante afirmó que la Corte Constitucional ha establecido que las peticiones de información que formulan los periodistas para el ejercicio de su actividad deben tramitarse de forma preferencial, y esto se explica por el rol preponderante que cumple la prensa como guardiana de lo público. Del mismo modo, el </w:t>
      </w:r>
      <w:r w:rsidR="00A60096" w:rsidRPr="00AB4289">
        <w:rPr>
          <w:sz w:val="28"/>
          <w:szCs w:val="28"/>
          <w:lang w:val="es-ES"/>
        </w:rPr>
        <w:t xml:space="preserve">peticionario citó </w:t>
      </w:r>
      <w:r w:rsidRPr="00AB4289">
        <w:rPr>
          <w:sz w:val="28"/>
          <w:szCs w:val="28"/>
          <w:lang w:val="es-ES"/>
        </w:rPr>
        <w:t xml:space="preserve">la </w:t>
      </w:r>
      <w:r w:rsidR="00614CE7">
        <w:rPr>
          <w:sz w:val="28"/>
          <w:szCs w:val="28"/>
          <w:lang w:val="es-ES"/>
        </w:rPr>
        <w:t>s</w:t>
      </w:r>
      <w:r w:rsidRPr="00AB4289">
        <w:rPr>
          <w:sz w:val="28"/>
          <w:szCs w:val="28"/>
          <w:lang w:val="es-ES"/>
        </w:rPr>
        <w:t xml:space="preserve">entencia T-091 de 2020 -en la que él también participó como accionante- y en la que la Corte dispuso que en algunos casos los periodistas tienen el derecho a acceder a la información de naturaleza semiprivada en el marco de sus investigaciones. </w:t>
      </w:r>
    </w:p>
    <w:p w14:paraId="247C3C14" w14:textId="77777777" w:rsidR="00A23883" w:rsidRPr="00AB4289" w:rsidRDefault="00A23883" w:rsidP="00B40BE5">
      <w:pPr>
        <w:pStyle w:val="NormalWeb"/>
        <w:tabs>
          <w:tab w:val="left" w:pos="284"/>
          <w:tab w:val="left" w:pos="426"/>
          <w:tab w:val="left" w:pos="567"/>
        </w:tabs>
        <w:spacing w:before="0" w:beforeAutospacing="0" w:after="0" w:afterAutospacing="0"/>
        <w:ind w:right="49"/>
        <w:jc w:val="both"/>
        <w:rPr>
          <w:sz w:val="28"/>
          <w:szCs w:val="28"/>
          <w:lang w:val="es-ES"/>
        </w:rPr>
      </w:pPr>
    </w:p>
    <w:p w14:paraId="4D1986D5" w14:textId="765B7A62" w:rsidR="00A23883" w:rsidRPr="00AB4289" w:rsidRDefault="00A23883"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
        </w:rPr>
      </w:pPr>
      <w:r w:rsidRPr="00AB4289">
        <w:rPr>
          <w:sz w:val="28"/>
          <w:szCs w:val="28"/>
          <w:lang w:val="es-ES"/>
        </w:rPr>
        <w:lastRenderedPageBreak/>
        <w:t>De tal modo, el actor concluyó que sí es procedente la entrega de la información requerida en la medida que: (i) tiene un interés general, relacionado con la democracia participativa y el control social a los funcionarios públicos; (</w:t>
      </w:r>
      <w:proofErr w:type="spellStart"/>
      <w:r w:rsidRPr="00AB4289">
        <w:rPr>
          <w:sz w:val="28"/>
          <w:szCs w:val="28"/>
          <w:lang w:val="es-ES"/>
        </w:rPr>
        <w:t>ii</w:t>
      </w:r>
      <w:proofErr w:type="spellEnd"/>
      <w:r w:rsidRPr="00AB4289">
        <w:rPr>
          <w:sz w:val="28"/>
          <w:szCs w:val="28"/>
          <w:lang w:val="es-ES"/>
        </w:rPr>
        <w:t>) no se configura una hipótesis de reserva legal de datos personales; (</w:t>
      </w:r>
      <w:proofErr w:type="spellStart"/>
      <w:r w:rsidRPr="00AB4289">
        <w:rPr>
          <w:sz w:val="28"/>
          <w:szCs w:val="28"/>
          <w:lang w:val="es-ES"/>
        </w:rPr>
        <w:t>iii</w:t>
      </w:r>
      <w:proofErr w:type="spellEnd"/>
      <w:r w:rsidRPr="00AB4289">
        <w:rPr>
          <w:sz w:val="28"/>
          <w:szCs w:val="28"/>
          <w:lang w:val="es-ES"/>
        </w:rPr>
        <w:t>) no se presenta una amenaza real y concreta a la seguridad personal de los titulares de la información.</w:t>
      </w:r>
    </w:p>
    <w:p w14:paraId="675682BA" w14:textId="77777777" w:rsidR="00A23883" w:rsidRPr="00AB4289" w:rsidRDefault="00A23883" w:rsidP="00B40BE5">
      <w:pPr>
        <w:pStyle w:val="Prrafodelista"/>
        <w:jc w:val="both"/>
        <w:rPr>
          <w:sz w:val="28"/>
          <w:szCs w:val="28"/>
        </w:rPr>
      </w:pPr>
    </w:p>
    <w:p w14:paraId="26BE15AB" w14:textId="278364BF" w:rsidR="00A23883" w:rsidRPr="00AB4289" w:rsidRDefault="00A23883"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
        </w:rPr>
      </w:pPr>
      <w:r w:rsidRPr="00AB4289">
        <w:rPr>
          <w:sz w:val="28"/>
          <w:szCs w:val="28"/>
          <w:lang w:val="es-ES"/>
        </w:rPr>
        <w:t>En cuarto lugar, el periodista señaló que, en virtud del artículo 14</w:t>
      </w:r>
      <w:r w:rsidR="00A60096" w:rsidRPr="00AB4289">
        <w:rPr>
          <w:sz w:val="28"/>
          <w:szCs w:val="28"/>
          <w:lang w:val="es-ES"/>
        </w:rPr>
        <w:t>-1</w:t>
      </w:r>
      <w:r w:rsidRPr="00AB4289">
        <w:rPr>
          <w:sz w:val="28"/>
          <w:szCs w:val="28"/>
          <w:lang w:val="es-ES"/>
        </w:rPr>
        <w:t xml:space="preserve"> de la Ley 1755 de 2015, cuando se trata de peticiones de documentos y no se ha dado respuesta al peticionario en el lapso de 10 días, se entenderá que la respectiva solicitud ha sido aceptada</w:t>
      </w:r>
      <w:r w:rsidR="00F15C6F" w:rsidRPr="00AB4289">
        <w:rPr>
          <w:sz w:val="28"/>
          <w:szCs w:val="28"/>
          <w:lang w:val="es-ES"/>
        </w:rPr>
        <w:t>.</w:t>
      </w:r>
      <w:r w:rsidRPr="00AB4289">
        <w:rPr>
          <w:sz w:val="28"/>
          <w:szCs w:val="28"/>
          <w:lang w:val="es-ES"/>
        </w:rPr>
        <w:t xml:space="preserve"> </w:t>
      </w:r>
      <w:r w:rsidR="00F15C6F" w:rsidRPr="00AB4289">
        <w:rPr>
          <w:sz w:val="28"/>
          <w:szCs w:val="28"/>
          <w:lang w:val="es-ES"/>
        </w:rPr>
        <w:t>P</w:t>
      </w:r>
      <w:r w:rsidRPr="00AB4289">
        <w:rPr>
          <w:sz w:val="28"/>
          <w:szCs w:val="28"/>
          <w:lang w:val="es-ES"/>
        </w:rPr>
        <w:t>or consiguiente, la administración ya no podrá negar la entrega de los documentos al peticionario.</w:t>
      </w:r>
      <w:r w:rsidR="00A60096" w:rsidRPr="00AB4289">
        <w:rPr>
          <w:sz w:val="28"/>
          <w:szCs w:val="28"/>
          <w:lang w:val="es-ES"/>
        </w:rPr>
        <w:t xml:space="preserve"> </w:t>
      </w:r>
      <w:r w:rsidRPr="00AB4289">
        <w:rPr>
          <w:sz w:val="28"/>
          <w:szCs w:val="28"/>
          <w:lang w:val="es-ES"/>
        </w:rPr>
        <w:t>Por último, el accionante indicó que el recurso de insistencia no aplica en este caso porque la acción de tutela se presentó por la negativa de la Corte Suprema de responder un</w:t>
      </w:r>
      <w:r w:rsidR="00706BA8">
        <w:rPr>
          <w:sz w:val="28"/>
          <w:szCs w:val="28"/>
          <w:lang w:val="es-ES"/>
        </w:rPr>
        <w:t>a solicitud en ejercicio del</w:t>
      </w:r>
      <w:r w:rsidRPr="00AB4289">
        <w:rPr>
          <w:sz w:val="28"/>
          <w:szCs w:val="28"/>
          <w:lang w:val="es-ES"/>
        </w:rPr>
        <w:t xml:space="preserve"> derecho de petición en los tiempos que estipula la ley. </w:t>
      </w:r>
    </w:p>
    <w:p w14:paraId="65520CCC" w14:textId="77777777" w:rsidR="00A23883" w:rsidRPr="00AB4289" w:rsidRDefault="00A23883" w:rsidP="00B40BE5">
      <w:pPr>
        <w:pStyle w:val="NormalWeb"/>
        <w:tabs>
          <w:tab w:val="left" w:pos="284"/>
          <w:tab w:val="left" w:pos="426"/>
          <w:tab w:val="left" w:pos="567"/>
        </w:tabs>
        <w:spacing w:before="0" w:beforeAutospacing="0" w:after="0" w:afterAutospacing="0"/>
        <w:ind w:right="49"/>
        <w:jc w:val="both"/>
        <w:rPr>
          <w:b/>
          <w:bCs/>
          <w:sz w:val="28"/>
          <w:szCs w:val="28"/>
          <w:lang w:val="es-ES"/>
        </w:rPr>
      </w:pPr>
    </w:p>
    <w:p w14:paraId="17C1D97C" w14:textId="77777777" w:rsidR="00A23883" w:rsidRPr="00AB4289" w:rsidRDefault="00A23883" w:rsidP="00B40BE5">
      <w:pPr>
        <w:ind w:right="49"/>
        <w:jc w:val="both"/>
        <w:rPr>
          <w:b/>
          <w:bCs/>
          <w:sz w:val="28"/>
          <w:szCs w:val="28"/>
          <w:lang w:val="es-ES"/>
        </w:rPr>
      </w:pPr>
      <w:r w:rsidRPr="00AB4289">
        <w:rPr>
          <w:b/>
          <w:bCs/>
          <w:sz w:val="28"/>
          <w:szCs w:val="28"/>
          <w:lang w:val="es-ES"/>
        </w:rPr>
        <w:t>Segunda instancia</w:t>
      </w:r>
      <w:bookmarkEnd w:id="4"/>
    </w:p>
    <w:p w14:paraId="02C128B1" w14:textId="77777777" w:rsidR="00A23883" w:rsidRPr="00AB4289" w:rsidRDefault="00A23883" w:rsidP="00B40BE5">
      <w:pPr>
        <w:ind w:right="49"/>
        <w:jc w:val="both"/>
        <w:rPr>
          <w:b/>
          <w:bCs/>
          <w:sz w:val="28"/>
          <w:szCs w:val="28"/>
          <w:lang w:val="es-ES"/>
        </w:rPr>
      </w:pPr>
    </w:p>
    <w:p w14:paraId="4742BC15" w14:textId="5341AEA3" w:rsidR="00A23883" w:rsidRPr="00AB4289" w:rsidRDefault="00A23883"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
        </w:rPr>
      </w:pPr>
      <w:r w:rsidRPr="00AB4289">
        <w:rPr>
          <w:sz w:val="28"/>
          <w:szCs w:val="28"/>
          <w:lang w:val="es-ES"/>
        </w:rPr>
        <w:t xml:space="preserve">El 21 de octubre de 2024, la Sala de Casación Civil de la Corte Suprema de Justicia confirmó la decisión de primera instancia. En primer lugar, la Sala indicó que los magistrados Octavio Augusto Tejeiro Duque y Fernando Augusto Jiménez Valderrama, quienes hacen parte de la Sala de Casación Civil, Agraria y Rural de la Corte Suprema, manifestaron su impedimento. En tal sentido, se indicó que dichos impedimentos fueron aceptados el 12 agosto de 2024, razón por la cual la sentencia de segunda instancia </w:t>
      </w:r>
      <w:r w:rsidR="00F15C6F" w:rsidRPr="00AB4289">
        <w:rPr>
          <w:sz w:val="28"/>
          <w:szCs w:val="28"/>
          <w:lang w:val="es-ES"/>
        </w:rPr>
        <w:t xml:space="preserve">fue tomada </w:t>
      </w:r>
      <w:r w:rsidRPr="00AB4289">
        <w:rPr>
          <w:sz w:val="28"/>
          <w:szCs w:val="28"/>
          <w:lang w:val="es-ES"/>
        </w:rPr>
        <w:t>por conjueces.</w:t>
      </w:r>
    </w:p>
    <w:p w14:paraId="66364ACB" w14:textId="77777777" w:rsidR="00A23883" w:rsidRPr="00AB4289" w:rsidRDefault="00A23883" w:rsidP="00B40BE5">
      <w:pPr>
        <w:pStyle w:val="NormalWeb"/>
        <w:tabs>
          <w:tab w:val="left" w:pos="284"/>
          <w:tab w:val="left" w:pos="426"/>
          <w:tab w:val="left" w:pos="567"/>
        </w:tabs>
        <w:spacing w:before="0" w:beforeAutospacing="0" w:after="0" w:afterAutospacing="0"/>
        <w:ind w:right="49"/>
        <w:jc w:val="both"/>
        <w:rPr>
          <w:sz w:val="28"/>
          <w:szCs w:val="28"/>
          <w:lang w:val="es-ES"/>
        </w:rPr>
      </w:pPr>
    </w:p>
    <w:p w14:paraId="4BE0446F" w14:textId="2E04BC1E" w:rsidR="00A23883" w:rsidRPr="00AB4289" w:rsidRDefault="00A23883"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
        </w:rPr>
      </w:pPr>
      <w:r w:rsidRPr="00AB4289">
        <w:rPr>
          <w:sz w:val="28"/>
          <w:szCs w:val="28"/>
          <w:lang w:val="es-ES"/>
        </w:rPr>
        <w:t>La Sala de Casación Civil indicó que la pretensión del señor Juan Pablo Barrientos, en el marco de la acción de tutela, consiste en obtener una respuesta a la petición presentada el 9 de febrero de 2024. En este sentido, precisó que dicha solicitud fue atendida y remitid</w:t>
      </w:r>
      <w:r w:rsidR="000B7720" w:rsidRPr="00AB4289">
        <w:rPr>
          <w:sz w:val="28"/>
          <w:szCs w:val="28"/>
          <w:lang w:val="es-ES"/>
        </w:rPr>
        <w:t>a</w:t>
      </w:r>
      <w:r w:rsidRPr="00AB4289">
        <w:rPr>
          <w:sz w:val="28"/>
          <w:szCs w:val="28"/>
          <w:lang w:val="es-ES"/>
        </w:rPr>
        <w:t xml:space="preserve"> al peticionario el 5 de abril del mismo año. Con fundamento en lo anterior, la Corte Suprema de Justicia concluyó que la pretensión del accionante ya había sido satisfecha y confirmó la configuración de una carencia actual de objeto.</w:t>
      </w:r>
    </w:p>
    <w:p w14:paraId="75AE255F" w14:textId="77777777" w:rsidR="00A23883" w:rsidRPr="00AB4289" w:rsidRDefault="00A23883" w:rsidP="00B40BE5">
      <w:pPr>
        <w:pStyle w:val="Prrafodelista"/>
        <w:jc w:val="both"/>
        <w:rPr>
          <w:sz w:val="28"/>
          <w:szCs w:val="28"/>
          <w:lang w:val="es-ES"/>
        </w:rPr>
      </w:pPr>
    </w:p>
    <w:p w14:paraId="34DC9F8E" w14:textId="52C44062" w:rsidR="00A23883" w:rsidRPr="00AB4289" w:rsidRDefault="00F15C6F"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
        </w:rPr>
      </w:pPr>
      <w:r w:rsidRPr="00AB4289">
        <w:rPr>
          <w:sz w:val="28"/>
          <w:szCs w:val="28"/>
          <w:lang w:val="es-ES"/>
        </w:rPr>
        <w:t>L</w:t>
      </w:r>
      <w:r w:rsidR="00A23883" w:rsidRPr="00AB4289">
        <w:rPr>
          <w:sz w:val="28"/>
          <w:szCs w:val="28"/>
          <w:lang w:val="es-ES"/>
        </w:rPr>
        <w:t>a Sala de Casación Civil</w:t>
      </w:r>
      <w:r w:rsidRPr="00AB4289">
        <w:rPr>
          <w:sz w:val="28"/>
          <w:szCs w:val="28"/>
          <w:lang w:val="es-ES"/>
        </w:rPr>
        <w:t xml:space="preserve"> también</w:t>
      </w:r>
      <w:r w:rsidR="00A23883" w:rsidRPr="00AB4289">
        <w:rPr>
          <w:sz w:val="28"/>
          <w:szCs w:val="28"/>
          <w:lang w:val="es-ES"/>
        </w:rPr>
        <w:t xml:space="preserve"> señaló que</w:t>
      </w:r>
      <w:r w:rsidRPr="00AB4289">
        <w:rPr>
          <w:sz w:val="28"/>
          <w:szCs w:val="28"/>
          <w:lang w:val="es-ES"/>
        </w:rPr>
        <w:t xml:space="preserve"> los argumentos presentados por el accionante en torno a la negativa de otorgar la información por parte de la Secretar</w:t>
      </w:r>
      <w:r w:rsidR="00614CE7">
        <w:rPr>
          <w:sz w:val="28"/>
          <w:szCs w:val="28"/>
          <w:lang w:val="es-ES"/>
        </w:rPr>
        <w:t>í</w:t>
      </w:r>
      <w:r w:rsidRPr="00AB4289">
        <w:rPr>
          <w:sz w:val="28"/>
          <w:szCs w:val="28"/>
          <w:lang w:val="es-ES"/>
        </w:rPr>
        <w:t xml:space="preserve">a General de la Corte Suprema de </w:t>
      </w:r>
      <w:proofErr w:type="gramStart"/>
      <w:r w:rsidRPr="00AB4289">
        <w:rPr>
          <w:sz w:val="28"/>
          <w:szCs w:val="28"/>
          <w:lang w:val="es-ES"/>
        </w:rPr>
        <w:t>Justicia,</w:t>
      </w:r>
      <w:proofErr w:type="gramEnd"/>
      <w:r w:rsidRPr="00AB4289">
        <w:rPr>
          <w:sz w:val="28"/>
          <w:szCs w:val="28"/>
          <w:lang w:val="es-ES"/>
        </w:rPr>
        <w:t xml:space="preserve"> son nuevos frente a la petición inicial. Por lo tanto, la autoridad judicial no podía pronunciarse sobre ellos, </w:t>
      </w:r>
      <w:r w:rsidR="00A23883" w:rsidRPr="00AB4289">
        <w:rPr>
          <w:sz w:val="28"/>
          <w:szCs w:val="28"/>
          <w:lang w:val="es-ES"/>
        </w:rPr>
        <w:t>a fin de no vulnerar el derecho a la defensa de la entidad accionada.</w:t>
      </w:r>
    </w:p>
    <w:p w14:paraId="0C62DE6D" w14:textId="77777777" w:rsidR="00A23883" w:rsidRPr="00AB4289" w:rsidRDefault="00A23883" w:rsidP="00B40BE5">
      <w:pPr>
        <w:pStyle w:val="Sangradetextonormal"/>
        <w:spacing w:after="0"/>
        <w:ind w:left="0" w:right="49"/>
        <w:rPr>
          <w:rFonts w:eastAsia="Times New Roman"/>
          <w:b/>
          <w:bCs/>
          <w:lang w:val="es-ES_tradnl"/>
        </w:rPr>
      </w:pPr>
    </w:p>
    <w:p w14:paraId="31CC2938" w14:textId="7561B65C" w:rsidR="00B616BC" w:rsidRPr="00AB4289" w:rsidRDefault="00B616BC" w:rsidP="00B40BE5">
      <w:pPr>
        <w:pStyle w:val="Ttulo1"/>
        <w:numPr>
          <w:ilvl w:val="0"/>
          <w:numId w:val="41"/>
        </w:numPr>
        <w:spacing w:before="0" w:after="0"/>
        <w:jc w:val="both"/>
        <w:rPr>
          <w:rFonts w:ascii="Times New Roman" w:eastAsia="Times New Roman" w:hAnsi="Times New Roman" w:cs="Times New Roman"/>
          <w:b/>
          <w:bCs/>
          <w:color w:val="000000" w:themeColor="text1"/>
          <w:sz w:val="28"/>
          <w:szCs w:val="28"/>
          <w:lang w:val="es-ES_tradnl"/>
        </w:rPr>
      </w:pPr>
      <w:bookmarkStart w:id="8" w:name="_Toc210202223"/>
      <w:r w:rsidRPr="00AB4289">
        <w:rPr>
          <w:rFonts w:ascii="Times New Roman" w:eastAsia="Times New Roman" w:hAnsi="Times New Roman" w:cs="Times New Roman"/>
          <w:b/>
          <w:bCs/>
          <w:color w:val="000000" w:themeColor="text1"/>
          <w:sz w:val="28"/>
          <w:szCs w:val="28"/>
          <w:lang w:val="es-ES_tradnl"/>
        </w:rPr>
        <w:t>ACTUACIONES EN SEDE DE REVISIÓN</w:t>
      </w:r>
      <w:bookmarkEnd w:id="8"/>
      <w:r w:rsidRPr="00AB4289">
        <w:rPr>
          <w:rFonts w:ascii="Times New Roman" w:eastAsia="Times New Roman" w:hAnsi="Times New Roman" w:cs="Times New Roman"/>
          <w:b/>
          <w:bCs/>
          <w:color w:val="000000" w:themeColor="text1"/>
          <w:sz w:val="28"/>
          <w:szCs w:val="28"/>
          <w:lang w:val="es-ES_tradnl"/>
        </w:rPr>
        <w:t xml:space="preserve"> </w:t>
      </w:r>
    </w:p>
    <w:p w14:paraId="7D11DCAE" w14:textId="77777777" w:rsidR="007D0D2D" w:rsidRPr="00AB4289" w:rsidRDefault="007D0D2D" w:rsidP="00B40BE5">
      <w:pPr>
        <w:pStyle w:val="Prrafodelista"/>
        <w:autoSpaceDE w:val="0"/>
        <w:autoSpaceDN w:val="0"/>
        <w:adjustRightInd w:val="0"/>
        <w:ind w:left="0" w:right="103"/>
        <w:jc w:val="both"/>
        <w:rPr>
          <w:b/>
          <w:bCs/>
          <w:color w:val="000000" w:themeColor="text1"/>
          <w:sz w:val="28"/>
          <w:szCs w:val="28"/>
          <w:lang w:val="es-ES_tradnl"/>
        </w:rPr>
      </w:pPr>
    </w:p>
    <w:p w14:paraId="6C0A7837" w14:textId="03C2AE2E" w:rsidR="007B1688" w:rsidRPr="00AB4289" w:rsidRDefault="007D0D2D"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 xml:space="preserve">El asunto llegó a la Corte Constitucional en cumplimiento de lo dispuesto en el artículo 32 del Decreto 2591 de 1991, que establece la obligación de remitir el expediente de tutela a esta Corporación para su eventual revisión. </w:t>
      </w:r>
      <w:r w:rsidR="000B7720" w:rsidRPr="00AB4289">
        <w:rPr>
          <w:sz w:val="28"/>
          <w:szCs w:val="28"/>
          <w:lang w:val="es-ES_tradnl"/>
        </w:rPr>
        <w:t>L</w:t>
      </w:r>
      <w:r w:rsidRPr="00AB4289">
        <w:rPr>
          <w:sz w:val="28"/>
          <w:szCs w:val="28"/>
          <w:lang w:val="es-ES_tradnl"/>
        </w:rPr>
        <w:t>a Sala de Selección de Tutelas Número Dos escogió</w:t>
      </w:r>
      <w:r w:rsidR="000B7720" w:rsidRPr="00AB4289">
        <w:rPr>
          <w:rStyle w:val="Refdenotaalpie"/>
          <w:rFonts w:cs="Times New Roman"/>
          <w:sz w:val="28"/>
          <w:szCs w:val="28"/>
          <w:lang w:val="es-ES_tradnl"/>
        </w:rPr>
        <w:footnoteReference w:id="16"/>
      </w:r>
      <w:r w:rsidRPr="00AB4289">
        <w:rPr>
          <w:sz w:val="28"/>
          <w:szCs w:val="28"/>
          <w:lang w:val="es-ES_tradnl"/>
        </w:rPr>
        <w:t xml:space="preserve"> el expediente para su revisión</w:t>
      </w:r>
      <w:r w:rsidRPr="00AB4289">
        <w:rPr>
          <w:rStyle w:val="Refdenotaalpie"/>
          <w:rFonts w:cs="Times New Roman"/>
          <w:sz w:val="28"/>
          <w:szCs w:val="28"/>
          <w:lang w:val="es-ES_tradnl"/>
        </w:rPr>
        <w:footnoteReference w:id="17"/>
      </w:r>
      <w:r w:rsidRPr="00AB4289">
        <w:rPr>
          <w:sz w:val="28"/>
          <w:szCs w:val="28"/>
          <w:lang w:val="es-ES_tradnl"/>
        </w:rPr>
        <w:t xml:space="preserve"> y, por sorteo, le correspondió a la magistrada Natalia Ángel Cabo la elaboración de la ponencia. El 16 de marzo siguiente, la Secretaría </w:t>
      </w:r>
      <w:r w:rsidR="00F15C6F" w:rsidRPr="00AB4289">
        <w:rPr>
          <w:sz w:val="28"/>
          <w:szCs w:val="28"/>
          <w:lang w:val="es-ES_tradnl"/>
        </w:rPr>
        <w:t xml:space="preserve">lo </w:t>
      </w:r>
      <w:r w:rsidRPr="00AB4289">
        <w:rPr>
          <w:sz w:val="28"/>
          <w:szCs w:val="28"/>
          <w:lang w:val="es-ES_tradnl"/>
        </w:rPr>
        <w:t>remitió al despacho de la magistrada sustanciadora para el trámite correspondiente.</w:t>
      </w:r>
    </w:p>
    <w:p w14:paraId="11006118" w14:textId="77777777" w:rsidR="007D0D2D" w:rsidRPr="00AB4289" w:rsidRDefault="007D0D2D"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68EC81D1" w14:textId="501171AF" w:rsidR="007B1688" w:rsidRPr="00AB4289" w:rsidRDefault="007D0D2D"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El 23 de abril de 2025</w:t>
      </w:r>
      <w:r w:rsidR="00F15C6F" w:rsidRPr="00AB4289">
        <w:rPr>
          <w:sz w:val="28"/>
          <w:szCs w:val="28"/>
          <w:lang w:val="es-ES_tradnl"/>
        </w:rPr>
        <w:t>,</w:t>
      </w:r>
      <w:r w:rsidRPr="00AB4289">
        <w:rPr>
          <w:sz w:val="28"/>
          <w:szCs w:val="28"/>
          <w:lang w:val="es-ES_tradnl"/>
        </w:rPr>
        <w:t xml:space="preserve"> la magistrada sustanciadora profirió un auto de pruebas mediante el cual requirió al accionante para que diera detalles adicionales sobre el propósito periodístico de</w:t>
      </w:r>
      <w:r w:rsidR="00992F74" w:rsidRPr="00AB4289">
        <w:rPr>
          <w:sz w:val="28"/>
          <w:szCs w:val="28"/>
          <w:lang w:val="es-ES_tradnl"/>
        </w:rPr>
        <w:t xml:space="preserve"> su solicitud</w:t>
      </w:r>
      <w:r w:rsidRPr="00AB4289">
        <w:rPr>
          <w:sz w:val="28"/>
          <w:szCs w:val="28"/>
          <w:lang w:val="es-ES_tradnl"/>
        </w:rPr>
        <w:t xml:space="preserve">. Del mismo modo, solicitó a organizaciones de la sociedad civil e instituciones educativas dar un concepto sobre casos </w:t>
      </w:r>
      <w:r w:rsidR="00992F74" w:rsidRPr="00AB4289">
        <w:rPr>
          <w:sz w:val="28"/>
          <w:szCs w:val="28"/>
          <w:lang w:val="es-ES_tradnl"/>
        </w:rPr>
        <w:t>en los que</w:t>
      </w:r>
      <w:r w:rsidRPr="00AB4289">
        <w:rPr>
          <w:sz w:val="28"/>
          <w:szCs w:val="28"/>
          <w:lang w:val="es-ES_tradnl"/>
        </w:rPr>
        <w:t xml:space="preserve"> se hayan resuelto conflictos similares al que se presenta en este caso. Por último, de conformidad con lo señalado en la Circular No. 06 de 2024 de la Corte Constitucional, </w:t>
      </w:r>
      <w:r w:rsidR="00F15C6F" w:rsidRPr="00AB4289">
        <w:rPr>
          <w:sz w:val="28"/>
          <w:szCs w:val="28"/>
          <w:lang w:val="es-ES_tradnl"/>
        </w:rPr>
        <w:t>la magistrada</w:t>
      </w:r>
      <w:r w:rsidRPr="00AB4289">
        <w:rPr>
          <w:sz w:val="28"/>
          <w:szCs w:val="28"/>
          <w:lang w:val="es-ES_tradnl"/>
        </w:rPr>
        <w:t xml:space="preserve"> invitó al Consejo de Estado </w:t>
      </w:r>
      <w:r w:rsidR="00F15C6F" w:rsidRPr="00AB4289">
        <w:rPr>
          <w:sz w:val="28"/>
          <w:szCs w:val="28"/>
          <w:lang w:val="es-ES_tradnl"/>
        </w:rPr>
        <w:t>a presentar</w:t>
      </w:r>
      <w:r w:rsidRPr="00AB4289">
        <w:rPr>
          <w:sz w:val="28"/>
          <w:szCs w:val="28"/>
          <w:lang w:val="es-ES_tradnl"/>
        </w:rPr>
        <w:t xml:space="preserve"> un concepto o intervención sobre el asunto objeto de estudio</w:t>
      </w:r>
    </w:p>
    <w:p w14:paraId="38213B0B" w14:textId="77777777" w:rsidR="00614833" w:rsidRPr="00AB4289" w:rsidRDefault="00614833" w:rsidP="00B40BE5">
      <w:pPr>
        <w:jc w:val="both"/>
        <w:rPr>
          <w:sz w:val="28"/>
          <w:szCs w:val="28"/>
          <w:lang w:val="es-ES_tradnl"/>
        </w:rPr>
      </w:pPr>
    </w:p>
    <w:p w14:paraId="0809F93C" w14:textId="4BBD6AF3" w:rsidR="000332E4" w:rsidRPr="00AB4289" w:rsidRDefault="00614833" w:rsidP="00B40BE5">
      <w:pPr>
        <w:pStyle w:val="NormalWeb"/>
        <w:numPr>
          <w:ilvl w:val="0"/>
          <w:numId w:val="2"/>
        </w:numPr>
        <w:shd w:val="clear" w:color="auto" w:fill="FFFFFF"/>
        <w:tabs>
          <w:tab w:val="left" w:pos="567"/>
          <w:tab w:val="left" w:pos="709"/>
        </w:tabs>
        <w:spacing w:before="0" w:beforeAutospacing="0" w:after="0" w:afterAutospacing="0"/>
        <w:ind w:left="0" w:firstLine="0"/>
        <w:jc w:val="both"/>
        <w:textAlignment w:val="baseline"/>
        <w:rPr>
          <w:sz w:val="28"/>
          <w:szCs w:val="28"/>
          <w:lang w:val="es-ES_tradnl"/>
        </w:rPr>
      </w:pPr>
      <w:r w:rsidRPr="00AB4289">
        <w:rPr>
          <w:sz w:val="28"/>
          <w:szCs w:val="28"/>
          <w:lang w:val="es-ES_tradnl"/>
        </w:rPr>
        <w:t>Los resúmenes de las respuestas a estos requerimientos probatorios están expuestos en el Anexo 1 de la presente decisión. En cualquier caso, el contenido de dichas respuestas será retomado al hacer el análisis del caso concreto. </w:t>
      </w:r>
    </w:p>
    <w:p w14:paraId="089A1E31" w14:textId="77777777" w:rsidR="007B1688" w:rsidRPr="00AB4289" w:rsidRDefault="007B1688" w:rsidP="00B40BE5">
      <w:pPr>
        <w:pStyle w:val="Prrafodelista"/>
        <w:jc w:val="both"/>
        <w:rPr>
          <w:sz w:val="28"/>
          <w:szCs w:val="28"/>
          <w:lang w:val="es-ES_tradnl"/>
        </w:rPr>
      </w:pPr>
    </w:p>
    <w:p w14:paraId="2588B525" w14:textId="7A16CD82" w:rsidR="007B1688" w:rsidRPr="00AB4289" w:rsidRDefault="007B1688" w:rsidP="00B40BE5">
      <w:pPr>
        <w:pStyle w:val="Prrafodelista"/>
        <w:numPr>
          <w:ilvl w:val="0"/>
          <w:numId w:val="2"/>
        </w:numPr>
        <w:tabs>
          <w:tab w:val="left" w:pos="426"/>
        </w:tabs>
        <w:ind w:left="0" w:firstLine="0"/>
        <w:jc w:val="both"/>
        <w:rPr>
          <w:rFonts w:eastAsiaTheme="minorHAnsi"/>
          <w:color w:val="000000" w:themeColor="text1"/>
          <w:lang w:val="es-ES" w:eastAsia="en-US"/>
        </w:rPr>
      </w:pPr>
      <w:r w:rsidRPr="00AB4289">
        <w:rPr>
          <w:rFonts w:eastAsia="Arial Unicode MS"/>
          <w:sz w:val="28"/>
          <w:szCs w:val="28"/>
          <w:lang w:val="es-MX"/>
        </w:rPr>
        <w:t>En sesión del 15 de mayo de 2024, la Sala Plena de la Corte Constitucional decidió conocer del presente asunto, de conformidad con lo previsto en el artículo 61 del</w:t>
      </w:r>
      <w:r w:rsidR="00EE1100" w:rsidRPr="00AB4289">
        <w:rPr>
          <w:rFonts w:eastAsia="Arial Unicode MS"/>
          <w:sz w:val="28"/>
          <w:szCs w:val="28"/>
          <w:lang w:val="es-MX"/>
        </w:rPr>
        <w:t xml:space="preserve"> Acuerdo 02 de 2015. </w:t>
      </w:r>
    </w:p>
    <w:p w14:paraId="1E7137F9" w14:textId="77777777" w:rsidR="000332E4" w:rsidRPr="00AB4289" w:rsidRDefault="000332E4" w:rsidP="00B40BE5">
      <w:pPr>
        <w:pStyle w:val="Prrafodelista"/>
        <w:jc w:val="both"/>
        <w:rPr>
          <w:rFonts w:eastAsiaTheme="minorHAnsi"/>
          <w:color w:val="000000" w:themeColor="text1"/>
          <w:lang w:val="es-ES" w:eastAsia="en-US"/>
        </w:rPr>
      </w:pPr>
    </w:p>
    <w:p w14:paraId="2C40FC8F" w14:textId="2F8512FC" w:rsidR="00B616BC" w:rsidRPr="00AB4289" w:rsidRDefault="000332E4" w:rsidP="00B40BE5">
      <w:pPr>
        <w:pStyle w:val="Prrafodelista"/>
        <w:numPr>
          <w:ilvl w:val="0"/>
          <w:numId w:val="2"/>
        </w:numPr>
        <w:tabs>
          <w:tab w:val="left" w:pos="426"/>
        </w:tabs>
        <w:ind w:left="0" w:right="49" w:firstLine="0"/>
        <w:jc w:val="both"/>
        <w:rPr>
          <w:b/>
          <w:bCs/>
          <w:lang w:val="es-ES_tradnl"/>
        </w:rPr>
      </w:pPr>
      <w:r w:rsidRPr="00AB4289">
        <w:rPr>
          <w:rFonts w:eastAsia="Arial Unicode MS"/>
          <w:sz w:val="28"/>
          <w:szCs w:val="28"/>
          <w:lang w:val="es-MX"/>
        </w:rPr>
        <w:t>El 7 de julio de 2025</w:t>
      </w:r>
      <w:r w:rsidR="007C5CD4" w:rsidRPr="00AB4289">
        <w:rPr>
          <w:rFonts w:eastAsia="Arial Unicode MS"/>
          <w:sz w:val="28"/>
          <w:szCs w:val="28"/>
          <w:lang w:val="es-MX"/>
        </w:rPr>
        <w:t>,</w:t>
      </w:r>
      <w:r w:rsidRPr="00AB4289">
        <w:rPr>
          <w:rFonts w:eastAsia="Arial Unicode MS"/>
          <w:sz w:val="28"/>
          <w:szCs w:val="28"/>
          <w:lang w:val="es-MX"/>
        </w:rPr>
        <w:t xml:space="preserve"> la magistrada profirió un auto en el que vinculó al Departamento Administrativo de la Función Pública y al Consejo Superior de la Judicatura por ser entidades que podrían tener incidencia </w:t>
      </w:r>
      <w:r w:rsidRPr="00AB4289">
        <w:rPr>
          <w:sz w:val="28"/>
          <w:szCs w:val="28"/>
        </w:rPr>
        <w:t xml:space="preserve">en la publicación de </w:t>
      </w:r>
      <w:r w:rsidR="007C5CD4" w:rsidRPr="00AB4289">
        <w:rPr>
          <w:sz w:val="28"/>
          <w:szCs w:val="28"/>
        </w:rPr>
        <w:t xml:space="preserve">parte de </w:t>
      </w:r>
      <w:r w:rsidR="007C5CD4" w:rsidRPr="00AB4289">
        <w:rPr>
          <w:rFonts w:eastAsia="Arial Unicode MS"/>
          <w:sz w:val="28"/>
          <w:szCs w:val="28"/>
          <w:lang w:val="es-MX"/>
        </w:rPr>
        <w:t>la</w:t>
      </w:r>
      <w:r w:rsidRPr="00AB4289">
        <w:rPr>
          <w:rFonts w:eastAsia="Arial Unicode MS"/>
          <w:sz w:val="28"/>
          <w:szCs w:val="28"/>
          <w:lang w:val="es-MX"/>
        </w:rPr>
        <w:t xml:space="preserve"> información solicitada por el accionante.</w:t>
      </w:r>
      <w:r w:rsidR="00EE1100" w:rsidRPr="00AB4289">
        <w:rPr>
          <w:rFonts w:eastAsia="Arial Unicode MS"/>
          <w:sz w:val="28"/>
          <w:szCs w:val="28"/>
          <w:lang w:val="es-MX"/>
        </w:rPr>
        <w:t xml:space="preserve"> Se solicitó a las entidades que explicaran el funcionamiento del registro de la información en los respectivos aplicativos, así como las obligaciones legales y operativas que les corresponden en relación con dicho proceso.</w:t>
      </w:r>
      <w:r w:rsidRPr="00AB4289">
        <w:rPr>
          <w:sz w:val="28"/>
          <w:szCs w:val="28"/>
        </w:rPr>
        <w:t xml:space="preserve"> Además</w:t>
      </w:r>
      <w:r w:rsidR="007C5CD4" w:rsidRPr="00AB4289">
        <w:rPr>
          <w:sz w:val="28"/>
          <w:szCs w:val="28"/>
        </w:rPr>
        <w:t>,</w:t>
      </w:r>
      <w:r w:rsidRPr="00AB4289">
        <w:rPr>
          <w:sz w:val="28"/>
          <w:szCs w:val="28"/>
        </w:rPr>
        <w:t xml:space="preserve"> se solicitó a la Corte Suprema de Justicia </w:t>
      </w:r>
      <w:r w:rsidR="007C5CD4" w:rsidRPr="00AB4289">
        <w:rPr>
          <w:sz w:val="28"/>
          <w:szCs w:val="28"/>
        </w:rPr>
        <w:t>explicar cuáles</w:t>
      </w:r>
      <w:r w:rsidRPr="00AB4289">
        <w:rPr>
          <w:sz w:val="28"/>
          <w:szCs w:val="28"/>
        </w:rPr>
        <w:t xml:space="preserve"> magistrados habían publicado sus </w:t>
      </w:r>
      <w:r w:rsidR="00097BCA" w:rsidRPr="00AB4289">
        <w:rPr>
          <w:sz w:val="28"/>
          <w:szCs w:val="28"/>
          <w:lang w:val="es-ES_tradnl"/>
        </w:rPr>
        <w:lastRenderedPageBreak/>
        <w:t xml:space="preserve">declaraciones sobre el impuesto de renta, sus declaraciones de bienes y rentas, y sus registros de conflictos de interés </w:t>
      </w:r>
      <w:r w:rsidRPr="00AB4289">
        <w:rPr>
          <w:sz w:val="28"/>
          <w:szCs w:val="28"/>
        </w:rPr>
        <w:t>para el año 2025.</w:t>
      </w:r>
    </w:p>
    <w:p w14:paraId="33C58E5C" w14:textId="77777777" w:rsidR="00600991" w:rsidRPr="00AB4289" w:rsidRDefault="00600991" w:rsidP="00B40BE5">
      <w:pPr>
        <w:pStyle w:val="Prrafodelista"/>
        <w:jc w:val="both"/>
        <w:rPr>
          <w:b/>
          <w:bCs/>
          <w:lang w:val="es-ES_tradnl"/>
        </w:rPr>
      </w:pPr>
    </w:p>
    <w:p w14:paraId="3CFF9360" w14:textId="5E99C63C" w:rsidR="00600991" w:rsidRPr="00AB4289" w:rsidRDefault="00600991" w:rsidP="00B40BE5">
      <w:pPr>
        <w:pStyle w:val="Prrafodelista"/>
        <w:numPr>
          <w:ilvl w:val="0"/>
          <w:numId w:val="2"/>
        </w:numPr>
        <w:tabs>
          <w:tab w:val="left" w:pos="426"/>
        </w:tabs>
        <w:ind w:left="0" w:right="49" w:firstLine="0"/>
        <w:jc w:val="both"/>
        <w:rPr>
          <w:sz w:val="28"/>
          <w:szCs w:val="28"/>
          <w:lang w:val="es-ES_tradnl"/>
        </w:rPr>
      </w:pPr>
      <w:r w:rsidRPr="00AB4289">
        <w:rPr>
          <w:sz w:val="28"/>
          <w:szCs w:val="28"/>
          <w:lang w:val="es-ES_tradnl"/>
        </w:rPr>
        <w:t>El 15 de julio siguiente</w:t>
      </w:r>
      <w:r w:rsidR="007C5CD4" w:rsidRPr="00AB4289">
        <w:rPr>
          <w:sz w:val="28"/>
          <w:szCs w:val="28"/>
          <w:lang w:val="es-ES_tradnl"/>
        </w:rPr>
        <w:t>,</w:t>
      </w:r>
      <w:r w:rsidRPr="00AB4289">
        <w:rPr>
          <w:sz w:val="28"/>
          <w:szCs w:val="28"/>
          <w:lang w:val="es-ES_tradnl"/>
        </w:rPr>
        <w:t xml:space="preserve"> tanto el Departamento Administrativo de la Función Pública como el Consejo Superior de la Judicatura respondieron dicho requerimiento. Así, explicaron el mecanismo para registrar la información de los funcionarios públicos y cómo debían ser publicados esos datos. El Departamento Administrativo de la Función Pública alegó que no está relacionado directamente con las pretensiones en la acción de tutela y</w:t>
      </w:r>
      <w:r w:rsidR="007C5CD4" w:rsidRPr="00AB4289">
        <w:rPr>
          <w:sz w:val="28"/>
          <w:szCs w:val="28"/>
          <w:lang w:val="es-ES_tradnl"/>
        </w:rPr>
        <w:t>,</w:t>
      </w:r>
      <w:r w:rsidRPr="00AB4289">
        <w:rPr>
          <w:sz w:val="28"/>
          <w:szCs w:val="28"/>
          <w:lang w:val="es-ES_tradnl"/>
        </w:rPr>
        <w:t xml:space="preserve"> por tanto</w:t>
      </w:r>
      <w:r w:rsidR="007C5CD4" w:rsidRPr="00AB4289">
        <w:rPr>
          <w:sz w:val="28"/>
          <w:szCs w:val="28"/>
          <w:lang w:val="es-ES_tradnl"/>
        </w:rPr>
        <w:t>, solicitó ser</w:t>
      </w:r>
      <w:r w:rsidRPr="00AB4289">
        <w:rPr>
          <w:sz w:val="28"/>
          <w:szCs w:val="28"/>
          <w:lang w:val="es-ES_tradnl"/>
        </w:rPr>
        <w:t xml:space="preserve"> desvinculado del presente trámite. </w:t>
      </w:r>
    </w:p>
    <w:p w14:paraId="28267D5E" w14:textId="77777777" w:rsidR="000332E4" w:rsidRPr="00AB4289" w:rsidRDefault="000332E4" w:rsidP="00B40BE5">
      <w:pPr>
        <w:pStyle w:val="Prrafodelista"/>
        <w:tabs>
          <w:tab w:val="left" w:pos="426"/>
        </w:tabs>
        <w:ind w:left="0" w:right="49"/>
        <w:jc w:val="both"/>
        <w:rPr>
          <w:b/>
          <w:bCs/>
          <w:color w:val="000000" w:themeColor="text1"/>
          <w:sz w:val="28"/>
          <w:szCs w:val="28"/>
          <w:lang w:val="es-ES_tradnl"/>
        </w:rPr>
      </w:pPr>
    </w:p>
    <w:p w14:paraId="29070892" w14:textId="0FA8F096" w:rsidR="0050063B" w:rsidRPr="00AB4289" w:rsidRDefault="0050063B" w:rsidP="00B40BE5">
      <w:pPr>
        <w:pStyle w:val="Ttulo1"/>
        <w:numPr>
          <w:ilvl w:val="0"/>
          <w:numId w:val="41"/>
        </w:numPr>
        <w:spacing w:before="0" w:after="0"/>
        <w:jc w:val="both"/>
        <w:rPr>
          <w:rFonts w:ascii="Times New Roman" w:eastAsia="Times New Roman" w:hAnsi="Times New Roman" w:cs="Times New Roman"/>
          <w:b/>
          <w:bCs/>
          <w:color w:val="000000" w:themeColor="text1"/>
          <w:sz w:val="28"/>
          <w:szCs w:val="28"/>
          <w:lang w:val="es-ES_tradnl"/>
        </w:rPr>
      </w:pPr>
      <w:bookmarkStart w:id="9" w:name="_Toc210202224"/>
      <w:r w:rsidRPr="00AB4289">
        <w:rPr>
          <w:rFonts w:ascii="Times New Roman" w:eastAsia="Times New Roman" w:hAnsi="Times New Roman" w:cs="Times New Roman"/>
          <w:b/>
          <w:bCs/>
          <w:color w:val="000000" w:themeColor="text1"/>
          <w:sz w:val="28"/>
          <w:szCs w:val="28"/>
          <w:lang w:val="es-ES_tradnl"/>
        </w:rPr>
        <w:t>CONSIDERACIONES</w:t>
      </w:r>
      <w:bookmarkEnd w:id="9"/>
    </w:p>
    <w:p w14:paraId="0DE08C8E" w14:textId="77777777" w:rsidR="0050063B" w:rsidRPr="00AB4289" w:rsidRDefault="0050063B" w:rsidP="00B40BE5">
      <w:pPr>
        <w:ind w:right="49"/>
        <w:jc w:val="both"/>
        <w:rPr>
          <w:b/>
          <w:bCs/>
          <w:sz w:val="28"/>
          <w:szCs w:val="28"/>
          <w:lang w:val="es-ES_tradnl"/>
        </w:rPr>
      </w:pPr>
    </w:p>
    <w:p w14:paraId="7A7CC9F2" w14:textId="77777777" w:rsidR="0050063B" w:rsidRPr="00AB4289" w:rsidRDefault="0050063B" w:rsidP="00B40BE5">
      <w:pPr>
        <w:pStyle w:val="Ttulo2"/>
        <w:numPr>
          <w:ilvl w:val="0"/>
          <w:numId w:val="42"/>
        </w:numPr>
        <w:spacing w:before="0" w:after="0"/>
        <w:jc w:val="both"/>
        <w:rPr>
          <w:rFonts w:ascii="Times New Roman" w:hAnsi="Times New Roman" w:cs="Times New Roman"/>
          <w:b/>
          <w:bCs/>
          <w:sz w:val="28"/>
          <w:szCs w:val="28"/>
          <w:lang w:val="es-ES_tradnl"/>
        </w:rPr>
      </w:pPr>
      <w:bookmarkStart w:id="10" w:name="_Toc210202225"/>
      <w:r w:rsidRPr="00AB4289">
        <w:rPr>
          <w:rFonts w:ascii="Times New Roman" w:hAnsi="Times New Roman" w:cs="Times New Roman"/>
          <w:b/>
          <w:bCs/>
          <w:color w:val="000000" w:themeColor="text1"/>
          <w:sz w:val="28"/>
          <w:szCs w:val="28"/>
          <w:lang w:val="es-ES_tradnl"/>
        </w:rPr>
        <w:t>Competencia</w:t>
      </w:r>
      <w:bookmarkEnd w:id="10"/>
    </w:p>
    <w:p w14:paraId="205C491E" w14:textId="77777777" w:rsidR="0050063B" w:rsidRPr="00AB4289" w:rsidRDefault="0050063B" w:rsidP="00B40BE5">
      <w:pPr>
        <w:pStyle w:val="Prrafodelista"/>
        <w:autoSpaceDE w:val="0"/>
        <w:autoSpaceDN w:val="0"/>
        <w:adjustRightInd w:val="0"/>
        <w:ind w:left="0" w:right="49"/>
        <w:jc w:val="both"/>
        <w:rPr>
          <w:sz w:val="28"/>
          <w:szCs w:val="28"/>
          <w:lang w:val="es-ES_tradnl"/>
        </w:rPr>
      </w:pPr>
    </w:p>
    <w:p w14:paraId="0F6DD5A6" w14:textId="32D18DB5" w:rsidR="0050063B" w:rsidRPr="00AB4289" w:rsidRDefault="0050063B"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La Corte Constitucional es competente para revisar los fallos proferidos dentro del trámite de la referencia, con fundamento en lo establecido en los artículos 86 y 241.9 de la Constitución Política</w:t>
      </w:r>
      <w:r w:rsidR="00F15C6F" w:rsidRPr="00AB4289">
        <w:rPr>
          <w:sz w:val="28"/>
          <w:szCs w:val="28"/>
          <w:lang w:val="es-ES_tradnl"/>
        </w:rPr>
        <w:t xml:space="preserve"> y</w:t>
      </w:r>
      <w:r w:rsidRPr="00AB4289">
        <w:rPr>
          <w:sz w:val="28"/>
          <w:szCs w:val="28"/>
          <w:lang w:val="es-ES_tradnl"/>
        </w:rPr>
        <w:t xml:space="preserve"> 31 a 36 del Decreto 2591 de 1991</w:t>
      </w:r>
      <w:r w:rsidR="00F15C6F" w:rsidRPr="00AB4289">
        <w:rPr>
          <w:sz w:val="28"/>
          <w:szCs w:val="28"/>
          <w:lang w:val="es-ES_tradnl"/>
        </w:rPr>
        <w:t xml:space="preserve">. </w:t>
      </w:r>
    </w:p>
    <w:p w14:paraId="03A9FB4E" w14:textId="77777777" w:rsidR="0050063B" w:rsidRPr="00AB4289" w:rsidRDefault="0050063B" w:rsidP="00B40BE5">
      <w:pPr>
        <w:pStyle w:val="Prrafodelista"/>
        <w:tabs>
          <w:tab w:val="left" w:pos="0"/>
          <w:tab w:val="left" w:pos="142"/>
        </w:tabs>
        <w:autoSpaceDE w:val="0"/>
        <w:autoSpaceDN w:val="0"/>
        <w:adjustRightInd w:val="0"/>
        <w:ind w:left="0" w:right="49"/>
        <w:contextualSpacing w:val="0"/>
        <w:jc w:val="both"/>
        <w:rPr>
          <w:sz w:val="28"/>
          <w:szCs w:val="28"/>
          <w:lang w:val="es-ES_tradnl"/>
        </w:rPr>
      </w:pPr>
    </w:p>
    <w:p w14:paraId="2B1A8314" w14:textId="6EC86FC1" w:rsidR="0050063B" w:rsidRPr="00AB4289" w:rsidRDefault="0050063B" w:rsidP="00B40BE5">
      <w:pPr>
        <w:pStyle w:val="Ttulo2"/>
        <w:numPr>
          <w:ilvl w:val="0"/>
          <w:numId w:val="42"/>
        </w:numPr>
        <w:spacing w:before="0" w:after="0"/>
        <w:jc w:val="both"/>
        <w:rPr>
          <w:rFonts w:ascii="Times New Roman" w:hAnsi="Times New Roman" w:cs="Times New Roman"/>
          <w:b/>
          <w:bCs/>
          <w:color w:val="000000" w:themeColor="text1"/>
          <w:sz w:val="28"/>
          <w:szCs w:val="28"/>
          <w:lang w:val="es-ES_tradnl"/>
        </w:rPr>
      </w:pPr>
      <w:bookmarkStart w:id="11" w:name="_Toc210202226"/>
      <w:r w:rsidRPr="00AB4289">
        <w:rPr>
          <w:rFonts w:ascii="Times New Roman" w:hAnsi="Times New Roman" w:cs="Times New Roman"/>
          <w:b/>
          <w:bCs/>
          <w:color w:val="000000" w:themeColor="text1"/>
          <w:sz w:val="28"/>
          <w:szCs w:val="28"/>
          <w:lang w:val="es-ES_tradnl"/>
        </w:rPr>
        <w:t>Procedibilidad de la acción de tutela</w:t>
      </w:r>
      <w:bookmarkEnd w:id="11"/>
    </w:p>
    <w:p w14:paraId="33236265" w14:textId="77777777" w:rsidR="0050063B" w:rsidRPr="00AB4289" w:rsidRDefault="0050063B" w:rsidP="00B40BE5">
      <w:pPr>
        <w:pStyle w:val="Prrafodelista"/>
        <w:tabs>
          <w:tab w:val="left" w:pos="142"/>
        </w:tabs>
        <w:autoSpaceDE w:val="0"/>
        <w:autoSpaceDN w:val="0"/>
        <w:adjustRightInd w:val="0"/>
        <w:ind w:left="0" w:right="49"/>
        <w:jc w:val="both"/>
        <w:rPr>
          <w:sz w:val="28"/>
          <w:szCs w:val="28"/>
          <w:lang w:val="es-ES_tradnl"/>
        </w:rPr>
      </w:pPr>
    </w:p>
    <w:p w14:paraId="6F828525" w14:textId="77777777" w:rsidR="0050063B" w:rsidRPr="00AB4289" w:rsidRDefault="0050063B"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En el presente asunto se cumplen los requisitos de procedibilidad establecidos por la jurisprudencia constitucional por las razones que se explican a continuación.</w:t>
      </w:r>
    </w:p>
    <w:p w14:paraId="7D3ACF14" w14:textId="77777777" w:rsidR="0050063B" w:rsidRPr="00AB4289" w:rsidRDefault="0050063B" w:rsidP="00B40BE5">
      <w:pPr>
        <w:pStyle w:val="Prrafodelista"/>
        <w:tabs>
          <w:tab w:val="left" w:pos="142"/>
        </w:tabs>
        <w:autoSpaceDE w:val="0"/>
        <w:autoSpaceDN w:val="0"/>
        <w:adjustRightInd w:val="0"/>
        <w:ind w:left="0" w:right="49"/>
        <w:jc w:val="both"/>
        <w:rPr>
          <w:sz w:val="28"/>
          <w:szCs w:val="28"/>
          <w:lang w:val="es-ES_tradnl"/>
        </w:rPr>
      </w:pPr>
    </w:p>
    <w:p w14:paraId="54272F05" w14:textId="025E57F2" w:rsidR="0050063B" w:rsidRPr="00AB4289" w:rsidRDefault="0050063B"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b/>
          <w:bCs/>
          <w:sz w:val="28"/>
          <w:szCs w:val="28"/>
          <w:lang w:val="es-ES_tradnl"/>
        </w:rPr>
        <w:t>Legitimidad por activa</w:t>
      </w:r>
      <w:r w:rsidR="00CE1F19" w:rsidRPr="00AB4289">
        <w:rPr>
          <w:rStyle w:val="Refdenotaalpie"/>
          <w:rFonts w:cs="Times New Roman"/>
          <w:b/>
          <w:bCs/>
          <w:sz w:val="28"/>
          <w:szCs w:val="28"/>
          <w:lang w:val="es-ES_tradnl"/>
        </w:rPr>
        <w:footnoteReference w:id="18"/>
      </w:r>
      <w:r w:rsidRPr="00AB4289">
        <w:rPr>
          <w:b/>
          <w:bCs/>
          <w:sz w:val="28"/>
          <w:szCs w:val="28"/>
          <w:lang w:val="es-ES_tradnl"/>
        </w:rPr>
        <w:t>.</w:t>
      </w:r>
      <w:r w:rsidRPr="00AB4289">
        <w:rPr>
          <w:sz w:val="28"/>
          <w:szCs w:val="28"/>
          <w:lang w:val="es-ES_tradnl"/>
        </w:rPr>
        <w:t xml:space="preserve"> En este caso el señor Juan Pablo Barrientos está legitimado para interponer la acción de tutela a nombre propio porque es el titular de los derechos fundamentales al acceso a la información, de petición y a la libertad de expresión cuya protección invocó en la tutela que presentó.</w:t>
      </w:r>
    </w:p>
    <w:p w14:paraId="7E43BD49" w14:textId="77777777" w:rsidR="0050063B" w:rsidRPr="00AB4289" w:rsidRDefault="0050063B" w:rsidP="00B40BE5">
      <w:pPr>
        <w:pStyle w:val="Prrafodelista"/>
        <w:tabs>
          <w:tab w:val="left" w:pos="142"/>
        </w:tabs>
        <w:autoSpaceDE w:val="0"/>
        <w:autoSpaceDN w:val="0"/>
        <w:adjustRightInd w:val="0"/>
        <w:ind w:left="0" w:right="49"/>
        <w:jc w:val="both"/>
        <w:rPr>
          <w:sz w:val="28"/>
          <w:szCs w:val="28"/>
          <w:lang w:val="es-ES_tradnl"/>
        </w:rPr>
      </w:pPr>
    </w:p>
    <w:p w14:paraId="37B269BB" w14:textId="08115DA8" w:rsidR="005F6C00" w:rsidRPr="00AB4289" w:rsidRDefault="0050063B"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b/>
          <w:bCs/>
          <w:sz w:val="28"/>
          <w:szCs w:val="28"/>
          <w:lang w:val="es-ES_tradnl"/>
        </w:rPr>
        <w:t>Legitimidad por pasiva</w:t>
      </w:r>
      <w:r w:rsidR="00CE1F19" w:rsidRPr="00AB4289">
        <w:rPr>
          <w:rStyle w:val="Refdenotaalpie"/>
          <w:rFonts w:cs="Times New Roman"/>
          <w:b/>
          <w:bCs/>
          <w:sz w:val="28"/>
          <w:szCs w:val="28"/>
          <w:lang w:val="es-ES_tradnl"/>
        </w:rPr>
        <w:footnoteReference w:id="19"/>
      </w:r>
      <w:r w:rsidRPr="00AB4289">
        <w:rPr>
          <w:b/>
          <w:bCs/>
          <w:sz w:val="28"/>
          <w:szCs w:val="28"/>
          <w:lang w:val="es-ES_tradnl"/>
        </w:rPr>
        <w:t>.</w:t>
      </w:r>
      <w:r w:rsidRPr="00AB4289">
        <w:rPr>
          <w:sz w:val="28"/>
          <w:szCs w:val="28"/>
          <w:lang w:val="es-ES_tradnl"/>
        </w:rPr>
        <w:t xml:space="preserve"> El accionante dirigió la acción de tutela en contra del presidente de la Corte Suprema de Justicia. </w:t>
      </w:r>
    </w:p>
    <w:p w14:paraId="528EFF27" w14:textId="77777777" w:rsidR="005F6C00" w:rsidRPr="00AB4289" w:rsidRDefault="005F6C00" w:rsidP="00B40BE5">
      <w:pPr>
        <w:pStyle w:val="Prrafodelista"/>
        <w:ind w:left="0"/>
        <w:jc w:val="both"/>
        <w:rPr>
          <w:sz w:val="28"/>
          <w:szCs w:val="28"/>
          <w:lang w:val="es-ES_tradnl"/>
        </w:rPr>
      </w:pPr>
    </w:p>
    <w:p w14:paraId="688C6649" w14:textId="7AE33C67" w:rsidR="00B7124D" w:rsidRPr="00AB4289" w:rsidRDefault="00513992"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lastRenderedPageBreak/>
        <w:t>Sobre este punto</w:t>
      </w:r>
      <w:r w:rsidR="00F15C6F" w:rsidRPr="00AB4289">
        <w:rPr>
          <w:sz w:val="28"/>
          <w:szCs w:val="28"/>
          <w:lang w:val="es-ES_tradnl"/>
        </w:rPr>
        <w:t xml:space="preserve">, </w:t>
      </w:r>
      <w:r w:rsidR="0026497A" w:rsidRPr="00AB4289">
        <w:rPr>
          <w:sz w:val="28"/>
          <w:szCs w:val="28"/>
          <w:lang w:val="es-ES_tradnl"/>
        </w:rPr>
        <w:t xml:space="preserve">dicho funcionario señaló </w:t>
      </w:r>
      <w:r w:rsidRPr="00AB4289">
        <w:rPr>
          <w:sz w:val="28"/>
          <w:szCs w:val="28"/>
          <w:lang w:val="es-ES_tradnl"/>
        </w:rPr>
        <w:t xml:space="preserve">que la Presidencia de la Corte Suprema de Justicia es una dependencia que tiene a su cargo funciones establecidas reglamentariamente, </w:t>
      </w:r>
      <w:r w:rsidR="00E07474" w:rsidRPr="00AB4289">
        <w:rPr>
          <w:sz w:val="28"/>
          <w:szCs w:val="28"/>
          <w:lang w:val="es-ES_tradnl"/>
        </w:rPr>
        <w:t>dentro de</w:t>
      </w:r>
      <w:r w:rsidRPr="00AB4289">
        <w:rPr>
          <w:sz w:val="28"/>
          <w:szCs w:val="28"/>
          <w:lang w:val="es-ES_tradnl"/>
        </w:rPr>
        <w:t xml:space="preserve"> las cuales no figura</w:t>
      </w:r>
      <w:r w:rsidR="005F6C00" w:rsidRPr="00AB4289">
        <w:rPr>
          <w:sz w:val="28"/>
          <w:szCs w:val="28"/>
          <w:lang w:val="es-ES_tradnl"/>
        </w:rPr>
        <w:t xml:space="preserve"> otorgar</w:t>
      </w:r>
      <w:r w:rsidRPr="00AB4289">
        <w:rPr>
          <w:sz w:val="28"/>
          <w:szCs w:val="28"/>
          <w:lang w:val="es-ES_tradnl"/>
        </w:rPr>
        <w:t xml:space="preserve"> información como aquella solicitada en la petición objeto de debate</w:t>
      </w:r>
      <w:r w:rsidR="009C6639" w:rsidRPr="00AB4289">
        <w:rPr>
          <w:sz w:val="28"/>
          <w:szCs w:val="28"/>
          <w:lang w:val="es-ES_tradnl"/>
        </w:rPr>
        <w:t>.</w:t>
      </w:r>
      <w:r w:rsidRPr="00AB4289">
        <w:rPr>
          <w:sz w:val="28"/>
          <w:szCs w:val="28"/>
          <w:lang w:val="es-ES_tradnl"/>
        </w:rPr>
        <w:t xml:space="preserve"> </w:t>
      </w:r>
      <w:r w:rsidR="009C6639" w:rsidRPr="00AB4289">
        <w:rPr>
          <w:sz w:val="28"/>
          <w:szCs w:val="28"/>
          <w:lang w:val="es-ES_tradnl"/>
        </w:rPr>
        <w:t>P</w:t>
      </w:r>
      <w:r w:rsidRPr="00AB4289">
        <w:rPr>
          <w:sz w:val="28"/>
          <w:szCs w:val="28"/>
          <w:lang w:val="es-ES_tradnl"/>
        </w:rPr>
        <w:t>or tal motivo</w:t>
      </w:r>
      <w:r w:rsidR="005F6C00" w:rsidRPr="00AB4289">
        <w:rPr>
          <w:sz w:val="28"/>
          <w:szCs w:val="28"/>
          <w:lang w:val="es-ES_tradnl"/>
        </w:rPr>
        <w:t xml:space="preserve">, </w:t>
      </w:r>
      <w:r w:rsidR="009C6639" w:rsidRPr="00AB4289">
        <w:rPr>
          <w:sz w:val="28"/>
          <w:szCs w:val="28"/>
          <w:lang w:val="es-ES_tradnl"/>
        </w:rPr>
        <w:t>explicó que</w:t>
      </w:r>
      <w:r w:rsidRPr="00AB4289">
        <w:rPr>
          <w:sz w:val="28"/>
          <w:szCs w:val="28"/>
          <w:lang w:val="es-ES_tradnl"/>
        </w:rPr>
        <w:t xml:space="preserve"> </w:t>
      </w:r>
      <w:r w:rsidR="00E07474" w:rsidRPr="00AB4289">
        <w:rPr>
          <w:sz w:val="28"/>
          <w:szCs w:val="28"/>
          <w:lang w:val="es-ES_tradnl"/>
        </w:rPr>
        <w:t xml:space="preserve">la </w:t>
      </w:r>
      <w:r w:rsidR="00F15C6F" w:rsidRPr="00AB4289">
        <w:rPr>
          <w:sz w:val="28"/>
          <w:szCs w:val="28"/>
          <w:lang w:val="es-ES_tradnl"/>
        </w:rPr>
        <w:t>P</w:t>
      </w:r>
      <w:r w:rsidR="00E07474" w:rsidRPr="00AB4289">
        <w:rPr>
          <w:sz w:val="28"/>
          <w:szCs w:val="28"/>
          <w:lang w:val="es-ES_tradnl"/>
        </w:rPr>
        <w:t>residencia no es competente para responder a la</w:t>
      </w:r>
      <w:r w:rsidRPr="00AB4289">
        <w:rPr>
          <w:sz w:val="28"/>
          <w:szCs w:val="28"/>
          <w:lang w:val="es-ES_tradnl"/>
        </w:rPr>
        <w:t xml:space="preserve"> </w:t>
      </w:r>
      <w:r w:rsidR="009C6639" w:rsidRPr="00AB4289">
        <w:rPr>
          <w:sz w:val="28"/>
          <w:szCs w:val="28"/>
          <w:lang w:val="es-ES_tradnl"/>
        </w:rPr>
        <w:t>petición</w:t>
      </w:r>
      <w:r w:rsidR="00E07474" w:rsidRPr="00AB4289">
        <w:rPr>
          <w:sz w:val="28"/>
          <w:szCs w:val="28"/>
          <w:lang w:val="es-ES_tradnl"/>
        </w:rPr>
        <w:t>, y por esta razón</w:t>
      </w:r>
      <w:r w:rsidR="00F15C6F" w:rsidRPr="00AB4289">
        <w:rPr>
          <w:sz w:val="28"/>
          <w:szCs w:val="28"/>
          <w:lang w:val="es-ES_tradnl"/>
        </w:rPr>
        <w:t>,</w:t>
      </w:r>
      <w:r w:rsidR="00E07474" w:rsidRPr="00AB4289">
        <w:rPr>
          <w:sz w:val="28"/>
          <w:szCs w:val="28"/>
          <w:lang w:val="es-ES_tradnl"/>
        </w:rPr>
        <w:t xml:space="preserve"> la solicitud</w:t>
      </w:r>
      <w:r w:rsidR="009C6639" w:rsidRPr="00AB4289">
        <w:rPr>
          <w:sz w:val="28"/>
          <w:szCs w:val="28"/>
          <w:lang w:val="es-ES_tradnl"/>
        </w:rPr>
        <w:t xml:space="preserve"> </w:t>
      </w:r>
      <w:r w:rsidRPr="00AB4289">
        <w:rPr>
          <w:sz w:val="28"/>
          <w:szCs w:val="28"/>
          <w:lang w:val="es-ES_tradnl"/>
        </w:rPr>
        <w:t>fue remitida a la Secretaría General de la Corporación</w:t>
      </w:r>
      <w:r w:rsidR="00E07474" w:rsidRPr="00AB4289">
        <w:rPr>
          <w:sz w:val="28"/>
          <w:szCs w:val="28"/>
          <w:lang w:val="es-ES_tradnl"/>
        </w:rPr>
        <w:t>.</w:t>
      </w:r>
    </w:p>
    <w:p w14:paraId="6D3CEFA9" w14:textId="77777777" w:rsidR="00B7124D" w:rsidRPr="00AB4289" w:rsidRDefault="00B7124D" w:rsidP="00B40BE5">
      <w:pPr>
        <w:pStyle w:val="Prrafodelista"/>
        <w:jc w:val="both"/>
        <w:rPr>
          <w:sz w:val="28"/>
          <w:szCs w:val="28"/>
          <w:lang w:val="es-ES_tradnl"/>
        </w:rPr>
      </w:pPr>
    </w:p>
    <w:p w14:paraId="2DE540B8" w14:textId="77777777" w:rsidR="00AA26A9" w:rsidRPr="00AB4289" w:rsidRDefault="00AA26A9"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Esta Corporación considera que la Corte Suprema de Justicia sí se encuentra legitimada por pasiva en el presente asunto. A continuación, se exponen los argumentos que sustentan esta conclusión.</w:t>
      </w:r>
    </w:p>
    <w:p w14:paraId="4EF0983A" w14:textId="77777777" w:rsidR="00AA26A9" w:rsidRPr="00AB4289" w:rsidRDefault="00AA26A9" w:rsidP="00B40BE5">
      <w:pPr>
        <w:pStyle w:val="Prrafodelista"/>
        <w:jc w:val="both"/>
        <w:rPr>
          <w:sz w:val="28"/>
          <w:szCs w:val="28"/>
          <w:lang w:val="es-ES_tradnl"/>
        </w:rPr>
      </w:pPr>
    </w:p>
    <w:p w14:paraId="706B325A" w14:textId="4CDD431D" w:rsidR="00AA26A9" w:rsidRPr="00AB4289" w:rsidRDefault="00AA26A9"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 xml:space="preserve">En primer término, es importante </w:t>
      </w:r>
      <w:r w:rsidR="00247920" w:rsidRPr="00AB4289">
        <w:rPr>
          <w:sz w:val="28"/>
          <w:szCs w:val="28"/>
          <w:lang w:val="es-ES_tradnl"/>
        </w:rPr>
        <w:t>precisar</w:t>
      </w:r>
      <w:r w:rsidRPr="00AB4289">
        <w:rPr>
          <w:sz w:val="28"/>
          <w:szCs w:val="28"/>
          <w:lang w:val="es-ES_tradnl"/>
        </w:rPr>
        <w:t xml:space="preserve"> que la solicitud de información elevada por el periodista no fue dirigida a los magistrados en su calidad personal, sino a la Corte Suprema de Justicia como institución. En efecto, en el escrito de tutela se observa que el accionante buscó una respuesta del </w:t>
      </w:r>
      <w:r w:rsidR="00B74793" w:rsidRPr="00AB4289">
        <w:rPr>
          <w:sz w:val="28"/>
          <w:szCs w:val="28"/>
          <w:lang w:val="es-ES_tradnl"/>
        </w:rPr>
        <w:t>presidente</w:t>
      </w:r>
      <w:r w:rsidRPr="00AB4289">
        <w:rPr>
          <w:sz w:val="28"/>
          <w:szCs w:val="28"/>
          <w:lang w:val="es-ES_tradnl"/>
        </w:rPr>
        <w:t xml:space="preserve"> de la Corte Suprema, esto es, de quien ejerce la representación institucional de dicha Corporación. Así lo demuestra el hecho de que el señor Barrientos se refirió al accionado “en su calidad de presidente de la Corte Suprema de Justicia”</w:t>
      </w:r>
      <w:r w:rsidR="00282D4E" w:rsidRPr="00AB4289">
        <w:rPr>
          <w:rStyle w:val="Refdenotaalpie"/>
          <w:rFonts w:cs="Times New Roman"/>
          <w:sz w:val="28"/>
          <w:szCs w:val="28"/>
          <w:lang w:val="es-ES_tradnl"/>
        </w:rPr>
        <w:footnoteReference w:id="20"/>
      </w:r>
      <w:r w:rsidRPr="00AB4289">
        <w:rPr>
          <w:sz w:val="28"/>
          <w:szCs w:val="28"/>
          <w:lang w:val="es-ES_tradnl"/>
        </w:rPr>
        <w:t>.</w:t>
      </w:r>
    </w:p>
    <w:p w14:paraId="28C36920" w14:textId="77777777" w:rsidR="00AA26A9" w:rsidRPr="00AB4289" w:rsidRDefault="00AA26A9"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21E8965F" w14:textId="5EE7BC45" w:rsidR="00AA26A9" w:rsidRPr="00AB4289" w:rsidRDefault="00AA26A9"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 xml:space="preserve">De este modo, el análisis sobre la legitimación por pasiva debe recaer sobre la Corte Suprema como entidad, y no sobre los magistrados individualmente considerados. Si bien estos </w:t>
      </w:r>
      <w:r w:rsidR="00B74793" w:rsidRPr="00AB4289">
        <w:rPr>
          <w:sz w:val="28"/>
          <w:szCs w:val="28"/>
          <w:lang w:val="es-ES_tradnl"/>
        </w:rPr>
        <w:t xml:space="preserve">también tienen obligaciones de </w:t>
      </w:r>
      <w:r w:rsidRPr="00AB4289">
        <w:rPr>
          <w:sz w:val="28"/>
          <w:szCs w:val="28"/>
          <w:lang w:val="es-ES_tradnl"/>
        </w:rPr>
        <w:t>transparencia</w:t>
      </w:r>
      <w:r w:rsidR="00055EAE" w:rsidRPr="00AB4289">
        <w:rPr>
          <w:sz w:val="28"/>
          <w:szCs w:val="28"/>
          <w:lang w:val="es-ES_tradnl"/>
        </w:rPr>
        <w:t xml:space="preserve"> según lo establecido por la Ley 2013 de 20</w:t>
      </w:r>
      <w:r w:rsidR="008D1EE8" w:rsidRPr="00AB4289">
        <w:rPr>
          <w:sz w:val="28"/>
          <w:szCs w:val="28"/>
          <w:lang w:val="es-ES_tradnl"/>
        </w:rPr>
        <w:t>1</w:t>
      </w:r>
      <w:r w:rsidR="00055EAE" w:rsidRPr="00AB4289">
        <w:rPr>
          <w:sz w:val="28"/>
          <w:szCs w:val="28"/>
          <w:lang w:val="es-ES_tradnl"/>
        </w:rPr>
        <w:t>9</w:t>
      </w:r>
      <w:r w:rsidR="00055EAE" w:rsidRPr="00AB4289">
        <w:rPr>
          <w:rStyle w:val="Refdenotaalpie"/>
          <w:rFonts w:cs="Times New Roman"/>
          <w:sz w:val="28"/>
          <w:szCs w:val="28"/>
          <w:lang w:val="es-ES_tradnl"/>
        </w:rPr>
        <w:footnoteReference w:id="21"/>
      </w:r>
      <w:r w:rsidR="00055EAE" w:rsidRPr="00AB4289">
        <w:rPr>
          <w:sz w:val="28"/>
          <w:szCs w:val="28"/>
          <w:lang w:val="es-ES_tradnl"/>
        </w:rPr>
        <w:t xml:space="preserve"> y el Decreto 830 de 2021</w:t>
      </w:r>
      <w:r w:rsidR="00055EAE" w:rsidRPr="00AB4289">
        <w:rPr>
          <w:rStyle w:val="Refdenotaalpie"/>
          <w:rFonts w:cs="Times New Roman"/>
          <w:sz w:val="28"/>
          <w:szCs w:val="28"/>
          <w:lang w:val="es-ES_tradnl"/>
        </w:rPr>
        <w:footnoteReference w:id="22"/>
      </w:r>
      <w:r w:rsidRPr="00AB4289">
        <w:rPr>
          <w:sz w:val="28"/>
          <w:szCs w:val="28"/>
          <w:lang w:val="es-ES_tradnl"/>
        </w:rPr>
        <w:t>, la acción de tutela fue planteada para determinar la responsabilidad institucional en el acceso y entrega de la información</w:t>
      </w:r>
      <w:r w:rsidR="00B74793" w:rsidRPr="00AB4289">
        <w:rPr>
          <w:sz w:val="28"/>
          <w:szCs w:val="28"/>
          <w:lang w:val="es-ES_tradnl"/>
        </w:rPr>
        <w:t xml:space="preserve"> solicitada</w:t>
      </w:r>
      <w:r w:rsidR="0062337E" w:rsidRPr="00AB4289">
        <w:rPr>
          <w:sz w:val="28"/>
          <w:szCs w:val="28"/>
          <w:lang w:val="es-ES_tradnl"/>
        </w:rPr>
        <w:t>.</w:t>
      </w:r>
      <w:r w:rsidR="00B74793" w:rsidRPr="00AB4289">
        <w:rPr>
          <w:sz w:val="28"/>
          <w:szCs w:val="28"/>
          <w:lang w:val="es-ES_tradnl"/>
        </w:rPr>
        <w:t xml:space="preserve"> </w:t>
      </w:r>
      <w:r w:rsidR="0062337E" w:rsidRPr="00AB4289">
        <w:rPr>
          <w:sz w:val="28"/>
          <w:szCs w:val="28"/>
          <w:lang w:val="es-ES_tradnl"/>
        </w:rPr>
        <w:t>P</w:t>
      </w:r>
      <w:r w:rsidR="00B74793" w:rsidRPr="00AB4289">
        <w:rPr>
          <w:sz w:val="28"/>
          <w:szCs w:val="28"/>
          <w:lang w:val="es-ES_tradnl"/>
        </w:rPr>
        <w:t>or ello</w:t>
      </w:r>
      <w:r w:rsidR="00C0779C" w:rsidRPr="00AB4289">
        <w:rPr>
          <w:sz w:val="28"/>
          <w:szCs w:val="28"/>
          <w:lang w:val="es-ES_tradnl"/>
        </w:rPr>
        <w:t>,</w:t>
      </w:r>
      <w:r w:rsidR="00B74793" w:rsidRPr="00AB4289">
        <w:rPr>
          <w:sz w:val="28"/>
          <w:szCs w:val="28"/>
          <w:lang w:val="es-ES_tradnl"/>
        </w:rPr>
        <w:t xml:space="preserve"> es frente a la institución que se debe </w:t>
      </w:r>
      <w:r w:rsidR="005E1C7A" w:rsidRPr="00AB4289">
        <w:rPr>
          <w:sz w:val="28"/>
          <w:szCs w:val="28"/>
          <w:lang w:val="es-ES_tradnl"/>
        </w:rPr>
        <w:t>adelantar</w:t>
      </w:r>
      <w:r w:rsidR="00B74793" w:rsidRPr="00AB4289">
        <w:rPr>
          <w:sz w:val="28"/>
          <w:szCs w:val="28"/>
          <w:lang w:val="es-ES_tradnl"/>
        </w:rPr>
        <w:t xml:space="preserve"> el análisis de legitimidad por pasiva</w:t>
      </w:r>
      <w:r w:rsidRPr="00AB4289">
        <w:rPr>
          <w:sz w:val="28"/>
          <w:szCs w:val="28"/>
          <w:lang w:val="es-ES_tradnl"/>
        </w:rPr>
        <w:t>.</w:t>
      </w:r>
    </w:p>
    <w:p w14:paraId="72DD79D3" w14:textId="77777777" w:rsidR="00AA26A9" w:rsidRPr="00AB4289" w:rsidRDefault="00AA26A9" w:rsidP="00B40BE5">
      <w:pPr>
        <w:pStyle w:val="Prrafodelista"/>
        <w:jc w:val="both"/>
        <w:rPr>
          <w:sz w:val="28"/>
          <w:szCs w:val="28"/>
          <w:lang w:val="es-ES_tradnl"/>
        </w:rPr>
      </w:pPr>
    </w:p>
    <w:p w14:paraId="506694EB" w14:textId="31D1271D" w:rsidR="00B74793" w:rsidRPr="00AB4289" w:rsidRDefault="00540A0A"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lastRenderedPageBreak/>
        <w:t xml:space="preserve">Aclarado lo anterior, es posible concluir que </w:t>
      </w:r>
      <w:r w:rsidR="00AA26A9" w:rsidRPr="00AB4289">
        <w:rPr>
          <w:sz w:val="28"/>
          <w:szCs w:val="28"/>
          <w:lang w:val="es-ES_tradnl"/>
        </w:rPr>
        <w:t>la Corte Suprema de Justicia</w:t>
      </w:r>
      <w:r w:rsidR="00B74793" w:rsidRPr="00AB4289">
        <w:rPr>
          <w:sz w:val="28"/>
          <w:szCs w:val="28"/>
          <w:lang w:val="es-ES_tradnl"/>
        </w:rPr>
        <w:t xml:space="preserve"> </w:t>
      </w:r>
      <w:r w:rsidR="00AA26A9" w:rsidRPr="00AB4289">
        <w:rPr>
          <w:sz w:val="28"/>
          <w:szCs w:val="28"/>
          <w:lang w:val="es-ES_tradnl"/>
        </w:rPr>
        <w:t>sí cumple con el requisito de legitimación por pasiva</w:t>
      </w:r>
      <w:r w:rsidRPr="00AB4289">
        <w:rPr>
          <w:sz w:val="28"/>
          <w:szCs w:val="28"/>
          <w:lang w:val="es-ES_tradnl"/>
        </w:rPr>
        <w:t>. Esto porque la Co</w:t>
      </w:r>
      <w:r w:rsidR="00C0779C" w:rsidRPr="00AB4289">
        <w:rPr>
          <w:sz w:val="28"/>
          <w:szCs w:val="28"/>
          <w:lang w:val="es-ES_tradnl"/>
        </w:rPr>
        <w:t>rporación</w:t>
      </w:r>
      <w:r w:rsidRPr="00AB4289">
        <w:rPr>
          <w:sz w:val="28"/>
          <w:szCs w:val="28"/>
          <w:lang w:val="es-ES_tradnl"/>
        </w:rPr>
        <w:t xml:space="preserve"> </w:t>
      </w:r>
      <w:r w:rsidR="00C0779C" w:rsidRPr="00AB4289">
        <w:rPr>
          <w:sz w:val="28"/>
          <w:szCs w:val="28"/>
          <w:lang w:val="es-ES_tradnl"/>
        </w:rPr>
        <w:t xml:space="preserve">judicial </w:t>
      </w:r>
      <w:r w:rsidRPr="00AB4289">
        <w:rPr>
          <w:sz w:val="28"/>
          <w:szCs w:val="28"/>
          <w:lang w:val="es-ES_tradnl"/>
        </w:rPr>
        <w:t>accionada</w:t>
      </w:r>
      <w:r w:rsidR="0062337E" w:rsidRPr="00AB4289">
        <w:rPr>
          <w:sz w:val="28"/>
          <w:szCs w:val="28"/>
          <w:lang w:val="es-ES_tradnl"/>
        </w:rPr>
        <w:t xml:space="preserve"> </w:t>
      </w:r>
      <w:r w:rsidR="00B74793" w:rsidRPr="00AB4289">
        <w:rPr>
          <w:sz w:val="28"/>
          <w:szCs w:val="28"/>
          <w:lang w:val="es-ES_tradnl"/>
        </w:rPr>
        <w:t>tiene posesión</w:t>
      </w:r>
      <w:r w:rsidR="00AA26A9" w:rsidRPr="00AB4289">
        <w:rPr>
          <w:sz w:val="28"/>
          <w:szCs w:val="28"/>
          <w:lang w:val="es-ES_tradnl"/>
        </w:rPr>
        <w:t xml:space="preserve"> y</w:t>
      </w:r>
      <w:r w:rsidR="00A55AE4" w:rsidRPr="00AB4289">
        <w:rPr>
          <w:sz w:val="28"/>
          <w:szCs w:val="28"/>
          <w:lang w:val="es-ES_tradnl"/>
        </w:rPr>
        <w:t>/o</w:t>
      </w:r>
      <w:r w:rsidR="00B74793" w:rsidRPr="00AB4289">
        <w:rPr>
          <w:sz w:val="28"/>
          <w:szCs w:val="28"/>
          <w:lang w:val="es-ES_tradnl"/>
        </w:rPr>
        <w:t xml:space="preserve"> </w:t>
      </w:r>
      <w:r w:rsidR="00AA26A9" w:rsidRPr="00AB4289">
        <w:rPr>
          <w:sz w:val="28"/>
          <w:szCs w:val="28"/>
          <w:lang w:val="es-ES_tradnl"/>
        </w:rPr>
        <w:t>control</w:t>
      </w:r>
      <w:r w:rsidR="00282D4E" w:rsidRPr="00AB4289">
        <w:rPr>
          <w:sz w:val="28"/>
          <w:szCs w:val="28"/>
          <w:lang w:val="es-ES_tradnl"/>
        </w:rPr>
        <w:t xml:space="preserve"> de</w:t>
      </w:r>
      <w:r w:rsidR="00AA26A9" w:rsidRPr="00AB4289">
        <w:rPr>
          <w:sz w:val="28"/>
          <w:szCs w:val="28"/>
          <w:lang w:val="es-ES_tradnl"/>
        </w:rPr>
        <w:t xml:space="preserve"> la información solicitada, esto es: las hojas de vida</w:t>
      </w:r>
      <w:r w:rsidR="00282D4E" w:rsidRPr="00AB4289">
        <w:rPr>
          <w:sz w:val="28"/>
          <w:szCs w:val="28"/>
          <w:lang w:val="es-ES_tradnl"/>
        </w:rPr>
        <w:t xml:space="preserve"> y</w:t>
      </w:r>
      <w:r w:rsidR="00AA26A9" w:rsidRPr="00AB4289">
        <w:rPr>
          <w:sz w:val="28"/>
          <w:szCs w:val="28"/>
          <w:lang w:val="es-ES_tradnl"/>
        </w:rPr>
        <w:t xml:space="preserve"> sus soportes, las declaraciones de bienes y rentas, los registros de conflictos de interés y las declaraciones de</w:t>
      </w:r>
      <w:r w:rsidR="00C0779C" w:rsidRPr="00AB4289">
        <w:rPr>
          <w:sz w:val="28"/>
          <w:szCs w:val="28"/>
          <w:lang w:val="es-ES_tradnl"/>
        </w:rPr>
        <w:t>l</w:t>
      </w:r>
      <w:r w:rsidR="00AA26A9" w:rsidRPr="00AB4289">
        <w:rPr>
          <w:sz w:val="28"/>
          <w:szCs w:val="28"/>
          <w:lang w:val="es-ES_tradnl"/>
        </w:rPr>
        <w:t xml:space="preserve"> impuesto sobre la renta y complementarios de los magistrados de la Sala Plena. </w:t>
      </w:r>
      <w:r w:rsidR="00B74793" w:rsidRPr="00AB4289">
        <w:rPr>
          <w:sz w:val="28"/>
          <w:szCs w:val="28"/>
          <w:lang w:val="es-ES_tradnl"/>
        </w:rPr>
        <w:t>A continuación, se explica esto con más detalle</w:t>
      </w:r>
      <w:r w:rsidR="00C0779C" w:rsidRPr="00AB4289">
        <w:rPr>
          <w:sz w:val="28"/>
          <w:szCs w:val="28"/>
          <w:lang w:val="es-ES_tradnl"/>
        </w:rPr>
        <w:t>.</w:t>
      </w:r>
      <w:r w:rsidR="00B74793" w:rsidRPr="00AB4289">
        <w:rPr>
          <w:sz w:val="28"/>
          <w:szCs w:val="28"/>
          <w:lang w:val="es-ES_tradnl"/>
        </w:rPr>
        <w:t xml:space="preserve"> </w:t>
      </w:r>
    </w:p>
    <w:p w14:paraId="1AABEACB" w14:textId="77777777" w:rsidR="00AA26A9" w:rsidRPr="00AB4289" w:rsidRDefault="00AA26A9"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112242F2" w14:textId="5E714AEA" w:rsidR="005E1C7A" w:rsidRPr="00AB4289" w:rsidRDefault="00C0779C"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Por un lado, c</w:t>
      </w:r>
      <w:r w:rsidR="00AA26A9" w:rsidRPr="00AB4289">
        <w:rPr>
          <w:sz w:val="28"/>
          <w:szCs w:val="28"/>
          <w:lang w:val="es-ES_tradnl"/>
        </w:rPr>
        <w:t>onforme al</w:t>
      </w:r>
      <w:r w:rsidR="004D2C6B" w:rsidRPr="00AB4289">
        <w:rPr>
          <w:sz w:val="28"/>
          <w:szCs w:val="28"/>
          <w:lang w:val="es-ES_tradnl"/>
        </w:rPr>
        <w:t xml:space="preserve"> numeral 6 del</w:t>
      </w:r>
      <w:r w:rsidR="00AA26A9" w:rsidRPr="00AB4289">
        <w:rPr>
          <w:sz w:val="28"/>
          <w:szCs w:val="28"/>
          <w:lang w:val="es-ES_tradnl"/>
        </w:rPr>
        <w:t xml:space="preserve"> artículo </w:t>
      </w:r>
      <w:r w:rsidR="004D2C6B" w:rsidRPr="00AB4289">
        <w:rPr>
          <w:sz w:val="28"/>
          <w:szCs w:val="28"/>
          <w:lang w:val="es-ES_tradnl"/>
        </w:rPr>
        <w:t>2</w:t>
      </w:r>
      <w:r w:rsidR="00AA26A9" w:rsidRPr="00AB4289">
        <w:rPr>
          <w:sz w:val="28"/>
          <w:szCs w:val="28"/>
          <w:lang w:val="es-ES_tradnl"/>
        </w:rPr>
        <w:t xml:space="preserve">4 </w:t>
      </w:r>
      <w:r w:rsidR="004D2C6B" w:rsidRPr="00AB4289">
        <w:rPr>
          <w:sz w:val="28"/>
          <w:szCs w:val="28"/>
          <w:lang w:val="es-ES_tradnl"/>
        </w:rPr>
        <w:t>del Acuerdo 2175 de 2023</w:t>
      </w:r>
      <w:r w:rsidR="00243509" w:rsidRPr="00AB4289">
        <w:rPr>
          <w:rStyle w:val="Refdenotaalpie"/>
          <w:rFonts w:cs="Times New Roman"/>
          <w:sz w:val="28"/>
          <w:szCs w:val="28"/>
          <w:lang w:val="es-ES_tradnl"/>
        </w:rPr>
        <w:footnoteReference w:id="23"/>
      </w:r>
      <w:r w:rsidRPr="00AB4289">
        <w:rPr>
          <w:sz w:val="28"/>
          <w:szCs w:val="28"/>
          <w:lang w:val="es-ES_tradnl"/>
        </w:rPr>
        <w:t>,</w:t>
      </w:r>
      <w:r w:rsidR="004D2C6B" w:rsidRPr="00AB4289">
        <w:rPr>
          <w:sz w:val="28"/>
          <w:szCs w:val="28"/>
          <w:lang w:val="es-ES_tradnl"/>
        </w:rPr>
        <w:t xml:space="preserve"> </w:t>
      </w:r>
      <w:r w:rsidR="00AA26A9" w:rsidRPr="00AB4289">
        <w:rPr>
          <w:sz w:val="28"/>
          <w:szCs w:val="28"/>
          <w:lang w:val="es-ES_tradnl"/>
        </w:rPr>
        <w:t>la Secretaría</w:t>
      </w:r>
      <w:r w:rsidR="00282D4E" w:rsidRPr="00AB4289">
        <w:rPr>
          <w:sz w:val="28"/>
          <w:szCs w:val="28"/>
          <w:lang w:val="es-ES_tradnl"/>
        </w:rPr>
        <w:t xml:space="preserve"> de la Corte Suprema de Justicia</w:t>
      </w:r>
      <w:r w:rsidR="004D2C6B" w:rsidRPr="00AB4289">
        <w:rPr>
          <w:sz w:val="28"/>
          <w:szCs w:val="28"/>
          <w:lang w:val="es-ES_tradnl"/>
        </w:rPr>
        <w:t xml:space="preserve"> debe</w:t>
      </w:r>
      <w:r w:rsidR="00AA26A9" w:rsidRPr="00AB4289">
        <w:rPr>
          <w:sz w:val="28"/>
          <w:szCs w:val="28"/>
          <w:lang w:val="es-ES_tradnl"/>
        </w:rPr>
        <w:t xml:space="preserve"> llevar el archivo</w:t>
      </w:r>
      <w:r w:rsidR="00247920" w:rsidRPr="00AB4289">
        <w:rPr>
          <w:sz w:val="28"/>
          <w:szCs w:val="28"/>
          <w:lang w:val="es-ES_tradnl"/>
        </w:rPr>
        <w:t xml:space="preserve"> y custodia</w:t>
      </w:r>
      <w:r w:rsidR="00AA26A9" w:rsidRPr="00AB4289">
        <w:rPr>
          <w:sz w:val="28"/>
          <w:szCs w:val="28"/>
          <w:lang w:val="es-ES_tradnl"/>
        </w:rPr>
        <w:t xml:space="preserve"> de las hojas de vida de los magistrados. A su vez,</w:t>
      </w:r>
      <w:r w:rsidR="00540A0A" w:rsidRPr="00AB4289">
        <w:rPr>
          <w:sz w:val="28"/>
          <w:szCs w:val="28"/>
          <w:lang w:val="es-ES_tradnl"/>
        </w:rPr>
        <w:t xml:space="preserve"> el</w:t>
      </w:r>
      <w:r w:rsidR="004D2C6B" w:rsidRPr="00AB4289">
        <w:rPr>
          <w:sz w:val="28"/>
          <w:szCs w:val="28"/>
          <w:lang w:val="es-ES_tradnl"/>
        </w:rPr>
        <w:t xml:space="preserve"> numeral 11 de dicho artículo señala</w:t>
      </w:r>
      <w:r w:rsidR="00540A0A" w:rsidRPr="00AB4289">
        <w:rPr>
          <w:sz w:val="28"/>
          <w:szCs w:val="28"/>
          <w:lang w:val="es-ES_tradnl"/>
        </w:rPr>
        <w:t xml:space="preserve"> que</w:t>
      </w:r>
      <w:r w:rsidR="004D2C6B" w:rsidRPr="00AB4289">
        <w:rPr>
          <w:sz w:val="28"/>
          <w:szCs w:val="28"/>
          <w:lang w:val="es-ES_tradnl"/>
        </w:rPr>
        <w:t xml:space="preserve"> la Secretaría debe guardar </w:t>
      </w:r>
      <w:r w:rsidR="00AA26A9" w:rsidRPr="00AB4289">
        <w:rPr>
          <w:sz w:val="28"/>
          <w:szCs w:val="28"/>
          <w:lang w:val="es-ES_tradnl"/>
        </w:rPr>
        <w:t xml:space="preserve">los documentos que acreditan el cumplimiento de </w:t>
      </w:r>
      <w:r w:rsidR="004D2C6B" w:rsidRPr="00AB4289">
        <w:rPr>
          <w:sz w:val="28"/>
          <w:szCs w:val="28"/>
          <w:lang w:val="es-ES_tradnl"/>
        </w:rPr>
        <w:t xml:space="preserve">los </w:t>
      </w:r>
      <w:r w:rsidR="00AA26A9" w:rsidRPr="00AB4289">
        <w:rPr>
          <w:sz w:val="28"/>
          <w:szCs w:val="28"/>
          <w:lang w:val="es-ES_tradnl"/>
        </w:rPr>
        <w:t xml:space="preserve">requisitos </w:t>
      </w:r>
      <w:r w:rsidR="00A55AE4" w:rsidRPr="00AB4289">
        <w:rPr>
          <w:sz w:val="28"/>
          <w:szCs w:val="28"/>
          <w:lang w:val="es-ES_tradnl"/>
        </w:rPr>
        <w:t>al momento de posesionarse en el cargo</w:t>
      </w:r>
      <w:r w:rsidR="00AA26A9" w:rsidRPr="00AB4289">
        <w:rPr>
          <w:sz w:val="28"/>
          <w:szCs w:val="28"/>
          <w:lang w:val="es-ES_tradnl"/>
        </w:rPr>
        <w:t>.</w:t>
      </w:r>
      <w:r w:rsidR="00135145" w:rsidRPr="00AB4289">
        <w:rPr>
          <w:sz w:val="28"/>
          <w:szCs w:val="28"/>
          <w:lang w:val="es-ES_tradnl"/>
        </w:rPr>
        <w:t xml:space="preserve"> </w:t>
      </w:r>
      <w:r w:rsidR="00243509" w:rsidRPr="00AB4289">
        <w:rPr>
          <w:sz w:val="28"/>
          <w:szCs w:val="28"/>
          <w:lang w:val="es-ES_tradnl"/>
        </w:rPr>
        <w:t>Por tanto</w:t>
      </w:r>
      <w:r w:rsidR="00B74793" w:rsidRPr="00AB4289">
        <w:rPr>
          <w:sz w:val="28"/>
          <w:szCs w:val="28"/>
          <w:lang w:val="es-ES_tradnl"/>
        </w:rPr>
        <w:t xml:space="preserve">, </w:t>
      </w:r>
      <w:r w:rsidR="00D22F20" w:rsidRPr="00AB4289">
        <w:rPr>
          <w:sz w:val="28"/>
          <w:szCs w:val="28"/>
          <w:lang w:val="es-ES_tradnl"/>
        </w:rPr>
        <w:t>c</w:t>
      </w:r>
      <w:r w:rsidR="00A40E42" w:rsidRPr="00AB4289">
        <w:rPr>
          <w:sz w:val="28"/>
          <w:szCs w:val="28"/>
          <w:lang w:val="es-ES_tradnl"/>
        </w:rPr>
        <w:t>o</w:t>
      </w:r>
      <w:r w:rsidR="00D22F20" w:rsidRPr="00AB4289">
        <w:rPr>
          <w:sz w:val="28"/>
          <w:szCs w:val="28"/>
          <w:lang w:val="es-ES_tradnl"/>
        </w:rPr>
        <w:t>mo las hojas de vida,</w:t>
      </w:r>
      <w:r w:rsidR="00B74793" w:rsidRPr="00AB4289">
        <w:rPr>
          <w:sz w:val="28"/>
          <w:szCs w:val="28"/>
          <w:lang w:val="es-ES_tradnl"/>
        </w:rPr>
        <w:t xml:space="preserve"> </w:t>
      </w:r>
      <w:r w:rsidR="00AA26A9" w:rsidRPr="00AB4289">
        <w:rPr>
          <w:sz w:val="28"/>
          <w:szCs w:val="28"/>
          <w:lang w:val="es-ES_tradnl"/>
        </w:rPr>
        <w:t xml:space="preserve">los soportes de </w:t>
      </w:r>
      <w:r w:rsidR="004D2C6B" w:rsidRPr="00AB4289">
        <w:rPr>
          <w:sz w:val="28"/>
          <w:szCs w:val="28"/>
          <w:lang w:val="es-ES_tradnl"/>
        </w:rPr>
        <w:t xml:space="preserve">las </w:t>
      </w:r>
      <w:r w:rsidR="00AA26A9" w:rsidRPr="00AB4289">
        <w:rPr>
          <w:sz w:val="28"/>
          <w:szCs w:val="28"/>
          <w:lang w:val="es-ES_tradnl"/>
        </w:rPr>
        <w:t>hojas de vida</w:t>
      </w:r>
      <w:r w:rsidR="00135145" w:rsidRPr="00AB4289">
        <w:rPr>
          <w:sz w:val="28"/>
          <w:szCs w:val="28"/>
          <w:lang w:val="es-ES_tradnl"/>
        </w:rPr>
        <w:t xml:space="preserve"> y</w:t>
      </w:r>
      <w:r w:rsidR="00AA26A9" w:rsidRPr="00AB4289">
        <w:rPr>
          <w:sz w:val="28"/>
          <w:szCs w:val="28"/>
          <w:lang w:val="es-ES_tradnl"/>
        </w:rPr>
        <w:t xml:space="preserve"> l</w:t>
      </w:r>
      <w:r w:rsidR="004D2C6B" w:rsidRPr="00AB4289">
        <w:rPr>
          <w:sz w:val="28"/>
          <w:szCs w:val="28"/>
          <w:lang w:val="es-ES_tradnl"/>
        </w:rPr>
        <w:t xml:space="preserve">a declaración de bienes y conflictos de interés </w:t>
      </w:r>
      <w:r w:rsidR="00B74793" w:rsidRPr="00AB4289">
        <w:rPr>
          <w:sz w:val="28"/>
          <w:szCs w:val="28"/>
          <w:lang w:val="es-ES_tradnl"/>
        </w:rPr>
        <w:t xml:space="preserve">son documentos que </w:t>
      </w:r>
      <w:r w:rsidR="00AA26A9" w:rsidRPr="00AB4289">
        <w:rPr>
          <w:sz w:val="28"/>
          <w:szCs w:val="28"/>
          <w:lang w:val="es-ES_tradnl"/>
        </w:rPr>
        <w:t>deben presentar los magistrados al momento de su posesión</w:t>
      </w:r>
      <w:r w:rsidR="00247920" w:rsidRPr="00AB4289">
        <w:rPr>
          <w:rStyle w:val="Refdenotaalpie"/>
          <w:rFonts w:cs="Times New Roman"/>
          <w:sz w:val="28"/>
          <w:szCs w:val="28"/>
          <w:lang w:val="es-ES_tradnl"/>
        </w:rPr>
        <w:footnoteReference w:id="24"/>
      </w:r>
      <w:r w:rsidR="00247920" w:rsidRPr="00AB4289">
        <w:rPr>
          <w:sz w:val="28"/>
          <w:szCs w:val="28"/>
          <w:lang w:val="es-ES_tradnl"/>
        </w:rPr>
        <w:t>,</w:t>
      </w:r>
      <w:r w:rsidR="00B74793" w:rsidRPr="00AB4289">
        <w:rPr>
          <w:sz w:val="28"/>
          <w:szCs w:val="28"/>
          <w:lang w:val="es-ES_tradnl"/>
        </w:rPr>
        <w:t xml:space="preserve"> entonces</w:t>
      </w:r>
      <w:r w:rsidR="00AA26A9" w:rsidRPr="00AB4289">
        <w:rPr>
          <w:sz w:val="28"/>
          <w:szCs w:val="28"/>
          <w:lang w:val="es-ES_tradnl"/>
        </w:rPr>
        <w:t xml:space="preserve"> </w:t>
      </w:r>
      <w:r w:rsidR="00A55AE4" w:rsidRPr="00AB4289">
        <w:rPr>
          <w:sz w:val="28"/>
          <w:szCs w:val="28"/>
          <w:lang w:val="es-ES_tradnl"/>
        </w:rPr>
        <w:t xml:space="preserve">se puede concluir </w:t>
      </w:r>
      <w:r w:rsidR="00AA26A9" w:rsidRPr="00AB4289">
        <w:rPr>
          <w:sz w:val="28"/>
          <w:szCs w:val="28"/>
          <w:lang w:val="es-ES_tradnl"/>
        </w:rPr>
        <w:t xml:space="preserve">que </w:t>
      </w:r>
      <w:r w:rsidR="00B74793" w:rsidRPr="00AB4289">
        <w:rPr>
          <w:sz w:val="28"/>
          <w:szCs w:val="28"/>
          <w:lang w:val="es-ES_tradnl"/>
        </w:rPr>
        <w:t xml:space="preserve">la Secretaría </w:t>
      </w:r>
      <w:r w:rsidR="004D2C6B" w:rsidRPr="00AB4289">
        <w:rPr>
          <w:sz w:val="28"/>
          <w:szCs w:val="28"/>
          <w:lang w:val="es-ES_tradnl"/>
        </w:rPr>
        <w:t>también</w:t>
      </w:r>
      <w:r w:rsidR="00B74793" w:rsidRPr="00AB4289">
        <w:rPr>
          <w:sz w:val="28"/>
          <w:szCs w:val="28"/>
          <w:lang w:val="es-ES_tradnl"/>
        </w:rPr>
        <w:t xml:space="preserve"> </w:t>
      </w:r>
      <w:r w:rsidR="00243509" w:rsidRPr="00AB4289">
        <w:rPr>
          <w:sz w:val="28"/>
          <w:szCs w:val="28"/>
          <w:lang w:val="es-ES_tradnl"/>
        </w:rPr>
        <w:t>custodia</w:t>
      </w:r>
      <w:r w:rsidR="00B74793" w:rsidRPr="00AB4289">
        <w:rPr>
          <w:sz w:val="28"/>
          <w:szCs w:val="28"/>
          <w:lang w:val="es-ES_tradnl"/>
        </w:rPr>
        <w:t xml:space="preserve"> dich</w:t>
      </w:r>
      <w:r w:rsidR="00243509" w:rsidRPr="00AB4289">
        <w:rPr>
          <w:sz w:val="28"/>
          <w:szCs w:val="28"/>
          <w:lang w:val="es-ES_tradnl"/>
        </w:rPr>
        <w:t>a</w:t>
      </w:r>
      <w:r w:rsidR="00B74793" w:rsidRPr="00AB4289">
        <w:rPr>
          <w:sz w:val="28"/>
          <w:szCs w:val="28"/>
          <w:lang w:val="es-ES_tradnl"/>
        </w:rPr>
        <w:t xml:space="preserve"> </w:t>
      </w:r>
      <w:r w:rsidR="00243509" w:rsidRPr="00AB4289">
        <w:rPr>
          <w:sz w:val="28"/>
          <w:szCs w:val="28"/>
          <w:lang w:val="es-ES_tradnl"/>
        </w:rPr>
        <w:t>información</w:t>
      </w:r>
      <w:r w:rsidR="00B74793" w:rsidRPr="00AB4289">
        <w:rPr>
          <w:sz w:val="28"/>
          <w:szCs w:val="28"/>
          <w:lang w:val="es-ES_tradnl"/>
        </w:rPr>
        <w:t>.</w:t>
      </w:r>
      <w:r w:rsidR="00135145" w:rsidRPr="00AB4289">
        <w:rPr>
          <w:sz w:val="28"/>
          <w:szCs w:val="28"/>
          <w:lang w:val="es-ES_tradnl"/>
        </w:rPr>
        <w:t xml:space="preserve"> </w:t>
      </w:r>
    </w:p>
    <w:p w14:paraId="3DD07C75" w14:textId="77777777" w:rsidR="005E1C7A" w:rsidRPr="00AB4289" w:rsidRDefault="005E1C7A" w:rsidP="00B40BE5">
      <w:pPr>
        <w:pStyle w:val="NormalWeb"/>
        <w:tabs>
          <w:tab w:val="left" w:pos="284"/>
          <w:tab w:val="left" w:pos="426"/>
          <w:tab w:val="left" w:pos="567"/>
        </w:tabs>
        <w:spacing w:before="0" w:beforeAutospacing="0" w:after="0" w:afterAutospacing="0"/>
        <w:ind w:left="567" w:right="49" w:hanging="567"/>
        <w:jc w:val="both"/>
        <w:rPr>
          <w:sz w:val="28"/>
          <w:szCs w:val="28"/>
          <w:lang w:val="es-ES_tradnl"/>
        </w:rPr>
      </w:pPr>
    </w:p>
    <w:p w14:paraId="1D5C5C53" w14:textId="270E9769" w:rsidR="00AA1B04" w:rsidRPr="00AB4289" w:rsidRDefault="00C0779C"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Por otro lado</w:t>
      </w:r>
      <w:r w:rsidR="005E1C7A" w:rsidRPr="00AB4289">
        <w:rPr>
          <w:sz w:val="28"/>
          <w:szCs w:val="28"/>
          <w:lang w:val="es-ES_tradnl"/>
        </w:rPr>
        <w:t xml:space="preserve">, no puede afirmarse con certeza que la Corte Suprema de Justicia custodie físicamente las declaraciones de renta y sus actualizaciones, dado que dichos documentos no constituyen un requisito </w:t>
      </w:r>
      <w:r w:rsidR="00F61636" w:rsidRPr="00AB4289">
        <w:rPr>
          <w:sz w:val="28"/>
          <w:szCs w:val="28"/>
          <w:lang w:val="es-ES_tradnl"/>
        </w:rPr>
        <w:t>de posesión de los magistrados</w:t>
      </w:r>
      <w:r w:rsidR="005E1C7A" w:rsidRPr="00AB4289">
        <w:rPr>
          <w:sz w:val="28"/>
          <w:szCs w:val="28"/>
          <w:lang w:val="es-ES_tradnl"/>
        </w:rPr>
        <w:t>.</w:t>
      </w:r>
      <w:r w:rsidR="00135145" w:rsidRPr="00AB4289">
        <w:rPr>
          <w:sz w:val="28"/>
          <w:szCs w:val="28"/>
          <w:lang w:val="es-ES_tradnl"/>
        </w:rPr>
        <w:t xml:space="preserve"> </w:t>
      </w:r>
      <w:r w:rsidR="005E1C7A" w:rsidRPr="00AB4289">
        <w:rPr>
          <w:sz w:val="28"/>
          <w:szCs w:val="28"/>
          <w:lang w:val="es-ES_tradnl"/>
        </w:rPr>
        <w:t xml:space="preserve">No </w:t>
      </w:r>
      <w:proofErr w:type="gramStart"/>
      <w:r w:rsidR="005E1C7A" w:rsidRPr="00AB4289">
        <w:rPr>
          <w:sz w:val="28"/>
          <w:szCs w:val="28"/>
          <w:lang w:val="es-ES_tradnl"/>
        </w:rPr>
        <w:t>obstante,</w:t>
      </w:r>
      <w:r w:rsidR="00AA1B04" w:rsidRPr="00AB4289">
        <w:rPr>
          <w:sz w:val="28"/>
          <w:szCs w:val="28"/>
          <w:lang w:val="es-ES_tradnl"/>
        </w:rPr>
        <w:t xml:space="preserve"> </w:t>
      </w:r>
      <w:r w:rsidR="00B66B21" w:rsidRPr="00AB4289">
        <w:rPr>
          <w:sz w:val="28"/>
          <w:szCs w:val="28"/>
          <w:lang w:val="es-ES_tradnl"/>
        </w:rPr>
        <w:t xml:space="preserve"> </w:t>
      </w:r>
      <w:r w:rsidR="00F61636" w:rsidRPr="00AB4289">
        <w:rPr>
          <w:sz w:val="28"/>
          <w:szCs w:val="28"/>
          <w:lang w:val="es-ES_tradnl"/>
        </w:rPr>
        <w:t>la</w:t>
      </w:r>
      <w:proofErr w:type="gramEnd"/>
      <w:r w:rsidR="00F61636" w:rsidRPr="00AB4289">
        <w:rPr>
          <w:sz w:val="28"/>
          <w:szCs w:val="28"/>
          <w:lang w:val="es-ES_tradnl"/>
        </w:rPr>
        <w:t xml:space="preserve"> </w:t>
      </w:r>
      <w:r w:rsidR="00B66B21" w:rsidRPr="00AB4289">
        <w:rPr>
          <w:sz w:val="28"/>
          <w:szCs w:val="28"/>
          <w:lang w:val="es-ES_tradnl"/>
        </w:rPr>
        <w:t xml:space="preserve">Corte Suprema de Justicia </w:t>
      </w:r>
      <w:r w:rsidR="005E1C7A" w:rsidRPr="00AB4289">
        <w:rPr>
          <w:sz w:val="28"/>
          <w:szCs w:val="28"/>
          <w:lang w:val="es-ES_tradnl"/>
        </w:rPr>
        <w:t>sí ejerce un grado de control institucional sobre dicha información</w:t>
      </w:r>
      <w:r w:rsidR="004E58DB" w:rsidRPr="00AB4289">
        <w:rPr>
          <w:sz w:val="28"/>
          <w:szCs w:val="28"/>
          <w:lang w:val="es-ES_tradnl"/>
        </w:rPr>
        <w:t>, de forma que</w:t>
      </w:r>
      <w:r w:rsidR="00AA1B04" w:rsidRPr="00AB4289">
        <w:rPr>
          <w:sz w:val="28"/>
          <w:szCs w:val="28"/>
          <w:lang w:val="es-ES_tradnl"/>
        </w:rPr>
        <w:t xml:space="preserve"> </w:t>
      </w:r>
      <w:r w:rsidR="00F42DF3" w:rsidRPr="00AB4289">
        <w:rPr>
          <w:sz w:val="28"/>
          <w:szCs w:val="28"/>
          <w:lang w:val="es-ES_tradnl"/>
        </w:rPr>
        <w:t xml:space="preserve">está obligada </w:t>
      </w:r>
      <w:r w:rsidR="00AA1B04" w:rsidRPr="00AB4289">
        <w:rPr>
          <w:sz w:val="28"/>
          <w:szCs w:val="28"/>
          <w:lang w:val="es-ES_tradnl"/>
        </w:rPr>
        <w:t>a recopilarla y suministrarla en caso de que no se encuentre debidamente publicada en los aplicativos oficiales</w:t>
      </w:r>
      <w:r w:rsidR="00E61611" w:rsidRPr="00AB4289">
        <w:rPr>
          <w:sz w:val="28"/>
          <w:szCs w:val="28"/>
          <w:lang w:val="es-ES_tradnl"/>
        </w:rPr>
        <w:t xml:space="preserve"> correspondientes</w:t>
      </w:r>
      <w:r w:rsidR="00B66B21" w:rsidRPr="00AB4289">
        <w:rPr>
          <w:sz w:val="28"/>
          <w:szCs w:val="28"/>
          <w:lang w:val="es-ES_tradnl"/>
        </w:rPr>
        <w:t>, en función de</w:t>
      </w:r>
      <w:r w:rsidR="004E58DB" w:rsidRPr="00AB4289">
        <w:rPr>
          <w:sz w:val="28"/>
          <w:szCs w:val="28"/>
          <w:lang w:val="es-ES_tradnl"/>
        </w:rPr>
        <w:t xml:space="preserve"> lo dispuesto en la Ley 1712 de 2014</w:t>
      </w:r>
      <w:r w:rsidR="00AA1B04" w:rsidRPr="00AB4289">
        <w:rPr>
          <w:sz w:val="28"/>
          <w:szCs w:val="28"/>
          <w:lang w:val="es-ES_tradnl"/>
        </w:rPr>
        <w:t xml:space="preserve">.  </w:t>
      </w:r>
    </w:p>
    <w:p w14:paraId="7B4EADF9" w14:textId="77777777" w:rsidR="00AA1B04" w:rsidRPr="00AB4289" w:rsidRDefault="00AA1B04" w:rsidP="00B40BE5">
      <w:pPr>
        <w:pStyle w:val="Prrafodelista"/>
        <w:rPr>
          <w:sz w:val="28"/>
          <w:szCs w:val="28"/>
          <w:lang w:val="es-ES_tradnl"/>
        </w:rPr>
      </w:pPr>
    </w:p>
    <w:p w14:paraId="794ADC40" w14:textId="77777777" w:rsidR="00F42DF3" w:rsidRPr="00AB4289" w:rsidRDefault="00E61611"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En efecto, las Altas Cortes son uno de los sujetos a los que se les aplican las disposiciones contenidas en</w:t>
      </w:r>
      <w:r w:rsidR="004E58DB" w:rsidRPr="00AB4289">
        <w:rPr>
          <w:sz w:val="28"/>
          <w:szCs w:val="28"/>
          <w:lang w:val="es-ES_tradnl"/>
        </w:rPr>
        <w:t xml:space="preserve"> dicha normatividad</w:t>
      </w:r>
      <w:r w:rsidRPr="00AB4289">
        <w:rPr>
          <w:rStyle w:val="Refdenotaalpie"/>
          <w:sz w:val="28"/>
          <w:szCs w:val="28"/>
          <w:lang w:val="es-ES_tradnl"/>
        </w:rPr>
        <w:footnoteReference w:id="25"/>
      </w:r>
      <w:r w:rsidRPr="00AB4289">
        <w:rPr>
          <w:sz w:val="28"/>
          <w:szCs w:val="28"/>
          <w:lang w:val="es-ES_tradnl"/>
        </w:rPr>
        <w:t xml:space="preserve">. Además, </w:t>
      </w:r>
      <w:r w:rsidR="004E58DB" w:rsidRPr="00AB4289">
        <w:rPr>
          <w:sz w:val="28"/>
          <w:szCs w:val="28"/>
          <w:lang w:val="es-ES_tradnl"/>
        </w:rPr>
        <w:t>la L</w:t>
      </w:r>
      <w:r w:rsidR="00B66B21" w:rsidRPr="00AB4289">
        <w:rPr>
          <w:sz w:val="28"/>
          <w:szCs w:val="28"/>
          <w:lang w:val="es-ES_tradnl"/>
        </w:rPr>
        <w:t>ey</w:t>
      </w:r>
      <w:r w:rsidRPr="00AB4289">
        <w:rPr>
          <w:sz w:val="28"/>
          <w:szCs w:val="28"/>
          <w:lang w:val="es-ES_tradnl"/>
        </w:rPr>
        <w:t xml:space="preserve"> </w:t>
      </w:r>
      <w:r w:rsidR="004E58DB" w:rsidRPr="00AB4289">
        <w:rPr>
          <w:sz w:val="28"/>
          <w:szCs w:val="28"/>
          <w:lang w:val="es-ES_tradnl"/>
        </w:rPr>
        <w:t xml:space="preserve">1712 de 2014 </w:t>
      </w:r>
      <w:r w:rsidRPr="00AB4289">
        <w:rPr>
          <w:sz w:val="28"/>
          <w:szCs w:val="28"/>
          <w:lang w:val="es-ES_tradnl"/>
        </w:rPr>
        <w:t xml:space="preserve">consagra </w:t>
      </w:r>
      <w:r w:rsidR="00B66B21" w:rsidRPr="00AB4289">
        <w:rPr>
          <w:sz w:val="28"/>
          <w:szCs w:val="28"/>
          <w:lang w:val="es-ES_tradnl"/>
        </w:rPr>
        <w:t xml:space="preserve">el principio de transparencia, en función del cual los sujetos </w:t>
      </w:r>
      <w:r w:rsidR="00B66B21" w:rsidRPr="00AB4289">
        <w:rPr>
          <w:sz w:val="28"/>
          <w:szCs w:val="28"/>
          <w:lang w:val="es-ES_tradnl"/>
        </w:rPr>
        <w:lastRenderedPageBreak/>
        <w:t>obligados tienen el deber de proporcionar y facilitar el acceso a la información pública</w:t>
      </w:r>
      <w:r w:rsidR="00B66B21" w:rsidRPr="00AB4289">
        <w:rPr>
          <w:rStyle w:val="Refdenotaalpie"/>
          <w:sz w:val="28"/>
          <w:szCs w:val="28"/>
          <w:lang w:val="es-ES_tradnl"/>
        </w:rPr>
        <w:footnoteReference w:id="26"/>
      </w:r>
      <w:r w:rsidR="00B66B21" w:rsidRPr="00AB4289">
        <w:rPr>
          <w:sz w:val="28"/>
          <w:szCs w:val="28"/>
          <w:lang w:val="es-ES_tradnl"/>
        </w:rPr>
        <w:t>; al igual que e</w:t>
      </w:r>
      <w:r w:rsidRPr="00AB4289">
        <w:rPr>
          <w:sz w:val="28"/>
          <w:szCs w:val="28"/>
          <w:lang w:val="es-ES_tradnl"/>
        </w:rPr>
        <w:t xml:space="preserve">l principio de máxima publicidad, según el cual </w:t>
      </w:r>
      <w:r w:rsidR="00B66B21" w:rsidRPr="00AB4289">
        <w:rPr>
          <w:sz w:val="28"/>
          <w:szCs w:val="28"/>
          <w:lang w:val="es-ES_tradnl"/>
        </w:rPr>
        <w:t xml:space="preserve">por regla general </w:t>
      </w:r>
      <w:r w:rsidRPr="00AB4289">
        <w:rPr>
          <w:sz w:val="28"/>
          <w:szCs w:val="28"/>
          <w:lang w:val="es-ES_tradnl"/>
        </w:rPr>
        <w:t>toda información es pública siempre que esté “en posesión, bajo control o custodia de un sujeto obligado”</w:t>
      </w:r>
      <w:r w:rsidR="00B66B21" w:rsidRPr="00AB4289">
        <w:rPr>
          <w:rStyle w:val="Refdenotaalpie"/>
          <w:sz w:val="28"/>
          <w:szCs w:val="28"/>
          <w:lang w:val="es-ES_tradnl"/>
        </w:rPr>
        <w:footnoteReference w:id="27"/>
      </w:r>
      <w:r w:rsidR="00B66B21" w:rsidRPr="00AB4289">
        <w:rPr>
          <w:sz w:val="28"/>
          <w:szCs w:val="28"/>
          <w:lang w:val="es-ES_tradnl"/>
        </w:rPr>
        <w:t xml:space="preserve">. </w:t>
      </w:r>
    </w:p>
    <w:p w14:paraId="47F087DF" w14:textId="77777777" w:rsidR="00F42DF3" w:rsidRPr="00AB4289" w:rsidRDefault="00F42DF3" w:rsidP="00B40BE5">
      <w:pPr>
        <w:pStyle w:val="Prrafodelista"/>
        <w:rPr>
          <w:sz w:val="28"/>
          <w:szCs w:val="28"/>
          <w:lang w:val="es-ES_tradnl"/>
        </w:rPr>
      </w:pPr>
    </w:p>
    <w:p w14:paraId="420EE3D0" w14:textId="75D36717" w:rsidR="004E58DB" w:rsidRPr="00AB4289" w:rsidRDefault="00B66B21"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 xml:space="preserve">Desde esa perspectiva, </w:t>
      </w:r>
      <w:r w:rsidR="004E58DB" w:rsidRPr="00AB4289">
        <w:rPr>
          <w:sz w:val="28"/>
          <w:szCs w:val="28"/>
          <w:lang w:val="es-ES_tradnl"/>
        </w:rPr>
        <w:t>aunque no existe certeza de que la Secretaría de la Corte Suprema de Justicia tenga la custodia física de las declaraciones de renta de los magistrados, lo relevante es que esta dependencia ejerce un cierto grado de control sobre dicha información</w:t>
      </w:r>
      <w:r w:rsidR="00F42DF3" w:rsidRPr="00AB4289">
        <w:rPr>
          <w:sz w:val="28"/>
          <w:szCs w:val="28"/>
          <w:lang w:val="es-ES_tradnl"/>
        </w:rPr>
        <w:t xml:space="preserve">, pues </w:t>
      </w:r>
      <w:r w:rsidR="004E58DB" w:rsidRPr="00AB4289">
        <w:rPr>
          <w:sz w:val="28"/>
          <w:szCs w:val="28"/>
          <w:lang w:val="es-ES_tradnl"/>
        </w:rPr>
        <w:t xml:space="preserve">se encuentra en la mejor posición para </w:t>
      </w:r>
      <w:r w:rsidR="00F42DF3" w:rsidRPr="00AB4289">
        <w:rPr>
          <w:sz w:val="28"/>
          <w:szCs w:val="28"/>
          <w:lang w:val="es-ES_tradnl"/>
        </w:rPr>
        <w:t>recabarla y garantizar</w:t>
      </w:r>
      <w:r w:rsidR="004E58DB" w:rsidRPr="00AB4289">
        <w:rPr>
          <w:sz w:val="28"/>
          <w:szCs w:val="28"/>
          <w:lang w:val="es-ES_tradnl"/>
        </w:rPr>
        <w:t xml:space="preserve"> </w:t>
      </w:r>
      <w:r w:rsidR="00F42DF3" w:rsidRPr="00AB4289">
        <w:rPr>
          <w:sz w:val="28"/>
          <w:szCs w:val="28"/>
          <w:lang w:val="es-ES_tradnl"/>
        </w:rPr>
        <w:t xml:space="preserve">su acceso. Lo anterior, en aquellos casos en los que las declaraciones del impuesto sobre la renta y complementarios no estén disponible en los aplicativos creados para divulgarlas. </w:t>
      </w:r>
    </w:p>
    <w:p w14:paraId="2B993F19" w14:textId="77777777" w:rsidR="00AA26A9" w:rsidRPr="00AB4289" w:rsidRDefault="00AA26A9"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686A7BF7" w14:textId="4A26D64A" w:rsidR="00AA26A9" w:rsidRPr="00AB4289" w:rsidRDefault="00AA26A9"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Con fundamento en lo anterior, se concluye que la Corte Suprema de Justicia cumple con la legitimación por pasiva en este proceso</w:t>
      </w:r>
      <w:r w:rsidR="005F160E" w:rsidRPr="00AB4289">
        <w:rPr>
          <w:sz w:val="28"/>
          <w:szCs w:val="28"/>
          <w:lang w:val="es-ES_tradnl"/>
        </w:rPr>
        <w:t>,</w:t>
      </w:r>
      <w:r w:rsidR="00540A0A" w:rsidRPr="00AB4289">
        <w:rPr>
          <w:sz w:val="28"/>
          <w:szCs w:val="28"/>
          <w:lang w:val="es-ES_tradnl"/>
        </w:rPr>
        <w:t xml:space="preserve"> pues es quien custodia o controla la información </w:t>
      </w:r>
      <w:r w:rsidR="00F42DF3" w:rsidRPr="00AB4289">
        <w:rPr>
          <w:sz w:val="28"/>
          <w:szCs w:val="28"/>
          <w:lang w:val="es-ES_tradnl"/>
        </w:rPr>
        <w:t xml:space="preserve">solicitada </w:t>
      </w:r>
      <w:r w:rsidR="00540A0A" w:rsidRPr="00AB4289">
        <w:rPr>
          <w:sz w:val="28"/>
          <w:szCs w:val="28"/>
          <w:lang w:val="es-ES_tradnl"/>
        </w:rPr>
        <w:t>y</w:t>
      </w:r>
      <w:r w:rsidR="00F42DF3" w:rsidRPr="00AB4289">
        <w:rPr>
          <w:sz w:val="28"/>
          <w:szCs w:val="28"/>
          <w:lang w:val="es-ES_tradnl"/>
        </w:rPr>
        <w:t>,</w:t>
      </w:r>
      <w:r w:rsidR="00540A0A" w:rsidRPr="00AB4289">
        <w:rPr>
          <w:sz w:val="28"/>
          <w:szCs w:val="28"/>
          <w:lang w:val="es-ES_tradnl"/>
        </w:rPr>
        <w:t xml:space="preserve"> por lo tanto</w:t>
      </w:r>
      <w:r w:rsidR="00F42DF3" w:rsidRPr="00AB4289">
        <w:rPr>
          <w:sz w:val="28"/>
          <w:szCs w:val="28"/>
          <w:lang w:val="es-ES_tradnl"/>
        </w:rPr>
        <w:t>,</w:t>
      </w:r>
      <w:r w:rsidR="00540A0A" w:rsidRPr="00AB4289">
        <w:rPr>
          <w:sz w:val="28"/>
          <w:szCs w:val="28"/>
          <w:lang w:val="es-ES_tradnl"/>
        </w:rPr>
        <w:t xml:space="preserve"> es un sujeto obligado en virtud de los artículos 2, 4 y 5 de la Ley 1712 de 2014</w:t>
      </w:r>
      <w:r w:rsidRPr="00AB4289">
        <w:rPr>
          <w:sz w:val="28"/>
          <w:szCs w:val="28"/>
          <w:lang w:val="es-ES_tradnl"/>
        </w:rPr>
        <w:t>. E</w:t>
      </w:r>
      <w:r w:rsidR="00540A0A" w:rsidRPr="00AB4289">
        <w:rPr>
          <w:sz w:val="28"/>
          <w:szCs w:val="28"/>
          <w:lang w:val="es-ES_tradnl"/>
        </w:rPr>
        <w:t>n efecto, es</w:t>
      </w:r>
      <w:r w:rsidRPr="00AB4289">
        <w:rPr>
          <w:sz w:val="28"/>
          <w:szCs w:val="28"/>
          <w:lang w:val="es-ES_tradnl"/>
        </w:rPr>
        <w:t xml:space="preserve"> dicha institución la que presuntamente vulneró los derechos del accionante </w:t>
      </w:r>
      <w:r w:rsidR="00540A0A" w:rsidRPr="00AB4289">
        <w:rPr>
          <w:sz w:val="28"/>
          <w:szCs w:val="28"/>
          <w:lang w:val="es-ES_tradnl"/>
        </w:rPr>
        <w:t>-</w:t>
      </w:r>
      <w:r w:rsidR="008741BA" w:rsidRPr="00AB4289">
        <w:rPr>
          <w:sz w:val="28"/>
          <w:szCs w:val="28"/>
          <w:lang w:val="es-ES_tradnl"/>
        </w:rPr>
        <w:t xml:space="preserve">pues fue quien negó </w:t>
      </w:r>
      <w:r w:rsidRPr="00AB4289">
        <w:rPr>
          <w:sz w:val="28"/>
          <w:szCs w:val="28"/>
          <w:lang w:val="es-ES_tradnl"/>
        </w:rPr>
        <w:t>la entrega de la información solicitada</w:t>
      </w:r>
      <w:r w:rsidR="00540A0A" w:rsidRPr="00AB4289">
        <w:rPr>
          <w:sz w:val="28"/>
          <w:szCs w:val="28"/>
          <w:lang w:val="es-ES_tradnl"/>
        </w:rPr>
        <w:t>-</w:t>
      </w:r>
      <w:r w:rsidRPr="00AB4289">
        <w:rPr>
          <w:sz w:val="28"/>
          <w:szCs w:val="28"/>
          <w:lang w:val="es-ES_tradnl"/>
        </w:rPr>
        <w:t>, y también</w:t>
      </w:r>
      <w:r w:rsidR="008741BA" w:rsidRPr="00AB4289">
        <w:rPr>
          <w:sz w:val="28"/>
          <w:szCs w:val="28"/>
          <w:lang w:val="es-ES_tradnl"/>
        </w:rPr>
        <w:t xml:space="preserve">, </w:t>
      </w:r>
      <w:r w:rsidRPr="00AB4289">
        <w:rPr>
          <w:sz w:val="28"/>
          <w:szCs w:val="28"/>
          <w:lang w:val="es-ES_tradnl"/>
        </w:rPr>
        <w:t xml:space="preserve">en caso de prosperar la acción, </w:t>
      </w:r>
      <w:r w:rsidR="00540A0A" w:rsidRPr="00AB4289">
        <w:rPr>
          <w:sz w:val="28"/>
          <w:szCs w:val="28"/>
          <w:lang w:val="es-ES_tradnl"/>
        </w:rPr>
        <w:t xml:space="preserve">es la entidad que </w:t>
      </w:r>
      <w:r w:rsidRPr="00AB4289">
        <w:rPr>
          <w:sz w:val="28"/>
          <w:szCs w:val="28"/>
          <w:lang w:val="es-ES_tradnl"/>
        </w:rPr>
        <w:t xml:space="preserve">estaría en condiciones de restablecer </w:t>
      </w:r>
      <w:r w:rsidR="00540A0A" w:rsidRPr="00AB4289">
        <w:rPr>
          <w:sz w:val="28"/>
          <w:szCs w:val="28"/>
          <w:lang w:val="es-ES_tradnl"/>
        </w:rPr>
        <w:t>los derechos del accionantes</w:t>
      </w:r>
      <w:r w:rsidRPr="00AB4289">
        <w:rPr>
          <w:sz w:val="28"/>
          <w:szCs w:val="28"/>
          <w:lang w:val="es-ES_tradnl"/>
        </w:rPr>
        <w:t>,</w:t>
      </w:r>
      <w:r w:rsidR="00540A0A" w:rsidRPr="00AB4289">
        <w:rPr>
          <w:sz w:val="28"/>
          <w:szCs w:val="28"/>
          <w:lang w:val="es-ES_tradnl"/>
        </w:rPr>
        <w:t xml:space="preserve"> en la medida que la Secretaría General </w:t>
      </w:r>
      <w:r w:rsidR="00243509" w:rsidRPr="00AB4289">
        <w:rPr>
          <w:sz w:val="28"/>
          <w:szCs w:val="28"/>
          <w:lang w:val="es-ES_tradnl"/>
        </w:rPr>
        <w:t>(i) tiene custodia de las hojas de vida, sus soportes y la declaración de bienes y conflictos de interés, y (</w:t>
      </w:r>
      <w:proofErr w:type="spellStart"/>
      <w:r w:rsidR="00243509" w:rsidRPr="00AB4289">
        <w:rPr>
          <w:sz w:val="28"/>
          <w:szCs w:val="28"/>
          <w:lang w:val="es-ES_tradnl"/>
        </w:rPr>
        <w:t>ii</w:t>
      </w:r>
      <w:proofErr w:type="spellEnd"/>
      <w:r w:rsidR="00243509" w:rsidRPr="00AB4289">
        <w:rPr>
          <w:sz w:val="28"/>
          <w:szCs w:val="28"/>
          <w:lang w:val="es-ES_tradnl"/>
        </w:rPr>
        <w:t xml:space="preserve">) </w:t>
      </w:r>
      <w:r w:rsidR="004E58DB" w:rsidRPr="00AB4289">
        <w:rPr>
          <w:sz w:val="28"/>
          <w:szCs w:val="28"/>
          <w:lang w:val="es-ES_tradnl"/>
        </w:rPr>
        <w:t>tiene control frente a</w:t>
      </w:r>
      <w:r w:rsidR="00243509" w:rsidRPr="00AB4289">
        <w:rPr>
          <w:sz w:val="28"/>
          <w:szCs w:val="28"/>
          <w:lang w:val="es-ES_tradnl"/>
        </w:rPr>
        <w:t xml:space="preserve"> las declaraciones de</w:t>
      </w:r>
      <w:r w:rsidR="004E58DB" w:rsidRPr="00AB4289">
        <w:rPr>
          <w:sz w:val="28"/>
          <w:szCs w:val="28"/>
          <w:lang w:val="es-ES_tradnl"/>
        </w:rPr>
        <w:t>l impuesto sobre la</w:t>
      </w:r>
      <w:r w:rsidR="00243509" w:rsidRPr="00AB4289">
        <w:rPr>
          <w:sz w:val="28"/>
          <w:szCs w:val="28"/>
          <w:lang w:val="es-ES_tradnl"/>
        </w:rPr>
        <w:t xml:space="preserve"> renta</w:t>
      </w:r>
      <w:r w:rsidR="004E58DB" w:rsidRPr="00AB4289">
        <w:rPr>
          <w:sz w:val="28"/>
          <w:szCs w:val="28"/>
          <w:lang w:val="es-ES_tradnl"/>
        </w:rPr>
        <w:t xml:space="preserve"> y complementarios de los magistrados</w:t>
      </w:r>
      <w:r w:rsidRPr="00AB4289">
        <w:rPr>
          <w:sz w:val="28"/>
          <w:szCs w:val="28"/>
          <w:lang w:val="es-ES_tradnl"/>
        </w:rPr>
        <w:t>.</w:t>
      </w:r>
    </w:p>
    <w:p w14:paraId="7A7F5E3A" w14:textId="77777777" w:rsidR="00600991" w:rsidRPr="00AB4289" w:rsidRDefault="00600991"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2E68AF75" w14:textId="7831F7BB" w:rsidR="006642AD" w:rsidRPr="00AB4289" w:rsidRDefault="00600991"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Por último, es necesario hacer un pronunciamiento sobre la</w:t>
      </w:r>
      <w:r w:rsidR="000B7720" w:rsidRPr="00AB4289">
        <w:rPr>
          <w:sz w:val="28"/>
          <w:szCs w:val="28"/>
          <w:lang w:val="es-ES_tradnl"/>
        </w:rPr>
        <w:t xml:space="preserve"> respuesta al auto de vinculación</w:t>
      </w:r>
      <w:r w:rsidR="000B7720" w:rsidRPr="00AB4289">
        <w:rPr>
          <w:rStyle w:val="Refdenotaalpie"/>
          <w:rFonts w:cs="Times New Roman"/>
          <w:sz w:val="28"/>
          <w:szCs w:val="28"/>
          <w:lang w:val="es-ES_tradnl"/>
        </w:rPr>
        <w:footnoteReference w:id="28"/>
      </w:r>
      <w:r w:rsidRPr="00AB4289">
        <w:rPr>
          <w:sz w:val="28"/>
          <w:szCs w:val="28"/>
          <w:lang w:val="es-ES_tradnl"/>
        </w:rPr>
        <w:t xml:space="preserve"> </w:t>
      </w:r>
      <w:r w:rsidR="000B7720" w:rsidRPr="00AB4289">
        <w:rPr>
          <w:sz w:val="28"/>
          <w:szCs w:val="28"/>
          <w:lang w:val="es-ES_tradnl"/>
        </w:rPr>
        <w:t xml:space="preserve">que enviaron el </w:t>
      </w:r>
      <w:r w:rsidRPr="00AB4289">
        <w:rPr>
          <w:sz w:val="28"/>
          <w:szCs w:val="28"/>
          <w:lang w:val="es-ES_tradnl"/>
        </w:rPr>
        <w:t>Consejo Superior de la Judicatura y el Departamento Administrativo de la Función Pública. En efecto, el Departamento</w:t>
      </w:r>
      <w:r w:rsidR="007C5CD4" w:rsidRPr="00AB4289">
        <w:rPr>
          <w:sz w:val="28"/>
          <w:szCs w:val="28"/>
          <w:lang w:val="es-ES_tradnl"/>
        </w:rPr>
        <w:t xml:space="preserve"> </w:t>
      </w:r>
      <w:r w:rsidRPr="00AB4289">
        <w:rPr>
          <w:sz w:val="28"/>
          <w:szCs w:val="28"/>
          <w:lang w:val="es-ES_tradnl"/>
        </w:rPr>
        <w:t xml:space="preserve">mencionó que no tiene ninguna competencia sobre los temas relacionados con las solicitudes elevadas por el señor Barrientos y </w:t>
      </w:r>
      <w:r w:rsidR="007C5CD4" w:rsidRPr="00AB4289">
        <w:rPr>
          <w:sz w:val="28"/>
          <w:szCs w:val="28"/>
          <w:lang w:val="es-ES_tradnl"/>
        </w:rPr>
        <w:t xml:space="preserve">pidió ser desvinculado </w:t>
      </w:r>
      <w:r w:rsidRPr="00AB4289">
        <w:rPr>
          <w:sz w:val="28"/>
          <w:szCs w:val="28"/>
          <w:lang w:val="es-ES_tradnl"/>
        </w:rPr>
        <w:t xml:space="preserve">del presente trámite. </w:t>
      </w:r>
    </w:p>
    <w:p w14:paraId="507DA6C4" w14:textId="77777777" w:rsidR="006642AD" w:rsidRPr="00AB4289" w:rsidRDefault="006642AD"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4385C734" w14:textId="4EF7B52A" w:rsidR="004973F6" w:rsidRPr="00AB4289" w:rsidRDefault="006642AD" w:rsidP="00B40BE5">
      <w:pPr>
        <w:pStyle w:val="NormalWeb"/>
        <w:numPr>
          <w:ilvl w:val="0"/>
          <w:numId w:val="2"/>
        </w:numPr>
        <w:spacing w:before="0" w:beforeAutospacing="0" w:after="0" w:afterAutospacing="0"/>
        <w:ind w:left="0" w:firstLine="0"/>
        <w:jc w:val="both"/>
        <w:rPr>
          <w:sz w:val="28"/>
          <w:szCs w:val="28"/>
          <w:lang w:val="es-ES_tradnl"/>
        </w:rPr>
      </w:pPr>
      <w:r w:rsidRPr="00AB4289">
        <w:rPr>
          <w:sz w:val="28"/>
          <w:szCs w:val="28"/>
          <w:lang w:val="es-ES_tradnl"/>
        </w:rPr>
        <w:t>No obstante, la Corte considera que dichas entidades</w:t>
      </w:r>
      <w:r w:rsidR="0026497A" w:rsidRPr="00AB4289">
        <w:rPr>
          <w:sz w:val="28"/>
          <w:szCs w:val="28"/>
          <w:lang w:val="es-ES_tradnl"/>
        </w:rPr>
        <w:t>, que fueron vinculadas como partes del proceso,</w:t>
      </w:r>
      <w:r w:rsidRPr="00AB4289">
        <w:rPr>
          <w:sz w:val="28"/>
          <w:szCs w:val="28"/>
          <w:lang w:val="es-ES_tradnl"/>
        </w:rPr>
        <w:t xml:space="preserve"> sí </w:t>
      </w:r>
      <w:r w:rsidR="00A907D6" w:rsidRPr="00AB4289">
        <w:rPr>
          <w:sz w:val="28"/>
          <w:szCs w:val="28"/>
          <w:lang w:val="es-ES_tradnl"/>
        </w:rPr>
        <w:t>tienen injerencia en</w:t>
      </w:r>
      <w:r w:rsidRPr="00AB4289">
        <w:rPr>
          <w:sz w:val="28"/>
          <w:szCs w:val="28"/>
          <w:lang w:val="es-ES_tradnl"/>
        </w:rPr>
        <w:t xml:space="preserve"> el cumplimiento de las pretensiones de la tutela y es necesario mantenerlas vinculadas al presente trámite. En efecto, tanto el Consejo Superior de la Judicatura como el Departamento Administrativo de la Función Pública tienen, por mandato legal, </w:t>
      </w:r>
      <w:r w:rsidRPr="00AB4289">
        <w:rPr>
          <w:sz w:val="28"/>
          <w:szCs w:val="28"/>
          <w:lang w:val="es-ES_tradnl"/>
        </w:rPr>
        <w:lastRenderedPageBreak/>
        <w:t xml:space="preserve">la responsabilidad de disponer y actualizar los aplicativos en los que reposa </w:t>
      </w:r>
      <w:r w:rsidR="007C5CD4" w:rsidRPr="00AB4289">
        <w:rPr>
          <w:sz w:val="28"/>
          <w:szCs w:val="28"/>
          <w:lang w:val="es-ES_tradnl"/>
        </w:rPr>
        <w:t xml:space="preserve">parte de </w:t>
      </w:r>
      <w:r w:rsidRPr="00AB4289">
        <w:rPr>
          <w:sz w:val="28"/>
          <w:szCs w:val="28"/>
          <w:lang w:val="es-ES_tradnl"/>
        </w:rPr>
        <w:t>la información solicitada por el señor Barriento</w:t>
      </w:r>
      <w:r w:rsidR="004514E9" w:rsidRPr="00AB4289">
        <w:rPr>
          <w:sz w:val="28"/>
          <w:szCs w:val="28"/>
          <w:lang w:val="es-ES_tradnl"/>
        </w:rPr>
        <w:t xml:space="preserve">s. </w:t>
      </w:r>
      <w:r w:rsidR="00F42DF3" w:rsidRPr="00AB4289">
        <w:rPr>
          <w:sz w:val="28"/>
          <w:szCs w:val="28"/>
          <w:lang w:val="es-ES_tradnl"/>
        </w:rPr>
        <w:t xml:space="preserve">Al respecto, </w:t>
      </w:r>
      <w:r w:rsidR="004514E9" w:rsidRPr="00AB4289">
        <w:rPr>
          <w:sz w:val="28"/>
          <w:szCs w:val="28"/>
          <w:lang w:val="es-ES_tradnl"/>
        </w:rPr>
        <w:t>el artículo 7 del Decreto 831 de 2021</w:t>
      </w:r>
      <w:r w:rsidR="004514E9" w:rsidRPr="00AB4289">
        <w:rPr>
          <w:sz w:val="28"/>
          <w:szCs w:val="28"/>
          <w:vertAlign w:val="superscript"/>
          <w:lang w:val="es-ES_tradnl"/>
        </w:rPr>
        <w:footnoteReference w:id="29"/>
      </w:r>
      <w:r w:rsidR="009E37C1" w:rsidRPr="00AB4289">
        <w:rPr>
          <w:sz w:val="28"/>
          <w:szCs w:val="28"/>
          <w:lang w:val="es-ES_tradnl"/>
        </w:rPr>
        <w:t xml:space="preserve"> y </w:t>
      </w:r>
      <w:r w:rsidR="004514E9" w:rsidRPr="00AB4289">
        <w:rPr>
          <w:sz w:val="28"/>
          <w:szCs w:val="28"/>
          <w:lang w:val="es-ES_tradnl"/>
        </w:rPr>
        <w:t>las Circulares PCSJC20-36 del 18 de noviembre de 2020</w:t>
      </w:r>
      <w:r w:rsidR="00F61636" w:rsidRPr="00AB4289">
        <w:rPr>
          <w:sz w:val="28"/>
          <w:szCs w:val="28"/>
          <w:vertAlign w:val="superscript"/>
          <w:lang w:val="es-ES_tradnl"/>
        </w:rPr>
        <w:t xml:space="preserve"> </w:t>
      </w:r>
      <w:r w:rsidR="004514E9" w:rsidRPr="00AB4289">
        <w:rPr>
          <w:sz w:val="28"/>
          <w:szCs w:val="28"/>
          <w:lang w:val="es-ES_tradnl"/>
        </w:rPr>
        <w:t>y PCSJS25-8 del 3 de marzo de 2025</w:t>
      </w:r>
      <w:r w:rsidR="004514E9" w:rsidRPr="00AB4289">
        <w:rPr>
          <w:sz w:val="28"/>
          <w:szCs w:val="28"/>
          <w:vertAlign w:val="superscript"/>
          <w:lang w:val="es-ES_tradnl"/>
        </w:rPr>
        <w:footnoteReference w:id="30"/>
      </w:r>
      <w:r w:rsidR="004514E9" w:rsidRPr="00AB4289">
        <w:rPr>
          <w:sz w:val="28"/>
          <w:szCs w:val="28"/>
          <w:lang w:val="es-ES_tradnl"/>
        </w:rPr>
        <w:t xml:space="preserve"> proferidas por el Consejo Superior de la Judicatur</w:t>
      </w:r>
      <w:r w:rsidR="009E37C1" w:rsidRPr="00AB4289">
        <w:rPr>
          <w:sz w:val="28"/>
          <w:szCs w:val="28"/>
          <w:lang w:val="es-ES_tradnl"/>
        </w:rPr>
        <w:t xml:space="preserve">a establecen que </w:t>
      </w:r>
      <w:r w:rsidR="0015650E" w:rsidRPr="00AB4289">
        <w:rPr>
          <w:sz w:val="28"/>
          <w:szCs w:val="28"/>
          <w:lang w:val="es-ES_tradnl"/>
        </w:rPr>
        <w:t>estas dos entidades están encargadas del manejo de los aplicativos existentes para cumplir las obligaciones de transparencia de los magistrados</w:t>
      </w:r>
      <w:r w:rsidR="004973F6" w:rsidRPr="00AB4289">
        <w:rPr>
          <w:sz w:val="28"/>
          <w:szCs w:val="28"/>
          <w:lang w:val="es-ES_tradnl"/>
        </w:rPr>
        <w:t xml:space="preserve"> de las Altas Cortes</w:t>
      </w:r>
      <w:r w:rsidR="0015650E" w:rsidRPr="00AB4289">
        <w:rPr>
          <w:sz w:val="28"/>
          <w:szCs w:val="28"/>
          <w:lang w:val="es-ES_tradnl"/>
        </w:rPr>
        <w:t xml:space="preserve">. </w:t>
      </w:r>
    </w:p>
    <w:p w14:paraId="7E37EF5A" w14:textId="77777777" w:rsidR="004973F6" w:rsidRPr="00AB4289" w:rsidRDefault="004973F6" w:rsidP="00B40BE5">
      <w:pPr>
        <w:pStyle w:val="Prrafodelista"/>
        <w:jc w:val="both"/>
        <w:rPr>
          <w:sz w:val="28"/>
          <w:szCs w:val="28"/>
          <w:lang w:val="es-ES_tradnl"/>
        </w:rPr>
      </w:pPr>
    </w:p>
    <w:p w14:paraId="682C7F22" w14:textId="2F6B5417" w:rsidR="006642AD" w:rsidRPr="00AB4289" w:rsidRDefault="006642AD" w:rsidP="00B40BE5">
      <w:pPr>
        <w:pStyle w:val="NormalWeb"/>
        <w:numPr>
          <w:ilvl w:val="0"/>
          <w:numId w:val="2"/>
        </w:numPr>
        <w:spacing w:before="0" w:beforeAutospacing="0" w:after="0" w:afterAutospacing="0"/>
        <w:ind w:left="0" w:firstLine="0"/>
        <w:jc w:val="both"/>
        <w:rPr>
          <w:sz w:val="28"/>
          <w:szCs w:val="28"/>
          <w:lang w:val="es-ES_tradnl"/>
        </w:rPr>
      </w:pPr>
      <w:r w:rsidRPr="00AB4289">
        <w:rPr>
          <w:sz w:val="28"/>
          <w:szCs w:val="28"/>
          <w:lang w:val="es-ES_tradnl"/>
        </w:rPr>
        <w:t>Por tanto, estas instituciones pueden incidir en la disponibilidad de dicha información, y, en caso de que</w:t>
      </w:r>
      <w:r w:rsidR="007C5CD4" w:rsidRPr="00AB4289">
        <w:rPr>
          <w:sz w:val="28"/>
          <w:szCs w:val="28"/>
          <w:lang w:val="es-ES_tradnl"/>
        </w:rPr>
        <w:t xml:space="preserve"> se compruebe que</w:t>
      </w:r>
      <w:r w:rsidRPr="00AB4289">
        <w:rPr>
          <w:sz w:val="28"/>
          <w:szCs w:val="28"/>
          <w:lang w:val="es-ES_tradnl"/>
        </w:rPr>
        <w:t xml:space="preserve"> no esté accesible al público, podrían ser objeto de órdenes orientadas a garantizar efectivamente el derecho de acceso a estos datos.</w:t>
      </w:r>
    </w:p>
    <w:p w14:paraId="7CF5B242" w14:textId="77777777" w:rsidR="00600991" w:rsidRPr="00AB4289" w:rsidRDefault="00600991"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1CD2D0E6" w14:textId="00FF4F52" w:rsidR="004A0B6C" w:rsidRPr="00AB4289" w:rsidRDefault="0050063B"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b/>
          <w:bCs/>
          <w:sz w:val="28"/>
          <w:szCs w:val="28"/>
          <w:lang w:val="es-ES_tradnl"/>
        </w:rPr>
        <w:t>Requisito de inmediatez</w:t>
      </w:r>
      <w:r w:rsidR="00FD11AC" w:rsidRPr="00AB4289">
        <w:rPr>
          <w:rStyle w:val="Refdenotaalpie"/>
          <w:rFonts w:cs="Times New Roman"/>
          <w:b/>
          <w:bCs/>
          <w:sz w:val="28"/>
          <w:szCs w:val="28"/>
          <w:lang w:val="es-ES_tradnl"/>
        </w:rPr>
        <w:footnoteReference w:id="31"/>
      </w:r>
      <w:r w:rsidRPr="00AB4289">
        <w:rPr>
          <w:b/>
          <w:bCs/>
          <w:sz w:val="28"/>
          <w:szCs w:val="28"/>
          <w:lang w:val="es-ES_tradnl"/>
        </w:rPr>
        <w:t xml:space="preserve">. </w:t>
      </w:r>
      <w:r w:rsidR="00DF6497" w:rsidRPr="00AB4289">
        <w:rPr>
          <w:sz w:val="28"/>
          <w:szCs w:val="28"/>
          <w:lang w:val="es-ES_tradnl"/>
        </w:rPr>
        <w:t>El</w:t>
      </w:r>
      <w:r w:rsidR="00B52715" w:rsidRPr="00AB4289">
        <w:rPr>
          <w:sz w:val="28"/>
          <w:szCs w:val="28"/>
          <w:lang w:val="es-ES_tradnl"/>
        </w:rPr>
        <w:t xml:space="preserve"> 9 de febrero de 2024</w:t>
      </w:r>
      <w:r w:rsidR="001F6D54" w:rsidRPr="00AB4289">
        <w:rPr>
          <w:sz w:val="28"/>
          <w:szCs w:val="28"/>
          <w:lang w:val="es-ES_tradnl"/>
        </w:rPr>
        <w:t>,</w:t>
      </w:r>
      <w:r w:rsidR="00B52715" w:rsidRPr="00AB4289">
        <w:rPr>
          <w:sz w:val="28"/>
          <w:szCs w:val="28"/>
          <w:lang w:val="es-ES_tradnl"/>
        </w:rPr>
        <w:t xml:space="preserve"> el</w:t>
      </w:r>
      <w:r w:rsidR="00DF6497" w:rsidRPr="00AB4289">
        <w:rPr>
          <w:sz w:val="28"/>
          <w:szCs w:val="28"/>
          <w:lang w:val="es-ES_tradnl"/>
        </w:rPr>
        <w:t xml:space="preserve"> señor Barrientos</w:t>
      </w:r>
      <w:r w:rsidR="00B52715" w:rsidRPr="00AB4289">
        <w:rPr>
          <w:sz w:val="28"/>
          <w:szCs w:val="28"/>
          <w:lang w:val="es-ES_tradnl"/>
        </w:rPr>
        <w:t xml:space="preserve"> radicó ante la Corte Suprema de Justicia </w:t>
      </w:r>
      <w:r w:rsidR="00706BA8">
        <w:rPr>
          <w:sz w:val="28"/>
          <w:szCs w:val="28"/>
          <w:lang w:val="es-ES_tradnl"/>
        </w:rPr>
        <w:t>la solicitud en ejercicio del</w:t>
      </w:r>
      <w:r w:rsidR="00B52715" w:rsidRPr="00AB4289">
        <w:rPr>
          <w:sz w:val="28"/>
          <w:szCs w:val="28"/>
          <w:lang w:val="es-ES_tradnl"/>
        </w:rPr>
        <w:t xml:space="preserve"> derecho de petición objeto de la presente discusión</w:t>
      </w:r>
      <w:r w:rsidR="00DF6497" w:rsidRPr="00AB4289">
        <w:rPr>
          <w:sz w:val="28"/>
          <w:szCs w:val="28"/>
          <w:lang w:val="es-ES_tradnl"/>
        </w:rPr>
        <w:t>. El 26 de marzo siguiente</w:t>
      </w:r>
      <w:r w:rsidR="001F6D54" w:rsidRPr="00AB4289">
        <w:rPr>
          <w:sz w:val="28"/>
          <w:szCs w:val="28"/>
          <w:lang w:val="es-ES_tradnl"/>
        </w:rPr>
        <w:t>, el actor</w:t>
      </w:r>
      <w:r w:rsidR="00DF6497" w:rsidRPr="00AB4289">
        <w:rPr>
          <w:sz w:val="28"/>
          <w:szCs w:val="28"/>
          <w:lang w:val="es-ES_tradnl"/>
        </w:rPr>
        <w:t xml:space="preserve"> interpuso </w:t>
      </w:r>
      <w:r w:rsidR="00D10FE7" w:rsidRPr="00AB4289">
        <w:rPr>
          <w:sz w:val="28"/>
          <w:szCs w:val="28"/>
          <w:lang w:val="es-ES_tradnl"/>
        </w:rPr>
        <w:t xml:space="preserve">la </w:t>
      </w:r>
      <w:r w:rsidR="00DF6497" w:rsidRPr="00AB4289">
        <w:rPr>
          <w:sz w:val="28"/>
          <w:szCs w:val="28"/>
          <w:lang w:val="es-ES_tradnl"/>
        </w:rPr>
        <w:t xml:space="preserve">acción de tutela </w:t>
      </w:r>
      <w:r w:rsidR="00D10FE7" w:rsidRPr="00AB4289">
        <w:rPr>
          <w:sz w:val="28"/>
          <w:szCs w:val="28"/>
          <w:lang w:val="es-ES_tradnl"/>
        </w:rPr>
        <w:t xml:space="preserve">en la que </w:t>
      </w:r>
      <w:r w:rsidR="00B52715" w:rsidRPr="00AB4289">
        <w:rPr>
          <w:sz w:val="28"/>
          <w:szCs w:val="28"/>
          <w:lang w:val="es-ES_tradnl"/>
        </w:rPr>
        <w:t>señaló que se vulneró su derecho de petición por</w:t>
      </w:r>
      <w:r w:rsidR="00D10FE7" w:rsidRPr="00AB4289">
        <w:rPr>
          <w:sz w:val="28"/>
          <w:szCs w:val="28"/>
          <w:lang w:val="es-ES_tradnl"/>
        </w:rPr>
        <w:t xml:space="preserve">que no </w:t>
      </w:r>
      <w:r w:rsidR="00B52715" w:rsidRPr="00AB4289">
        <w:rPr>
          <w:sz w:val="28"/>
          <w:szCs w:val="28"/>
          <w:lang w:val="es-ES_tradnl"/>
        </w:rPr>
        <w:t>obtuvo</w:t>
      </w:r>
      <w:r w:rsidR="00D10FE7" w:rsidRPr="00AB4289">
        <w:rPr>
          <w:sz w:val="28"/>
          <w:szCs w:val="28"/>
          <w:lang w:val="es-ES_tradnl"/>
        </w:rPr>
        <w:t xml:space="preserve"> una </w:t>
      </w:r>
      <w:r w:rsidR="00DF6497" w:rsidRPr="00AB4289">
        <w:rPr>
          <w:sz w:val="28"/>
          <w:szCs w:val="28"/>
          <w:lang w:val="es-ES_tradnl"/>
        </w:rPr>
        <w:t>respuesta a su solicitud</w:t>
      </w:r>
      <w:r w:rsidR="00AA25EE" w:rsidRPr="00AB4289">
        <w:rPr>
          <w:sz w:val="28"/>
          <w:szCs w:val="28"/>
          <w:lang w:val="es-ES_tradnl"/>
        </w:rPr>
        <w:t xml:space="preserve"> en el término de</w:t>
      </w:r>
      <w:r w:rsidR="00CD06A2" w:rsidRPr="00AB4289">
        <w:rPr>
          <w:sz w:val="28"/>
          <w:szCs w:val="28"/>
          <w:lang w:val="es-ES_tradnl"/>
        </w:rPr>
        <w:t xml:space="preserve"> diez</w:t>
      </w:r>
      <w:r w:rsidR="00AA25EE" w:rsidRPr="00AB4289">
        <w:rPr>
          <w:sz w:val="28"/>
          <w:szCs w:val="28"/>
          <w:lang w:val="es-ES_tradnl"/>
        </w:rPr>
        <w:t xml:space="preserve"> </w:t>
      </w:r>
      <w:r w:rsidR="00CD06A2" w:rsidRPr="00AB4289">
        <w:rPr>
          <w:sz w:val="28"/>
          <w:szCs w:val="28"/>
          <w:lang w:val="es-ES_tradnl"/>
        </w:rPr>
        <w:t>(</w:t>
      </w:r>
      <w:r w:rsidR="00AA25EE" w:rsidRPr="00AB4289">
        <w:rPr>
          <w:sz w:val="28"/>
          <w:szCs w:val="28"/>
          <w:lang w:val="es-ES_tradnl"/>
        </w:rPr>
        <w:t>10</w:t>
      </w:r>
      <w:r w:rsidR="00CD06A2" w:rsidRPr="00AB4289">
        <w:rPr>
          <w:sz w:val="28"/>
          <w:szCs w:val="28"/>
          <w:lang w:val="es-ES_tradnl"/>
        </w:rPr>
        <w:t>)</w:t>
      </w:r>
      <w:r w:rsidR="00AA25EE" w:rsidRPr="00AB4289">
        <w:rPr>
          <w:sz w:val="28"/>
          <w:szCs w:val="28"/>
          <w:lang w:val="es-ES_tradnl"/>
        </w:rPr>
        <w:t xml:space="preserve"> días </w:t>
      </w:r>
      <w:r w:rsidR="00B52715" w:rsidRPr="00AB4289">
        <w:rPr>
          <w:sz w:val="28"/>
          <w:szCs w:val="28"/>
          <w:lang w:val="es-ES_tradnl"/>
        </w:rPr>
        <w:t xml:space="preserve">hábiles </w:t>
      </w:r>
      <w:r w:rsidR="00CD06A2" w:rsidRPr="00AB4289">
        <w:rPr>
          <w:sz w:val="28"/>
          <w:szCs w:val="28"/>
          <w:lang w:val="es-ES_tradnl"/>
        </w:rPr>
        <w:t>previsto</w:t>
      </w:r>
      <w:r w:rsidR="00AA25EE" w:rsidRPr="00AB4289">
        <w:rPr>
          <w:sz w:val="28"/>
          <w:szCs w:val="28"/>
          <w:lang w:val="es-ES_tradnl"/>
        </w:rPr>
        <w:t xml:space="preserve"> </w:t>
      </w:r>
      <w:r w:rsidR="00CD06A2" w:rsidRPr="00AB4289">
        <w:rPr>
          <w:sz w:val="28"/>
          <w:szCs w:val="28"/>
          <w:lang w:val="es-ES_tradnl"/>
        </w:rPr>
        <w:t xml:space="preserve">en el artículo </w:t>
      </w:r>
      <w:r w:rsidR="004A0B6C" w:rsidRPr="00AB4289">
        <w:rPr>
          <w:sz w:val="28"/>
          <w:szCs w:val="28"/>
          <w:lang w:val="es-ES_tradnl"/>
        </w:rPr>
        <w:t>14</w:t>
      </w:r>
      <w:r w:rsidR="00CD06A2" w:rsidRPr="00AB4289">
        <w:rPr>
          <w:sz w:val="28"/>
          <w:szCs w:val="28"/>
          <w:lang w:val="es-ES_tradnl"/>
        </w:rPr>
        <w:t xml:space="preserve"> de la</w:t>
      </w:r>
      <w:r w:rsidR="00B52715" w:rsidRPr="00AB4289">
        <w:rPr>
          <w:sz w:val="28"/>
          <w:szCs w:val="28"/>
          <w:lang w:val="es-ES_tradnl"/>
        </w:rPr>
        <w:t xml:space="preserve"> Ley 1755 de 2015</w:t>
      </w:r>
      <w:r w:rsidR="004A0B6C" w:rsidRPr="00AB4289">
        <w:rPr>
          <w:rStyle w:val="Refdenotaalpie"/>
          <w:rFonts w:cs="Times New Roman"/>
          <w:sz w:val="28"/>
          <w:szCs w:val="28"/>
          <w:lang w:val="es-ES_tradnl"/>
        </w:rPr>
        <w:footnoteReference w:id="32"/>
      </w:r>
      <w:r w:rsidR="00DF6497" w:rsidRPr="00AB4289">
        <w:rPr>
          <w:sz w:val="28"/>
          <w:szCs w:val="28"/>
          <w:lang w:val="es-ES_tradnl"/>
        </w:rPr>
        <w:t>.</w:t>
      </w:r>
      <w:r w:rsidR="00D10FE7" w:rsidRPr="00AB4289">
        <w:rPr>
          <w:sz w:val="28"/>
          <w:szCs w:val="28"/>
          <w:lang w:val="es-ES_tradnl"/>
        </w:rPr>
        <w:t xml:space="preserve"> </w:t>
      </w:r>
      <w:r w:rsidR="00EC13A3" w:rsidRPr="00AB4289">
        <w:rPr>
          <w:sz w:val="28"/>
          <w:szCs w:val="28"/>
          <w:lang w:val="es-ES_tradnl"/>
        </w:rPr>
        <w:t>Por tanto</w:t>
      </w:r>
      <w:r w:rsidR="00CD06A2" w:rsidRPr="00AB4289">
        <w:rPr>
          <w:sz w:val="28"/>
          <w:szCs w:val="28"/>
          <w:lang w:val="es-ES_tradnl"/>
        </w:rPr>
        <w:t>, solo transcurrieron seis (6) días entre la</w:t>
      </w:r>
      <w:r w:rsidR="004A0B6C" w:rsidRPr="00AB4289">
        <w:rPr>
          <w:sz w:val="28"/>
          <w:szCs w:val="28"/>
          <w:lang w:val="es-ES_tradnl"/>
        </w:rPr>
        <w:t xml:space="preserve"> presunta vulneración de los derechos del accionante (que se concretó con la</w:t>
      </w:r>
      <w:r w:rsidR="00CD06A2" w:rsidRPr="00AB4289">
        <w:rPr>
          <w:sz w:val="28"/>
          <w:szCs w:val="28"/>
          <w:lang w:val="es-ES_tradnl"/>
        </w:rPr>
        <w:t xml:space="preserve"> expiración del término legal para responder</w:t>
      </w:r>
      <w:r w:rsidR="004A0B6C" w:rsidRPr="00AB4289">
        <w:rPr>
          <w:sz w:val="28"/>
          <w:szCs w:val="28"/>
          <w:lang w:val="es-ES_tradnl"/>
        </w:rPr>
        <w:t xml:space="preserve"> la petición)</w:t>
      </w:r>
      <w:r w:rsidR="00CD06A2" w:rsidRPr="00AB4289">
        <w:rPr>
          <w:sz w:val="28"/>
          <w:szCs w:val="28"/>
          <w:lang w:val="es-ES_tradnl"/>
        </w:rPr>
        <w:t xml:space="preserve"> y la interposición de la acción de tutela</w:t>
      </w:r>
      <w:r w:rsidR="005A1965" w:rsidRPr="00AB4289">
        <w:rPr>
          <w:sz w:val="28"/>
          <w:szCs w:val="28"/>
          <w:lang w:val="es-ES_tradnl"/>
        </w:rPr>
        <w:t xml:space="preserve">. Para la Corte </w:t>
      </w:r>
      <w:r w:rsidR="001F6D54" w:rsidRPr="00AB4289">
        <w:rPr>
          <w:sz w:val="28"/>
          <w:szCs w:val="28"/>
          <w:lang w:val="es-ES_tradnl"/>
        </w:rPr>
        <w:t xml:space="preserve">Constitucional, </w:t>
      </w:r>
      <w:r w:rsidR="005A1965" w:rsidRPr="00AB4289">
        <w:rPr>
          <w:sz w:val="28"/>
          <w:szCs w:val="28"/>
          <w:lang w:val="es-ES_tradnl"/>
        </w:rPr>
        <w:t>este es un término prudente, razón por la cual se cumple con el requisito de inmediatez.</w:t>
      </w:r>
    </w:p>
    <w:p w14:paraId="23483C36" w14:textId="77777777" w:rsidR="00AA7CBB" w:rsidRPr="00AB4289" w:rsidRDefault="00AA7CBB"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024F3069" w14:textId="3787DB87" w:rsidR="00912B9E" w:rsidRPr="00AB4289" w:rsidRDefault="0050063B"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b/>
          <w:bCs/>
          <w:sz w:val="28"/>
          <w:szCs w:val="28"/>
          <w:lang w:val="es-ES_tradnl"/>
        </w:rPr>
        <w:lastRenderedPageBreak/>
        <w:t>Requisito de subsidiariedad</w:t>
      </w:r>
      <w:r w:rsidR="00525032" w:rsidRPr="00AB4289">
        <w:rPr>
          <w:rStyle w:val="Refdenotaalpie"/>
          <w:rFonts w:cs="Times New Roman"/>
          <w:b/>
          <w:bCs/>
          <w:sz w:val="28"/>
          <w:szCs w:val="28"/>
          <w:lang w:val="es-ES_tradnl"/>
        </w:rPr>
        <w:footnoteReference w:id="33"/>
      </w:r>
      <w:r w:rsidRPr="00AB4289">
        <w:rPr>
          <w:b/>
          <w:bCs/>
          <w:sz w:val="28"/>
          <w:szCs w:val="28"/>
          <w:vertAlign w:val="superscript"/>
          <w:lang w:val="es-ES_tradnl"/>
        </w:rPr>
        <w:t>.</w:t>
      </w:r>
      <w:r w:rsidR="00367B30" w:rsidRPr="00AB4289">
        <w:rPr>
          <w:sz w:val="28"/>
          <w:szCs w:val="28"/>
          <w:lang w:val="es-ES_tradnl"/>
        </w:rPr>
        <w:t>La acción de tutela cumple con este requisito</w:t>
      </w:r>
      <w:r w:rsidR="00912B9E" w:rsidRPr="00AB4289">
        <w:rPr>
          <w:sz w:val="28"/>
          <w:szCs w:val="28"/>
          <w:lang w:val="es-ES_tradnl"/>
        </w:rPr>
        <w:t xml:space="preserve">, </w:t>
      </w:r>
      <w:r w:rsidR="00540A0A" w:rsidRPr="00AB4289">
        <w:rPr>
          <w:sz w:val="28"/>
          <w:szCs w:val="28"/>
          <w:lang w:val="es-ES_tradnl"/>
        </w:rPr>
        <w:t xml:space="preserve">ya que </w:t>
      </w:r>
      <w:r w:rsidR="0036172B" w:rsidRPr="00AB4289">
        <w:rPr>
          <w:sz w:val="28"/>
          <w:szCs w:val="28"/>
          <w:lang w:val="es-ES_tradnl"/>
        </w:rPr>
        <w:t>al momento de interponer la tutela</w:t>
      </w:r>
      <w:r w:rsidR="00912B9E" w:rsidRPr="00AB4289">
        <w:rPr>
          <w:sz w:val="28"/>
          <w:szCs w:val="28"/>
          <w:lang w:val="es-ES_tradnl"/>
        </w:rPr>
        <w:t xml:space="preserve"> el accionante</w:t>
      </w:r>
      <w:r w:rsidR="0036172B" w:rsidRPr="00AB4289">
        <w:rPr>
          <w:sz w:val="28"/>
          <w:szCs w:val="28"/>
          <w:lang w:val="es-ES_tradnl"/>
        </w:rPr>
        <w:t xml:space="preserve"> no </w:t>
      </w:r>
      <w:r w:rsidR="00A62977" w:rsidRPr="00AB4289">
        <w:rPr>
          <w:sz w:val="28"/>
          <w:szCs w:val="28"/>
          <w:lang w:val="es-ES_tradnl"/>
        </w:rPr>
        <w:t>tenía a</w:t>
      </w:r>
      <w:r w:rsidR="00912B9E" w:rsidRPr="00AB4289">
        <w:rPr>
          <w:sz w:val="28"/>
          <w:szCs w:val="28"/>
          <w:lang w:val="es-ES_tradnl"/>
        </w:rPr>
        <w:t xml:space="preserve"> su alcance ningún otro medio judicial</w:t>
      </w:r>
      <w:r w:rsidR="00B76F8F" w:rsidRPr="00AB4289">
        <w:rPr>
          <w:sz w:val="28"/>
          <w:szCs w:val="28"/>
          <w:lang w:val="es-ES_tradnl"/>
        </w:rPr>
        <w:t xml:space="preserve"> o recurso</w:t>
      </w:r>
      <w:r w:rsidR="00912B9E" w:rsidRPr="00AB4289">
        <w:rPr>
          <w:sz w:val="28"/>
          <w:szCs w:val="28"/>
          <w:lang w:val="es-ES_tradnl"/>
        </w:rPr>
        <w:t xml:space="preserve"> para solicitar la protección de sus derechos fundamentales</w:t>
      </w:r>
      <w:r w:rsidR="006F4A41" w:rsidRPr="00AB4289">
        <w:rPr>
          <w:sz w:val="28"/>
          <w:szCs w:val="28"/>
          <w:lang w:val="es-ES_tradnl"/>
        </w:rPr>
        <w:t xml:space="preserve">. </w:t>
      </w:r>
    </w:p>
    <w:p w14:paraId="2C2CF556" w14:textId="77777777" w:rsidR="006F4A41" w:rsidRPr="00AB4289" w:rsidRDefault="006F4A41"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60F8D08F" w14:textId="3BCA342E" w:rsidR="00086C66" w:rsidRPr="00AB4289" w:rsidRDefault="007C3369"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E</w:t>
      </w:r>
      <w:r w:rsidR="00163166" w:rsidRPr="00AB4289">
        <w:rPr>
          <w:sz w:val="28"/>
          <w:szCs w:val="28"/>
          <w:lang w:val="es-ES_tradnl"/>
        </w:rPr>
        <w:t xml:space="preserve">l </w:t>
      </w:r>
      <w:r w:rsidR="000904CD" w:rsidRPr="00AB4289">
        <w:rPr>
          <w:sz w:val="28"/>
          <w:szCs w:val="28"/>
          <w:lang w:val="es-ES_tradnl"/>
        </w:rPr>
        <w:t>juez</w:t>
      </w:r>
      <w:r w:rsidR="002671EE" w:rsidRPr="00AB4289">
        <w:rPr>
          <w:sz w:val="28"/>
          <w:szCs w:val="28"/>
          <w:lang w:val="es-ES_tradnl"/>
        </w:rPr>
        <w:t xml:space="preserve"> de tutela</w:t>
      </w:r>
      <w:r w:rsidR="000904CD" w:rsidRPr="00AB4289">
        <w:rPr>
          <w:sz w:val="28"/>
          <w:szCs w:val="28"/>
          <w:lang w:val="es-ES_tradnl"/>
        </w:rPr>
        <w:t xml:space="preserve"> </w:t>
      </w:r>
      <w:r w:rsidR="002671EE" w:rsidRPr="00AB4289">
        <w:rPr>
          <w:sz w:val="28"/>
          <w:szCs w:val="28"/>
          <w:lang w:val="es-ES_tradnl"/>
        </w:rPr>
        <w:t>en</w:t>
      </w:r>
      <w:r w:rsidR="000904CD" w:rsidRPr="00AB4289">
        <w:rPr>
          <w:sz w:val="28"/>
          <w:szCs w:val="28"/>
          <w:lang w:val="es-ES_tradnl"/>
        </w:rPr>
        <w:t xml:space="preserve"> </w:t>
      </w:r>
      <w:r w:rsidR="00912B9E" w:rsidRPr="00AB4289">
        <w:rPr>
          <w:sz w:val="28"/>
          <w:szCs w:val="28"/>
          <w:lang w:val="es-ES_tradnl"/>
        </w:rPr>
        <w:t>segunda</w:t>
      </w:r>
      <w:r w:rsidR="000904CD" w:rsidRPr="00AB4289">
        <w:rPr>
          <w:sz w:val="28"/>
          <w:szCs w:val="28"/>
          <w:lang w:val="es-ES_tradnl"/>
        </w:rPr>
        <w:t xml:space="preserve"> instancia</w:t>
      </w:r>
      <w:r w:rsidR="00163166" w:rsidRPr="00AB4289">
        <w:rPr>
          <w:sz w:val="28"/>
          <w:szCs w:val="28"/>
          <w:lang w:val="es-ES_tradnl"/>
        </w:rPr>
        <w:t xml:space="preserve"> </w:t>
      </w:r>
      <w:r w:rsidR="00F42DF3" w:rsidRPr="00AB4289">
        <w:rPr>
          <w:sz w:val="28"/>
          <w:szCs w:val="28"/>
          <w:lang w:val="es-ES_tradnl"/>
        </w:rPr>
        <w:t>consideró</w:t>
      </w:r>
      <w:r w:rsidR="00163166" w:rsidRPr="00AB4289">
        <w:rPr>
          <w:sz w:val="28"/>
          <w:szCs w:val="28"/>
          <w:lang w:val="es-ES_tradnl"/>
        </w:rPr>
        <w:t xml:space="preserve"> que </w:t>
      </w:r>
      <w:r w:rsidR="000904CD" w:rsidRPr="00AB4289">
        <w:rPr>
          <w:sz w:val="28"/>
          <w:szCs w:val="28"/>
          <w:lang w:val="es-ES_tradnl"/>
        </w:rPr>
        <w:t>la</w:t>
      </w:r>
      <w:r w:rsidR="002671EE" w:rsidRPr="00AB4289">
        <w:rPr>
          <w:sz w:val="28"/>
          <w:szCs w:val="28"/>
          <w:lang w:val="es-ES_tradnl"/>
        </w:rPr>
        <w:t xml:space="preserve"> acción</w:t>
      </w:r>
      <w:r w:rsidR="000904CD" w:rsidRPr="00AB4289">
        <w:rPr>
          <w:sz w:val="28"/>
          <w:szCs w:val="28"/>
          <w:lang w:val="es-ES_tradnl"/>
        </w:rPr>
        <w:t xml:space="preserve"> e</w:t>
      </w:r>
      <w:r w:rsidR="00F42DF3" w:rsidRPr="00AB4289">
        <w:rPr>
          <w:sz w:val="28"/>
          <w:szCs w:val="28"/>
          <w:lang w:val="es-ES_tradnl"/>
        </w:rPr>
        <w:t>ra</w:t>
      </w:r>
      <w:r w:rsidR="000904CD" w:rsidRPr="00AB4289">
        <w:rPr>
          <w:sz w:val="28"/>
          <w:szCs w:val="28"/>
          <w:lang w:val="es-ES_tradnl"/>
        </w:rPr>
        <w:t xml:space="preserve"> improcedente porque, </w:t>
      </w:r>
      <w:r w:rsidR="004A1993" w:rsidRPr="00AB4289">
        <w:rPr>
          <w:sz w:val="28"/>
          <w:szCs w:val="28"/>
          <w:lang w:val="es-ES_tradnl"/>
        </w:rPr>
        <w:t>al momento de fallar</w:t>
      </w:r>
      <w:r w:rsidR="000904CD" w:rsidRPr="00AB4289">
        <w:rPr>
          <w:sz w:val="28"/>
          <w:szCs w:val="28"/>
          <w:lang w:val="es-ES_tradnl"/>
        </w:rPr>
        <w:t xml:space="preserve">, </w:t>
      </w:r>
      <w:r w:rsidR="00F8558F" w:rsidRPr="00AB4289">
        <w:rPr>
          <w:sz w:val="28"/>
          <w:szCs w:val="28"/>
          <w:lang w:val="es-ES_tradnl"/>
        </w:rPr>
        <w:t>el</w:t>
      </w:r>
      <w:r w:rsidR="00DE249F" w:rsidRPr="00AB4289">
        <w:rPr>
          <w:sz w:val="28"/>
          <w:szCs w:val="28"/>
          <w:lang w:val="es-ES_tradnl"/>
        </w:rPr>
        <w:t xml:space="preserve"> demandante</w:t>
      </w:r>
      <w:r w:rsidR="00F8558F" w:rsidRPr="00AB4289">
        <w:rPr>
          <w:sz w:val="28"/>
          <w:szCs w:val="28"/>
          <w:lang w:val="es-ES_tradnl"/>
        </w:rPr>
        <w:t xml:space="preserve"> </w:t>
      </w:r>
      <w:r w:rsidR="004A1993" w:rsidRPr="00AB4289">
        <w:rPr>
          <w:sz w:val="28"/>
          <w:szCs w:val="28"/>
          <w:lang w:val="es-ES_tradnl"/>
        </w:rPr>
        <w:t xml:space="preserve">ya </w:t>
      </w:r>
      <w:r w:rsidR="00F8558F" w:rsidRPr="00AB4289">
        <w:rPr>
          <w:sz w:val="28"/>
          <w:szCs w:val="28"/>
          <w:lang w:val="es-ES_tradnl"/>
        </w:rPr>
        <w:t>conoc</w:t>
      </w:r>
      <w:r w:rsidR="004A1993" w:rsidRPr="00AB4289">
        <w:rPr>
          <w:sz w:val="28"/>
          <w:szCs w:val="28"/>
          <w:lang w:val="es-ES_tradnl"/>
        </w:rPr>
        <w:t>ía</w:t>
      </w:r>
      <w:r w:rsidR="00F8558F" w:rsidRPr="00AB4289">
        <w:rPr>
          <w:sz w:val="28"/>
          <w:szCs w:val="28"/>
          <w:lang w:val="es-ES_tradnl"/>
        </w:rPr>
        <w:t xml:space="preserve"> la </w:t>
      </w:r>
      <w:r w:rsidR="00220780" w:rsidRPr="00AB4289">
        <w:rPr>
          <w:sz w:val="28"/>
          <w:szCs w:val="28"/>
          <w:lang w:val="es-ES_tradnl"/>
        </w:rPr>
        <w:t>respuesta a</w:t>
      </w:r>
      <w:r w:rsidR="00706BA8">
        <w:rPr>
          <w:sz w:val="28"/>
          <w:szCs w:val="28"/>
          <w:lang w:val="es-ES_tradnl"/>
        </w:rPr>
        <w:t xml:space="preserve"> la solicitud que presentó en ejercicio del derecho de petición </w:t>
      </w:r>
      <w:r w:rsidR="000904CD" w:rsidRPr="00AB4289">
        <w:rPr>
          <w:sz w:val="28"/>
          <w:szCs w:val="28"/>
          <w:lang w:val="es-ES_tradnl"/>
        </w:rPr>
        <w:t xml:space="preserve">de forma que </w:t>
      </w:r>
      <w:r w:rsidR="00220780" w:rsidRPr="00AB4289">
        <w:rPr>
          <w:sz w:val="28"/>
          <w:szCs w:val="28"/>
          <w:lang w:val="es-ES_tradnl"/>
        </w:rPr>
        <w:t>p</w:t>
      </w:r>
      <w:r w:rsidR="004A1993" w:rsidRPr="00AB4289">
        <w:rPr>
          <w:sz w:val="28"/>
          <w:szCs w:val="28"/>
          <w:lang w:val="es-ES_tradnl"/>
        </w:rPr>
        <w:t>odía</w:t>
      </w:r>
      <w:r w:rsidR="00220780" w:rsidRPr="00AB4289">
        <w:rPr>
          <w:sz w:val="28"/>
          <w:szCs w:val="28"/>
          <w:lang w:val="es-ES_tradnl"/>
        </w:rPr>
        <w:t xml:space="preserve"> acudir al recurso de insistencia previsto en el artículo 17 de la Ley 1755 de 2015</w:t>
      </w:r>
      <w:r w:rsidR="00A44047" w:rsidRPr="00AB4289">
        <w:rPr>
          <w:rStyle w:val="Refdenotaalpie"/>
          <w:rFonts w:cs="Times New Roman"/>
          <w:sz w:val="28"/>
          <w:szCs w:val="28"/>
          <w:lang w:val="es-ES_tradnl"/>
        </w:rPr>
        <w:footnoteReference w:id="34"/>
      </w:r>
      <w:r w:rsidR="00220780" w:rsidRPr="00AB4289">
        <w:rPr>
          <w:sz w:val="28"/>
          <w:szCs w:val="28"/>
          <w:lang w:val="es-ES_tradnl"/>
        </w:rPr>
        <w:t>.</w:t>
      </w:r>
      <w:r w:rsidR="00163166" w:rsidRPr="00AB4289">
        <w:rPr>
          <w:sz w:val="28"/>
          <w:szCs w:val="28"/>
          <w:lang w:val="es-ES_tradnl"/>
        </w:rPr>
        <w:t xml:space="preserve"> </w:t>
      </w:r>
      <w:r w:rsidR="004A1993" w:rsidRPr="00AB4289">
        <w:rPr>
          <w:sz w:val="28"/>
          <w:szCs w:val="28"/>
          <w:lang w:val="es-ES_tradnl"/>
        </w:rPr>
        <w:t>L</w:t>
      </w:r>
      <w:r w:rsidR="006F4A41" w:rsidRPr="00AB4289">
        <w:rPr>
          <w:sz w:val="28"/>
          <w:szCs w:val="28"/>
          <w:lang w:val="es-ES_tradnl"/>
        </w:rPr>
        <w:t>a</w:t>
      </w:r>
      <w:r w:rsidR="00A44047" w:rsidRPr="00AB4289">
        <w:rPr>
          <w:sz w:val="28"/>
          <w:szCs w:val="28"/>
          <w:lang w:val="es-ES_tradnl"/>
        </w:rPr>
        <w:t xml:space="preserve"> Corte no comparte ese planteamiento</w:t>
      </w:r>
      <w:r w:rsidR="006535A3" w:rsidRPr="00AB4289">
        <w:rPr>
          <w:sz w:val="28"/>
          <w:szCs w:val="28"/>
          <w:lang w:val="es-ES_tradnl"/>
        </w:rPr>
        <w:t xml:space="preserve"> porque</w:t>
      </w:r>
      <w:r w:rsidR="004A1993" w:rsidRPr="00AB4289">
        <w:rPr>
          <w:sz w:val="28"/>
          <w:szCs w:val="28"/>
          <w:lang w:val="es-ES_tradnl"/>
        </w:rPr>
        <w:t xml:space="preserve"> la procedencia de la acción de tutela debe ser analizada con base en lo ocurrido </w:t>
      </w:r>
      <w:r w:rsidR="0031281C" w:rsidRPr="00AB4289">
        <w:rPr>
          <w:sz w:val="28"/>
          <w:szCs w:val="28"/>
          <w:lang w:val="es-ES_tradnl"/>
        </w:rPr>
        <w:t xml:space="preserve">en el momento de </w:t>
      </w:r>
      <w:r w:rsidR="004A1993" w:rsidRPr="00AB4289">
        <w:rPr>
          <w:sz w:val="28"/>
          <w:szCs w:val="28"/>
          <w:lang w:val="es-ES_tradnl"/>
        </w:rPr>
        <w:t xml:space="preserve">la interposición de la demanda. En ese caso, </w:t>
      </w:r>
      <w:r w:rsidR="00086C66" w:rsidRPr="00AB4289">
        <w:rPr>
          <w:sz w:val="28"/>
          <w:szCs w:val="28"/>
          <w:lang w:val="es-ES_tradnl"/>
        </w:rPr>
        <w:t xml:space="preserve">del expediente se desprende que la Secretaría General de la Corte Suprema de Justicia emitió respuesta el 4 de marzo de 2024. Sin embargo, dicha comunicación solo fue remitida al accionante el 5 de abril del mismo año, es decir, más de un mes después de haberse presentado </w:t>
      </w:r>
      <w:r w:rsidR="00706BA8">
        <w:rPr>
          <w:sz w:val="28"/>
          <w:szCs w:val="28"/>
          <w:lang w:val="es-ES_tradnl"/>
        </w:rPr>
        <w:t>la solicitud</w:t>
      </w:r>
      <w:r w:rsidR="00086C66" w:rsidRPr="00AB4289">
        <w:rPr>
          <w:sz w:val="28"/>
          <w:szCs w:val="28"/>
          <w:vertAlign w:val="superscript"/>
          <w:lang w:val="es-ES_tradnl"/>
        </w:rPr>
        <w:footnoteReference w:id="35"/>
      </w:r>
      <w:r w:rsidR="00086C66" w:rsidRPr="00AB4289">
        <w:rPr>
          <w:sz w:val="28"/>
          <w:szCs w:val="28"/>
          <w:lang w:val="es-ES_tradnl"/>
        </w:rPr>
        <w:t xml:space="preserve">. En consecuencia, cuando el señor Barrientos interpuso la acción de tutela el 26 de marzo de 2024 -porque ya había transcurrido el plazo de diez (10) días hábiles previsto para resolver este tipo de solicitudes-, aún no tenía conocimiento de la respuesta de la Corte Suprema de Justicia. Por tal razón, no le era exigible acudir al recurso de insistencia, el cual, de conformidad con el artículo 17 de la Ley 1755 de 2015, únicamente procede cuando </w:t>
      </w:r>
      <w:r w:rsidR="00540A0A" w:rsidRPr="00AB4289">
        <w:rPr>
          <w:sz w:val="28"/>
          <w:szCs w:val="28"/>
          <w:lang w:val="es-ES_tradnl"/>
        </w:rPr>
        <w:t xml:space="preserve">la persona ya tiene conocimiento de que se le negó el acceso a la </w:t>
      </w:r>
      <w:r w:rsidR="00086C66" w:rsidRPr="00AB4289">
        <w:rPr>
          <w:sz w:val="28"/>
          <w:szCs w:val="28"/>
          <w:lang w:val="es-ES_tradnl"/>
        </w:rPr>
        <w:t>información.</w:t>
      </w:r>
    </w:p>
    <w:p w14:paraId="430E15F7" w14:textId="77777777" w:rsidR="0036172B" w:rsidRPr="00AB4289" w:rsidRDefault="0036172B"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3694D4E0" w14:textId="676F3196" w:rsidR="00260D7A" w:rsidRPr="00AB4289" w:rsidRDefault="007C3369"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shd w:val="clear" w:color="auto" w:fill="FFFFFF"/>
          <w:lang w:val="es-ES_tradnl"/>
        </w:rPr>
      </w:pPr>
      <w:r w:rsidRPr="00AB4289">
        <w:rPr>
          <w:sz w:val="28"/>
          <w:szCs w:val="28"/>
          <w:shd w:val="clear" w:color="auto" w:fill="FFFFFF"/>
          <w:lang w:val="es-ES_tradnl"/>
        </w:rPr>
        <w:t>Por todo lo anterior</w:t>
      </w:r>
      <w:r w:rsidR="0050011E" w:rsidRPr="00AB4289">
        <w:rPr>
          <w:sz w:val="28"/>
          <w:szCs w:val="28"/>
          <w:shd w:val="clear" w:color="auto" w:fill="FFFFFF"/>
          <w:lang w:val="es-ES_tradnl"/>
        </w:rPr>
        <w:t xml:space="preserve">, </w:t>
      </w:r>
      <w:r w:rsidR="0050063B" w:rsidRPr="00AB4289">
        <w:rPr>
          <w:sz w:val="28"/>
          <w:szCs w:val="28"/>
          <w:shd w:val="clear" w:color="auto" w:fill="FFFFFF"/>
          <w:lang w:val="es-ES_tradnl"/>
        </w:rPr>
        <w:t>la acción de tutela presentada por el accionante satisface los requisitos generales de procedibilidad</w:t>
      </w:r>
      <w:r w:rsidR="00175F8A" w:rsidRPr="00AB4289">
        <w:rPr>
          <w:sz w:val="28"/>
          <w:szCs w:val="28"/>
          <w:shd w:val="clear" w:color="auto" w:fill="FFFFFF"/>
          <w:lang w:val="es-ES_tradnl"/>
        </w:rPr>
        <w:t>. Una vez establecido esto, la Corte se referirá a una cuestión previa, relacionada con la ausencia de carencia actual de objeto por hecho superado.</w:t>
      </w:r>
    </w:p>
    <w:p w14:paraId="3076A021" w14:textId="77777777" w:rsidR="00175F8A" w:rsidRPr="00AB4289" w:rsidRDefault="00175F8A"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6D5552C4" w14:textId="4AA37606" w:rsidR="00260D7A" w:rsidRPr="00AB4289" w:rsidRDefault="00260D7A" w:rsidP="00B40BE5">
      <w:pPr>
        <w:pStyle w:val="Ttulo2"/>
        <w:numPr>
          <w:ilvl w:val="0"/>
          <w:numId w:val="42"/>
        </w:numPr>
        <w:spacing w:before="0" w:after="0"/>
        <w:jc w:val="both"/>
        <w:rPr>
          <w:rFonts w:ascii="Times New Roman" w:hAnsi="Times New Roman" w:cs="Times New Roman"/>
          <w:b/>
          <w:bCs/>
          <w:color w:val="000000" w:themeColor="text1"/>
          <w:sz w:val="28"/>
          <w:szCs w:val="28"/>
          <w:lang w:val="es-ES_tradnl"/>
        </w:rPr>
      </w:pPr>
      <w:bookmarkStart w:id="12" w:name="_Toc210202227"/>
      <w:r w:rsidRPr="00AB4289">
        <w:rPr>
          <w:rFonts w:ascii="Times New Roman" w:hAnsi="Times New Roman" w:cs="Times New Roman"/>
          <w:b/>
          <w:bCs/>
          <w:color w:val="000000" w:themeColor="text1"/>
          <w:sz w:val="28"/>
          <w:szCs w:val="28"/>
          <w:lang w:val="es-ES_tradnl"/>
        </w:rPr>
        <w:t xml:space="preserve">Cuestión preliminar: </w:t>
      </w:r>
      <w:r w:rsidR="00FF09C9" w:rsidRPr="00AB4289">
        <w:rPr>
          <w:rFonts w:ascii="Times New Roman" w:hAnsi="Times New Roman" w:cs="Times New Roman"/>
          <w:b/>
          <w:bCs/>
          <w:color w:val="000000" w:themeColor="text1"/>
          <w:sz w:val="28"/>
          <w:szCs w:val="28"/>
          <w:lang w:val="es-ES_tradnl"/>
        </w:rPr>
        <w:t xml:space="preserve">ausencia </w:t>
      </w:r>
      <w:r w:rsidR="007C5CD4" w:rsidRPr="00AB4289">
        <w:rPr>
          <w:rFonts w:ascii="Times New Roman" w:hAnsi="Times New Roman" w:cs="Times New Roman"/>
          <w:b/>
          <w:bCs/>
          <w:color w:val="000000" w:themeColor="text1"/>
          <w:sz w:val="28"/>
          <w:szCs w:val="28"/>
          <w:lang w:val="es-ES_tradnl"/>
        </w:rPr>
        <w:t xml:space="preserve">de </w:t>
      </w:r>
      <w:r w:rsidRPr="00AB4289">
        <w:rPr>
          <w:rFonts w:ascii="Times New Roman" w:hAnsi="Times New Roman" w:cs="Times New Roman"/>
          <w:b/>
          <w:bCs/>
          <w:color w:val="000000" w:themeColor="text1"/>
          <w:sz w:val="28"/>
          <w:szCs w:val="28"/>
          <w:lang w:val="es-ES_tradnl"/>
        </w:rPr>
        <w:t>carencia actual de objeto</w:t>
      </w:r>
      <w:r w:rsidR="007C5CD4" w:rsidRPr="00AB4289">
        <w:rPr>
          <w:rFonts w:ascii="Times New Roman" w:hAnsi="Times New Roman" w:cs="Times New Roman"/>
          <w:b/>
          <w:bCs/>
          <w:color w:val="000000" w:themeColor="text1"/>
          <w:sz w:val="28"/>
          <w:szCs w:val="28"/>
          <w:lang w:val="es-ES_tradnl"/>
        </w:rPr>
        <w:t xml:space="preserve"> por hecho superado</w:t>
      </w:r>
      <w:bookmarkEnd w:id="12"/>
    </w:p>
    <w:p w14:paraId="7D552BA6" w14:textId="7BF39519" w:rsidR="00260D7A" w:rsidRPr="00AB4289" w:rsidRDefault="00260D7A" w:rsidP="00B40BE5">
      <w:pPr>
        <w:pStyle w:val="Prrafodelista"/>
        <w:tabs>
          <w:tab w:val="left" w:pos="426"/>
          <w:tab w:val="left" w:pos="567"/>
          <w:tab w:val="left" w:pos="851"/>
        </w:tabs>
        <w:ind w:left="0"/>
        <w:jc w:val="both"/>
        <w:rPr>
          <w:color w:val="000000" w:themeColor="text1"/>
          <w:sz w:val="28"/>
          <w:szCs w:val="28"/>
          <w:lang w:val="es-ES_tradnl"/>
        </w:rPr>
      </w:pPr>
    </w:p>
    <w:p w14:paraId="477888A6" w14:textId="540989E6" w:rsidR="00260D7A" w:rsidRPr="00AB4289" w:rsidRDefault="007C5CD4" w:rsidP="00B40BE5">
      <w:pPr>
        <w:pStyle w:val="Prrafodelista"/>
        <w:numPr>
          <w:ilvl w:val="0"/>
          <w:numId w:val="2"/>
        </w:numPr>
        <w:tabs>
          <w:tab w:val="left" w:pos="426"/>
          <w:tab w:val="left" w:pos="567"/>
          <w:tab w:val="left" w:pos="851"/>
        </w:tabs>
        <w:ind w:left="0" w:firstLine="0"/>
        <w:jc w:val="both"/>
        <w:rPr>
          <w:sz w:val="28"/>
          <w:szCs w:val="28"/>
          <w:lang w:val="es-ES_tradnl"/>
        </w:rPr>
      </w:pPr>
      <w:r w:rsidRPr="00AB4289">
        <w:rPr>
          <w:sz w:val="28"/>
          <w:szCs w:val="28"/>
          <w:lang w:val="es-ES_tradnl"/>
        </w:rPr>
        <w:lastRenderedPageBreak/>
        <w:t xml:space="preserve">En </w:t>
      </w:r>
      <w:r w:rsidR="00260D7A" w:rsidRPr="00AB4289">
        <w:rPr>
          <w:sz w:val="28"/>
          <w:szCs w:val="28"/>
          <w:lang w:val="es-ES_tradnl"/>
        </w:rPr>
        <w:t>el trámite de la acción de tutela, puede ocurrir que, entre su interposición y el momento en que el juez constitucional profiere sentencia, sobrevengan hechos que impliquen la superación de la vulneración alegada o la consumación del daño invocado. En estos casos, se está en presencia de una carencia actual de objeto que puede configurarse bajo tres escenarios: el hecho superado, el daño consumado y la situación sobreviniente</w:t>
      </w:r>
      <w:r w:rsidR="00260D7A" w:rsidRPr="00AB4289">
        <w:rPr>
          <w:rStyle w:val="Refdenotaalpie"/>
          <w:rFonts w:cs="Times New Roman"/>
          <w:sz w:val="28"/>
          <w:szCs w:val="28"/>
          <w:lang w:val="es-ES_tradnl"/>
        </w:rPr>
        <w:footnoteReference w:id="36"/>
      </w:r>
      <w:r w:rsidR="00260D7A" w:rsidRPr="00AB4289">
        <w:rPr>
          <w:sz w:val="28"/>
          <w:szCs w:val="28"/>
          <w:lang w:val="es-ES_tradnl"/>
        </w:rPr>
        <w:t xml:space="preserve">. </w:t>
      </w:r>
    </w:p>
    <w:p w14:paraId="761F2031" w14:textId="77777777" w:rsidR="00260D7A" w:rsidRPr="00AB4289" w:rsidRDefault="00260D7A" w:rsidP="00B40BE5">
      <w:pPr>
        <w:pStyle w:val="Prrafodelista"/>
        <w:tabs>
          <w:tab w:val="left" w:pos="426"/>
          <w:tab w:val="left" w:pos="567"/>
          <w:tab w:val="left" w:pos="851"/>
        </w:tabs>
        <w:ind w:left="0"/>
        <w:jc w:val="both"/>
        <w:rPr>
          <w:sz w:val="28"/>
          <w:szCs w:val="28"/>
          <w:lang w:val="es-ES_tradnl"/>
        </w:rPr>
      </w:pPr>
    </w:p>
    <w:p w14:paraId="5A591077" w14:textId="6BA6FF22" w:rsidR="00FF09C9" w:rsidRPr="00AB4289" w:rsidRDefault="00260D7A" w:rsidP="00B40BE5">
      <w:pPr>
        <w:pStyle w:val="Prrafodelista"/>
        <w:numPr>
          <w:ilvl w:val="0"/>
          <w:numId w:val="2"/>
        </w:numPr>
        <w:tabs>
          <w:tab w:val="left" w:pos="426"/>
          <w:tab w:val="left" w:pos="567"/>
          <w:tab w:val="left" w:pos="851"/>
        </w:tabs>
        <w:ind w:left="0" w:firstLine="0"/>
        <w:jc w:val="both"/>
        <w:rPr>
          <w:sz w:val="28"/>
          <w:szCs w:val="28"/>
          <w:lang w:val="es-ES_tradnl"/>
        </w:rPr>
      </w:pPr>
      <w:r w:rsidRPr="00AB4289">
        <w:rPr>
          <w:sz w:val="28"/>
          <w:szCs w:val="28"/>
          <w:lang w:val="es-ES_tradnl"/>
        </w:rPr>
        <w:t>El hecho superado se configura cuando aquello que buscaba la persona a través de la acción de tutela se cumple antes del pronunciamiento del juez y como consecuencia de una actuación voluntaria de la persona o entidad accionada. Esta situación puede ocurrir hasta antes del fallo de revisión de la Corte, pero para su declaración el juez debe verificar que (i) en efecto se hayan cumplido por completo las pretensiones de la acción de tutela y (</w:t>
      </w:r>
      <w:proofErr w:type="spellStart"/>
      <w:r w:rsidRPr="00AB4289">
        <w:rPr>
          <w:sz w:val="28"/>
          <w:szCs w:val="28"/>
          <w:lang w:val="es-ES_tradnl"/>
        </w:rPr>
        <w:t>ii</w:t>
      </w:r>
      <w:proofErr w:type="spellEnd"/>
      <w:r w:rsidRPr="00AB4289">
        <w:rPr>
          <w:sz w:val="28"/>
          <w:szCs w:val="28"/>
          <w:lang w:val="es-ES_tradnl"/>
        </w:rPr>
        <w:t>) que la entidad accionada haya actuado de manera voluntaria</w:t>
      </w:r>
      <w:r w:rsidRPr="00AB4289">
        <w:rPr>
          <w:rStyle w:val="Refdenotaalpie"/>
          <w:rFonts w:cs="Times New Roman"/>
          <w:sz w:val="28"/>
          <w:szCs w:val="28"/>
          <w:lang w:val="es-ES_tradnl"/>
        </w:rPr>
        <w:footnoteReference w:id="37"/>
      </w:r>
      <w:r w:rsidRPr="00AB4289">
        <w:rPr>
          <w:sz w:val="28"/>
          <w:szCs w:val="28"/>
          <w:lang w:val="es-ES_tradnl"/>
        </w:rPr>
        <w:t>. El daño consumado tiene lugar cuando aquello que se quería evitar con la acción de tutela ocurre antes del pronunciamiento del juez, de tal forma que la intervención judicial ya no es útil para hacer cesar la vulneración de derechos fundamentales o impedir que se concrete el daño</w:t>
      </w:r>
      <w:r w:rsidRPr="00AB4289">
        <w:rPr>
          <w:rStyle w:val="Refdenotaalpie"/>
          <w:rFonts w:cs="Times New Roman"/>
          <w:sz w:val="28"/>
          <w:szCs w:val="28"/>
          <w:lang w:val="es-ES_tradnl"/>
        </w:rPr>
        <w:footnoteReference w:id="38"/>
      </w:r>
      <w:r w:rsidRPr="00AB4289">
        <w:rPr>
          <w:sz w:val="28"/>
          <w:szCs w:val="28"/>
          <w:lang w:val="es-ES_tradnl"/>
        </w:rPr>
        <w:t>. Por último, en la categoría de situación sobreviniente están incluidos todos los demás eventos que, sin encajar dentro de alguna de las otras dos categorías, conducen también a que la orden del juez carezca de sentido. Por ejemplo, cuando es la persona o un tercero quien asume una carga que no le correspondía y consigue así superar la vulneración de derechos</w:t>
      </w:r>
      <w:r w:rsidRPr="00AB4289">
        <w:rPr>
          <w:rStyle w:val="Refdenotaalpie"/>
          <w:rFonts w:cs="Times New Roman"/>
          <w:sz w:val="28"/>
          <w:szCs w:val="28"/>
          <w:lang w:val="es-ES_tradnl"/>
        </w:rPr>
        <w:footnoteReference w:id="39"/>
      </w:r>
      <w:r w:rsidRPr="00AB4289">
        <w:rPr>
          <w:sz w:val="28"/>
          <w:szCs w:val="28"/>
          <w:lang w:val="es-ES_tradnl"/>
        </w:rPr>
        <w:t>.</w:t>
      </w:r>
    </w:p>
    <w:p w14:paraId="0A84198B" w14:textId="60D00995" w:rsidR="00A410A3" w:rsidRPr="00AB4289" w:rsidRDefault="00A410A3" w:rsidP="00B40BE5">
      <w:pPr>
        <w:pStyle w:val="Prrafodelista"/>
        <w:tabs>
          <w:tab w:val="left" w:pos="426"/>
          <w:tab w:val="left" w:pos="567"/>
          <w:tab w:val="left" w:pos="851"/>
        </w:tabs>
        <w:ind w:left="0"/>
        <w:jc w:val="both"/>
        <w:rPr>
          <w:color w:val="000000" w:themeColor="text1"/>
          <w:sz w:val="28"/>
          <w:szCs w:val="28"/>
          <w:lang w:val="es-ES_tradnl"/>
        </w:rPr>
      </w:pPr>
    </w:p>
    <w:p w14:paraId="66DD06D4" w14:textId="00641F1B" w:rsidR="00A410A3" w:rsidRPr="00AB4289" w:rsidRDefault="00A410A3" w:rsidP="00B40BE5">
      <w:pPr>
        <w:pStyle w:val="Prrafodelista"/>
        <w:numPr>
          <w:ilvl w:val="0"/>
          <w:numId w:val="2"/>
        </w:numPr>
        <w:tabs>
          <w:tab w:val="left" w:pos="426"/>
          <w:tab w:val="left" w:pos="567"/>
          <w:tab w:val="left" w:pos="851"/>
        </w:tabs>
        <w:ind w:left="0" w:firstLine="0"/>
        <w:jc w:val="both"/>
        <w:rPr>
          <w:sz w:val="28"/>
          <w:szCs w:val="28"/>
          <w:lang w:val="es-ES_tradnl"/>
        </w:rPr>
      </w:pPr>
      <w:r w:rsidRPr="00AB4289">
        <w:rPr>
          <w:sz w:val="28"/>
          <w:szCs w:val="28"/>
          <w:lang w:val="es-ES_tradnl"/>
        </w:rPr>
        <w:t>En el presente caso, los jueces de instancia concluyeron que se configuró una carencia actual de objeto por hecho superado. Según esas autoridades judiciales, el hecho de que la Secretaría General de la Corte Suprema de Justicia hubiera remitido una respuesta a la solicitud presentada por el accionante era suficiente para considerar satisfechas sus pretensiones. L</w:t>
      </w:r>
      <w:r w:rsidR="00FF09C9" w:rsidRPr="00AB4289">
        <w:rPr>
          <w:sz w:val="28"/>
          <w:szCs w:val="28"/>
          <w:lang w:val="es-ES_tradnl"/>
        </w:rPr>
        <w:t>a Corte Constitucional</w:t>
      </w:r>
      <w:r w:rsidRPr="00AB4289">
        <w:rPr>
          <w:sz w:val="28"/>
          <w:szCs w:val="28"/>
          <w:lang w:val="es-ES_tradnl"/>
        </w:rPr>
        <w:t xml:space="preserve"> está en desacuerdo con esa posición por las siguientes razones</w:t>
      </w:r>
      <w:r w:rsidR="00FF09C9" w:rsidRPr="00AB4289">
        <w:rPr>
          <w:sz w:val="28"/>
          <w:szCs w:val="28"/>
          <w:lang w:val="es-ES_tradnl"/>
        </w:rPr>
        <w:t xml:space="preserve">. </w:t>
      </w:r>
    </w:p>
    <w:p w14:paraId="4237500D" w14:textId="77777777" w:rsidR="00A410A3" w:rsidRPr="00AB4289" w:rsidRDefault="00A410A3" w:rsidP="00B40BE5">
      <w:pPr>
        <w:pStyle w:val="Prrafodelista"/>
        <w:tabs>
          <w:tab w:val="left" w:pos="426"/>
          <w:tab w:val="left" w:pos="567"/>
          <w:tab w:val="left" w:pos="851"/>
        </w:tabs>
        <w:ind w:left="0"/>
        <w:jc w:val="both"/>
        <w:rPr>
          <w:sz w:val="28"/>
          <w:szCs w:val="28"/>
          <w:lang w:val="es-ES_tradnl"/>
        </w:rPr>
      </w:pPr>
    </w:p>
    <w:p w14:paraId="08DC56B4" w14:textId="2A5BEC1B" w:rsidR="0045457F" w:rsidRPr="00AB4289" w:rsidRDefault="00FF09C9" w:rsidP="00B40BE5">
      <w:pPr>
        <w:pStyle w:val="Prrafodelista"/>
        <w:numPr>
          <w:ilvl w:val="0"/>
          <w:numId w:val="2"/>
        </w:numPr>
        <w:tabs>
          <w:tab w:val="left" w:pos="426"/>
          <w:tab w:val="left" w:pos="567"/>
          <w:tab w:val="left" w:pos="851"/>
        </w:tabs>
        <w:ind w:left="0" w:firstLine="0"/>
        <w:jc w:val="both"/>
        <w:rPr>
          <w:sz w:val="28"/>
          <w:szCs w:val="28"/>
          <w:lang w:val="es-ES_tradnl"/>
        </w:rPr>
      </w:pPr>
      <w:r w:rsidRPr="00AB4289">
        <w:rPr>
          <w:sz w:val="28"/>
          <w:szCs w:val="28"/>
          <w:lang w:val="es-ES_tradnl"/>
        </w:rPr>
        <w:t xml:space="preserve">En </w:t>
      </w:r>
      <w:r w:rsidR="00A410A3" w:rsidRPr="00AB4289">
        <w:rPr>
          <w:sz w:val="28"/>
          <w:szCs w:val="28"/>
          <w:lang w:val="es-ES_tradnl"/>
        </w:rPr>
        <w:t>primer lugar</w:t>
      </w:r>
      <w:r w:rsidRPr="00AB4289">
        <w:rPr>
          <w:sz w:val="28"/>
          <w:szCs w:val="28"/>
          <w:lang w:val="es-ES_tradnl"/>
        </w:rPr>
        <w:t xml:space="preserve">, </w:t>
      </w:r>
      <w:r w:rsidR="007D122C" w:rsidRPr="00AB4289">
        <w:rPr>
          <w:sz w:val="28"/>
          <w:szCs w:val="28"/>
          <w:lang w:val="es-ES_tradnl"/>
        </w:rPr>
        <w:t xml:space="preserve">esta </w:t>
      </w:r>
      <w:r w:rsidRPr="00AB4289">
        <w:rPr>
          <w:sz w:val="28"/>
          <w:szCs w:val="28"/>
          <w:lang w:val="es-ES_tradnl"/>
        </w:rPr>
        <w:t>Corte ha precisado que el derecho de petición se vulnera en dos escenarios</w:t>
      </w:r>
      <w:r w:rsidR="007D122C" w:rsidRPr="00AB4289">
        <w:rPr>
          <w:rStyle w:val="Refdenotaalpie"/>
          <w:rFonts w:cs="Times New Roman"/>
          <w:sz w:val="28"/>
          <w:szCs w:val="28"/>
          <w:lang w:val="es-ES_tradnl"/>
        </w:rPr>
        <w:footnoteReference w:id="40"/>
      </w:r>
      <w:r w:rsidRPr="00AB4289">
        <w:rPr>
          <w:sz w:val="28"/>
          <w:szCs w:val="28"/>
          <w:lang w:val="es-ES_tradnl"/>
        </w:rPr>
        <w:t>: (i) cuando no se otorga respuesta dentro del término legal previsto para cada tipo de solicitud; o (</w:t>
      </w:r>
      <w:proofErr w:type="spellStart"/>
      <w:r w:rsidRPr="00AB4289">
        <w:rPr>
          <w:sz w:val="28"/>
          <w:szCs w:val="28"/>
          <w:lang w:val="es-ES_tradnl"/>
        </w:rPr>
        <w:t>ii</w:t>
      </w:r>
      <w:proofErr w:type="spellEnd"/>
      <w:r w:rsidRPr="00AB4289">
        <w:rPr>
          <w:sz w:val="28"/>
          <w:szCs w:val="28"/>
          <w:lang w:val="es-ES_tradnl"/>
        </w:rPr>
        <w:t>) cuando, a pesar de haberse emitido una respuesta, esta no puede calificarse como idónea o de fondo</w:t>
      </w:r>
      <w:r w:rsidR="00B809D0" w:rsidRPr="00AB4289">
        <w:rPr>
          <w:sz w:val="28"/>
          <w:szCs w:val="28"/>
          <w:lang w:val="es-ES_tradnl"/>
        </w:rPr>
        <w:t xml:space="preserve">. </w:t>
      </w:r>
      <w:r w:rsidR="007D122C" w:rsidRPr="00AB4289">
        <w:rPr>
          <w:sz w:val="28"/>
          <w:szCs w:val="28"/>
          <w:lang w:val="es-ES_tradnl"/>
        </w:rPr>
        <w:t>Así,</w:t>
      </w:r>
      <w:r w:rsidR="00540A0A" w:rsidRPr="00AB4289">
        <w:rPr>
          <w:sz w:val="28"/>
          <w:szCs w:val="28"/>
          <w:lang w:val="es-ES_tradnl"/>
        </w:rPr>
        <w:t xml:space="preserve"> </w:t>
      </w:r>
      <w:r w:rsidR="00540A0A" w:rsidRPr="00AB4289">
        <w:rPr>
          <w:sz w:val="28"/>
          <w:szCs w:val="28"/>
          <w:lang w:val="es-ES_tradnl"/>
        </w:rPr>
        <w:lastRenderedPageBreak/>
        <w:t>esta Corporación</w:t>
      </w:r>
      <w:r w:rsidR="007D122C" w:rsidRPr="00AB4289">
        <w:rPr>
          <w:sz w:val="28"/>
          <w:szCs w:val="28"/>
          <w:lang w:val="es-ES_tradnl"/>
        </w:rPr>
        <w:t xml:space="preserve"> ha establecido que, p</w:t>
      </w:r>
      <w:r w:rsidR="00B809D0" w:rsidRPr="00AB4289">
        <w:rPr>
          <w:sz w:val="28"/>
          <w:szCs w:val="28"/>
          <w:lang w:val="es-ES_tradnl"/>
        </w:rPr>
        <w:t xml:space="preserve">ara que una respuesta sea considerada de fondo, debe ser </w:t>
      </w:r>
      <w:r w:rsidRPr="00AB4289">
        <w:rPr>
          <w:sz w:val="28"/>
          <w:szCs w:val="28"/>
          <w:lang w:val="es-ES_tradnl"/>
        </w:rPr>
        <w:t>clara</w:t>
      </w:r>
      <w:r w:rsidR="007D122C" w:rsidRPr="00AB4289">
        <w:rPr>
          <w:rStyle w:val="Refdenotaalpie"/>
          <w:rFonts w:cs="Times New Roman"/>
          <w:sz w:val="28"/>
          <w:szCs w:val="28"/>
          <w:lang w:val="es-ES_tradnl"/>
        </w:rPr>
        <w:footnoteReference w:id="41"/>
      </w:r>
      <w:r w:rsidRPr="00AB4289">
        <w:rPr>
          <w:sz w:val="28"/>
          <w:szCs w:val="28"/>
          <w:lang w:val="es-ES_tradnl"/>
        </w:rPr>
        <w:t>, precisa</w:t>
      </w:r>
      <w:r w:rsidR="007D122C" w:rsidRPr="00AB4289">
        <w:rPr>
          <w:rStyle w:val="Refdenotaalpie"/>
          <w:rFonts w:cs="Times New Roman"/>
          <w:sz w:val="28"/>
          <w:szCs w:val="28"/>
          <w:lang w:val="es-ES_tradnl"/>
        </w:rPr>
        <w:footnoteReference w:id="42"/>
      </w:r>
      <w:r w:rsidRPr="00AB4289">
        <w:rPr>
          <w:sz w:val="28"/>
          <w:szCs w:val="28"/>
          <w:lang w:val="es-ES_tradnl"/>
        </w:rPr>
        <w:t>, congruente</w:t>
      </w:r>
      <w:r w:rsidR="007D122C" w:rsidRPr="00AB4289">
        <w:rPr>
          <w:rStyle w:val="Refdenotaalpie"/>
          <w:rFonts w:cs="Times New Roman"/>
          <w:sz w:val="28"/>
          <w:szCs w:val="28"/>
          <w:lang w:val="es-ES_tradnl"/>
        </w:rPr>
        <w:footnoteReference w:id="43"/>
      </w:r>
      <w:r w:rsidRPr="00AB4289">
        <w:rPr>
          <w:sz w:val="28"/>
          <w:szCs w:val="28"/>
          <w:lang w:val="es-ES_tradnl"/>
        </w:rPr>
        <w:t xml:space="preserve"> y consecuente</w:t>
      </w:r>
      <w:r w:rsidR="007D122C" w:rsidRPr="00AB4289">
        <w:rPr>
          <w:rStyle w:val="Refdenotaalpie"/>
          <w:rFonts w:cs="Times New Roman"/>
          <w:sz w:val="28"/>
          <w:szCs w:val="28"/>
          <w:lang w:val="es-ES_tradnl"/>
        </w:rPr>
        <w:footnoteReference w:id="44"/>
      </w:r>
      <w:r w:rsidRPr="00AB4289">
        <w:rPr>
          <w:sz w:val="28"/>
          <w:szCs w:val="28"/>
          <w:lang w:val="es-ES_tradnl"/>
        </w:rPr>
        <w:t xml:space="preserve"> con lo solicitado. </w:t>
      </w:r>
    </w:p>
    <w:p w14:paraId="07F6EBB2" w14:textId="77777777" w:rsidR="0045457F" w:rsidRPr="00AB4289" w:rsidRDefault="0045457F" w:rsidP="00B40BE5">
      <w:pPr>
        <w:pStyle w:val="Prrafodelista"/>
        <w:jc w:val="both"/>
        <w:rPr>
          <w:sz w:val="28"/>
          <w:szCs w:val="28"/>
          <w:lang w:val="es-ES_tradnl"/>
        </w:rPr>
      </w:pPr>
    </w:p>
    <w:p w14:paraId="5E6234FD" w14:textId="719CE6DF" w:rsidR="00F077D3" w:rsidRPr="00AB4289" w:rsidRDefault="0045457F" w:rsidP="00B40BE5">
      <w:pPr>
        <w:pStyle w:val="Prrafodelista"/>
        <w:numPr>
          <w:ilvl w:val="0"/>
          <w:numId w:val="2"/>
        </w:numPr>
        <w:tabs>
          <w:tab w:val="left" w:pos="426"/>
          <w:tab w:val="left" w:pos="567"/>
          <w:tab w:val="left" w:pos="851"/>
        </w:tabs>
        <w:ind w:left="0" w:firstLine="0"/>
        <w:jc w:val="both"/>
        <w:rPr>
          <w:sz w:val="28"/>
          <w:szCs w:val="28"/>
          <w:lang w:val="es-ES_tradnl"/>
        </w:rPr>
      </w:pPr>
      <w:r w:rsidRPr="00AB4289">
        <w:rPr>
          <w:sz w:val="28"/>
          <w:szCs w:val="28"/>
          <w:lang w:val="es-ES_tradnl"/>
        </w:rPr>
        <w:t>Ahora bien, la Corte</w:t>
      </w:r>
      <w:r w:rsidR="00540A0A" w:rsidRPr="00AB4289">
        <w:rPr>
          <w:sz w:val="28"/>
          <w:szCs w:val="28"/>
          <w:lang w:val="es-ES_tradnl"/>
        </w:rPr>
        <w:t xml:space="preserve"> también</w:t>
      </w:r>
      <w:r w:rsidRPr="00AB4289">
        <w:rPr>
          <w:sz w:val="28"/>
          <w:szCs w:val="28"/>
          <w:lang w:val="es-ES_tradnl"/>
        </w:rPr>
        <w:t xml:space="preserve"> ha </w:t>
      </w:r>
      <w:r w:rsidR="00540A0A" w:rsidRPr="00AB4289">
        <w:rPr>
          <w:sz w:val="28"/>
          <w:szCs w:val="28"/>
          <w:lang w:val="es-ES_tradnl"/>
        </w:rPr>
        <w:t>señalado</w:t>
      </w:r>
      <w:r w:rsidRPr="00AB4289">
        <w:rPr>
          <w:sz w:val="28"/>
          <w:szCs w:val="28"/>
          <w:lang w:val="es-ES_tradnl"/>
        </w:rPr>
        <w:t xml:space="preserve"> que las solicitudes de acceso a la información pública constituyen formas especiales del derecho de petición</w:t>
      </w:r>
      <w:r w:rsidRPr="00AB4289">
        <w:rPr>
          <w:rStyle w:val="Refdenotaalpie"/>
          <w:rFonts w:cs="Times New Roman"/>
          <w:sz w:val="28"/>
          <w:szCs w:val="28"/>
          <w:lang w:val="es-ES_tradnl"/>
        </w:rPr>
        <w:footnoteReference w:id="45"/>
      </w:r>
      <w:r w:rsidRPr="00AB4289">
        <w:rPr>
          <w:sz w:val="28"/>
          <w:szCs w:val="28"/>
          <w:lang w:val="es-ES_tradnl"/>
        </w:rPr>
        <w:t>. Así, en los casos en los que se solicita acceso a la información pública, las respuestas deben cumplir exigencias particulares para ser consideradas de fondo: el acceso a la información solo puede ser negado con base en las causales expresamente previstas en la Ley Estatutaria 1712 de 2014. En consecuencia, la autoridad no puede invocar motivos de reserva distintos de los establecidos en el artículo 28 de dicha ley, cuyo alcance será desarrollado más adelante en esta providencia.</w:t>
      </w:r>
    </w:p>
    <w:p w14:paraId="6CD1EAE8" w14:textId="77777777" w:rsidR="00A410A3" w:rsidRPr="00AB4289" w:rsidRDefault="00A410A3" w:rsidP="00B40BE5">
      <w:pPr>
        <w:pStyle w:val="Prrafodelista"/>
        <w:rPr>
          <w:sz w:val="28"/>
          <w:szCs w:val="28"/>
          <w:lang w:val="es-ES_tradnl"/>
        </w:rPr>
      </w:pPr>
    </w:p>
    <w:p w14:paraId="50C7CC67" w14:textId="329A1520" w:rsidR="0031281C" w:rsidRPr="00AB4289" w:rsidRDefault="00A410A3" w:rsidP="00B40BE5">
      <w:pPr>
        <w:pStyle w:val="Prrafodelista"/>
        <w:numPr>
          <w:ilvl w:val="0"/>
          <w:numId w:val="2"/>
        </w:numPr>
        <w:tabs>
          <w:tab w:val="left" w:pos="426"/>
          <w:tab w:val="left" w:pos="567"/>
          <w:tab w:val="left" w:pos="851"/>
        </w:tabs>
        <w:ind w:left="0" w:firstLine="0"/>
        <w:jc w:val="both"/>
        <w:rPr>
          <w:sz w:val="28"/>
          <w:szCs w:val="28"/>
          <w:lang w:val="es-ES_tradnl"/>
        </w:rPr>
      </w:pPr>
      <w:r w:rsidRPr="00AB4289">
        <w:rPr>
          <w:sz w:val="28"/>
          <w:szCs w:val="28"/>
          <w:lang w:val="es-ES_tradnl"/>
        </w:rPr>
        <w:t>En segundo lugar, a partir de los parámetros expuestos</w:t>
      </w:r>
      <w:r w:rsidR="0026497A" w:rsidRPr="00AB4289">
        <w:rPr>
          <w:sz w:val="28"/>
          <w:szCs w:val="28"/>
          <w:lang w:val="es-ES_tradnl"/>
        </w:rPr>
        <w:t>,</w:t>
      </w:r>
      <w:r w:rsidRPr="00AB4289">
        <w:rPr>
          <w:sz w:val="28"/>
          <w:szCs w:val="28"/>
          <w:lang w:val="es-ES_tradnl"/>
        </w:rPr>
        <w:t xml:space="preserve"> se concluye </w:t>
      </w:r>
      <w:proofErr w:type="gramStart"/>
      <w:r w:rsidRPr="00AB4289">
        <w:rPr>
          <w:sz w:val="28"/>
          <w:szCs w:val="28"/>
          <w:lang w:val="es-ES_tradnl"/>
        </w:rPr>
        <w:t>que</w:t>
      </w:r>
      <w:proofErr w:type="gramEnd"/>
      <w:r w:rsidRPr="00AB4289">
        <w:rPr>
          <w:sz w:val="28"/>
          <w:szCs w:val="28"/>
          <w:lang w:val="es-ES_tradnl"/>
        </w:rPr>
        <w:t xml:space="preserve"> aunque la Secretaría General de la Corte Suprema de </w:t>
      </w:r>
      <w:r w:rsidR="0031281C" w:rsidRPr="00AB4289">
        <w:rPr>
          <w:sz w:val="28"/>
          <w:szCs w:val="28"/>
          <w:lang w:val="es-ES_tradnl"/>
        </w:rPr>
        <w:t xml:space="preserve">Justicia respondió </w:t>
      </w:r>
      <w:r w:rsidRPr="00AB4289">
        <w:rPr>
          <w:sz w:val="28"/>
          <w:szCs w:val="28"/>
          <w:lang w:val="es-ES_tradnl"/>
        </w:rPr>
        <w:t xml:space="preserve">al señor Barrientos el 5 de abril de 2024, </w:t>
      </w:r>
      <w:r w:rsidR="0031281C" w:rsidRPr="00AB4289">
        <w:rPr>
          <w:sz w:val="28"/>
          <w:szCs w:val="28"/>
          <w:lang w:val="es-ES_tradnl"/>
        </w:rPr>
        <w:t>no hay certeza de que dicha respuesta</w:t>
      </w:r>
      <w:r w:rsidRPr="00AB4289">
        <w:rPr>
          <w:sz w:val="28"/>
          <w:szCs w:val="28"/>
          <w:lang w:val="es-ES_tradnl"/>
        </w:rPr>
        <w:t xml:space="preserve"> reún</w:t>
      </w:r>
      <w:r w:rsidR="0031281C" w:rsidRPr="00AB4289">
        <w:rPr>
          <w:sz w:val="28"/>
          <w:szCs w:val="28"/>
          <w:lang w:val="es-ES_tradnl"/>
        </w:rPr>
        <w:t>a</w:t>
      </w:r>
      <w:r w:rsidRPr="00AB4289">
        <w:rPr>
          <w:sz w:val="28"/>
          <w:szCs w:val="28"/>
          <w:lang w:val="es-ES_tradnl"/>
        </w:rPr>
        <w:t xml:space="preserve"> los presupuestos necesarios para ser considerada como una contestación de fondo, en los términos exigidos por la jurisprudencia constitucional.</w:t>
      </w:r>
      <w:r w:rsidR="0031281C" w:rsidRPr="00AB4289">
        <w:rPr>
          <w:sz w:val="28"/>
          <w:szCs w:val="28"/>
          <w:lang w:val="es-ES_tradnl"/>
        </w:rPr>
        <w:t xml:space="preserve"> Por lo tanto, no se </w:t>
      </w:r>
      <w:r w:rsidR="00F077D3" w:rsidRPr="00AB4289">
        <w:rPr>
          <w:sz w:val="28"/>
          <w:szCs w:val="28"/>
          <w:lang w:val="es-ES_tradnl"/>
        </w:rPr>
        <w:t>configura ninguno de los supuestos de carencia actual de objeto</w:t>
      </w:r>
      <w:r w:rsidR="00081B3B" w:rsidRPr="00AB4289">
        <w:rPr>
          <w:sz w:val="28"/>
          <w:szCs w:val="28"/>
          <w:lang w:val="es-ES_tradnl"/>
        </w:rPr>
        <w:t xml:space="preserve">. </w:t>
      </w:r>
    </w:p>
    <w:p w14:paraId="47675426" w14:textId="77777777" w:rsidR="0031281C" w:rsidRPr="00AB4289" w:rsidRDefault="0031281C" w:rsidP="00B40BE5">
      <w:pPr>
        <w:pStyle w:val="Prrafodelista"/>
        <w:tabs>
          <w:tab w:val="left" w:pos="426"/>
          <w:tab w:val="left" w:pos="567"/>
          <w:tab w:val="left" w:pos="851"/>
        </w:tabs>
        <w:ind w:left="0"/>
        <w:jc w:val="both"/>
        <w:rPr>
          <w:sz w:val="28"/>
          <w:szCs w:val="28"/>
          <w:lang w:val="es-ES_tradnl"/>
        </w:rPr>
      </w:pPr>
    </w:p>
    <w:p w14:paraId="50F55040" w14:textId="337EB790" w:rsidR="00F077D3" w:rsidRPr="00AB4289" w:rsidRDefault="0031281C" w:rsidP="00B40BE5">
      <w:pPr>
        <w:pStyle w:val="Prrafodelista"/>
        <w:numPr>
          <w:ilvl w:val="0"/>
          <w:numId w:val="2"/>
        </w:numPr>
        <w:tabs>
          <w:tab w:val="left" w:pos="426"/>
          <w:tab w:val="left" w:pos="567"/>
          <w:tab w:val="left" w:pos="851"/>
        </w:tabs>
        <w:ind w:left="0" w:firstLine="0"/>
        <w:jc w:val="both"/>
        <w:rPr>
          <w:sz w:val="28"/>
          <w:szCs w:val="28"/>
          <w:lang w:val="es-ES_tradnl"/>
        </w:rPr>
      </w:pPr>
      <w:r w:rsidRPr="00AB4289">
        <w:rPr>
          <w:sz w:val="28"/>
          <w:szCs w:val="28"/>
          <w:lang w:val="es-ES_tradnl"/>
        </w:rPr>
        <w:t>Por un lado</w:t>
      </w:r>
      <w:r w:rsidR="00F077D3" w:rsidRPr="00AB4289">
        <w:rPr>
          <w:sz w:val="28"/>
          <w:szCs w:val="28"/>
          <w:lang w:val="es-ES_tradnl"/>
        </w:rPr>
        <w:t>, no se acredita la existencia de un hecho o situación sobreviniente que permita concluir que las pretensiones fueron satisfechas de manera definitiva. En efecto, subsiste la controversia acerca de si la Corte Suprema de Justicia dio realmente una respuesta de fondo a la petición del señor Barrientos. Aunque dicha Corporación sostiene que su respuesta sí fue de fondo, lo cierto es que no existen elementos suficientes para afirmar con certeza que la respuesta cumplió con el estándar de motivación previsto en el artículo 28 de la Ley 1712 de 2014 ni con las causales expresamente contempladas en dicha disposición para negar el acceso a la información pública.</w:t>
      </w:r>
    </w:p>
    <w:p w14:paraId="6E1490E5" w14:textId="77777777" w:rsidR="00F077D3" w:rsidRPr="00AB4289" w:rsidRDefault="00F077D3" w:rsidP="00B40BE5">
      <w:pPr>
        <w:pStyle w:val="Prrafodelista"/>
        <w:jc w:val="both"/>
        <w:rPr>
          <w:sz w:val="28"/>
          <w:szCs w:val="28"/>
          <w:lang w:val="es-ES_tradnl"/>
        </w:rPr>
      </w:pPr>
    </w:p>
    <w:p w14:paraId="2917A297" w14:textId="77AB1C64" w:rsidR="00F077D3" w:rsidRPr="00AB4289" w:rsidRDefault="00F077D3" w:rsidP="00B40BE5">
      <w:pPr>
        <w:pStyle w:val="Prrafodelista"/>
        <w:numPr>
          <w:ilvl w:val="0"/>
          <w:numId w:val="2"/>
        </w:numPr>
        <w:tabs>
          <w:tab w:val="left" w:pos="426"/>
          <w:tab w:val="left" w:pos="567"/>
          <w:tab w:val="left" w:pos="851"/>
        </w:tabs>
        <w:ind w:left="0" w:firstLine="0"/>
        <w:jc w:val="both"/>
        <w:rPr>
          <w:sz w:val="28"/>
          <w:szCs w:val="28"/>
          <w:lang w:val="es-ES_tradnl"/>
        </w:rPr>
      </w:pPr>
      <w:r w:rsidRPr="00AB4289">
        <w:rPr>
          <w:sz w:val="28"/>
          <w:szCs w:val="28"/>
          <w:lang w:val="es-ES_tradnl"/>
        </w:rPr>
        <w:lastRenderedPageBreak/>
        <w:t>En la comunicación remitida el 5 de abril de 2024, la entidad accionada negó la información bajo dos argumentos: (i) consideró que respecto de la información contenida en las hojas de vida operaba la reserva establecida en el artículo 24-3 de la Ley 1755 de 2015; y (</w:t>
      </w:r>
      <w:proofErr w:type="spellStart"/>
      <w:r w:rsidRPr="00AB4289">
        <w:rPr>
          <w:sz w:val="28"/>
          <w:szCs w:val="28"/>
          <w:lang w:val="es-ES_tradnl"/>
        </w:rPr>
        <w:t>ii</w:t>
      </w:r>
      <w:proofErr w:type="spellEnd"/>
      <w:r w:rsidRPr="00AB4289">
        <w:rPr>
          <w:sz w:val="28"/>
          <w:szCs w:val="28"/>
          <w:lang w:val="es-ES_tradnl"/>
        </w:rPr>
        <w:t xml:space="preserve">) señaló que las declaraciones de renta, de bienes y rentas, así como los registros de conflictos de interés, podían ser consultados en la página oficial del Departamento Administrativo de la Función Pública. </w:t>
      </w:r>
      <w:r w:rsidR="00540A0A" w:rsidRPr="00AB4289">
        <w:rPr>
          <w:sz w:val="28"/>
          <w:szCs w:val="28"/>
          <w:lang w:val="es-ES_tradnl"/>
        </w:rPr>
        <w:t xml:space="preserve">Frente a esto, </w:t>
      </w:r>
      <w:r w:rsidRPr="00AB4289">
        <w:rPr>
          <w:sz w:val="28"/>
          <w:szCs w:val="28"/>
          <w:lang w:val="es-ES_tradnl"/>
        </w:rPr>
        <w:t>el señor Barrientos alegó, durante el trámite de tutela, que esta respuesta no atendía de fondo su pretensión y que no satisfacía los estándares legales exigidos para restringir el acceso a la información.</w:t>
      </w:r>
    </w:p>
    <w:p w14:paraId="0AC54843" w14:textId="77777777" w:rsidR="00F077D3" w:rsidRPr="00AB4289" w:rsidRDefault="00F077D3" w:rsidP="00B40BE5">
      <w:pPr>
        <w:pStyle w:val="Prrafodelista"/>
        <w:jc w:val="both"/>
        <w:rPr>
          <w:sz w:val="28"/>
          <w:szCs w:val="28"/>
          <w:lang w:val="es-ES_tradnl"/>
        </w:rPr>
      </w:pPr>
    </w:p>
    <w:p w14:paraId="2C11B901" w14:textId="7F03D51A" w:rsidR="00F077D3" w:rsidRPr="00AB4289" w:rsidRDefault="00F077D3" w:rsidP="00B40BE5">
      <w:pPr>
        <w:pStyle w:val="Prrafodelista"/>
        <w:numPr>
          <w:ilvl w:val="0"/>
          <w:numId w:val="2"/>
        </w:numPr>
        <w:tabs>
          <w:tab w:val="left" w:pos="426"/>
          <w:tab w:val="left" w:pos="567"/>
          <w:tab w:val="left" w:pos="851"/>
        </w:tabs>
        <w:ind w:left="0" w:firstLine="0"/>
        <w:jc w:val="both"/>
        <w:rPr>
          <w:sz w:val="28"/>
          <w:szCs w:val="28"/>
          <w:lang w:val="es-ES_tradnl"/>
        </w:rPr>
      </w:pPr>
      <w:r w:rsidRPr="00AB4289">
        <w:rPr>
          <w:sz w:val="28"/>
          <w:szCs w:val="28"/>
          <w:lang w:val="es-ES_tradnl"/>
        </w:rPr>
        <w:t>En consecuencia, persiste el debate en torno a la respuesta emitida por la Corte Suprema de Justicia y, en consecuencia, se hace necesario un examen detallado y de fondo para establecer si la respuesta emitida por la entidad accionada se ajustó o no al estándar argumentativo fijado por la jurisprudencia constitucional en materia de peticiones relativas al acceso a la información pública. En efecto, actualmente no existe ningún elemento que permita afirmar pacíficamente que, en el caso concreto, se hubieran cumplido las exigencias jurisprudenciales aplicables a las respuestas que niegan información pública.</w:t>
      </w:r>
    </w:p>
    <w:p w14:paraId="3EF3191B" w14:textId="77777777" w:rsidR="00F077D3" w:rsidRPr="00AB4289" w:rsidRDefault="00F077D3" w:rsidP="00B40BE5">
      <w:pPr>
        <w:pStyle w:val="Prrafodelista"/>
        <w:jc w:val="both"/>
        <w:rPr>
          <w:sz w:val="28"/>
          <w:szCs w:val="28"/>
          <w:lang w:val="es-ES_tradnl"/>
        </w:rPr>
      </w:pPr>
    </w:p>
    <w:p w14:paraId="1E16E026" w14:textId="1F54E09D" w:rsidR="00F077D3" w:rsidRPr="00AB4289" w:rsidRDefault="0031281C" w:rsidP="00B40BE5">
      <w:pPr>
        <w:pStyle w:val="Prrafodelista"/>
        <w:numPr>
          <w:ilvl w:val="0"/>
          <w:numId w:val="2"/>
        </w:numPr>
        <w:tabs>
          <w:tab w:val="left" w:pos="426"/>
          <w:tab w:val="left" w:pos="567"/>
          <w:tab w:val="left" w:pos="851"/>
        </w:tabs>
        <w:ind w:left="0" w:firstLine="0"/>
        <w:jc w:val="both"/>
        <w:rPr>
          <w:sz w:val="28"/>
          <w:szCs w:val="28"/>
          <w:lang w:val="es-ES_tradnl"/>
        </w:rPr>
      </w:pPr>
      <w:r w:rsidRPr="00AB4289">
        <w:rPr>
          <w:sz w:val="28"/>
          <w:szCs w:val="28"/>
          <w:lang w:val="es-ES_tradnl"/>
        </w:rPr>
        <w:t>Por otro lado</w:t>
      </w:r>
      <w:r w:rsidR="00F077D3" w:rsidRPr="00AB4289">
        <w:rPr>
          <w:sz w:val="28"/>
          <w:szCs w:val="28"/>
          <w:lang w:val="es-ES_tradnl"/>
        </w:rPr>
        <w:t>, tampoco se configura la hipótesis de daño consumado. Si bien es cierto que la Corte Suprema respondió de manera tardía a la solicitud</w:t>
      </w:r>
      <w:r w:rsidR="00540A0A" w:rsidRPr="00AB4289">
        <w:rPr>
          <w:sz w:val="28"/>
          <w:szCs w:val="28"/>
          <w:lang w:val="es-ES_tradnl"/>
        </w:rPr>
        <w:t xml:space="preserve"> del señor Barrientos</w:t>
      </w:r>
      <w:r w:rsidR="00F077D3" w:rsidRPr="00AB4289">
        <w:rPr>
          <w:sz w:val="28"/>
          <w:szCs w:val="28"/>
          <w:lang w:val="es-ES_tradnl"/>
        </w:rPr>
        <w:t xml:space="preserve"> -un mes después de su presentación-, y eso constituye una vulneración a una de las dimensiones del derecho de petición, ello no implica que la lesión resulte irreversible.</w:t>
      </w:r>
    </w:p>
    <w:p w14:paraId="6EA1D84F" w14:textId="77777777" w:rsidR="00F077D3" w:rsidRPr="00AB4289" w:rsidRDefault="00F077D3" w:rsidP="00B40BE5">
      <w:pPr>
        <w:pStyle w:val="Prrafodelista"/>
        <w:jc w:val="both"/>
        <w:rPr>
          <w:sz w:val="28"/>
          <w:szCs w:val="28"/>
          <w:lang w:val="es-ES_tradnl"/>
        </w:rPr>
      </w:pPr>
    </w:p>
    <w:p w14:paraId="353457B6" w14:textId="53E1895A" w:rsidR="00F077D3" w:rsidRPr="00AB4289" w:rsidRDefault="00F077D3" w:rsidP="00B40BE5">
      <w:pPr>
        <w:pStyle w:val="Prrafodelista"/>
        <w:numPr>
          <w:ilvl w:val="0"/>
          <w:numId w:val="2"/>
        </w:numPr>
        <w:tabs>
          <w:tab w:val="left" w:pos="426"/>
          <w:tab w:val="left" w:pos="567"/>
          <w:tab w:val="left" w:pos="851"/>
        </w:tabs>
        <w:ind w:left="0" w:firstLine="0"/>
        <w:jc w:val="both"/>
        <w:rPr>
          <w:sz w:val="28"/>
          <w:szCs w:val="28"/>
          <w:lang w:val="es-ES_tradnl"/>
        </w:rPr>
      </w:pPr>
      <w:r w:rsidRPr="00AB4289">
        <w:rPr>
          <w:sz w:val="28"/>
          <w:szCs w:val="28"/>
          <w:lang w:val="es-ES_tradnl"/>
        </w:rPr>
        <w:t>En efecto, la noción de daño consumado supone que la afectación al derecho se ha materializado de manera definitiva, de modo que no exista posibilidad real de reparación. En el presente caso aún resulta viable adoptar medidas de restablecimiento, pues una eventual decisión judicial podría ordenar a la entidad demandada emitir una respuesta de fondo, efectiva y conforme con los estándares constitucionales.</w:t>
      </w:r>
      <w:r w:rsidR="00540A0A" w:rsidRPr="00AB4289">
        <w:rPr>
          <w:sz w:val="28"/>
          <w:szCs w:val="28"/>
          <w:lang w:val="es-ES_tradnl"/>
        </w:rPr>
        <w:t xml:space="preserve"> Por ello, resulta indispensable realizar un examen de fondo que permita establecer si es necesario adoptar dicha decisión.</w:t>
      </w:r>
    </w:p>
    <w:p w14:paraId="3415A2AE" w14:textId="77777777" w:rsidR="00F077D3" w:rsidRPr="00AB4289" w:rsidRDefault="00F077D3" w:rsidP="00B40BE5">
      <w:pPr>
        <w:pStyle w:val="Prrafodelista"/>
        <w:jc w:val="both"/>
        <w:rPr>
          <w:sz w:val="28"/>
          <w:szCs w:val="28"/>
          <w:lang w:val="es-ES_tradnl"/>
        </w:rPr>
      </w:pPr>
    </w:p>
    <w:p w14:paraId="56B0F6A5" w14:textId="16399D96" w:rsidR="00F077D3" w:rsidRPr="00AB4289" w:rsidRDefault="00F077D3" w:rsidP="00B40BE5">
      <w:pPr>
        <w:pStyle w:val="Prrafodelista"/>
        <w:numPr>
          <w:ilvl w:val="0"/>
          <w:numId w:val="2"/>
        </w:numPr>
        <w:tabs>
          <w:tab w:val="left" w:pos="426"/>
          <w:tab w:val="left" w:pos="567"/>
          <w:tab w:val="left" w:pos="851"/>
        </w:tabs>
        <w:ind w:left="0" w:firstLine="0"/>
        <w:jc w:val="both"/>
        <w:rPr>
          <w:sz w:val="28"/>
          <w:szCs w:val="28"/>
          <w:lang w:val="es-ES_tradnl"/>
        </w:rPr>
      </w:pPr>
      <w:r w:rsidRPr="00AB4289">
        <w:rPr>
          <w:sz w:val="28"/>
          <w:szCs w:val="28"/>
          <w:lang w:val="es-ES_tradnl"/>
        </w:rPr>
        <w:t>En conclusión, la Corte encuentra que en este asunto no se presenta una carencia actual de objeto</w:t>
      </w:r>
      <w:r w:rsidR="00540A0A" w:rsidRPr="00AB4289">
        <w:rPr>
          <w:sz w:val="28"/>
          <w:szCs w:val="28"/>
          <w:lang w:val="es-ES_tradnl"/>
        </w:rPr>
        <w:t>, ya que</w:t>
      </w:r>
      <w:r w:rsidRPr="00AB4289">
        <w:rPr>
          <w:sz w:val="28"/>
          <w:szCs w:val="28"/>
          <w:lang w:val="es-ES_tradnl"/>
        </w:rPr>
        <w:t xml:space="preserve"> ni las pretensiones han sido plenamente satisfechas ni se ha configurado un daño irreversible que impida la adopción de medidas de protección. </w:t>
      </w:r>
      <w:r w:rsidR="006B5B83" w:rsidRPr="00AB4289">
        <w:rPr>
          <w:sz w:val="28"/>
          <w:szCs w:val="28"/>
          <w:lang w:val="es-ES_tradnl"/>
        </w:rPr>
        <w:t>Establecido esto, la Corte enunciará el problema jurídico y la metodología de la decisión</w:t>
      </w:r>
      <w:r w:rsidRPr="00AB4289">
        <w:rPr>
          <w:sz w:val="28"/>
          <w:szCs w:val="28"/>
          <w:lang w:val="es-ES_tradnl"/>
        </w:rPr>
        <w:t>.</w:t>
      </w:r>
    </w:p>
    <w:p w14:paraId="61B05327" w14:textId="77777777" w:rsidR="0050063B" w:rsidRPr="00AB4289" w:rsidRDefault="0050063B" w:rsidP="00B40BE5">
      <w:pPr>
        <w:pStyle w:val="Ttulo2"/>
        <w:spacing w:before="0" w:after="0"/>
        <w:jc w:val="both"/>
        <w:rPr>
          <w:rFonts w:ascii="Times New Roman" w:hAnsi="Times New Roman" w:cs="Times New Roman"/>
          <w:lang w:val="es-ES_tradnl"/>
        </w:rPr>
      </w:pPr>
    </w:p>
    <w:p w14:paraId="4472FA46" w14:textId="0B280167" w:rsidR="0050063B" w:rsidRPr="00AB4289" w:rsidRDefault="0050063B" w:rsidP="00B40BE5">
      <w:pPr>
        <w:pStyle w:val="Ttulo2"/>
        <w:numPr>
          <w:ilvl w:val="0"/>
          <w:numId w:val="42"/>
        </w:numPr>
        <w:spacing w:before="0" w:after="0"/>
        <w:jc w:val="both"/>
        <w:rPr>
          <w:rFonts w:ascii="Times New Roman" w:hAnsi="Times New Roman" w:cs="Times New Roman"/>
          <w:b/>
          <w:bCs/>
          <w:color w:val="000000" w:themeColor="text1"/>
          <w:sz w:val="28"/>
          <w:szCs w:val="28"/>
          <w:lang w:val="es-ES_tradnl"/>
        </w:rPr>
      </w:pPr>
      <w:bookmarkStart w:id="13" w:name="_Toc210202228"/>
      <w:r w:rsidRPr="00AB4289">
        <w:rPr>
          <w:rFonts w:ascii="Times New Roman" w:hAnsi="Times New Roman" w:cs="Times New Roman"/>
          <w:b/>
          <w:bCs/>
          <w:color w:val="000000" w:themeColor="text1"/>
          <w:sz w:val="28"/>
          <w:szCs w:val="28"/>
          <w:lang w:val="es-ES_tradnl"/>
        </w:rPr>
        <w:t>Planteamiento del problema jurídico y metodología de la decisión</w:t>
      </w:r>
      <w:bookmarkEnd w:id="13"/>
    </w:p>
    <w:p w14:paraId="09F839FB" w14:textId="77777777" w:rsidR="0050063B" w:rsidRPr="00AB4289" w:rsidRDefault="0050063B"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1667B3A9" w14:textId="73496E14" w:rsidR="00651882" w:rsidRPr="00AB4289" w:rsidRDefault="00526464" w:rsidP="00B40BE5">
      <w:pPr>
        <w:pStyle w:val="NormalWeb"/>
        <w:numPr>
          <w:ilvl w:val="0"/>
          <w:numId w:val="2"/>
        </w:numPr>
        <w:tabs>
          <w:tab w:val="left" w:pos="0"/>
          <w:tab w:val="left" w:pos="426"/>
          <w:tab w:val="left" w:pos="567"/>
        </w:tabs>
        <w:spacing w:before="0" w:beforeAutospacing="0" w:after="0" w:afterAutospacing="0"/>
        <w:ind w:left="0" w:right="49" w:firstLine="0"/>
        <w:jc w:val="both"/>
        <w:rPr>
          <w:sz w:val="22"/>
          <w:szCs w:val="22"/>
        </w:rPr>
      </w:pPr>
      <w:bookmarkStart w:id="14" w:name="OLE_LINK1"/>
      <w:bookmarkStart w:id="15" w:name="OLE_LINK2"/>
      <w:r w:rsidRPr="00AB4289">
        <w:rPr>
          <w:sz w:val="28"/>
          <w:szCs w:val="28"/>
          <w:lang w:val="es-ES_tradnl"/>
        </w:rPr>
        <w:t>En este caso, el señor Juan Pablo Barrientos radicó u</w:t>
      </w:r>
      <w:r w:rsidR="00706BA8">
        <w:rPr>
          <w:sz w:val="28"/>
          <w:szCs w:val="28"/>
          <w:lang w:val="es-ES_tradnl"/>
        </w:rPr>
        <w:t>na solicitud en ejercicio del</w:t>
      </w:r>
      <w:r w:rsidRPr="00AB4289">
        <w:rPr>
          <w:sz w:val="28"/>
          <w:szCs w:val="28"/>
          <w:lang w:val="es-ES_tradnl"/>
        </w:rPr>
        <w:t xml:space="preserve"> derecho de petición dirigid</w:t>
      </w:r>
      <w:r w:rsidR="005A5F5B">
        <w:rPr>
          <w:sz w:val="28"/>
          <w:szCs w:val="28"/>
          <w:lang w:val="es-ES_tradnl"/>
        </w:rPr>
        <w:t>a</w:t>
      </w:r>
      <w:r w:rsidRPr="00AB4289">
        <w:rPr>
          <w:sz w:val="28"/>
          <w:szCs w:val="28"/>
          <w:lang w:val="es-ES_tradnl"/>
        </w:rPr>
        <w:t xml:space="preserve"> al presidente de la Corte Suprema de Justicia en el que solicitó copia de las hojas de vida</w:t>
      </w:r>
      <w:r w:rsidR="00175F8A" w:rsidRPr="00AB4289">
        <w:rPr>
          <w:sz w:val="28"/>
          <w:szCs w:val="28"/>
          <w:lang w:val="es-ES_tradnl"/>
        </w:rPr>
        <w:t xml:space="preserve"> y sus respectivos soportes</w:t>
      </w:r>
      <w:r w:rsidRPr="00AB4289">
        <w:rPr>
          <w:sz w:val="28"/>
          <w:szCs w:val="28"/>
          <w:lang w:val="es-ES_tradnl"/>
        </w:rPr>
        <w:t xml:space="preserve">, de </w:t>
      </w:r>
      <w:r w:rsidR="00097BCA" w:rsidRPr="00AB4289">
        <w:rPr>
          <w:sz w:val="28"/>
          <w:szCs w:val="28"/>
          <w:lang w:val="es-ES_tradnl"/>
        </w:rPr>
        <w:t>las declaraciones sobre el impuesto de renta, las declaraciones de bienes y rentas, y los registros de conflictos de interés</w:t>
      </w:r>
      <w:r w:rsidRPr="00AB4289">
        <w:rPr>
          <w:sz w:val="28"/>
          <w:szCs w:val="28"/>
          <w:lang w:val="es-ES_tradnl"/>
        </w:rPr>
        <w:t xml:space="preserve"> de los 23 magistrados de la Sala Plena </w:t>
      </w:r>
      <w:bookmarkEnd w:id="14"/>
      <w:bookmarkEnd w:id="15"/>
      <w:r w:rsidRPr="00AB4289">
        <w:rPr>
          <w:sz w:val="28"/>
          <w:szCs w:val="28"/>
          <w:lang w:val="es-ES_tradnl"/>
        </w:rPr>
        <w:t xml:space="preserve">de dicha </w:t>
      </w:r>
      <w:r w:rsidR="000D2207" w:rsidRPr="00AB4289">
        <w:rPr>
          <w:sz w:val="28"/>
          <w:szCs w:val="28"/>
          <w:lang w:val="es-ES_tradnl"/>
        </w:rPr>
        <w:t>C</w:t>
      </w:r>
      <w:r w:rsidRPr="00AB4289">
        <w:rPr>
          <w:sz w:val="28"/>
          <w:szCs w:val="28"/>
          <w:lang w:val="es-ES_tradnl"/>
        </w:rPr>
        <w:t>orporación. La Secretaría General de la Corte Suprema de Justicia</w:t>
      </w:r>
      <w:r w:rsidR="000B7720" w:rsidRPr="00AB4289">
        <w:rPr>
          <w:rStyle w:val="Refdenotaalpie"/>
          <w:rFonts w:cs="Times New Roman"/>
          <w:sz w:val="28"/>
          <w:szCs w:val="28"/>
          <w:lang w:val="es-ES_tradnl"/>
        </w:rPr>
        <w:footnoteReference w:id="46"/>
      </w:r>
      <w:r w:rsidR="000B7720" w:rsidRPr="00AB4289">
        <w:rPr>
          <w:sz w:val="28"/>
          <w:szCs w:val="28"/>
          <w:lang w:val="es-ES_tradnl"/>
        </w:rPr>
        <w:t xml:space="preserve"> </w:t>
      </w:r>
      <w:r w:rsidR="00B616BC" w:rsidRPr="00AB4289">
        <w:rPr>
          <w:sz w:val="28"/>
          <w:szCs w:val="28"/>
          <w:lang w:val="es-ES_tradnl"/>
        </w:rPr>
        <w:t xml:space="preserve">dio respuesta a la solicitud del accionante. En dicha respuesta, la Secretaría indicó que no es posible efectuar la entrega de </w:t>
      </w:r>
      <w:r w:rsidR="007C5CD4" w:rsidRPr="00AB4289">
        <w:rPr>
          <w:sz w:val="28"/>
          <w:szCs w:val="28"/>
          <w:lang w:val="es-ES_tradnl"/>
        </w:rPr>
        <w:t xml:space="preserve">las hojas de vida </w:t>
      </w:r>
      <w:r w:rsidR="00B616BC" w:rsidRPr="00AB4289">
        <w:rPr>
          <w:sz w:val="28"/>
          <w:szCs w:val="28"/>
          <w:lang w:val="es-ES_tradnl"/>
        </w:rPr>
        <w:t>y</w:t>
      </w:r>
      <w:r w:rsidR="007C5CD4" w:rsidRPr="00AB4289">
        <w:rPr>
          <w:sz w:val="28"/>
          <w:szCs w:val="28"/>
          <w:lang w:val="es-ES_tradnl"/>
        </w:rPr>
        <w:t xml:space="preserve"> los </w:t>
      </w:r>
      <w:r w:rsidR="00B616BC" w:rsidRPr="00AB4289">
        <w:rPr>
          <w:sz w:val="28"/>
          <w:szCs w:val="28"/>
          <w:lang w:val="es-ES_tradnl"/>
        </w:rPr>
        <w:t>soportes solicitados, toda vez que sobre ellos recae la reserva descrita en el artículo 24</w:t>
      </w:r>
      <w:r w:rsidR="00463696" w:rsidRPr="00AB4289">
        <w:rPr>
          <w:sz w:val="28"/>
          <w:szCs w:val="28"/>
          <w:lang w:val="es-ES_tradnl"/>
        </w:rPr>
        <w:t>-3</w:t>
      </w:r>
      <w:r w:rsidR="00B616BC" w:rsidRPr="00AB4289">
        <w:rPr>
          <w:sz w:val="28"/>
          <w:szCs w:val="28"/>
          <w:lang w:val="es-ES_tradnl"/>
        </w:rPr>
        <w:t xml:space="preserve"> de la Ley 1755 de 2015. </w:t>
      </w:r>
      <w:r w:rsidR="00651882" w:rsidRPr="00AB4289">
        <w:rPr>
          <w:sz w:val="28"/>
          <w:szCs w:val="28"/>
          <w:lang w:val="es-ES_tradnl"/>
        </w:rPr>
        <w:t xml:space="preserve">Además, indicó que </w:t>
      </w:r>
      <w:r w:rsidR="00097BCA" w:rsidRPr="00AB4289">
        <w:rPr>
          <w:sz w:val="28"/>
          <w:szCs w:val="28"/>
          <w:lang w:val="es-ES_tradnl"/>
        </w:rPr>
        <w:t xml:space="preserve">las declaraciones sobre el impuesto de renta, las declaraciones de bienes y rentas, y los registros de conflictos de interés </w:t>
      </w:r>
      <w:r w:rsidR="00651882" w:rsidRPr="00AB4289">
        <w:rPr>
          <w:sz w:val="28"/>
          <w:szCs w:val="28"/>
          <w:lang w:val="es-ES_tradnl"/>
        </w:rPr>
        <w:t>para consulta ciudadana pueden ser encontradas en la página web oficial de</w:t>
      </w:r>
      <w:r w:rsidR="006C1D84" w:rsidRPr="00AB4289">
        <w:rPr>
          <w:sz w:val="28"/>
          <w:szCs w:val="28"/>
          <w:lang w:val="es-ES_tradnl"/>
        </w:rPr>
        <w:t>l Departamento Administrativo de la</w:t>
      </w:r>
      <w:r w:rsidR="00651882" w:rsidRPr="00AB4289">
        <w:rPr>
          <w:sz w:val="28"/>
          <w:szCs w:val="28"/>
          <w:lang w:val="es-ES_tradnl"/>
        </w:rPr>
        <w:t xml:space="preserve"> Función Pública.</w:t>
      </w:r>
    </w:p>
    <w:p w14:paraId="262C0D32" w14:textId="5D896E06" w:rsidR="00423D09" w:rsidRPr="00AB4289" w:rsidRDefault="00423D09" w:rsidP="00B40BE5">
      <w:pPr>
        <w:pStyle w:val="NormalWeb"/>
        <w:tabs>
          <w:tab w:val="left" w:pos="284"/>
          <w:tab w:val="left" w:pos="426"/>
          <w:tab w:val="left" w:pos="567"/>
        </w:tabs>
        <w:spacing w:before="0" w:beforeAutospacing="0" w:after="0" w:afterAutospacing="0"/>
        <w:ind w:right="49"/>
        <w:jc w:val="both"/>
        <w:rPr>
          <w:b/>
          <w:bCs/>
          <w:sz w:val="28"/>
          <w:szCs w:val="28"/>
          <w:lang w:val="es-ES_tradnl"/>
        </w:rPr>
      </w:pPr>
    </w:p>
    <w:p w14:paraId="6C84A49F" w14:textId="77777777" w:rsidR="00651882" w:rsidRPr="00AB4289" w:rsidRDefault="00F34E78"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 xml:space="preserve"> A</w:t>
      </w:r>
      <w:r w:rsidR="00B616BC" w:rsidRPr="00AB4289">
        <w:rPr>
          <w:sz w:val="28"/>
          <w:szCs w:val="28"/>
          <w:lang w:val="es-ES_tradnl"/>
        </w:rPr>
        <w:t xml:space="preserve"> partir de las circunstancias descritas, le corresponde a la Sala </w:t>
      </w:r>
      <w:r w:rsidR="00B7669B" w:rsidRPr="00AB4289">
        <w:rPr>
          <w:sz w:val="28"/>
          <w:szCs w:val="28"/>
          <w:lang w:val="es-ES_tradnl"/>
        </w:rPr>
        <w:t xml:space="preserve">Plena </w:t>
      </w:r>
      <w:r w:rsidR="00B616BC" w:rsidRPr="00AB4289">
        <w:rPr>
          <w:sz w:val="28"/>
          <w:szCs w:val="28"/>
          <w:lang w:val="es-ES_tradnl"/>
        </w:rPr>
        <w:t xml:space="preserve">de la </w:t>
      </w:r>
      <w:r w:rsidR="00B616BC" w:rsidRPr="00AB4289">
        <w:rPr>
          <w:sz w:val="28"/>
          <w:szCs w:val="28"/>
          <w:shd w:val="clear" w:color="auto" w:fill="FFFFFF"/>
          <w:lang w:val="es-ES_tradnl"/>
        </w:rPr>
        <w:t>Corte</w:t>
      </w:r>
      <w:r w:rsidR="00B616BC" w:rsidRPr="00AB4289">
        <w:rPr>
          <w:sz w:val="28"/>
          <w:szCs w:val="28"/>
          <w:lang w:val="es-ES_tradnl"/>
        </w:rPr>
        <w:t xml:space="preserve"> Constitucional resolver </w:t>
      </w:r>
      <w:r w:rsidR="00651882" w:rsidRPr="00AB4289">
        <w:rPr>
          <w:sz w:val="28"/>
          <w:szCs w:val="28"/>
          <w:lang w:val="es-ES_tradnl"/>
        </w:rPr>
        <w:t xml:space="preserve">los siguientes </w:t>
      </w:r>
      <w:r w:rsidR="00B616BC" w:rsidRPr="00AB4289">
        <w:rPr>
          <w:sz w:val="28"/>
          <w:szCs w:val="28"/>
          <w:lang w:val="es-ES_tradnl"/>
        </w:rPr>
        <w:t>problema</w:t>
      </w:r>
      <w:r w:rsidR="00651882" w:rsidRPr="00AB4289">
        <w:rPr>
          <w:sz w:val="28"/>
          <w:szCs w:val="28"/>
          <w:lang w:val="es-ES_tradnl"/>
        </w:rPr>
        <w:t>s</w:t>
      </w:r>
      <w:r w:rsidR="00B616BC" w:rsidRPr="00AB4289">
        <w:rPr>
          <w:sz w:val="28"/>
          <w:szCs w:val="28"/>
          <w:lang w:val="es-ES_tradnl"/>
        </w:rPr>
        <w:t xml:space="preserve"> jurídico</w:t>
      </w:r>
      <w:r w:rsidR="00651882" w:rsidRPr="00AB4289">
        <w:rPr>
          <w:sz w:val="28"/>
          <w:szCs w:val="28"/>
          <w:lang w:val="es-ES_tradnl"/>
        </w:rPr>
        <w:t>s</w:t>
      </w:r>
      <w:r w:rsidR="00B616BC" w:rsidRPr="00AB4289">
        <w:rPr>
          <w:sz w:val="28"/>
          <w:szCs w:val="28"/>
          <w:lang w:val="es-ES_tradnl"/>
        </w:rPr>
        <w:t>:</w:t>
      </w:r>
    </w:p>
    <w:p w14:paraId="6A657430" w14:textId="77777777" w:rsidR="00651882" w:rsidRPr="00AB4289" w:rsidRDefault="00651882"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1CB12E4B" w14:textId="6332D729" w:rsidR="00CD6BC2" w:rsidRPr="00AB4289" w:rsidRDefault="005B4B74" w:rsidP="00B40BE5">
      <w:pPr>
        <w:pStyle w:val="NormalWeb"/>
        <w:numPr>
          <w:ilvl w:val="0"/>
          <w:numId w:val="51"/>
        </w:numPr>
        <w:tabs>
          <w:tab w:val="left" w:pos="426"/>
          <w:tab w:val="left" w:pos="567"/>
        </w:tabs>
        <w:spacing w:before="0" w:beforeAutospacing="0" w:after="0" w:afterAutospacing="0"/>
        <w:ind w:left="284" w:right="49" w:hanging="284"/>
        <w:jc w:val="both"/>
        <w:rPr>
          <w:sz w:val="28"/>
          <w:szCs w:val="28"/>
          <w:lang w:val="es-ES_tradnl"/>
        </w:rPr>
      </w:pPr>
      <w:r w:rsidRPr="00AB4289">
        <w:rPr>
          <w:sz w:val="28"/>
          <w:szCs w:val="28"/>
          <w:lang w:val="es-ES_tradnl"/>
        </w:rPr>
        <w:t xml:space="preserve"> </w:t>
      </w:r>
      <w:r w:rsidR="00B616BC" w:rsidRPr="00AB4289">
        <w:rPr>
          <w:sz w:val="28"/>
          <w:szCs w:val="28"/>
          <w:lang w:val="es-ES_tradnl"/>
        </w:rPr>
        <w:t>¿</w:t>
      </w:r>
      <w:r w:rsidR="00651882" w:rsidRPr="00AB4289">
        <w:rPr>
          <w:sz w:val="28"/>
          <w:szCs w:val="28"/>
          <w:lang w:val="es-ES_tradnl"/>
        </w:rPr>
        <w:t>V</w:t>
      </w:r>
      <w:r w:rsidR="00B616BC" w:rsidRPr="00AB4289">
        <w:rPr>
          <w:sz w:val="28"/>
          <w:szCs w:val="28"/>
          <w:lang w:val="es-ES_tradnl"/>
        </w:rPr>
        <w:t>ulner</w:t>
      </w:r>
      <w:r w:rsidR="004F5901" w:rsidRPr="00AB4289">
        <w:rPr>
          <w:sz w:val="28"/>
          <w:szCs w:val="28"/>
          <w:lang w:val="es-ES_tradnl"/>
        </w:rPr>
        <w:t xml:space="preserve">ó la Corte Suprema de Justicia </w:t>
      </w:r>
      <w:r w:rsidR="00B616BC" w:rsidRPr="00AB4289">
        <w:rPr>
          <w:sz w:val="28"/>
          <w:szCs w:val="28"/>
          <w:lang w:val="es-ES_tradnl"/>
        </w:rPr>
        <w:t xml:space="preserve">los derechos </w:t>
      </w:r>
      <w:r w:rsidR="004F5901" w:rsidRPr="00AB4289">
        <w:rPr>
          <w:sz w:val="28"/>
          <w:szCs w:val="28"/>
          <w:lang w:val="es-ES_tradnl"/>
        </w:rPr>
        <w:t>de petición, de</w:t>
      </w:r>
      <w:r w:rsidR="00837A28" w:rsidRPr="00AB4289">
        <w:rPr>
          <w:sz w:val="28"/>
          <w:szCs w:val="28"/>
          <w:lang w:val="es-ES_tradnl"/>
        </w:rPr>
        <w:t xml:space="preserve"> </w:t>
      </w:r>
      <w:r w:rsidR="0058462A" w:rsidRPr="00AB4289">
        <w:rPr>
          <w:sz w:val="28"/>
          <w:szCs w:val="28"/>
          <w:lang w:val="es-ES_tradnl"/>
        </w:rPr>
        <w:t>libertad de expresión</w:t>
      </w:r>
      <w:r w:rsidR="004F5901" w:rsidRPr="00AB4289">
        <w:rPr>
          <w:sz w:val="28"/>
          <w:szCs w:val="28"/>
          <w:lang w:val="es-ES_tradnl"/>
        </w:rPr>
        <w:t>,</w:t>
      </w:r>
      <w:r w:rsidR="0058462A" w:rsidRPr="00AB4289">
        <w:rPr>
          <w:sz w:val="28"/>
          <w:szCs w:val="28"/>
          <w:lang w:val="es-ES_tradnl"/>
        </w:rPr>
        <w:t xml:space="preserve"> y</w:t>
      </w:r>
      <w:r w:rsidR="00B616BC" w:rsidRPr="00AB4289">
        <w:rPr>
          <w:sz w:val="28"/>
          <w:szCs w:val="28"/>
          <w:lang w:val="es-ES_tradnl"/>
        </w:rPr>
        <w:t xml:space="preserve"> </w:t>
      </w:r>
      <w:r w:rsidR="004F5901" w:rsidRPr="00AB4289">
        <w:rPr>
          <w:sz w:val="28"/>
          <w:szCs w:val="28"/>
          <w:lang w:val="es-ES_tradnl"/>
        </w:rPr>
        <w:t>de</w:t>
      </w:r>
      <w:r w:rsidR="009B203C" w:rsidRPr="00AB4289">
        <w:rPr>
          <w:sz w:val="28"/>
          <w:szCs w:val="28"/>
          <w:lang w:val="es-ES_tradnl"/>
        </w:rPr>
        <w:t xml:space="preserve"> </w:t>
      </w:r>
      <w:r w:rsidR="00B616BC" w:rsidRPr="00AB4289">
        <w:rPr>
          <w:sz w:val="28"/>
          <w:szCs w:val="28"/>
          <w:lang w:val="es-ES_tradnl"/>
        </w:rPr>
        <w:t>acceso a la información</w:t>
      </w:r>
      <w:r w:rsidR="004F5901" w:rsidRPr="00AB4289">
        <w:rPr>
          <w:sz w:val="28"/>
          <w:szCs w:val="28"/>
          <w:lang w:val="es-ES_tradnl"/>
        </w:rPr>
        <w:t xml:space="preserve"> pública</w:t>
      </w:r>
      <w:r w:rsidR="00B616BC" w:rsidRPr="00AB4289">
        <w:rPr>
          <w:sz w:val="28"/>
          <w:szCs w:val="28"/>
          <w:lang w:val="es-ES_tradnl"/>
        </w:rPr>
        <w:t xml:space="preserve"> de un periodista al </w:t>
      </w:r>
      <w:r w:rsidR="007C5CD4" w:rsidRPr="00AB4289">
        <w:rPr>
          <w:sz w:val="28"/>
          <w:szCs w:val="28"/>
          <w:lang w:val="es-ES_tradnl"/>
        </w:rPr>
        <w:t>n</w:t>
      </w:r>
      <w:r w:rsidR="004F5901" w:rsidRPr="00AB4289">
        <w:rPr>
          <w:sz w:val="28"/>
          <w:szCs w:val="28"/>
          <w:lang w:val="es-ES_tradnl"/>
        </w:rPr>
        <w:t xml:space="preserve">egarse a entregar </w:t>
      </w:r>
      <w:r w:rsidR="00F34E78" w:rsidRPr="00AB4289">
        <w:rPr>
          <w:sz w:val="28"/>
          <w:szCs w:val="28"/>
          <w:lang w:val="es-ES_tradnl"/>
        </w:rPr>
        <w:t>las hojas de vida</w:t>
      </w:r>
      <w:r w:rsidR="00651882" w:rsidRPr="00AB4289">
        <w:rPr>
          <w:sz w:val="28"/>
          <w:szCs w:val="28"/>
          <w:lang w:val="es-ES_tradnl"/>
        </w:rPr>
        <w:t xml:space="preserve"> </w:t>
      </w:r>
      <w:r w:rsidR="0058462A" w:rsidRPr="00AB4289">
        <w:rPr>
          <w:sz w:val="28"/>
          <w:szCs w:val="28"/>
          <w:lang w:val="es-ES_tradnl"/>
        </w:rPr>
        <w:t>de los magistrados</w:t>
      </w:r>
      <w:r w:rsidR="009B203C" w:rsidRPr="00AB4289">
        <w:rPr>
          <w:sz w:val="28"/>
          <w:szCs w:val="28"/>
          <w:lang w:val="es-ES_tradnl"/>
        </w:rPr>
        <w:t>, junto con sus respectivos soportes,</w:t>
      </w:r>
      <w:r w:rsidR="00F34E78" w:rsidRPr="00AB4289">
        <w:rPr>
          <w:sz w:val="28"/>
          <w:szCs w:val="28"/>
          <w:lang w:val="es-ES_tradnl"/>
        </w:rPr>
        <w:t xml:space="preserve"> </w:t>
      </w:r>
      <w:r w:rsidR="00B616BC" w:rsidRPr="00AB4289">
        <w:rPr>
          <w:sz w:val="28"/>
          <w:szCs w:val="28"/>
          <w:lang w:val="es-ES_tradnl"/>
        </w:rPr>
        <w:t xml:space="preserve">bajo el argumento de que </w:t>
      </w:r>
      <w:r w:rsidR="009B203C" w:rsidRPr="00AB4289">
        <w:rPr>
          <w:sz w:val="28"/>
          <w:szCs w:val="28"/>
          <w:lang w:val="es-ES_tradnl"/>
        </w:rPr>
        <w:t>se trata de</w:t>
      </w:r>
      <w:r w:rsidR="00B616BC" w:rsidRPr="00AB4289">
        <w:rPr>
          <w:sz w:val="28"/>
          <w:szCs w:val="28"/>
          <w:lang w:val="es-ES_tradnl"/>
        </w:rPr>
        <w:t xml:space="preserve"> información reservada?</w:t>
      </w:r>
      <w:r w:rsidR="00837A28" w:rsidRPr="00AB4289">
        <w:rPr>
          <w:sz w:val="28"/>
          <w:szCs w:val="28"/>
          <w:lang w:val="es-ES_tradnl"/>
        </w:rPr>
        <w:t xml:space="preserve"> </w:t>
      </w:r>
    </w:p>
    <w:p w14:paraId="29D28641" w14:textId="77777777" w:rsidR="005C0567" w:rsidRPr="00AB4289" w:rsidRDefault="005C0567" w:rsidP="00B40BE5">
      <w:pPr>
        <w:pStyle w:val="NormalWeb"/>
        <w:tabs>
          <w:tab w:val="left" w:pos="426"/>
          <w:tab w:val="left" w:pos="567"/>
        </w:tabs>
        <w:spacing w:before="0" w:beforeAutospacing="0" w:after="0" w:afterAutospacing="0"/>
        <w:ind w:left="284" w:right="49"/>
        <w:jc w:val="both"/>
        <w:rPr>
          <w:sz w:val="28"/>
          <w:szCs w:val="28"/>
          <w:lang w:val="es-ES_tradnl"/>
        </w:rPr>
      </w:pPr>
    </w:p>
    <w:p w14:paraId="06812F32" w14:textId="68BD9180" w:rsidR="005C0567" w:rsidRPr="00AB4289" w:rsidRDefault="005C0567" w:rsidP="00B40BE5">
      <w:pPr>
        <w:pStyle w:val="NormalWeb"/>
        <w:numPr>
          <w:ilvl w:val="0"/>
          <w:numId w:val="51"/>
        </w:numPr>
        <w:tabs>
          <w:tab w:val="left" w:pos="426"/>
          <w:tab w:val="left" w:pos="567"/>
        </w:tabs>
        <w:spacing w:before="0" w:beforeAutospacing="0" w:after="0" w:afterAutospacing="0"/>
        <w:ind w:left="284" w:right="49" w:hanging="284"/>
        <w:jc w:val="both"/>
        <w:rPr>
          <w:sz w:val="28"/>
          <w:szCs w:val="28"/>
          <w:lang w:val="es-ES_tradnl"/>
        </w:rPr>
      </w:pPr>
      <w:r w:rsidRPr="00AB4289">
        <w:rPr>
          <w:sz w:val="28"/>
          <w:szCs w:val="28"/>
          <w:lang w:val="es-ES_tradnl"/>
        </w:rPr>
        <w:t>¿Vulneró la Corte Suprema de Justicia los derechos de petición, de libertad de expresión, y de acceso a la información pública de un periodista al abstenerse de entregar las declaraciones de bienes y rentas, los registros de conflictos de interés y la declaración del impuesto sobre la renta y complementarios de sus magistrados, con el argumento de que dicha información puede ser consultada en el portal del Departamento Administrativo de la Función Pública?</w:t>
      </w:r>
    </w:p>
    <w:p w14:paraId="298329BC" w14:textId="68524023" w:rsidR="001114C1" w:rsidRPr="00AB4289" w:rsidRDefault="005C0567" w:rsidP="00B40BE5">
      <w:pPr>
        <w:pStyle w:val="NormalWeb"/>
        <w:tabs>
          <w:tab w:val="left" w:pos="426"/>
          <w:tab w:val="left" w:pos="567"/>
        </w:tabs>
        <w:spacing w:before="0" w:beforeAutospacing="0" w:after="0" w:afterAutospacing="0"/>
        <w:ind w:left="284" w:right="49"/>
        <w:jc w:val="both"/>
        <w:rPr>
          <w:sz w:val="28"/>
          <w:szCs w:val="28"/>
          <w:lang w:val="es-ES_tradnl"/>
        </w:rPr>
      </w:pPr>
      <w:r w:rsidRPr="00AB4289">
        <w:rPr>
          <w:sz w:val="28"/>
          <w:szCs w:val="28"/>
          <w:lang w:val="es-ES_tradnl"/>
        </w:rPr>
        <w:t xml:space="preserve"> </w:t>
      </w:r>
    </w:p>
    <w:p w14:paraId="08FA8E63" w14:textId="21B9665F" w:rsidR="00260D7A" w:rsidRPr="00AB4289" w:rsidRDefault="005C0392" w:rsidP="00B40BE5">
      <w:pPr>
        <w:pStyle w:val="NormalWeb"/>
        <w:numPr>
          <w:ilvl w:val="0"/>
          <w:numId w:val="2"/>
        </w:numPr>
        <w:tabs>
          <w:tab w:val="left" w:pos="284"/>
          <w:tab w:val="left" w:pos="426"/>
          <w:tab w:val="left" w:pos="567"/>
          <w:tab w:val="left" w:pos="851"/>
        </w:tabs>
        <w:spacing w:before="0" w:beforeAutospacing="0" w:after="0" w:afterAutospacing="0"/>
        <w:ind w:left="0" w:right="49" w:firstLine="0"/>
        <w:jc w:val="both"/>
        <w:rPr>
          <w:b/>
          <w:bCs/>
          <w:sz w:val="28"/>
          <w:szCs w:val="28"/>
          <w:lang w:val="es-ES_tradnl"/>
        </w:rPr>
      </w:pPr>
      <w:r w:rsidRPr="00AB4289">
        <w:rPr>
          <w:sz w:val="28"/>
          <w:szCs w:val="28"/>
          <w:lang w:val="es-ES_tradnl"/>
        </w:rPr>
        <w:t>Para responder estas preguntas,</w:t>
      </w:r>
      <w:r w:rsidR="00A76723" w:rsidRPr="00AB4289">
        <w:rPr>
          <w:sz w:val="28"/>
          <w:szCs w:val="28"/>
          <w:lang w:val="es-ES_tradnl"/>
        </w:rPr>
        <w:t xml:space="preserve"> </w:t>
      </w:r>
      <w:r w:rsidR="00782A9E" w:rsidRPr="00AB4289">
        <w:rPr>
          <w:sz w:val="28"/>
          <w:szCs w:val="28"/>
          <w:lang w:val="es-ES_tradnl"/>
        </w:rPr>
        <w:t xml:space="preserve">en primer lugar, se </w:t>
      </w:r>
      <w:r w:rsidR="00A76723" w:rsidRPr="00AB4289">
        <w:rPr>
          <w:sz w:val="28"/>
          <w:szCs w:val="28"/>
          <w:lang w:val="es-ES_tradnl"/>
        </w:rPr>
        <w:t>analiz</w:t>
      </w:r>
      <w:r w:rsidRPr="00AB4289">
        <w:rPr>
          <w:sz w:val="28"/>
          <w:szCs w:val="28"/>
          <w:lang w:val="es-ES_tradnl"/>
        </w:rPr>
        <w:t>ará</w:t>
      </w:r>
      <w:r w:rsidR="00540A0A" w:rsidRPr="00AB4289">
        <w:rPr>
          <w:b/>
          <w:bCs/>
          <w:color w:val="000000" w:themeColor="text1"/>
          <w:sz w:val="28"/>
          <w:szCs w:val="28"/>
          <w:lang w:val="es-ES_tradnl"/>
        </w:rPr>
        <w:t xml:space="preserve"> </w:t>
      </w:r>
      <w:r w:rsidR="00540A0A" w:rsidRPr="00AB4289">
        <w:rPr>
          <w:color w:val="000000" w:themeColor="text1"/>
          <w:sz w:val="28"/>
          <w:szCs w:val="28"/>
          <w:lang w:val="es-ES_tradnl"/>
        </w:rPr>
        <w:t>el derecho de acceso a la información pública en el régimen establecido en la Ley 1712 de 2014 y los derechos al hábeas data y a la intimidad</w:t>
      </w:r>
      <w:r w:rsidRPr="00AB4289">
        <w:rPr>
          <w:sz w:val="28"/>
          <w:szCs w:val="28"/>
          <w:lang w:val="es-ES_tradnl"/>
        </w:rPr>
        <w:t>.</w:t>
      </w:r>
      <w:r w:rsidR="00782A9E" w:rsidRPr="00AB4289">
        <w:rPr>
          <w:sz w:val="28"/>
          <w:szCs w:val="28"/>
          <w:lang w:val="es-ES_tradnl"/>
        </w:rPr>
        <w:t xml:space="preserve"> </w:t>
      </w:r>
      <w:r w:rsidRPr="00AB4289">
        <w:rPr>
          <w:sz w:val="28"/>
          <w:szCs w:val="28"/>
          <w:lang w:val="es-ES_tradnl"/>
        </w:rPr>
        <w:t>E</w:t>
      </w:r>
      <w:r w:rsidR="00782A9E" w:rsidRPr="00AB4289">
        <w:rPr>
          <w:sz w:val="28"/>
          <w:szCs w:val="28"/>
          <w:lang w:val="es-ES_tradnl"/>
        </w:rPr>
        <w:t xml:space="preserve">n segundo lugar, se </w:t>
      </w:r>
      <w:r w:rsidR="00A76723" w:rsidRPr="00AB4289">
        <w:rPr>
          <w:sz w:val="28"/>
          <w:szCs w:val="28"/>
          <w:lang w:val="es-ES_tradnl"/>
        </w:rPr>
        <w:t>evalu</w:t>
      </w:r>
      <w:r w:rsidRPr="00AB4289">
        <w:rPr>
          <w:sz w:val="28"/>
          <w:szCs w:val="28"/>
          <w:lang w:val="es-ES_tradnl"/>
        </w:rPr>
        <w:t>ará</w:t>
      </w:r>
      <w:r w:rsidR="00A76723" w:rsidRPr="00AB4289">
        <w:rPr>
          <w:sz w:val="28"/>
          <w:szCs w:val="28"/>
          <w:lang w:val="es-ES_tradnl"/>
        </w:rPr>
        <w:t xml:space="preserve"> </w:t>
      </w:r>
      <w:r w:rsidR="00782A9E" w:rsidRPr="00AB4289">
        <w:rPr>
          <w:sz w:val="28"/>
          <w:szCs w:val="28"/>
          <w:lang w:val="es-ES_tradnl"/>
        </w:rPr>
        <w:t>la carga de justificación que existe para restringir el acceso a este tipo de información</w:t>
      </w:r>
      <w:r w:rsidRPr="00AB4289">
        <w:rPr>
          <w:sz w:val="28"/>
          <w:szCs w:val="28"/>
          <w:lang w:val="es-ES_tradnl"/>
        </w:rPr>
        <w:t>.</w:t>
      </w:r>
      <w:r w:rsidR="00A76723" w:rsidRPr="00AB4289">
        <w:rPr>
          <w:sz w:val="28"/>
          <w:szCs w:val="28"/>
          <w:lang w:val="es-ES_tradnl"/>
        </w:rPr>
        <w:t xml:space="preserve"> </w:t>
      </w:r>
      <w:r w:rsidRPr="00AB4289">
        <w:rPr>
          <w:sz w:val="28"/>
          <w:szCs w:val="28"/>
          <w:lang w:val="es-ES_tradnl"/>
        </w:rPr>
        <w:t>E</w:t>
      </w:r>
      <w:r w:rsidR="00782A9E" w:rsidRPr="00AB4289">
        <w:rPr>
          <w:sz w:val="28"/>
          <w:szCs w:val="28"/>
          <w:lang w:val="es-ES_tradnl"/>
        </w:rPr>
        <w:t xml:space="preserve">n tercer lugar, </w:t>
      </w:r>
      <w:r w:rsidR="00CC7F4E" w:rsidRPr="00AB4289">
        <w:rPr>
          <w:sz w:val="28"/>
          <w:szCs w:val="28"/>
          <w:lang w:val="es-ES_tradnl"/>
        </w:rPr>
        <w:t>se examinar</w:t>
      </w:r>
      <w:r w:rsidRPr="00AB4289">
        <w:rPr>
          <w:sz w:val="28"/>
          <w:szCs w:val="28"/>
          <w:lang w:val="es-ES_tradnl"/>
        </w:rPr>
        <w:t>án</w:t>
      </w:r>
      <w:r w:rsidR="00CC7F4E" w:rsidRPr="00AB4289">
        <w:rPr>
          <w:sz w:val="28"/>
          <w:szCs w:val="28"/>
          <w:lang w:val="es-ES_tradnl"/>
        </w:rPr>
        <w:t xml:space="preserve"> el principio de transparencia y </w:t>
      </w:r>
      <w:r w:rsidR="00CC7F4E" w:rsidRPr="00AB4289">
        <w:rPr>
          <w:sz w:val="28"/>
          <w:szCs w:val="28"/>
          <w:lang w:val="es-ES_tradnl"/>
        </w:rPr>
        <w:lastRenderedPageBreak/>
        <w:t>la importancia de la declaración de bienes</w:t>
      </w:r>
      <w:r w:rsidRPr="00AB4289">
        <w:rPr>
          <w:sz w:val="28"/>
          <w:szCs w:val="28"/>
          <w:lang w:val="es-ES_tradnl"/>
        </w:rPr>
        <w:t xml:space="preserve"> y rentas</w:t>
      </w:r>
      <w:r w:rsidR="00260D7A" w:rsidRPr="00AB4289">
        <w:rPr>
          <w:sz w:val="28"/>
          <w:szCs w:val="28"/>
          <w:lang w:val="es-ES_tradnl"/>
        </w:rPr>
        <w:t>,</w:t>
      </w:r>
      <w:r w:rsidRPr="00AB4289">
        <w:rPr>
          <w:sz w:val="28"/>
          <w:szCs w:val="28"/>
          <w:lang w:val="es-ES_tradnl"/>
        </w:rPr>
        <w:t xml:space="preserve"> la declaración del impuesto de renta,</w:t>
      </w:r>
      <w:r w:rsidR="00CC7F4E" w:rsidRPr="00AB4289">
        <w:rPr>
          <w:sz w:val="28"/>
          <w:szCs w:val="28"/>
          <w:lang w:val="es-ES_tradnl"/>
        </w:rPr>
        <w:t xml:space="preserve"> </w:t>
      </w:r>
      <w:r w:rsidR="007C5CD4" w:rsidRPr="00AB4289">
        <w:rPr>
          <w:sz w:val="28"/>
          <w:szCs w:val="28"/>
          <w:lang w:val="es-ES_tradnl"/>
        </w:rPr>
        <w:t xml:space="preserve">el registro de </w:t>
      </w:r>
      <w:r w:rsidR="00CC7F4E" w:rsidRPr="00AB4289">
        <w:rPr>
          <w:sz w:val="28"/>
          <w:szCs w:val="28"/>
          <w:lang w:val="es-ES_tradnl"/>
        </w:rPr>
        <w:t>conflictos de interés</w:t>
      </w:r>
      <w:r w:rsidR="00260D7A" w:rsidRPr="00AB4289">
        <w:rPr>
          <w:sz w:val="28"/>
          <w:szCs w:val="28"/>
          <w:lang w:val="es-ES_tradnl"/>
        </w:rPr>
        <w:t xml:space="preserve"> y</w:t>
      </w:r>
      <w:r w:rsidR="007C5CD4" w:rsidRPr="00AB4289">
        <w:rPr>
          <w:sz w:val="28"/>
          <w:szCs w:val="28"/>
          <w:lang w:val="es-ES_tradnl"/>
        </w:rPr>
        <w:t xml:space="preserve"> las</w:t>
      </w:r>
      <w:r w:rsidR="00260D7A" w:rsidRPr="00AB4289">
        <w:rPr>
          <w:sz w:val="28"/>
          <w:szCs w:val="28"/>
          <w:lang w:val="es-ES_tradnl"/>
        </w:rPr>
        <w:t xml:space="preserve"> hojas de vida</w:t>
      </w:r>
      <w:r w:rsidR="00CC7F4E" w:rsidRPr="00AB4289">
        <w:rPr>
          <w:sz w:val="28"/>
          <w:szCs w:val="28"/>
          <w:lang w:val="es-ES_tradnl"/>
        </w:rPr>
        <w:t xml:space="preserve"> de los</w:t>
      </w:r>
      <w:r w:rsidR="007C5CD4" w:rsidRPr="00AB4289">
        <w:rPr>
          <w:sz w:val="28"/>
          <w:szCs w:val="28"/>
          <w:lang w:val="es-ES_tradnl"/>
        </w:rPr>
        <w:t xml:space="preserve"> magistrados de las Altas Cortes</w:t>
      </w:r>
      <w:r w:rsidR="00CC7F4E" w:rsidRPr="00AB4289">
        <w:rPr>
          <w:sz w:val="28"/>
          <w:szCs w:val="28"/>
          <w:lang w:val="es-ES_tradnl"/>
        </w:rPr>
        <w:t>.</w:t>
      </w:r>
      <w:r w:rsidR="001114C1" w:rsidRPr="00AB4289">
        <w:rPr>
          <w:sz w:val="28"/>
          <w:szCs w:val="28"/>
          <w:lang w:val="es-ES_tradnl"/>
        </w:rPr>
        <w:t xml:space="preserve"> </w:t>
      </w:r>
      <w:r w:rsidR="00A76723" w:rsidRPr="00AB4289">
        <w:rPr>
          <w:sz w:val="28"/>
          <w:szCs w:val="28"/>
          <w:lang w:val="es-ES_tradnl"/>
        </w:rPr>
        <w:t xml:space="preserve">Con base en estos elementos, </w:t>
      </w:r>
      <w:r w:rsidR="00E01159" w:rsidRPr="00AB4289">
        <w:rPr>
          <w:sz w:val="28"/>
          <w:szCs w:val="28"/>
          <w:lang w:val="es-ES_tradnl"/>
        </w:rPr>
        <w:t>la Sala analizará</w:t>
      </w:r>
      <w:r w:rsidRPr="00AB4289">
        <w:rPr>
          <w:sz w:val="28"/>
          <w:szCs w:val="28"/>
          <w:lang w:val="es-ES_tradnl"/>
        </w:rPr>
        <w:t xml:space="preserve"> </w:t>
      </w:r>
      <w:r w:rsidR="00A76723" w:rsidRPr="00AB4289">
        <w:rPr>
          <w:sz w:val="28"/>
          <w:szCs w:val="28"/>
          <w:lang w:val="es-ES_tradnl"/>
        </w:rPr>
        <w:t>el caso concreto</w:t>
      </w:r>
      <w:r w:rsidR="00E01159" w:rsidRPr="00AB4289">
        <w:rPr>
          <w:sz w:val="28"/>
          <w:szCs w:val="28"/>
          <w:lang w:val="es-ES_tradnl"/>
        </w:rPr>
        <w:t>.</w:t>
      </w:r>
    </w:p>
    <w:p w14:paraId="4E7293B0" w14:textId="77777777" w:rsidR="00E01159" w:rsidRPr="00AB4289" w:rsidRDefault="00E01159" w:rsidP="00B40BE5">
      <w:pPr>
        <w:pStyle w:val="NormalWeb"/>
        <w:tabs>
          <w:tab w:val="left" w:pos="284"/>
          <w:tab w:val="left" w:pos="426"/>
          <w:tab w:val="left" w:pos="567"/>
          <w:tab w:val="left" w:pos="851"/>
        </w:tabs>
        <w:spacing w:before="0" w:beforeAutospacing="0" w:after="0" w:afterAutospacing="0"/>
        <w:ind w:right="49"/>
        <w:jc w:val="both"/>
        <w:rPr>
          <w:b/>
          <w:bCs/>
          <w:sz w:val="28"/>
          <w:szCs w:val="28"/>
          <w:lang w:val="es-ES_tradnl"/>
        </w:rPr>
      </w:pPr>
    </w:p>
    <w:p w14:paraId="2209B26A" w14:textId="4BB0AB49" w:rsidR="006C6E5A" w:rsidRPr="00AB4289" w:rsidRDefault="007D0D2D" w:rsidP="00B40BE5">
      <w:pPr>
        <w:pStyle w:val="Ttulo2"/>
        <w:numPr>
          <w:ilvl w:val="0"/>
          <w:numId w:val="42"/>
        </w:numPr>
        <w:spacing w:before="0" w:after="0"/>
        <w:jc w:val="both"/>
        <w:rPr>
          <w:rFonts w:ascii="Times New Roman" w:hAnsi="Times New Roman" w:cs="Times New Roman"/>
          <w:b/>
          <w:bCs/>
          <w:color w:val="000000" w:themeColor="text1"/>
          <w:sz w:val="28"/>
          <w:szCs w:val="28"/>
          <w:lang w:val="es-ES_tradnl"/>
        </w:rPr>
      </w:pPr>
      <w:bookmarkStart w:id="16" w:name="_Toc210202229"/>
      <w:r w:rsidRPr="00AB4289">
        <w:rPr>
          <w:rFonts w:ascii="Times New Roman" w:hAnsi="Times New Roman" w:cs="Times New Roman"/>
          <w:b/>
          <w:bCs/>
          <w:color w:val="000000" w:themeColor="text1"/>
          <w:sz w:val="28"/>
          <w:szCs w:val="28"/>
          <w:lang w:val="es-ES_tradnl"/>
        </w:rPr>
        <w:t>El derecho de acceso a la información</w:t>
      </w:r>
      <w:r w:rsidR="00160984" w:rsidRPr="00AB4289">
        <w:rPr>
          <w:rFonts w:ascii="Times New Roman" w:hAnsi="Times New Roman" w:cs="Times New Roman"/>
          <w:b/>
          <w:bCs/>
          <w:color w:val="000000" w:themeColor="text1"/>
          <w:sz w:val="28"/>
          <w:szCs w:val="28"/>
          <w:lang w:val="es-ES_tradnl"/>
        </w:rPr>
        <w:t xml:space="preserve"> </w:t>
      </w:r>
      <w:r w:rsidR="00861A11" w:rsidRPr="00AB4289">
        <w:rPr>
          <w:rFonts w:ascii="Times New Roman" w:hAnsi="Times New Roman" w:cs="Times New Roman"/>
          <w:b/>
          <w:bCs/>
          <w:color w:val="000000" w:themeColor="text1"/>
          <w:sz w:val="28"/>
          <w:szCs w:val="28"/>
          <w:lang w:val="es-ES_tradnl"/>
        </w:rPr>
        <w:t xml:space="preserve">pública </w:t>
      </w:r>
      <w:r w:rsidR="005555A8" w:rsidRPr="00AB4289">
        <w:rPr>
          <w:rFonts w:ascii="Times New Roman" w:hAnsi="Times New Roman" w:cs="Times New Roman"/>
          <w:b/>
          <w:bCs/>
          <w:color w:val="000000" w:themeColor="text1"/>
          <w:sz w:val="28"/>
          <w:szCs w:val="28"/>
          <w:lang w:val="es-ES_tradnl"/>
        </w:rPr>
        <w:t>en</w:t>
      </w:r>
      <w:r w:rsidR="00D90177" w:rsidRPr="00AB4289">
        <w:rPr>
          <w:rFonts w:ascii="Times New Roman" w:hAnsi="Times New Roman" w:cs="Times New Roman"/>
          <w:b/>
          <w:bCs/>
          <w:color w:val="000000" w:themeColor="text1"/>
          <w:sz w:val="28"/>
          <w:szCs w:val="28"/>
          <w:lang w:val="es-ES_tradnl"/>
        </w:rPr>
        <w:t xml:space="preserve"> el régimen establecido en la Ley 1712 de 2014</w:t>
      </w:r>
      <w:r w:rsidR="005555A8" w:rsidRPr="00AB4289">
        <w:rPr>
          <w:rFonts w:ascii="Times New Roman" w:hAnsi="Times New Roman" w:cs="Times New Roman"/>
          <w:b/>
          <w:bCs/>
          <w:color w:val="000000" w:themeColor="text1"/>
          <w:sz w:val="28"/>
          <w:szCs w:val="28"/>
          <w:lang w:val="es-ES_tradnl"/>
        </w:rPr>
        <w:t xml:space="preserve"> y los derecho</w:t>
      </w:r>
      <w:r w:rsidR="00AE1AFF" w:rsidRPr="00AB4289">
        <w:rPr>
          <w:rFonts w:ascii="Times New Roman" w:hAnsi="Times New Roman" w:cs="Times New Roman"/>
          <w:b/>
          <w:bCs/>
          <w:color w:val="000000" w:themeColor="text1"/>
          <w:sz w:val="28"/>
          <w:szCs w:val="28"/>
          <w:lang w:val="es-ES_tradnl"/>
        </w:rPr>
        <w:t>s</w:t>
      </w:r>
      <w:r w:rsidR="005555A8" w:rsidRPr="00AB4289">
        <w:rPr>
          <w:rFonts w:ascii="Times New Roman" w:hAnsi="Times New Roman" w:cs="Times New Roman"/>
          <w:b/>
          <w:bCs/>
          <w:color w:val="000000" w:themeColor="text1"/>
          <w:sz w:val="28"/>
          <w:szCs w:val="28"/>
          <w:lang w:val="es-ES_tradnl"/>
        </w:rPr>
        <w:t xml:space="preserve"> al hábeas data y</w:t>
      </w:r>
      <w:r w:rsidR="00AE1AFF" w:rsidRPr="00AB4289">
        <w:rPr>
          <w:rFonts w:ascii="Times New Roman" w:hAnsi="Times New Roman" w:cs="Times New Roman"/>
          <w:b/>
          <w:bCs/>
          <w:color w:val="000000" w:themeColor="text1"/>
          <w:sz w:val="28"/>
          <w:szCs w:val="28"/>
          <w:lang w:val="es-ES_tradnl"/>
        </w:rPr>
        <w:t xml:space="preserve"> a</w:t>
      </w:r>
      <w:r w:rsidR="005555A8" w:rsidRPr="00AB4289">
        <w:rPr>
          <w:rFonts w:ascii="Times New Roman" w:hAnsi="Times New Roman" w:cs="Times New Roman"/>
          <w:b/>
          <w:bCs/>
          <w:color w:val="000000" w:themeColor="text1"/>
          <w:sz w:val="28"/>
          <w:szCs w:val="28"/>
          <w:lang w:val="es-ES_tradnl"/>
        </w:rPr>
        <w:t xml:space="preserve"> la intimidad</w:t>
      </w:r>
      <w:r w:rsidR="007C5CD4" w:rsidRPr="00AB4289">
        <w:rPr>
          <w:rFonts w:ascii="Times New Roman" w:hAnsi="Times New Roman" w:cs="Times New Roman"/>
          <w:b/>
          <w:bCs/>
          <w:color w:val="000000" w:themeColor="text1"/>
          <w:sz w:val="28"/>
          <w:szCs w:val="28"/>
          <w:lang w:val="es-ES_tradnl"/>
        </w:rPr>
        <w:t>. Reiteración de jurisprudencia</w:t>
      </w:r>
      <w:bookmarkEnd w:id="16"/>
    </w:p>
    <w:p w14:paraId="570668CE" w14:textId="77777777" w:rsidR="00967E71" w:rsidRPr="00AB4289" w:rsidRDefault="00967E71" w:rsidP="00B40BE5">
      <w:pPr>
        <w:pStyle w:val="Prrafodelista"/>
        <w:tabs>
          <w:tab w:val="left" w:pos="284"/>
          <w:tab w:val="left" w:pos="426"/>
          <w:tab w:val="left" w:pos="567"/>
          <w:tab w:val="left" w:pos="851"/>
        </w:tabs>
        <w:ind w:left="0" w:right="49"/>
        <w:jc w:val="both"/>
        <w:rPr>
          <w:sz w:val="28"/>
          <w:szCs w:val="28"/>
          <w:lang w:val="es-ES_tradnl"/>
        </w:rPr>
      </w:pPr>
    </w:p>
    <w:p w14:paraId="6AE0E07B" w14:textId="77777777" w:rsidR="000C3E90" w:rsidRPr="00AB4289" w:rsidRDefault="00513449"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El derecho de acceso a la información pública garantiza que los datos de interés para la sociedad estén disponibles y sean accesibles para toda la ciudadanía</w:t>
      </w:r>
      <w:r w:rsidRPr="00AB4289">
        <w:rPr>
          <w:rStyle w:val="Refdenotaalpie"/>
          <w:rFonts w:cs="Times New Roman"/>
          <w:sz w:val="28"/>
          <w:szCs w:val="28"/>
          <w:lang w:val="es-ES_tradnl"/>
        </w:rPr>
        <w:footnoteReference w:id="47"/>
      </w:r>
      <w:r w:rsidRPr="00AB4289">
        <w:rPr>
          <w:sz w:val="28"/>
          <w:szCs w:val="28"/>
          <w:lang w:val="es-ES_tradnl"/>
        </w:rPr>
        <w:t>. Se trata de un derecho autónomo cuyo fundamento constitucional se encuentra en el</w:t>
      </w:r>
      <w:r w:rsidR="0071622B" w:rsidRPr="00AB4289">
        <w:rPr>
          <w:sz w:val="28"/>
          <w:szCs w:val="28"/>
          <w:lang w:val="es-ES_tradnl"/>
        </w:rPr>
        <w:t xml:space="preserve"> artículo 74 de la Constitución, </w:t>
      </w:r>
      <w:r w:rsidR="000C3E90" w:rsidRPr="00AB4289">
        <w:rPr>
          <w:sz w:val="28"/>
          <w:szCs w:val="28"/>
          <w:lang w:val="es-ES_tradnl"/>
        </w:rPr>
        <w:t xml:space="preserve">que establece que </w:t>
      </w:r>
      <w:r w:rsidR="0071622B" w:rsidRPr="00AB4289">
        <w:rPr>
          <w:sz w:val="28"/>
          <w:szCs w:val="28"/>
          <w:lang w:val="es-ES_tradnl"/>
        </w:rPr>
        <w:t>“[t]odas las personas tienen derecho a acceder a los documentos públicos salvo los casos que establezca la ley”</w:t>
      </w:r>
      <w:r w:rsidR="0071622B" w:rsidRPr="00AB4289">
        <w:rPr>
          <w:rStyle w:val="Refdenotaalpie"/>
          <w:rFonts w:cs="Times New Roman"/>
          <w:sz w:val="28"/>
          <w:szCs w:val="28"/>
          <w:lang w:val="es-ES_tradnl"/>
        </w:rPr>
        <w:footnoteReference w:id="48"/>
      </w:r>
      <w:r w:rsidR="0071622B" w:rsidRPr="00AB4289">
        <w:rPr>
          <w:sz w:val="28"/>
          <w:szCs w:val="28"/>
          <w:lang w:val="es-ES_tradnl"/>
        </w:rPr>
        <w:t>.</w:t>
      </w:r>
    </w:p>
    <w:p w14:paraId="2CEC8E19" w14:textId="77777777" w:rsidR="000C3E90" w:rsidRPr="00AB4289" w:rsidRDefault="000C3E90"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61B11DD5" w14:textId="09DB877D" w:rsidR="000C3E90" w:rsidRPr="00AB4289" w:rsidRDefault="00513449"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color w:val="000000"/>
          <w:sz w:val="27"/>
          <w:szCs w:val="27"/>
          <w:shd w:val="clear" w:color="auto" w:fill="FFFFFF"/>
          <w:lang w:val="es-ES_tradnl"/>
        </w:rPr>
        <w:t xml:space="preserve">La consagración internacional de este derecho ha sido </w:t>
      </w:r>
      <w:r w:rsidR="000C3E90" w:rsidRPr="00AB4289">
        <w:rPr>
          <w:color w:val="000000"/>
          <w:sz w:val="27"/>
          <w:szCs w:val="27"/>
          <w:shd w:val="clear" w:color="auto" w:fill="FFFFFF"/>
          <w:lang w:val="es-ES_tradnl"/>
        </w:rPr>
        <w:t xml:space="preserve">determinante </w:t>
      </w:r>
      <w:r w:rsidRPr="00AB4289">
        <w:rPr>
          <w:color w:val="000000"/>
          <w:sz w:val="27"/>
          <w:szCs w:val="27"/>
          <w:shd w:val="clear" w:color="auto" w:fill="FFFFFF"/>
          <w:lang w:val="es-ES_tradnl"/>
        </w:rPr>
        <w:t xml:space="preserve">para </w:t>
      </w:r>
      <w:r w:rsidR="000C3E90" w:rsidRPr="00AB4289">
        <w:rPr>
          <w:color w:val="000000"/>
          <w:sz w:val="27"/>
          <w:szCs w:val="27"/>
          <w:shd w:val="clear" w:color="auto" w:fill="FFFFFF"/>
          <w:lang w:val="es-ES_tradnl"/>
        </w:rPr>
        <w:t xml:space="preserve">definir </w:t>
      </w:r>
      <w:r w:rsidRPr="00AB4289">
        <w:rPr>
          <w:color w:val="000000"/>
          <w:sz w:val="27"/>
          <w:szCs w:val="27"/>
          <w:shd w:val="clear" w:color="auto" w:fill="FFFFFF"/>
          <w:lang w:val="es-ES_tradnl"/>
        </w:rPr>
        <w:t>su alcance</w:t>
      </w:r>
      <w:r w:rsidR="00FC784A" w:rsidRPr="00AB4289">
        <w:rPr>
          <w:color w:val="000000"/>
          <w:sz w:val="27"/>
          <w:szCs w:val="27"/>
          <w:shd w:val="clear" w:color="auto" w:fill="FFFFFF"/>
          <w:lang w:val="es-ES_tradnl"/>
        </w:rPr>
        <w:t xml:space="preserve"> e</w:t>
      </w:r>
      <w:r w:rsidRPr="00AB4289">
        <w:rPr>
          <w:color w:val="000000"/>
          <w:sz w:val="27"/>
          <w:szCs w:val="27"/>
          <w:shd w:val="clear" w:color="auto" w:fill="FFFFFF"/>
          <w:lang w:val="es-ES_tradnl"/>
        </w:rPr>
        <w:t xml:space="preserve"> importancia</w:t>
      </w:r>
      <w:r w:rsidR="00ED5593" w:rsidRPr="00AB4289">
        <w:rPr>
          <w:color w:val="000000"/>
          <w:sz w:val="27"/>
          <w:szCs w:val="27"/>
          <w:shd w:val="clear" w:color="auto" w:fill="FFFFFF"/>
          <w:lang w:val="es-ES_tradnl"/>
        </w:rPr>
        <w:t xml:space="preserve">. </w:t>
      </w:r>
      <w:r w:rsidR="00BA2D11" w:rsidRPr="00AB4289">
        <w:rPr>
          <w:color w:val="000000"/>
          <w:sz w:val="27"/>
          <w:szCs w:val="27"/>
          <w:shd w:val="clear" w:color="auto" w:fill="FFFFFF"/>
          <w:lang w:val="es-ES_tradnl"/>
        </w:rPr>
        <w:t xml:space="preserve">Así, </w:t>
      </w:r>
      <w:r w:rsidR="000C3E90" w:rsidRPr="00AB4289">
        <w:rPr>
          <w:color w:val="000000"/>
          <w:sz w:val="27"/>
          <w:szCs w:val="27"/>
          <w:shd w:val="clear" w:color="auto" w:fill="FFFFFF"/>
          <w:lang w:val="es-ES_tradnl"/>
        </w:rPr>
        <w:t>el artículo 19 del Pacto Internacional de Derechos Civiles y Políticos (PIDCP), el artículo 13 de la Convención Americana sobre Derechos Humanos (CADH), el artículo 1</w:t>
      </w:r>
      <w:r w:rsidR="00E3255A" w:rsidRPr="00AB4289">
        <w:rPr>
          <w:color w:val="000000"/>
          <w:sz w:val="27"/>
          <w:szCs w:val="27"/>
          <w:shd w:val="clear" w:color="auto" w:fill="FFFFFF"/>
          <w:lang w:val="es-ES_tradnl"/>
        </w:rPr>
        <w:t>8</w:t>
      </w:r>
      <w:r w:rsidR="000C3E90" w:rsidRPr="00AB4289">
        <w:rPr>
          <w:color w:val="000000"/>
          <w:sz w:val="27"/>
          <w:szCs w:val="27"/>
          <w:shd w:val="clear" w:color="auto" w:fill="FFFFFF"/>
          <w:lang w:val="es-ES_tradnl"/>
        </w:rPr>
        <w:t xml:space="preserve"> de la Declaración Universal de Derechos Humanos</w:t>
      </w:r>
      <w:r w:rsidR="00FC784A" w:rsidRPr="00AB4289">
        <w:rPr>
          <w:color w:val="000000"/>
          <w:sz w:val="27"/>
          <w:szCs w:val="27"/>
          <w:shd w:val="clear" w:color="auto" w:fill="FFFFFF"/>
          <w:lang w:val="es-ES_tradnl"/>
        </w:rPr>
        <w:t xml:space="preserve"> (DUDH)</w:t>
      </w:r>
      <w:r w:rsidR="007805B1" w:rsidRPr="00AB4289">
        <w:rPr>
          <w:color w:val="000000"/>
          <w:sz w:val="27"/>
          <w:szCs w:val="27"/>
          <w:shd w:val="clear" w:color="auto" w:fill="FFFFFF"/>
          <w:lang w:val="es-ES_tradnl"/>
        </w:rPr>
        <w:t xml:space="preserve"> </w:t>
      </w:r>
      <w:r w:rsidR="000C3E90" w:rsidRPr="00AB4289">
        <w:rPr>
          <w:color w:val="000000"/>
          <w:sz w:val="27"/>
          <w:szCs w:val="27"/>
          <w:shd w:val="clear" w:color="auto" w:fill="FFFFFF"/>
          <w:lang w:val="es-ES_tradnl"/>
        </w:rPr>
        <w:t>y la</w:t>
      </w:r>
      <w:r w:rsidR="00967E71" w:rsidRPr="00AB4289">
        <w:rPr>
          <w:color w:val="000000"/>
          <w:sz w:val="27"/>
          <w:szCs w:val="27"/>
          <w:shd w:val="clear" w:color="auto" w:fill="FFFFFF"/>
          <w:lang w:val="es-ES_tradnl"/>
        </w:rPr>
        <w:t xml:space="preserve"> Organización de las Naciones Unidas para la Educación, la Ciencia y la Cultura (UNESCO)</w:t>
      </w:r>
      <w:r w:rsidR="00E3255A" w:rsidRPr="00AB4289">
        <w:rPr>
          <w:rStyle w:val="Refdenotaalpie"/>
          <w:rFonts w:cs="Times New Roman"/>
          <w:color w:val="000000"/>
          <w:sz w:val="27"/>
          <w:szCs w:val="27"/>
          <w:shd w:val="clear" w:color="auto" w:fill="FFFFFF"/>
          <w:lang w:val="es-ES_tradnl"/>
        </w:rPr>
        <w:footnoteReference w:id="49"/>
      </w:r>
      <w:r w:rsidR="000C3E90" w:rsidRPr="00AB4289">
        <w:rPr>
          <w:color w:val="000000"/>
          <w:sz w:val="27"/>
          <w:szCs w:val="27"/>
          <w:shd w:val="clear" w:color="auto" w:fill="FFFFFF"/>
          <w:lang w:val="es-ES_tradnl"/>
        </w:rPr>
        <w:t xml:space="preserve"> reconocen el derecho de acceso a la información pública como un derecho fundamental, estrechamente vinculado con la libertad de expresión, ya que contribuye al debate público</w:t>
      </w:r>
      <w:r w:rsidR="00BA2D11" w:rsidRPr="00AB4289">
        <w:rPr>
          <w:color w:val="000000"/>
          <w:sz w:val="27"/>
          <w:szCs w:val="27"/>
          <w:shd w:val="clear" w:color="auto" w:fill="FFFFFF"/>
          <w:lang w:val="es-ES_tradnl"/>
        </w:rPr>
        <w:t xml:space="preserve"> </w:t>
      </w:r>
      <w:r w:rsidR="000C3E90" w:rsidRPr="00AB4289">
        <w:rPr>
          <w:color w:val="000000"/>
          <w:sz w:val="27"/>
          <w:szCs w:val="27"/>
          <w:shd w:val="clear" w:color="auto" w:fill="FFFFFF"/>
          <w:lang w:val="es-ES_tradnl"/>
        </w:rPr>
        <w:t>y a</w:t>
      </w:r>
      <w:r w:rsidR="00E3255A" w:rsidRPr="00AB4289">
        <w:rPr>
          <w:color w:val="000000"/>
          <w:sz w:val="27"/>
          <w:szCs w:val="27"/>
          <w:shd w:val="clear" w:color="auto" w:fill="FFFFFF"/>
          <w:lang w:val="es-ES_tradnl"/>
        </w:rPr>
        <w:t xml:space="preserve"> la</w:t>
      </w:r>
      <w:r w:rsidR="000C3E90" w:rsidRPr="00AB4289">
        <w:rPr>
          <w:color w:val="000000"/>
          <w:sz w:val="27"/>
          <w:szCs w:val="27"/>
          <w:shd w:val="clear" w:color="auto" w:fill="FFFFFF"/>
          <w:lang w:val="es-ES_tradnl"/>
        </w:rPr>
        <w:t xml:space="preserve"> difusión de informaciones e ideas de </w:t>
      </w:r>
      <w:r w:rsidR="00FC784A" w:rsidRPr="00AB4289">
        <w:rPr>
          <w:color w:val="000000"/>
          <w:sz w:val="27"/>
          <w:szCs w:val="27"/>
          <w:shd w:val="clear" w:color="auto" w:fill="FFFFFF"/>
          <w:lang w:val="es-ES_tradnl"/>
        </w:rPr>
        <w:t>distinta</w:t>
      </w:r>
      <w:r w:rsidR="000C3E90" w:rsidRPr="00AB4289">
        <w:rPr>
          <w:color w:val="000000"/>
          <w:sz w:val="27"/>
          <w:szCs w:val="27"/>
          <w:shd w:val="clear" w:color="auto" w:fill="FFFFFF"/>
          <w:lang w:val="es-ES_tradnl"/>
        </w:rPr>
        <w:t xml:space="preserve"> índole</w:t>
      </w:r>
      <w:r w:rsidR="007805B1" w:rsidRPr="00AB4289">
        <w:rPr>
          <w:rStyle w:val="Refdenotaalpie"/>
          <w:rFonts w:cs="Times New Roman"/>
          <w:color w:val="000000"/>
          <w:sz w:val="27"/>
          <w:szCs w:val="27"/>
          <w:shd w:val="clear" w:color="auto" w:fill="FFFFFF"/>
          <w:lang w:val="es-ES_tradnl"/>
        </w:rPr>
        <w:footnoteReference w:id="50"/>
      </w:r>
      <w:r w:rsidR="000C3E90" w:rsidRPr="00AB4289">
        <w:rPr>
          <w:color w:val="000000"/>
          <w:sz w:val="27"/>
          <w:szCs w:val="27"/>
          <w:shd w:val="clear" w:color="auto" w:fill="FFFFFF"/>
          <w:lang w:val="es-ES_tradnl"/>
        </w:rPr>
        <w:t xml:space="preserve">. </w:t>
      </w:r>
    </w:p>
    <w:p w14:paraId="34EC2DD1" w14:textId="62D25E53" w:rsidR="00ED5593" w:rsidRPr="00AB4289" w:rsidRDefault="00ED5593"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606B6973" w14:textId="77777777" w:rsidR="00504010" w:rsidRPr="00AB4289" w:rsidRDefault="00513449"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 xml:space="preserve">A partir de esto </w:t>
      </w:r>
      <w:r w:rsidR="00E3255A" w:rsidRPr="00AB4289">
        <w:rPr>
          <w:sz w:val="28"/>
          <w:szCs w:val="28"/>
          <w:lang w:val="es-ES_tradnl"/>
        </w:rPr>
        <w:t>es posible</w:t>
      </w:r>
      <w:r w:rsidRPr="00AB4289">
        <w:rPr>
          <w:sz w:val="28"/>
          <w:szCs w:val="28"/>
          <w:lang w:val="es-ES_tradnl"/>
        </w:rPr>
        <w:t xml:space="preserve"> </w:t>
      </w:r>
      <w:r w:rsidR="00E3255A" w:rsidRPr="00AB4289">
        <w:rPr>
          <w:sz w:val="28"/>
          <w:szCs w:val="28"/>
          <w:lang w:val="es-ES_tradnl"/>
        </w:rPr>
        <w:t>entender</w:t>
      </w:r>
      <w:r w:rsidRPr="00AB4289">
        <w:rPr>
          <w:sz w:val="28"/>
          <w:szCs w:val="28"/>
          <w:lang w:val="es-ES_tradnl"/>
        </w:rPr>
        <w:t xml:space="preserve"> la importancia de este derecho: </w:t>
      </w:r>
      <w:r w:rsidR="0071622B" w:rsidRPr="00AB4289">
        <w:rPr>
          <w:sz w:val="28"/>
          <w:szCs w:val="28"/>
          <w:lang w:val="es-ES_tradnl"/>
        </w:rPr>
        <w:t>es</w:t>
      </w:r>
      <w:r w:rsidR="008F471E" w:rsidRPr="00AB4289">
        <w:rPr>
          <w:sz w:val="28"/>
          <w:szCs w:val="28"/>
          <w:lang w:val="es-ES_tradnl"/>
        </w:rPr>
        <w:t xml:space="preserve"> una garantía</w:t>
      </w:r>
      <w:r w:rsidR="005919D4" w:rsidRPr="00AB4289">
        <w:rPr>
          <w:sz w:val="28"/>
          <w:szCs w:val="28"/>
          <w:lang w:val="es-ES_tradnl"/>
        </w:rPr>
        <w:t xml:space="preserve"> </w:t>
      </w:r>
      <w:r w:rsidR="0071622B" w:rsidRPr="00AB4289">
        <w:rPr>
          <w:sz w:val="28"/>
          <w:szCs w:val="28"/>
          <w:lang w:val="es-ES_tradnl"/>
        </w:rPr>
        <w:t>necesaria para el control a la actividad estatal en el marco del modelo democrático, participativo y pluralista</w:t>
      </w:r>
      <w:r w:rsidR="0071622B" w:rsidRPr="00AB4289">
        <w:rPr>
          <w:rStyle w:val="Refdenotaalpie"/>
          <w:rFonts w:cs="Times New Roman"/>
          <w:sz w:val="28"/>
          <w:szCs w:val="28"/>
          <w:lang w:val="es-ES_tradnl"/>
        </w:rPr>
        <w:footnoteReference w:id="51"/>
      </w:r>
      <w:r w:rsidR="0071622B" w:rsidRPr="00AB4289">
        <w:rPr>
          <w:sz w:val="28"/>
          <w:szCs w:val="28"/>
          <w:lang w:val="es-ES_tradnl"/>
        </w:rPr>
        <w:t xml:space="preserve">. </w:t>
      </w:r>
      <w:r w:rsidR="00A12459" w:rsidRPr="00AB4289">
        <w:rPr>
          <w:sz w:val="28"/>
          <w:szCs w:val="28"/>
          <w:lang w:val="es-ES_tradnl"/>
        </w:rPr>
        <w:t xml:space="preserve">En efecto, el acceso a la información pública </w:t>
      </w:r>
      <w:r w:rsidR="006828FF" w:rsidRPr="00AB4289">
        <w:rPr>
          <w:sz w:val="28"/>
          <w:szCs w:val="28"/>
          <w:lang w:val="es-ES_tradnl"/>
        </w:rPr>
        <w:t xml:space="preserve">asegura que </w:t>
      </w:r>
      <w:r w:rsidR="00541EE3" w:rsidRPr="00AB4289">
        <w:rPr>
          <w:sz w:val="28"/>
          <w:szCs w:val="28"/>
          <w:lang w:val="es-ES_tradnl"/>
        </w:rPr>
        <w:t xml:space="preserve">la </w:t>
      </w:r>
      <w:r w:rsidR="00E3255A" w:rsidRPr="00AB4289">
        <w:rPr>
          <w:sz w:val="28"/>
          <w:szCs w:val="28"/>
          <w:lang w:val="es-ES_tradnl"/>
        </w:rPr>
        <w:t>sociedad civil tenga acceso y entienda los</w:t>
      </w:r>
      <w:r w:rsidR="00541EE3" w:rsidRPr="00AB4289">
        <w:rPr>
          <w:sz w:val="28"/>
          <w:szCs w:val="28"/>
          <w:lang w:val="es-ES_tradnl"/>
        </w:rPr>
        <w:t xml:space="preserve"> aspectos de </w:t>
      </w:r>
      <w:r w:rsidR="00541EE3" w:rsidRPr="00AB4289">
        <w:rPr>
          <w:sz w:val="28"/>
          <w:szCs w:val="28"/>
          <w:lang w:val="es-ES_tradnl"/>
        </w:rPr>
        <w:lastRenderedPageBreak/>
        <w:t xml:space="preserve">relevancia pública del país y </w:t>
      </w:r>
      <w:r w:rsidR="00AC1FF1" w:rsidRPr="00AB4289">
        <w:rPr>
          <w:sz w:val="28"/>
          <w:szCs w:val="28"/>
          <w:lang w:val="es-ES_tradnl"/>
        </w:rPr>
        <w:t>cuente con</w:t>
      </w:r>
      <w:r w:rsidR="005919D4" w:rsidRPr="00AB4289">
        <w:rPr>
          <w:sz w:val="28"/>
          <w:szCs w:val="28"/>
          <w:lang w:val="es-ES_tradnl"/>
        </w:rPr>
        <w:t xml:space="preserve"> </w:t>
      </w:r>
      <w:r w:rsidR="00541EE3" w:rsidRPr="00AB4289">
        <w:rPr>
          <w:sz w:val="28"/>
          <w:szCs w:val="28"/>
          <w:lang w:val="es-ES_tradnl"/>
        </w:rPr>
        <w:t>los elementos</w:t>
      </w:r>
      <w:r w:rsidR="00AC1FF1" w:rsidRPr="00AB4289">
        <w:rPr>
          <w:sz w:val="28"/>
          <w:szCs w:val="28"/>
          <w:lang w:val="es-ES_tradnl"/>
        </w:rPr>
        <w:t xml:space="preserve"> necesarios</w:t>
      </w:r>
      <w:r w:rsidR="00541EE3" w:rsidRPr="00AB4289">
        <w:rPr>
          <w:sz w:val="28"/>
          <w:szCs w:val="28"/>
          <w:lang w:val="es-ES_tradnl"/>
        </w:rPr>
        <w:t xml:space="preserve"> para </w:t>
      </w:r>
      <w:r w:rsidR="006828FF" w:rsidRPr="00AB4289">
        <w:rPr>
          <w:sz w:val="28"/>
          <w:szCs w:val="28"/>
          <w:lang w:val="es-ES_tradnl"/>
        </w:rPr>
        <w:t>proponer</w:t>
      </w:r>
      <w:r w:rsidR="00541EE3" w:rsidRPr="00AB4289">
        <w:rPr>
          <w:sz w:val="28"/>
          <w:szCs w:val="28"/>
          <w:lang w:val="es-ES_tradnl"/>
        </w:rPr>
        <w:t xml:space="preserve"> debate</w:t>
      </w:r>
      <w:r w:rsidR="00BB0CB5" w:rsidRPr="00AB4289">
        <w:rPr>
          <w:sz w:val="28"/>
          <w:szCs w:val="28"/>
          <w:lang w:val="es-ES_tradnl"/>
        </w:rPr>
        <w:t>s de interés público</w:t>
      </w:r>
      <w:r w:rsidR="004C675E" w:rsidRPr="00AB4289">
        <w:rPr>
          <w:sz w:val="28"/>
          <w:szCs w:val="28"/>
          <w:lang w:val="es-ES_tradnl"/>
        </w:rPr>
        <w:t>, hacer control social</w:t>
      </w:r>
      <w:r w:rsidR="00BB0CB5" w:rsidRPr="00AB4289">
        <w:rPr>
          <w:sz w:val="28"/>
          <w:szCs w:val="28"/>
          <w:lang w:val="es-ES_tradnl"/>
        </w:rPr>
        <w:t xml:space="preserve"> y</w:t>
      </w:r>
      <w:r w:rsidR="00541EE3" w:rsidRPr="00AB4289">
        <w:rPr>
          <w:sz w:val="28"/>
          <w:szCs w:val="28"/>
          <w:lang w:val="es-ES_tradnl"/>
        </w:rPr>
        <w:t xml:space="preserve"> </w:t>
      </w:r>
      <w:r w:rsidR="00BB0CB5" w:rsidRPr="00AB4289">
        <w:rPr>
          <w:sz w:val="28"/>
          <w:szCs w:val="28"/>
          <w:lang w:val="es-ES_tradnl"/>
        </w:rPr>
        <w:t>prevenir la corrupción</w:t>
      </w:r>
      <w:r w:rsidR="00504010" w:rsidRPr="00AB4289">
        <w:rPr>
          <w:sz w:val="28"/>
          <w:szCs w:val="28"/>
          <w:lang w:val="es-ES_tradnl"/>
        </w:rPr>
        <w:t>.</w:t>
      </w:r>
    </w:p>
    <w:p w14:paraId="13B94050" w14:textId="77777777" w:rsidR="00504010" w:rsidRPr="00AB4289" w:rsidRDefault="00504010" w:rsidP="00B40BE5">
      <w:pPr>
        <w:pStyle w:val="Prrafodelista"/>
        <w:jc w:val="both"/>
        <w:rPr>
          <w:rStyle w:val="Fuerte"/>
          <w:rFonts w:eastAsiaTheme="majorEastAsia"/>
        </w:rPr>
      </w:pPr>
    </w:p>
    <w:p w14:paraId="3CAE2D3C" w14:textId="492A248A" w:rsidR="00504010" w:rsidRPr="00AB4289" w:rsidRDefault="00504010"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 xml:space="preserve">Por ello, el acceso a la información pública se encuentra estrechamente ligado al derecho a la libertad de expresión. El acceso a la información constituye un presupuesto indispensable para el ejercicio de la libertad de expresión, pues permite obtener la información necesaria para transmitir opiniones, noticias o cualquier otro tipo de dato </w:t>
      </w:r>
      <w:r w:rsidR="00E45EE7" w:rsidRPr="00AB4289">
        <w:rPr>
          <w:sz w:val="28"/>
          <w:szCs w:val="28"/>
          <w:lang w:val="es-ES_tradnl"/>
        </w:rPr>
        <w:t xml:space="preserve">relevante para el </w:t>
      </w:r>
      <w:r w:rsidR="00540A0A" w:rsidRPr="00AB4289">
        <w:rPr>
          <w:sz w:val="28"/>
          <w:szCs w:val="28"/>
          <w:lang w:val="es-ES_tradnl"/>
        </w:rPr>
        <w:t>debate</w:t>
      </w:r>
      <w:r w:rsidR="00E45EE7" w:rsidRPr="00AB4289">
        <w:rPr>
          <w:sz w:val="28"/>
          <w:szCs w:val="28"/>
          <w:lang w:val="es-ES_tradnl"/>
        </w:rPr>
        <w:t xml:space="preserve"> público</w:t>
      </w:r>
      <w:r w:rsidRPr="00AB4289">
        <w:rPr>
          <w:rStyle w:val="Refdenotaalpie"/>
          <w:rFonts w:cs="Times New Roman"/>
          <w:sz w:val="28"/>
          <w:szCs w:val="28"/>
          <w:lang w:val="es-ES_tradnl"/>
        </w:rPr>
        <w:footnoteReference w:id="52"/>
      </w:r>
      <w:r w:rsidRPr="00AB4289">
        <w:rPr>
          <w:sz w:val="28"/>
          <w:szCs w:val="28"/>
          <w:lang w:val="es-ES_tradnl"/>
        </w:rPr>
        <w:t>. De hecho, la Corte ha destacado que los periodistas gozan de una protección reforzada en materia de acceso a la información pública, dada la función esencial que cumple la prensa como garante de lo público y su papel crucial en la difusión de información y opiniones</w:t>
      </w:r>
      <w:r w:rsidRPr="00AB4289">
        <w:rPr>
          <w:rStyle w:val="Refdenotaalpie"/>
          <w:rFonts w:cs="Times New Roman"/>
          <w:sz w:val="28"/>
          <w:szCs w:val="28"/>
          <w:lang w:val="es-ES_tradnl"/>
        </w:rPr>
        <w:footnoteReference w:id="53"/>
      </w:r>
      <w:r w:rsidRPr="00AB4289">
        <w:rPr>
          <w:sz w:val="28"/>
          <w:szCs w:val="28"/>
          <w:lang w:val="es-ES_tradnl"/>
        </w:rPr>
        <w:t>.</w:t>
      </w:r>
    </w:p>
    <w:p w14:paraId="0B45DF1C" w14:textId="010A361C" w:rsidR="00AE1AFF" w:rsidRPr="00AB4289" w:rsidRDefault="00AE1AFF"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6931EFFC" w14:textId="41A73EC3" w:rsidR="00967E71" w:rsidRPr="00AB4289" w:rsidRDefault="00504010" w:rsidP="00B40BE5">
      <w:pPr>
        <w:pStyle w:val="Prrafodelista"/>
        <w:numPr>
          <w:ilvl w:val="0"/>
          <w:numId w:val="2"/>
        </w:numPr>
        <w:ind w:left="0" w:firstLine="0"/>
        <w:jc w:val="both"/>
        <w:rPr>
          <w:sz w:val="28"/>
          <w:szCs w:val="28"/>
          <w:lang w:val="es-ES_tradnl"/>
        </w:rPr>
      </w:pPr>
      <w:r w:rsidRPr="00AB4289">
        <w:rPr>
          <w:sz w:val="28"/>
          <w:szCs w:val="28"/>
          <w:lang w:val="es-ES_tradnl"/>
        </w:rPr>
        <w:t>E</w:t>
      </w:r>
      <w:r w:rsidR="00290961" w:rsidRPr="00AB4289">
        <w:rPr>
          <w:sz w:val="28"/>
          <w:szCs w:val="28"/>
          <w:lang w:val="es-ES_tradnl"/>
        </w:rPr>
        <w:t>n</w:t>
      </w:r>
      <w:r w:rsidR="00360684" w:rsidRPr="00AB4289">
        <w:rPr>
          <w:sz w:val="28"/>
          <w:szCs w:val="28"/>
          <w:lang w:val="es-ES_tradnl"/>
        </w:rPr>
        <w:t xml:space="preserve"> Colombia, p</w:t>
      </w:r>
      <w:r w:rsidR="006C6E5A" w:rsidRPr="00AB4289">
        <w:rPr>
          <w:sz w:val="28"/>
          <w:szCs w:val="28"/>
          <w:lang w:val="es-ES_tradnl"/>
        </w:rPr>
        <w:t xml:space="preserve">ara comprender de forma </w:t>
      </w:r>
      <w:r w:rsidR="000A65C9" w:rsidRPr="00AB4289">
        <w:rPr>
          <w:sz w:val="28"/>
          <w:szCs w:val="28"/>
          <w:lang w:val="es-ES_tradnl"/>
        </w:rPr>
        <w:t>integral</w:t>
      </w:r>
      <w:r w:rsidR="006C6E5A" w:rsidRPr="00AB4289">
        <w:rPr>
          <w:sz w:val="28"/>
          <w:szCs w:val="28"/>
          <w:lang w:val="es-ES_tradnl"/>
        </w:rPr>
        <w:t xml:space="preserve"> </w:t>
      </w:r>
      <w:r w:rsidR="00AC1FF1" w:rsidRPr="00AB4289">
        <w:rPr>
          <w:sz w:val="28"/>
          <w:szCs w:val="28"/>
          <w:lang w:val="es-ES_tradnl"/>
        </w:rPr>
        <w:t>el contenido y alcance</w:t>
      </w:r>
      <w:r w:rsidR="00360684" w:rsidRPr="00AB4289">
        <w:rPr>
          <w:sz w:val="28"/>
          <w:szCs w:val="28"/>
          <w:lang w:val="es-ES_tradnl"/>
        </w:rPr>
        <w:t xml:space="preserve"> </w:t>
      </w:r>
      <w:r w:rsidR="006C6E5A" w:rsidRPr="00AB4289">
        <w:rPr>
          <w:sz w:val="28"/>
          <w:szCs w:val="28"/>
          <w:lang w:val="es-ES_tradnl"/>
        </w:rPr>
        <w:t>del acceso a la información pública</w:t>
      </w:r>
      <w:r w:rsidR="009B203C" w:rsidRPr="00AB4289">
        <w:rPr>
          <w:sz w:val="28"/>
          <w:szCs w:val="28"/>
          <w:lang w:val="es-ES_tradnl"/>
        </w:rPr>
        <w:t>,</w:t>
      </w:r>
      <w:r w:rsidR="006C6E5A" w:rsidRPr="00AB4289">
        <w:rPr>
          <w:sz w:val="28"/>
          <w:szCs w:val="28"/>
          <w:lang w:val="es-ES_tradnl"/>
        </w:rPr>
        <w:t xml:space="preserve"> </w:t>
      </w:r>
      <w:r w:rsidR="00E3255A" w:rsidRPr="00AB4289">
        <w:rPr>
          <w:sz w:val="28"/>
          <w:szCs w:val="28"/>
          <w:lang w:val="es-ES_tradnl"/>
        </w:rPr>
        <w:t xml:space="preserve">se debe </w:t>
      </w:r>
      <w:r w:rsidR="006C6E5A" w:rsidRPr="00AB4289">
        <w:rPr>
          <w:sz w:val="28"/>
          <w:szCs w:val="28"/>
          <w:lang w:val="es-ES_tradnl"/>
        </w:rPr>
        <w:t xml:space="preserve">tener en cuenta el régimen previsto en la Ley </w:t>
      </w:r>
      <w:r w:rsidR="00FE76AB" w:rsidRPr="00AB4289">
        <w:rPr>
          <w:sz w:val="28"/>
          <w:szCs w:val="28"/>
          <w:lang w:val="es-ES_tradnl"/>
        </w:rPr>
        <w:t xml:space="preserve">Estatutaria </w:t>
      </w:r>
      <w:r w:rsidR="006C6E5A" w:rsidRPr="00AB4289">
        <w:rPr>
          <w:sz w:val="28"/>
          <w:szCs w:val="28"/>
          <w:lang w:val="es-ES_tradnl"/>
        </w:rPr>
        <w:t>1712 de 2014</w:t>
      </w:r>
      <w:r w:rsidR="00360684" w:rsidRPr="00AB4289">
        <w:rPr>
          <w:rStyle w:val="Refdenotaalpie"/>
          <w:rFonts w:cs="Times New Roman"/>
          <w:sz w:val="28"/>
          <w:szCs w:val="28"/>
          <w:lang w:val="es-ES_tradnl"/>
        </w:rPr>
        <w:footnoteReference w:id="54"/>
      </w:r>
      <w:r w:rsidR="00A12459" w:rsidRPr="00AB4289">
        <w:rPr>
          <w:sz w:val="28"/>
          <w:szCs w:val="28"/>
          <w:lang w:val="es-ES_tradnl"/>
        </w:rPr>
        <w:t>, que reguló todo lo relativo a este derecho</w:t>
      </w:r>
      <w:r w:rsidR="00AC1FF1" w:rsidRPr="00AB4289">
        <w:rPr>
          <w:sz w:val="28"/>
          <w:szCs w:val="28"/>
          <w:lang w:val="es-ES_tradnl"/>
        </w:rPr>
        <w:t xml:space="preserve"> fundamental</w:t>
      </w:r>
      <w:r w:rsidR="006C6E5A" w:rsidRPr="00AB4289">
        <w:rPr>
          <w:sz w:val="28"/>
          <w:szCs w:val="28"/>
          <w:lang w:val="es-ES_tradnl"/>
        </w:rPr>
        <w:t>.</w:t>
      </w:r>
      <w:r w:rsidR="00541EE3" w:rsidRPr="00AB4289">
        <w:rPr>
          <w:sz w:val="28"/>
          <w:szCs w:val="28"/>
          <w:lang w:val="es-ES_tradnl"/>
        </w:rPr>
        <w:t xml:space="preserve"> </w:t>
      </w:r>
      <w:r w:rsidR="007F04FC" w:rsidRPr="00AB4289">
        <w:rPr>
          <w:sz w:val="28"/>
          <w:szCs w:val="28"/>
          <w:lang w:val="es-ES_tradnl"/>
        </w:rPr>
        <w:t xml:space="preserve">La </w:t>
      </w:r>
      <w:r w:rsidR="005919D4" w:rsidRPr="00AB4289">
        <w:rPr>
          <w:sz w:val="28"/>
          <w:szCs w:val="28"/>
          <w:lang w:val="es-ES_tradnl"/>
        </w:rPr>
        <w:t>jurisprudencia constitucional</w:t>
      </w:r>
      <w:r w:rsidR="00F970D7" w:rsidRPr="00AB4289">
        <w:rPr>
          <w:sz w:val="28"/>
          <w:szCs w:val="28"/>
          <w:lang w:val="es-ES_tradnl"/>
        </w:rPr>
        <w:t xml:space="preserve"> ya</w:t>
      </w:r>
      <w:r w:rsidR="005919D4" w:rsidRPr="00AB4289">
        <w:rPr>
          <w:sz w:val="28"/>
          <w:szCs w:val="28"/>
          <w:lang w:val="es-ES_tradnl"/>
        </w:rPr>
        <w:t xml:space="preserve"> ha </w:t>
      </w:r>
      <w:r w:rsidR="00ED5593" w:rsidRPr="00AB4289">
        <w:rPr>
          <w:sz w:val="28"/>
          <w:szCs w:val="28"/>
          <w:lang w:val="es-ES_tradnl"/>
        </w:rPr>
        <w:t xml:space="preserve">analizado de manera rigurosa </w:t>
      </w:r>
      <w:r w:rsidR="005919D4" w:rsidRPr="00AB4289">
        <w:rPr>
          <w:sz w:val="28"/>
          <w:szCs w:val="28"/>
          <w:lang w:val="es-ES_tradnl"/>
        </w:rPr>
        <w:t>el contenido de esta disposición</w:t>
      </w:r>
      <w:r w:rsidR="005919D4" w:rsidRPr="00AB4289">
        <w:rPr>
          <w:rStyle w:val="Refdenotaalpie"/>
          <w:rFonts w:cs="Times New Roman"/>
          <w:sz w:val="28"/>
          <w:szCs w:val="28"/>
          <w:lang w:val="es-ES_tradnl"/>
        </w:rPr>
        <w:footnoteReference w:id="55"/>
      </w:r>
      <w:r w:rsidR="00091907" w:rsidRPr="00AB4289">
        <w:rPr>
          <w:sz w:val="28"/>
          <w:szCs w:val="28"/>
          <w:lang w:val="es-ES_tradnl"/>
        </w:rPr>
        <w:t xml:space="preserve">. </w:t>
      </w:r>
    </w:p>
    <w:p w14:paraId="3BD08930" w14:textId="5D7B2216" w:rsidR="00967E71" w:rsidRPr="00AB4289" w:rsidRDefault="00967E71" w:rsidP="00B40BE5">
      <w:pPr>
        <w:pStyle w:val="Prrafodelista"/>
        <w:jc w:val="both"/>
        <w:rPr>
          <w:sz w:val="28"/>
          <w:szCs w:val="28"/>
          <w:lang w:val="es-ES_tradnl"/>
        </w:rPr>
      </w:pPr>
    </w:p>
    <w:p w14:paraId="0753BAFD" w14:textId="385EE195" w:rsidR="002647B5" w:rsidRPr="00AB4289" w:rsidRDefault="00F85193" w:rsidP="00B40BE5">
      <w:pPr>
        <w:pStyle w:val="Prrafodelista"/>
        <w:numPr>
          <w:ilvl w:val="0"/>
          <w:numId w:val="2"/>
        </w:numPr>
        <w:ind w:left="0" w:firstLine="0"/>
        <w:jc w:val="both"/>
        <w:rPr>
          <w:sz w:val="28"/>
          <w:szCs w:val="28"/>
          <w:lang w:val="es-ES_tradnl"/>
        </w:rPr>
      </w:pPr>
      <w:r w:rsidRPr="00AB4289">
        <w:rPr>
          <w:sz w:val="28"/>
          <w:szCs w:val="28"/>
          <w:lang w:val="es-ES_tradnl"/>
        </w:rPr>
        <w:t xml:space="preserve">En esta sentencia, sin embargo, con el fin de mantener un enfoque pedagógico orientado a la ciudadanía, </w:t>
      </w:r>
      <w:r w:rsidR="00ED364C" w:rsidRPr="00AB4289">
        <w:rPr>
          <w:sz w:val="28"/>
          <w:szCs w:val="28"/>
          <w:lang w:val="es-ES_tradnl"/>
        </w:rPr>
        <w:t xml:space="preserve">se </w:t>
      </w:r>
      <w:r w:rsidR="00967E71" w:rsidRPr="00AB4289">
        <w:rPr>
          <w:sz w:val="28"/>
          <w:szCs w:val="28"/>
          <w:lang w:val="es-ES_tradnl"/>
        </w:rPr>
        <w:t>hará una presentación</w:t>
      </w:r>
      <w:r w:rsidR="00C963C6" w:rsidRPr="00AB4289">
        <w:rPr>
          <w:sz w:val="28"/>
          <w:szCs w:val="28"/>
          <w:lang w:val="es-ES_tradnl"/>
        </w:rPr>
        <w:t xml:space="preserve"> más</w:t>
      </w:r>
      <w:r w:rsidR="00967E71" w:rsidRPr="00AB4289">
        <w:rPr>
          <w:sz w:val="28"/>
          <w:szCs w:val="28"/>
          <w:lang w:val="es-ES_tradnl"/>
        </w:rPr>
        <w:t xml:space="preserve"> </w:t>
      </w:r>
      <w:r w:rsidR="00ED364C" w:rsidRPr="00AB4289">
        <w:rPr>
          <w:sz w:val="28"/>
          <w:szCs w:val="28"/>
          <w:lang w:val="es-ES_tradnl"/>
        </w:rPr>
        <w:t>general</w:t>
      </w:r>
      <w:r w:rsidR="00967E71" w:rsidRPr="00AB4289">
        <w:rPr>
          <w:sz w:val="28"/>
          <w:szCs w:val="28"/>
          <w:lang w:val="es-ES_tradnl"/>
        </w:rPr>
        <w:t xml:space="preserve"> de los artículos necesarios para entender </w:t>
      </w:r>
      <w:r w:rsidR="00F24E4A" w:rsidRPr="00AB4289">
        <w:rPr>
          <w:sz w:val="28"/>
          <w:szCs w:val="28"/>
          <w:lang w:val="es-ES_tradnl"/>
        </w:rPr>
        <w:t xml:space="preserve">los elementos esenciales del </w:t>
      </w:r>
      <w:r w:rsidR="00967E71" w:rsidRPr="00AB4289">
        <w:rPr>
          <w:sz w:val="28"/>
          <w:szCs w:val="28"/>
          <w:lang w:val="es-ES_tradnl"/>
        </w:rPr>
        <w:t>régimen de acceso a la información públic</w:t>
      </w:r>
      <w:r w:rsidR="009A0F25" w:rsidRPr="00AB4289">
        <w:rPr>
          <w:sz w:val="28"/>
          <w:szCs w:val="28"/>
          <w:lang w:val="es-ES_tradnl"/>
        </w:rPr>
        <w:t>a</w:t>
      </w:r>
      <w:r w:rsidR="00C963C6" w:rsidRPr="00AB4289">
        <w:rPr>
          <w:sz w:val="28"/>
          <w:szCs w:val="28"/>
          <w:lang w:val="es-ES_tradnl"/>
        </w:rPr>
        <w:t>.</w:t>
      </w:r>
    </w:p>
    <w:p w14:paraId="1B7457B4" w14:textId="77777777" w:rsidR="00B12DD9" w:rsidRPr="00AB4289" w:rsidRDefault="00B12DD9" w:rsidP="00B12DD9">
      <w:pPr>
        <w:pStyle w:val="Prrafodelista"/>
        <w:rPr>
          <w:sz w:val="28"/>
          <w:szCs w:val="28"/>
          <w:lang w:val="es-ES_tradnl"/>
        </w:rPr>
      </w:pPr>
    </w:p>
    <w:p w14:paraId="39FAF396" w14:textId="62A92C8F" w:rsidR="009A0F25" w:rsidRPr="00AB4289" w:rsidRDefault="00B12DD9" w:rsidP="00B12DD9">
      <w:pPr>
        <w:rPr>
          <w:b/>
          <w:bCs/>
          <w:color w:val="000000" w:themeColor="text1"/>
          <w:sz w:val="22"/>
          <w:szCs w:val="22"/>
          <w:lang w:val="es-ES_tradnl"/>
        </w:rPr>
      </w:pPr>
      <w:r w:rsidRPr="00AB4289">
        <w:rPr>
          <w:b/>
          <w:bCs/>
          <w:color w:val="000000" w:themeColor="text1"/>
          <w:sz w:val="22"/>
          <w:szCs w:val="22"/>
          <w:lang w:val="es-ES_tradnl"/>
        </w:rPr>
        <w:t>Tabla 1.  Elementos generales del régimen de acceso a la información pública.</w:t>
      </w:r>
    </w:p>
    <w:tbl>
      <w:tblPr>
        <w:tblStyle w:val="Tablaconcuadrcula"/>
        <w:tblW w:w="0" w:type="auto"/>
        <w:tblLook w:val="04A0" w:firstRow="1" w:lastRow="0" w:firstColumn="1" w:lastColumn="0" w:noHBand="0" w:noVBand="1"/>
      </w:tblPr>
      <w:tblGrid>
        <w:gridCol w:w="1838"/>
        <w:gridCol w:w="6990"/>
      </w:tblGrid>
      <w:tr w:rsidR="009A0F25" w:rsidRPr="00AB4289" w14:paraId="6B28E7A6" w14:textId="77777777" w:rsidTr="00555427">
        <w:tc>
          <w:tcPr>
            <w:tcW w:w="1838" w:type="dxa"/>
            <w:shd w:val="clear" w:color="auto" w:fill="B4C6E7" w:themeFill="accent1" w:themeFillTint="66"/>
          </w:tcPr>
          <w:p w14:paraId="171ADB46" w14:textId="2412A959" w:rsidR="009A0F25" w:rsidRPr="00AB4289" w:rsidRDefault="009A0F25" w:rsidP="00B40BE5">
            <w:pPr>
              <w:jc w:val="both"/>
              <w:rPr>
                <w:b/>
                <w:bCs/>
                <w:sz w:val="22"/>
                <w:szCs w:val="22"/>
                <w:lang w:val="es-ES_tradnl"/>
              </w:rPr>
            </w:pPr>
            <w:r w:rsidRPr="00AB4289">
              <w:rPr>
                <w:b/>
                <w:bCs/>
                <w:sz w:val="22"/>
                <w:szCs w:val="22"/>
                <w:lang w:val="es-ES_tradnl"/>
              </w:rPr>
              <w:t>¿Cuál es la información pública?</w:t>
            </w:r>
          </w:p>
          <w:p w14:paraId="28E0FE80" w14:textId="77777777" w:rsidR="009A0F25" w:rsidRPr="00AB4289" w:rsidRDefault="009A0F25" w:rsidP="00B40BE5">
            <w:pPr>
              <w:pStyle w:val="NormalWeb"/>
              <w:spacing w:before="0" w:beforeAutospacing="0" w:after="0" w:afterAutospacing="0"/>
              <w:jc w:val="both"/>
              <w:rPr>
                <w:sz w:val="22"/>
                <w:szCs w:val="22"/>
                <w:lang w:val="es-ES_tradnl"/>
              </w:rPr>
            </w:pPr>
          </w:p>
        </w:tc>
        <w:tc>
          <w:tcPr>
            <w:tcW w:w="6990" w:type="dxa"/>
          </w:tcPr>
          <w:p w14:paraId="20C95E00" w14:textId="0B796308" w:rsidR="009A0F25" w:rsidRPr="00AB4289" w:rsidRDefault="009A0F25" w:rsidP="00B40BE5">
            <w:pPr>
              <w:pStyle w:val="NormalWeb"/>
              <w:spacing w:before="0" w:beforeAutospacing="0" w:after="0" w:afterAutospacing="0"/>
              <w:jc w:val="both"/>
              <w:rPr>
                <w:sz w:val="22"/>
                <w:szCs w:val="22"/>
                <w:lang w:val="es-ES_tradnl"/>
              </w:rPr>
            </w:pPr>
            <w:r w:rsidRPr="00AB4289">
              <w:rPr>
                <w:sz w:val="22"/>
                <w:szCs w:val="22"/>
                <w:lang w:val="es-ES_tradnl"/>
              </w:rPr>
              <w:t xml:space="preserve">El artículo 4 de la Ley 1712 </w:t>
            </w:r>
            <w:r w:rsidR="00782A9E" w:rsidRPr="00AB4289">
              <w:rPr>
                <w:sz w:val="22"/>
                <w:szCs w:val="22"/>
                <w:lang w:val="es-ES_tradnl"/>
              </w:rPr>
              <w:t xml:space="preserve">de 2014 </w:t>
            </w:r>
            <w:r w:rsidRPr="00AB4289">
              <w:rPr>
                <w:sz w:val="22"/>
                <w:szCs w:val="22"/>
                <w:lang w:val="es-ES_tradnl"/>
              </w:rPr>
              <w:t>establece que “es aquella información que un sujeto obligado genere, obtenga, adquiera, o controle en su calidad de tal”.</w:t>
            </w:r>
          </w:p>
          <w:p w14:paraId="6827E370" w14:textId="77777777" w:rsidR="009A0F25" w:rsidRPr="00AB4289" w:rsidRDefault="009A0F25" w:rsidP="00B40BE5">
            <w:pPr>
              <w:pStyle w:val="NormalWeb"/>
              <w:spacing w:before="0" w:beforeAutospacing="0" w:after="0" w:afterAutospacing="0"/>
              <w:jc w:val="both"/>
              <w:rPr>
                <w:sz w:val="22"/>
                <w:szCs w:val="22"/>
                <w:lang w:val="es-ES_tradnl"/>
              </w:rPr>
            </w:pPr>
          </w:p>
          <w:p w14:paraId="2F134534" w14:textId="51F16DB7" w:rsidR="009A0F25" w:rsidRPr="00AB4289" w:rsidRDefault="00782A9E" w:rsidP="00B40BE5">
            <w:pPr>
              <w:jc w:val="both"/>
              <w:rPr>
                <w:sz w:val="22"/>
                <w:szCs w:val="22"/>
              </w:rPr>
            </w:pPr>
            <w:r w:rsidRPr="00AB4289">
              <w:rPr>
                <w:sz w:val="22"/>
                <w:szCs w:val="22"/>
              </w:rPr>
              <w:t>De este artículo se desprende que la condición de información pública no depende de su contenido, sino del sujeto que la posee. Es decir, si la información está en poder de una entidad catalogada como sujeto obligado, se presume que es información pública y, por tanto,</w:t>
            </w:r>
            <w:r w:rsidR="009B203C" w:rsidRPr="00AB4289">
              <w:rPr>
                <w:sz w:val="22"/>
                <w:szCs w:val="22"/>
              </w:rPr>
              <w:t xml:space="preserve"> en principio,</w:t>
            </w:r>
            <w:r w:rsidRPr="00AB4289">
              <w:rPr>
                <w:sz w:val="22"/>
                <w:szCs w:val="22"/>
              </w:rPr>
              <w:t xml:space="preserve"> debe estar disponible para la ciudadanía.</w:t>
            </w:r>
          </w:p>
          <w:p w14:paraId="5A904160" w14:textId="0DD8C23F" w:rsidR="009B203C" w:rsidRPr="00AB4289" w:rsidRDefault="009B203C" w:rsidP="00B40BE5">
            <w:pPr>
              <w:jc w:val="both"/>
              <w:rPr>
                <w:sz w:val="22"/>
                <w:szCs w:val="22"/>
                <w:lang w:val="es-ES_tradnl"/>
              </w:rPr>
            </w:pPr>
          </w:p>
        </w:tc>
      </w:tr>
      <w:tr w:rsidR="009A0F25" w:rsidRPr="00AB4289" w14:paraId="4357B9E4" w14:textId="77777777" w:rsidTr="00555427">
        <w:tc>
          <w:tcPr>
            <w:tcW w:w="1838" w:type="dxa"/>
            <w:shd w:val="clear" w:color="auto" w:fill="B4C6E7" w:themeFill="accent1" w:themeFillTint="66"/>
          </w:tcPr>
          <w:p w14:paraId="2E23F28F" w14:textId="77777777" w:rsidR="009A0F25" w:rsidRPr="00AB4289" w:rsidRDefault="009A0F25" w:rsidP="00B40BE5">
            <w:pPr>
              <w:jc w:val="both"/>
              <w:rPr>
                <w:b/>
                <w:bCs/>
                <w:sz w:val="22"/>
                <w:szCs w:val="22"/>
                <w:lang w:val="es-ES_tradnl"/>
              </w:rPr>
            </w:pPr>
            <w:r w:rsidRPr="00AB4289">
              <w:rPr>
                <w:b/>
                <w:bCs/>
                <w:sz w:val="22"/>
                <w:szCs w:val="22"/>
                <w:lang w:val="es-ES_tradnl"/>
              </w:rPr>
              <w:lastRenderedPageBreak/>
              <w:t>¿Quiénes son los sujetos obligados?</w:t>
            </w:r>
          </w:p>
          <w:p w14:paraId="1B4BBB1A" w14:textId="77777777" w:rsidR="009A0F25" w:rsidRPr="00AB4289" w:rsidRDefault="009A0F25" w:rsidP="00B40BE5">
            <w:pPr>
              <w:pStyle w:val="NormalWeb"/>
              <w:spacing w:before="0" w:beforeAutospacing="0" w:after="0" w:afterAutospacing="0"/>
              <w:jc w:val="both"/>
              <w:rPr>
                <w:sz w:val="22"/>
                <w:szCs w:val="22"/>
                <w:lang w:val="es-ES_tradnl"/>
              </w:rPr>
            </w:pPr>
          </w:p>
        </w:tc>
        <w:tc>
          <w:tcPr>
            <w:tcW w:w="6990" w:type="dxa"/>
          </w:tcPr>
          <w:p w14:paraId="0314D18A" w14:textId="2C1F7F2B" w:rsidR="009A0F25" w:rsidRPr="00AB4289" w:rsidRDefault="009A0F25" w:rsidP="00B40BE5">
            <w:pPr>
              <w:pStyle w:val="NormalWeb"/>
              <w:spacing w:before="0" w:beforeAutospacing="0" w:after="0" w:afterAutospacing="0"/>
              <w:jc w:val="both"/>
              <w:rPr>
                <w:sz w:val="22"/>
                <w:szCs w:val="22"/>
                <w:lang w:val="es-ES_tradnl"/>
              </w:rPr>
            </w:pPr>
            <w:r w:rsidRPr="00AB4289">
              <w:rPr>
                <w:sz w:val="22"/>
                <w:szCs w:val="22"/>
                <w:lang w:val="es-ES_tradnl"/>
              </w:rPr>
              <w:t>Según el artículo 5 de la ley 1712</w:t>
            </w:r>
            <w:r w:rsidR="00782A9E" w:rsidRPr="00AB4289">
              <w:rPr>
                <w:sz w:val="22"/>
                <w:szCs w:val="22"/>
                <w:lang w:val="es-ES_tradnl"/>
              </w:rPr>
              <w:t xml:space="preserve"> de 2014</w:t>
            </w:r>
            <w:r w:rsidRPr="00AB4289">
              <w:rPr>
                <w:sz w:val="22"/>
                <w:szCs w:val="22"/>
                <w:lang w:val="es-ES_tradnl"/>
              </w:rPr>
              <w:t xml:space="preserve"> los sujetos obligados son:</w:t>
            </w:r>
          </w:p>
          <w:p w14:paraId="50B74DDC" w14:textId="77777777" w:rsidR="009A0F25" w:rsidRPr="00AB4289" w:rsidRDefault="009A0F25" w:rsidP="00B40BE5">
            <w:pPr>
              <w:pStyle w:val="NormalWeb"/>
              <w:spacing w:before="0" w:beforeAutospacing="0" w:after="0" w:afterAutospacing="0"/>
              <w:jc w:val="both"/>
              <w:rPr>
                <w:sz w:val="22"/>
                <w:szCs w:val="22"/>
                <w:lang w:val="es-ES_tradnl"/>
              </w:rPr>
            </w:pPr>
          </w:p>
          <w:p w14:paraId="2332C9A4" w14:textId="360ADC9F" w:rsidR="009A0F25" w:rsidRPr="00AB4289" w:rsidRDefault="009A0F25" w:rsidP="00B40BE5">
            <w:pPr>
              <w:pStyle w:val="NormalWeb"/>
              <w:spacing w:before="0" w:beforeAutospacing="0" w:after="0" w:afterAutospacing="0"/>
              <w:jc w:val="both"/>
              <w:rPr>
                <w:sz w:val="22"/>
                <w:szCs w:val="22"/>
                <w:lang w:val="es-ES_tradnl"/>
              </w:rPr>
            </w:pPr>
            <w:r w:rsidRPr="00AB4289">
              <w:rPr>
                <w:sz w:val="22"/>
                <w:szCs w:val="22"/>
                <w:lang w:val="es-ES_tradnl"/>
              </w:rPr>
              <w:t>a) Entidades públicas de todos los niveles y órdenes</w:t>
            </w:r>
            <w:r w:rsidR="009B203C" w:rsidRPr="00AB4289">
              <w:rPr>
                <w:sz w:val="22"/>
                <w:szCs w:val="22"/>
                <w:lang w:val="es-ES_tradnl"/>
              </w:rPr>
              <w:t>.</w:t>
            </w:r>
          </w:p>
          <w:p w14:paraId="6E6E6574" w14:textId="59BEA31E" w:rsidR="009A0F25" w:rsidRPr="00AB4289" w:rsidRDefault="009A0F25" w:rsidP="00B40BE5">
            <w:pPr>
              <w:pStyle w:val="NormalWeb"/>
              <w:spacing w:before="0" w:beforeAutospacing="0" w:after="0" w:afterAutospacing="0"/>
              <w:jc w:val="both"/>
              <w:rPr>
                <w:sz w:val="22"/>
                <w:szCs w:val="22"/>
                <w:lang w:val="es-ES_tradnl"/>
              </w:rPr>
            </w:pPr>
            <w:r w:rsidRPr="00AB4289">
              <w:rPr>
                <w:sz w:val="22"/>
                <w:szCs w:val="22"/>
                <w:lang w:val="es-ES_tradnl"/>
              </w:rPr>
              <w:t>b) Órganos independientes o de control</w:t>
            </w:r>
            <w:r w:rsidR="009B203C" w:rsidRPr="00AB4289">
              <w:rPr>
                <w:sz w:val="22"/>
                <w:szCs w:val="22"/>
                <w:lang w:val="es-ES_tradnl"/>
              </w:rPr>
              <w:t>.</w:t>
            </w:r>
          </w:p>
          <w:p w14:paraId="1C36FAEB" w14:textId="01848A32" w:rsidR="009A0F25" w:rsidRPr="00AB4289" w:rsidRDefault="009A0F25" w:rsidP="00B40BE5">
            <w:pPr>
              <w:pStyle w:val="NormalWeb"/>
              <w:spacing w:before="0" w:beforeAutospacing="0" w:after="0" w:afterAutospacing="0"/>
              <w:jc w:val="both"/>
              <w:rPr>
                <w:sz w:val="22"/>
                <w:szCs w:val="22"/>
                <w:lang w:val="es-ES_tradnl"/>
              </w:rPr>
            </w:pPr>
            <w:r w:rsidRPr="00AB4289">
              <w:rPr>
                <w:sz w:val="22"/>
                <w:szCs w:val="22"/>
                <w:lang w:val="es-ES_tradnl"/>
              </w:rPr>
              <w:t xml:space="preserve">c) Personas naturales/jurídicas que presten </w:t>
            </w:r>
            <w:proofErr w:type="gramStart"/>
            <w:r w:rsidRPr="00AB4289">
              <w:rPr>
                <w:sz w:val="22"/>
                <w:szCs w:val="22"/>
                <w:lang w:val="es-ES_tradnl"/>
              </w:rPr>
              <w:t>función pública o servicios públicos</w:t>
            </w:r>
            <w:proofErr w:type="gramEnd"/>
            <w:r w:rsidR="009B203C" w:rsidRPr="00AB4289">
              <w:rPr>
                <w:sz w:val="22"/>
                <w:szCs w:val="22"/>
                <w:lang w:val="es-ES_tradnl"/>
              </w:rPr>
              <w:t>.</w:t>
            </w:r>
          </w:p>
          <w:p w14:paraId="0444D2E1" w14:textId="54B660E7" w:rsidR="009A0F25" w:rsidRPr="00AB4289" w:rsidRDefault="009A0F25" w:rsidP="00B40BE5">
            <w:pPr>
              <w:pStyle w:val="NormalWeb"/>
              <w:spacing w:before="0" w:beforeAutospacing="0" w:after="0" w:afterAutospacing="0"/>
              <w:jc w:val="both"/>
              <w:rPr>
                <w:sz w:val="22"/>
                <w:szCs w:val="22"/>
                <w:lang w:val="es-ES_tradnl"/>
              </w:rPr>
            </w:pPr>
            <w:r w:rsidRPr="00AB4289">
              <w:rPr>
                <w:sz w:val="22"/>
                <w:szCs w:val="22"/>
                <w:lang w:val="es-ES_tradnl"/>
              </w:rPr>
              <w:t xml:space="preserve">d) Personas o entidades que ejerzan </w:t>
            </w:r>
            <w:proofErr w:type="gramStart"/>
            <w:r w:rsidRPr="00AB4289">
              <w:rPr>
                <w:sz w:val="22"/>
                <w:szCs w:val="22"/>
                <w:lang w:val="es-ES_tradnl"/>
              </w:rPr>
              <w:t>autoridad pública</w:t>
            </w:r>
            <w:proofErr w:type="gramEnd"/>
            <w:r w:rsidR="009B203C" w:rsidRPr="00AB4289">
              <w:rPr>
                <w:sz w:val="22"/>
                <w:szCs w:val="22"/>
                <w:lang w:val="es-ES_tradnl"/>
              </w:rPr>
              <w:t>.</w:t>
            </w:r>
          </w:p>
          <w:p w14:paraId="5F5ABC7B" w14:textId="73B0555C" w:rsidR="009A0F25" w:rsidRPr="00AB4289" w:rsidRDefault="009A0F25" w:rsidP="00B40BE5">
            <w:pPr>
              <w:pStyle w:val="NormalWeb"/>
              <w:spacing w:before="0" w:beforeAutospacing="0" w:after="0" w:afterAutospacing="0"/>
              <w:jc w:val="both"/>
              <w:rPr>
                <w:sz w:val="22"/>
                <w:szCs w:val="22"/>
                <w:lang w:val="es-ES_tradnl"/>
              </w:rPr>
            </w:pPr>
            <w:r w:rsidRPr="00AB4289">
              <w:rPr>
                <w:sz w:val="22"/>
                <w:szCs w:val="22"/>
                <w:lang w:val="es-ES_tradnl"/>
              </w:rPr>
              <w:t>e) Partidos políticos y grupos significativos</w:t>
            </w:r>
            <w:r w:rsidR="009B203C" w:rsidRPr="00AB4289">
              <w:rPr>
                <w:sz w:val="22"/>
                <w:szCs w:val="22"/>
                <w:lang w:val="es-ES_tradnl"/>
              </w:rPr>
              <w:t>.</w:t>
            </w:r>
          </w:p>
          <w:p w14:paraId="36FDA41C" w14:textId="77777777" w:rsidR="009A0F25" w:rsidRPr="00AB4289" w:rsidRDefault="009A0F25" w:rsidP="00B40BE5">
            <w:pPr>
              <w:pStyle w:val="NormalWeb"/>
              <w:spacing w:before="0" w:beforeAutospacing="0" w:after="0" w:afterAutospacing="0"/>
              <w:jc w:val="both"/>
              <w:rPr>
                <w:sz w:val="22"/>
                <w:szCs w:val="22"/>
                <w:lang w:val="es-ES_tradnl"/>
              </w:rPr>
            </w:pPr>
            <w:r w:rsidRPr="00AB4289">
              <w:rPr>
                <w:sz w:val="22"/>
                <w:szCs w:val="22"/>
                <w:lang w:val="es-ES_tradnl"/>
              </w:rPr>
              <w:t>f) Entidades que administren recursos de origen público.</w:t>
            </w:r>
          </w:p>
          <w:p w14:paraId="3B8D8F74" w14:textId="77777777" w:rsidR="009A0F25" w:rsidRPr="00AB4289" w:rsidRDefault="009A0F25" w:rsidP="00B40BE5">
            <w:pPr>
              <w:jc w:val="both"/>
              <w:rPr>
                <w:b/>
                <w:bCs/>
                <w:sz w:val="22"/>
                <w:szCs w:val="22"/>
                <w:lang w:val="es-ES_tradnl"/>
              </w:rPr>
            </w:pPr>
          </w:p>
          <w:p w14:paraId="40C52158" w14:textId="48A2A50B" w:rsidR="009A0F25" w:rsidRPr="00AB4289" w:rsidRDefault="00782A9E" w:rsidP="00B40BE5">
            <w:pPr>
              <w:jc w:val="both"/>
              <w:rPr>
                <w:sz w:val="22"/>
                <w:szCs w:val="22"/>
                <w:lang w:val="es-ES_tradnl"/>
              </w:rPr>
            </w:pPr>
            <w:r w:rsidRPr="00AB4289">
              <w:rPr>
                <w:sz w:val="22"/>
                <w:szCs w:val="22"/>
                <w:lang w:val="es-ES_tradnl"/>
              </w:rPr>
              <w:t>Como se puede ver, los</w:t>
            </w:r>
            <w:r w:rsidR="009A0F25" w:rsidRPr="00AB4289">
              <w:rPr>
                <w:sz w:val="22"/>
                <w:szCs w:val="22"/>
                <w:lang w:val="es-ES_tradnl"/>
              </w:rPr>
              <w:t xml:space="preserve"> sujetos obligados son</w:t>
            </w:r>
            <w:r w:rsidR="009B203C" w:rsidRPr="00AB4289">
              <w:rPr>
                <w:sz w:val="22"/>
                <w:szCs w:val="22"/>
                <w:lang w:val="es-ES_tradnl"/>
              </w:rPr>
              <w:t xml:space="preserve"> </w:t>
            </w:r>
            <w:r w:rsidR="009A0F25" w:rsidRPr="00AB4289">
              <w:rPr>
                <w:sz w:val="22"/>
                <w:szCs w:val="22"/>
                <w:lang w:val="es-ES_tradnl"/>
              </w:rPr>
              <w:t>instituciones</w:t>
            </w:r>
            <w:r w:rsidR="009B203C" w:rsidRPr="00AB4289">
              <w:rPr>
                <w:sz w:val="22"/>
                <w:szCs w:val="22"/>
                <w:lang w:val="es-ES_tradnl"/>
              </w:rPr>
              <w:t xml:space="preserve"> estatales y</w:t>
            </w:r>
            <w:r w:rsidR="009A0F25" w:rsidRPr="00AB4289">
              <w:rPr>
                <w:sz w:val="22"/>
                <w:szCs w:val="22"/>
                <w:lang w:val="es-ES_tradnl"/>
              </w:rPr>
              <w:t xml:space="preserve"> personas naturales o jurídicas que tengan una relación con el ejercicio de la función pública</w:t>
            </w:r>
            <w:r w:rsidR="009B203C" w:rsidRPr="00AB4289">
              <w:rPr>
                <w:sz w:val="22"/>
                <w:szCs w:val="22"/>
                <w:lang w:val="es-ES_tradnl"/>
              </w:rPr>
              <w:t>, la administración de recursos del Estado o la prestación de servicios públicos</w:t>
            </w:r>
            <w:r w:rsidR="009A0F25" w:rsidRPr="00AB4289">
              <w:rPr>
                <w:sz w:val="22"/>
                <w:szCs w:val="22"/>
                <w:lang w:val="es-ES_tradnl"/>
              </w:rPr>
              <w:t xml:space="preserve">. </w:t>
            </w:r>
          </w:p>
          <w:p w14:paraId="3AAC8133" w14:textId="77777777" w:rsidR="00C963C6" w:rsidRPr="00AB4289" w:rsidRDefault="00C963C6" w:rsidP="00B40BE5">
            <w:pPr>
              <w:jc w:val="both"/>
              <w:rPr>
                <w:sz w:val="22"/>
                <w:szCs w:val="22"/>
              </w:rPr>
            </w:pPr>
          </w:p>
          <w:p w14:paraId="0C72FFD7" w14:textId="38FB9264" w:rsidR="008C286E" w:rsidRPr="00AB4289" w:rsidRDefault="00C963C6" w:rsidP="00B40BE5">
            <w:pPr>
              <w:jc w:val="both"/>
              <w:rPr>
                <w:sz w:val="22"/>
                <w:szCs w:val="22"/>
              </w:rPr>
            </w:pPr>
            <w:r w:rsidRPr="00AB4289">
              <w:rPr>
                <w:sz w:val="22"/>
                <w:szCs w:val="22"/>
              </w:rPr>
              <w:t>En</w:t>
            </w:r>
            <w:r w:rsidR="008C286E" w:rsidRPr="00AB4289">
              <w:rPr>
                <w:sz w:val="22"/>
                <w:szCs w:val="22"/>
              </w:rPr>
              <w:t xml:space="preserve"> la presente sentencia, cuando se haga referencia a los sujetos obligados, se debe entender que son quienes custodian la información.</w:t>
            </w:r>
          </w:p>
          <w:p w14:paraId="43558839" w14:textId="77777777" w:rsidR="009A0F25" w:rsidRPr="00AB4289" w:rsidRDefault="009A0F25" w:rsidP="00B40BE5">
            <w:pPr>
              <w:pStyle w:val="NormalWeb"/>
              <w:spacing w:before="0" w:beforeAutospacing="0" w:after="0" w:afterAutospacing="0"/>
              <w:jc w:val="both"/>
              <w:rPr>
                <w:sz w:val="22"/>
                <w:szCs w:val="22"/>
                <w:lang w:val="es-ES_tradnl"/>
              </w:rPr>
            </w:pPr>
          </w:p>
        </w:tc>
      </w:tr>
      <w:tr w:rsidR="009A0F25" w:rsidRPr="00AB4289" w14:paraId="30DB97D9" w14:textId="77777777" w:rsidTr="00555427">
        <w:tc>
          <w:tcPr>
            <w:tcW w:w="1838" w:type="dxa"/>
            <w:shd w:val="clear" w:color="auto" w:fill="B4C6E7" w:themeFill="accent1" w:themeFillTint="66"/>
          </w:tcPr>
          <w:p w14:paraId="2D7122E2" w14:textId="77777777" w:rsidR="009A0F25" w:rsidRPr="00AB4289" w:rsidRDefault="009A0F25" w:rsidP="00B40BE5">
            <w:pPr>
              <w:jc w:val="both"/>
              <w:rPr>
                <w:b/>
                <w:bCs/>
                <w:sz w:val="22"/>
                <w:szCs w:val="22"/>
                <w:lang w:val="es-ES_tradnl"/>
              </w:rPr>
            </w:pPr>
            <w:r w:rsidRPr="00AB4289">
              <w:rPr>
                <w:b/>
                <w:bCs/>
                <w:sz w:val="22"/>
                <w:szCs w:val="22"/>
                <w:lang w:val="es-ES_tradnl"/>
              </w:rPr>
              <w:t>¿Cómo se clasifica la información pública?</w:t>
            </w:r>
          </w:p>
          <w:p w14:paraId="178328BC" w14:textId="77777777" w:rsidR="009A0F25" w:rsidRPr="00AB4289" w:rsidRDefault="009A0F25" w:rsidP="00B40BE5">
            <w:pPr>
              <w:pStyle w:val="NormalWeb"/>
              <w:spacing w:before="0" w:beforeAutospacing="0" w:after="0" w:afterAutospacing="0"/>
              <w:jc w:val="both"/>
              <w:rPr>
                <w:sz w:val="22"/>
                <w:szCs w:val="22"/>
                <w:lang w:val="es-ES_tradnl"/>
              </w:rPr>
            </w:pPr>
          </w:p>
        </w:tc>
        <w:tc>
          <w:tcPr>
            <w:tcW w:w="6990" w:type="dxa"/>
          </w:tcPr>
          <w:p w14:paraId="58D491E7" w14:textId="37660CEC" w:rsidR="009A0F25" w:rsidRPr="00AB4289" w:rsidRDefault="009A0F25" w:rsidP="00B40BE5">
            <w:pPr>
              <w:pStyle w:val="NormalWeb"/>
              <w:tabs>
                <w:tab w:val="left" w:pos="426"/>
                <w:tab w:val="left" w:pos="567"/>
                <w:tab w:val="left" w:pos="709"/>
              </w:tabs>
              <w:spacing w:before="0" w:beforeAutospacing="0" w:after="0" w:afterAutospacing="0"/>
              <w:jc w:val="both"/>
              <w:rPr>
                <w:sz w:val="22"/>
                <w:szCs w:val="22"/>
                <w:lang w:val="es-ES_tradnl"/>
              </w:rPr>
            </w:pPr>
            <w:r w:rsidRPr="00AB4289">
              <w:rPr>
                <w:sz w:val="22"/>
                <w:szCs w:val="22"/>
                <w:lang w:val="es-ES_tradnl"/>
              </w:rPr>
              <w:t xml:space="preserve">El artículo 6 de la Ley 1712 de 2014, distingue </w:t>
            </w:r>
            <w:r w:rsidR="00C963C6" w:rsidRPr="00AB4289">
              <w:rPr>
                <w:sz w:val="22"/>
                <w:szCs w:val="22"/>
                <w:lang w:val="es-ES_tradnl"/>
              </w:rPr>
              <w:t>tres</w:t>
            </w:r>
            <w:r w:rsidRPr="00AB4289">
              <w:rPr>
                <w:sz w:val="22"/>
                <w:szCs w:val="22"/>
                <w:lang w:val="es-ES_tradnl"/>
              </w:rPr>
              <w:t xml:space="preserve"> categorías específicas de información pública:</w:t>
            </w:r>
          </w:p>
          <w:p w14:paraId="6DEE3371" w14:textId="77777777" w:rsidR="009A0F25" w:rsidRPr="00AB4289" w:rsidRDefault="009A0F25" w:rsidP="00B40BE5">
            <w:pPr>
              <w:pStyle w:val="NormalWeb"/>
              <w:tabs>
                <w:tab w:val="left" w:pos="426"/>
                <w:tab w:val="left" w:pos="567"/>
                <w:tab w:val="left" w:pos="709"/>
              </w:tabs>
              <w:spacing w:before="0" w:beforeAutospacing="0" w:after="0" w:afterAutospacing="0"/>
              <w:jc w:val="both"/>
              <w:rPr>
                <w:sz w:val="22"/>
                <w:szCs w:val="22"/>
                <w:lang w:val="es-ES_tradnl"/>
              </w:rPr>
            </w:pPr>
          </w:p>
          <w:p w14:paraId="66385ECC" w14:textId="4C905642" w:rsidR="009A0F25" w:rsidRPr="00AB4289" w:rsidRDefault="009A0F25" w:rsidP="00B40BE5">
            <w:pPr>
              <w:pStyle w:val="NormalWeb"/>
              <w:numPr>
                <w:ilvl w:val="0"/>
                <w:numId w:val="14"/>
              </w:numPr>
              <w:tabs>
                <w:tab w:val="left" w:pos="426"/>
                <w:tab w:val="left" w:pos="567"/>
                <w:tab w:val="left" w:pos="709"/>
              </w:tabs>
              <w:spacing w:before="0" w:beforeAutospacing="0" w:after="0" w:afterAutospacing="0"/>
              <w:ind w:left="144" w:firstLine="0"/>
              <w:jc w:val="both"/>
              <w:rPr>
                <w:sz w:val="22"/>
                <w:szCs w:val="22"/>
                <w:lang w:val="es-ES_tradnl"/>
              </w:rPr>
            </w:pPr>
            <w:r w:rsidRPr="00AB4289">
              <w:rPr>
                <w:sz w:val="22"/>
                <w:szCs w:val="22"/>
                <w:lang w:val="es-ES_tradnl"/>
              </w:rPr>
              <w:t xml:space="preserve"> Información pública</w:t>
            </w:r>
            <w:r w:rsidR="009B203C" w:rsidRPr="00AB4289">
              <w:rPr>
                <w:sz w:val="22"/>
                <w:szCs w:val="22"/>
                <w:lang w:val="es-ES_tradnl"/>
              </w:rPr>
              <w:t>, que</w:t>
            </w:r>
            <w:r w:rsidRPr="00AB4289">
              <w:rPr>
                <w:sz w:val="22"/>
                <w:szCs w:val="22"/>
                <w:lang w:val="es-ES_tradnl"/>
              </w:rPr>
              <w:t xml:space="preserve"> </w:t>
            </w:r>
            <w:r w:rsidR="00782A9E" w:rsidRPr="00AB4289">
              <w:rPr>
                <w:sz w:val="22"/>
                <w:szCs w:val="22"/>
                <w:lang w:val="es-ES_tradnl"/>
              </w:rPr>
              <w:t>e</w:t>
            </w:r>
            <w:r w:rsidRPr="00AB4289">
              <w:rPr>
                <w:sz w:val="22"/>
                <w:szCs w:val="22"/>
                <w:lang w:val="es-ES_tradnl"/>
              </w:rPr>
              <w:t>s toda</w:t>
            </w:r>
            <w:r w:rsidR="009B203C" w:rsidRPr="00AB4289">
              <w:rPr>
                <w:sz w:val="22"/>
                <w:szCs w:val="22"/>
                <w:lang w:val="es-ES_tradnl"/>
              </w:rPr>
              <w:t xml:space="preserve"> aquella</w:t>
            </w:r>
            <w:r w:rsidRPr="00AB4289">
              <w:rPr>
                <w:sz w:val="22"/>
                <w:szCs w:val="22"/>
                <w:lang w:val="es-ES_tradnl"/>
              </w:rPr>
              <w:t xml:space="preserve"> que un sujeto obligado genere, obtenga, adquiera, o controle en su calidad de tal</w:t>
            </w:r>
            <w:r w:rsidR="00782A9E" w:rsidRPr="00AB4289">
              <w:rPr>
                <w:sz w:val="22"/>
                <w:szCs w:val="22"/>
                <w:lang w:val="es-ES_tradnl"/>
              </w:rPr>
              <w:t>.</w:t>
            </w:r>
          </w:p>
          <w:p w14:paraId="1B99B5C4" w14:textId="77777777" w:rsidR="009A0F25" w:rsidRPr="00AB4289" w:rsidRDefault="009A0F25" w:rsidP="00B40BE5">
            <w:pPr>
              <w:pStyle w:val="NormalWeb"/>
              <w:tabs>
                <w:tab w:val="left" w:pos="426"/>
                <w:tab w:val="left" w:pos="567"/>
                <w:tab w:val="left" w:pos="709"/>
              </w:tabs>
              <w:spacing w:before="0" w:beforeAutospacing="0" w:after="0" w:afterAutospacing="0"/>
              <w:ind w:left="144"/>
              <w:jc w:val="both"/>
              <w:rPr>
                <w:sz w:val="22"/>
                <w:szCs w:val="22"/>
                <w:lang w:val="es-ES_tradnl"/>
              </w:rPr>
            </w:pPr>
          </w:p>
          <w:p w14:paraId="72DEEB21" w14:textId="584A094D" w:rsidR="009A0F25" w:rsidRPr="00AB4289" w:rsidRDefault="009A0F25" w:rsidP="00B40BE5">
            <w:pPr>
              <w:pStyle w:val="NormalWeb"/>
              <w:numPr>
                <w:ilvl w:val="0"/>
                <w:numId w:val="14"/>
              </w:numPr>
              <w:spacing w:before="0" w:beforeAutospacing="0" w:after="0" w:afterAutospacing="0"/>
              <w:ind w:left="144" w:firstLine="0"/>
              <w:jc w:val="both"/>
              <w:rPr>
                <w:sz w:val="22"/>
                <w:szCs w:val="22"/>
                <w:lang w:val="es-ES_tradnl"/>
              </w:rPr>
            </w:pPr>
            <w:r w:rsidRPr="00AB4289">
              <w:rPr>
                <w:sz w:val="22"/>
                <w:szCs w:val="22"/>
                <w:lang w:val="es-ES_tradnl"/>
              </w:rPr>
              <w:t>Información pública clasificada</w:t>
            </w:r>
            <w:r w:rsidR="009B203C" w:rsidRPr="00AB4289">
              <w:rPr>
                <w:sz w:val="22"/>
                <w:szCs w:val="22"/>
                <w:lang w:val="es-ES_tradnl"/>
              </w:rPr>
              <w:t>, que es</w:t>
            </w:r>
            <w:r w:rsidRPr="00AB4289">
              <w:rPr>
                <w:sz w:val="22"/>
                <w:szCs w:val="22"/>
                <w:lang w:val="es-ES_tradnl"/>
              </w:rPr>
              <w:t xml:space="preserve"> aquella que, aun estando en poder de un sujeto obligado, pertenece al ámbito propio, particular, privado o semiprivado de una persona natural o jurídica.</w:t>
            </w:r>
          </w:p>
          <w:p w14:paraId="6CEF4367" w14:textId="77777777" w:rsidR="009A0F25" w:rsidRPr="00AB4289" w:rsidRDefault="009A0F25" w:rsidP="00B40BE5">
            <w:pPr>
              <w:pStyle w:val="NormalWeb"/>
              <w:spacing w:before="0" w:beforeAutospacing="0" w:after="0" w:afterAutospacing="0"/>
              <w:ind w:left="144"/>
              <w:jc w:val="both"/>
              <w:rPr>
                <w:sz w:val="22"/>
                <w:szCs w:val="22"/>
                <w:lang w:val="es-ES_tradnl"/>
              </w:rPr>
            </w:pPr>
          </w:p>
          <w:p w14:paraId="215754C4" w14:textId="2B53BB52" w:rsidR="00782A9E" w:rsidRPr="00AB4289" w:rsidRDefault="009A0F25" w:rsidP="00B40BE5">
            <w:pPr>
              <w:pStyle w:val="NormalWeb"/>
              <w:numPr>
                <w:ilvl w:val="0"/>
                <w:numId w:val="14"/>
              </w:numPr>
              <w:spacing w:before="0" w:beforeAutospacing="0" w:after="0" w:afterAutospacing="0"/>
              <w:ind w:left="144" w:firstLine="0"/>
              <w:jc w:val="both"/>
              <w:rPr>
                <w:sz w:val="22"/>
                <w:szCs w:val="22"/>
                <w:lang w:val="es-ES_tradnl"/>
              </w:rPr>
            </w:pPr>
            <w:r w:rsidRPr="00AB4289">
              <w:rPr>
                <w:sz w:val="22"/>
                <w:szCs w:val="22"/>
                <w:lang w:val="es-ES_tradnl"/>
              </w:rPr>
              <w:t>Información pública reservada</w:t>
            </w:r>
            <w:r w:rsidR="009B203C" w:rsidRPr="00AB4289">
              <w:rPr>
                <w:sz w:val="22"/>
                <w:szCs w:val="22"/>
                <w:lang w:val="es-ES_tradnl"/>
              </w:rPr>
              <w:t>, que es</w:t>
            </w:r>
            <w:r w:rsidRPr="00AB4289">
              <w:rPr>
                <w:sz w:val="22"/>
                <w:szCs w:val="22"/>
                <w:lang w:val="es-ES_tradnl"/>
              </w:rPr>
              <w:t xml:space="preserve"> aquella que, aun estando en poder o custodia de un sujeto obligado en su calidad de tal, se exceptúa del acceso ciudadano por representar un riesgo para intereses públicos.</w:t>
            </w:r>
          </w:p>
          <w:p w14:paraId="2E5BB481" w14:textId="77777777" w:rsidR="00782A9E" w:rsidRPr="00AB4289" w:rsidRDefault="00782A9E" w:rsidP="00B40BE5">
            <w:pPr>
              <w:pStyle w:val="Prrafodelista"/>
              <w:jc w:val="both"/>
              <w:rPr>
                <w:sz w:val="22"/>
                <w:szCs w:val="22"/>
                <w:lang w:val="es-ES_tradnl"/>
              </w:rPr>
            </w:pPr>
          </w:p>
          <w:p w14:paraId="31F9AE58" w14:textId="0745D32F" w:rsidR="009A0F25" w:rsidRPr="00AB4289" w:rsidRDefault="009A0F25" w:rsidP="00B40BE5">
            <w:pPr>
              <w:pStyle w:val="NormalWeb"/>
              <w:spacing w:before="0" w:beforeAutospacing="0" w:after="0" w:afterAutospacing="0"/>
              <w:ind w:left="144"/>
              <w:jc w:val="both"/>
              <w:rPr>
                <w:sz w:val="22"/>
                <w:szCs w:val="22"/>
                <w:lang w:val="es-ES_tradnl"/>
              </w:rPr>
            </w:pPr>
            <w:r w:rsidRPr="00AB4289">
              <w:rPr>
                <w:sz w:val="22"/>
                <w:szCs w:val="22"/>
                <w:lang w:val="es-ES_tradnl"/>
              </w:rPr>
              <w:t>Según el artículo 19 de la Ley 1712 de 2014, para que una información pública pueda ser reservada, debe estar relacionada con temas de trascendencia nacional como seguridad nacional o salud pública y debe existir una prohibición expresa</w:t>
            </w:r>
            <w:r w:rsidR="009B203C" w:rsidRPr="00AB4289">
              <w:rPr>
                <w:sz w:val="22"/>
                <w:szCs w:val="22"/>
                <w:lang w:val="es-ES_tradnl"/>
              </w:rPr>
              <w:t xml:space="preserve"> de divulgarla que esté</w:t>
            </w:r>
            <w:r w:rsidRPr="00AB4289">
              <w:rPr>
                <w:sz w:val="22"/>
                <w:szCs w:val="22"/>
                <w:lang w:val="es-ES_tradnl"/>
              </w:rPr>
              <w:t xml:space="preserve"> establecida </w:t>
            </w:r>
            <w:r w:rsidR="009B203C" w:rsidRPr="00AB4289">
              <w:rPr>
                <w:sz w:val="22"/>
                <w:szCs w:val="22"/>
                <w:lang w:val="es-ES_tradnl"/>
              </w:rPr>
              <w:t>en</w:t>
            </w:r>
            <w:r w:rsidRPr="00AB4289">
              <w:rPr>
                <w:sz w:val="22"/>
                <w:szCs w:val="22"/>
                <w:lang w:val="es-ES_tradnl"/>
              </w:rPr>
              <w:t xml:space="preserve"> una norma legal o constitucional.</w:t>
            </w:r>
          </w:p>
          <w:p w14:paraId="1DBE8406" w14:textId="77777777" w:rsidR="009A0F25" w:rsidRPr="00AB4289" w:rsidRDefault="009A0F25" w:rsidP="00B40BE5">
            <w:pPr>
              <w:pStyle w:val="NormalWeb"/>
              <w:spacing w:before="0" w:beforeAutospacing="0" w:after="0" w:afterAutospacing="0"/>
              <w:jc w:val="both"/>
              <w:rPr>
                <w:sz w:val="22"/>
                <w:szCs w:val="22"/>
                <w:lang w:val="es-ES_tradnl"/>
              </w:rPr>
            </w:pPr>
          </w:p>
        </w:tc>
      </w:tr>
    </w:tbl>
    <w:p w14:paraId="60851771" w14:textId="1C0204DD" w:rsidR="009A0F25" w:rsidRPr="00AB4289" w:rsidRDefault="00B12DD9" w:rsidP="00B40BE5">
      <w:pPr>
        <w:pStyle w:val="NormalWeb"/>
        <w:spacing w:before="0" w:beforeAutospacing="0" w:after="0" w:afterAutospacing="0"/>
        <w:jc w:val="both"/>
        <w:rPr>
          <w:sz w:val="22"/>
          <w:szCs w:val="22"/>
          <w:lang w:val="es-ES_tradnl"/>
        </w:rPr>
      </w:pPr>
      <w:r w:rsidRPr="00AB4289">
        <w:rPr>
          <w:sz w:val="22"/>
          <w:szCs w:val="22"/>
          <w:lang w:val="es-ES_tradnl"/>
        </w:rPr>
        <w:t>Fuente: elaboración propia de</w:t>
      </w:r>
      <w:r w:rsidR="00614CE7">
        <w:rPr>
          <w:sz w:val="22"/>
          <w:szCs w:val="22"/>
          <w:lang w:val="es-ES_tradnl"/>
        </w:rPr>
        <w:t xml:space="preserve"> la Corte Constitucional.</w:t>
      </w:r>
    </w:p>
    <w:p w14:paraId="4A064B36" w14:textId="77777777" w:rsidR="00B12DD9" w:rsidRPr="00AB4289" w:rsidRDefault="00B12DD9" w:rsidP="00B40BE5">
      <w:pPr>
        <w:pStyle w:val="NormalWeb"/>
        <w:spacing w:before="0" w:beforeAutospacing="0" w:after="0" w:afterAutospacing="0"/>
        <w:jc w:val="both"/>
        <w:rPr>
          <w:sz w:val="22"/>
          <w:szCs w:val="22"/>
          <w:lang w:val="es-ES_tradnl"/>
        </w:rPr>
      </w:pPr>
    </w:p>
    <w:p w14:paraId="7864F62B" w14:textId="77777777" w:rsidR="009D5778" w:rsidRPr="00AB4289" w:rsidRDefault="009A0F25" w:rsidP="00B40BE5">
      <w:pPr>
        <w:pStyle w:val="NormalWeb"/>
        <w:numPr>
          <w:ilvl w:val="0"/>
          <w:numId w:val="2"/>
        </w:numPr>
        <w:spacing w:before="0" w:beforeAutospacing="0" w:after="0" w:afterAutospacing="0"/>
        <w:ind w:left="0" w:firstLine="0"/>
        <w:jc w:val="both"/>
        <w:rPr>
          <w:sz w:val="28"/>
          <w:szCs w:val="28"/>
          <w:lang w:val="es-ES_tradnl"/>
        </w:rPr>
      </w:pPr>
      <w:r w:rsidRPr="00AB4289">
        <w:rPr>
          <w:sz w:val="28"/>
          <w:szCs w:val="28"/>
          <w:lang w:val="es-ES_tradnl"/>
        </w:rPr>
        <w:t xml:space="preserve">Es importante destacar que </w:t>
      </w:r>
      <w:r w:rsidR="00ED364C" w:rsidRPr="00AB4289">
        <w:rPr>
          <w:sz w:val="28"/>
          <w:szCs w:val="28"/>
          <w:lang w:val="es-ES_tradnl"/>
        </w:rPr>
        <w:t>la Ley 1712 de 2014 establec</w:t>
      </w:r>
      <w:r w:rsidR="003E510B" w:rsidRPr="00AB4289">
        <w:rPr>
          <w:sz w:val="28"/>
          <w:szCs w:val="28"/>
          <w:lang w:val="es-ES_tradnl"/>
        </w:rPr>
        <w:t>ió</w:t>
      </w:r>
      <w:r w:rsidR="00ED364C" w:rsidRPr="00AB4289">
        <w:rPr>
          <w:sz w:val="28"/>
          <w:szCs w:val="28"/>
          <w:lang w:val="es-ES_tradnl"/>
        </w:rPr>
        <w:t xml:space="preserve"> que la información pública clasificada -es decir, aquella que, aunque está custodiada por los sujetos obligados, está relacionada con la vida de alguien en particular-</w:t>
      </w:r>
      <w:r w:rsidR="002647B5" w:rsidRPr="00AB4289">
        <w:rPr>
          <w:sz w:val="28"/>
          <w:szCs w:val="28"/>
          <w:lang w:val="es-ES_tradnl"/>
        </w:rPr>
        <w:t xml:space="preserve"> </w:t>
      </w:r>
      <w:r w:rsidR="001315F4" w:rsidRPr="00AB4289">
        <w:rPr>
          <w:sz w:val="28"/>
          <w:szCs w:val="28"/>
          <w:lang w:val="es-ES_tradnl"/>
        </w:rPr>
        <w:t>incluye datos de carácter privado y semiprivado</w:t>
      </w:r>
      <w:r w:rsidR="00FE240C" w:rsidRPr="00AB4289">
        <w:rPr>
          <w:sz w:val="28"/>
          <w:szCs w:val="28"/>
          <w:lang w:val="es-ES_tradnl"/>
        </w:rPr>
        <w:t xml:space="preserve">. </w:t>
      </w:r>
      <w:r w:rsidR="00782A9E" w:rsidRPr="00AB4289">
        <w:rPr>
          <w:sz w:val="28"/>
          <w:szCs w:val="28"/>
          <w:lang w:val="es-ES_tradnl"/>
        </w:rPr>
        <w:t xml:space="preserve">Del mismo modo, la Corte Constitucional señaló, en la sentencia C-274 de 2013 que hizo el análisis integral de constitucionalidad de la Ley 1712 de 2014, que “dentro de la </w:t>
      </w:r>
      <w:r w:rsidR="00782A9E" w:rsidRPr="00AB4289">
        <w:rPr>
          <w:sz w:val="28"/>
          <w:szCs w:val="28"/>
          <w:lang w:val="es-ES_tradnl"/>
        </w:rPr>
        <w:lastRenderedPageBreak/>
        <w:t>categoría de información pública clasificada quedarían todos los datos privados, semiprivados o sensibles”</w:t>
      </w:r>
      <w:r w:rsidR="00A645CA" w:rsidRPr="00AB4289">
        <w:rPr>
          <w:rStyle w:val="Refdenotaalpie"/>
          <w:rFonts w:cs="Times New Roman"/>
          <w:sz w:val="28"/>
          <w:szCs w:val="28"/>
          <w:lang w:val="es-ES_tradnl"/>
        </w:rPr>
        <w:footnoteReference w:id="56"/>
      </w:r>
      <w:r w:rsidR="00782A9E" w:rsidRPr="00AB4289">
        <w:rPr>
          <w:sz w:val="28"/>
          <w:szCs w:val="28"/>
          <w:lang w:val="es-ES_tradnl"/>
        </w:rPr>
        <w:t>.</w:t>
      </w:r>
      <w:r w:rsidR="00F5142F" w:rsidRPr="00AB4289">
        <w:rPr>
          <w:sz w:val="28"/>
          <w:szCs w:val="28"/>
          <w:lang w:val="es-ES_tradnl"/>
        </w:rPr>
        <w:t xml:space="preserve"> </w:t>
      </w:r>
    </w:p>
    <w:p w14:paraId="6EA3864C" w14:textId="77777777" w:rsidR="009D5778" w:rsidRPr="00AB4289" w:rsidRDefault="009D5778" w:rsidP="00B40BE5">
      <w:pPr>
        <w:pStyle w:val="NormalWeb"/>
        <w:spacing w:before="0" w:beforeAutospacing="0" w:after="0" w:afterAutospacing="0"/>
        <w:jc w:val="both"/>
        <w:rPr>
          <w:sz w:val="28"/>
          <w:szCs w:val="28"/>
          <w:lang w:val="es-ES_tradnl"/>
        </w:rPr>
      </w:pPr>
    </w:p>
    <w:p w14:paraId="0D856B44" w14:textId="1B8523A3" w:rsidR="00B529DC" w:rsidRPr="00AB4289" w:rsidRDefault="00F5142F" w:rsidP="00B40BE5">
      <w:pPr>
        <w:pStyle w:val="NormalWeb"/>
        <w:numPr>
          <w:ilvl w:val="0"/>
          <w:numId w:val="2"/>
        </w:numPr>
        <w:spacing w:before="0" w:beforeAutospacing="0" w:after="0" w:afterAutospacing="0"/>
        <w:ind w:left="0" w:firstLine="0"/>
        <w:jc w:val="both"/>
        <w:rPr>
          <w:sz w:val="28"/>
          <w:szCs w:val="28"/>
          <w:lang w:val="es-ES_tradnl"/>
        </w:rPr>
      </w:pPr>
      <w:r w:rsidRPr="00AB4289">
        <w:rPr>
          <w:sz w:val="28"/>
          <w:szCs w:val="28"/>
          <w:lang w:val="es-ES_tradnl"/>
        </w:rPr>
        <w:t>Es decir, el régimen de información pública está ligado estrechamente al régimen de datos</w:t>
      </w:r>
      <w:r w:rsidR="009D5778" w:rsidRPr="00AB4289">
        <w:rPr>
          <w:sz w:val="28"/>
          <w:szCs w:val="28"/>
          <w:lang w:val="es-ES_tradnl"/>
        </w:rPr>
        <w:t xml:space="preserve"> personales</w:t>
      </w:r>
      <w:r w:rsidRPr="00AB4289">
        <w:rPr>
          <w:sz w:val="28"/>
          <w:szCs w:val="28"/>
          <w:lang w:val="es-ES_tradnl"/>
        </w:rPr>
        <w:t xml:space="preserve">, pues muchos conceptos de </w:t>
      </w:r>
      <w:r w:rsidR="009D5778" w:rsidRPr="00AB4289">
        <w:rPr>
          <w:sz w:val="28"/>
          <w:szCs w:val="28"/>
          <w:lang w:val="es-ES_tradnl"/>
        </w:rPr>
        <w:t>é</w:t>
      </w:r>
      <w:r w:rsidRPr="00AB4289">
        <w:rPr>
          <w:sz w:val="28"/>
          <w:szCs w:val="28"/>
          <w:lang w:val="es-ES_tradnl"/>
        </w:rPr>
        <w:t>ste delimitan y explican los alcances de aquél.</w:t>
      </w:r>
      <w:r w:rsidR="009D5778" w:rsidRPr="00AB4289">
        <w:rPr>
          <w:sz w:val="28"/>
          <w:szCs w:val="28"/>
          <w:lang w:val="es-ES_tradnl"/>
        </w:rPr>
        <w:t xml:space="preserve"> </w:t>
      </w:r>
      <w:r w:rsidR="008C286E" w:rsidRPr="00AB4289">
        <w:rPr>
          <w:color w:val="2D2D2D"/>
          <w:sz w:val="27"/>
          <w:szCs w:val="27"/>
          <w:lang w:val="es-ES"/>
        </w:rPr>
        <w:t>De modo que, para poder entender</w:t>
      </w:r>
      <w:r w:rsidR="00A645CA" w:rsidRPr="00AB4289">
        <w:rPr>
          <w:color w:val="2D2D2D"/>
          <w:sz w:val="27"/>
          <w:szCs w:val="27"/>
          <w:lang w:val="es-ES"/>
        </w:rPr>
        <w:t xml:space="preserve"> </w:t>
      </w:r>
      <w:r w:rsidRPr="00AB4289">
        <w:rPr>
          <w:color w:val="2D2D2D"/>
          <w:sz w:val="27"/>
          <w:szCs w:val="27"/>
          <w:lang w:val="es-ES"/>
        </w:rPr>
        <w:t>el régimen de acceso a</w:t>
      </w:r>
      <w:r w:rsidR="00A645CA" w:rsidRPr="00AB4289">
        <w:rPr>
          <w:color w:val="2D2D2D"/>
          <w:sz w:val="27"/>
          <w:szCs w:val="27"/>
          <w:lang w:val="es-ES"/>
        </w:rPr>
        <w:t xml:space="preserve"> l</w:t>
      </w:r>
      <w:r w:rsidR="009D5778" w:rsidRPr="00AB4289">
        <w:rPr>
          <w:color w:val="2D2D2D"/>
          <w:sz w:val="27"/>
          <w:szCs w:val="27"/>
          <w:lang w:val="es-ES"/>
        </w:rPr>
        <w:t>a</w:t>
      </w:r>
      <w:r w:rsidR="00A645CA" w:rsidRPr="00AB4289">
        <w:rPr>
          <w:color w:val="2D2D2D"/>
          <w:sz w:val="27"/>
          <w:szCs w:val="27"/>
          <w:lang w:val="es-ES"/>
        </w:rPr>
        <w:t xml:space="preserve"> información pública</w:t>
      </w:r>
      <w:r w:rsidRPr="00AB4289">
        <w:rPr>
          <w:color w:val="2D2D2D"/>
          <w:sz w:val="27"/>
          <w:szCs w:val="27"/>
          <w:lang w:val="es-ES"/>
        </w:rPr>
        <w:t>, sus categorías y</w:t>
      </w:r>
      <w:r w:rsidR="00124116" w:rsidRPr="00AB4289">
        <w:rPr>
          <w:color w:val="2D2D2D"/>
          <w:sz w:val="27"/>
          <w:szCs w:val="27"/>
          <w:lang w:val="es-ES"/>
        </w:rPr>
        <w:t xml:space="preserve"> límites </w:t>
      </w:r>
      <w:r w:rsidR="00FE240C" w:rsidRPr="00AB4289">
        <w:rPr>
          <w:color w:val="2D2D2D"/>
          <w:sz w:val="27"/>
          <w:szCs w:val="27"/>
          <w:lang w:val="es-ES"/>
        </w:rPr>
        <w:t>es importante</w:t>
      </w:r>
      <w:r w:rsidRPr="00AB4289">
        <w:rPr>
          <w:color w:val="2D2D2D"/>
          <w:sz w:val="27"/>
          <w:szCs w:val="27"/>
          <w:lang w:val="es-ES"/>
        </w:rPr>
        <w:t xml:space="preserve"> también</w:t>
      </w:r>
      <w:r w:rsidR="00FE240C" w:rsidRPr="00AB4289">
        <w:rPr>
          <w:color w:val="2D2D2D"/>
          <w:sz w:val="27"/>
          <w:szCs w:val="27"/>
          <w:lang w:val="es-ES"/>
        </w:rPr>
        <w:t xml:space="preserve"> </w:t>
      </w:r>
      <w:r w:rsidR="00D90177" w:rsidRPr="00AB4289">
        <w:rPr>
          <w:color w:val="2D2D2D"/>
          <w:sz w:val="27"/>
          <w:szCs w:val="27"/>
          <w:lang w:val="es-ES"/>
        </w:rPr>
        <w:t xml:space="preserve">conocer </w:t>
      </w:r>
      <w:r w:rsidR="005555A8" w:rsidRPr="00AB4289">
        <w:rPr>
          <w:color w:val="2D2D2D"/>
          <w:sz w:val="27"/>
          <w:szCs w:val="27"/>
          <w:lang w:val="es-ES"/>
        </w:rPr>
        <w:t>el</w:t>
      </w:r>
      <w:r w:rsidR="00124116" w:rsidRPr="00AB4289">
        <w:rPr>
          <w:color w:val="2D2D2D"/>
          <w:sz w:val="27"/>
          <w:szCs w:val="27"/>
          <w:lang w:val="es-ES"/>
        </w:rPr>
        <w:t xml:space="preserve"> contenido</w:t>
      </w:r>
      <w:r w:rsidR="005555A8" w:rsidRPr="00AB4289">
        <w:rPr>
          <w:color w:val="2D2D2D"/>
          <w:sz w:val="27"/>
          <w:szCs w:val="27"/>
          <w:lang w:val="es-ES"/>
        </w:rPr>
        <w:t xml:space="preserve"> de los derechos fundamentales </w:t>
      </w:r>
      <w:r w:rsidR="003159B1" w:rsidRPr="00AB4289">
        <w:rPr>
          <w:color w:val="2D2D2D"/>
          <w:sz w:val="27"/>
          <w:szCs w:val="27"/>
          <w:lang w:val="es-ES"/>
        </w:rPr>
        <w:t>al</w:t>
      </w:r>
      <w:r w:rsidR="005555A8" w:rsidRPr="00AB4289">
        <w:rPr>
          <w:color w:val="2D2D2D"/>
          <w:sz w:val="27"/>
          <w:szCs w:val="27"/>
          <w:lang w:val="es-ES"/>
        </w:rPr>
        <w:t xml:space="preserve"> hábeas data </w:t>
      </w:r>
      <w:r w:rsidR="003159B1" w:rsidRPr="00AB4289">
        <w:rPr>
          <w:color w:val="2D2D2D"/>
          <w:sz w:val="27"/>
          <w:szCs w:val="27"/>
          <w:lang w:val="es-ES"/>
        </w:rPr>
        <w:t>y a la</w:t>
      </w:r>
      <w:r w:rsidR="005555A8" w:rsidRPr="00AB4289">
        <w:rPr>
          <w:color w:val="2D2D2D"/>
          <w:sz w:val="27"/>
          <w:szCs w:val="27"/>
          <w:lang w:val="es-ES"/>
        </w:rPr>
        <w:t xml:space="preserve"> intimidad.</w:t>
      </w:r>
    </w:p>
    <w:p w14:paraId="5270CD25" w14:textId="77777777" w:rsidR="00B529DC" w:rsidRPr="00AB4289" w:rsidRDefault="00B529DC" w:rsidP="00B40BE5">
      <w:pPr>
        <w:pStyle w:val="Prrafodelista"/>
        <w:jc w:val="both"/>
        <w:rPr>
          <w:color w:val="2D2D2D"/>
          <w:sz w:val="27"/>
          <w:szCs w:val="27"/>
          <w:lang w:val="es-ES"/>
        </w:rPr>
      </w:pPr>
    </w:p>
    <w:p w14:paraId="0AB17076" w14:textId="74A67FCF" w:rsidR="00B529DC" w:rsidRPr="00AB4289" w:rsidRDefault="00B529DC" w:rsidP="00B40BE5">
      <w:pPr>
        <w:pStyle w:val="NormalWeb"/>
        <w:numPr>
          <w:ilvl w:val="0"/>
          <w:numId w:val="2"/>
        </w:numPr>
        <w:spacing w:before="0" w:beforeAutospacing="0" w:after="0" w:afterAutospacing="0"/>
        <w:ind w:left="0" w:firstLine="0"/>
        <w:jc w:val="both"/>
        <w:rPr>
          <w:sz w:val="28"/>
          <w:szCs w:val="28"/>
          <w:lang w:val="es-ES_tradnl"/>
        </w:rPr>
      </w:pPr>
      <w:r w:rsidRPr="00AB4289">
        <w:rPr>
          <w:color w:val="2D2D2D"/>
          <w:sz w:val="27"/>
          <w:szCs w:val="27"/>
          <w:lang w:val="es-ES"/>
        </w:rPr>
        <w:t xml:space="preserve">El artículo 15 de la Constitución </w:t>
      </w:r>
      <w:r w:rsidR="00540A0A" w:rsidRPr="00AB4289">
        <w:rPr>
          <w:color w:val="2D2D2D"/>
          <w:sz w:val="27"/>
          <w:szCs w:val="27"/>
          <w:lang w:val="es-ES"/>
        </w:rPr>
        <w:t>consagra estos derechos</w:t>
      </w:r>
      <w:r w:rsidRPr="00AB4289">
        <w:rPr>
          <w:color w:val="2D2D2D"/>
          <w:sz w:val="27"/>
          <w:szCs w:val="27"/>
          <w:lang w:val="es-ES"/>
        </w:rPr>
        <w:t xml:space="preserve">. </w:t>
      </w:r>
      <w:r w:rsidR="003159B1" w:rsidRPr="00AB4289">
        <w:rPr>
          <w:color w:val="2D2D2D"/>
          <w:sz w:val="27"/>
          <w:szCs w:val="27"/>
          <w:lang w:val="es-ES"/>
        </w:rPr>
        <w:t>L</w:t>
      </w:r>
      <w:r w:rsidRPr="00AB4289">
        <w:rPr>
          <w:color w:val="2D2D2D"/>
          <w:sz w:val="27"/>
          <w:szCs w:val="27"/>
          <w:lang w:val="es-ES"/>
        </w:rPr>
        <w:t xml:space="preserve">a Corte Constitucional ha precisado que </w:t>
      </w:r>
      <w:r w:rsidR="003159B1" w:rsidRPr="00AB4289">
        <w:rPr>
          <w:color w:val="2D2D2D"/>
          <w:sz w:val="27"/>
          <w:szCs w:val="27"/>
          <w:lang w:val="es-ES"/>
        </w:rPr>
        <w:t xml:space="preserve">el derecho a la intimidad </w:t>
      </w:r>
      <w:r w:rsidRPr="00AB4289">
        <w:rPr>
          <w:color w:val="2D2D2D"/>
          <w:sz w:val="27"/>
          <w:szCs w:val="27"/>
          <w:lang w:val="es-ES"/>
        </w:rPr>
        <w:t>protege múltiples dimensiones de la vida personal, que van desde la proyección de la propia imagen hasta la reserva de espacios privados</w:t>
      </w:r>
      <w:r w:rsidR="000D37ED" w:rsidRPr="00AB4289">
        <w:rPr>
          <w:rStyle w:val="Refdenotaalpie"/>
          <w:rFonts w:cs="Times New Roman"/>
          <w:color w:val="2D2D2D"/>
          <w:sz w:val="27"/>
          <w:szCs w:val="27"/>
          <w:lang w:val="es-ES"/>
        </w:rPr>
        <w:footnoteReference w:id="57"/>
      </w:r>
      <w:r w:rsidRPr="00AB4289">
        <w:rPr>
          <w:color w:val="2D2D2D"/>
          <w:sz w:val="27"/>
          <w:szCs w:val="27"/>
          <w:lang w:val="es-ES"/>
        </w:rPr>
        <w:t xml:space="preserve">. Este derecho garantiza una esfera </w:t>
      </w:r>
      <w:r w:rsidR="000D37ED" w:rsidRPr="00AB4289">
        <w:rPr>
          <w:color w:val="2D2D2D"/>
          <w:sz w:val="27"/>
          <w:szCs w:val="27"/>
          <w:lang w:val="es-ES"/>
        </w:rPr>
        <w:t xml:space="preserve">individual </w:t>
      </w:r>
      <w:r w:rsidRPr="00AB4289">
        <w:rPr>
          <w:color w:val="2D2D2D"/>
          <w:sz w:val="27"/>
          <w:szCs w:val="27"/>
          <w:lang w:val="es-ES"/>
        </w:rPr>
        <w:t>de privacidad en la vida personal y familiar, y en su dimensión relacional asegura un ámbito libre de injerencias estatales o sociales que permita el pleno desarrollo individual</w:t>
      </w:r>
      <w:r w:rsidR="000D37ED" w:rsidRPr="00AB4289">
        <w:rPr>
          <w:rStyle w:val="Refdenotaalpie"/>
          <w:rFonts w:cs="Times New Roman"/>
          <w:color w:val="2D2D2D"/>
          <w:sz w:val="27"/>
          <w:szCs w:val="27"/>
          <w:lang w:val="es-ES"/>
        </w:rPr>
        <w:footnoteReference w:id="58"/>
      </w:r>
      <w:r w:rsidRPr="00AB4289">
        <w:rPr>
          <w:color w:val="2D2D2D"/>
          <w:sz w:val="27"/>
          <w:szCs w:val="27"/>
          <w:lang w:val="es-ES"/>
        </w:rPr>
        <w:t>.</w:t>
      </w:r>
    </w:p>
    <w:p w14:paraId="543412A4" w14:textId="77777777" w:rsidR="00B529DC" w:rsidRPr="00AB4289" w:rsidRDefault="00B529DC" w:rsidP="00B40BE5">
      <w:pPr>
        <w:pStyle w:val="Prrafodelista"/>
        <w:jc w:val="both"/>
        <w:rPr>
          <w:color w:val="2D2D2D"/>
          <w:sz w:val="27"/>
          <w:szCs w:val="27"/>
          <w:lang w:val="es-ES"/>
        </w:rPr>
      </w:pPr>
    </w:p>
    <w:p w14:paraId="70B0692E" w14:textId="4ECD88A8" w:rsidR="00B529DC" w:rsidRPr="00AB4289" w:rsidRDefault="00B529DC" w:rsidP="00B40BE5">
      <w:pPr>
        <w:pStyle w:val="NormalWeb"/>
        <w:numPr>
          <w:ilvl w:val="0"/>
          <w:numId w:val="2"/>
        </w:numPr>
        <w:spacing w:before="0" w:beforeAutospacing="0" w:after="0" w:afterAutospacing="0"/>
        <w:ind w:left="0" w:firstLine="0"/>
        <w:jc w:val="both"/>
        <w:rPr>
          <w:sz w:val="28"/>
          <w:szCs w:val="28"/>
          <w:lang w:val="es-ES_tradnl"/>
        </w:rPr>
      </w:pPr>
      <w:r w:rsidRPr="00AB4289">
        <w:rPr>
          <w:color w:val="2D2D2D"/>
          <w:sz w:val="27"/>
          <w:szCs w:val="27"/>
          <w:lang w:val="es-ES"/>
        </w:rPr>
        <w:t xml:space="preserve"> La jurisprudencia ha identificado tres entornos en los que se despliega la intimidad</w:t>
      </w:r>
      <w:r w:rsidR="000D37ED" w:rsidRPr="00AB4289">
        <w:rPr>
          <w:rStyle w:val="Refdenotaalpie"/>
          <w:rFonts w:cs="Times New Roman"/>
          <w:color w:val="2D2D2D"/>
          <w:sz w:val="27"/>
          <w:szCs w:val="27"/>
          <w:lang w:val="es-ES"/>
        </w:rPr>
        <w:footnoteReference w:id="59"/>
      </w:r>
      <w:r w:rsidRPr="00AB4289">
        <w:rPr>
          <w:color w:val="2D2D2D"/>
          <w:sz w:val="27"/>
          <w:szCs w:val="27"/>
          <w:lang w:val="es-ES"/>
        </w:rPr>
        <w:t>: (i) la esfera íntima, que comprende los pensamientos y sentimientos más personales (como diarios o cartas privadas) y goza de una protección casi absoluta; (</w:t>
      </w:r>
      <w:proofErr w:type="spellStart"/>
      <w:r w:rsidRPr="00AB4289">
        <w:rPr>
          <w:color w:val="2D2D2D"/>
          <w:sz w:val="27"/>
          <w:szCs w:val="27"/>
          <w:lang w:val="es-ES"/>
        </w:rPr>
        <w:t>ii</w:t>
      </w:r>
      <w:proofErr w:type="spellEnd"/>
      <w:r w:rsidRPr="00AB4289">
        <w:rPr>
          <w:color w:val="2D2D2D"/>
          <w:sz w:val="27"/>
          <w:szCs w:val="27"/>
          <w:lang w:val="es-ES"/>
        </w:rPr>
        <w:t>) la esfera personal, que corresponde a espacios como el domicilio o el ámbito familiar, fuertemente protegidos aunque con posibilidad de injerencias legítimas; y (</w:t>
      </w:r>
      <w:proofErr w:type="spellStart"/>
      <w:r w:rsidRPr="00AB4289">
        <w:rPr>
          <w:color w:val="2D2D2D"/>
          <w:sz w:val="27"/>
          <w:szCs w:val="27"/>
          <w:lang w:val="es-ES"/>
        </w:rPr>
        <w:t>iii</w:t>
      </w:r>
      <w:proofErr w:type="spellEnd"/>
      <w:r w:rsidRPr="00AB4289">
        <w:rPr>
          <w:color w:val="2D2D2D"/>
          <w:sz w:val="27"/>
          <w:szCs w:val="27"/>
          <w:lang w:val="es-ES"/>
        </w:rPr>
        <w:t>) la esfera social, vinculada a la vida laboral y pública, que cuenta con una protección menor, pero no inexistente.</w:t>
      </w:r>
    </w:p>
    <w:p w14:paraId="3AC000FF" w14:textId="77777777" w:rsidR="00B529DC" w:rsidRPr="00AB4289" w:rsidRDefault="00B529DC" w:rsidP="00B40BE5">
      <w:pPr>
        <w:pStyle w:val="Prrafodelista"/>
        <w:jc w:val="both"/>
        <w:rPr>
          <w:color w:val="2D2D2D"/>
          <w:sz w:val="27"/>
          <w:szCs w:val="27"/>
          <w:lang w:val="es-ES"/>
        </w:rPr>
      </w:pPr>
    </w:p>
    <w:p w14:paraId="1524CF4C" w14:textId="3976AD78" w:rsidR="00B529DC" w:rsidRPr="00AB4289" w:rsidRDefault="00B529DC" w:rsidP="00B40BE5">
      <w:pPr>
        <w:pStyle w:val="NormalWeb"/>
        <w:numPr>
          <w:ilvl w:val="0"/>
          <w:numId w:val="2"/>
        </w:numPr>
        <w:spacing w:before="0" w:beforeAutospacing="0" w:after="0" w:afterAutospacing="0"/>
        <w:ind w:left="0" w:firstLine="0"/>
        <w:jc w:val="both"/>
        <w:rPr>
          <w:sz w:val="28"/>
          <w:szCs w:val="28"/>
          <w:lang w:val="es-ES_tradnl"/>
        </w:rPr>
      </w:pPr>
      <w:r w:rsidRPr="00AB4289">
        <w:rPr>
          <w:color w:val="2D2D2D"/>
          <w:sz w:val="27"/>
          <w:szCs w:val="27"/>
          <w:lang w:val="es-ES"/>
        </w:rPr>
        <w:t>El derecho al hábeas data, por su parte, se relaciona con la autodeterminación informativa. Reconoce a las personas la facultad de conocer, actualizar y rectificar la información que sobre ellas se encuentre registrada en bancos de datos o archivos de entidades públicas y privadas</w:t>
      </w:r>
      <w:r w:rsidR="000D37ED" w:rsidRPr="00AB4289">
        <w:rPr>
          <w:rStyle w:val="Refdenotaalpie"/>
          <w:rFonts w:cs="Times New Roman"/>
          <w:color w:val="2D2D2D"/>
          <w:sz w:val="27"/>
          <w:szCs w:val="27"/>
          <w:lang w:val="es-ES"/>
        </w:rPr>
        <w:footnoteReference w:id="60"/>
      </w:r>
      <w:r w:rsidRPr="00AB4289">
        <w:rPr>
          <w:color w:val="2D2D2D"/>
          <w:sz w:val="27"/>
          <w:szCs w:val="27"/>
          <w:lang w:val="es-ES"/>
        </w:rPr>
        <w:t>. En ejercicio de la cláusula general de libertad, este derecho confiere al individuo el control sobre los datos personales que han sido recopilados por centrales de información</w:t>
      </w:r>
      <w:r w:rsidR="000D37ED" w:rsidRPr="00AB4289">
        <w:rPr>
          <w:rStyle w:val="Refdenotaalpie"/>
          <w:rFonts w:cs="Times New Roman"/>
          <w:color w:val="2D2D2D"/>
          <w:sz w:val="27"/>
          <w:szCs w:val="27"/>
          <w:lang w:val="es-ES"/>
        </w:rPr>
        <w:footnoteReference w:id="61"/>
      </w:r>
      <w:r w:rsidRPr="00AB4289">
        <w:rPr>
          <w:color w:val="2D2D2D"/>
          <w:sz w:val="27"/>
          <w:szCs w:val="27"/>
          <w:lang w:val="es-ES"/>
        </w:rPr>
        <w:t>.</w:t>
      </w:r>
    </w:p>
    <w:p w14:paraId="40314630" w14:textId="77777777" w:rsidR="00B529DC" w:rsidRPr="00AB4289" w:rsidRDefault="00B529DC" w:rsidP="00B40BE5">
      <w:pPr>
        <w:pStyle w:val="Prrafodelista"/>
        <w:jc w:val="both"/>
        <w:rPr>
          <w:color w:val="2D2D2D"/>
          <w:sz w:val="27"/>
          <w:szCs w:val="27"/>
          <w:lang w:val="es-ES"/>
        </w:rPr>
      </w:pPr>
    </w:p>
    <w:p w14:paraId="6BE9BC10" w14:textId="2BDA1198" w:rsidR="00ED364C" w:rsidRPr="00AB4289" w:rsidRDefault="00B529DC" w:rsidP="00B40BE5">
      <w:pPr>
        <w:pStyle w:val="NormalWeb"/>
        <w:numPr>
          <w:ilvl w:val="0"/>
          <w:numId w:val="2"/>
        </w:numPr>
        <w:spacing w:before="0" w:beforeAutospacing="0" w:after="0" w:afterAutospacing="0"/>
        <w:ind w:left="0" w:firstLine="0"/>
        <w:jc w:val="both"/>
        <w:rPr>
          <w:color w:val="2D2D2D"/>
          <w:sz w:val="27"/>
          <w:szCs w:val="27"/>
          <w:lang w:val="es-ES"/>
        </w:rPr>
      </w:pPr>
      <w:r w:rsidRPr="00AB4289">
        <w:rPr>
          <w:color w:val="2D2D2D"/>
          <w:sz w:val="27"/>
          <w:szCs w:val="27"/>
          <w:lang w:val="es-ES"/>
        </w:rPr>
        <w:lastRenderedPageBreak/>
        <w:t xml:space="preserve"> En el ordenamiento jurídico colombiano coexisten dos regímenes legales de hábeas data: la Ley Estatutaria 1266 de 2008</w:t>
      </w:r>
      <w:r w:rsidR="00504010" w:rsidRPr="00AB4289">
        <w:rPr>
          <w:rStyle w:val="Refdenotaalpie"/>
          <w:rFonts w:cs="Times New Roman"/>
          <w:color w:val="2D2D2D"/>
          <w:sz w:val="27"/>
          <w:szCs w:val="27"/>
          <w:lang w:val="es-ES"/>
        </w:rPr>
        <w:footnoteReference w:id="62"/>
      </w:r>
      <w:r w:rsidRPr="00AB4289">
        <w:rPr>
          <w:color w:val="2D2D2D"/>
          <w:sz w:val="27"/>
          <w:szCs w:val="27"/>
          <w:lang w:val="es-ES"/>
        </w:rPr>
        <w:t>, y la Ley Estatutaria 1581 de 2012</w:t>
      </w:r>
      <w:r w:rsidR="00504010" w:rsidRPr="00AB4289">
        <w:rPr>
          <w:rStyle w:val="Refdenotaalpie"/>
          <w:rFonts w:cs="Times New Roman"/>
          <w:color w:val="2D2D2D"/>
          <w:sz w:val="27"/>
          <w:szCs w:val="27"/>
          <w:lang w:val="es-ES"/>
        </w:rPr>
        <w:footnoteReference w:id="63"/>
      </w:r>
      <w:r w:rsidRPr="00AB4289">
        <w:rPr>
          <w:color w:val="2D2D2D"/>
          <w:sz w:val="27"/>
          <w:szCs w:val="27"/>
          <w:lang w:val="es-ES"/>
        </w:rPr>
        <w:t xml:space="preserve">. </w:t>
      </w:r>
      <w:r w:rsidRPr="00AB4289">
        <w:rPr>
          <w:sz w:val="28"/>
          <w:szCs w:val="28"/>
          <w:lang w:val="es-ES_tradnl"/>
        </w:rPr>
        <w:t>A</w:t>
      </w:r>
      <w:r w:rsidR="003E510B" w:rsidRPr="00AB4289">
        <w:rPr>
          <w:sz w:val="28"/>
          <w:szCs w:val="28"/>
          <w:lang w:val="es-ES_tradnl"/>
        </w:rPr>
        <w:t xml:space="preserve"> </w:t>
      </w:r>
      <w:r w:rsidR="00F5717F" w:rsidRPr="00AB4289">
        <w:rPr>
          <w:sz w:val="28"/>
          <w:szCs w:val="28"/>
          <w:lang w:val="es-ES_tradnl"/>
        </w:rPr>
        <w:t>continuación,</w:t>
      </w:r>
      <w:r w:rsidR="00D90177" w:rsidRPr="00AB4289">
        <w:rPr>
          <w:sz w:val="28"/>
          <w:szCs w:val="28"/>
          <w:lang w:val="es-ES_tradnl"/>
        </w:rPr>
        <w:t xml:space="preserve"> </w:t>
      </w:r>
      <w:r w:rsidR="00ED364C" w:rsidRPr="00AB4289">
        <w:rPr>
          <w:sz w:val="28"/>
          <w:szCs w:val="28"/>
          <w:lang w:val="es-ES_tradnl"/>
        </w:rPr>
        <w:t xml:space="preserve">se </w:t>
      </w:r>
      <w:r w:rsidR="00D90177" w:rsidRPr="00AB4289">
        <w:rPr>
          <w:sz w:val="28"/>
          <w:szCs w:val="28"/>
          <w:lang w:val="es-ES_tradnl"/>
        </w:rPr>
        <w:t xml:space="preserve">expone </w:t>
      </w:r>
      <w:r w:rsidR="00ED364C" w:rsidRPr="00AB4289">
        <w:rPr>
          <w:sz w:val="28"/>
          <w:szCs w:val="28"/>
          <w:lang w:val="es-ES_tradnl"/>
        </w:rPr>
        <w:t>una tabla que</w:t>
      </w:r>
      <w:r w:rsidR="00D90177" w:rsidRPr="00AB4289">
        <w:rPr>
          <w:sz w:val="28"/>
          <w:szCs w:val="28"/>
          <w:lang w:val="es-ES_tradnl"/>
        </w:rPr>
        <w:t xml:space="preserve"> presenta</w:t>
      </w:r>
      <w:r w:rsidR="00ED364C" w:rsidRPr="00AB4289">
        <w:rPr>
          <w:sz w:val="28"/>
          <w:szCs w:val="28"/>
          <w:lang w:val="es-ES_tradnl"/>
        </w:rPr>
        <w:t xml:space="preserve"> l</w:t>
      </w:r>
      <w:r w:rsidR="009A0F25" w:rsidRPr="00AB4289">
        <w:rPr>
          <w:sz w:val="28"/>
          <w:szCs w:val="28"/>
          <w:lang w:val="es-ES_tradnl"/>
        </w:rPr>
        <w:t xml:space="preserve">as definiciones </w:t>
      </w:r>
      <w:r w:rsidR="00540A0A" w:rsidRPr="00AB4289">
        <w:rPr>
          <w:sz w:val="28"/>
          <w:szCs w:val="28"/>
          <w:lang w:val="es-ES_tradnl"/>
        </w:rPr>
        <w:t xml:space="preserve">que estas leyes establecen </w:t>
      </w:r>
      <w:r w:rsidR="009A0F25" w:rsidRPr="00AB4289">
        <w:rPr>
          <w:sz w:val="28"/>
          <w:szCs w:val="28"/>
          <w:lang w:val="es-ES_tradnl"/>
        </w:rPr>
        <w:t>de los distintos tipos de datos</w:t>
      </w:r>
      <w:r w:rsidR="000D37ED" w:rsidRPr="00AB4289">
        <w:rPr>
          <w:rStyle w:val="Refdenotaalpie"/>
          <w:rFonts w:cs="Times New Roman"/>
          <w:sz w:val="28"/>
          <w:szCs w:val="28"/>
          <w:lang w:val="es-ES_tradnl"/>
        </w:rPr>
        <w:footnoteReference w:id="64"/>
      </w:r>
      <w:r w:rsidR="000D37ED" w:rsidRPr="00AB4289">
        <w:rPr>
          <w:sz w:val="28"/>
          <w:szCs w:val="28"/>
          <w:lang w:val="es-ES_tradnl"/>
        </w:rPr>
        <w:t xml:space="preserve"> </w:t>
      </w:r>
      <w:r w:rsidR="009A0F25" w:rsidRPr="00AB4289">
        <w:rPr>
          <w:sz w:val="28"/>
          <w:szCs w:val="28"/>
          <w:lang w:val="es-ES_tradnl"/>
        </w:rPr>
        <w:t>y su correspondencia con el tipo de información según la Ley 1712 de 2014</w:t>
      </w:r>
      <w:r w:rsidRPr="00AB4289">
        <w:rPr>
          <w:sz w:val="28"/>
          <w:szCs w:val="28"/>
          <w:lang w:val="es-ES_tradnl"/>
        </w:rPr>
        <w:t xml:space="preserve"> de acceso a la información pública</w:t>
      </w:r>
      <w:r w:rsidR="009A0F25" w:rsidRPr="00AB4289">
        <w:rPr>
          <w:sz w:val="28"/>
          <w:szCs w:val="28"/>
          <w:lang w:val="es-ES_tradnl"/>
        </w:rPr>
        <w:t xml:space="preserve">. </w:t>
      </w:r>
    </w:p>
    <w:p w14:paraId="19FC987E" w14:textId="77777777" w:rsidR="00B12DD9" w:rsidRPr="00AB4289" w:rsidRDefault="00B12DD9" w:rsidP="00B12DD9">
      <w:pPr>
        <w:pStyle w:val="NormalWeb"/>
        <w:spacing w:before="0" w:beforeAutospacing="0" w:after="0" w:afterAutospacing="0"/>
        <w:jc w:val="both"/>
        <w:rPr>
          <w:color w:val="2D2D2D"/>
          <w:sz w:val="27"/>
          <w:szCs w:val="27"/>
          <w:lang w:val="es-ES"/>
        </w:rPr>
      </w:pPr>
    </w:p>
    <w:p w14:paraId="2AEF498D" w14:textId="7B33C040" w:rsidR="00ED364C" w:rsidRPr="00AB4289" w:rsidRDefault="00B12DD9" w:rsidP="00B40BE5">
      <w:pPr>
        <w:pStyle w:val="NormalWeb"/>
        <w:spacing w:before="0" w:beforeAutospacing="0" w:after="0" w:afterAutospacing="0"/>
        <w:jc w:val="both"/>
        <w:rPr>
          <w:b/>
          <w:bCs/>
          <w:sz w:val="22"/>
          <w:szCs w:val="22"/>
          <w:lang w:val="es-ES_tradnl"/>
        </w:rPr>
      </w:pPr>
      <w:r w:rsidRPr="00AB4289">
        <w:rPr>
          <w:b/>
          <w:bCs/>
          <w:sz w:val="22"/>
          <w:szCs w:val="22"/>
          <w:lang w:val="es-ES_tradnl"/>
        </w:rPr>
        <w:t xml:space="preserve">Tabla 2. Clasificación de las categorías de la información pública y su correspondencia con las categorías de datos </w:t>
      </w:r>
      <w:r w:rsidRPr="00AB4289">
        <w:rPr>
          <w:b/>
          <w:bCs/>
          <w:sz w:val="22"/>
          <w:szCs w:val="22"/>
        </w:rPr>
        <w:t>establecidas en las Leyes 1266 de 2008 y 1581 de 2012</w:t>
      </w:r>
    </w:p>
    <w:tbl>
      <w:tblPr>
        <w:tblStyle w:val="Tablaconcuadrcula"/>
        <w:tblW w:w="0" w:type="auto"/>
        <w:tblLook w:val="04A0" w:firstRow="1" w:lastRow="0" w:firstColumn="1" w:lastColumn="0" w:noHBand="0" w:noVBand="1"/>
      </w:tblPr>
      <w:tblGrid>
        <w:gridCol w:w="1980"/>
        <w:gridCol w:w="6848"/>
      </w:tblGrid>
      <w:tr w:rsidR="00ED364C" w:rsidRPr="00AB4289" w14:paraId="31D5EBA8" w14:textId="77777777" w:rsidTr="00175F8A">
        <w:tc>
          <w:tcPr>
            <w:tcW w:w="1980" w:type="dxa"/>
            <w:shd w:val="clear" w:color="auto" w:fill="B4C6E7" w:themeFill="accent1" w:themeFillTint="66"/>
          </w:tcPr>
          <w:p w14:paraId="5EE43951" w14:textId="20B7AC80" w:rsidR="00ED364C" w:rsidRPr="00AB4289" w:rsidRDefault="00ED364C" w:rsidP="00B40BE5">
            <w:pPr>
              <w:pStyle w:val="NormalWeb"/>
              <w:spacing w:before="0" w:beforeAutospacing="0" w:after="0" w:afterAutospacing="0"/>
              <w:jc w:val="both"/>
              <w:rPr>
                <w:b/>
                <w:bCs/>
                <w:sz w:val="22"/>
                <w:szCs w:val="22"/>
                <w:lang w:val="es-ES_tradnl"/>
              </w:rPr>
            </w:pPr>
            <w:r w:rsidRPr="00AB4289">
              <w:rPr>
                <w:b/>
                <w:bCs/>
                <w:sz w:val="22"/>
                <w:szCs w:val="22"/>
              </w:rPr>
              <w:t>Categoría</w:t>
            </w:r>
            <w:r w:rsidR="009B203C" w:rsidRPr="00AB4289">
              <w:rPr>
                <w:b/>
                <w:bCs/>
                <w:sz w:val="22"/>
                <w:szCs w:val="22"/>
              </w:rPr>
              <w:t>s</w:t>
            </w:r>
            <w:r w:rsidRPr="00AB4289">
              <w:rPr>
                <w:b/>
                <w:bCs/>
                <w:sz w:val="22"/>
                <w:szCs w:val="22"/>
              </w:rPr>
              <w:t xml:space="preserve"> en la Ley 1712 de 2014</w:t>
            </w:r>
          </w:p>
        </w:tc>
        <w:tc>
          <w:tcPr>
            <w:tcW w:w="6848" w:type="dxa"/>
            <w:shd w:val="clear" w:color="auto" w:fill="B4C6E7" w:themeFill="accent1" w:themeFillTint="66"/>
          </w:tcPr>
          <w:p w14:paraId="7477C538" w14:textId="5D050E79" w:rsidR="00ED364C" w:rsidRPr="00AB4289" w:rsidRDefault="009B203C" w:rsidP="00B40BE5">
            <w:pPr>
              <w:pStyle w:val="NormalWeb"/>
              <w:spacing w:before="0" w:beforeAutospacing="0" w:after="0" w:afterAutospacing="0"/>
              <w:jc w:val="both"/>
              <w:rPr>
                <w:b/>
                <w:bCs/>
                <w:sz w:val="22"/>
                <w:szCs w:val="22"/>
                <w:lang w:val="es-ES_tradnl"/>
              </w:rPr>
            </w:pPr>
            <w:r w:rsidRPr="00AB4289">
              <w:rPr>
                <w:b/>
                <w:bCs/>
                <w:sz w:val="22"/>
                <w:szCs w:val="22"/>
              </w:rPr>
              <w:t xml:space="preserve">Categorías </w:t>
            </w:r>
            <w:r w:rsidR="00396B40" w:rsidRPr="00AB4289">
              <w:rPr>
                <w:b/>
                <w:bCs/>
                <w:sz w:val="22"/>
                <w:szCs w:val="22"/>
              </w:rPr>
              <w:t xml:space="preserve">establecidas </w:t>
            </w:r>
            <w:r w:rsidR="00ED364C" w:rsidRPr="00AB4289">
              <w:rPr>
                <w:b/>
                <w:bCs/>
                <w:sz w:val="22"/>
                <w:szCs w:val="22"/>
              </w:rPr>
              <w:t>Leyes 1266 de 2008 y 1581 de 2012</w:t>
            </w:r>
          </w:p>
        </w:tc>
      </w:tr>
      <w:tr w:rsidR="00ED364C" w:rsidRPr="00AB4289" w14:paraId="24817676" w14:textId="77777777" w:rsidTr="00555427">
        <w:tc>
          <w:tcPr>
            <w:tcW w:w="1980" w:type="dxa"/>
          </w:tcPr>
          <w:p w14:paraId="76BE5EAD" w14:textId="0D176767" w:rsidR="00ED364C" w:rsidRPr="00AB4289" w:rsidRDefault="00ED364C" w:rsidP="00B40BE5">
            <w:pPr>
              <w:pStyle w:val="NormalWeb"/>
              <w:spacing w:before="0" w:beforeAutospacing="0" w:after="0" w:afterAutospacing="0"/>
              <w:jc w:val="both"/>
              <w:rPr>
                <w:sz w:val="22"/>
                <w:szCs w:val="22"/>
                <w:lang w:val="es-ES_tradnl"/>
              </w:rPr>
            </w:pPr>
            <w:r w:rsidRPr="00AB4289">
              <w:rPr>
                <w:sz w:val="22"/>
                <w:szCs w:val="22"/>
              </w:rPr>
              <w:t xml:space="preserve">Información pública </w:t>
            </w:r>
          </w:p>
        </w:tc>
        <w:tc>
          <w:tcPr>
            <w:tcW w:w="6848" w:type="dxa"/>
          </w:tcPr>
          <w:p w14:paraId="653F95BD" w14:textId="2EE13CB0" w:rsidR="00ED364C" w:rsidRPr="00AB4289" w:rsidRDefault="00ED364C" w:rsidP="00B40BE5">
            <w:pPr>
              <w:pStyle w:val="NormalWeb"/>
              <w:spacing w:before="0" w:beforeAutospacing="0" w:after="0" w:afterAutospacing="0"/>
              <w:jc w:val="both"/>
              <w:rPr>
                <w:sz w:val="22"/>
                <w:szCs w:val="22"/>
              </w:rPr>
            </w:pPr>
            <w:r w:rsidRPr="00AB4289">
              <w:rPr>
                <w:sz w:val="22"/>
                <w:szCs w:val="22"/>
              </w:rPr>
              <w:t>Dato público</w:t>
            </w:r>
            <w:r w:rsidRPr="00AB4289">
              <w:rPr>
                <w:rStyle w:val="Refdenotaalpie"/>
                <w:rFonts w:cs="Times New Roman"/>
                <w:sz w:val="22"/>
                <w:szCs w:val="22"/>
              </w:rPr>
              <w:footnoteReference w:id="65"/>
            </w:r>
            <w:r w:rsidR="00D10B72" w:rsidRPr="00AB4289">
              <w:rPr>
                <w:sz w:val="22"/>
                <w:szCs w:val="22"/>
              </w:rPr>
              <w:t xml:space="preserve"> que alude a la información que puede ser obtenida sin reserva alguna</w:t>
            </w:r>
            <w:r w:rsidRPr="00AB4289">
              <w:rPr>
                <w:sz w:val="22"/>
                <w:szCs w:val="22"/>
              </w:rPr>
              <w:t xml:space="preserve">. Incluye </w:t>
            </w:r>
            <w:r w:rsidR="0022777F" w:rsidRPr="00AB4289">
              <w:rPr>
                <w:sz w:val="22"/>
                <w:szCs w:val="22"/>
              </w:rPr>
              <w:t>documentos públicos</w:t>
            </w:r>
            <w:r w:rsidR="00C53C66" w:rsidRPr="00AB4289">
              <w:rPr>
                <w:sz w:val="22"/>
                <w:szCs w:val="22"/>
              </w:rPr>
              <w:t xml:space="preserve"> como </w:t>
            </w:r>
            <w:r w:rsidR="00D10B72" w:rsidRPr="00AB4289">
              <w:rPr>
                <w:sz w:val="22"/>
                <w:szCs w:val="22"/>
              </w:rPr>
              <w:t>los títulos universitarios</w:t>
            </w:r>
            <w:r w:rsidR="00D10B72" w:rsidRPr="00AB4289">
              <w:rPr>
                <w:rStyle w:val="Refdenotaalpie"/>
                <w:rFonts w:cs="Times New Roman"/>
                <w:sz w:val="22"/>
                <w:szCs w:val="22"/>
              </w:rPr>
              <w:footnoteReference w:id="66"/>
            </w:r>
            <w:r w:rsidR="0022777F" w:rsidRPr="00AB4289">
              <w:rPr>
                <w:sz w:val="22"/>
                <w:szCs w:val="22"/>
              </w:rPr>
              <w:t>,</w:t>
            </w:r>
            <w:r w:rsidR="00C53C66" w:rsidRPr="00AB4289">
              <w:rPr>
                <w:sz w:val="22"/>
                <w:szCs w:val="22"/>
              </w:rPr>
              <w:t xml:space="preserve"> las providencias judiciales debidamente ejecutoriadas</w:t>
            </w:r>
            <w:r w:rsidR="0019131A" w:rsidRPr="00AB4289">
              <w:rPr>
                <w:sz w:val="22"/>
                <w:szCs w:val="22"/>
              </w:rPr>
              <w:t xml:space="preserve"> y</w:t>
            </w:r>
            <w:r w:rsidR="00C53C66" w:rsidRPr="00AB4289">
              <w:rPr>
                <w:sz w:val="22"/>
                <w:szCs w:val="22"/>
              </w:rPr>
              <w:t xml:space="preserve"> los datos sobre el estado civil</w:t>
            </w:r>
            <w:r w:rsidR="00D10B72" w:rsidRPr="00AB4289">
              <w:rPr>
                <w:rStyle w:val="Refdenotaalpie"/>
                <w:rFonts w:cs="Times New Roman"/>
                <w:sz w:val="22"/>
                <w:szCs w:val="22"/>
              </w:rPr>
              <w:footnoteReference w:id="67"/>
            </w:r>
            <w:r w:rsidR="00C53C66" w:rsidRPr="00AB4289">
              <w:rPr>
                <w:sz w:val="22"/>
                <w:szCs w:val="22"/>
              </w:rPr>
              <w:t>.</w:t>
            </w:r>
          </w:p>
          <w:p w14:paraId="0042FA1A" w14:textId="5B9E1967" w:rsidR="0022777F" w:rsidRPr="00AB4289" w:rsidRDefault="0022777F" w:rsidP="00B40BE5">
            <w:pPr>
              <w:pStyle w:val="NormalWeb"/>
              <w:spacing w:before="0" w:beforeAutospacing="0" w:after="0" w:afterAutospacing="0"/>
              <w:jc w:val="both"/>
              <w:rPr>
                <w:sz w:val="22"/>
                <w:szCs w:val="22"/>
                <w:lang w:val="es-ES_tradnl"/>
              </w:rPr>
            </w:pPr>
          </w:p>
        </w:tc>
      </w:tr>
      <w:tr w:rsidR="00ED364C" w:rsidRPr="00AB4289" w14:paraId="56D0D89B" w14:textId="77777777" w:rsidTr="00555427">
        <w:tc>
          <w:tcPr>
            <w:tcW w:w="1980" w:type="dxa"/>
          </w:tcPr>
          <w:p w14:paraId="15AA5D7F" w14:textId="4929ED55" w:rsidR="00ED364C" w:rsidRPr="00AB4289" w:rsidRDefault="00ED364C" w:rsidP="00B40BE5">
            <w:pPr>
              <w:pStyle w:val="NormalWeb"/>
              <w:spacing w:before="0" w:beforeAutospacing="0" w:after="0" w:afterAutospacing="0"/>
              <w:jc w:val="both"/>
              <w:rPr>
                <w:sz w:val="22"/>
                <w:szCs w:val="22"/>
                <w:lang w:val="es-ES_tradnl"/>
              </w:rPr>
            </w:pPr>
            <w:r w:rsidRPr="00AB4289">
              <w:rPr>
                <w:sz w:val="22"/>
                <w:szCs w:val="22"/>
              </w:rPr>
              <w:t>Información pública clasificada</w:t>
            </w:r>
          </w:p>
        </w:tc>
        <w:tc>
          <w:tcPr>
            <w:tcW w:w="6848" w:type="dxa"/>
          </w:tcPr>
          <w:p w14:paraId="61575DF0" w14:textId="6FBBB479" w:rsidR="00D10B72" w:rsidRPr="00AB4289" w:rsidRDefault="00ED364C" w:rsidP="00B40BE5">
            <w:pPr>
              <w:pStyle w:val="NormalWeb"/>
              <w:spacing w:before="0" w:beforeAutospacing="0" w:after="0" w:afterAutospacing="0"/>
              <w:jc w:val="both"/>
              <w:rPr>
                <w:sz w:val="22"/>
                <w:szCs w:val="22"/>
              </w:rPr>
            </w:pPr>
            <w:r w:rsidRPr="00AB4289">
              <w:rPr>
                <w:sz w:val="22"/>
                <w:szCs w:val="22"/>
              </w:rPr>
              <w:t>Incluye:</w:t>
            </w:r>
          </w:p>
          <w:p w14:paraId="2E28AADA" w14:textId="77777777" w:rsidR="00D10B72" w:rsidRPr="00AB4289" w:rsidRDefault="00D10B72" w:rsidP="00B40BE5">
            <w:pPr>
              <w:pStyle w:val="NormalWeb"/>
              <w:spacing w:before="0" w:beforeAutospacing="0" w:after="0" w:afterAutospacing="0"/>
              <w:jc w:val="both"/>
              <w:rPr>
                <w:sz w:val="22"/>
                <w:szCs w:val="22"/>
              </w:rPr>
            </w:pPr>
          </w:p>
          <w:p w14:paraId="127E08FC" w14:textId="732D1F65" w:rsidR="00D10B72" w:rsidRPr="00AB4289" w:rsidRDefault="00ED364C" w:rsidP="00B40BE5">
            <w:pPr>
              <w:pStyle w:val="Prrafodelista"/>
              <w:shd w:val="clear" w:color="auto" w:fill="FFFFFF"/>
              <w:ind w:left="0" w:right="102"/>
              <w:jc w:val="both"/>
              <w:textAlignment w:val="baseline"/>
              <w:rPr>
                <w:sz w:val="22"/>
                <w:szCs w:val="22"/>
              </w:rPr>
            </w:pPr>
            <w:r w:rsidRPr="00AB4289">
              <w:rPr>
                <w:sz w:val="22"/>
                <w:szCs w:val="22"/>
              </w:rPr>
              <w:t>- Dato semiprivado</w:t>
            </w:r>
            <w:r w:rsidRPr="00AB4289">
              <w:rPr>
                <w:sz w:val="22"/>
                <w:szCs w:val="22"/>
                <w:vertAlign w:val="superscript"/>
              </w:rPr>
              <w:footnoteReference w:id="68"/>
            </w:r>
            <w:r w:rsidR="009B203C" w:rsidRPr="00AB4289">
              <w:rPr>
                <w:sz w:val="22"/>
                <w:szCs w:val="22"/>
              </w:rPr>
              <w:t>, o sea, la</w:t>
            </w:r>
            <w:r w:rsidRPr="00AB4289">
              <w:rPr>
                <w:sz w:val="22"/>
                <w:szCs w:val="22"/>
              </w:rPr>
              <w:t xml:space="preserve"> información personal que no es íntima ni reservada, pero cuyo acceso puede interesar a un grupo</w:t>
            </w:r>
            <w:r w:rsidR="00507EDB" w:rsidRPr="00AB4289">
              <w:rPr>
                <w:sz w:val="22"/>
                <w:szCs w:val="22"/>
              </w:rPr>
              <w:t xml:space="preserve"> o persona</w:t>
            </w:r>
            <w:r w:rsidR="00D10B72" w:rsidRPr="00AB4289">
              <w:rPr>
                <w:sz w:val="22"/>
                <w:szCs w:val="22"/>
              </w:rPr>
              <w:t>.</w:t>
            </w:r>
            <w:r w:rsidR="0019131A" w:rsidRPr="00AB4289">
              <w:rPr>
                <w:sz w:val="22"/>
                <w:szCs w:val="22"/>
              </w:rPr>
              <w:t xml:space="preserve"> Hacen parte de esta categoría, entre otros,</w:t>
            </w:r>
            <w:r w:rsidR="00D10B72" w:rsidRPr="00AB4289">
              <w:rPr>
                <w:sz w:val="22"/>
                <w:szCs w:val="22"/>
              </w:rPr>
              <w:t xml:space="preserve"> los datos financieros, crediticios, la historia académica, y algunos de los datos que aparecen en bases de datos públicas como el registro único nacional de tránsito, el registro de antecedentes judiciales o el registro único de seguros</w:t>
            </w:r>
            <w:r w:rsidR="00D10B72" w:rsidRPr="00AB4289">
              <w:rPr>
                <w:rStyle w:val="Refdenotaalpie"/>
                <w:rFonts w:cs="Times New Roman"/>
                <w:sz w:val="22"/>
                <w:szCs w:val="22"/>
              </w:rPr>
              <w:footnoteReference w:id="69"/>
            </w:r>
            <w:r w:rsidR="00D10B72" w:rsidRPr="00AB4289">
              <w:rPr>
                <w:sz w:val="22"/>
                <w:szCs w:val="22"/>
              </w:rPr>
              <w:t>.</w:t>
            </w:r>
          </w:p>
          <w:p w14:paraId="1778B7A3" w14:textId="77777777" w:rsidR="00C53C66" w:rsidRPr="00AB4289" w:rsidRDefault="00C53C66" w:rsidP="00B40BE5">
            <w:pPr>
              <w:pStyle w:val="NormalWeb"/>
              <w:spacing w:before="0" w:beforeAutospacing="0" w:after="0" w:afterAutospacing="0"/>
              <w:jc w:val="both"/>
              <w:rPr>
                <w:sz w:val="22"/>
                <w:szCs w:val="22"/>
              </w:rPr>
            </w:pPr>
          </w:p>
          <w:p w14:paraId="19081643" w14:textId="725BBA28" w:rsidR="00ED364C" w:rsidRPr="00AB4289" w:rsidRDefault="00ED364C" w:rsidP="00B40BE5">
            <w:pPr>
              <w:pStyle w:val="NormalWeb"/>
              <w:spacing w:before="0" w:beforeAutospacing="0" w:after="0" w:afterAutospacing="0"/>
              <w:jc w:val="both"/>
              <w:rPr>
                <w:sz w:val="22"/>
                <w:szCs w:val="22"/>
              </w:rPr>
            </w:pPr>
            <w:r w:rsidRPr="00AB4289">
              <w:rPr>
                <w:sz w:val="22"/>
                <w:szCs w:val="22"/>
              </w:rPr>
              <w:t>- Dato privado</w:t>
            </w:r>
            <w:r w:rsidRPr="00AB4289">
              <w:rPr>
                <w:sz w:val="22"/>
                <w:szCs w:val="22"/>
                <w:vertAlign w:val="superscript"/>
              </w:rPr>
              <w:footnoteReference w:id="70"/>
            </w:r>
            <w:r w:rsidR="009B203C" w:rsidRPr="00AB4289">
              <w:rPr>
                <w:sz w:val="22"/>
                <w:szCs w:val="22"/>
              </w:rPr>
              <w:t>, esto es,</w:t>
            </w:r>
            <w:r w:rsidRPr="00AB4289">
              <w:rPr>
                <w:sz w:val="22"/>
                <w:szCs w:val="22"/>
              </w:rPr>
              <w:t xml:space="preserve"> información íntima o reservada, relevante solo para su titular</w:t>
            </w:r>
            <w:r w:rsidR="0019131A" w:rsidRPr="00AB4289">
              <w:rPr>
                <w:sz w:val="22"/>
                <w:szCs w:val="22"/>
              </w:rPr>
              <w:t xml:space="preserve">. En esta categoría están </w:t>
            </w:r>
            <w:r w:rsidR="00D10B72" w:rsidRPr="00AB4289">
              <w:rPr>
                <w:sz w:val="22"/>
                <w:szCs w:val="22"/>
              </w:rPr>
              <w:t>l</w:t>
            </w:r>
            <w:r w:rsidR="00C53C66" w:rsidRPr="00AB4289">
              <w:rPr>
                <w:sz w:val="22"/>
                <w:szCs w:val="22"/>
              </w:rPr>
              <w:t>os documentos privados, las historias clínicas, los datos obtenidos en razón a la inspección del domicilio o luego de la práctica de pruebas en procesos penales sujetos a reserva, entre otros</w:t>
            </w:r>
            <w:r w:rsidR="00CF6364" w:rsidRPr="00AB4289">
              <w:rPr>
                <w:sz w:val="22"/>
                <w:szCs w:val="22"/>
                <w:vertAlign w:val="superscript"/>
              </w:rPr>
              <w:footnoteReference w:id="71"/>
            </w:r>
            <w:r w:rsidRPr="00AB4289">
              <w:rPr>
                <w:sz w:val="22"/>
                <w:szCs w:val="22"/>
              </w:rPr>
              <w:t>.</w:t>
            </w:r>
          </w:p>
          <w:p w14:paraId="0F43F29E" w14:textId="77777777" w:rsidR="00C53C66" w:rsidRPr="00AB4289" w:rsidRDefault="00C53C66" w:rsidP="00B40BE5">
            <w:pPr>
              <w:pStyle w:val="NormalWeb"/>
              <w:spacing w:before="0" w:beforeAutospacing="0" w:after="0" w:afterAutospacing="0"/>
              <w:jc w:val="both"/>
              <w:rPr>
                <w:sz w:val="22"/>
                <w:szCs w:val="22"/>
              </w:rPr>
            </w:pPr>
          </w:p>
          <w:p w14:paraId="18FF20EC" w14:textId="51E165D0" w:rsidR="00ED364C" w:rsidRPr="00AB4289" w:rsidRDefault="00ED364C" w:rsidP="00B40BE5">
            <w:pPr>
              <w:pStyle w:val="NormalWeb"/>
              <w:spacing w:before="0" w:beforeAutospacing="0" w:after="0" w:afterAutospacing="0"/>
              <w:jc w:val="both"/>
              <w:rPr>
                <w:sz w:val="22"/>
                <w:szCs w:val="22"/>
              </w:rPr>
            </w:pPr>
            <w:r w:rsidRPr="00AB4289">
              <w:rPr>
                <w:sz w:val="22"/>
                <w:szCs w:val="22"/>
              </w:rPr>
              <w:t>- Dato sensible</w:t>
            </w:r>
            <w:r w:rsidRPr="00AB4289">
              <w:rPr>
                <w:sz w:val="22"/>
                <w:szCs w:val="22"/>
                <w:vertAlign w:val="superscript"/>
              </w:rPr>
              <w:footnoteReference w:id="72"/>
            </w:r>
            <w:r w:rsidR="009B203C" w:rsidRPr="00AB4289">
              <w:rPr>
                <w:sz w:val="22"/>
                <w:szCs w:val="22"/>
              </w:rPr>
              <w:t xml:space="preserve">, es decir, </w:t>
            </w:r>
            <w:r w:rsidR="00CF6364" w:rsidRPr="00AB4289">
              <w:rPr>
                <w:sz w:val="22"/>
                <w:szCs w:val="22"/>
              </w:rPr>
              <w:t xml:space="preserve">aquellos que afectan la intimidad del titular o cuyo uso indebido puede generar su discriminación. </w:t>
            </w:r>
            <w:r w:rsidR="0019131A" w:rsidRPr="00AB4289">
              <w:rPr>
                <w:sz w:val="22"/>
                <w:szCs w:val="22"/>
              </w:rPr>
              <w:t xml:space="preserve">Hacen parte de esta categoría los </w:t>
            </w:r>
            <w:r w:rsidR="00CF6364" w:rsidRPr="00AB4289">
              <w:rPr>
                <w:sz w:val="22"/>
                <w:szCs w:val="22"/>
              </w:rPr>
              <w:t>datos que revel</w:t>
            </w:r>
            <w:r w:rsidR="0019131A" w:rsidRPr="00AB4289">
              <w:rPr>
                <w:sz w:val="22"/>
                <w:szCs w:val="22"/>
              </w:rPr>
              <w:t>a</w:t>
            </w:r>
            <w:r w:rsidR="00CF6364" w:rsidRPr="00AB4289">
              <w:rPr>
                <w:sz w:val="22"/>
                <w:szCs w:val="22"/>
              </w:rPr>
              <w:t>n el origen racial o étnico</w:t>
            </w:r>
            <w:r w:rsidR="0019131A" w:rsidRPr="00AB4289">
              <w:rPr>
                <w:sz w:val="22"/>
                <w:szCs w:val="22"/>
              </w:rPr>
              <w:t>; la</w:t>
            </w:r>
            <w:r w:rsidR="00CF6364" w:rsidRPr="00AB4289">
              <w:rPr>
                <w:sz w:val="22"/>
                <w:szCs w:val="22"/>
              </w:rPr>
              <w:t xml:space="preserve"> orientación política</w:t>
            </w:r>
            <w:r w:rsidR="0019131A" w:rsidRPr="00AB4289">
              <w:rPr>
                <w:sz w:val="22"/>
                <w:szCs w:val="22"/>
              </w:rPr>
              <w:t>;</w:t>
            </w:r>
            <w:r w:rsidR="00CF6364" w:rsidRPr="00AB4289">
              <w:rPr>
                <w:sz w:val="22"/>
                <w:szCs w:val="22"/>
              </w:rPr>
              <w:t xml:space="preserve"> </w:t>
            </w:r>
            <w:r w:rsidR="0019131A" w:rsidRPr="00AB4289">
              <w:rPr>
                <w:sz w:val="22"/>
                <w:szCs w:val="22"/>
              </w:rPr>
              <w:t xml:space="preserve">las </w:t>
            </w:r>
            <w:r w:rsidR="00CF6364" w:rsidRPr="00AB4289">
              <w:rPr>
                <w:sz w:val="22"/>
                <w:szCs w:val="22"/>
              </w:rPr>
              <w:t xml:space="preserve">convicciones religiosas o filosóficas </w:t>
            </w:r>
            <w:r w:rsidR="0019131A" w:rsidRPr="00AB4289">
              <w:rPr>
                <w:sz w:val="22"/>
                <w:szCs w:val="22"/>
              </w:rPr>
              <w:t xml:space="preserve">la </w:t>
            </w:r>
            <w:r w:rsidR="00CF6364" w:rsidRPr="00AB4289">
              <w:rPr>
                <w:sz w:val="22"/>
                <w:szCs w:val="22"/>
              </w:rPr>
              <w:t xml:space="preserve">pertenencia a sindicatos, organizaciones sociales de derechos humanos o que promuevan intereses de </w:t>
            </w:r>
            <w:r w:rsidR="00CF6364" w:rsidRPr="00AB4289">
              <w:rPr>
                <w:sz w:val="22"/>
                <w:szCs w:val="22"/>
              </w:rPr>
              <w:lastRenderedPageBreak/>
              <w:t>cualquier partido político o garanticen los derechos y garantías de partidos políticos de oposición</w:t>
            </w:r>
            <w:r w:rsidR="0019131A" w:rsidRPr="00AB4289">
              <w:rPr>
                <w:sz w:val="22"/>
                <w:szCs w:val="22"/>
              </w:rPr>
              <w:t>;</w:t>
            </w:r>
            <w:r w:rsidR="00CF6364" w:rsidRPr="00AB4289">
              <w:rPr>
                <w:sz w:val="22"/>
                <w:szCs w:val="22"/>
              </w:rPr>
              <w:t xml:space="preserve"> así como los datos </w:t>
            </w:r>
            <w:r w:rsidR="009D01F0" w:rsidRPr="00AB4289">
              <w:rPr>
                <w:sz w:val="22"/>
                <w:szCs w:val="22"/>
              </w:rPr>
              <w:t>relacionados con</w:t>
            </w:r>
            <w:r w:rsidR="00CF6364" w:rsidRPr="00AB4289">
              <w:rPr>
                <w:sz w:val="22"/>
                <w:szCs w:val="22"/>
              </w:rPr>
              <w:t xml:space="preserve"> la vida sexual y los datos biométrico</w:t>
            </w:r>
            <w:r w:rsidR="005931CB" w:rsidRPr="00AB4289">
              <w:rPr>
                <w:sz w:val="22"/>
                <w:szCs w:val="22"/>
              </w:rPr>
              <w:t>s</w:t>
            </w:r>
            <w:r w:rsidR="00CF6364" w:rsidRPr="00AB4289">
              <w:rPr>
                <w:sz w:val="22"/>
                <w:szCs w:val="22"/>
                <w:vertAlign w:val="superscript"/>
              </w:rPr>
              <w:footnoteReference w:id="73"/>
            </w:r>
            <w:r w:rsidR="00CF6364" w:rsidRPr="00AB4289">
              <w:rPr>
                <w:sz w:val="22"/>
                <w:szCs w:val="22"/>
              </w:rPr>
              <w:t>.</w:t>
            </w:r>
          </w:p>
          <w:p w14:paraId="43D17DB8" w14:textId="0834496E" w:rsidR="00D10B72" w:rsidRPr="00AB4289" w:rsidRDefault="00D10B72" w:rsidP="00B40BE5">
            <w:pPr>
              <w:pStyle w:val="NormalWeb"/>
              <w:spacing w:before="0" w:beforeAutospacing="0" w:after="0" w:afterAutospacing="0"/>
              <w:jc w:val="both"/>
              <w:rPr>
                <w:sz w:val="22"/>
                <w:szCs w:val="22"/>
              </w:rPr>
            </w:pPr>
          </w:p>
        </w:tc>
      </w:tr>
      <w:tr w:rsidR="00ED364C" w:rsidRPr="00AB4289" w14:paraId="030F57EE" w14:textId="77777777" w:rsidTr="00555427">
        <w:tc>
          <w:tcPr>
            <w:tcW w:w="1980" w:type="dxa"/>
          </w:tcPr>
          <w:p w14:paraId="25128734" w14:textId="7A4B241D" w:rsidR="00ED364C" w:rsidRPr="00AB4289" w:rsidRDefault="00ED364C" w:rsidP="00B40BE5">
            <w:pPr>
              <w:pStyle w:val="NormalWeb"/>
              <w:spacing w:before="0" w:beforeAutospacing="0" w:after="0" w:afterAutospacing="0"/>
              <w:rPr>
                <w:sz w:val="22"/>
                <w:szCs w:val="22"/>
                <w:lang w:val="es-ES_tradnl"/>
              </w:rPr>
            </w:pPr>
            <w:r w:rsidRPr="00AB4289">
              <w:rPr>
                <w:sz w:val="22"/>
                <w:szCs w:val="22"/>
              </w:rPr>
              <w:lastRenderedPageBreak/>
              <w:t>Información reservada o secreta</w:t>
            </w:r>
          </w:p>
        </w:tc>
        <w:tc>
          <w:tcPr>
            <w:tcW w:w="6848" w:type="dxa"/>
          </w:tcPr>
          <w:p w14:paraId="52D9A803" w14:textId="4F0BBFFE" w:rsidR="00ED364C" w:rsidRPr="00AB4289" w:rsidRDefault="00ED364C" w:rsidP="00B40BE5">
            <w:pPr>
              <w:pStyle w:val="NormalWeb"/>
              <w:spacing w:before="0" w:beforeAutospacing="0" w:after="0" w:afterAutospacing="0"/>
              <w:jc w:val="both"/>
              <w:rPr>
                <w:sz w:val="22"/>
                <w:szCs w:val="22"/>
                <w:lang w:val="es-ES_tradnl"/>
              </w:rPr>
            </w:pPr>
            <w:r w:rsidRPr="00AB4289">
              <w:rPr>
                <w:sz w:val="22"/>
                <w:szCs w:val="22"/>
              </w:rPr>
              <w:t xml:space="preserve">No tiene un equivalente directo en las </w:t>
            </w:r>
            <w:r w:rsidR="009B203C" w:rsidRPr="00AB4289">
              <w:rPr>
                <w:sz w:val="22"/>
                <w:szCs w:val="22"/>
              </w:rPr>
              <w:t>L</w:t>
            </w:r>
            <w:r w:rsidRPr="00AB4289">
              <w:rPr>
                <w:sz w:val="22"/>
                <w:szCs w:val="22"/>
              </w:rPr>
              <w:t>eyes</w:t>
            </w:r>
            <w:r w:rsidR="009B203C" w:rsidRPr="00AB4289">
              <w:rPr>
                <w:sz w:val="22"/>
                <w:szCs w:val="22"/>
              </w:rPr>
              <w:t xml:space="preserve"> 1266 de 2008 y 1581 de 2012</w:t>
            </w:r>
            <w:r w:rsidRPr="00AB4289">
              <w:rPr>
                <w:sz w:val="22"/>
                <w:szCs w:val="22"/>
              </w:rPr>
              <w:t>, ya que no necesariamente alude a información personal.</w:t>
            </w:r>
            <w:r w:rsidR="00507EDB" w:rsidRPr="00AB4289">
              <w:rPr>
                <w:sz w:val="22"/>
                <w:szCs w:val="22"/>
              </w:rPr>
              <w:t xml:space="preserve"> Lo que determina </w:t>
            </w:r>
            <w:r w:rsidR="009B203C" w:rsidRPr="00AB4289">
              <w:rPr>
                <w:sz w:val="22"/>
                <w:szCs w:val="22"/>
              </w:rPr>
              <w:t xml:space="preserve">la información reservada o secreta </w:t>
            </w:r>
            <w:r w:rsidR="00507EDB" w:rsidRPr="00AB4289">
              <w:rPr>
                <w:sz w:val="22"/>
                <w:szCs w:val="22"/>
              </w:rPr>
              <w:t xml:space="preserve">es que tenga </w:t>
            </w:r>
            <w:r w:rsidRPr="00AB4289">
              <w:rPr>
                <w:sz w:val="22"/>
                <w:szCs w:val="22"/>
              </w:rPr>
              <w:t xml:space="preserve">alto interés nacional </w:t>
            </w:r>
            <w:r w:rsidR="00507EDB" w:rsidRPr="00AB4289">
              <w:rPr>
                <w:sz w:val="22"/>
                <w:szCs w:val="22"/>
              </w:rPr>
              <w:t>y que su</w:t>
            </w:r>
            <w:r w:rsidRPr="00AB4289">
              <w:rPr>
                <w:sz w:val="22"/>
                <w:szCs w:val="22"/>
              </w:rPr>
              <w:t xml:space="preserve"> divulgación est</w:t>
            </w:r>
            <w:r w:rsidR="00507EDB" w:rsidRPr="00AB4289">
              <w:rPr>
                <w:sz w:val="22"/>
                <w:szCs w:val="22"/>
              </w:rPr>
              <w:t>é</w:t>
            </w:r>
            <w:r w:rsidRPr="00AB4289">
              <w:rPr>
                <w:sz w:val="22"/>
                <w:szCs w:val="22"/>
              </w:rPr>
              <w:t xml:space="preserve"> expresamente prohibida por ley</w:t>
            </w:r>
            <w:r w:rsidR="009B203C" w:rsidRPr="00AB4289">
              <w:rPr>
                <w:sz w:val="22"/>
                <w:szCs w:val="22"/>
              </w:rPr>
              <w:t xml:space="preserve"> o la Constitución. </w:t>
            </w:r>
          </w:p>
        </w:tc>
      </w:tr>
    </w:tbl>
    <w:p w14:paraId="4E3E7CE4" w14:textId="1F16843E" w:rsidR="00B12DD9" w:rsidRPr="00AB4289" w:rsidRDefault="00B12DD9" w:rsidP="00B40BE5">
      <w:pPr>
        <w:pStyle w:val="Prrafodelista"/>
        <w:ind w:left="0"/>
        <w:jc w:val="both"/>
        <w:rPr>
          <w:color w:val="000000" w:themeColor="text1"/>
          <w:sz w:val="22"/>
          <w:szCs w:val="22"/>
          <w:lang w:val="es-ES_tradnl"/>
        </w:rPr>
      </w:pPr>
      <w:r w:rsidRPr="00AB4289">
        <w:rPr>
          <w:sz w:val="22"/>
          <w:szCs w:val="22"/>
          <w:lang w:val="es-ES_tradnl"/>
        </w:rPr>
        <w:t xml:space="preserve">Fuente: </w:t>
      </w:r>
      <w:r w:rsidRPr="00AB4289">
        <w:rPr>
          <w:color w:val="000000" w:themeColor="text1"/>
          <w:sz w:val="22"/>
          <w:szCs w:val="22"/>
          <w:lang w:val="es-ES_tradnl"/>
        </w:rPr>
        <w:t>elaboración propia de</w:t>
      </w:r>
      <w:r w:rsidR="00614CE7">
        <w:rPr>
          <w:color w:val="000000" w:themeColor="text1"/>
          <w:sz w:val="22"/>
          <w:szCs w:val="22"/>
          <w:lang w:val="es-ES_tradnl"/>
        </w:rPr>
        <w:t xml:space="preserve"> la Corte Constitucional.</w:t>
      </w:r>
    </w:p>
    <w:p w14:paraId="7BF889B2" w14:textId="77777777" w:rsidR="00B12DD9" w:rsidRPr="00AB4289" w:rsidRDefault="00B12DD9" w:rsidP="00B40BE5">
      <w:pPr>
        <w:pStyle w:val="Prrafodelista"/>
        <w:ind w:left="0"/>
        <w:jc w:val="both"/>
        <w:rPr>
          <w:color w:val="000000" w:themeColor="text1"/>
          <w:lang w:val="es-ES_tradnl"/>
        </w:rPr>
      </w:pPr>
    </w:p>
    <w:p w14:paraId="54671A32" w14:textId="3AE32479" w:rsidR="00784AB8" w:rsidRPr="00AB4289" w:rsidRDefault="00784AB8" w:rsidP="00B40BE5">
      <w:pPr>
        <w:pStyle w:val="NormalWeb"/>
        <w:numPr>
          <w:ilvl w:val="0"/>
          <w:numId w:val="2"/>
        </w:numPr>
        <w:spacing w:before="0" w:beforeAutospacing="0" w:after="0" w:afterAutospacing="0"/>
        <w:ind w:left="0" w:firstLine="0"/>
        <w:jc w:val="both"/>
        <w:rPr>
          <w:sz w:val="28"/>
          <w:szCs w:val="28"/>
          <w:lang w:val="es-ES_tradnl"/>
        </w:rPr>
      </w:pPr>
      <w:r w:rsidRPr="00AB4289">
        <w:rPr>
          <w:sz w:val="28"/>
          <w:szCs w:val="28"/>
          <w:lang w:val="es-ES_tradnl"/>
        </w:rPr>
        <w:t xml:space="preserve">La relevancia práctica de estas clasificaciones </w:t>
      </w:r>
      <w:r w:rsidR="00EA174F" w:rsidRPr="00AB4289">
        <w:rPr>
          <w:sz w:val="28"/>
          <w:szCs w:val="28"/>
          <w:lang w:val="es-ES_tradnl"/>
        </w:rPr>
        <w:t>radica</w:t>
      </w:r>
      <w:r w:rsidRPr="00AB4289">
        <w:rPr>
          <w:sz w:val="28"/>
          <w:szCs w:val="28"/>
          <w:lang w:val="es-ES_tradnl"/>
        </w:rPr>
        <w:t xml:space="preserve"> en que permite</w:t>
      </w:r>
      <w:r w:rsidR="00EA174F" w:rsidRPr="00AB4289">
        <w:rPr>
          <w:sz w:val="28"/>
          <w:szCs w:val="28"/>
          <w:lang w:val="es-ES_tradnl"/>
        </w:rPr>
        <w:t>n</w:t>
      </w:r>
      <w:r w:rsidRPr="00AB4289">
        <w:rPr>
          <w:sz w:val="28"/>
          <w:szCs w:val="28"/>
          <w:lang w:val="es-ES_tradnl"/>
        </w:rPr>
        <w:t xml:space="preserve"> </w:t>
      </w:r>
      <w:r w:rsidR="00EA174F" w:rsidRPr="00AB4289">
        <w:rPr>
          <w:sz w:val="28"/>
          <w:szCs w:val="28"/>
          <w:lang w:val="es-ES_tradnl"/>
        </w:rPr>
        <w:t xml:space="preserve">determinar </w:t>
      </w:r>
      <w:r w:rsidRPr="00AB4289">
        <w:rPr>
          <w:sz w:val="28"/>
          <w:szCs w:val="28"/>
          <w:lang w:val="es-ES_tradnl"/>
        </w:rPr>
        <w:t>en casos concretos cuáles pueden ser las eventuales limitaciones a</w:t>
      </w:r>
      <w:r w:rsidR="009B203C" w:rsidRPr="00AB4289">
        <w:rPr>
          <w:sz w:val="28"/>
          <w:szCs w:val="28"/>
          <w:lang w:val="es-ES_tradnl"/>
        </w:rPr>
        <w:t>l acceso a</w:t>
      </w:r>
      <w:r w:rsidR="00F37E7E" w:rsidRPr="00AB4289">
        <w:rPr>
          <w:sz w:val="28"/>
          <w:szCs w:val="28"/>
          <w:lang w:val="es-ES_tradnl"/>
        </w:rPr>
        <w:t xml:space="preserve"> datos</w:t>
      </w:r>
      <w:r w:rsidR="009D5778" w:rsidRPr="00AB4289">
        <w:rPr>
          <w:sz w:val="28"/>
          <w:szCs w:val="28"/>
          <w:lang w:val="es-ES_tradnl"/>
        </w:rPr>
        <w:t xml:space="preserve"> públicos</w:t>
      </w:r>
      <w:r w:rsidRPr="00AB4289">
        <w:rPr>
          <w:sz w:val="28"/>
          <w:szCs w:val="28"/>
          <w:lang w:val="es-ES_tradnl"/>
        </w:rPr>
        <w:t xml:space="preserve">, que, </w:t>
      </w:r>
      <w:r w:rsidR="009D5778" w:rsidRPr="00AB4289">
        <w:rPr>
          <w:sz w:val="28"/>
          <w:szCs w:val="28"/>
          <w:lang w:val="es-ES_tradnl"/>
        </w:rPr>
        <w:t xml:space="preserve">en principio, </w:t>
      </w:r>
      <w:r w:rsidRPr="00AB4289">
        <w:rPr>
          <w:sz w:val="28"/>
          <w:szCs w:val="28"/>
          <w:lang w:val="es-ES_tradnl"/>
        </w:rPr>
        <w:t>debe</w:t>
      </w:r>
      <w:r w:rsidR="00F37E7E" w:rsidRPr="00AB4289">
        <w:rPr>
          <w:sz w:val="28"/>
          <w:szCs w:val="28"/>
          <w:lang w:val="es-ES_tradnl"/>
        </w:rPr>
        <w:t>n</w:t>
      </w:r>
      <w:r w:rsidRPr="00AB4289">
        <w:rPr>
          <w:sz w:val="28"/>
          <w:szCs w:val="28"/>
          <w:lang w:val="es-ES_tradnl"/>
        </w:rPr>
        <w:t xml:space="preserve"> ser siempre accesible</w:t>
      </w:r>
      <w:r w:rsidR="00F37E7E" w:rsidRPr="00AB4289">
        <w:rPr>
          <w:sz w:val="28"/>
          <w:szCs w:val="28"/>
          <w:lang w:val="es-ES_tradnl"/>
        </w:rPr>
        <w:t>s</w:t>
      </w:r>
      <w:r w:rsidRPr="00AB4289">
        <w:rPr>
          <w:sz w:val="28"/>
          <w:szCs w:val="28"/>
          <w:lang w:val="es-ES_tradnl"/>
        </w:rPr>
        <w:t xml:space="preserve"> para la ciudadanía. Así, es necesario entender cuál es el tipo de información y</w:t>
      </w:r>
      <w:r w:rsidR="009D5778" w:rsidRPr="00AB4289">
        <w:rPr>
          <w:sz w:val="28"/>
          <w:szCs w:val="28"/>
          <w:lang w:val="es-ES_tradnl"/>
        </w:rPr>
        <w:t xml:space="preserve"> el derecho que puede afectar la eventual revelación de los datos</w:t>
      </w:r>
      <w:r w:rsidRPr="00AB4289">
        <w:rPr>
          <w:sz w:val="28"/>
          <w:szCs w:val="28"/>
          <w:lang w:val="es-ES_tradnl"/>
        </w:rPr>
        <w:t xml:space="preserve"> </w:t>
      </w:r>
      <w:r w:rsidR="009D5778" w:rsidRPr="00AB4289">
        <w:rPr>
          <w:sz w:val="28"/>
          <w:szCs w:val="28"/>
          <w:lang w:val="es-ES_tradnl"/>
        </w:rPr>
        <w:t xml:space="preserve">para </w:t>
      </w:r>
      <w:r w:rsidRPr="00AB4289">
        <w:rPr>
          <w:sz w:val="28"/>
          <w:szCs w:val="28"/>
          <w:lang w:val="es-ES_tradnl"/>
        </w:rPr>
        <w:t xml:space="preserve">determinar si </w:t>
      </w:r>
      <w:r w:rsidR="00F37E7E" w:rsidRPr="00AB4289">
        <w:rPr>
          <w:sz w:val="28"/>
          <w:szCs w:val="28"/>
          <w:lang w:val="es-ES_tradnl"/>
        </w:rPr>
        <w:t xml:space="preserve">es justificable o no </w:t>
      </w:r>
      <w:r w:rsidRPr="00AB4289">
        <w:rPr>
          <w:sz w:val="28"/>
          <w:szCs w:val="28"/>
          <w:lang w:val="es-ES_tradnl"/>
        </w:rPr>
        <w:t>una eventual reserva. Por esta razón, en el siguiente apartado, la Corte explicará cuáles son l</w:t>
      </w:r>
      <w:r w:rsidR="000401DC" w:rsidRPr="00AB4289">
        <w:rPr>
          <w:sz w:val="28"/>
          <w:szCs w:val="28"/>
          <w:lang w:val="es-ES_tradnl"/>
        </w:rPr>
        <w:t xml:space="preserve">as condiciones en las que excepcionalmente se puede restringir </w:t>
      </w:r>
      <w:r w:rsidRPr="00AB4289">
        <w:rPr>
          <w:sz w:val="28"/>
          <w:szCs w:val="28"/>
          <w:lang w:val="es-ES_tradnl"/>
        </w:rPr>
        <w:t>la información pública y, en particular</w:t>
      </w:r>
      <w:r w:rsidR="000401DC" w:rsidRPr="00AB4289">
        <w:rPr>
          <w:sz w:val="28"/>
          <w:szCs w:val="28"/>
          <w:lang w:val="es-ES_tradnl"/>
        </w:rPr>
        <w:t>, la carga de justificación</w:t>
      </w:r>
      <w:r w:rsidR="001F2D89" w:rsidRPr="00AB4289">
        <w:rPr>
          <w:sz w:val="28"/>
          <w:szCs w:val="28"/>
          <w:lang w:val="es-ES_tradnl"/>
        </w:rPr>
        <w:t xml:space="preserve"> que establece el artículo 28 de la Ley 1712 de 2014</w:t>
      </w:r>
      <w:r w:rsidRPr="00AB4289">
        <w:rPr>
          <w:sz w:val="28"/>
          <w:szCs w:val="28"/>
          <w:lang w:val="es-ES_tradnl"/>
        </w:rPr>
        <w:t>.</w:t>
      </w:r>
    </w:p>
    <w:p w14:paraId="06FB7198" w14:textId="77777777" w:rsidR="00ED364C" w:rsidRPr="00AB4289" w:rsidRDefault="00ED364C" w:rsidP="00B40BE5">
      <w:pPr>
        <w:pStyle w:val="Ttulo2"/>
        <w:spacing w:before="0" w:after="0"/>
        <w:jc w:val="both"/>
        <w:rPr>
          <w:rFonts w:ascii="Times New Roman" w:hAnsi="Times New Roman" w:cs="Times New Roman"/>
          <w:lang w:val="es-ES_tradnl"/>
        </w:rPr>
      </w:pPr>
    </w:p>
    <w:p w14:paraId="22EF2227" w14:textId="3E13D65F" w:rsidR="00967E71" w:rsidRPr="00AB4289" w:rsidRDefault="00181141" w:rsidP="00B40BE5">
      <w:pPr>
        <w:pStyle w:val="Ttulo2"/>
        <w:numPr>
          <w:ilvl w:val="0"/>
          <w:numId w:val="42"/>
        </w:numPr>
        <w:spacing w:before="0" w:after="0"/>
        <w:jc w:val="both"/>
        <w:rPr>
          <w:rFonts w:ascii="Times New Roman" w:hAnsi="Times New Roman" w:cs="Times New Roman"/>
          <w:b/>
          <w:bCs/>
          <w:color w:val="000000" w:themeColor="text1"/>
          <w:sz w:val="28"/>
          <w:szCs w:val="28"/>
          <w:lang w:val="es-ES_tradnl"/>
        </w:rPr>
      </w:pPr>
      <w:bookmarkStart w:id="17" w:name="_Toc210202230"/>
      <w:r w:rsidRPr="00AB4289">
        <w:rPr>
          <w:rFonts w:ascii="Times New Roman" w:hAnsi="Times New Roman" w:cs="Times New Roman"/>
          <w:b/>
          <w:bCs/>
          <w:color w:val="000000" w:themeColor="text1"/>
          <w:sz w:val="28"/>
          <w:szCs w:val="28"/>
          <w:lang w:val="es-ES_tradnl"/>
        </w:rPr>
        <w:t xml:space="preserve">Carga de justificación para la restricción a la información pública. </w:t>
      </w:r>
      <w:r w:rsidR="007C5CD4" w:rsidRPr="00AB4289">
        <w:rPr>
          <w:rFonts w:ascii="Times New Roman" w:hAnsi="Times New Roman" w:cs="Times New Roman"/>
          <w:b/>
          <w:bCs/>
          <w:color w:val="000000" w:themeColor="text1"/>
          <w:sz w:val="28"/>
          <w:szCs w:val="28"/>
          <w:lang w:val="es-ES_tradnl"/>
        </w:rPr>
        <w:t>Reiteración de jurisprudencia</w:t>
      </w:r>
      <w:bookmarkEnd w:id="17"/>
    </w:p>
    <w:p w14:paraId="12792435" w14:textId="0B56AC0E" w:rsidR="0086122D" w:rsidRPr="00AB4289" w:rsidRDefault="0086122D" w:rsidP="00B40BE5">
      <w:pPr>
        <w:tabs>
          <w:tab w:val="left" w:pos="1281"/>
        </w:tabs>
        <w:jc w:val="both"/>
        <w:rPr>
          <w:sz w:val="28"/>
          <w:szCs w:val="28"/>
          <w:lang w:val="es-ES_tradnl"/>
        </w:rPr>
      </w:pPr>
    </w:p>
    <w:p w14:paraId="4302DD80" w14:textId="1D0415D1" w:rsidR="00170C30" w:rsidRPr="00AB4289" w:rsidRDefault="00D90177" w:rsidP="00B40BE5">
      <w:pPr>
        <w:pStyle w:val="Prrafodelista"/>
        <w:numPr>
          <w:ilvl w:val="0"/>
          <w:numId w:val="2"/>
        </w:numPr>
        <w:ind w:left="0" w:firstLine="0"/>
        <w:jc w:val="both"/>
        <w:rPr>
          <w:sz w:val="28"/>
          <w:szCs w:val="28"/>
          <w:lang w:val="es-ES_tradnl"/>
        </w:rPr>
      </w:pPr>
      <w:r w:rsidRPr="00AB4289">
        <w:rPr>
          <w:sz w:val="28"/>
          <w:szCs w:val="28"/>
          <w:lang w:val="es-ES_tradnl"/>
        </w:rPr>
        <w:t>El artículo 28 de la Ley 1712</w:t>
      </w:r>
      <w:r w:rsidR="00A645CA" w:rsidRPr="00AB4289">
        <w:rPr>
          <w:sz w:val="28"/>
          <w:szCs w:val="28"/>
          <w:lang w:val="es-ES_tradnl"/>
        </w:rPr>
        <w:t xml:space="preserve"> de 2014</w:t>
      </w:r>
      <w:r w:rsidR="00507EDB" w:rsidRPr="00AB4289">
        <w:rPr>
          <w:sz w:val="28"/>
          <w:szCs w:val="28"/>
          <w:lang w:val="es-ES_tradnl"/>
        </w:rPr>
        <w:t xml:space="preserve"> impone una carga argumentativa a los sujetos obligados que deciden restringir el acceso a</w:t>
      </w:r>
      <w:r w:rsidR="00A645CA" w:rsidRPr="00AB4289">
        <w:rPr>
          <w:sz w:val="28"/>
          <w:szCs w:val="28"/>
          <w:lang w:val="es-ES_tradnl"/>
        </w:rPr>
        <w:t xml:space="preserve"> la</w:t>
      </w:r>
      <w:r w:rsidR="00507EDB" w:rsidRPr="00AB4289">
        <w:rPr>
          <w:sz w:val="28"/>
          <w:szCs w:val="28"/>
          <w:lang w:val="es-ES_tradnl"/>
        </w:rPr>
        <w:t xml:space="preserve"> información pública</w:t>
      </w:r>
      <w:r w:rsidR="00F5717F" w:rsidRPr="00AB4289">
        <w:rPr>
          <w:rStyle w:val="Refdenotaalpie"/>
          <w:rFonts w:cs="Times New Roman"/>
          <w:sz w:val="28"/>
          <w:szCs w:val="28"/>
          <w:lang w:val="es-ES_tradnl"/>
        </w:rPr>
        <w:footnoteReference w:id="74"/>
      </w:r>
      <w:r w:rsidR="00507EDB" w:rsidRPr="00AB4289">
        <w:rPr>
          <w:sz w:val="28"/>
          <w:szCs w:val="28"/>
          <w:lang w:val="es-ES_tradnl"/>
        </w:rPr>
        <w:t>. Esta disposición establece que</w:t>
      </w:r>
      <w:r w:rsidR="00821DC8" w:rsidRPr="00AB4289">
        <w:rPr>
          <w:sz w:val="28"/>
          <w:szCs w:val="28"/>
          <w:lang w:val="es-ES_tradnl"/>
        </w:rPr>
        <w:t>, como la regla general es la entrega de la información,</w:t>
      </w:r>
      <w:r w:rsidR="00507EDB" w:rsidRPr="00AB4289">
        <w:rPr>
          <w:sz w:val="28"/>
          <w:szCs w:val="28"/>
          <w:lang w:val="es-ES_tradnl"/>
        </w:rPr>
        <w:t xml:space="preserve"> las autoridades</w:t>
      </w:r>
      <w:r w:rsidR="00821DC8" w:rsidRPr="00AB4289">
        <w:rPr>
          <w:sz w:val="28"/>
          <w:szCs w:val="28"/>
          <w:lang w:val="es-ES_tradnl"/>
        </w:rPr>
        <w:t xml:space="preserve"> que niegan el acceso </w:t>
      </w:r>
      <w:r w:rsidR="00507EDB" w:rsidRPr="00AB4289">
        <w:rPr>
          <w:sz w:val="28"/>
          <w:szCs w:val="28"/>
          <w:lang w:val="es-ES_tradnl"/>
        </w:rPr>
        <w:t xml:space="preserve">no pueden limitarse a invocar de manera genérica el carácter </w:t>
      </w:r>
      <w:r w:rsidR="007200AC" w:rsidRPr="00AB4289">
        <w:rPr>
          <w:sz w:val="28"/>
          <w:szCs w:val="28"/>
          <w:lang w:val="es-ES_tradnl"/>
        </w:rPr>
        <w:t xml:space="preserve">reservado </w:t>
      </w:r>
      <w:r w:rsidR="00507EDB" w:rsidRPr="00AB4289">
        <w:rPr>
          <w:sz w:val="28"/>
          <w:szCs w:val="28"/>
          <w:lang w:val="es-ES_tradnl"/>
        </w:rPr>
        <w:t xml:space="preserve">de los datos, sino que deben justificar de forma rigurosa, concreta y motivada las razones por las cuales consideran que la divulgación de la información pública puede causar un daño que justifique su reserva. </w:t>
      </w:r>
    </w:p>
    <w:p w14:paraId="1F88B840" w14:textId="77777777" w:rsidR="009D4BD8" w:rsidRPr="00AB4289" w:rsidRDefault="009D4BD8" w:rsidP="00B40BE5">
      <w:pPr>
        <w:pStyle w:val="Prrafodelista"/>
        <w:ind w:left="0"/>
        <w:jc w:val="both"/>
        <w:rPr>
          <w:sz w:val="28"/>
          <w:szCs w:val="28"/>
          <w:lang w:val="es-ES_tradnl"/>
        </w:rPr>
      </w:pPr>
    </w:p>
    <w:p w14:paraId="478E0915" w14:textId="434F4F4C" w:rsidR="009D4BD8" w:rsidRPr="00AB4289" w:rsidRDefault="009D4BD8" w:rsidP="00B40BE5">
      <w:pPr>
        <w:pStyle w:val="Prrafodelista"/>
        <w:numPr>
          <w:ilvl w:val="0"/>
          <w:numId w:val="2"/>
        </w:numPr>
        <w:ind w:left="0" w:firstLine="0"/>
        <w:jc w:val="both"/>
        <w:rPr>
          <w:sz w:val="28"/>
          <w:szCs w:val="28"/>
          <w:lang w:val="es-ES_tradnl"/>
        </w:rPr>
      </w:pPr>
      <w:r w:rsidRPr="00AB4289">
        <w:rPr>
          <w:sz w:val="28"/>
          <w:szCs w:val="28"/>
          <w:lang w:val="es-ES_tradnl"/>
        </w:rPr>
        <w:t xml:space="preserve">A continuación, se expondrá en detalle el </w:t>
      </w:r>
      <w:r w:rsidR="00821DC8" w:rsidRPr="00AB4289">
        <w:rPr>
          <w:sz w:val="28"/>
          <w:szCs w:val="28"/>
          <w:lang w:val="es-ES_tradnl"/>
        </w:rPr>
        <w:t xml:space="preserve">análisis </w:t>
      </w:r>
      <w:r w:rsidRPr="00AB4289">
        <w:rPr>
          <w:sz w:val="28"/>
          <w:szCs w:val="28"/>
          <w:lang w:val="es-ES_tradnl"/>
        </w:rPr>
        <w:t>que deben</w:t>
      </w:r>
      <w:r w:rsidR="00821DC8" w:rsidRPr="00AB4289">
        <w:rPr>
          <w:sz w:val="28"/>
          <w:szCs w:val="28"/>
          <w:lang w:val="es-ES_tradnl"/>
        </w:rPr>
        <w:t xml:space="preserve"> hacer</w:t>
      </w:r>
      <w:r w:rsidRPr="00AB4289">
        <w:rPr>
          <w:sz w:val="28"/>
          <w:szCs w:val="28"/>
          <w:lang w:val="es-ES_tradnl"/>
        </w:rPr>
        <w:t xml:space="preserve"> l</w:t>
      </w:r>
      <w:r w:rsidR="00821DC8" w:rsidRPr="00AB4289">
        <w:rPr>
          <w:sz w:val="28"/>
          <w:szCs w:val="28"/>
          <w:lang w:val="es-ES_tradnl"/>
        </w:rPr>
        <w:t xml:space="preserve">os sujetos obligados </w:t>
      </w:r>
      <w:r w:rsidRPr="00AB4289">
        <w:rPr>
          <w:sz w:val="28"/>
          <w:szCs w:val="28"/>
          <w:lang w:val="es-ES_tradnl"/>
        </w:rPr>
        <w:t xml:space="preserve">para justificar adecuadamente una restricción </w:t>
      </w:r>
      <w:r w:rsidR="00821DC8" w:rsidRPr="00AB4289">
        <w:rPr>
          <w:sz w:val="28"/>
          <w:szCs w:val="28"/>
          <w:lang w:val="es-ES_tradnl"/>
        </w:rPr>
        <w:t>de la información</w:t>
      </w:r>
      <w:r w:rsidRPr="00AB4289">
        <w:rPr>
          <w:sz w:val="28"/>
          <w:szCs w:val="28"/>
          <w:lang w:val="es-ES_tradnl"/>
        </w:rPr>
        <w:t xml:space="preserve">. En efecto, </w:t>
      </w:r>
      <w:r w:rsidR="00821DC8" w:rsidRPr="00AB4289">
        <w:rPr>
          <w:sz w:val="28"/>
          <w:szCs w:val="28"/>
          <w:lang w:val="es-ES_tradnl"/>
        </w:rPr>
        <w:t>el artículo 28</w:t>
      </w:r>
      <w:r w:rsidR="00A645CA" w:rsidRPr="00AB4289">
        <w:rPr>
          <w:sz w:val="28"/>
          <w:szCs w:val="28"/>
          <w:lang w:val="es-ES_tradnl"/>
        </w:rPr>
        <w:t xml:space="preserve"> de</w:t>
      </w:r>
      <w:r w:rsidRPr="00AB4289">
        <w:rPr>
          <w:sz w:val="28"/>
          <w:szCs w:val="28"/>
          <w:lang w:val="es-ES_tradnl"/>
        </w:rPr>
        <w:t xml:space="preserve"> la Ley 1712 de 2014 establece </w:t>
      </w:r>
      <w:r w:rsidR="00821DC8" w:rsidRPr="00AB4289">
        <w:rPr>
          <w:sz w:val="28"/>
          <w:szCs w:val="28"/>
          <w:lang w:val="es-ES_tradnl"/>
        </w:rPr>
        <w:t xml:space="preserve">unos lineamientos </w:t>
      </w:r>
      <w:r w:rsidRPr="00AB4289">
        <w:rPr>
          <w:sz w:val="28"/>
          <w:szCs w:val="28"/>
          <w:lang w:val="es-ES_tradnl"/>
        </w:rPr>
        <w:t xml:space="preserve">para negar el acceso a la información, </w:t>
      </w:r>
      <w:r w:rsidR="00821DC8" w:rsidRPr="00AB4289">
        <w:rPr>
          <w:sz w:val="28"/>
          <w:szCs w:val="28"/>
          <w:lang w:val="es-ES_tradnl"/>
        </w:rPr>
        <w:t xml:space="preserve">pero la redacción de la </w:t>
      </w:r>
      <w:r w:rsidR="00821DC8" w:rsidRPr="00AB4289">
        <w:rPr>
          <w:sz w:val="28"/>
          <w:szCs w:val="28"/>
          <w:lang w:val="es-ES_tradnl"/>
        </w:rPr>
        <w:lastRenderedPageBreak/>
        <w:t xml:space="preserve">norma no siempre es comprensible y puede generar confusiones </w:t>
      </w:r>
      <w:r w:rsidRPr="00AB4289">
        <w:rPr>
          <w:sz w:val="28"/>
          <w:szCs w:val="28"/>
          <w:lang w:val="es-ES_tradnl"/>
        </w:rPr>
        <w:t>para los sujetos obligados o para la ciudadanía interesada en ejercer su derecho</w:t>
      </w:r>
      <w:r w:rsidR="00821DC8" w:rsidRPr="00AB4289">
        <w:rPr>
          <w:sz w:val="28"/>
          <w:szCs w:val="28"/>
          <w:lang w:val="es-ES_tradnl"/>
        </w:rPr>
        <w:t xml:space="preserve"> de acceso a la información</w:t>
      </w:r>
      <w:r w:rsidRPr="00AB4289">
        <w:rPr>
          <w:sz w:val="28"/>
          <w:szCs w:val="28"/>
          <w:lang w:val="es-ES_tradnl"/>
        </w:rPr>
        <w:t>. Por esta razón, se presentará un diagrama que permite comprender de forma más sencilla y accesible el contenido de la disposición.</w:t>
      </w:r>
    </w:p>
    <w:p w14:paraId="6F004FCE" w14:textId="77777777" w:rsidR="009D4BD8" w:rsidRPr="00AB4289" w:rsidRDefault="009D4BD8" w:rsidP="00B40BE5">
      <w:pPr>
        <w:pStyle w:val="Prrafodelista"/>
        <w:ind w:left="0"/>
        <w:jc w:val="both"/>
        <w:rPr>
          <w:sz w:val="28"/>
          <w:szCs w:val="28"/>
          <w:lang w:val="es-ES_tradnl"/>
        </w:rPr>
      </w:pPr>
    </w:p>
    <w:p w14:paraId="5C90241E" w14:textId="00D3292A" w:rsidR="007470B3" w:rsidRPr="00AB4289" w:rsidRDefault="00181141" w:rsidP="00B40BE5">
      <w:pPr>
        <w:pStyle w:val="Prrafodelista"/>
        <w:numPr>
          <w:ilvl w:val="0"/>
          <w:numId w:val="2"/>
        </w:numPr>
        <w:ind w:left="0" w:firstLine="0"/>
        <w:jc w:val="both"/>
        <w:rPr>
          <w:sz w:val="28"/>
          <w:szCs w:val="28"/>
          <w:lang w:val="es-ES_tradnl"/>
        </w:rPr>
      </w:pPr>
      <w:r w:rsidRPr="00AB4289">
        <w:rPr>
          <w:sz w:val="28"/>
          <w:szCs w:val="28"/>
          <w:lang w:val="es-ES_tradnl"/>
        </w:rPr>
        <w:t xml:space="preserve">Así, de </w:t>
      </w:r>
      <w:r w:rsidR="00170C30" w:rsidRPr="00AB4289">
        <w:rPr>
          <w:sz w:val="28"/>
          <w:szCs w:val="28"/>
          <w:lang w:val="es-ES_tradnl"/>
        </w:rPr>
        <w:t>acuerdo con el artículo 28 de la Ley 1712 de 2014, para negar el acceso a la información, la autoridad</w:t>
      </w:r>
      <w:r w:rsidR="001C1629" w:rsidRPr="00AB4289">
        <w:rPr>
          <w:sz w:val="28"/>
          <w:szCs w:val="28"/>
          <w:lang w:val="es-ES_tradnl"/>
        </w:rPr>
        <w:t xml:space="preserve"> debe a</w:t>
      </w:r>
      <w:r w:rsidR="009B203C" w:rsidRPr="00AB4289">
        <w:rPr>
          <w:sz w:val="28"/>
          <w:szCs w:val="28"/>
          <w:lang w:val="es-ES_tradnl"/>
        </w:rPr>
        <w:t xml:space="preserve"> hacer</w:t>
      </w:r>
      <w:r w:rsidR="001C1629" w:rsidRPr="00AB4289">
        <w:rPr>
          <w:sz w:val="28"/>
          <w:szCs w:val="28"/>
          <w:lang w:val="es-ES_tradnl"/>
        </w:rPr>
        <w:t xml:space="preserve"> lo siguiente</w:t>
      </w:r>
      <w:r w:rsidR="00170C30" w:rsidRPr="00AB4289">
        <w:rPr>
          <w:sz w:val="28"/>
          <w:szCs w:val="28"/>
          <w:lang w:val="es-ES_tradnl"/>
        </w:rPr>
        <w:t>:</w:t>
      </w:r>
    </w:p>
    <w:p w14:paraId="64F3328A" w14:textId="77777777" w:rsidR="00B12DD9" w:rsidRPr="00AB4289" w:rsidRDefault="00B12DD9" w:rsidP="00B12DD9">
      <w:pPr>
        <w:pStyle w:val="Prrafodelista"/>
        <w:ind w:left="0"/>
        <w:rPr>
          <w:b/>
          <w:bCs/>
          <w:sz w:val="22"/>
          <w:szCs w:val="22"/>
        </w:rPr>
      </w:pPr>
    </w:p>
    <w:p w14:paraId="2E145AB7" w14:textId="4738B136" w:rsidR="00490F7B" w:rsidRPr="00AB4289" w:rsidRDefault="00B12DD9" w:rsidP="00B12DD9">
      <w:pPr>
        <w:pStyle w:val="Prrafodelista"/>
        <w:ind w:left="0"/>
        <w:rPr>
          <w:b/>
          <w:bCs/>
          <w:sz w:val="22"/>
          <w:szCs w:val="22"/>
          <w:lang w:val="es-ES_tradnl"/>
        </w:rPr>
      </w:pPr>
      <w:r w:rsidRPr="00AB4289">
        <w:rPr>
          <w:b/>
          <w:bCs/>
          <w:sz w:val="22"/>
          <w:szCs w:val="22"/>
        </w:rPr>
        <w:t xml:space="preserve">Mapa 1. </w:t>
      </w:r>
      <w:r w:rsidRPr="00AB4289">
        <w:rPr>
          <w:b/>
          <w:bCs/>
          <w:sz w:val="22"/>
          <w:szCs w:val="22"/>
          <w:lang w:val="es-ES_tradnl"/>
        </w:rPr>
        <w:t>Criterios para motivar la reserva de la información</w:t>
      </w:r>
    </w:p>
    <w:p w14:paraId="4A4F58B5" w14:textId="5830123E" w:rsidR="00490F7B" w:rsidRPr="00AB4289" w:rsidRDefault="00B12DD9" w:rsidP="00B40BE5">
      <w:pPr>
        <w:pStyle w:val="NormalWeb"/>
        <w:spacing w:before="0" w:beforeAutospacing="0" w:after="0" w:afterAutospacing="0"/>
        <w:ind w:left="360"/>
        <w:jc w:val="both"/>
        <w:rPr>
          <w:sz w:val="28"/>
          <w:szCs w:val="28"/>
          <w:lang w:val="es-ES_tradnl"/>
        </w:rPr>
      </w:pPr>
      <w:r w:rsidRPr="00AB4289">
        <w:rPr>
          <w:noProof/>
          <w:sz w:val="28"/>
          <w:szCs w:val="28"/>
          <w:lang w:eastAsia="es-CO"/>
        </w:rPr>
        <mc:AlternateContent>
          <mc:Choice Requires="wps">
            <w:drawing>
              <wp:anchor distT="0" distB="0" distL="114300" distR="114300" simplePos="0" relativeHeight="251665408" behindDoc="0" locked="0" layoutInCell="1" allowOverlap="1" wp14:anchorId="69168B84" wp14:editId="6B9F95FF">
                <wp:simplePos x="0" y="0"/>
                <wp:positionH relativeFrom="column">
                  <wp:posOffset>1476252</wp:posOffset>
                </wp:positionH>
                <wp:positionV relativeFrom="paragraph">
                  <wp:posOffset>78207</wp:posOffset>
                </wp:positionV>
                <wp:extent cx="2720340" cy="796413"/>
                <wp:effectExtent l="0" t="0" r="10160" b="16510"/>
                <wp:wrapNone/>
                <wp:docPr id="713867144" name="Cuadro de texto 9"/>
                <wp:cNvGraphicFramePr/>
                <a:graphic xmlns:a="http://schemas.openxmlformats.org/drawingml/2006/main">
                  <a:graphicData uri="http://schemas.microsoft.com/office/word/2010/wordprocessingShape">
                    <wps:wsp>
                      <wps:cNvSpPr txBox="1"/>
                      <wps:spPr>
                        <a:xfrm>
                          <a:off x="0" y="0"/>
                          <a:ext cx="2720340" cy="796413"/>
                        </a:xfrm>
                        <a:prstGeom prst="rect">
                          <a:avLst/>
                        </a:prstGeom>
                        <a:solidFill>
                          <a:schemeClr val="accent1">
                            <a:lumMod val="40000"/>
                            <a:lumOff val="60000"/>
                          </a:schemeClr>
                        </a:solidFill>
                        <a:ln w="6350">
                          <a:solidFill>
                            <a:prstClr val="black"/>
                          </a:solidFill>
                        </a:ln>
                      </wps:spPr>
                      <wps:txbx>
                        <w:txbxContent>
                          <w:p w14:paraId="336312BB" w14:textId="6BEE0E6F" w:rsidR="00821DC8" w:rsidRPr="00B12DD9" w:rsidRDefault="00821DC8" w:rsidP="00821DC8">
                            <w:pPr>
                              <w:pStyle w:val="Prrafodelista"/>
                              <w:shd w:val="clear" w:color="auto" w:fill="B4C6E7" w:themeFill="accent1" w:themeFillTint="66"/>
                              <w:ind w:left="371"/>
                              <w:jc w:val="both"/>
                              <w:rPr>
                                <w:sz w:val="22"/>
                                <w:szCs w:val="22"/>
                                <w:lang w:val="es-ES_tradnl"/>
                              </w:rPr>
                            </w:pPr>
                            <w:r w:rsidRPr="00B12DD9">
                              <w:rPr>
                                <w:sz w:val="22"/>
                                <w:szCs w:val="22"/>
                              </w:rPr>
                              <w:t>Verificar si la información se encuentra dentro de alguna de las dos categorías de excepción legal que permiten restringir el acceso a la información pública</w:t>
                            </w:r>
                            <w:r w:rsidR="009B203C" w:rsidRPr="00B12DD9">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68B84" id="_x0000_t202" coordsize="21600,21600" o:spt="202" path="m,l,21600r21600,l21600,xe">
                <v:stroke joinstyle="miter"/>
                <v:path gradientshapeok="t" o:connecttype="rect"/>
              </v:shapetype>
              <v:shape id="Cuadro de texto 9" o:spid="_x0000_s1026" type="#_x0000_t202" style="position:absolute;left:0;text-align:left;margin-left:116.25pt;margin-top:6.15pt;width:214.2pt;height:6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" fillcolor="#b4c6e7 [1300]" strokeweight=".5pt">
                <v:textbox>
                  <w:txbxContent>
                    <w:p w14:paraId="336312BB" w14:textId="6BEE0E6F" w:rsidR="00821DC8" w:rsidRPr="00B12DD9" w:rsidRDefault="00821DC8" w:rsidP="00821DC8">
                      <w:pPr>
                        <w:pStyle w:val="Prrafodelista"/>
                        <w:shd w:val="clear" w:color="auto" w:fill="B4C6E7" w:themeFill="accent1" w:themeFillTint="66"/>
                        <w:ind w:left="371"/>
                        <w:jc w:val="both"/>
                        <w:rPr>
                          <w:sz w:val="22"/>
                          <w:szCs w:val="22"/>
                          <w:lang w:val="es-ES_tradnl"/>
                        </w:rPr>
                      </w:pPr>
                      <w:r w:rsidRPr="00B12DD9">
                        <w:rPr>
                          <w:sz w:val="22"/>
                          <w:szCs w:val="22"/>
                        </w:rPr>
                        <w:t>Verificar si la información se encuentra dentro de alguna de las dos categorías de excepción legal que permiten restringir el acceso a la información pública</w:t>
                      </w:r>
                      <w:r w:rsidR="009B203C" w:rsidRPr="00B12DD9">
                        <w:rPr>
                          <w:sz w:val="22"/>
                          <w:szCs w:val="22"/>
                        </w:rPr>
                        <w:t>.</w:t>
                      </w:r>
                    </w:p>
                  </w:txbxContent>
                </v:textbox>
              </v:shape>
            </w:pict>
          </mc:Fallback>
        </mc:AlternateContent>
      </w:r>
    </w:p>
    <w:p w14:paraId="7B75EACD" w14:textId="494CF5AE" w:rsidR="00490F7B" w:rsidRPr="00AB4289" w:rsidRDefault="00490F7B" w:rsidP="00B40BE5">
      <w:pPr>
        <w:pStyle w:val="NormalWeb"/>
        <w:spacing w:before="0" w:beforeAutospacing="0" w:after="0" w:afterAutospacing="0"/>
        <w:ind w:left="360"/>
        <w:jc w:val="both"/>
        <w:rPr>
          <w:sz w:val="28"/>
          <w:szCs w:val="28"/>
          <w:lang w:val="es-ES_tradnl"/>
        </w:rPr>
      </w:pPr>
    </w:p>
    <w:p w14:paraId="76BC2872" w14:textId="6FD84DDD" w:rsidR="00507EDB" w:rsidRPr="00AB4289" w:rsidRDefault="00507EDB" w:rsidP="00B40BE5">
      <w:pPr>
        <w:pStyle w:val="NormalWeb"/>
        <w:spacing w:before="0" w:beforeAutospacing="0" w:after="0" w:afterAutospacing="0"/>
        <w:ind w:left="360"/>
        <w:jc w:val="both"/>
        <w:rPr>
          <w:sz w:val="28"/>
          <w:szCs w:val="28"/>
          <w:lang w:val="es-ES_tradnl"/>
        </w:rPr>
      </w:pPr>
    </w:p>
    <w:p w14:paraId="6E187841" w14:textId="02B12D03" w:rsidR="00507EDB" w:rsidRPr="00AB4289" w:rsidRDefault="00490F7B" w:rsidP="00B40BE5">
      <w:pPr>
        <w:pStyle w:val="NormalWeb"/>
        <w:spacing w:before="0" w:beforeAutospacing="0" w:after="0" w:afterAutospacing="0"/>
        <w:ind w:left="360"/>
        <w:jc w:val="both"/>
        <w:rPr>
          <w:sz w:val="28"/>
          <w:szCs w:val="28"/>
          <w:lang w:val="es-ES_tradnl"/>
        </w:rPr>
      </w:pPr>
      <w:r w:rsidRPr="00AB4289">
        <w:rPr>
          <w:noProof/>
          <w:sz w:val="28"/>
          <w:szCs w:val="28"/>
          <w:lang w:eastAsia="es-CO"/>
        </w:rPr>
        <mc:AlternateContent>
          <mc:Choice Requires="wps">
            <w:drawing>
              <wp:anchor distT="0" distB="0" distL="114300" distR="114300" simplePos="0" relativeHeight="251667456" behindDoc="0" locked="0" layoutInCell="1" allowOverlap="1" wp14:anchorId="6A8D4AFC" wp14:editId="6221C0FE">
                <wp:simplePos x="0" y="0"/>
                <wp:positionH relativeFrom="column">
                  <wp:posOffset>889918</wp:posOffset>
                </wp:positionH>
                <wp:positionV relativeFrom="paragraph">
                  <wp:posOffset>15875</wp:posOffset>
                </wp:positionV>
                <wp:extent cx="387985" cy="302260"/>
                <wp:effectExtent l="12700" t="0" r="18415" b="40640"/>
                <wp:wrapNone/>
                <wp:docPr id="918024515" name="Conector recto de flecha 12"/>
                <wp:cNvGraphicFramePr/>
                <a:graphic xmlns:a="http://schemas.openxmlformats.org/drawingml/2006/main">
                  <a:graphicData uri="http://schemas.microsoft.com/office/word/2010/wordprocessingShape">
                    <wps:wsp>
                      <wps:cNvCnPr/>
                      <wps:spPr>
                        <a:xfrm flipH="1">
                          <a:off x="0" y="0"/>
                          <a:ext cx="387985" cy="302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7DD454" id="_x0000_t32" coordsize="21600,21600" o:spt="32" o:oned="t" path="m,l21600,21600e" filled="f">
                <v:path arrowok="t" fillok="f" o:connecttype="none"/>
                <o:lock v:ext="edit" shapetype="t"/>
              </v:shapetype>
              <v:shape id="Conector recto de flecha 12" o:spid="_x0000_s1026" type="#_x0000_t32" style="position:absolute;margin-left:70.05pt;margin-top:1.25pt;width:30.55pt;height:23.8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" strokecolor="#4472c4 [3204]" strokeweight=".5pt">
                <v:stroke endarrow="block" joinstyle="miter"/>
              </v:shape>
            </w:pict>
          </mc:Fallback>
        </mc:AlternateContent>
      </w:r>
      <w:r w:rsidRPr="00AB4289">
        <w:rPr>
          <w:noProof/>
          <w:sz w:val="28"/>
          <w:szCs w:val="28"/>
          <w:lang w:eastAsia="es-CO"/>
        </w:rPr>
        <mc:AlternateContent>
          <mc:Choice Requires="wps">
            <w:drawing>
              <wp:anchor distT="0" distB="0" distL="114300" distR="114300" simplePos="0" relativeHeight="251666432" behindDoc="0" locked="0" layoutInCell="1" allowOverlap="1" wp14:anchorId="1118FE7F" wp14:editId="1D1B5F4E">
                <wp:simplePos x="0" y="0"/>
                <wp:positionH relativeFrom="column">
                  <wp:posOffset>4359910</wp:posOffset>
                </wp:positionH>
                <wp:positionV relativeFrom="paragraph">
                  <wp:posOffset>15875</wp:posOffset>
                </wp:positionV>
                <wp:extent cx="374970" cy="302608"/>
                <wp:effectExtent l="0" t="0" r="44450" b="40640"/>
                <wp:wrapNone/>
                <wp:docPr id="1991953555" name="Conector recto de flecha 11"/>
                <wp:cNvGraphicFramePr/>
                <a:graphic xmlns:a="http://schemas.openxmlformats.org/drawingml/2006/main">
                  <a:graphicData uri="http://schemas.microsoft.com/office/word/2010/wordprocessingShape">
                    <wps:wsp>
                      <wps:cNvCnPr/>
                      <wps:spPr>
                        <a:xfrm>
                          <a:off x="0" y="0"/>
                          <a:ext cx="374970" cy="3026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75DACE" id="Conector recto de flecha 11" o:spid="_x0000_s1026" type="#_x0000_t32" style="position:absolute;margin-left:343.3pt;margin-top:1.25pt;width:29.55pt;height:23.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" strokecolor="#4472c4 [3204]" strokeweight=".5pt">
                <v:stroke endarrow="block" joinstyle="miter"/>
              </v:shape>
            </w:pict>
          </mc:Fallback>
        </mc:AlternateContent>
      </w:r>
    </w:p>
    <w:p w14:paraId="5BAFCBA8" w14:textId="29107971" w:rsidR="00507EDB" w:rsidRPr="00AB4289" w:rsidRDefault="00B12DD9" w:rsidP="00B40BE5">
      <w:pPr>
        <w:pStyle w:val="NormalWeb"/>
        <w:spacing w:before="0" w:beforeAutospacing="0" w:after="0" w:afterAutospacing="0"/>
        <w:ind w:left="360"/>
        <w:jc w:val="both"/>
        <w:rPr>
          <w:sz w:val="28"/>
          <w:szCs w:val="28"/>
          <w:lang w:val="es-ES_tradnl"/>
        </w:rPr>
      </w:pPr>
      <w:r w:rsidRPr="00AB4289">
        <w:rPr>
          <w:noProof/>
          <w:sz w:val="28"/>
          <w:szCs w:val="28"/>
          <w:lang w:eastAsia="es-CO"/>
        </w:rPr>
        <mc:AlternateContent>
          <mc:Choice Requires="wps">
            <w:drawing>
              <wp:anchor distT="0" distB="0" distL="114300" distR="114300" simplePos="0" relativeHeight="251660288" behindDoc="0" locked="0" layoutInCell="1" allowOverlap="1" wp14:anchorId="287CA306" wp14:editId="27EEB735">
                <wp:simplePos x="0" y="0"/>
                <wp:positionH relativeFrom="column">
                  <wp:posOffset>1413</wp:posOffset>
                </wp:positionH>
                <wp:positionV relativeFrom="paragraph">
                  <wp:posOffset>184560</wp:posOffset>
                </wp:positionV>
                <wp:extent cx="2349500" cy="1563329"/>
                <wp:effectExtent l="0" t="0" r="12700" b="12065"/>
                <wp:wrapNone/>
                <wp:docPr id="710685603" name="Cuadro de texto 3"/>
                <wp:cNvGraphicFramePr/>
                <a:graphic xmlns:a="http://schemas.openxmlformats.org/drawingml/2006/main">
                  <a:graphicData uri="http://schemas.microsoft.com/office/word/2010/wordprocessingShape">
                    <wps:wsp>
                      <wps:cNvSpPr txBox="1"/>
                      <wps:spPr>
                        <a:xfrm>
                          <a:off x="0" y="0"/>
                          <a:ext cx="2349500" cy="1563329"/>
                        </a:xfrm>
                        <a:prstGeom prst="rect">
                          <a:avLst/>
                        </a:prstGeom>
                        <a:solidFill>
                          <a:schemeClr val="accent1">
                            <a:lumMod val="40000"/>
                            <a:lumOff val="60000"/>
                          </a:schemeClr>
                        </a:solidFill>
                        <a:ln w="6350">
                          <a:solidFill>
                            <a:prstClr val="black"/>
                          </a:solidFill>
                        </a:ln>
                      </wps:spPr>
                      <wps:txbx>
                        <w:txbxContent>
                          <w:p w14:paraId="1F673BA7" w14:textId="77777777" w:rsidR="00821DC8" w:rsidRPr="00B12DD9" w:rsidRDefault="00821DC8" w:rsidP="00821DC8">
                            <w:pPr>
                              <w:pStyle w:val="NormalWeb"/>
                              <w:spacing w:before="0" w:beforeAutospacing="0" w:after="0" w:afterAutospacing="0"/>
                              <w:jc w:val="both"/>
                              <w:rPr>
                                <w:b/>
                                <w:bCs/>
                                <w:sz w:val="22"/>
                                <w:szCs w:val="22"/>
                                <w:lang w:val="es-ES_tradnl"/>
                              </w:rPr>
                            </w:pPr>
                            <w:r w:rsidRPr="00B12DD9">
                              <w:rPr>
                                <w:b/>
                                <w:bCs/>
                                <w:sz w:val="22"/>
                                <w:szCs w:val="22"/>
                                <w:lang w:val="es-ES_tradnl"/>
                              </w:rPr>
                              <w:t xml:space="preserve">Información </w:t>
                            </w:r>
                            <w:r w:rsidR="00507EDB" w:rsidRPr="00B12DD9">
                              <w:rPr>
                                <w:b/>
                                <w:bCs/>
                                <w:sz w:val="22"/>
                                <w:szCs w:val="22"/>
                                <w:lang w:val="es-ES_tradnl"/>
                              </w:rPr>
                              <w:t xml:space="preserve">pública reservada </w:t>
                            </w:r>
                          </w:p>
                          <w:p w14:paraId="499AED0D" w14:textId="4EA15C85" w:rsidR="00507EDB" w:rsidRPr="00B12DD9" w:rsidRDefault="00507EDB" w:rsidP="00821DC8">
                            <w:pPr>
                              <w:pStyle w:val="NormalWeb"/>
                              <w:spacing w:before="0" w:beforeAutospacing="0" w:after="0" w:afterAutospacing="0"/>
                              <w:jc w:val="both"/>
                              <w:rPr>
                                <w:sz w:val="22"/>
                                <w:szCs w:val="22"/>
                                <w:lang w:val="es-ES_tradnl"/>
                              </w:rPr>
                            </w:pPr>
                            <w:r w:rsidRPr="00B12DD9">
                              <w:rPr>
                                <w:sz w:val="22"/>
                                <w:szCs w:val="22"/>
                                <w:lang w:val="es-ES_tradnl"/>
                              </w:rPr>
                              <w:t>(ver artículo 19 de la Ley 1712 de 2014)</w:t>
                            </w:r>
                          </w:p>
                          <w:p w14:paraId="5B482739" w14:textId="77777777" w:rsidR="00821DC8" w:rsidRPr="00B12DD9" w:rsidRDefault="00821DC8" w:rsidP="00507EDB">
                            <w:pPr>
                              <w:pStyle w:val="NormalWeb"/>
                              <w:spacing w:before="0" w:beforeAutospacing="0" w:after="0" w:afterAutospacing="0"/>
                              <w:jc w:val="both"/>
                              <w:rPr>
                                <w:sz w:val="22"/>
                                <w:szCs w:val="22"/>
                                <w:lang w:val="es-ES_tradnl"/>
                              </w:rPr>
                            </w:pPr>
                          </w:p>
                          <w:p w14:paraId="68636B0D" w14:textId="57ADDB57" w:rsidR="00507EDB" w:rsidRPr="00B12DD9" w:rsidRDefault="00821DC8" w:rsidP="00507EDB">
                            <w:pPr>
                              <w:pStyle w:val="NormalWeb"/>
                              <w:spacing w:before="0" w:beforeAutospacing="0" w:after="0" w:afterAutospacing="0"/>
                              <w:jc w:val="both"/>
                              <w:rPr>
                                <w:sz w:val="22"/>
                                <w:szCs w:val="22"/>
                                <w:lang w:val="es-ES_tradnl"/>
                              </w:rPr>
                            </w:pPr>
                            <w:r w:rsidRPr="00B12DD9">
                              <w:rPr>
                                <w:sz w:val="22"/>
                                <w:szCs w:val="22"/>
                                <w:lang w:val="es-ES_tradnl"/>
                              </w:rPr>
                              <w:t xml:space="preserve">Para alegar </w:t>
                            </w:r>
                            <w:r w:rsidR="009B203C" w:rsidRPr="00B12DD9">
                              <w:rPr>
                                <w:sz w:val="22"/>
                                <w:szCs w:val="22"/>
                                <w:lang w:val="es-ES_tradnl"/>
                              </w:rPr>
                              <w:t>la reserva</w:t>
                            </w:r>
                            <w:r w:rsidRPr="00B12DD9">
                              <w:rPr>
                                <w:sz w:val="22"/>
                                <w:szCs w:val="22"/>
                                <w:lang w:val="es-ES_tradnl"/>
                              </w:rPr>
                              <w:t xml:space="preserve">, el sujeto obligado debe </w:t>
                            </w:r>
                            <w:r w:rsidR="00507EDB" w:rsidRPr="00B12DD9">
                              <w:rPr>
                                <w:sz w:val="22"/>
                                <w:szCs w:val="22"/>
                                <w:lang w:val="es-ES_tradnl"/>
                              </w:rPr>
                              <w:t xml:space="preserve">demostrar que se trata de un tema de trascendencia nacional cuya revelación está explícitamente prohibida por la ley. </w:t>
                            </w:r>
                          </w:p>
                          <w:p w14:paraId="1B97A73B" w14:textId="77777777" w:rsidR="00821DC8" w:rsidRPr="00821DC8" w:rsidRDefault="00821DC8" w:rsidP="00507EDB">
                            <w:pPr>
                              <w:pStyle w:val="NormalWeb"/>
                              <w:spacing w:before="0" w:beforeAutospacing="0" w:after="0" w:afterAutospacing="0"/>
                              <w:jc w:val="both"/>
                              <w:rPr>
                                <w:lang w:val="es-ES_tradnl"/>
                              </w:rPr>
                            </w:pPr>
                          </w:p>
                          <w:p w14:paraId="61C7302E" w14:textId="77777777" w:rsidR="00821DC8" w:rsidRDefault="00821DC8" w:rsidP="00507EDB">
                            <w:pPr>
                              <w:pStyle w:val="NormalWeb"/>
                              <w:spacing w:before="0" w:beforeAutospacing="0" w:after="0" w:afterAutospacing="0"/>
                              <w:jc w:val="both"/>
                              <w:rPr>
                                <w:sz w:val="26"/>
                                <w:szCs w:val="26"/>
                                <w:lang w:val="es-ES_tradnl"/>
                              </w:rPr>
                            </w:pPr>
                          </w:p>
                          <w:p w14:paraId="6D815F02" w14:textId="77777777" w:rsidR="00821DC8" w:rsidRDefault="00821DC8" w:rsidP="00507EDB">
                            <w:pPr>
                              <w:pStyle w:val="NormalWeb"/>
                              <w:spacing w:before="0" w:beforeAutospacing="0" w:after="0" w:afterAutospacing="0"/>
                              <w:jc w:val="both"/>
                              <w:rPr>
                                <w:sz w:val="26"/>
                                <w:szCs w:val="26"/>
                                <w:lang w:val="es-ES_tradnl"/>
                              </w:rPr>
                            </w:pPr>
                          </w:p>
                          <w:p w14:paraId="4257E502" w14:textId="77777777" w:rsidR="00821DC8" w:rsidRDefault="00821DC8" w:rsidP="00507EDB">
                            <w:pPr>
                              <w:pStyle w:val="NormalWeb"/>
                              <w:spacing w:before="0" w:beforeAutospacing="0" w:after="0" w:afterAutospacing="0"/>
                              <w:jc w:val="both"/>
                              <w:rPr>
                                <w:sz w:val="26"/>
                                <w:szCs w:val="26"/>
                                <w:lang w:val="es-ES_tradnl"/>
                              </w:rPr>
                            </w:pPr>
                          </w:p>
                          <w:p w14:paraId="37CF50CA" w14:textId="77777777" w:rsidR="00821DC8" w:rsidRPr="00507EDB" w:rsidRDefault="00821DC8" w:rsidP="00507EDB">
                            <w:pPr>
                              <w:pStyle w:val="NormalWeb"/>
                              <w:spacing w:before="0" w:beforeAutospacing="0" w:after="0" w:afterAutospacing="0"/>
                              <w:jc w:val="both"/>
                              <w:rPr>
                                <w:sz w:val="26"/>
                                <w:szCs w:val="26"/>
                                <w:lang w:val="es-ES_tradnl"/>
                              </w:rPr>
                            </w:pPr>
                          </w:p>
                          <w:p w14:paraId="535DA197" w14:textId="77777777" w:rsidR="00507EDB" w:rsidRDefault="00507E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CA306" id="Cuadro de texto 3" o:spid="_x0000_s1027" type="#_x0000_t202" style="position:absolute;left:0;text-align:left;margin-left:.1pt;margin-top:14.55pt;width:185pt;height:1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" fillcolor="#b4c6e7 [1300]" strokeweight=".5pt">
                <v:textbox>
                  <w:txbxContent>
                    <w:p w14:paraId="1F673BA7" w14:textId="77777777" w:rsidR="00821DC8" w:rsidRPr="00B12DD9" w:rsidRDefault="00821DC8" w:rsidP="00821DC8">
                      <w:pPr>
                        <w:pStyle w:val="NormalWeb"/>
                        <w:spacing w:before="0" w:beforeAutospacing="0" w:after="0" w:afterAutospacing="0"/>
                        <w:jc w:val="both"/>
                        <w:rPr>
                          <w:b/>
                          <w:bCs/>
                          <w:sz w:val="22"/>
                          <w:szCs w:val="22"/>
                          <w:lang w:val="es-ES_tradnl"/>
                        </w:rPr>
                      </w:pPr>
                      <w:r w:rsidRPr="00B12DD9">
                        <w:rPr>
                          <w:b/>
                          <w:bCs/>
                          <w:sz w:val="22"/>
                          <w:szCs w:val="22"/>
                          <w:lang w:val="es-ES_tradnl"/>
                        </w:rPr>
                        <w:t xml:space="preserve">Información </w:t>
                      </w:r>
                      <w:r w:rsidR="00507EDB" w:rsidRPr="00B12DD9">
                        <w:rPr>
                          <w:b/>
                          <w:bCs/>
                          <w:sz w:val="22"/>
                          <w:szCs w:val="22"/>
                          <w:lang w:val="es-ES_tradnl"/>
                        </w:rPr>
                        <w:t xml:space="preserve">pública reservada </w:t>
                      </w:r>
                    </w:p>
                    <w:p w14:paraId="499AED0D" w14:textId="4EA15C85" w:rsidR="00507EDB" w:rsidRPr="00B12DD9" w:rsidRDefault="00507EDB" w:rsidP="00821DC8">
                      <w:pPr>
                        <w:pStyle w:val="NormalWeb"/>
                        <w:spacing w:before="0" w:beforeAutospacing="0" w:after="0" w:afterAutospacing="0"/>
                        <w:jc w:val="both"/>
                        <w:rPr>
                          <w:sz w:val="22"/>
                          <w:szCs w:val="22"/>
                          <w:lang w:val="es-ES_tradnl"/>
                        </w:rPr>
                      </w:pPr>
                      <w:r w:rsidRPr="00B12DD9">
                        <w:rPr>
                          <w:sz w:val="22"/>
                          <w:szCs w:val="22"/>
                          <w:lang w:val="es-ES_tradnl"/>
                        </w:rPr>
                        <w:t>(ver artículo 19 de la Ley 1712 de 2014)</w:t>
                      </w:r>
                    </w:p>
                    <w:p w14:paraId="5B482739" w14:textId="77777777" w:rsidR="00821DC8" w:rsidRPr="00B12DD9" w:rsidRDefault="00821DC8" w:rsidP="00507EDB">
                      <w:pPr>
                        <w:pStyle w:val="NormalWeb"/>
                        <w:spacing w:before="0" w:beforeAutospacing="0" w:after="0" w:afterAutospacing="0"/>
                        <w:jc w:val="both"/>
                        <w:rPr>
                          <w:sz w:val="22"/>
                          <w:szCs w:val="22"/>
                          <w:lang w:val="es-ES_tradnl"/>
                        </w:rPr>
                      </w:pPr>
                    </w:p>
                    <w:p w14:paraId="68636B0D" w14:textId="57ADDB57" w:rsidR="00507EDB" w:rsidRPr="00B12DD9" w:rsidRDefault="00821DC8" w:rsidP="00507EDB">
                      <w:pPr>
                        <w:pStyle w:val="NormalWeb"/>
                        <w:spacing w:before="0" w:beforeAutospacing="0" w:after="0" w:afterAutospacing="0"/>
                        <w:jc w:val="both"/>
                        <w:rPr>
                          <w:sz w:val="22"/>
                          <w:szCs w:val="22"/>
                          <w:lang w:val="es-ES_tradnl"/>
                        </w:rPr>
                      </w:pPr>
                      <w:r w:rsidRPr="00B12DD9">
                        <w:rPr>
                          <w:sz w:val="22"/>
                          <w:szCs w:val="22"/>
                          <w:lang w:val="es-ES_tradnl"/>
                        </w:rPr>
                        <w:t xml:space="preserve">Para alegar </w:t>
                      </w:r>
                      <w:r w:rsidR="009B203C" w:rsidRPr="00B12DD9">
                        <w:rPr>
                          <w:sz w:val="22"/>
                          <w:szCs w:val="22"/>
                          <w:lang w:val="es-ES_tradnl"/>
                        </w:rPr>
                        <w:t>la reserva</w:t>
                      </w:r>
                      <w:r w:rsidRPr="00B12DD9">
                        <w:rPr>
                          <w:sz w:val="22"/>
                          <w:szCs w:val="22"/>
                          <w:lang w:val="es-ES_tradnl"/>
                        </w:rPr>
                        <w:t xml:space="preserve">, el sujeto obligado debe </w:t>
                      </w:r>
                      <w:r w:rsidR="00507EDB" w:rsidRPr="00B12DD9">
                        <w:rPr>
                          <w:sz w:val="22"/>
                          <w:szCs w:val="22"/>
                          <w:lang w:val="es-ES_tradnl"/>
                        </w:rPr>
                        <w:t xml:space="preserve">demostrar que se trata de un tema de trascendencia nacional cuya revelación está explícitamente prohibida por la ley. </w:t>
                      </w:r>
                    </w:p>
                    <w:p w14:paraId="1B97A73B" w14:textId="77777777" w:rsidR="00821DC8" w:rsidRPr="00821DC8" w:rsidRDefault="00821DC8" w:rsidP="00507EDB">
                      <w:pPr>
                        <w:pStyle w:val="NormalWeb"/>
                        <w:spacing w:before="0" w:beforeAutospacing="0" w:after="0" w:afterAutospacing="0"/>
                        <w:jc w:val="both"/>
                        <w:rPr>
                          <w:lang w:val="es-ES_tradnl"/>
                        </w:rPr>
                      </w:pPr>
                    </w:p>
                    <w:p w14:paraId="61C7302E" w14:textId="77777777" w:rsidR="00821DC8" w:rsidRDefault="00821DC8" w:rsidP="00507EDB">
                      <w:pPr>
                        <w:pStyle w:val="NormalWeb"/>
                        <w:spacing w:before="0" w:beforeAutospacing="0" w:after="0" w:afterAutospacing="0"/>
                        <w:jc w:val="both"/>
                        <w:rPr>
                          <w:sz w:val="26"/>
                          <w:szCs w:val="26"/>
                          <w:lang w:val="es-ES_tradnl"/>
                        </w:rPr>
                      </w:pPr>
                    </w:p>
                    <w:p w14:paraId="6D815F02" w14:textId="77777777" w:rsidR="00821DC8" w:rsidRDefault="00821DC8" w:rsidP="00507EDB">
                      <w:pPr>
                        <w:pStyle w:val="NormalWeb"/>
                        <w:spacing w:before="0" w:beforeAutospacing="0" w:after="0" w:afterAutospacing="0"/>
                        <w:jc w:val="both"/>
                        <w:rPr>
                          <w:sz w:val="26"/>
                          <w:szCs w:val="26"/>
                          <w:lang w:val="es-ES_tradnl"/>
                        </w:rPr>
                      </w:pPr>
                    </w:p>
                    <w:p w14:paraId="4257E502" w14:textId="77777777" w:rsidR="00821DC8" w:rsidRDefault="00821DC8" w:rsidP="00507EDB">
                      <w:pPr>
                        <w:pStyle w:val="NormalWeb"/>
                        <w:spacing w:before="0" w:beforeAutospacing="0" w:after="0" w:afterAutospacing="0"/>
                        <w:jc w:val="both"/>
                        <w:rPr>
                          <w:sz w:val="26"/>
                          <w:szCs w:val="26"/>
                          <w:lang w:val="es-ES_tradnl"/>
                        </w:rPr>
                      </w:pPr>
                    </w:p>
                    <w:p w14:paraId="37CF50CA" w14:textId="77777777" w:rsidR="00821DC8" w:rsidRPr="00507EDB" w:rsidRDefault="00821DC8" w:rsidP="00507EDB">
                      <w:pPr>
                        <w:pStyle w:val="NormalWeb"/>
                        <w:spacing w:before="0" w:beforeAutospacing="0" w:after="0" w:afterAutospacing="0"/>
                        <w:jc w:val="both"/>
                        <w:rPr>
                          <w:sz w:val="26"/>
                          <w:szCs w:val="26"/>
                          <w:lang w:val="es-ES_tradnl"/>
                        </w:rPr>
                      </w:pPr>
                    </w:p>
                    <w:p w14:paraId="535DA197" w14:textId="77777777" w:rsidR="00507EDB" w:rsidRDefault="00507EDB"/>
                  </w:txbxContent>
                </v:textbox>
              </v:shape>
            </w:pict>
          </mc:Fallback>
        </mc:AlternateContent>
      </w:r>
      <w:r w:rsidRPr="00AB4289">
        <w:rPr>
          <w:noProof/>
          <w:sz w:val="28"/>
          <w:szCs w:val="28"/>
          <w:lang w:eastAsia="es-CO"/>
        </w:rPr>
        <mc:AlternateContent>
          <mc:Choice Requires="wps">
            <w:drawing>
              <wp:anchor distT="0" distB="0" distL="114300" distR="114300" simplePos="0" relativeHeight="251664384" behindDoc="0" locked="0" layoutInCell="1" allowOverlap="1" wp14:anchorId="771E2C37" wp14:editId="0F5F983A">
                <wp:simplePos x="0" y="0"/>
                <wp:positionH relativeFrom="column">
                  <wp:posOffset>3307080</wp:posOffset>
                </wp:positionH>
                <wp:positionV relativeFrom="paragraph">
                  <wp:posOffset>182942</wp:posOffset>
                </wp:positionV>
                <wp:extent cx="2275840" cy="1657985"/>
                <wp:effectExtent l="0" t="0" r="10160" b="18415"/>
                <wp:wrapNone/>
                <wp:docPr id="1988159230" name="Cuadro de texto 8"/>
                <wp:cNvGraphicFramePr/>
                <a:graphic xmlns:a="http://schemas.openxmlformats.org/drawingml/2006/main">
                  <a:graphicData uri="http://schemas.microsoft.com/office/word/2010/wordprocessingShape">
                    <wps:wsp>
                      <wps:cNvSpPr txBox="1"/>
                      <wps:spPr>
                        <a:xfrm>
                          <a:off x="0" y="0"/>
                          <a:ext cx="2275840" cy="1657985"/>
                        </a:xfrm>
                        <a:prstGeom prst="rect">
                          <a:avLst/>
                        </a:prstGeom>
                        <a:solidFill>
                          <a:schemeClr val="accent1">
                            <a:lumMod val="40000"/>
                            <a:lumOff val="60000"/>
                          </a:schemeClr>
                        </a:solidFill>
                        <a:ln w="6350">
                          <a:solidFill>
                            <a:prstClr val="black"/>
                          </a:solidFill>
                        </a:ln>
                      </wps:spPr>
                      <wps:txbx>
                        <w:txbxContent>
                          <w:p w14:paraId="438D05CE" w14:textId="77777777" w:rsidR="00821DC8" w:rsidRPr="00B12DD9" w:rsidRDefault="00821DC8" w:rsidP="00821DC8">
                            <w:pPr>
                              <w:pStyle w:val="NormalWeb"/>
                              <w:spacing w:before="0" w:beforeAutospacing="0" w:after="0" w:afterAutospacing="0"/>
                              <w:jc w:val="both"/>
                              <w:rPr>
                                <w:b/>
                                <w:bCs/>
                                <w:sz w:val="22"/>
                                <w:szCs w:val="22"/>
                                <w:lang w:val="es-ES_tradnl"/>
                              </w:rPr>
                            </w:pPr>
                            <w:r w:rsidRPr="00B12DD9">
                              <w:rPr>
                                <w:b/>
                                <w:bCs/>
                                <w:sz w:val="22"/>
                                <w:szCs w:val="22"/>
                                <w:lang w:val="es-ES_tradnl"/>
                              </w:rPr>
                              <w:t>Información pública clasificada</w:t>
                            </w:r>
                          </w:p>
                          <w:p w14:paraId="1681BDF0" w14:textId="2191146A" w:rsidR="00821DC8" w:rsidRPr="00B12DD9" w:rsidRDefault="00821DC8" w:rsidP="00821DC8">
                            <w:pPr>
                              <w:pStyle w:val="NormalWeb"/>
                              <w:spacing w:before="0" w:beforeAutospacing="0" w:after="0" w:afterAutospacing="0"/>
                              <w:jc w:val="both"/>
                              <w:rPr>
                                <w:sz w:val="22"/>
                                <w:szCs w:val="22"/>
                                <w:lang w:val="es-ES_tradnl"/>
                              </w:rPr>
                            </w:pPr>
                            <w:r w:rsidRPr="00B12DD9">
                              <w:rPr>
                                <w:sz w:val="22"/>
                                <w:szCs w:val="22"/>
                                <w:lang w:val="es-ES_tradnl"/>
                              </w:rPr>
                              <w:t>(ver artículo 18 de la Ley 1712 de 2014)</w:t>
                            </w:r>
                          </w:p>
                          <w:p w14:paraId="18B803AF" w14:textId="77777777" w:rsidR="00821DC8" w:rsidRPr="00B12DD9" w:rsidRDefault="00821DC8">
                            <w:pPr>
                              <w:rPr>
                                <w:sz w:val="22"/>
                                <w:szCs w:val="22"/>
                              </w:rPr>
                            </w:pPr>
                          </w:p>
                          <w:p w14:paraId="618D7D3B" w14:textId="1BD8652B" w:rsidR="00821DC8" w:rsidRPr="00B12DD9" w:rsidRDefault="00821DC8" w:rsidP="00821DC8">
                            <w:pPr>
                              <w:jc w:val="both"/>
                              <w:rPr>
                                <w:sz w:val="22"/>
                                <w:szCs w:val="22"/>
                              </w:rPr>
                            </w:pPr>
                            <w:r w:rsidRPr="00B12DD9">
                              <w:rPr>
                                <w:sz w:val="22"/>
                                <w:szCs w:val="22"/>
                              </w:rPr>
                              <w:t xml:space="preserve">Para alegar </w:t>
                            </w:r>
                            <w:r w:rsidR="009B203C" w:rsidRPr="00B12DD9">
                              <w:rPr>
                                <w:sz w:val="22"/>
                                <w:szCs w:val="22"/>
                              </w:rPr>
                              <w:t>que se trata de información clasificada</w:t>
                            </w:r>
                            <w:r w:rsidRPr="00B12DD9">
                              <w:rPr>
                                <w:sz w:val="22"/>
                                <w:szCs w:val="22"/>
                              </w:rPr>
                              <w:t xml:space="preserve">, el sujeto obligado debe demostrar que la información pertenece al ámbito privado de alguien más y puede afectar sus derechos. </w:t>
                            </w:r>
                          </w:p>
                          <w:p w14:paraId="090A8EAD" w14:textId="77777777" w:rsidR="009B203C" w:rsidRDefault="009B203C" w:rsidP="00821DC8">
                            <w:pPr>
                              <w:jc w:val="both"/>
                            </w:pPr>
                          </w:p>
                          <w:p w14:paraId="2FDCEAAE" w14:textId="77777777" w:rsidR="009B203C" w:rsidRPr="00821DC8" w:rsidRDefault="009B203C" w:rsidP="00821DC8">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E2C37" id="Cuadro de texto 8" o:spid="_x0000_s1028" type="#_x0000_t202" style="position:absolute;left:0;text-align:left;margin-left:260.4pt;margin-top:14.4pt;width:179.2pt;height:13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" fillcolor="#b4c6e7 [1300]" strokeweight=".5pt">
                <v:textbox>
                  <w:txbxContent>
                    <w:p w14:paraId="438D05CE" w14:textId="77777777" w:rsidR="00821DC8" w:rsidRPr="00B12DD9" w:rsidRDefault="00821DC8" w:rsidP="00821DC8">
                      <w:pPr>
                        <w:pStyle w:val="NormalWeb"/>
                        <w:spacing w:before="0" w:beforeAutospacing="0" w:after="0" w:afterAutospacing="0"/>
                        <w:jc w:val="both"/>
                        <w:rPr>
                          <w:b/>
                          <w:bCs/>
                          <w:sz w:val="22"/>
                          <w:szCs w:val="22"/>
                          <w:lang w:val="es-ES_tradnl"/>
                        </w:rPr>
                      </w:pPr>
                      <w:r w:rsidRPr="00B12DD9">
                        <w:rPr>
                          <w:b/>
                          <w:bCs/>
                          <w:sz w:val="22"/>
                          <w:szCs w:val="22"/>
                          <w:lang w:val="es-ES_tradnl"/>
                        </w:rPr>
                        <w:t>Información pública clasificada</w:t>
                      </w:r>
                    </w:p>
                    <w:p w14:paraId="1681BDF0" w14:textId="2191146A" w:rsidR="00821DC8" w:rsidRPr="00B12DD9" w:rsidRDefault="00821DC8" w:rsidP="00821DC8">
                      <w:pPr>
                        <w:pStyle w:val="NormalWeb"/>
                        <w:spacing w:before="0" w:beforeAutospacing="0" w:after="0" w:afterAutospacing="0"/>
                        <w:jc w:val="both"/>
                        <w:rPr>
                          <w:sz w:val="22"/>
                          <w:szCs w:val="22"/>
                          <w:lang w:val="es-ES_tradnl"/>
                        </w:rPr>
                      </w:pPr>
                      <w:r w:rsidRPr="00B12DD9">
                        <w:rPr>
                          <w:sz w:val="22"/>
                          <w:szCs w:val="22"/>
                          <w:lang w:val="es-ES_tradnl"/>
                        </w:rPr>
                        <w:t>(ver artículo 18 de la Ley 1712 de 2014)</w:t>
                      </w:r>
                    </w:p>
                    <w:p w14:paraId="18B803AF" w14:textId="77777777" w:rsidR="00821DC8" w:rsidRPr="00B12DD9" w:rsidRDefault="00821DC8">
                      <w:pPr>
                        <w:rPr>
                          <w:sz w:val="22"/>
                          <w:szCs w:val="22"/>
                        </w:rPr>
                      </w:pPr>
                    </w:p>
                    <w:p w14:paraId="618D7D3B" w14:textId="1BD8652B" w:rsidR="00821DC8" w:rsidRPr="00B12DD9" w:rsidRDefault="00821DC8" w:rsidP="00821DC8">
                      <w:pPr>
                        <w:jc w:val="both"/>
                        <w:rPr>
                          <w:sz w:val="22"/>
                          <w:szCs w:val="22"/>
                        </w:rPr>
                      </w:pPr>
                      <w:r w:rsidRPr="00B12DD9">
                        <w:rPr>
                          <w:sz w:val="22"/>
                          <w:szCs w:val="22"/>
                        </w:rPr>
                        <w:t xml:space="preserve">Para alegar </w:t>
                      </w:r>
                      <w:r w:rsidR="009B203C" w:rsidRPr="00B12DD9">
                        <w:rPr>
                          <w:sz w:val="22"/>
                          <w:szCs w:val="22"/>
                        </w:rPr>
                        <w:t>que se trata de información clasificada</w:t>
                      </w:r>
                      <w:r w:rsidRPr="00B12DD9">
                        <w:rPr>
                          <w:sz w:val="22"/>
                          <w:szCs w:val="22"/>
                        </w:rPr>
                        <w:t xml:space="preserve">, el sujeto obligado debe demostrar que la información pertenece al ámbito privado de alguien más y puede afectar sus derechos. </w:t>
                      </w:r>
                    </w:p>
                    <w:p w14:paraId="090A8EAD" w14:textId="77777777" w:rsidR="009B203C" w:rsidRDefault="009B203C" w:rsidP="00821DC8">
                      <w:pPr>
                        <w:jc w:val="both"/>
                      </w:pPr>
                    </w:p>
                    <w:p w14:paraId="2FDCEAAE" w14:textId="77777777" w:rsidR="009B203C" w:rsidRPr="00821DC8" w:rsidRDefault="009B203C" w:rsidP="00821DC8">
                      <w:pPr>
                        <w:jc w:val="both"/>
                      </w:pPr>
                    </w:p>
                  </w:txbxContent>
                </v:textbox>
              </v:shape>
            </w:pict>
          </mc:Fallback>
        </mc:AlternateContent>
      </w:r>
    </w:p>
    <w:p w14:paraId="579CAF9F" w14:textId="41E0AE9A" w:rsidR="00507EDB" w:rsidRPr="00AB4289" w:rsidRDefault="00507EDB" w:rsidP="00B40BE5">
      <w:pPr>
        <w:pStyle w:val="NormalWeb"/>
        <w:spacing w:before="0" w:beforeAutospacing="0" w:after="0" w:afterAutospacing="0"/>
        <w:ind w:left="360"/>
        <w:jc w:val="both"/>
        <w:rPr>
          <w:sz w:val="28"/>
          <w:szCs w:val="28"/>
          <w:lang w:val="es-ES_tradnl"/>
        </w:rPr>
      </w:pPr>
    </w:p>
    <w:p w14:paraId="74CFB4EA" w14:textId="01EFC1BE" w:rsidR="00507EDB" w:rsidRPr="00AB4289" w:rsidRDefault="00507EDB" w:rsidP="00B40BE5">
      <w:pPr>
        <w:pStyle w:val="NormalWeb"/>
        <w:spacing w:before="0" w:beforeAutospacing="0" w:after="0" w:afterAutospacing="0"/>
        <w:ind w:left="360"/>
        <w:jc w:val="both"/>
        <w:rPr>
          <w:sz w:val="28"/>
          <w:szCs w:val="28"/>
          <w:lang w:val="es-ES_tradnl"/>
        </w:rPr>
      </w:pPr>
    </w:p>
    <w:p w14:paraId="77BBF95D" w14:textId="43FE74BA" w:rsidR="00507EDB" w:rsidRPr="00AB4289" w:rsidRDefault="00507EDB" w:rsidP="00B40BE5">
      <w:pPr>
        <w:pStyle w:val="NormalWeb"/>
        <w:spacing w:before="0" w:beforeAutospacing="0" w:after="0" w:afterAutospacing="0"/>
        <w:ind w:left="360"/>
        <w:jc w:val="both"/>
        <w:rPr>
          <w:sz w:val="28"/>
          <w:szCs w:val="28"/>
          <w:lang w:val="es-ES_tradnl"/>
        </w:rPr>
      </w:pPr>
    </w:p>
    <w:p w14:paraId="01C1C807" w14:textId="1BAFD7BD" w:rsidR="00507EDB" w:rsidRPr="00AB4289" w:rsidRDefault="00507EDB" w:rsidP="00B40BE5">
      <w:pPr>
        <w:pStyle w:val="NormalWeb"/>
        <w:spacing w:before="0" w:beforeAutospacing="0" w:after="0" w:afterAutospacing="0"/>
        <w:ind w:left="360"/>
        <w:jc w:val="both"/>
        <w:rPr>
          <w:sz w:val="28"/>
          <w:szCs w:val="28"/>
          <w:lang w:val="es-ES_tradnl"/>
        </w:rPr>
      </w:pPr>
    </w:p>
    <w:p w14:paraId="2506B1B8" w14:textId="11D05675" w:rsidR="00507EDB" w:rsidRPr="00AB4289" w:rsidRDefault="00507EDB" w:rsidP="00B40BE5">
      <w:pPr>
        <w:pStyle w:val="NormalWeb"/>
        <w:spacing w:before="0" w:beforeAutospacing="0" w:after="0" w:afterAutospacing="0"/>
        <w:ind w:left="360"/>
        <w:jc w:val="both"/>
        <w:rPr>
          <w:sz w:val="28"/>
          <w:szCs w:val="28"/>
          <w:lang w:val="es-ES_tradnl"/>
        </w:rPr>
      </w:pPr>
    </w:p>
    <w:p w14:paraId="21B8CD3E" w14:textId="10F276A8" w:rsidR="00507EDB" w:rsidRPr="00AB4289" w:rsidRDefault="00507EDB" w:rsidP="00B40BE5">
      <w:pPr>
        <w:pStyle w:val="NormalWeb"/>
        <w:spacing w:before="0" w:beforeAutospacing="0" w:after="0" w:afterAutospacing="0"/>
        <w:ind w:left="360"/>
        <w:jc w:val="both"/>
        <w:rPr>
          <w:sz w:val="28"/>
          <w:szCs w:val="28"/>
          <w:lang w:val="es-ES_tradnl"/>
        </w:rPr>
      </w:pPr>
    </w:p>
    <w:p w14:paraId="12978805" w14:textId="1C65F26B" w:rsidR="00507EDB" w:rsidRPr="00AB4289" w:rsidRDefault="00507EDB" w:rsidP="00B40BE5">
      <w:pPr>
        <w:pStyle w:val="NormalWeb"/>
        <w:spacing w:before="0" w:beforeAutospacing="0" w:after="0" w:afterAutospacing="0"/>
        <w:ind w:left="360"/>
        <w:jc w:val="both"/>
        <w:rPr>
          <w:sz w:val="28"/>
          <w:szCs w:val="28"/>
          <w:lang w:val="es-ES_tradnl"/>
        </w:rPr>
      </w:pPr>
    </w:p>
    <w:p w14:paraId="5F20D5E6" w14:textId="793E45C8" w:rsidR="00507EDB" w:rsidRPr="00AB4289" w:rsidRDefault="00507EDB" w:rsidP="00B40BE5">
      <w:pPr>
        <w:pStyle w:val="NormalWeb"/>
        <w:spacing w:before="0" w:beforeAutospacing="0" w:after="0" w:afterAutospacing="0"/>
        <w:ind w:left="360"/>
        <w:jc w:val="both"/>
        <w:rPr>
          <w:sz w:val="28"/>
          <w:szCs w:val="28"/>
          <w:lang w:val="es-ES_tradnl"/>
        </w:rPr>
      </w:pPr>
    </w:p>
    <w:p w14:paraId="7749C4ED" w14:textId="65080031" w:rsidR="00D90177" w:rsidRPr="00AB4289" w:rsidRDefault="00490F7B" w:rsidP="00B40BE5">
      <w:pPr>
        <w:pStyle w:val="Prrafodelista"/>
        <w:jc w:val="both"/>
        <w:rPr>
          <w:sz w:val="28"/>
          <w:szCs w:val="28"/>
          <w:lang w:val="es-ES_tradnl"/>
        </w:rPr>
      </w:pPr>
      <w:r w:rsidRPr="00AB4289">
        <w:rPr>
          <w:noProof/>
          <w:sz w:val="28"/>
          <w:szCs w:val="28"/>
          <w:lang w:eastAsia="es-CO"/>
        </w:rPr>
        <mc:AlternateContent>
          <mc:Choice Requires="wps">
            <w:drawing>
              <wp:anchor distT="0" distB="0" distL="114300" distR="114300" simplePos="0" relativeHeight="251668480" behindDoc="0" locked="0" layoutInCell="1" allowOverlap="1" wp14:anchorId="4479E183" wp14:editId="61B7B015">
                <wp:simplePos x="0" y="0"/>
                <wp:positionH relativeFrom="column">
                  <wp:posOffset>2639695</wp:posOffset>
                </wp:positionH>
                <wp:positionV relativeFrom="paragraph">
                  <wp:posOffset>106045</wp:posOffset>
                </wp:positionV>
                <wp:extent cx="215900" cy="381000"/>
                <wp:effectExtent l="12700" t="0" r="25400" b="25400"/>
                <wp:wrapNone/>
                <wp:docPr id="743853896" name="Flecha abajo 14"/>
                <wp:cNvGraphicFramePr/>
                <a:graphic xmlns:a="http://schemas.openxmlformats.org/drawingml/2006/main">
                  <a:graphicData uri="http://schemas.microsoft.com/office/word/2010/wordprocessingShape">
                    <wps:wsp>
                      <wps:cNvSpPr/>
                      <wps:spPr>
                        <a:xfrm>
                          <a:off x="0" y="0"/>
                          <a:ext cx="215900" cy="3810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0470D7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4" o:spid="_x0000_s1026" type="#_x0000_t67" style="position:absolute;margin-left:207.85pt;margin-top:8.35pt;width:17pt;height:30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" adj="15480" fillcolor="#4472c4 [3204]" strokecolor="#09101d [484]" strokeweight="1pt"/>
            </w:pict>
          </mc:Fallback>
        </mc:AlternateContent>
      </w:r>
    </w:p>
    <w:p w14:paraId="538BC79F" w14:textId="1E4FA91E" w:rsidR="00170C30" w:rsidRPr="00AB4289" w:rsidRDefault="00170C30" w:rsidP="00B40BE5">
      <w:pPr>
        <w:pStyle w:val="NormalWeb"/>
        <w:spacing w:before="0" w:beforeAutospacing="0" w:after="0" w:afterAutospacing="0"/>
        <w:jc w:val="both"/>
        <w:rPr>
          <w:sz w:val="28"/>
          <w:szCs w:val="28"/>
          <w:lang w:val="es-ES_tradnl"/>
        </w:rPr>
      </w:pPr>
    </w:p>
    <w:p w14:paraId="322AB784" w14:textId="7117B019" w:rsidR="00507EDB" w:rsidRPr="00AB4289" w:rsidRDefault="00490F7B" w:rsidP="00B40BE5">
      <w:pPr>
        <w:pStyle w:val="NormalWeb"/>
        <w:spacing w:before="0" w:beforeAutospacing="0" w:after="0" w:afterAutospacing="0"/>
        <w:jc w:val="both"/>
        <w:rPr>
          <w:sz w:val="28"/>
          <w:szCs w:val="28"/>
          <w:lang w:val="es-ES_tradnl"/>
        </w:rPr>
      </w:pPr>
      <w:r w:rsidRPr="00AB4289">
        <w:rPr>
          <w:noProof/>
          <w:sz w:val="28"/>
          <w:szCs w:val="28"/>
          <w:lang w:eastAsia="es-CO"/>
        </w:rPr>
        <mc:AlternateContent>
          <mc:Choice Requires="wps">
            <w:drawing>
              <wp:anchor distT="0" distB="0" distL="114300" distR="114300" simplePos="0" relativeHeight="251663360" behindDoc="0" locked="0" layoutInCell="1" allowOverlap="1" wp14:anchorId="6D8DD197" wp14:editId="752FAD8A">
                <wp:simplePos x="0" y="0"/>
                <wp:positionH relativeFrom="column">
                  <wp:posOffset>80010</wp:posOffset>
                </wp:positionH>
                <wp:positionV relativeFrom="paragraph">
                  <wp:posOffset>192405</wp:posOffset>
                </wp:positionV>
                <wp:extent cx="5505450" cy="800934"/>
                <wp:effectExtent l="0" t="0" r="19050" b="12065"/>
                <wp:wrapNone/>
                <wp:docPr id="851376132" name="Cuadro de texto 6"/>
                <wp:cNvGraphicFramePr/>
                <a:graphic xmlns:a="http://schemas.openxmlformats.org/drawingml/2006/main">
                  <a:graphicData uri="http://schemas.microsoft.com/office/word/2010/wordprocessingShape">
                    <wps:wsp>
                      <wps:cNvSpPr txBox="1"/>
                      <wps:spPr>
                        <a:xfrm>
                          <a:off x="0" y="0"/>
                          <a:ext cx="5505450" cy="800934"/>
                        </a:xfrm>
                        <a:prstGeom prst="rect">
                          <a:avLst/>
                        </a:prstGeom>
                        <a:solidFill>
                          <a:schemeClr val="accent1">
                            <a:lumMod val="40000"/>
                            <a:lumOff val="60000"/>
                          </a:schemeClr>
                        </a:solidFill>
                        <a:ln w="6350">
                          <a:solidFill>
                            <a:prstClr val="black"/>
                          </a:solidFill>
                        </a:ln>
                      </wps:spPr>
                      <wps:txbx>
                        <w:txbxContent>
                          <w:p w14:paraId="2B12CF17" w14:textId="7C0890E1" w:rsidR="00507EDB" w:rsidRPr="00821DC8" w:rsidRDefault="00821DC8" w:rsidP="00821DC8">
                            <w:pPr>
                              <w:pStyle w:val="NormalWeb"/>
                              <w:spacing w:before="0" w:beforeAutospacing="0" w:after="0" w:afterAutospacing="0"/>
                              <w:jc w:val="both"/>
                              <w:rPr>
                                <w:b/>
                                <w:bCs/>
                                <w:lang w:val="es-ES_tradnl"/>
                              </w:rPr>
                            </w:pPr>
                            <w:r w:rsidRPr="00B12DD9">
                              <w:rPr>
                                <w:sz w:val="22"/>
                                <w:szCs w:val="22"/>
                                <w:lang w:val="es-ES_tradnl"/>
                              </w:rPr>
                              <w:t xml:space="preserve">En cualquiera de los dos casos, el sujeto obligado debe acompañar su negativa con una justificación en la que se explique </w:t>
                            </w:r>
                            <w:r w:rsidR="00507EDB" w:rsidRPr="00B12DD9">
                              <w:rPr>
                                <w:b/>
                                <w:bCs/>
                                <w:sz w:val="22"/>
                                <w:szCs w:val="22"/>
                                <w:lang w:val="es-ES_tradnl"/>
                              </w:rPr>
                              <w:t xml:space="preserve">que </w:t>
                            </w:r>
                            <w:r w:rsidRPr="00B12DD9">
                              <w:rPr>
                                <w:b/>
                                <w:bCs/>
                                <w:sz w:val="22"/>
                                <w:szCs w:val="22"/>
                                <w:lang w:val="es-ES_tradnl"/>
                              </w:rPr>
                              <w:t xml:space="preserve">la </w:t>
                            </w:r>
                            <w:r w:rsidR="00507EDB" w:rsidRPr="00B12DD9">
                              <w:rPr>
                                <w:b/>
                                <w:bCs/>
                                <w:sz w:val="22"/>
                                <w:szCs w:val="22"/>
                                <w:lang w:val="es-ES_tradnl"/>
                              </w:rPr>
                              <w:t>divulgación</w:t>
                            </w:r>
                            <w:r w:rsidRPr="00B12DD9">
                              <w:rPr>
                                <w:b/>
                                <w:bCs/>
                                <w:sz w:val="22"/>
                                <w:szCs w:val="22"/>
                                <w:lang w:val="es-ES_tradnl"/>
                              </w:rPr>
                              <w:t xml:space="preserve"> de la información causa</w:t>
                            </w:r>
                            <w:r w:rsidR="00507EDB" w:rsidRPr="00B12DD9">
                              <w:rPr>
                                <w:b/>
                                <w:bCs/>
                                <w:sz w:val="22"/>
                                <w:szCs w:val="22"/>
                                <w:lang w:val="es-ES_tradnl"/>
                              </w:rPr>
                              <w:t xml:space="preserve"> un daño actual, probable y específico que supere el interés público de acceder a ella</w:t>
                            </w:r>
                            <w:r w:rsidR="00507EDB" w:rsidRPr="00821DC8">
                              <w:rPr>
                                <w:b/>
                                <w:bCs/>
                                <w:lang w:val="es-ES_tradnl"/>
                              </w:rPr>
                              <w:t>.</w:t>
                            </w:r>
                          </w:p>
                          <w:p w14:paraId="0082C621" w14:textId="77777777" w:rsidR="00507EDB" w:rsidRDefault="00507E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DD197" id="Cuadro de texto 6" o:spid="_x0000_s1029" type="#_x0000_t202" style="position:absolute;left:0;text-align:left;margin-left:6.3pt;margin-top:15.15pt;width:433.5pt;height:6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" fillcolor="#b4c6e7 [1300]" strokeweight=".5pt">
                <v:textbox>
                  <w:txbxContent>
                    <w:p w14:paraId="2B12CF17" w14:textId="7C0890E1" w:rsidR="00507EDB" w:rsidRPr="00821DC8" w:rsidRDefault="00821DC8" w:rsidP="00821DC8">
                      <w:pPr>
                        <w:pStyle w:val="NormalWeb"/>
                        <w:spacing w:before="0" w:beforeAutospacing="0" w:after="0" w:afterAutospacing="0"/>
                        <w:jc w:val="both"/>
                        <w:rPr>
                          <w:b/>
                          <w:bCs/>
                          <w:lang w:val="es-ES_tradnl"/>
                        </w:rPr>
                      </w:pPr>
                      <w:r w:rsidRPr="00B12DD9">
                        <w:rPr>
                          <w:sz w:val="22"/>
                          <w:szCs w:val="22"/>
                          <w:lang w:val="es-ES_tradnl"/>
                        </w:rPr>
                        <w:t xml:space="preserve">En cualquiera de los dos casos, el sujeto obligado debe acompañar su negativa con una justificación en la que se explique </w:t>
                      </w:r>
                      <w:r w:rsidR="00507EDB" w:rsidRPr="00B12DD9">
                        <w:rPr>
                          <w:b/>
                          <w:bCs/>
                          <w:sz w:val="22"/>
                          <w:szCs w:val="22"/>
                          <w:lang w:val="es-ES_tradnl"/>
                        </w:rPr>
                        <w:t xml:space="preserve">que </w:t>
                      </w:r>
                      <w:r w:rsidRPr="00B12DD9">
                        <w:rPr>
                          <w:b/>
                          <w:bCs/>
                          <w:sz w:val="22"/>
                          <w:szCs w:val="22"/>
                          <w:lang w:val="es-ES_tradnl"/>
                        </w:rPr>
                        <w:t xml:space="preserve">la </w:t>
                      </w:r>
                      <w:r w:rsidR="00507EDB" w:rsidRPr="00B12DD9">
                        <w:rPr>
                          <w:b/>
                          <w:bCs/>
                          <w:sz w:val="22"/>
                          <w:szCs w:val="22"/>
                          <w:lang w:val="es-ES_tradnl"/>
                        </w:rPr>
                        <w:t>divulgación</w:t>
                      </w:r>
                      <w:r w:rsidRPr="00B12DD9">
                        <w:rPr>
                          <w:b/>
                          <w:bCs/>
                          <w:sz w:val="22"/>
                          <w:szCs w:val="22"/>
                          <w:lang w:val="es-ES_tradnl"/>
                        </w:rPr>
                        <w:t xml:space="preserve"> de la información causa</w:t>
                      </w:r>
                      <w:r w:rsidR="00507EDB" w:rsidRPr="00B12DD9">
                        <w:rPr>
                          <w:b/>
                          <w:bCs/>
                          <w:sz w:val="22"/>
                          <w:szCs w:val="22"/>
                          <w:lang w:val="es-ES_tradnl"/>
                        </w:rPr>
                        <w:t xml:space="preserve"> un daño actual, probable y específico que supere el interés público de acceder a ella</w:t>
                      </w:r>
                      <w:r w:rsidR="00507EDB" w:rsidRPr="00821DC8">
                        <w:rPr>
                          <w:b/>
                          <w:bCs/>
                          <w:lang w:val="es-ES_tradnl"/>
                        </w:rPr>
                        <w:t>.</w:t>
                      </w:r>
                    </w:p>
                    <w:p w14:paraId="0082C621" w14:textId="77777777" w:rsidR="00507EDB" w:rsidRDefault="00507EDB"/>
                  </w:txbxContent>
                </v:textbox>
              </v:shape>
            </w:pict>
          </mc:Fallback>
        </mc:AlternateContent>
      </w:r>
    </w:p>
    <w:p w14:paraId="5CD44A38" w14:textId="15D9A391" w:rsidR="00507EDB" w:rsidRPr="00AB4289" w:rsidRDefault="00507EDB" w:rsidP="00B40BE5">
      <w:pPr>
        <w:pStyle w:val="NormalWeb"/>
        <w:spacing w:before="0" w:beforeAutospacing="0" w:after="0" w:afterAutospacing="0"/>
        <w:jc w:val="both"/>
        <w:rPr>
          <w:sz w:val="28"/>
          <w:szCs w:val="28"/>
          <w:lang w:val="es-ES_tradnl"/>
        </w:rPr>
      </w:pPr>
    </w:p>
    <w:p w14:paraId="59442EEA" w14:textId="77777777" w:rsidR="00490F7B" w:rsidRPr="00AB4289" w:rsidRDefault="00490F7B" w:rsidP="00B40BE5">
      <w:pPr>
        <w:pStyle w:val="NormalWeb"/>
        <w:spacing w:before="0" w:beforeAutospacing="0" w:after="0" w:afterAutospacing="0"/>
        <w:jc w:val="both"/>
        <w:rPr>
          <w:sz w:val="28"/>
          <w:szCs w:val="28"/>
          <w:lang w:val="es-ES_tradnl"/>
        </w:rPr>
      </w:pPr>
    </w:p>
    <w:p w14:paraId="56793A62" w14:textId="77777777" w:rsidR="00490F7B" w:rsidRPr="00AB4289" w:rsidRDefault="00490F7B" w:rsidP="00B40BE5">
      <w:pPr>
        <w:pStyle w:val="NormalWeb"/>
        <w:spacing w:before="0" w:beforeAutospacing="0" w:after="0" w:afterAutospacing="0"/>
        <w:jc w:val="both"/>
        <w:rPr>
          <w:sz w:val="28"/>
          <w:szCs w:val="28"/>
          <w:lang w:val="es-ES_tradnl"/>
        </w:rPr>
      </w:pPr>
    </w:p>
    <w:p w14:paraId="07C22296" w14:textId="77777777" w:rsidR="00490F7B" w:rsidRPr="00AB4289" w:rsidRDefault="00490F7B" w:rsidP="00B40BE5">
      <w:pPr>
        <w:pStyle w:val="NormalWeb"/>
        <w:spacing w:before="0" w:beforeAutospacing="0" w:after="0" w:afterAutospacing="0"/>
        <w:jc w:val="both"/>
        <w:rPr>
          <w:sz w:val="28"/>
          <w:szCs w:val="28"/>
          <w:lang w:val="es-ES_tradnl"/>
        </w:rPr>
      </w:pPr>
    </w:p>
    <w:p w14:paraId="76621B74" w14:textId="46F44E76" w:rsidR="00490F7B" w:rsidRPr="00AB4289" w:rsidRDefault="00B12DD9" w:rsidP="00B40BE5">
      <w:pPr>
        <w:pStyle w:val="NormalWeb"/>
        <w:spacing w:before="0" w:beforeAutospacing="0" w:after="0" w:afterAutospacing="0"/>
        <w:jc w:val="both"/>
        <w:rPr>
          <w:color w:val="000000" w:themeColor="text1"/>
          <w:sz w:val="22"/>
          <w:szCs w:val="22"/>
          <w:lang w:val="es-ES_tradnl"/>
        </w:rPr>
      </w:pPr>
      <w:r w:rsidRPr="00AB4289">
        <w:rPr>
          <w:sz w:val="22"/>
          <w:szCs w:val="22"/>
          <w:lang w:val="es-ES_tradnl"/>
        </w:rPr>
        <w:t xml:space="preserve">Fuente: </w:t>
      </w:r>
      <w:r w:rsidRPr="00AB4289">
        <w:rPr>
          <w:color w:val="000000" w:themeColor="text1"/>
          <w:sz w:val="22"/>
          <w:szCs w:val="22"/>
          <w:lang w:val="es-ES_tradnl"/>
        </w:rPr>
        <w:t>elaboración propia de</w:t>
      </w:r>
      <w:r w:rsidR="00614CE7">
        <w:rPr>
          <w:color w:val="000000" w:themeColor="text1"/>
          <w:sz w:val="22"/>
          <w:szCs w:val="22"/>
          <w:lang w:val="es-ES_tradnl"/>
        </w:rPr>
        <w:t xml:space="preserve"> la Corte Constitucional.</w:t>
      </w:r>
    </w:p>
    <w:p w14:paraId="758B231C" w14:textId="77777777" w:rsidR="00B12DD9" w:rsidRPr="00AB4289" w:rsidRDefault="00B12DD9" w:rsidP="00B40BE5">
      <w:pPr>
        <w:pStyle w:val="NormalWeb"/>
        <w:spacing w:before="0" w:beforeAutospacing="0" w:after="0" w:afterAutospacing="0"/>
        <w:jc w:val="both"/>
        <w:rPr>
          <w:sz w:val="28"/>
          <w:szCs w:val="28"/>
          <w:lang w:val="es-ES_tradnl"/>
        </w:rPr>
      </w:pPr>
    </w:p>
    <w:p w14:paraId="3B0C83C5" w14:textId="1E1194E7" w:rsidR="00821DC8" w:rsidRPr="00AB4289" w:rsidRDefault="009B203C" w:rsidP="00B40BE5">
      <w:pPr>
        <w:pStyle w:val="Prrafodelista"/>
        <w:numPr>
          <w:ilvl w:val="0"/>
          <w:numId w:val="2"/>
        </w:numPr>
        <w:ind w:left="0" w:firstLine="0"/>
        <w:jc w:val="both"/>
        <w:rPr>
          <w:sz w:val="28"/>
          <w:szCs w:val="28"/>
          <w:lang w:val="es-ES"/>
        </w:rPr>
      </w:pPr>
      <w:r w:rsidRPr="00AB4289">
        <w:rPr>
          <w:sz w:val="28"/>
          <w:szCs w:val="28"/>
          <w:lang w:val="es-ES_tradnl"/>
        </w:rPr>
        <w:t>Por lo tanto, según el artículo 28 analizado</w:t>
      </w:r>
      <w:r w:rsidR="00821DC8" w:rsidRPr="00AB4289">
        <w:rPr>
          <w:sz w:val="28"/>
          <w:szCs w:val="28"/>
          <w:lang w:val="es-ES_tradnl"/>
        </w:rPr>
        <w:t xml:space="preserve">, </w:t>
      </w:r>
      <w:r w:rsidR="00821DC8" w:rsidRPr="00AB4289">
        <w:rPr>
          <w:sz w:val="28"/>
          <w:szCs w:val="28"/>
          <w:lang w:val="es-ES"/>
        </w:rPr>
        <w:t>para negar el acceso a la información, el sujeto obligado debe demostrar dos aspectos: (i) que la información es de naturaleza clasificada o reservada y (</w:t>
      </w:r>
      <w:proofErr w:type="spellStart"/>
      <w:r w:rsidR="00821DC8" w:rsidRPr="00AB4289">
        <w:rPr>
          <w:sz w:val="28"/>
          <w:szCs w:val="28"/>
          <w:lang w:val="es-ES"/>
        </w:rPr>
        <w:t>ii</w:t>
      </w:r>
      <w:proofErr w:type="spellEnd"/>
      <w:r w:rsidR="00821DC8" w:rsidRPr="00AB4289">
        <w:rPr>
          <w:sz w:val="28"/>
          <w:szCs w:val="28"/>
          <w:lang w:val="es-ES"/>
        </w:rPr>
        <w:t>) que su revelación causa un daño presente, probable y específico que excede el interés público que representa el acceso a la información</w:t>
      </w:r>
      <w:r w:rsidR="00821DC8" w:rsidRPr="00AB4289">
        <w:rPr>
          <w:vertAlign w:val="superscript"/>
          <w:lang w:val="es-ES"/>
        </w:rPr>
        <w:footnoteReference w:id="75"/>
      </w:r>
      <w:r w:rsidR="00821DC8" w:rsidRPr="00AB4289">
        <w:rPr>
          <w:sz w:val="28"/>
          <w:szCs w:val="28"/>
          <w:lang w:val="es-ES"/>
        </w:rPr>
        <w:t xml:space="preserve">. Es decir, el sujeto obligado, para negar el acceso a la información pública, debe demostrar ambos elementos, uno relacionado con la naturaleza de la información y el otro relacionado con el daño que la revelación pueda causar.  </w:t>
      </w:r>
      <w:bookmarkStart w:id="19" w:name="_Ref172549106"/>
    </w:p>
    <w:p w14:paraId="19500F07" w14:textId="77777777" w:rsidR="00821DC8" w:rsidRPr="00AB4289" w:rsidRDefault="00821DC8" w:rsidP="00B40BE5">
      <w:pPr>
        <w:pStyle w:val="Prrafodelista"/>
        <w:ind w:left="0"/>
        <w:jc w:val="both"/>
        <w:rPr>
          <w:sz w:val="28"/>
          <w:szCs w:val="28"/>
          <w:lang w:val="es-ES"/>
        </w:rPr>
      </w:pPr>
    </w:p>
    <w:p w14:paraId="140BFD1B" w14:textId="35508092" w:rsidR="004C68EE" w:rsidRPr="00AB4289" w:rsidRDefault="00821DC8" w:rsidP="00B40BE5">
      <w:pPr>
        <w:pStyle w:val="Prrafodelista"/>
        <w:numPr>
          <w:ilvl w:val="0"/>
          <w:numId w:val="2"/>
        </w:numPr>
        <w:ind w:left="0" w:firstLine="0"/>
        <w:jc w:val="both"/>
        <w:rPr>
          <w:sz w:val="28"/>
          <w:szCs w:val="28"/>
          <w:lang w:val="es-ES"/>
        </w:rPr>
      </w:pPr>
      <w:r w:rsidRPr="00AB4289">
        <w:rPr>
          <w:sz w:val="28"/>
          <w:szCs w:val="28"/>
          <w:lang w:val="es-ES_tradnl"/>
        </w:rPr>
        <w:t>Para determinar el daño que la revelación puede causar, la norma</w:t>
      </w:r>
      <w:r w:rsidR="009B203C" w:rsidRPr="00AB4289">
        <w:rPr>
          <w:sz w:val="28"/>
          <w:szCs w:val="28"/>
          <w:lang w:val="es-ES_tradnl"/>
        </w:rPr>
        <w:t xml:space="preserve"> estudiada</w:t>
      </w:r>
      <w:r w:rsidR="00A645CA" w:rsidRPr="00AB4289">
        <w:rPr>
          <w:sz w:val="28"/>
          <w:szCs w:val="28"/>
          <w:lang w:val="es-ES_tradnl"/>
        </w:rPr>
        <w:t xml:space="preserve"> establece que el daño que </w:t>
      </w:r>
      <w:r w:rsidR="00180820" w:rsidRPr="00AB4289">
        <w:rPr>
          <w:sz w:val="28"/>
          <w:szCs w:val="28"/>
          <w:lang w:val="es-ES_tradnl"/>
        </w:rPr>
        <w:t xml:space="preserve">la entrega de la información </w:t>
      </w:r>
      <w:r w:rsidR="00A645CA" w:rsidRPr="00AB4289">
        <w:rPr>
          <w:sz w:val="28"/>
          <w:szCs w:val="28"/>
          <w:lang w:val="es-ES_tradnl"/>
        </w:rPr>
        <w:t xml:space="preserve">produce debe ser mayor al beneficio público que supone su entrega. Con esto, </w:t>
      </w:r>
      <w:r w:rsidR="007C5CD4" w:rsidRPr="00AB4289">
        <w:rPr>
          <w:sz w:val="28"/>
          <w:szCs w:val="28"/>
          <w:lang w:val="es-ES_tradnl"/>
        </w:rPr>
        <w:t xml:space="preserve">el artículo 28 de la Ley 1712 de 2014 </w:t>
      </w:r>
      <w:r w:rsidR="009B203C" w:rsidRPr="00AB4289">
        <w:rPr>
          <w:sz w:val="28"/>
          <w:szCs w:val="28"/>
          <w:lang w:val="es-ES_tradnl"/>
        </w:rPr>
        <w:t xml:space="preserve">señala </w:t>
      </w:r>
      <w:r w:rsidRPr="00AB4289">
        <w:rPr>
          <w:sz w:val="28"/>
          <w:szCs w:val="28"/>
          <w:lang w:val="es-ES_tradnl"/>
        </w:rPr>
        <w:t xml:space="preserve">que los sujetos obligados </w:t>
      </w:r>
      <w:r w:rsidR="00F5717F" w:rsidRPr="00AB4289">
        <w:rPr>
          <w:sz w:val="28"/>
          <w:szCs w:val="28"/>
          <w:lang w:val="es-ES_tradnl"/>
        </w:rPr>
        <w:t xml:space="preserve">deben hacer un juicio de ponderación </w:t>
      </w:r>
      <w:r w:rsidRPr="00AB4289">
        <w:rPr>
          <w:sz w:val="28"/>
          <w:szCs w:val="28"/>
          <w:lang w:val="es-ES_tradnl"/>
        </w:rPr>
        <w:t xml:space="preserve">para comparar los </w:t>
      </w:r>
      <w:r w:rsidR="00F5717F" w:rsidRPr="00AB4289">
        <w:rPr>
          <w:sz w:val="28"/>
          <w:szCs w:val="28"/>
          <w:lang w:val="es-ES_tradnl"/>
        </w:rPr>
        <w:t>eventuales beneficios o perjuicios que se pueden derivar de la entrega de los datos</w:t>
      </w:r>
      <w:r w:rsidR="00043BA6" w:rsidRPr="00AB4289">
        <w:rPr>
          <w:sz w:val="28"/>
          <w:szCs w:val="28"/>
          <w:lang w:val="es-ES_tradnl"/>
        </w:rPr>
        <w:t>. La doctrina</w:t>
      </w:r>
      <w:r w:rsidR="00043BA6" w:rsidRPr="00AB4289">
        <w:rPr>
          <w:rStyle w:val="Refdenotaalpie"/>
          <w:rFonts w:cs="Times New Roman"/>
          <w:sz w:val="28"/>
          <w:szCs w:val="28"/>
          <w:lang w:val="es-ES_tradnl"/>
        </w:rPr>
        <w:footnoteReference w:id="76"/>
      </w:r>
      <w:r w:rsidR="00043BA6" w:rsidRPr="00AB4289">
        <w:rPr>
          <w:sz w:val="28"/>
          <w:szCs w:val="28"/>
          <w:lang w:val="es-ES_tradnl"/>
        </w:rPr>
        <w:t>,</w:t>
      </w:r>
      <w:r w:rsidRPr="00AB4289">
        <w:rPr>
          <w:sz w:val="28"/>
          <w:szCs w:val="28"/>
          <w:lang w:val="es-ES_tradnl"/>
        </w:rPr>
        <w:t xml:space="preserve"> </w:t>
      </w:r>
      <w:r w:rsidR="008C286E" w:rsidRPr="00AB4289">
        <w:rPr>
          <w:sz w:val="28"/>
          <w:szCs w:val="28"/>
          <w:lang w:val="es-ES_tradnl"/>
        </w:rPr>
        <w:t>organizaciones de la</w:t>
      </w:r>
      <w:r w:rsidRPr="00AB4289">
        <w:rPr>
          <w:sz w:val="28"/>
          <w:szCs w:val="28"/>
          <w:lang w:val="es-ES_tradnl"/>
        </w:rPr>
        <w:t xml:space="preserve"> sociedad civil</w:t>
      </w:r>
      <w:r w:rsidRPr="00AB4289">
        <w:rPr>
          <w:rStyle w:val="Refdenotaalpie"/>
          <w:rFonts w:cs="Times New Roman"/>
          <w:sz w:val="28"/>
          <w:szCs w:val="28"/>
          <w:lang w:val="es-ES_tradnl"/>
        </w:rPr>
        <w:footnoteReference w:id="77"/>
      </w:r>
      <w:r w:rsidRPr="00AB4289">
        <w:rPr>
          <w:sz w:val="28"/>
          <w:szCs w:val="28"/>
          <w:lang w:val="es-ES_tradnl"/>
        </w:rPr>
        <w:t>,</w:t>
      </w:r>
      <w:r w:rsidR="00043BA6" w:rsidRPr="00AB4289">
        <w:rPr>
          <w:sz w:val="28"/>
          <w:szCs w:val="28"/>
          <w:lang w:val="es-ES_tradnl"/>
        </w:rPr>
        <w:t xml:space="preserve"> la Co</w:t>
      </w:r>
      <w:r w:rsidR="00293688" w:rsidRPr="00AB4289">
        <w:rPr>
          <w:sz w:val="28"/>
          <w:szCs w:val="28"/>
          <w:lang w:val="es-ES_tradnl"/>
        </w:rPr>
        <w:t>misión</w:t>
      </w:r>
      <w:r w:rsidR="00043BA6" w:rsidRPr="00AB4289">
        <w:rPr>
          <w:sz w:val="28"/>
          <w:szCs w:val="28"/>
          <w:lang w:val="es-ES_tradnl"/>
        </w:rPr>
        <w:t xml:space="preserve"> Interamericana</w:t>
      </w:r>
      <w:r w:rsidR="00293688" w:rsidRPr="00AB4289">
        <w:rPr>
          <w:sz w:val="28"/>
          <w:szCs w:val="28"/>
          <w:lang w:val="es-ES_tradnl"/>
        </w:rPr>
        <w:t xml:space="preserve"> de Derechos Humanos</w:t>
      </w:r>
      <w:r w:rsidR="00043BA6" w:rsidRPr="00AB4289">
        <w:rPr>
          <w:rStyle w:val="Refdenotaalpie"/>
          <w:rFonts w:cs="Times New Roman"/>
          <w:sz w:val="28"/>
          <w:szCs w:val="28"/>
          <w:lang w:val="es-ES_tradnl"/>
        </w:rPr>
        <w:footnoteReference w:id="78"/>
      </w:r>
      <w:r w:rsidR="00043BA6" w:rsidRPr="00AB4289">
        <w:rPr>
          <w:sz w:val="28"/>
          <w:szCs w:val="28"/>
          <w:lang w:val="es-ES_tradnl"/>
        </w:rPr>
        <w:t>, y algunas sentencias de la Corte Constitucional</w:t>
      </w:r>
      <w:r w:rsidR="00043BA6" w:rsidRPr="00AB4289">
        <w:rPr>
          <w:rStyle w:val="Refdenotaalpie"/>
          <w:rFonts w:cs="Times New Roman"/>
          <w:sz w:val="28"/>
          <w:szCs w:val="28"/>
          <w:lang w:val="es-ES_tradnl"/>
        </w:rPr>
        <w:footnoteReference w:id="79"/>
      </w:r>
      <w:r w:rsidR="00043BA6" w:rsidRPr="00AB4289">
        <w:rPr>
          <w:sz w:val="28"/>
          <w:szCs w:val="28"/>
          <w:lang w:val="es-ES_tradnl"/>
        </w:rPr>
        <w:t xml:space="preserve"> han denominado este análisis como </w:t>
      </w:r>
      <w:r w:rsidR="009B203C" w:rsidRPr="00AB4289">
        <w:rPr>
          <w:sz w:val="28"/>
          <w:szCs w:val="28"/>
          <w:lang w:val="es-ES_tradnl"/>
        </w:rPr>
        <w:t xml:space="preserve">el </w:t>
      </w:r>
      <w:r w:rsidR="00043BA6" w:rsidRPr="00AB4289">
        <w:rPr>
          <w:sz w:val="28"/>
          <w:szCs w:val="28"/>
          <w:lang w:val="es-ES_tradnl"/>
        </w:rPr>
        <w:t xml:space="preserve">“test de daño”. </w:t>
      </w:r>
      <w:r w:rsidR="007E29D2" w:rsidRPr="00AB4289">
        <w:rPr>
          <w:sz w:val="28"/>
          <w:szCs w:val="28"/>
          <w:lang w:val="es-ES_tradnl"/>
        </w:rPr>
        <w:t xml:space="preserve"> Así, según este </w:t>
      </w:r>
      <w:r w:rsidR="007C5CD4" w:rsidRPr="00AB4289">
        <w:rPr>
          <w:sz w:val="28"/>
          <w:szCs w:val="28"/>
          <w:lang w:val="es-ES_tradnl"/>
        </w:rPr>
        <w:t>juicio</w:t>
      </w:r>
      <w:r w:rsidR="007E29D2" w:rsidRPr="00AB4289">
        <w:rPr>
          <w:sz w:val="28"/>
          <w:szCs w:val="28"/>
          <w:lang w:val="es-ES_tradnl"/>
        </w:rPr>
        <w:t xml:space="preserve">, los sujetos obligados deben </w:t>
      </w:r>
      <w:r w:rsidR="00A30EB2" w:rsidRPr="00AB4289">
        <w:rPr>
          <w:sz w:val="28"/>
          <w:szCs w:val="28"/>
          <w:lang w:val="es-ES_tradnl"/>
        </w:rPr>
        <w:t xml:space="preserve">ponderar, de manera rigurosa, </w:t>
      </w:r>
      <w:r w:rsidR="007E29D2" w:rsidRPr="00AB4289">
        <w:rPr>
          <w:sz w:val="28"/>
          <w:szCs w:val="28"/>
          <w:lang w:val="es-ES_tradnl"/>
        </w:rPr>
        <w:t>los beneficios y posibles riesgos de</w:t>
      </w:r>
      <w:r w:rsidR="00A30EB2" w:rsidRPr="00AB4289">
        <w:rPr>
          <w:sz w:val="28"/>
          <w:szCs w:val="28"/>
          <w:lang w:val="es-ES_tradnl"/>
        </w:rPr>
        <w:t>rivados de</w:t>
      </w:r>
      <w:r w:rsidR="007E29D2" w:rsidRPr="00AB4289">
        <w:rPr>
          <w:sz w:val="28"/>
          <w:szCs w:val="28"/>
          <w:lang w:val="es-ES_tradnl"/>
        </w:rPr>
        <w:t xml:space="preserve"> la entrega de la información</w:t>
      </w:r>
      <w:r w:rsidR="00A30EB2" w:rsidRPr="00AB4289">
        <w:rPr>
          <w:sz w:val="28"/>
          <w:szCs w:val="28"/>
          <w:lang w:val="es-ES_tradnl"/>
        </w:rPr>
        <w:t xml:space="preserve"> solicitada</w:t>
      </w:r>
      <w:r w:rsidR="007E29D2" w:rsidRPr="00AB4289">
        <w:rPr>
          <w:sz w:val="28"/>
          <w:szCs w:val="28"/>
          <w:lang w:val="es-ES_tradnl"/>
        </w:rPr>
        <w:t xml:space="preserve">. </w:t>
      </w:r>
    </w:p>
    <w:p w14:paraId="16764460" w14:textId="77777777" w:rsidR="0072301F" w:rsidRPr="00AB4289" w:rsidRDefault="0072301F" w:rsidP="00B40BE5">
      <w:pPr>
        <w:pStyle w:val="Prrafodelista"/>
        <w:ind w:left="0"/>
        <w:jc w:val="both"/>
        <w:rPr>
          <w:sz w:val="28"/>
          <w:szCs w:val="28"/>
          <w:lang w:val="es-ES_tradnl"/>
        </w:rPr>
      </w:pPr>
    </w:p>
    <w:p w14:paraId="0E7909F6" w14:textId="60CDEF6F" w:rsidR="0072301F" w:rsidRPr="00AB4289" w:rsidRDefault="00043BA6" w:rsidP="00B40BE5">
      <w:pPr>
        <w:pStyle w:val="Prrafodelista"/>
        <w:numPr>
          <w:ilvl w:val="0"/>
          <w:numId w:val="2"/>
        </w:numPr>
        <w:ind w:left="0" w:firstLine="0"/>
        <w:jc w:val="both"/>
        <w:rPr>
          <w:sz w:val="28"/>
          <w:szCs w:val="28"/>
          <w:lang w:val="es-ES_tradnl"/>
        </w:rPr>
      </w:pPr>
      <w:r w:rsidRPr="00AB4289">
        <w:rPr>
          <w:sz w:val="28"/>
          <w:szCs w:val="28"/>
          <w:lang w:val="es-ES_tradnl"/>
        </w:rPr>
        <w:t>En concreto</w:t>
      </w:r>
      <w:r w:rsidR="00293688" w:rsidRPr="00AB4289">
        <w:rPr>
          <w:sz w:val="28"/>
          <w:szCs w:val="28"/>
          <w:lang w:val="es-ES_tradnl"/>
        </w:rPr>
        <w:t>,</w:t>
      </w:r>
      <w:r w:rsidR="00821DC8" w:rsidRPr="00AB4289">
        <w:rPr>
          <w:sz w:val="28"/>
          <w:szCs w:val="28"/>
          <w:lang w:val="es-ES_tradnl"/>
        </w:rPr>
        <w:t xml:space="preserve"> esta ponderación supone</w:t>
      </w:r>
      <w:r w:rsidR="0072301F" w:rsidRPr="00AB4289">
        <w:rPr>
          <w:sz w:val="28"/>
          <w:szCs w:val="28"/>
          <w:lang w:val="es-ES_tradnl"/>
        </w:rPr>
        <w:t xml:space="preserve"> un análisis contextual en cada caso</w:t>
      </w:r>
      <w:r w:rsidR="00821DC8" w:rsidRPr="00AB4289">
        <w:rPr>
          <w:sz w:val="28"/>
          <w:szCs w:val="28"/>
          <w:lang w:val="es-ES_tradnl"/>
        </w:rPr>
        <w:t xml:space="preserve">. Así, los sujetos obligados deben tener en </w:t>
      </w:r>
      <w:r w:rsidR="0072301F" w:rsidRPr="00AB4289">
        <w:rPr>
          <w:sz w:val="28"/>
          <w:szCs w:val="28"/>
          <w:lang w:val="es-ES_tradnl"/>
        </w:rPr>
        <w:t>cuenta los derechos en tensión y el grado en que estos pueden resultar comprometidos en la situación concreta. En otras palabras</w:t>
      </w:r>
      <w:r w:rsidRPr="00AB4289">
        <w:rPr>
          <w:sz w:val="28"/>
          <w:szCs w:val="28"/>
          <w:lang w:val="es-ES_tradnl"/>
        </w:rPr>
        <w:t>:</w:t>
      </w:r>
      <w:r w:rsidR="0072301F" w:rsidRPr="00AB4289">
        <w:rPr>
          <w:sz w:val="28"/>
          <w:szCs w:val="28"/>
          <w:lang w:val="es-ES_tradnl"/>
        </w:rPr>
        <w:t xml:space="preserve"> se </w:t>
      </w:r>
      <w:r w:rsidR="00821DC8" w:rsidRPr="00AB4289">
        <w:rPr>
          <w:sz w:val="28"/>
          <w:szCs w:val="28"/>
          <w:lang w:val="es-ES_tradnl"/>
        </w:rPr>
        <w:t>deben</w:t>
      </w:r>
      <w:r w:rsidR="0072301F" w:rsidRPr="00AB4289">
        <w:rPr>
          <w:sz w:val="28"/>
          <w:szCs w:val="28"/>
          <w:lang w:val="es-ES_tradnl"/>
        </w:rPr>
        <w:t xml:space="preserve"> comparar los efectos que tendría la divulgación sobre los distintos derechos involucrados </w:t>
      </w:r>
      <w:r w:rsidR="00821DC8" w:rsidRPr="00AB4289">
        <w:rPr>
          <w:sz w:val="28"/>
          <w:szCs w:val="28"/>
          <w:lang w:val="es-ES_tradnl"/>
        </w:rPr>
        <w:t xml:space="preserve">en cada caso </w:t>
      </w:r>
      <w:r w:rsidR="0072301F" w:rsidRPr="00AB4289">
        <w:rPr>
          <w:sz w:val="28"/>
          <w:szCs w:val="28"/>
          <w:lang w:val="es-ES_tradnl"/>
        </w:rPr>
        <w:t xml:space="preserve">y determinar si la afectación de otros derechos fundamentales resulta superior al interés público que supone el acceso a la información pública. </w:t>
      </w:r>
    </w:p>
    <w:p w14:paraId="0204E029" w14:textId="77777777" w:rsidR="000C28A0" w:rsidRPr="00AB4289" w:rsidRDefault="000C28A0" w:rsidP="00B40BE5">
      <w:pPr>
        <w:jc w:val="both"/>
      </w:pPr>
    </w:p>
    <w:p w14:paraId="3C5F1A98" w14:textId="3D41FE95" w:rsidR="00516D11" w:rsidRPr="00AB4289" w:rsidRDefault="000C28A0" w:rsidP="00B40BE5">
      <w:pPr>
        <w:pStyle w:val="Prrafodelista"/>
        <w:numPr>
          <w:ilvl w:val="0"/>
          <w:numId w:val="2"/>
        </w:numPr>
        <w:ind w:left="0" w:firstLine="0"/>
        <w:jc w:val="both"/>
        <w:rPr>
          <w:sz w:val="28"/>
          <w:szCs w:val="28"/>
          <w:lang w:val="es-ES_tradnl"/>
        </w:rPr>
      </w:pPr>
      <w:r w:rsidRPr="00AB4289">
        <w:rPr>
          <w:sz w:val="28"/>
          <w:szCs w:val="28"/>
          <w:lang w:val="es-ES_tradnl"/>
        </w:rPr>
        <w:t xml:space="preserve">Por regla general, los conflictos en torno a la entrega de información pública surgen cuando su divulgación puede entrar en tensión con los derechos fundamentales </w:t>
      </w:r>
      <w:r w:rsidR="00ED464E" w:rsidRPr="00AB4289">
        <w:rPr>
          <w:sz w:val="28"/>
          <w:szCs w:val="28"/>
          <w:lang w:val="es-ES_tradnl"/>
        </w:rPr>
        <w:t xml:space="preserve">a </w:t>
      </w:r>
      <w:r w:rsidRPr="00AB4289">
        <w:rPr>
          <w:sz w:val="28"/>
          <w:szCs w:val="28"/>
          <w:lang w:val="es-ES_tradnl"/>
        </w:rPr>
        <w:t>la intimidad, la privacidad o el hábeas data</w:t>
      </w:r>
      <w:r w:rsidR="00ED464E" w:rsidRPr="00AB4289">
        <w:rPr>
          <w:sz w:val="28"/>
          <w:szCs w:val="28"/>
          <w:lang w:val="es-ES_tradnl"/>
        </w:rPr>
        <w:t xml:space="preserve"> de otras personas</w:t>
      </w:r>
      <w:r w:rsidR="00D14A9A" w:rsidRPr="00AB4289">
        <w:rPr>
          <w:rStyle w:val="Refdenotaalpie"/>
          <w:rFonts w:cs="Times New Roman"/>
          <w:sz w:val="28"/>
          <w:szCs w:val="28"/>
          <w:lang w:val="es-ES_tradnl"/>
        </w:rPr>
        <w:footnoteReference w:id="80"/>
      </w:r>
      <w:r w:rsidRPr="00AB4289">
        <w:rPr>
          <w:sz w:val="28"/>
          <w:szCs w:val="28"/>
          <w:lang w:val="es-ES_tradnl"/>
        </w:rPr>
        <w:t>. En estos casos, como se ha señalado, es necesario realizar una ponderación para determinar si la afectación a la intimidad justifica la reserva de la información.</w:t>
      </w:r>
      <w:r w:rsidR="00516D11" w:rsidRPr="00AB4289">
        <w:rPr>
          <w:sz w:val="28"/>
          <w:szCs w:val="28"/>
          <w:lang w:val="es-ES_tradnl"/>
        </w:rPr>
        <w:t xml:space="preserve"> </w:t>
      </w:r>
      <w:r w:rsidRPr="00AB4289">
        <w:rPr>
          <w:sz w:val="28"/>
          <w:szCs w:val="28"/>
          <w:lang w:val="es-ES_tradnl"/>
        </w:rPr>
        <w:t xml:space="preserve">Con el fin de orientar este análisis, la Corte Constitucional ha desarrollado una serie de criterios orientadores que permiten establecer cuándo una solicitud de información goza de una protección constitucional especial </w:t>
      </w:r>
      <w:r w:rsidR="00516D11" w:rsidRPr="00AB4289">
        <w:rPr>
          <w:sz w:val="28"/>
          <w:szCs w:val="28"/>
          <w:lang w:val="es-ES_tradnl"/>
        </w:rPr>
        <w:t>que debe, en principio, prevalecer sobre los derechos a la intimidad y al hábeas data</w:t>
      </w:r>
      <w:r w:rsidRPr="00AB4289">
        <w:rPr>
          <w:sz w:val="28"/>
          <w:szCs w:val="28"/>
          <w:lang w:val="es-ES_tradnl"/>
        </w:rPr>
        <w:t>.</w:t>
      </w:r>
    </w:p>
    <w:p w14:paraId="278C09EB" w14:textId="77777777" w:rsidR="00516D11" w:rsidRPr="00AB4289" w:rsidRDefault="00516D11" w:rsidP="00B40BE5">
      <w:pPr>
        <w:pStyle w:val="Prrafodelista"/>
        <w:jc w:val="both"/>
        <w:rPr>
          <w:sz w:val="28"/>
          <w:szCs w:val="28"/>
          <w:lang w:val="es-ES_tradnl"/>
        </w:rPr>
      </w:pPr>
    </w:p>
    <w:p w14:paraId="417DD4D6" w14:textId="72F579E9" w:rsidR="000C28A0" w:rsidRPr="00AB4289" w:rsidRDefault="000C28A0" w:rsidP="00B40BE5">
      <w:pPr>
        <w:pStyle w:val="Prrafodelista"/>
        <w:numPr>
          <w:ilvl w:val="0"/>
          <w:numId w:val="2"/>
        </w:numPr>
        <w:ind w:left="0" w:firstLine="0"/>
        <w:jc w:val="both"/>
        <w:rPr>
          <w:sz w:val="28"/>
          <w:szCs w:val="28"/>
          <w:lang w:val="es-ES_tradnl"/>
        </w:rPr>
      </w:pPr>
      <w:r w:rsidRPr="00AB4289">
        <w:rPr>
          <w:sz w:val="28"/>
          <w:szCs w:val="28"/>
          <w:lang w:val="es-ES_tradnl"/>
        </w:rPr>
        <w:lastRenderedPageBreak/>
        <w:t>A continuación, se enuncian algunos de estos criterios, con el objetivo de brindar mayor claridad a la ciudadanía sobre los casos en</w:t>
      </w:r>
      <w:r w:rsidR="00ED464E" w:rsidRPr="00AB4289">
        <w:rPr>
          <w:sz w:val="28"/>
          <w:szCs w:val="28"/>
          <w:lang w:val="es-ES_tradnl"/>
        </w:rPr>
        <w:t xml:space="preserve"> los</w:t>
      </w:r>
      <w:r w:rsidRPr="00AB4289">
        <w:rPr>
          <w:sz w:val="28"/>
          <w:szCs w:val="28"/>
          <w:lang w:val="es-ES_tradnl"/>
        </w:rPr>
        <w:t xml:space="preserve"> qu</w:t>
      </w:r>
      <w:r w:rsidR="00ED464E" w:rsidRPr="00AB4289">
        <w:rPr>
          <w:sz w:val="28"/>
          <w:szCs w:val="28"/>
          <w:lang w:val="es-ES_tradnl"/>
        </w:rPr>
        <w:t xml:space="preserve">e se debe dar relevancia particular al derecho de acceso a la información pública: </w:t>
      </w:r>
    </w:p>
    <w:p w14:paraId="734CE54F" w14:textId="6DBB7168" w:rsidR="00ED464E" w:rsidRPr="00AB4289" w:rsidRDefault="00ED464E" w:rsidP="00B40BE5">
      <w:pPr>
        <w:jc w:val="both"/>
        <w:rPr>
          <w:sz w:val="28"/>
          <w:szCs w:val="28"/>
          <w:lang w:val="es-ES_tradnl"/>
        </w:rPr>
      </w:pPr>
    </w:p>
    <w:p w14:paraId="502CEBB5" w14:textId="77777777" w:rsidR="00DE2C71" w:rsidRPr="00AB4289" w:rsidRDefault="00DE2C71" w:rsidP="00B40BE5">
      <w:pPr>
        <w:pStyle w:val="Prrafodelista"/>
        <w:numPr>
          <w:ilvl w:val="0"/>
          <w:numId w:val="31"/>
        </w:numPr>
        <w:jc w:val="both"/>
        <w:rPr>
          <w:sz w:val="28"/>
          <w:szCs w:val="28"/>
          <w:lang w:val="es-ES_tradnl"/>
        </w:rPr>
      </w:pPr>
      <w:r w:rsidRPr="00AB4289">
        <w:rPr>
          <w:sz w:val="28"/>
          <w:szCs w:val="28"/>
          <w:lang w:val="es-ES_tradnl"/>
        </w:rPr>
        <w:t>Cuando la información solicitada se destina al desarrollo del ejercicio periodístico. En estos casos, la Corte ha enfatizado que este trato prioritario se debe al papel fundamental que desempeña la prensa como guardiana de lo público y a su función crucial en la divulgación de información y opiniones</w:t>
      </w:r>
      <w:r w:rsidRPr="00AB4289">
        <w:rPr>
          <w:rStyle w:val="Refdenotaalpie"/>
          <w:rFonts w:cs="Times New Roman"/>
          <w:sz w:val="28"/>
          <w:szCs w:val="28"/>
          <w:lang w:val="es-ES_tradnl"/>
        </w:rPr>
        <w:footnoteReference w:id="81"/>
      </w:r>
      <w:r w:rsidRPr="00AB4289">
        <w:rPr>
          <w:sz w:val="28"/>
          <w:szCs w:val="28"/>
          <w:lang w:val="es-ES_tradnl"/>
        </w:rPr>
        <w:t>.</w:t>
      </w:r>
    </w:p>
    <w:p w14:paraId="665B4F00" w14:textId="77777777" w:rsidR="00DE2C71" w:rsidRPr="00AB4289" w:rsidRDefault="00DE2C71" w:rsidP="00B40BE5">
      <w:pPr>
        <w:jc w:val="both"/>
        <w:rPr>
          <w:sz w:val="28"/>
          <w:szCs w:val="28"/>
          <w:lang w:val="es-ES_tradnl"/>
        </w:rPr>
      </w:pPr>
    </w:p>
    <w:p w14:paraId="57F2A171" w14:textId="10D14E8A" w:rsidR="00DE2C71" w:rsidRPr="00AB4289" w:rsidRDefault="00DE2C71" w:rsidP="00B40BE5">
      <w:pPr>
        <w:pStyle w:val="Prrafodelista"/>
        <w:numPr>
          <w:ilvl w:val="0"/>
          <w:numId w:val="31"/>
        </w:numPr>
        <w:jc w:val="both"/>
        <w:rPr>
          <w:sz w:val="28"/>
          <w:szCs w:val="28"/>
          <w:lang w:val="es-ES_tradnl"/>
        </w:rPr>
      </w:pPr>
      <w:r w:rsidRPr="00AB4289">
        <w:rPr>
          <w:sz w:val="28"/>
          <w:szCs w:val="28"/>
          <w:lang w:val="es-ES_tradnl"/>
        </w:rPr>
        <w:t>Cuando el titular de la información es un personaje que tiene</w:t>
      </w:r>
      <w:r w:rsidR="007C5CD4" w:rsidRPr="00AB4289">
        <w:rPr>
          <w:sz w:val="28"/>
          <w:szCs w:val="28"/>
          <w:lang w:val="es-ES_tradnl"/>
        </w:rPr>
        <w:t xml:space="preserve"> relevancia pública</w:t>
      </w:r>
      <w:r w:rsidRPr="00AB4289">
        <w:rPr>
          <w:sz w:val="28"/>
          <w:szCs w:val="28"/>
          <w:lang w:val="es-ES_tradnl"/>
        </w:rPr>
        <w:t>. Según esta Corporación, la restricción a la intimidad en estos casos está más justificada porque las personas que tienen influencia en asuntos de interés público optan voluntariamente por someterse a un escrutinio público más riguroso. Como consecuencia, están más expuestas a recibir críticas debido a que sus acciones trascienden la esfera privada para adentrarse en el ámbito del debate público</w:t>
      </w:r>
      <w:r w:rsidRPr="00AB4289">
        <w:rPr>
          <w:sz w:val="28"/>
          <w:szCs w:val="28"/>
          <w:vertAlign w:val="superscript"/>
          <w:lang w:val="es-ES_tradnl"/>
        </w:rPr>
        <w:footnoteReference w:id="82"/>
      </w:r>
      <w:r w:rsidRPr="00AB4289">
        <w:rPr>
          <w:sz w:val="28"/>
          <w:szCs w:val="28"/>
          <w:lang w:val="es-ES_tradnl"/>
        </w:rPr>
        <w:t>.</w:t>
      </w:r>
    </w:p>
    <w:p w14:paraId="12286237" w14:textId="77777777" w:rsidR="00DE2C71" w:rsidRPr="00AB4289" w:rsidRDefault="00DE2C71" w:rsidP="00B40BE5">
      <w:pPr>
        <w:jc w:val="both"/>
        <w:rPr>
          <w:sz w:val="28"/>
          <w:szCs w:val="28"/>
          <w:lang w:val="es-ES_tradnl"/>
        </w:rPr>
      </w:pPr>
    </w:p>
    <w:p w14:paraId="324C9C9E" w14:textId="77777777" w:rsidR="00DE2C71" w:rsidRPr="00AB4289" w:rsidRDefault="00DE2C71" w:rsidP="00B40BE5">
      <w:pPr>
        <w:pStyle w:val="Prrafodelista"/>
        <w:numPr>
          <w:ilvl w:val="0"/>
          <w:numId w:val="31"/>
        </w:numPr>
        <w:jc w:val="both"/>
        <w:rPr>
          <w:sz w:val="28"/>
          <w:szCs w:val="28"/>
          <w:lang w:val="es-ES_tradnl"/>
        </w:rPr>
      </w:pPr>
      <w:r w:rsidRPr="00AB4289">
        <w:rPr>
          <w:sz w:val="28"/>
          <w:szCs w:val="28"/>
          <w:lang w:val="es-ES_tradnl"/>
        </w:rPr>
        <w:t>Cuando la información que se requiere está relacionada con el fortalecimiento de la democracia participativa y el escrutinio ciudadano. Esto porque en estos casos el acceso a la información es una forma de garantizar el ejercicio del control político, en la medida en que facilita la veeduría ciudadana sobre la actividad estatal</w:t>
      </w:r>
      <w:r w:rsidRPr="00AB4289">
        <w:rPr>
          <w:sz w:val="28"/>
          <w:szCs w:val="28"/>
          <w:vertAlign w:val="superscript"/>
          <w:lang w:val="es-ES_tradnl"/>
        </w:rPr>
        <w:footnoteReference w:id="83"/>
      </w:r>
      <w:r w:rsidRPr="00AB4289">
        <w:rPr>
          <w:sz w:val="28"/>
          <w:szCs w:val="28"/>
          <w:vertAlign w:val="superscript"/>
          <w:lang w:val="es-ES_tradnl"/>
        </w:rPr>
        <w:t>.</w:t>
      </w:r>
    </w:p>
    <w:p w14:paraId="41B6E530" w14:textId="77777777" w:rsidR="00DE2C71" w:rsidRPr="00AB4289" w:rsidRDefault="00DE2C71" w:rsidP="00B40BE5">
      <w:pPr>
        <w:jc w:val="both"/>
        <w:rPr>
          <w:sz w:val="28"/>
          <w:szCs w:val="28"/>
          <w:lang w:val="es-ES_tradnl"/>
        </w:rPr>
      </w:pPr>
    </w:p>
    <w:p w14:paraId="7573A3FC" w14:textId="0050A317" w:rsidR="00ED464E" w:rsidRPr="00AB4289" w:rsidRDefault="00ED464E" w:rsidP="00B40BE5">
      <w:pPr>
        <w:pStyle w:val="Prrafodelista"/>
        <w:numPr>
          <w:ilvl w:val="0"/>
          <w:numId w:val="2"/>
        </w:numPr>
        <w:ind w:left="0" w:firstLine="0"/>
        <w:jc w:val="both"/>
        <w:rPr>
          <w:sz w:val="28"/>
          <w:szCs w:val="28"/>
          <w:lang w:val="es-ES_tradnl"/>
        </w:rPr>
      </w:pPr>
      <w:r w:rsidRPr="00AB4289">
        <w:rPr>
          <w:sz w:val="28"/>
          <w:szCs w:val="28"/>
          <w:lang w:val="es-ES_tradnl"/>
        </w:rPr>
        <w:t>De manera que, en est</w:t>
      </w:r>
      <w:r w:rsidR="00821E4F" w:rsidRPr="00AB4289">
        <w:rPr>
          <w:sz w:val="28"/>
          <w:szCs w:val="28"/>
          <w:lang w:val="es-ES_tradnl"/>
        </w:rPr>
        <w:t>as situaciones</w:t>
      </w:r>
      <w:r w:rsidRPr="00AB4289">
        <w:rPr>
          <w:sz w:val="28"/>
          <w:szCs w:val="28"/>
          <w:lang w:val="es-ES_tradnl"/>
        </w:rPr>
        <w:t xml:space="preserve">, se </w:t>
      </w:r>
      <w:r w:rsidR="007C5CD4" w:rsidRPr="00AB4289">
        <w:rPr>
          <w:sz w:val="28"/>
          <w:szCs w:val="28"/>
          <w:lang w:val="es-ES_tradnl"/>
        </w:rPr>
        <w:t>debe</w:t>
      </w:r>
      <w:r w:rsidRPr="00AB4289">
        <w:rPr>
          <w:sz w:val="28"/>
          <w:szCs w:val="28"/>
          <w:lang w:val="es-ES_tradnl"/>
        </w:rPr>
        <w:t xml:space="preserve"> dar prevalencia a la</w:t>
      </w:r>
      <w:r w:rsidR="00553D0A" w:rsidRPr="00AB4289">
        <w:rPr>
          <w:sz w:val="28"/>
          <w:szCs w:val="28"/>
          <w:lang w:val="es-ES_tradnl"/>
        </w:rPr>
        <w:t xml:space="preserve"> entrega</w:t>
      </w:r>
      <w:r w:rsidR="00693A2B" w:rsidRPr="00AB4289">
        <w:rPr>
          <w:sz w:val="28"/>
          <w:szCs w:val="28"/>
          <w:lang w:val="es-ES_tradnl"/>
        </w:rPr>
        <w:t xml:space="preserve"> de la</w:t>
      </w:r>
      <w:r w:rsidR="00553D0A" w:rsidRPr="00AB4289">
        <w:rPr>
          <w:sz w:val="28"/>
          <w:szCs w:val="28"/>
          <w:lang w:val="es-ES_tradnl"/>
        </w:rPr>
        <w:t xml:space="preserve"> información</w:t>
      </w:r>
      <w:r w:rsidRPr="00AB4289">
        <w:rPr>
          <w:sz w:val="28"/>
          <w:szCs w:val="28"/>
          <w:lang w:val="es-ES_tradnl"/>
        </w:rPr>
        <w:t xml:space="preserve"> pública sobre la</w:t>
      </w:r>
      <w:r w:rsidR="00553D0A" w:rsidRPr="00AB4289">
        <w:rPr>
          <w:sz w:val="28"/>
          <w:szCs w:val="28"/>
          <w:lang w:val="es-ES_tradnl"/>
        </w:rPr>
        <w:t xml:space="preserve"> eventual afectación del derecho </w:t>
      </w:r>
      <w:r w:rsidRPr="00AB4289">
        <w:rPr>
          <w:sz w:val="28"/>
          <w:szCs w:val="28"/>
          <w:lang w:val="es-ES_tradnl"/>
        </w:rPr>
        <w:t>intimidad</w:t>
      </w:r>
      <w:r w:rsidR="00A866B5" w:rsidRPr="00AB4289">
        <w:rPr>
          <w:sz w:val="28"/>
          <w:szCs w:val="28"/>
          <w:lang w:val="es-ES_tradnl"/>
        </w:rPr>
        <w:t>, privacidad y hábeas data</w:t>
      </w:r>
      <w:r w:rsidRPr="00AB4289">
        <w:rPr>
          <w:sz w:val="28"/>
          <w:szCs w:val="28"/>
          <w:lang w:val="es-ES_tradnl"/>
        </w:rPr>
        <w:t>. Así</w:t>
      </w:r>
      <w:r w:rsidR="00821E4F" w:rsidRPr="00AB4289">
        <w:rPr>
          <w:sz w:val="28"/>
          <w:szCs w:val="28"/>
          <w:lang w:val="es-ES_tradnl"/>
        </w:rPr>
        <w:t>, en dichas circunstancias</w:t>
      </w:r>
      <w:r w:rsidRPr="00AB4289">
        <w:rPr>
          <w:sz w:val="28"/>
          <w:szCs w:val="28"/>
          <w:lang w:val="es-ES_tradnl"/>
        </w:rPr>
        <w:t xml:space="preserve"> </w:t>
      </w:r>
      <w:r w:rsidR="00507275" w:rsidRPr="00AB4289">
        <w:rPr>
          <w:sz w:val="28"/>
          <w:szCs w:val="28"/>
          <w:lang w:val="es-ES_tradnl"/>
        </w:rPr>
        <w:t xml:space="preserve">la información pública </w:t>
      </w:r>
      <w:r w:rsidRPr="00AB4289">
        <w:rPr>
          <w:sz w:val="28"/>
          <w:szCs w:val="28"/>
          <w:lang w:val="es-ES_tradnl"/>
        </w:rPr>
        <w:t xml:space="preserve">solo podrá ser negada </w:t>
      </w:r>
      <w:r w:rsidR="00821E4F" w:rsidRPr="00AB4289">
        <w:rPr>
          <w:sz w:val="28"/>
          <w:szCs w:val="28"/>
          <w:lang w:val="es-ES_tradnl"/>
        </w:rPr>
        <w:t xml:space="preserve">por razones </w:t>
      </w:r>
      <w:r w:rsidR="00D14A9A" w:rsidRPr="00AB4289">
        <w:rPr>
          <w:sz w:val="28"/>
          <w:szCs w:val="28"/>
          <w:lang w:val="es-ES_tradnl"/>
        </w:rPr>
        <w:t>excepcionales</w:t>
      </w:r>
      <w:r w:rsidRPr="00AB4289">
        <w:rPr>
          <w:sz w:val="28"/>
          <w:szCs w:val="28"/>
          <w:lang w:val="es-ES_tradnl"/>
        </w:rPr>
        <w:t xml:space="preserve">, cuando se demuestre que los datos </w:t>
      </w:r>
      <w:r w:rsidR="00553D0A" w:rsidRPr="00AB4289">
        <w:rPr>
          <w:sz w:val="28"/>
          <w:szCs w:val="28"/>
          <w:lang w:val="es-ES_tradnl"/>
        </w:rPr>
        <w:t xml:space="preserve">revelados son privados o secretos y pueden afectar de manera grave los derechos del titular de la información. </w:t>
      </w:r>
    </w:p>
    <w:p w14:paraId="77D253D3" w14:textId="77777777" w:rsidR="00ED464E" w:rsidRPr="00AB4289" w:rsidRDefault="00ED464E" w:rsidP="00B40BE5">
      <w:pPr>
        <w:jc w:val="both"/>
        <w:rPr>
          <w:sz w:val="28"/>
          <w:szCs w:val="28"/>
          <w:lang w:val="es-ES_tradnl"/>
        </w:rPr>
      </w:pPr>
    </w:p>
    <w:p w14:paraId="17431B76" w14:textId="688832B8" w:rsidR="00553D0A" w:rsidRPr="00AB4289" w:rsidRDefault="00DE2C71" w:rsidP="00B40BE5">
      <w:pPr>
        <w:pStyle w:val="Prrafodelista"/>
        <w:numPr>
          <w:ilvl w:val="0"/>
          <w:numId w:val="2"/>
        </w:numPr>
        <w:ind w:left="0" w:firstLine="0"/>
        <w:jc w:val="both"/>
        <w:rPr>
          <w:sz w:val="28"/>
          <w:szCs w:val="28"/>
          <w:lang w:val="es-ES_tradnl"/>
        </w:rPr>
      </w:pPr>
      <w:r w:rsidRPr="00AB4289">
        <w:rPr>
          <w:sz w:val="28"/>
          <w:szCs w:val="28"/>
          <w:lang w:val="es-ES_tradnl"/>
        </w:rPr>
        <w:t xml:space="preserve">En principio, el artículo 28 de la Ley 1712 de 2014 establece que corresponde a los sujetos obligados realizar el ejercicio de ponderación cuando reciben una solicitud de acceso a la información. No obstante, cuando dicha ponderación no se efectúa o se hace de manera inadecuada y ello </w:t>
      </w:r>
      <w:r w:rsidR="00E30EBD" w:rsidRPr="00AB4289">
        <w:rPr>
          <w:sz w:val="28"/>
          <w:szCs w:val="28"/>
          <w:lang w:val="es-ES_tradnl"/>
        </w:rPr>
        <w:t>deriva en</w:t>
      </w:r>
      <w:r w:rsidRPr="00AB4289">
        <w:rPr>
          <w:sz w:val="28"/>
          <w:szCs w:val="28"/>
          <w:lang w:val="es-ES_tradnl"/>
        </w:rPr>
        <w:t xml:space="preserve"> una controversia judicial, es deber del juez constitucional asumir ese análisis y </w:t>
      </w:r>
      <w:r w:rsidRPr="00AB4289">
        <w:rPr>
          <w:sz w:val="28"/>
          <w:szCs w:val="28"/>
          <w:lang w:val="es-ES_tradnl"/>
        </w:rPr>
        <w:lastRenderedPageBreak/>
        <w:t xml:space="preserve">valorar los derechos en tensión </w:t>
      </w:r>
      <w:r w:rsidR="00821E4F" w:rsidRPr="00AB4289">
        <w:rPr>
          <w:sz w:val="28"/>
          <w:szCs w:val="28"/>
          <w:lang w:val="es-ES_tradnl"/>
        </w:rPr>
        <w:t xml:space="preserve">para determinar si es o no procedente la entrega de la información. </w:t>
      </w:r>
    </w:p>
    <w:p w14:paraId="1770AD34" w14:textId="77777777" w:rsidR="00DE2C71" w:rsidRPr="00AB4289" w:rsidRDefault="00DE2C71" w:rsidP="00B40BE5">
      <w:pPr>
        <w:pStyle w:val="Prrafodelista"/>
        <w:ind w:left="0"/>
        <w:jc w:val="both"/>
        <w:rPr>
          <w:sz w:val="28"/>
          <w:szCs w:val="28"/>
          <w:lang w:val="es-ES_tradnl"/>
        </w:rPr>
      </w:pPr>
    </w:p>
    <w:p w14:paraId="375B7A19" w14:textId="7F466FB1" w:rsidR="004C68EE" w:rsidRPr="00AB4289" w:rsidRDefault="0017268E" w:rsidP="00B40BE5">
      <w:pPr>
        <w:pStyle w:val="Prrafodelista"/>
        <w:numPr>
          <w:ilvl w:val="0"/>
          <w:numId w:val="2"/>
        </w:numPr>
        <w:ind w:left="0" w:firstLine="0"/>
        <w:jc w:val="both"/>
        <w:rPr>
          <w:sz w:val="28"/>
          <w:szCs w:val="28"/>
          <w:lang w:val="es-ES_tradnl"/>
        </w:rPr>
      </w:pPr>
      <w:r w:rsidRPr="00AB4289">
        <w:rPr>
          <w:sz w:val="28"/>
          <w:szCs w:val="28"/>
          <w:lang w:val="es-ES_tradnl"/>
        </w:rPr>
        <w:t xml:space="preserve">Un ejemplo </w:t>
      </w:r>
      <w:r w:rsidR="004C68EE" w:rsidRPr="00AB4289">
        <w:rPr>
          <w:sz w:val="28"/>
          <w:szCs w:val="28"/>
          <w:lang w:val="es-ES_tradnl"/>
        </w:rPr>
        <w:t xml:space="preserve">de este tipo de análisis </w:t>
      </w:r>
      <w:r w:rsidR="00821DC8" w:rsidRPr="00AB4289">
        <w:rPr>
          <w:sz w:val="28"/>
          <w:szCs w:val="28"/>
          <w:lang w:val="es-ES_tradnl"/>
        </w:rPr>
        <w:t xml:space="preserve">se hizo en </w:t>
      </w:r>
      <w:r w:rsidRPr="00AB4289">
        <w:rPr>
          <w:sz w:val="28"/>
          <w:szCs w:val="28"/>
          <w:lang w:val="es-ES_tradnl"/>
        </w:rPr>
        <w:t xml:space="preserve">la </w:t>
      </w:r>
      <w:r w:rsidR="001C1629" w:rsidRPr="00AB4289">
        <w:rPr>
          <w:sz w:val="28"/>
          <w:szCs w:val="28"/>
          <w:lang w:val="es-ES_tradnl"/>
        </w:rPr>
        <w:t>s</w:t>
      </w:r>
      <w:r w:rsidRPr="00AB4289">
        <w:rPr>
          <w:sz w:val="28"/>
          <w:szCs w:val="28"/>
          <w:lang w:val="es-ES_tradnl"/>
        </w:rPr>
        <w:t>entencia T-454 de 2024, en la que la Corte resolvió el caso de un periodista a quien una universidad</w:t>
      </w:r>
      <w:r w:rsidR="009B203C" w:rsidRPr="00AB4289">
        <w:rPr>
          <w:sz w:val="28"/>
          <w:szCs w:val="28"/>
          <w:lang w:val="es-ES_tradnl"/>
        </w:rPr>
        <w:t xml:space="preserve"> privada</w:t>
      </w:r>
      <w:r w:rsidRPr="00AB4289">
        <w:rPr>
          <w:sz w:val="28"/>
          <w:szCs w:val="28"/>
          <w:lang w:val="es-ES_tradnl"/>
        </w:rPr>
        <w:t xml:space="preserve"> le había negado el acceso a la información profesional y académica d</w:t>
      </w:r>
      <w:r w:rsidR="009B203C" w:rsidRPr="00AB4289">
        <w:rPr>
          <w:sz w:val="28"/>
          <w:szCs w:val="28"/>
          <w:lang w:val="es-ES_tradnl"/>
        </w:rPr>
        <w:t xml:space="preserve">e uno de sus alumnos, quien se desempeñaba como funcionario público, pues era </w:t>
      </w:r>
      <w:r w:rsidR="001C1629" w:rsidRPr="00AB4289">
        <w:rPr>
          <w:sz w:val="28"/>
          <w:szCs w:val="28"/>
          <w:lang w:val="es-ES_tradnl"/>
        </w:rPr>
        <w:t>rector de</w:t>
      </w:r>
      <w:r w:rsidR="009B203C" w:rsidRPr="00AB4289">
        <w:rPr>
          <w:sz w:val="28"/>
          <w:szCs w:val="28"/>
          <w:lang w:val="es-ES_tradnl"/>
        </w:rPr>
        <w:t xml:space="preserve"> una</w:t>
      </w:r>
      <w:r w:rsidR="001C1629" w:rsidRPr="00AB4289">
        <w:rPr>
          <w:sz w:val="28"/>
          <w:szCs w:val="28"/>
          <w:lang w:val="es-ES_tradnl"/>
        </w:rPr>
        <w:t xml:space="preserve"> institución</w:t>
      </w:r>
      <w:r w:rsidR="00043BA6" w:rsidRPr="00AB4289">
        <w:rPr>
          <w:sz w:val="28"/>
          <w:szCs w:val="28"/>
          <w:lang w:val="es-ES_tradnl"/>
        </w:rPr>
        <w:t xml:space="preserve"> educativa</w:t>
      </w:r>
      <w:r w:rsidR="009B203C" w:rsidRPr="00AB4289">
        <w:rPr>
          <w:sz w:val="28"/>
          <w:szCs w:val="28"/>
          <w:lang w:val="es-ES_tradnl"/>
        </w:rPr>
        <w:t xml:space="preserve"> estatal</w:t>
      </w:r>
      <w:r w:rsidRPr="00AB4289">
        <w:rPr>
          <w:sz w:val="28"/>
          <w:szCs w:val="28"/>
          <w:lang w:val="es-ES_tradnl"/>
        </w:rPr>
        <w:t>. En esa decisión, la Corte</w:t>
      </w:r>
      <w:r w:rsidR="00821E4F" w:rsidRPr="00AB4289">
        <w:rPr>
          <w:sz w:val="28"/>
          <w:szCs w:val="28"/>
          <w:lang w:val="es-ES_tradnl"/>
        </w:rPr>
        <w:t xml:space="preserve"> determinó que la </w:t>
      </w:r>
      <w:r w:rsidR="007C5CD4" w:rsidRPr="00AB4289">
        <w:rPr>
          <w:sz w:val="28"/>
          <w:szCs w:val="28"/>
          <w:lang w:val="es-ES_tradnl"/>
        </w:rPr>
        <w:t>i</w:t>
      </w:r>
      <w:r w:rsidR="00821E4F" w:rsidRPr="00AB4289">
        <w:rPr>
          <w:sz w:val="28"/>
          <w:szCs w:val="28"/>
          <w:lang w:val="es-ES_tradnl"/>
        </w:rPr>
        <w:t>nstitución educativa no había cumplido con el deber de justificar el rechazo de la información. Para determinar si er</w:t>
      </w:r>
      <w:r w:rsidR="007C5CD4" w:rsidRPr="00AB4289">
        <w:rPr>
          <w:sz w:val="28"/>
          <w:szCs w:val="28"/>
          <w:lang w:val="es-ES_tradnl"/>
        </w:rPr>
        <w:t>a</w:t>
      </w:r>
      <w:r w:rsidR="00821E4F" w:rsidRPr="00AB4289">
        <w:rPr>
          <w:sz w:val="28"/>
          <w:szCs w:val="28"/>
          <w:lang w:val="es-ES_tradnl"/>
        </w:rPr>
        <w:t xml:space="preserve"> procedente o no la entrega de los datos</w:t>
      </w:r>
      <w:r w:rsidR="007C5CD4" w:rsidRPr="00AB4289">
        <w:rPr>
          <w:sz w:val="28"/>
          <w:szCs w:val="28"/>
          <w:lang w:val="es-ES_tradnl"/>
        </w:rPr>
        <w:t>, la sentencia</w:t>
      </w:r>
      <w:r w:rsidRPr="00AB4289">
        <w:rPr>
          <w:sz w:val="28"/>
          <w:szCs w:val="28"/>
          <w:lang w:val="es-ES_tradnl"/>
        </w:rPr>
        <w:t xml:space="preserve"> </w:t>
      </w:r>
      <w:r w:rsidR="00470CCB" w:rsidRPr="00AB4289">
        <w:rPr>
          <w:sz w:val="28"/>
          <w:szCs w:val="28"/>
          <w:lang w:val="es-ES_tradnl"/>
        </w:rPr>
        <w:t>hizo una ponderación</w:t>
      </w:r>
      <w:r w:rsidR="00DE6534" w:rsidRPr="00AB4289">
        <w:rPr>
          <w:sz w:val="28"/>
          <w:szCs w:val="28"/>
          <w:lang w:val="es-ES_tradnl"/>
        </w:rPr>
        <w:t xml:space="preserve"> dividida en tres pasos</w:t>
      </w:r>
      <w:r w:rsidRPr="00AB4289">
        <w:rPr>
          <w:sz w:val="28"/>
          <w:szCs w:val="28"/>
          <w:lang w:val="es-ES_tradnl"/>
        </w:rPr>
        <w:t xml:space="preserve">: </w:t>
      </w:r>
    </w:p>
    <w:p w14:paraId="4B67D32B" w14:textId="77777777" w:rsidR="004C68EE" w:rsidRPr="00AB4289" w:rsidRDefault="004C68EE" w:rsidP="00B40BE5">
      <w:pPr>
        <w:pStyle w:val="Prrafodelista"/>
        <w:ind w:left="0"/>
        <w:jc w:val="both"/>
        <w:rPr>
          <w:sz w:val="28"/>
          <w:szCs w:val="28"/>
          <w:lang w:val="es-ES_tradnl"/>
        </w:rPr>
      </w:pPr>
    </w:p>
    <w:p w14:paraId="1017C899" w14:textId="142B5184" w:rsidR="004C68EE" w:rsidRPr="00AB4289" w:rsidRDefault="00DE6534" w:rsidP="00B40BE5">
      <w:pPr>
        <w:pStyle w:val="Prrafodelista"/>
        <w:numPr>
          <w:ilvl w:val="0"/>
          <w:numId w:val="24"/>
        </w:numPr>
        <w:ind w:left="1276" w:hanging="709"/>
        <w:jc w:val="both"/>
        <w:rPr>
          <w:sz w:val="28"/>
          <w:szCs w:val="28"/>
          <w:lang w:val="es-ES_tradnl"/>
        </w:rPr>
      </w:pPr>
      <w:r w:rsidRPr="00AB4289">
        <w:rPr>
          <w:sz w:val="28"/>
          <w:szCs w:val="28"/>
          <w:lang w:val="es-ES_tradnl"/>
        </w:rPr>
        <w:t>A</w:t>
      </w:r>
      <w:r w:rsidR="004C68EE" w:rsidRPr="00AB4289">
        <w:rPr>
          <w:sz w:val="28"/>
          <w:szCs w:val="28"/>
          <w:lang w:val="es-ES_tradnl"/>
        </w:rPr>
        <w:t xml:space="preserve">nalizó </w:t>
      </w:r>
      <w:r w:rsidR="00B96FAA" w:rsidRPr="00AB4289">
        <w:rPr>
          <w:sz w:val="28"/>
          <w:szCs w:val="28"/>
          <w:lang w:val="es-ES_tradnl"/>
        </w:rPr>
        <w:t xml:space="preserve">el impacto que </w:t>
      </w:r>
      <w:r w:rsidRPr="00AB4289">
        <w:rPr>
          <w:sz w:val="28"/>
          <w:szCs w:val="28"/>
          <w:lang w:val="es-ES_tradnl"/>
        </w:rPr>
        <w:t xml:space="preserve">la entrega de la </w:t>
      </w:r>
      <w:r w:rsidR="00B96FAA" w:rsidRPr="00AB4289">
        <w:rPr>
          <w:sz w:val="28"/>
          <w:szCs w:val="28"/>
          <w:lang w:val="es-ES_tradnl"/>
        </w:rPr>
        <w:t xml:space="preserve">información </w:t>
      </w:r>
      <w:r w:rsidRPr="00AB4289">
        <w:rPr>
          <w:sz w:val="28"/>
          <w:szCs w:val="28"/>
          <w:lang w:val="es-ES_tradnl"/>
        </w:rPr>
        <w:t xml:space="preserve">solicitada </w:t>
      </w:r>
      <w:r w:rsidR="00B96FAA" w:rsidRPr="00AB4289">
        <w:rPr>
          <w:sz w:val="28"/>
          <w:szCs w:val="28"/>
          <w:lang w:val="es-ES_tradnl"/>
        </w:rPr>
        <w:t>podría tener en los derechos a la intimidad y al hábeas data</w:t>
      </w:r>
      <w:r w:rsidR="00377420" w:rsidRPr="00AB4289">
        <w:rPr>
          <w:sz w:val="28"/>
          <w:szCs w:val="28"/>
          <w:lang w:val="es-ES_tradnl"/>
        </w:rPr>
        <w:t xml:space="preserve"> </w:t>
      </w:r>
      <w:r w:rsidR="009B203C" w:rsidRPr="00AB4289">
        <w:rPr>
          <w:sz w:val="28"/>
          <w:szCs w:val="28"/>
          <w:lang w:val="es-ES_tradnl"/>
        </w:rPr>
        <w:t>del funcionario</w:t>
      </w:r>
      <w:r w:rsidRPr="00AB4289">
        <w:rPr>
          <w:sz w:val="28"/>
          <w:szCs w:val="28"/>
          <w:lang w:val="es-ES_tradnl"/>
        </w:rPr>
        <w:t xml:space="preserve"> público</w:t>
      </w:r>
      <w:r w:rsidR="009B203C" w:rsidRPr="00AB4289">
        <w:rPr>
          <w:sz w:val="28"/>
          <w:szCs w:val="28"/>
          <w:lang w:val="es-ES_tradnl"/>
        </w:rPr>
        <w:t xml:space="preserve"> titular de la información</w:t>
      </w:r>
      <w:r w:rsidR="004C68EE" w:rsidRPr="00AB4289">
        <w:rPr>
          <w:sz w:val="28"/>
          <w:szCs w:val="28"/>
          <w:lang w:val="es-ES_tradnl"/>
        </w:rPr>
        <w:t xml:space="preserve">. </w:t>
      </w:r>
      <w:r w:rsidR="003804CC" w:rsidRPr="00AB4289">
        <w:rPr>
          <w:sz w:val="28"/>
          <w:szCs w:val="28"/>
          <w:lang w:val="es-ES_tradnl"/>
        </w:rPr>
        <w:t>A</w:t>
      </w:r>
      <w:r w:rsidRPr="00AB4289">
        <w:rPr>
          <w:sz w:val="28"/>
          <w:szCs w:val="28"/>
          <w:lang w:val="es-ES_tradnl"/>
        </w:rPr>
        <w:t>l respecto, la Corte</w:t>
      </w:r>
      <w:r w:rsidR="003804CC" w:rsidRPr="00AB4289">
        <w:rPr>
          <w:sz w:val="28"/>
          <w:szCs w:val="28"/>
          <w:lang w:val="es-ES_tradnl"/>
        </w:rPr>
        <w:t xml:space="preserve"> concluyó </w:t>
      </w:r>
      <w:r w:rsidR="00896FDA" w:rsidRPr="00AB4289">
        <w:rPr>
          <w:sz w:val="28"/>
          <w:szCs w:val="28"/>
          <w:lang w:val="es-ES_tradnl"/>
        </w:rPr>
        <w:t>que,</w:t>
      </w:r>
      <w:r w:rsidR="003804CC" w:rsidRPr="00AB4289">
        <w:rPr>
          <w:sz w:val="28"/>
          <w:szCs w:val="28"/>
          <w:lang w:val="es-ES_tradnl"/>
        </w:rPr>
        <w:t xml:space="preserve"> </w:t>
      </w:r>
      <w:r w:rsidR="00377420" w:rsidRPr="00AB4289">
        <w:rPr>
          <w:sz w:val="28"/>
          <w:szCs w:val="28"/>
          <w:lang w:val="es-ES_tradnl"/>
        </w:rPr>
        <w:t xml:space="preserve">por un lado, </w:t>
      </w:r>
      <w:r w:rsidR="003804CC" w:rsidRPr="00AB4289">
        <w:rPr>
          <w:sz w:val="28"/>
          <w:szCs w:val="28"/>
          <w:lang w:val="es-ES_tradnl"/>
        </w:rPr>
        <w:t xml:space="preserve">la información sobre los títulos académicos del funcionario era pública y </w:t>
      </w:r>
      <w:r w:rsidRPr="00AB4289">
        <w:rPr>
          <w:sz w:val="28"/>
          <w:szCs w:val="28"/>
          <w:lang w:val="es-ES_tradnl"/>
        </w:rPr>
        <w:t xml:space="preserve">su divulgación </w:t>
      </w:r>
      <w:r w:rsidR="003804CC" w:rsidRPr="00AB4289">
        <w:rPr>
          <w:sz w:val="28"/>
          <w:szCs w:val="28"/>
          <w:lang w:val="es-ES_tradnl"/>
        </w:rPr>
        <w:t xml:space="preserve">no vulneraba </w:t>
      </w:r>
      <w:proofErr w:type="gramStart"/>
      <w:r w:rsidR="003804CC" w:rsidRPr="00AB4289">
        <w:rPr>
          <w:sz w:val="28"/>
          <w:szCs w:val="28"/>
          <w:lang w:val="es-ES_tradnl"/>
        </w:rPr>
        <w:t>su</w:t>
      </w:r>
      <w:r w:rsidR="00821E4F" w:rsidRPr="00AB4289">
        <w:rPr>
          <w:sz w:val="28"/>
          <w:szCs w:val="28"/>
          <w:lang w:val="es-ES_tradnl"/>
        </w:rPr>
        <w:t>s</w:t>
      </w:r>
      <w:r w:rsidR="003804CC" w:rsidRPr="00AB4289">
        <w:rPr>
          <w:sz w:val="28"/>
          <w:szCs w:val="28"/>
          <w:lang w:val="es-ES_tradnl"/>
        </w:rPr>
        <w:t xml:space="preserve"> derecho</w:t>
      </w:r>
      <w:proofErr w:type="gramEnd"/>
      <w:r w:rsidR="003804CC" w:rsidRPr="00AB4289">
        <w:rPr>
          <w:sz w:val="28"/>
          <w:szCs w:val="28"/>
          <w:lang w:val="es-ES_tradnl"/>
        </w:rPr>
        <w:t xml:space="preserve"> al hábeas data</w:t>
      </w:r>
      <w:r w:rsidR="00821E4F" w:rsidRPr="00AB4289">
        <w:rPr>
          <w:sz w:val="28"/>
          <w:szCs w:val="28"/>
          <w:lang w:val="es-ES_tradnl"/>
        </w:rPr>
        <w:t xml:space="preserve"> y a la intimidad</w:t>
      </w:r>
      <w:r w:rsidR="00377420" w:rsidRPr="00AB4289">
        <w:rPr>
          <w:sz w:val="28"/>
          <w:szCs w:val="28"/>
          <w:lang w:val="es-ES_tradnl"/>
        </w:rPr>
        <w:t xml:space="preserve">; por el otro, </w:t>
      </w:r>
      <w:r w:rsidR="003804CC" w:rsidRPr="00AB4289">
        <w:rPr>
          <w:sz w:val="28"/>
          <w:szCs w:val="28"/>
          <w:lang w:val="es-ES_tradnl"/>
        </w:rPr>
        <w:t>la información sobre su estatus académico era semiprivada</w:t>
      </w:r>
      <w:r w:rsidR="00C40151" w:rsidRPr="00AB4289">
        <w:rPr>
          <w:sz w:val="28"/>
          <w:szCs w:val="28"/>
          <w:lang w:val="es-ES_tradnl"/>
        </w:rPr>
        <w:t xml:space="preserve"> y tenía cierta protección, pero </w:t>
      </w:r>
      <w:r w:rsidR="001C1629" w:rsidRPr="00AB4289">
        <w:rPr>
          <w:sz w:val="28"/>
          <w:szCs w:val="28"/>
          <w:lang w:val="es-ES_tradnl"/>
        </w:rPr>
        <w:t>no absoluta</w:t>
      </w:r>
      <w:r w:rsidR="003804CC" w:rsidRPr="00AB4289">
        <w:rPr>
          <w:sz w:val="28"/>
          <w:szCs w:val="28"/>
          <w:lang w:val="es-ES_tradnl"/>
        </w:rPr>
        <w:t xml:space="preserve">. </w:t>
      </w:r>
    </w:p>
    <w:p w14:paraId="7B775AAA" w14:textId="77777777" w:rsidR="004C68EE" w:rsidRPr="00AB4289" w:rsidRDefault="004C68EE" w:rsidP="00B40BE5">
      <w:pPr>
        <w:pStyle w:val="Prrafodelista"/>
        <w:ind w:left="1276" w:hanging="709"/>
        <w:jc w:val="both"/>
        <w:rPr>
          <w:sz w:val="28"/>
          <w:szCs w:val="28"/>
          <w:lang w:val="es-ES_tradnl"/>
        </w:rPr>
      </w:pPr>
    </w:p>
    <w:p w14:paraId="46716A3F" w14:textId="48BEC0C0" w:rsidR="00A645CA" w:rsidRPr="00AB4289" w:rsidRDefault="00DE6534" w:rsidP="00B40BE5">
      <w:pPr>
        <w:pStyle w:val="Prrafodelista"/>
        <w:numPr>
          <w:ilvl w:val="0"/>
          <w:numId w:val="23"/>
        </w:numPr>
        <w:ind w:left="1276" w:hanging="709"/>
        <w:jc w:val="both"/>
        <w:rPr>
          <w:sz w:val="28"/>
          <w:szCs w:val="28"/>
          <w:lang w:val="es-ES_tradnl"/>
        </w:rPr>
      </w:pPr>
      <w:r w:rsidRPr="00AB4289">
        <w:rPr>
          <w:sz w:val="28"/>
          <w:szCs w:val="28"/>
          <w:lang w:val="es-ES_tradnl"/>
        </w:rPr>
        <w:t>C</w:t>
      </w:r>
      <w:r w:rsidR="00327C2E" w:rsidRPr="00AB4289">
        <w:rPr>
          <w:sz w:val="28"/>
          <w:szCs w:val="28"/>
          <w:lang w:val="es-ES_tradnl"/>
        </w:rPr>
        <w:t xml:space="preserve">onstató que la solicitud de información presentada por el accionante contaba con una protección </w:t>
      </w:r>
      <w:r w:rsidR="00821E4F" w:rsidRPr="00AB4289">
        <w:rPr>
          <w:sz w:val="28"/>
          <w:szCs w:val="28"/>
          <w:lang w:val="es-ES_tradnl"/>
        </w:rPr>
        <w:t>constitucional especial</w:t>
      </w:r>
      <w:r w:rsidR="00327C2E" w:rsidRPr="00AB4289">
        <w:rPr>
          <w:sz w:val="28"/>
          <w:szCs w:val="28"/>
          <w:lang w:val="es-ES_tradnl"/>
        </w:rPr>
        <w:t>, en la medida que</w:t>
      </w:r>
      <w:r w:rsidR="00043BA6" w:rsidRPr="00AB4289">
        <w:rPr>
          <w:sz w:val="28"/>
          <w:szCs w:val="28"/>
          <w:lang w:val="es-ES_tradnl"/>
        </w:rPr>
        <w:t xml:space="preserve"> los datos serían utilizados para</w:t>
      </w:r>
      <w:r w:rsidR="00327C2E" w:rsidRPr="00AB4289">
        <w:rPr>
          <w:sz w:val="28"/>
          <w:szCs w:val="28"/>
          <w:lang w:val="es-ES_tradnl"/>
        </w:rPr>
        <w:t xml:space="preserve"> una investigación periodística que</w:t>
      </w:r>
      <w:r w:rsidR="00043BA6" w:rsidRPr="00AB4289">
        <w:rPr>
          <w:sz w:val="28"/>
          <w:szCs w:val="28"/>
          <w:lang w:val="es-ES_tradnl"/>
        </w:rPr>
        <w:t xml:space="preserve"> pretendía</w:t>
      </w:r>
      <w:r w:rsidR="00327C2E" w:rsidRPr="00AB4289">
        <w:rPr>
          <w:sz w:val="28"/>
          <w:szCs w:val="28"/>
          <w:lang w:val="es-ES_tradnl"/>
        </w:rPr>
        <w:t xml:space="preserve"> fortale</w:t>
      </w:r>
      <w:r w:rsidR="00043BA6" w:rsidRPr="00AB4289">
        <w:rPr>
          <w:sz w:val="28"/>
          <w:szCs w:val="28"/>
          <w:lang w:val="es-ES_tradnl"/>
        </w:rPr>
        <w:t>cer</w:t>
      </w:r>
      <w:r w:rsidR="00327C2E" w:rsidRPr="00AB4289">
        <w:rPr>
          <w:sz w:val="28"/>
          <w:szCs w:val="28"/>
          <w:lang w:val="es-ES_tradnl"/>
        </w:rPr>
        <w:t xml:space="preserve"> el control ciudadano y</w:t>
      </w:r>
      <w:r w:rsidR="00821E4F" w:rsidRPr="00AB4289">
        <w:rPr>
          <w:sz w:val="28"/>
          <w:szCs w:val="28"/>
          <w:lang w:val="es-ES_tradnl"/>
        </w:rPr>
        <w:t xml:space="preserve"> el personaje tenía </w:t>
      </w:r>
      <w:proofErr w:type="gramStart"/>
      <w:r w:rsidR="00821E4F" w:rsidRPr="00AB4289">
        <w:rPr>
          <w:sz w:val="28"/>
          <w:szCs w:val="28"/>
          <w:lang w:val="es-ES_tradnl"/>
        </w:rPr>
        <w:t>relevancia público</w:t>
      </w:r>
      <w:proofErr w:type="gramEnd"/>
      <w:r w:rsidR="00821E4F" w:rsidRPr="00AB4289">
        <w:rPr>
          <w:sz w:val="28"/>
          <w:szCs w:val="28"/>
          <w:lang w:val="es-ES_tradnl"/>
        </w:rPr>
        <w:t xml:space="preserve"> pues había ostentado varios cargos políticos. </w:t>
      </w:r>
      <w:r w:rsidR="00B96FAA" w:rsidRPr="00AB4289">
        <w:rPr>
          <w:sz w:val="28"/>
          <w:szCs w:val="28"/>
          <w:lang w:val="es-ES_tradnl"/>
        </w:rPr>
        <w:t xml:space="preserve"> </w:t>
      </w:r>
    </w:p>
    <w:p w14:paraId="637A36FF" w14:textId="77777777" w:rsidR="00A645CA" w:rsidRPr="00AB4289" w:rsidRDefault="00A645CA" w:rsidP="00B40BE5">
      <w:pPr>
        <w:pStyle w:val="Prrafodelista"/>
        <w:ind w:left="1276" w:hanging="709"/>
        <w:jc w:val="both"/>
        <w:rPr>
          <w:sz w:val="28"/>
          <w:szCs w:val="28"/>
          <w:lang w:val="es-ES_tradnl"/>
        </w:rPr>
      </w:pPr>
    </w:p>
    <w:p w14:paraId="78673075" w14:textId="1B35FF8D" w:rsidR="00327C2E" w:rsidRPr="00AB4289" w:rsidRDefault="00DE6534" w:rsidP="00B40BE5">
      <w:pPr>
        <w:pStyle w:val="Prrafodelista"/>
        <w:numPr>
          <w:ilvl w:val="0"/>
          <w:numId w:val="23"/>
        </w:numPr>
        <w:ind w:left="1276" w:hanging="709"/>
        <w:jc w:val="both"/>
        <w:rPr>
          <w:sz w:val="28"/>
          <w:szCs w:val="28"/>
          <w:lang w:val="es-ES_tradnl"/>
        </w:rPr>
      </w:pPr>
      <w:r w:rsidRPr="00AB4289">
        <w:rPr>
          <w:sz w:val="28"/>
          <w:szCs w:val="28"/>
          <w:lang w:val="es-ES_tradnl"/>
        </w:rPr>
        <w:t>C</w:t>
      </w:r>
      <w:r w:rsidR="00896FDA" w:rsidRPr="00AB4289">
        <w:rPr>
          <w:sz w:val="28"/>
          <w:szCs w:val="28"/>
          <w:lang w:val="es-ES_tradnl"/>
        </w:rPr>
        <w:t xml:space="preserve">omparó </w:t>
      </w:r>
      <w:r w:rsidR="00B96FAA" w:rsidRPr="00AB4289">
        <w:rPr>
          <w:sz w:val="28"/>
          <w:szCs w:val="28"/>
          <w:lang w:val="es-ES_tradnl"/>
        </w:rPr>
        <w:t>el grado de protección</w:t>
      </w:r>
      <w:r w:rsidR="00043BA6" w:rsidRPr="00AB4289">
        <w:rPr>
          <w:sz w:val="28"/>
          <w:szCs w:val="28"/>
          <w:lang w:val="es-ES_tradnl"/>
        </w:rPr>
        <w:t xml:space="preserve"> de los derechos en tensión</w:t>
      </w:r>
      <w:r w:rsidR="00327C2E" w:rsidRPr="00AB4289">
        <w:rPr>
          <w:sz w:val="28"/>
          <w:szCs w:val="28"/>
          <w:lang w:val="es-ES_tradnl"/>
        </w:rPr>
        <w:t xml:space="preserve">. Así, evidenció </w:t>
      </w:r>
      <w:r w:rsidR="00327C2E" w:rsidRPr="00AB4289">
        <w:rPr>
          <w:sz w:val="28"/>
          <w:szCs w:val="28"/>
          <w:lang w:val="es-ES"/>
        </w:rPr>
        <w:t xml:space="preserve">que la protección que se le debía dar al derecho de hábeas data </w:t>
      </w:r>
      <w:r w:rsidR="00043BA6" w:rsidRPr="00AB4289">
        <w:rPr>
          <w:sz w:val="28"/>
          <w:szCs w:val="28"/>
          <w:lang w:val="es-ES"/>
        </w:rPr>
        <w:t xml:space="preserve">y la intimidad </w:t>
      </w:r>
      <w:r w:rsidR="00327C2E" w:rsidRPr="00AB4289">
        <w:rPr>
          <w:sz w:val="28"/>
          <w:szCs w:val="28"/>
          <w:lang w:val="es-ES"/>
        </w:rPr>
        <w:t>era inferior a la protección que se deb</w:t>
      </w:r>
      <w:r w:rsidRPr="00AB4289">
        <w:rPr>
          <w:sz w:val="28"/>
          <w:szCs w:val="28"/>
          <w:lang w:val="es-ES"/>
        </w:rPr>
        <w:t>ía</w:t>
      </w:r>
      <w:r w:rsidR="00327C2E" w:rsidRPr="00AB4289">
        <w:rPr>
          <w:sz w:val="28"/>
          <w:szCs w:val="28"/>
          <w:lang w:val="es-ES"/>
        </w:rPr>
        <w:t xml:space="preserve"> otorgar a</w:t>
      </w:r>
      <w:r w:rsidRPr="00AB4289">
        <w:rPr>
          <w:sz w:val="28"/>
          <w:szCs w:val="28"/>
          <w:lang w:val="es-ES"/>
        </w:rPr>
        <w:t xml:space="preserve">l derecho a </w:t>
      </w:r>
      <w:r w:rsidR="00327C2E" w:rsidRPr="00AB4289">
        <w:rPr>
          <w:sz w:val="28"/>
          <w:szCs w:val="28"/>
          <w:lang w:val="es-ES"/>
        </w:rPr>
        <w:t xml:space="preserve">la información </w:t>
      </w:r>
      <w:r w:rsidRPr="00AB4289">
        <w:rPr>
          <w:sz w:val="28"/>
          <w:szCs w:val="28"/>
          <w:lang w:val="es-ES"/>
        </w:rPr>
        <w:t>del</w:t>
      </w:r>
      <w:r w:rsidR="00327C2E" w:rsidRPr="00AB4289">
        <w:rPr>
          <w:sz w:val="28"/>
          <w:szCs w:val="28"/>
          <w:lang w:val="es-ES"/>
        </w:rPr>
        <w:t xml:space="preserve"> periodista accionante. En efecto, la divulgación de los datos académicos no comprometía de manera significativa la intimidad </w:t>
      </w:r>
      <w:r w:rsidR="00043BA6" w:rsidRPr="00AB4289">
        <w:rPr>
          <w:sz w:val="28"/>
          <w:szCs w:val="28"/>
          <w:lang w:val="es-ES"/>
        </w:rPr>
        <w:t xml:space="preserve">o el derecho al hábeas data </w:t>
      </w:r>
      <w:r w:rsidR="00327C2E" w:rsidRPr="00AB4289">
        <w:rPr>
          <w:sz w:val="28"/>
          <w:szCs w:val="28"/>
          <w:lang w:val="es-ES"/>
        </w:rPr>
        <w:t>del funcionario</w:t>
      </w:r>
      <w:r w:rsidR="009B203C" w:rsidRPr="00AB4289">
        <w:rPr>
          <w:sz w:val="28"/>
          <w:szCs w:val="28"/>
          <w:lang w:val="es-ES"/>
        </w:rPr>
        <w:t xml:space="preserve"> público</w:t>
      </w:r>
      <w:r w:rsidR="00327C2E" w:rsidRPr="00AB4289">
        <w:rPr>
          <w:sz w:val="28"/>
          <w:szCs w:val="28"/>
          <w:lang w:val="es-ES"/>
        </w:rPr>
        <w:t>; en cambio, el ejercicio del derecho de acceso a la información por parte del peticionario sí requería de una protección particular, ya que representaba un beneficio público significativo.</w:t>
      </w:r>
    </w:p>
    <w:p w14:paraId="5DBBB72C" w14:textId="77777777" w:rsidR="00B96FAA" w:rsidRPr="00AB4289" w:rsidRDefault="00B96FAA" w:rsidP="00B40BE5">
      <w:pPr>
        <w:pStyle w:val="Prrafodelista"/>
        <w:ind w:left="0"/>
        <w:jc w:val="both"/>
        <w:rPr>
          <w:sz w:val="28"/>
          <w:szCs w:val="28"/>
          <w:lang w:val="es-ES_tradnl"/>
        </w:rPr>
      </w:pPr>
    </w:p>
    <w:p w14:paraId="5C03F743" w14:textId="099257E1" w:rsidR="00FD2903" w:rsidRPr="00AB4289" w:rsidRDefault="0017268E" w:rsidP="00B40BE5">
      <w:pPr>
        <w:pStyle w:val="Prrafodelista"/>
        <w:numPr>
          <w:ilvl w:val="0"/>
          <w:numId w:val="2"/>
        </w:numPr>
        <w:ind w:left="0" w:firstLine="0"/>
        <w:jc w:val="both"/>
        <w:rPr>
          <w:sz w:val="28"/>
          <w:szCs w:val="28"/>
          <w:lang w:val="es-ES_tradnl"/>
        </w:rPr>
      </w:pPr>
      <w:r w:rsidRPr="00AB4289">
        <w:rPr>
          <w:sz w:val="28"/>
          <w:szCs w:val="28"/>
          <w:lang w:val="es-ES_tradnl"/>
        </w:rPr>
        <w:t>A partir de este examen, la Corte determinó que</w:t>
      </w:r>
      <w:r w:rsidR="004C68EE" w:rsidRPr="00AB4289">
        <w:rPr>
          <w:sz w:val="28"/>
          <w:szCs w:val="28"/>
          <w:lang w:val="es-ES_tradnl"/>
        </w:rPr>
        <w:t>, como en e</w:t>
      </w:r>
      <w:r w:rsidR="007C5CD4" w:rsidRPr="00AB4289">
        <w:rPr>
          <w:sz w:val="28"/>
          <w:szCs w:val="28"/>
          <w:lang w:val="es-ES_tradnl"/>
        </w:rPr>
        <w:t>se</w:t>
      </w:r>
      <w:r w:rsidR="004C68EE" w:rsidRPr="00AB4289">
        <w:rPr>
          <w:sz w:val="28"/>
          <w:szCs w:val="28"/>
          <w:lang w:val="es-ES_tradnl"/>
        </w:rPr>
        <w:t xml:space="preserve"> caso no se presentaba un daño presente y específico</w:t>
      </w:r>
      <w:r w:rsidR="00327C2E" w:rsidRPr="00AB4289">
        <w:rPr>
          <w:sz w:val="28"/>
          <w:szCs w:val="28"/>
          <w:lang w:val="es-ES_tradnl"/>
        </w:rPr>
        <w:t xml:space="preserve"> que superara el beneficio público</w:t>
      </w:r>
      <w:r w:rsidR="004C68EE" w:rsidRPr="00AB4289">
        <w:rPr>
          <w:sz w:val="28"/>
          <w:szCs w:val="28"/>
          <w:lang w:val="es-ES_tradnl"/>
        </w:rPr>
        <w:t xml:space="preserve">, no </w:t>
      </w:r>
      <w:r w:rsidR="004C68EE" w:rsidRPr="00AB4289">
        <w:rPr>
          <w:sz w:val="28"/>
          <w:szCs w:val="28"/>
          <w:lang w:val="es-ES_tradnl"/>
        </w:rPr>
        <w:lastRenderedPageBreak/>
        <w:t>había justificación para</w:t>
      </w:r>
      <w:r w:rsidR="00DE6534" w:rsidRPr="00AB4289">
        <w:rPr>
          <w:sz w:val="28"/>
          <w:szCs w:val="28"/>
          <w:lang w:val="es-ES_tradnl"/>
        </w:rPr>
        <w:t xml:space="preserve"> no divulgar</w:t>
      </w:r>
      <w:r w:rsidR="004C68EE" w:rsidRPr="00AB4289">
        <w:rPr>
          <w:sz w:val="28"/>
          <w:szCs w:val="28"/>
          <w:lang w:val="es-ES_tradnl"/>
        </w:rPr>
        <w:t xml:space="preserve"> la información</w:t>
      </w:r>
      <w:r w:rsidR="00DE6534" w:rsidRPr="00AB4289">
        <w:rPr>
          <w:sz w:val="28"/>
          <w:szCs w:val="28"/>
          <w:lang w:val="es-ES_tradnl"/>
        </w:rPr>
        <w:t xml:space="preserve"> </w:t>
      </w:r>
      <w:r w:rsidR="009B203C" w:rsidRPr="00AB4289">
        <w:rPr>
          <w:sz w:val="28"/>
          <w:szCs w:val="28"/>
          <w:lang w:val="es-ES_tradnl"/>
        </w:rPr>
        <w:t xml:space="preserve">semiprivada </w:t>
      </w:r>
      <w:r w:rsidR="00470D84" w:rsidRPr="00AB4289">
        <w:rPr>
          <w:sz w:val="28"/>
          <w:szCs w:val="28"/>
          <w:lang w:val="es-ES_tradnl"/>
        </w:rPr>
        <w:t xml:space="preserve">y pública </w:t>
      </w:r>
      <w:r w:rsidR="00DE6534" w:rsidRPr="00AB4289">
        <w:rPr>
          <w:sz w:val="28"/>
          <w:szCs w:val="28"/>
          <w:lang w:val="es-ES_tradnl"/>
        </w:rPr>
        <w:t>solicitada por el periodista</w:t>
      </w:r>
      <w:r w:rsidR="00327C2E" w:rsidRPr="00AB4289">
        <w:rPr>
          <w:sz w:val="28"/>
          <w:szCs w:val="28"/>
          <w:lang w:val="es-ES_tradnl"/>
        </w:rPr>
        <w:t>. Por esta razón</w:t>
      </w:r>
      <w:r w:rsidR="00DE6534" w:rsidRPr="00AB4289">
        <w:rPr>
          <w:sz w:val="28"/>
          <w:szCs w:val="28"/>
          <w:lang w:val="es-ES_tradnl"/>
        </w:rPr>
        <w:t>, se</w:t>
      </w:r>
      <w:r w:rsidR="00327C2E" w:rsidRPr="00AB4289">
        <w:rPr>
          <w:sz w:val="28"/>
          <w:szCs w:val="28"/>
          <w:lang w:val="es-ES_tradnl"/>
        </w:rPr>
        <w:t xml:space="preserve"> o</w:t>
      </w:r>
      <w:r w:rsidRPr="00AB4289">
        <w:rPr>
          <w:sz w:val="28"/>
          <w:szCs w:val="28"/>
          <w:lang w:val="es-ES_tradnl"/>
        </w:rPr>
        <w:t>rden</w:t>
      </w:r>
      <w:r w:rsidR="00327C2E" w:rsidRPr="00AB4289">
        <w:rPr>
          <w:sz w:val="28"/>
          <w:szCs w:val="28"/>
          <w:lang w:val="es-ES_tradnl"/>
        </w:rPr>
        <w:t>ó</w:t>
      </w:r>
      <w:r w:rsidRPr="00AB4289">
        <w:rPr>
          <w:sz w:val="28"/>
          <w:szCs w:val="28"/>
          <w:lang w:val="es-ES_tradnl"/>
        </w:rPr>
        <w:t xml:space="preserve"> </w:t>
      </w:r>
      <w:r w:rsidR="004C68EE" w:rsidRPr="00AB4289">
        <w:rPr>
          <w:sz w:val="28"/>
          <w:szCs w:val="28"/>
          <w:lang w:val="es-ES_tradnl"/>
        </w:rPr>
        <w:t>su entrega.</w:t>
      </w:r>
      <w:r w:rsidR="00FD2903" w:rsidRPr="00AB4289">
        <w:rPr>
          <w:sz w:val="28"/>
          <w:szCs w:val="28"/>
          <w:lang w:val="es-ES_tradnl"/>
        </w:rPr>
        <w:t xml:space="preserve"> Así, esta </w:t>
      </w:r>
      <w:r w:rsidR="000D2207" w:rsidRPr="00AB4289">
        <w:rPr>
          <w:sz w:val="28"/>
          <w:szCs w:val="28"/>
          <w:lang w:val="es-ES_tradnl"/>
        </w:rPr>
        <w:t>C</w:t>
      </w:r>
      <w:r w:rsidR="00FD2903" w:rsidRPr="00AB4289">
        <w:rPr>
          <w:sz w:val="28"/>
          <w:szCs w:val="28"/>
          <w:lang w:val="es-ES_tradnl"/>
        </w:rPr>
        <w:t xml:space="preserve">orporación reiteró que </w:t>
      </w:r>
      <w:r w:rsidR="00BB0CB5" w:rsidRPr="00AB4289">
        <w:rPr>
          <w:sz w:val="28"/>
          <w:szCs w:val="28"/>
          <w:lang w:val="es-ES_tradnl"/>
        </w:rPr>
        <w:t xml:space="preserve">los sujetos obligados no pueden limitar el acceso a determinada información mediante invocaciones genéricas, automáticas o abstractas de reserva, sino que deben cumplir con </w:t>
      </w:r>
      <w:r w:rsidR="00181141" w:rsidRPr="00AB4289">
        <w:rPr>
          <w:sz w:val="28"/>
          <w:szCs w:val="28"/>
          <w:lang w:val="es-ES_tradnl"/>
        </w:rPr>
        <w:t xml:space="preserve">los estándares establecidos en el </w:t>
      </w:r>
      <w:r w:rsidR="00FD2903" w:rsidRPr="00AB4289">
        <w:rPr>
          <w:sz w:val="28"/>
          <w:szCs w:val="28"/>
          <w:lang w:val="es-ES_tradnl"/>
        </w:rPr>
        <w:t>artículo 28 de la Ley 1712 de 2014</w:t>
      </w:r>
      <w:r w:rsidR="00BB0CB5" w:rsidRPr="00AB4289">
        <w:rPr>
          <w:sz w:val="28"/>
          <w:szCs w:val="28"/>
          <w:lang w:val="es-ES_tradnl"/>
        </w:rPr>
        <w:t xml:space="preserve">. </w:t>
      </w:r>
    </w:p>
    <w:p w14:paraId="1F31A5C6" w14:textId="77777777" w:rsidR="00FD2903" w:rsidRPr="00AB4289" w:rsidRDefault="00FD2903" w:rsidP="00B40BE5">
      <w:pPr>
        <w:pStyle w:val="Prrafodelista"/>
        <w:jc w:val="both"/>
        <w:rPr>
          <w:sz w:val="28"/>
          <w:szCs w:val="28"/>
          <w:lang w:val="es-ES_tradnl"/>
        </w:rPr>
      </w:pPr>
    </w:p>
    <w:p w14:paraId="64B9645D" w14:textId="77777777" w:rsidR="00061771" w:rsidRPr="00AB4289" w:rsidRDefault="007C5CD4" w:rsidP="00B40BE5">
      <w:pPr>
        <w:pStyle w:val="NormalWeb"/>
        <w:numPr>
          <w:ilvl w:val="0"/>
          <w:numId w:val="2"/>
        </w:numPr>
        <w:tabs>
          <w:tab w:val="left" w:pos="284"/>
          <w:tab w:val="left" w:pos="426"/>
          <w:tab w:val="left" w:pos="567"/>
          <w:tab w:val="left" w:pos="851"/>
        </w:tabs>
        <w:spacing w:before="0" w:beforeAutospacing="0" w:after="0" w:afterAutospacing="0"/>
        <w:ind w:left="0" w:right="49" w:firstLine="0"/>
        <w:jc w:val="both"/>
        <w:rPr>
          <w:sz w:val="28"/>
          <w:szCs w:val="28"/>
          <w:lang w:val="es-ES_tradnl"/>
        </w:rPr>
      </w:pPr>
      <w:r w:rsidRPr="00AB4289">
        <w:rPr>
          <w:sz w:val="28"/>
          <w:szCs w:val="28"/>
          <w:lang w:val="es-ES_tradnl"/>
        </w:rPr>
        <w:t>Finalmente</w:t>
      </w:r>
      <w:r w:rsidR="00FD2903" w:rsidRPr="00AB4289">
        <w:rPr>
          <w:sz w:val="28"/>
          <w:szCs w:val="28"/>
          <w:lang w:val="es-ES_tradnl"/>
        </w:rPr>
        <w:t>, es importante destacar que hay información que, en ningún caso</w:t>
      </w:r>
      <w:r w:rsidR="00293688" w:rsidRPr="00AB4289">
        <w:rPr>
          <w:sz w:val="28"/>
          <w:szCs w:val="28"/>
          <w:lang w:val="es-ES_tradnl"/>
        </w:rPr>
        <w:t>,</w:t>
      </w:r>
      <w:r w:rsidR="00FD2903" w:rsidRPr="00AB4289">
        <w:rPr>
          <w:sz w:val="28"/>
          <w:szCs w:val="28"/>
          <w:lang w:val="es-ES_tradnl"/>
        </w:rPr>
        <w:t xml:space="preserve"> puede ser restringida</w:t>
      </w:r>
      <w:r w:rsidR="00293688" w:rsidRPr="00AB4289">
        <w:rPr>
          <w:sz w:val="28"/>
          <w:szCs w:val="28"/>
          <w:lang w:val="es-ES_tradnl"/>
        </w:rPr>
        <w:t xml:space="preserve"> o limitada</w:t>
      </w:r>
      <w:r w:rsidR="00FD2903" w:rsidRPr="00AB4289">
        <w:rPr>
          <w:sz w:val="28"/>
          <w:szCs w:val="28"/>
          <w:lang w:val="es-ES_tradnl"/>
        </w:rPr>
        <w:t xml:space="preserve"> ni siquiera a partir de los criterios establecidos en el artículo 28 de la Ley 1712 de 2014.</w:t>
      </w:r>
      <w:r w:rsidR="002647B5" w:rsidRPr="00AB4289">
        <w:rPr>
          <w:sz w:val="28"/>
          <w:szCs w:val="28"/>
          <w:lang w:val="es-ES_tradnl"/>
        </w:rPr>
        <w:t xml:space="preserve"> </w:t>
      </w:r>
      <w:r w:rsidR="00FD2903" w:rsidRPr="00AB4289">
        <w:rPr>
          <w:sz w:val="28"/>
          <w:szCs w:val="28"/>
          <w:lang w:val="es-ES_tradnl"/>
        </w:rPr>
        <w:t>Se trata de aquella información cuya relevancia pública es tan evidente y clara que</w:t>
      </w:r>
      <w:r w:rsidR="00A645CA" w:rsidRPr="00AB4289">
        <w:rPr>
          <w:sz w:val="28"/>
          <w:szCs w:val="28"/>
          <w:lang w:val="es-ES_tradnl"/>
        </w:rPr>
        <w:t xml:space="preserve"> su divulgación es obligada por la ley.</w:t>
      </w:r>
      <w:r w:rsidRPr="00AB4289">
        <w:rPr>
          <w:sz w:val="28"/>
          <w:szCs w:val="28"/>
          <w:lang w:val="es-ES_tradnl"/>
        </w:rPr>
        <w:t xml:space="preserve"> </w:t>
      </w:r>
    </w:p>
    <w:p w14:paraId="374C2724" w14:textId="77777777" w:rsidR="00061771" w:rsidRPr="00AB4289" w:rsidRDefault="00061771" w:rsidP="00B40BE5">
      <w:pPr>
        <w:pStyle w:val="Prrafodelista"/>
        <w:jc w:val="both"/>
        <w:rPr>
          <w:sz w:val="28"/>
          <w:szCs w:val="28"/>
          <w:lang w:val="es-ES_tradnl"/>
        </w:rPr>
      </w:pPr>
    </w:p>
    <w:p w14:paraId="2C5CDFD3" w14:textId="71B5B112" w:rsidR="009B203C" w:rsidRPr="00AB4289" w:rsidRDefault="00FD2903" w:rsidP="00B40BE5">
      <w:pPr>
        <w:pStyle w:val="NormalWeb"/>
        <w:numPr>
          <w:ilvl w:val="0"/>
          <w:numId w:val="2"/>
        </w:numPr>
        <w:tabs>
          <w:tab w:val="left" w:pos="284"/>
          <w:tab w:val="left" w:pos="426"/>
          <w:tab w:val="left" w:pos="567"/>
          <w:tab w:val="left" w:pos="851"/>
        </w:tabs>
        <w:spacing w:before="0" w:beforeAutospacing="0" w:after="0" w:afterAutospacing="0"/>
        <w:ind w:left="0" w:right="49" w:firstLine="0"/>
        <w:jc w:val="both"/>
        <w:rPr>
          <w:sz w:val="28"/>
          <w:szCs w:val="28"/>
          <w:lang w:val="es-ES_tradnl"/>
        </w:rPr>
      </w:pPr>
      <w:r w:rsidRPr="00AB4289">
        <w:rPr>
          <w:sz w:val="28"/>
          <w:szCs w:val="28"/>
          <w:lang w:val="es-ES_tradnl"/>
        </w:rPr>
        <w:t xml:space="preserve">En efecto, en Colombia </w:t>
      </w:r>
      <w:r w:rsidR="002647B5" w:rsidRPr="00AB4289">
        <w:rPr>
          <w:sz w:val="28"/>
          <w:szCs w:val="28"/>
          <w:lang w:val="es-ES_tradnl"/>
        </w:rPr>
        <w:t xml:space="preserve">son varias las disposiciones legales que consagran un deber de publicación de información </w:t>
      </w:r>
      <w:r w:rsidR="009B203C" w:rsidRPr="00AB4289">
        <w:rPr>
          <w:sz w:val="28"/>
          <w:szCs w:val="28"/>
          <w:lang w:val="es-ES_tradnl"/>
        </w:rPr>
        <w:t>con el propósito de asegurar</w:t>
      </w:r>
      <w:r w:rsidR="002647B5" w:rsidRPr="00AB4289">
        <w:rPr>
          <w:sz w:val="28"/>
          <w:szCs w:val="28"/>
          <w:lang w:val="es-ES_tradnl"/>
        </w:rPr>
        <w:t xml:space="preserve"> el interés público. </w:t>
      </w:r>
      <w:r w:rsidR="00C11517" w:rsidRPr="00AB4289">
        <w:rPr>
          <w:sz w:val="28"/>
          <w:szCs w:val="28"/>
          <w:lang w:val="es-ES_tradnl"/>
        </w:rPr>
        <w:t>Por ser relevante en el presente caso y sin perjuicio de que más adelante en esta sentencia se profundizará</w:t>
      </w:r>
      <w:r w:rsidR="00D52DEB" w:rsidRPr="00AB4289">
        <w:rPr>
          <w:sz w:val="28"/>
          <w:szCs w:val="28"/>
          <w:lang w:val="es-ES_tradnl"/>
        </w:rPr>
        <w:t xml:space="preserve"> al respecto</w:t>
      </w:r>
      <w:r w:rsidR="00C11517" w:rsidRPr="00AB4289">
        <w:rPr>
          <w:sz w:val="28"/>
          <w:szCs w:val="28"/>
          <w:lang w:val="es-ES_tradnl"/>
        </w:rPr>
        <w:t>,</w:t>
      </w:r>
      <w:r w:rsidR="007C5CD4" w:rsidRPr="00AB4289">
        <w:rPr>
          <w:sz w:val="28"/>
          <w:szCs w:val="28"/>
          <w:lang w:val="es-ES_tradnl"/>
        </w:rPr>
        <w:t xml:space="preserve"> se destaca</w:t>
      </w:r>
      <w:r w:rsidR="002647B5" w:rsidRPr="00AB4289">
        <w:rPr>
          <w:sz w:val="28"/>
          <w:szCs w:val="28"/>
          <w:lang w:val="es-ES_tradnl"/>
        </w:rPr>
        <w:t xml:space="preserve"> la Ley 2013 de 2019, que tiene por objeto la publicación de</w:t>
      </w:r>
      <w:r w:rsidRPr="00AB4289">
        <w:rPr>
          <w:sz w:val="28"/>
          <w:szCs w:val="28"/>
          <w:lang w:val="es-ES_tradnl"/>
        </w:rPr>
        <w:t xml:space="preserve"> </w:t>
      </w:r>
      <w:r w:rsidR="00097BCA" w:rsidRPr="00AB4289">
        <w:rPr>
          <w:sz w:val="28"/>
          <w:szCs w:val="28"/>
          <w:lang w:val="es-ES_tradnl"/>
        </w:rPr>
        <w:t xml:space="preserve">las declaraciones sobre el impuesto de renta, las declaraciones de bienes y rentas, y los registros de conflictos de interés </w:t>
      </w:r>
      <w:r w:rsidR="002647B5" w:rsidRPr="00AB4289">
        <w:rPr>
          <w:sz w:val="28"/>
          <w:szCs w:val="28"/>
          <w:lang w:val="es-ES_tradnl"/>
        </w:rPr>
        <w:t>de algunos funcionarios públicos</w:t>
      </w:r>
      <w:r w:rsidR="009B203C" w:rsidRPr="00AB4289">
        <w:rPr>
          <w:sz w:val="28"/>
          <w:szCs w:val="28"/>
          <w:lang w:val="es-ES_tradnl"/>
        </w:rPr>
        <w:t xml:space="preserve">, aspecto que será analizado con mayor detalle más adelante. </w:t>
      </w:r>
      <w:r w:rsidR="002647B5" w:rsidRPr="00AB4289">
        <w:rPr>
          <w:sz w:val="28"/>
          <w:szCs w:val="28"/>
          <w:lang w:val="es-ES_tradnl"/>
        </w:rPr>
        <w:t>Del mismo modo</w:t>
      </w:r>
      <w:r w:rsidRPr="00AB4289">
        <w:rPr>
          <w:sz w:val="28"/>
          <w:szCs w:val="28"/>
          <w:lang w:val="es-ES_tradnl"/>
        </w:rPr>
        <w:t>,</w:t>
      </w:r>
      <w:r w:rsidR="00C930F5" w:rsidRPr="00AB4289">
        <w:rPr>
          <w:sz w:val="28"/>
          <w:szCs w:val="28"/>
          <w:lang w:val="es-ES_tradnl"/>
        </w:rPr>
        <w:t xml:space="preserve"> </w:t>
      </w:r>
      <w:r w:rsidR="002647B5" w:rsidRPr="00AB4289">
        <w:rPr>
          <w:sz w:val="28"/>
          <w:szCs w:val="28"/>
          <w:lang w:val="es-ES_tradnl"/>
        </w:rPr>
        <w:t>la Ley 1474 de 2011</w:t>
      </w:r>
      <w:r w:rsidR="002647B5" w:rsidRPr="00AB4289">
        <w:rPr>
          <w:rStyle w:val="Refdenotaalpie"/>
          <w:rFonts w:cs="Times New Roman"/>
          <w:sz w:val="28"/>
          <w:szCs w:val="28"/>
          <w:lang w:val="es-ES_tradnl"/>
        </w:rPr>
        <w:footnoteReference w:id="84"/>
      </w:r>
      <w:r w:rsidR="002647B5" w:rsidRPr="00AB4289">
        <w:rPr>
          <w:sz w:val="28"/>
          <w:szCs w:val="28"/>
          <w:lang w:val="es-ES_tradnl"/>
        </w:rPr>
        <w:t xml:space="preserve"> establece que las entidades públicas están obligadas a publicar periódicamente en su página de internet toda la información relativa al presupuesto, planificación y gastos en las actividades relacionadas con contratación.</w:t>
      </w:r>
      <w:r w:rsidR="007E011C" w:rsidRPr="00AB4289">
        <w:rPr>
          <w:sz w:val="28"/>
          <w:szCs w:val="28"/>
          <w:lang w:val="es-ES_tradnl"/>
        </w:rPr>
        <w:t xml:space="preserve"> </w:t>
      </w:r>
      <w:r w:rsidR="004C4E5B" w:rsidRPr="00AB4289">
        <w:rPr>
          <w:sz w:val="28"/>
          <w:szCs w:val="28"/>
          <w:lang w:val="es-ES_tradnl"/>
        </w:rPr>
        <w:t>En la misma línea, la</w:t>
      </w:r>
      <w:r w:rsidR="007E011C" w:rsidRPr="00AB4289">
        <w:rPr>
          <w:sz w:val="28"/>
          <w:szCs w:val="28"/>
          <w:lang w:val="es-ES_tradnl"/>
        </w:rPr>
        <w:t xml:space="preserve"> </w:t>
      </w:r>
      <w:r w:rsidR="007C5CD4" w:rsidRPr="00AB4289">
        <w:rPr>
          <w:sz w:val="28"/>
          <w:szCs w:val="28"/>
          <w:lang w:val="es-ES_tradnl"/>
        </w:rPr>
        <w:t>L</w:t>
      </w:r>
      <w:r w:rsidR="007E011C" w:rsidRPr="00AB4289">
        <w:rPr>
          <w:sz w:val="28"/>
          <w:szCs w:val="28"/>
          <w:lang w:val="es-ES_tradnl"/>
        </w:rPr>
        <w:t>ey 1712 de 2014</w:t>
      </w:r>
      <w:r w:rsidR="00D2146F" w:rsidRPr="00AB4289">
        <w:rPr>
          <w:sz w:val="28"/>
          <w:szCs w:val="28"/>
          <w:lang w:val="es-ES_tradnl"/>
        </w:rPr>
        <w:t>, en su artículo 9,</w:t>
      </w:r>
      <w:r w:rsidR="007E011C" w:rsidRPr="00AB4289">
        <w:rPr>
          <w:sz w:val="28"/>
          <w:szCs w:val="28"/>
          <w:lang w:val="es-ES_tradnl"/>
        </w:rPr>
        <w:t xml:space="preserve"> dispone que los sujetos obligados- es decir entidades públicas, instituciones que presten servicios públicos</w:t>
      </w:r>
      <w:r w:rsidR="004D4238" w:rsidRPr="00AB4289">
        <w:rPr>
          <w:sz w:val="28"/>
          <w:szCs w:val="28"/>
          <w:lang w:val="es-ES_tradnl"/>
        </w:rPr>
        <w:t>,</w:t>
      </w:r>
      <w:r w:rsidR="007E011C" w:rsidRPr="00AB4289">
        <w:rPr>
          <w:sz w:val="28"/>
          <w:szCs w:val="28"/>
          <w:lang w:val="es-ES_tradnl"/>
        </w:rPr>
        <w:t xml:space="preserve"> etc</w:t>
      </w:r>
      <w:r w:rsidR="007C5CD4" w:rsidRPr="00AB4289">
        <w:rPr>
          <w:sz w:val="28"/>
          <w:szCs w:val="28"/>
          <w:lang w:val="es-ES_tradnl"/>
        </w:rPr>
        <w:t>.</w:t>
      </w:r>
      <w:r w:rsidR="007E011C" w:rsidRPr="00AB4289">
        <w:rPr>
          <w:sz w:val="28"/>
          <w:szCs w:val="28"/>
          <w:lang w:val="es-ES_tradnl"/>
        </w:rPr>
        <w:t>- tienen la obligación de</w:t>
      </w:r>
      <w:r w:rsidR="00D2146F" w:rsidRPr="00AB4289">
        <w:rPr>
          <w:sz w:val="28"/>
          <w:szCs w:val="28"/>
          <w:lang w:val="es-ES_tradnl"/>
        </w:rPr>
        <w:t xml:space="preserve"> publicar un directorio con</w:t>
      </w:r>
      <w:r w:rsidR="004D4238" w:rsidRPr="00AB4289">
        <w:rPr>
          <w:sz w:val="28"/>
          <w:szCs w:val="28"/>
          <w:lang w:val="es-ES_tradnl"/>
        </w:rPr>
        <w:t xml:space="preserve"> la identificación, la información de contacto, la experiencia</w:t>
      </w:r>
      <w:r w:rsidR="00D2146F" w:rsidRPr="00AB4289">
        <w:rPr>
          <w:sz w:val="28"/>
          <w:szCs w:val="28"/>
          <w:lang w:val="es-ES_tradnl"/>
        </w:rPr>
        <w:t xml:space="preserve"> laboral y </w:t>
      </w:r>
      <w:r w:rsidR="004D4238" w:rsidRPr="00AB4289">
        <w:rPr>
          <w:sz w:val="28"/>
          <w:szCs w:val="28"/>
          <w:lang w:val="es-ES_tradnl"/>
        </w:rPr>
        <w:t xml:space="preserve">la formación </w:t>
      </w:r>
      <w:r w:rsidR="00D2146F" w:rsidRPr="00AB4289">
        <w:rPr>
          <w:sz w:val="28"/>
          <w:szCs w:val="28"/>
          <w:lang w:val="es-ES_tradnl"/>
        </w:rPr>
        <w:t>académica de sus funcionarios</w:t>
      </w:r>
      <w:r w:rsidR="004D4238" w:rsidRPr="00AB4289">
        <w:rPr>
          <w:sz w:val="28"/>
          <w:szCs w:val="28"/>
          <w:lang w:val="es-ES_tradnl"/>
        </w:rPr>
        <w:t xml:space="preserve"> y contratistas</w:t>
      </w:r>
      <w:r w:rsidR="00D2146F" w:rsidRPr="00AB4289">
        <w:rPr>
          <w:rStyle w:val="Refdenotaalpie"/>
          <w:rFonts w:cs="Times New Roman"/>
          <w:sz w:val="28"/>
          <w:szCs w:val="28"/>
          <w:lang w:val="es-ES_tradnl"/>
        </w:rPr>
        <w:footnoteReference w:id="85"/>
      </w:r>
      <w:r w:rsidR="00D2146F" w:rsidRPr="00AB4289">
        <w:rPr>
          <w:sz w:val="28"/>
          <w:szCs w:val="28"/>
          <w:lang w:val="es-ES_tradnl"/>
        </w:rPr>
        <w:t xml:space="preserve">. </w:t>
      </w:r>
    </w:p>
    <w:p w14:paraId="3053D1FF" w14:textId="77777777" w:rsidR="007C5CD4" w:rsidRPr="00AB4289" w:rsidRDefault="007C5CD4" w:rsidP="00B40BE5">
      <w:pPr>
        <w:pStyle w:val="NormalWeb"/>
        <w:tabs>
          <w:tab w:val="left" w:pos="284"/>
          <w:tab w:val="left" w:pos="426"/>
          <w:tab w:val="left" w:pos="567"/>
          <w:tab w:val="left" w:pos="851"/>
        </w:tabs>
        <w:spacing w:before="0" w:beforeAutospacing="0" w:after="0" w:afterAutospacing="0"/>
        <w:ind w:right="49"/>
        <w:jc w:val="both"/>
        <w:rPr>
          <w:sz w:val="28"/>
          <w:szCs w:val="28"/>
          <w:lang w:val="es-ES_tradnl"/>
        </w:rPr>
      </w:pPr>
    </w:p>
    <w:p w14:paraId="33F4AE52" w14:textId="3AA45B8D" w:rsidR="007C5CD4" w:rsidRPr="00AB4289" w:rsidRDefault="007C5CD4" w:rsidP="00B40BE5">
      <w:pPr>
        <w:pStyle w:val="NormalWeb"/>
        <w:numPr>
          <w:ilvl w:val="0"/>
          <w:numId w:val="2"/>
        </w:numPr>
        <w:tabs>
          <w:tab w:val="left" w:pos="284"/>
          <w:tab w:val="left" w:pos="426"/>
          <w:tab w:val="left" w:pos="567"/>
          <w:tab w:val="left" w:pos="851"/>
        </w:tabs>
        <w:spacing w:before="0" w:beforeAutospacing="0" w:after="0" w:afterAutospacing="0"/>
        <w:ind w:left="0" w:right="49" w:firstLine="0"/>
        <w:jc w:val="both"/>
        <w:rPr>
          <w:sz w:val="28"/>
          <w:szCs w:val="28"/>
          <w:lang w:val="es-ES_tradnl"/>
        </w:rPr>
      </w:pPr>
      <w:r w:rsidRPr="00AB4289">
        <w:rPr>
          <w:sz w:val="28"/>
          <w:szCs w:val="28"/>
          <w:lang w:val="es-ES_tradnl"/>
        </w:rPr>
        <w:t xml:space="preserve"> </w:t>
      </w:r>
      <w:r w:rsidR="004C4E5B" w:rsidRPr="00AB4289">
        <w:rPr>
          <w:sz w:val="28"/>
          <w:szCs w:val="28"/>
          <w:lang w:val="es-ES_tradnl"/>
        </w:rPr>
        <w:t xml:space="preserve">En estos casos, </w:t>
      </w:r>
      <w:r w:rsidRPr="00AB4289">
        <w:rPr>
          <w:sz w:val="28"/>
          <w:szCs w:val="28"/>
          <w:lang w:val="es-ES_tradnl"/>
        </w:rPr>
        <w:t xml:space="preserve">el legislador mismo estableció que es necesario imponer el deber legal de </w:t>
      </w:r>
      <w:r w:rsidR="004C4E5B" w:rsidRPr="00AB4289">
        <w:rPr>
          <w:sz w:val="28"/>
          <w:szCs w:val="28"/>
          <w:lang w:val="es-ES_tradnl"/>
        </w:rPr>
        <w:t xml:space="preserve">publicar </w:t>
      </w:r>
      <w:r w:rsidRPr="00AB4289">
        <w:rPr>
          <w:sz w:val="28"/>
          <w:szCs w:val="28"/>
          <w:lang w:val="es-ES_tradnl"/>
        </w:rPr>
        <w:t>y actualizar</w:t>
      </w:r>
      <w:r w:rsidR="004D4238" w:rsidRPr="00AB4289">
        <w:rPr>
          <w:sz w:val="28"/>
          <w:szCs w:val="28"/>
          <w:lang w:val="es-ES_tradnl"/>
        </w:rPr>
        <w:t xml:space="preserve"> ciertos datos</w:t>
      </w:r>
      <w:r w:rsidRPr="00AB4289">
        <w:rPr>
          <w:sz w:val="28"/>
          <w:szCs w:val="28"/>
          <w:lang w:val="es-ES_tradnl"/>
        </w:rPr>
        <w:t xml:space="preserve"> para que la ciudadanía pueda </w:t>
      </w:r>
      <w:r w:rsidRPr="00AB4289">
        <w:rPr>
          <w:sz w:val="28"/>
          <w:szCs w:val="28"/>
          <w:lang w:val="es-ES_tradnl"/>
        </w:rPr>
        <w:lastRenderedPageBreak/>
        <w:t xml:space="preserve">tener siempre acceso a ellos, pues se trata de información que tiene una relevancia especialmente importante para el interés público. Por esta razón, esta clase de información debe estar disponible de manera constante y debe ser publicada sin ningún tipo de restricción. Además, cuando estos datos no están actualizados o publicados de manera adecuada como </w:t>
      </w:r>
      <w:r w:rsidR="004D4238" w:rsidRPr="00AB4289">
        <w:rPr>
          <w:sz w:val="28"/>
          <w:szCs w:val="28"/>
          <w:lang w:val="es-ES_tradnl"/>
        </w:rPr>
        <w:t xml:space="preserve">lo </w:t>
      </w:r>
      <w:r w:rsidRPr="00AB4289">
        <w:rPr>
          <w:sz w:val="28"/>
          <w:szCs w:val="28"/>
          <w:lang w:val="es-ES_tradnl"/>
        </w:rPr>
        <w:t xml:space="preserve">establece la ley, es deber de quienes </w:t>
      </w:r>
      <w:r w:rsidR="004C4E5B" w:rsidRPr="00AB4289">
        <w:rPr>
          <w:sz w:val="28"/>
          <w:szCs w:val="28"/>
          <w:lang w:val="es-ES_tradnl"/>
        </w:rPr>
        <w:t xml:space="preserve">custodian </w:t>
      </w:r>
      <w:r w:rsidRPr="00AB4289">
        <w:rPr>
          <w:sz w:val="28"/>
          <w:szCs w:val="28"/>
          <w:lang w:val="es-ES_tradnl"/>
        </w:rPr>
        <w:t xml:space="preserve">esta información hacer lo posible por hacerla pública, sin imponer trabas, y evitar cualquier dilación o trámite injustificado para su entrega. </w:t>
      </w:r>
    </w:p>
    <w:bookmarkEnd w:id="19"/>
    <w:p w14:paraId="5CD9BBFF" w14:textId="77777777" w:rsidR="00FD2903" w:rsidRPr="00AB4289" w:rsidRDefault="00FD2903" w:rsidP="00B40BE5">
      <w:pPr>
        <w:jc w:val="both"/>
        <w:rPr>
          <w:lang w:val="es-ES_tradnl"/>
        </w:rPr>
      </w:pPr>
    </w:p>
    <w:p w14:paraId="77A0F3E3" w14:textId="2F12538D" w:rsidR="00181141" w:rsidRPr="00AB4289" w:rsidRDefault="00FD2903" w:rsidP="00B40BE5">
      <w:pPr>
        <w:pStyle w:val="Prrafodelista"/>
        <w:numPr>
          <w:ilvl w:val="0"/>
          <w:numId w:val="2"/>
        </w:numPr>
        <w:ind w:left="0" w:firstLine="0"/>
        <w:jc w:val="both"/>
        <w:rPr>
          <w:sz w:val="28"/>
          <w:szCs w:val="28"/>
          <w:lang w:val="es-ES_tradnl"/>
        </w:rPr>
      </w:pPr>
      <w:r w:rsidRPr="00AB4289">
        <w:rPr>
          <w:sz w:val="28"/>
          <w:szCs w:val="28"/>
          <w:lang w:val="es-ES_tradnl"/>
        </w:rPr>
        <w:t>En conclusión, el régimen colombiano de acceso a la información pública establece</w:t>
      </w:r>
      <w:r w:rsidR="00293688" w:rsidRPr="00AB4289">
        <w:rPr>
          <w:sz w:val="28"/>
          <w:szCs w:val="28"/>
          <w:lang w:val="es-ES_tradnl"/>
        </w:rPr>
        <w:t xml:space="preserve"> que</w:t>
      </w:r>
      <w:r w:rsidRPr="00AB4289">
        <w:rPr>
          <w:sz w:val="28"/>
          <w:szCs w:val="28"/>
          <w:lang w:val="es-ES_tradnl"/>
        </w:rPr>
        <w:t xml:space="preserve"> solo es admisible restringir el acceso a esta información en circunstancias excepcionales. En ese sentido, los sujetos obligados solo pueden negar el acceso cuando: (i) justifican de manera clara y específica que se trata de información clasificada o reservada conforme a la ley; y (</w:t>
      </w:r>
      <w:proofErr w:type="spellStart"/>
      <w:r w:rsidRPr="00AB4289">
        <w:rPr>
          <w:sz w:val="28"/>
          <w:szCs w:val="28"/>
          <w:lang w:val="es-ES_tradnl"/>
        </w:rPr>
        <w:t>ii</w:t>
      </w:r>
      <w:proofErr w:type="spellEnd"/>
      <w:r w:rsidRPr="00AB4289">
        <w:rPr>
          <w:sz w:val="28"/>
          <w:szCs w:val="28"/>
          <w:lang w:val="es-ES_tradnl"/>
        </w:rPr>
        <w:t>) demuestran que su divulgación podría afectar derechos fundamentales de terceros de manera</w:t>
      </w:r>
      <w:r w:rsidR="00181141" w:rsidRPr="00AB4289">
        <w:rPr>
          <w:sz w:val="28"/>
          <w:szCs w:val="28"/>
          <w:lang w:val="es-ES_tradnl"/>
        </w:rPr>
        <w:t xml:space="preserve"> desproporcionada</w:t>
      </w:r>
      <w:r w:rsidRPr="00AB4289">
        <w:rPr>
          <w:sz w:val="28"/>
          <w:szCs w:val="28"/>
          <w:lang w:val="es-ES_tradnl"/>
        </w:rPr>
        <w:t>. Sin embargo, existen ciertos tipos de información pública que, en ningún caso, pueden ser objeto de reserva. Se trata de aquell</w:t>
      </w:r>
      <w:r w:rsidR="00181141" w:rsidRPr="00AB4289">
        <w:rPr>
          <w:sz w:val="28"/>
          <w:szCs w:val="28"/>
          <w:lang w:val="es-ES_tradnl"/>
        </w:rPr>
        <w:t>os datos</w:t>
      </w:r>
      <w:r w:rsidRPr="00AB4289">
        <w:rPr>
          <w:sz w:val="28"/>
          <w:szCs w:val="28"/>
          <w:lang w:val="es-ES_tradnl"/>
        </w:rPr>
        <w:t xml:space="preserve"> cuya publicación ha sido expresamente ordenada por la ley y cuya divulgación permanente y actualizada es indispensable para garantizar el control ciudadano</w:t>
      </w:r>
      <w:r w:rsidR="007C5CD4" w:rsidRPr="00AB4289">
        <w:rPr>
          <w:sz w:val="28"/>
          <w:szCs w:val="28"/>
          <w:lang w:val="es-ES_tradnl"/>
        </w:rPr>
        <w:t xml:space="preserve"> y garantizar el derecho al acceso a la información</w:t>
      </w:r>
      <w:r w:rsidRPr="00AB4289">
        <w:rPr>
          <w:sz w:val="28"/>
          <w:szCs w:val="28"/>
          <w:lang w:val="es-ES_tradnl"/>
        </w:rPr>
        <w:t xml:space="preserve">. </w:t>
      </w:r>
    </w:p>
    <w:p w14:paraId="74B9345D" w14:textId="77777777" w:rsidR="00181141" w:rsidRPr="00AB4289" w:rsidRDefault="00181141" w:rsidP="00B40BE5">
      <w:pPr>
        <w:pStyle w:val="Prrafodelista"/>
        <w:jc w:val="both"/>
        <w:rPr>
          <w:sz w:val="28"/>
          <w:szCs w:val="28"/>
          <w:lang w:val="es-ES_tradnl"/>
        </w:rPr>
      </w:pPr>
    </w:p>
    <w:p w14:paraId="35D7F745" w14:textId="2A4C9304" w:rsidR="00FD2903" w:rsidRPr="00AB4289" w:rsidRDefault="00FD2903" w:rsidP="00B40BE5">
      <w:pPr>
        <w:pStyle w:val="Prrafodelista"/>
        <w:numPr>
          <w:ilvl w:val="0"/>
          <w:numId w:val="2"/>
        </w:numPr>
        <w:ind w:left="0" w:firstLine="0"/>
        <w:jc w:val="both"/>
        <w:rPr>
          <w:sz w:val="28"/>
          <w:szCs w:val="28"/>
          <w:lang w:val="es-ES_tradnl"/>
        </w:rPr>
      </w:pPr>
      <w:r w:rsidRPr="00AB4289">
        <w:rPr>
          <w:sz w:val="28"/>
          <w:szCs w:val="28"/>
          <w:lang w:val="es-ES_tradnl"/>
        </w:rPr>
        <w:t xml:space="preserve">Como se explicó previamente, dentro de esta categoría se encuentran </w:t>
      </w:r>
      <w:r w:rsidR="00097BCA" w:rsidRPr="00AB4289">
        <w:rPr>
          <w:sz w:val="28"/>
          <w:szCs w:val="28"/>
          <w:lang w:val="es-ES_tradnl"/>
        </w:rPr>
        <w:t xml:space="preserve">las declaraciones sobre el impuesto de renta, las declaraciones de bienes y rentas, los registros de conflictos de interés y las hojas de vida </w:t>
      </w:r>
      <w:r w:rsidR="00181141" w:rsidRPr="00AB4289">
        <w:rPr>
          <w:sz w:val="28"/>
          <w:szCs w:val="28"/>
          <w:lang w:val="es-ES_tradnl"/>
        </w:rPr>
        <w:t xml:space="preserve">de los magistrados de las </w:t>
      </w:r>
      <w:r w:rsidR="009B203C" w:rsidRPr="00AB4289">
        <w:rPr>
          <w:sz w:val="28"/>
          <w:szCs w:val="28"/>
          <w:lang w:val="es-ES_tradnl"/>
        </w:rPr>
        <w:t>A</w:t>
      </w:r>
      <w:r w:rsidR="00181141" w:rsidRPr="00AB4289">
        <w:rPr>
          <w:sz w:val="28"/>
          <w:szCs w:val="28"/>
          <w:lang w:val="es-ES_tradnl"/>
        </w:rPr>
        <w:t xml:space="preserve">ltas </w:t>
      </w:r>
      <w:r w:rsidR="009B203C" w:rsidRPr="00AB4289">
        <w:rPr>
          <w:sz w:val="28"/>
          <w:szCs w:val="28"/>
          <w:lang w:val="es-ES_tradnl"/>
        </w:rPr>
        <w:t>C</w:t>
      </w:r>
      <w:r w:rsidR="00181141" w:rsidRPr="00AB4289">
        <w:rPr>
          <w:sz w:val="28"/>
          <w:szCs w:val="28"/>
          <w:lang w:val="es-ES_tradnl"/>
        </w:rPr>
        <w:t xml:space="preserve">ortes. </w:t>
      </w:r>
      <w:r w:rsidRPr="00AB4289">
        <w:rPr>
          <w:sz w:val="28"/>
          <w:szCs w:val="28"/>
          <w:lang w:val="es-ES_tradnl"/>
        </w:rPr>
        <w:t xml:space="preserve">Por ello, en el siguiente apartado se abordará el análisis de este tipo de declaraciones, su </w:t>
      </w:r>
      <w:r w:rsidR="00181141" w:rsidRPr="00AB4289">
        <w:rPr>
          <w:sz w:val="28"/>
          <w:szCs w:val="28"/>
          <w:lang w:val="es-ES_tradnl"/>
        </w:rPr>
        <w:t>relación</w:t>
      </w:r>
      <w:r w:rsidRPr="00AB4289">
        <w:rPr>
          <w:sz w:val="28"/>
          <w:szCs w:val="28"/>
          <w:lang w:val="es-ES_tradnl"/>
        </w:rPr>
        <w:t xml:space="preserve"> con el principio de transparencia, su relevancia en el sistema democrático y el desarrollo normativo que han tenido en Colombia.</w:t>
      </w:r>
    </w:p>
    <w:p w14:paraId="1B733BC6" w14:textId="77777777" w:rsidR="00A645CA" w:rsidRPr="00AB4289" w:rsidRDefault="00A645CA" w:rsidP="00B40BE5">
      <w:pPr>
        <w:pStyle w:val="Ttulo2"/>
        <w:spacing w:before="0" w:after="0"/>
        <w:jc w:val="both"/>
        <w:rPr>
          <w:rFonts w:ascii="Times New Roman" w:hAnsi="Times New Roman" w:cs="Times New Roman"/>
          <w:lang w:val="es-ES_tradnl"/>
        </w:rPr>
      </w:pPr>
    </w:p>
    <w:p w14:paraId="3C81BB12" w14:textId="12C65FD5" w:rsidR="007D0D2D" w:rsidRPr="00AB4289" w:rsidRDefault="00BE251D" w:rsidP="00B40BE5">
      <w:pPr>
        <w:pStyle w:val="Ttulo2"/>
        <w:numPr>
          <w:ilvl w:val="0"/>
          <w:numId w:val="42"/>
        </w:numPr>
        <w:spacing w:before="0" w:after="0"/>
        <w:jc w:val="both"/>
        <w:rPr>
          <w:rFonts w:ascii="Times New Roman" w:hAnsi="Times New Roman" w:cs="Times New Roman"/>
          <w:b/>
          <w:bCs/>
          <w:color w:val="000000" w:themeColor="text1"/>
          <w:sz w:val="28"/>
          <w:szCs w:val="28"/>
          <w:lang w:val="es-ES_tradnl"/>
        </w:rPr>
      </w:pPr>
      <w:bookmarkStart w:id="20" w:name="_Toc210202231"/>
      <w:r w:rsidRPr="00AB4289">
        <w:rPr>
          <w:rFonts w:ascii="Times New Roman" w:hAnsi="Times New Roman" w:cs="Times New Roman"/>
          <w:b/>
          <w:bCs/>
          <w:color w:val="000000" w:themeColor="text1"/>
          <w:sz w:val="28"/>
          <w:szCs w:val="28"/>
          <w:lang w:val="es-ES_tradnl"/>
        </w:rPr>
        <w:t>El principio de transparencia</w:t>
      </w:r>
      <w:r w:rsidR="00B24737" w:rsidRPr="00AB4289">
        <w:rPr>
          <w:rFonts w:ascii="Times New Roman" w:hAnsi="Times New Roman" w:cs="Times New Roman"/>
          <w:b/>
          <w:bCs/>
          <w:color w:val="000000" w:themeColor="text1"/>
          <w:sz w:val="28"/>
          <w:szCs w:val="28"/>
          <w:lang w:val="es-ES_tradnl"/>
        </w:rPr>
        <w:t xml:space="preserve"> frente a l</w:t>
      </w:r>
      <w:r w:rsidRPr="00AB4289">
        <w:rPr>
          <w:rFonts w:ascii="Times New Roman" w:hAnsi="Times New Roman" w:cs="Times New Roman"/>
          <w:b/>
          <w:bCs/>
          <w:color w:val="000000" w:themeColor="text1"/>
          <w:sz w:val="28"/>
          <w:szCs w:val="28"/>
          <w:lang w:val="es-ES_tradnl"/>
        </w:rPr>
        <w:t>a</w:t>
      </w:r>
      <w:r w:rsidR="00104549" w:rsidRPr="00AB4289">
        <w:rPr>
          <w:rFonts w:ascii="Times New Roman" w:hAnsi="Times New Roman" w:cs="Times New Roman"/>
          <w:b/>
          <w:bCs/>
          <w:color w:val="000000" w:themeColor="text1"/>
          <w:sz w:val="28"/>
          <w:szCs w:val="28"/>
          <w:lang w:val="es-ES_tradnl"/>
        </w:rPr>
        <w:t xml:space="preserve">s </w:t>
      </w:r>
      <w:r w:rsidR="00104549" w:rsidRPr="00AB4289">
        <w:rPr>
          <w:rFonts w:ascii="Times New Roman" w:eastAsiaTheme="minorHAnsi" w:hAnsi="Times New Roman" w:cs="Times New Roman"/>
          <w:b/>
          <w:bCs/>
          <w:color w:val="000000" w:themeColor="text1"/>
          <w:sz w:val="28"/>
          <w:szCs w:val="28"/>
          <w:lang w:val="es-ES_tradnl" w:eastAsia="en-US"/>
        </w:rPr>
        <w:t>declaraciones de bienes</w:t>
      </w:r>
      <w:r w:rsidR="00C11517" w:rsidRPr="00AB4289">
        <w:rPr>
          <w:rFonts w:ascii="Times New Roman" w:eastAsiaTheme="minorHAnsi" w:hAnsi="Times New Roman" w:cs="Times New Roman"/>
          <w:b/>
          <w:bCs/>
          <w:color w:val="000000" w:themeColor="text1"/>
          <w:sz w:val="28"/>
          <w:szCs w:val="28"/>
          <w:lang w:val="es-ES_tradnl" w:eastAsia="en-US"/>
        </w:rPr>
        <w:t xml:space="preserve"> y rentas, </w:t>
      </w:r>
      <w:r w:rsidR="00B24737" w:rsidRPr="00AB4289">
        <w:rPr>
          <w:rFonts w:ascii="Times New Roman" w:eastAsiaTheme="minorHAnsi" w:hAnsi="Times New Roman" w:cs="Times New Roman"/>
          <w:b/>
          <w:bCs/>
          <w:color w:val="000000" w:themeColor="text1"/>
          <w:sz w:val="28"/>
          <w:szCs w:val="28"/>
          <w:lang w:val="es-ES_tradnl" w:eastAsia="en-US"/>
        </w:rPr>
        <w:t xml:space="preserve">el registro </w:t>
      </w:r>
      <w:r w:rsidR="00C11517" w:rsidRPr="00AB4289">
        <w:rPr>
          <w:rFonts w:ascii="Times New Roman" w:eastAsiaTheme="minorHAnsi" w:hAnsi="Times New Roman" w:cs="Times New Roman"/>
          <w:b/>
          <w:bCs/>
          <w:color w:val="000000" w:themeColor="text1"/>
          <w:sz w:val="28"/>
          <w:szCs w:val="28"/>
          <w:lang w:val="es-ES_tradnl" w:eastAsia="en-US"/>
        </w:rPr>
        <w:t>de</w:t>
      </w:r>
      <w:r w:rsidR="00104549" w:rsidRPr="00AB4289">
        <w:rPr>
          <w:rFonts w:ascii="Times New Roman" w:eastAsiaTheme="minorHAnsi" w:hAnsi="Times New Roman" w:cs="Times New Roman"/>
          <w:b/>
          <w:bCs/>
          <w:color w:val="000000" w:themeColor="text1"/>
          <w:sz w:val="28"/>
          <w:szCs w:val="28"/>
          <w:lang w:val="es-ES_tradnl" w:eastAsia="en-US"/>
        </w:rPr>
        <w:t xml:space="preserve"> conflictos de interés</w:t>
      </w:r>
      <w:r w:rsidR="00C11517" w:rsidRPr="00AB4289">
        <w:rPr>
          <w:rFonts w:ascii="Times New Roman" w:eastAsiaTheme="minorHAnsi" w:hAnsi="Times New Roman" w:cs="Times New Roman"/>
          <w:b/>
          <w:bCs/>
          <w:color w:val="000000" w:themeColor="text1"/>
          <w:sz w:val="28"/>
          <w:szCs w:val="28"/>
          <w:lang w:val="es-ES_tradnl" w:eastAsia="en-US"/>
        </w:rPr>
        <w:t xml:space="preserve">, las declaraciones </w:t>
      </w:r>
      <w:r w:rsidR="0099367C" w:rsidRPr="00AB4289">
        <w:rPr>
          <w:rFonts w:ascii="Times New Roman" w:eastAsiaTheme="minorHAnsi" w:hAnsi="Times New Roman" w:cs="Times New Roman"/>
          <w:b/>
          <w:bCs/>
          <w:color w:val="000000" w:themeColor="text1"/>
          <w:sz w:val="28"/>
          <w:szCs w:val="28"/>
          <w:lang w:val="es-ES_tradnl" w:eastAsia="en-US"/>
        </w:rPr>
        <w:t xml:space="preserve">del impuesto sobre la renta </w:t>
      </w:r>
      <w:r w:rsidR="00C11517" w:rsidRPr="00AB4289">
        <w:rPr>
          <w:rFonts w:ascii="Times New Roman" w:eastAsiaTheme="minorHAnsi" w:hAnsi="Times New Roman" w:cs="Times New Roman"/>
          <w:b/>
          <w:bCs/>
          <w:color w:val="000000" w:themeColor="text1"/>
          <w:sz w:val="28"/>
          <w:szCs w:val="28"/>
          <w:lang w:val="es-ES_tradnl" w:eastAsia="en-US"/>
        </w:rPr>
        <w:t>y las hojas de vida</w:t>
      </w:r>
      <w:r w:rsidR="00104549" w:rsidRPr="00AB4289">
        <w:rPr>
          <w:rFonts w:ascii="Times New Roman" w:eastAsiaTheme="minorHAnsi" w:hAnsi="Times New Roman" w:cs="Times New Roman"/>
          <w:b/>
          <w:bCs/>
          <w:color w:val="000000" w:themeColor="text1"/>
          <w:sz w:val="28"/>
          <w:szCs w:val="28"/>
          <w:lang w:val="es-ES_tradnl" w:eastAsia="en-US"/>
        </w:rPr>
        <w:t xml:space="preserve"> de los</w:t>
      </w:r>
      <w:r w:rsidR="0099367C" w:rsidRPr="00AB4289">
        <w:rPr>
          <w:rFonts w:ascii="Times New Roman" w:eastAsiaTheme="minorHAnsi" w:hAnsi="Times New Roman" w:cs="Times New Roman"/>
          <w:b/>
          <w:bCs/>
          <w:color w:val="000000" w:themeColor="text1"/>
          <w:sz w:val="28"/>
          <w:szCs w:val="28"/>
          <w:lang w:val="es-ES_tradnl" w:eastAsia="en-US"/>
        </w:rPr>
        <w:t xml:space="preserve"> </w:t>
      </w:r>
      <w:r w:rsidR="00B24737" w:rsidRPr="00AB4289">
        <w:rPr>
          <w:rFonts w:ascii="Times New Roman" w:eastAsiaTheme="minorHAnsi" w:hAnsi="Times New Roman" w:cs="Times New Roman"/>
          <w:b/>
          <w:bCs/>
          <w:color w:val="000000" w:themeColor="text1"/>
          <w:sz w:val="28"/>
          <w:szCs w:val="28"/>
          <w:lang w:val="es-ES_tradnl" w:eastAsia="en-US"/>
        </w:rPr>
        <w:t>funcionarios judiciales</w:t>
      </w:r>
      <w:bookmarkEnd w:id="20"/>
    </w:p>
    <w:p w14:paraId="670BA431" w14:textId="77777777" w:rsidR="00E72050" w:rsidRPr="00AB4289" w:rsidRDefault="00E72050" w:rsidP="00B40BE5">
      <w:pPr>
        <w:pStyle w:val="Prrafodelista"/>
        <w:tabs>
          <w:tab w:val="left" w:pos="426"/>
          <w:tab w:val="left" w:pos="567"/>
          <w:tab w:val="left" w:pos="851"/>
        </w:tabs>
        <w:ind w:left="0"/>
        <w:jc w:val="both"/>
        <w:rPr>
          <w:b/>
          <w:bCs/>
          <w:sz w:val="28"/>
          <w:szCs w:val="28"/>
          <w:lang w:val="es-ES_tradnl"/>
        </w:rPr>
      </w:pPr>
    </w:p>
    <w:p w14:paraId="443D47A0" w14:textId="30872072" w:rsidR="00E72050" w:rsidRPr="00AB4289" w:rsidRDefault="00C11517" w:rsidP="00B40BE5">
      <w:pPr>
        <w:pStyle w:val="NormalWeb"/>
        <w:numPr>
          <w:ilvl w:val="0"/>
          <w:numId w:val="2"/>
        </w:numPr>
        <w:shd w:val="clear" w:color="auto" w:fill="FFFFFF"/>
        <w:spacing w:before="0" w:beforeAutospacing="0" w:after="0" w:afterAutospacing="0"/>
        <w:ind w:left="0" w:firstLine="0"/>
        <w:jc w:val="both"/>
        <w:rPr>
          <w:sz w:val="28"/>
          <w:szCs w:val="28"/>
          <w:lang w:val="es-ES_tradnl"/>
        </w:rPr>
      </w:pPr>
      <w:r w:rsidRPr="00AB4289">
        <w:rPr>
          <w:b/>
          <w:bCs/>
          <w:sz w:val="28"/>
          <w:szCs w:val="28"/>
          <w:lang w:val="es-ES_tradnl"/>
        </w:rPr>
        <w:t>El principio de transparencia.</w:t>
      </w:r>
      <w:r w:rsidRPr="00AB4289">
        <w:rPr>
          <w:sz w:val="28"/>
          <w:szCs w:val="28"/>
          <w:lang w:val="es-ES_tradnl"/>
        </w:rPr>
        <w:t xml:space="preserve"> </w:t>
      </w:r>
      <w:r w:rsidR="00411A74" w:rsidRPr="00AB4289">
        <w:rPr>
          <w:sz w:val="28"/>
          <w:szCs w:val="28"/>
          <w:lang w:val="es-ES_tradnl"/>
        </w:rPr>
        <w:t>La transparencia, en el marco del acceso a la información pública, es un principio conforme al cual l</w:t>
      </w:r>
      <w:r w:rsidR="000F0085" w:rsidRPr="00AB4289">
        <w:rPr>
          <w:sz w:val="28"/>
          <w:szCs w:val="28"/>
          <w:lang w:val="es-ES_tradnl"/>
        </w:rPr>
        <w:t xml:space="preserve">as autoridades del Estado </w:t>
      </w:r>
      <w:r w:rsidR="00411A74" w:rsidRPr="00AB4289">
        <w:rPr>
          <w:sz w:val="28"/>
          <w:szCs w:val="28"/>
          <w:lang w:val="es-ES_tradnl"/>
        </w:rPr>
        <w:t>tienen el deber de garantizar y facilitar el acceso a la información pública en los términos más amplios posibles</w:t>
      </w:r>
      <w:r w:rsidR="008E0CE3" w:rsidRPr="00AB4289">
        <w:rPr>
          <w:rStyle w:val="Refdenotaalpie"/>
          <w:rFonts w:cs="Times New Roman"/>
          <w:sz w:val="28"/>
          <w:szCs w:val="28"/>
          <w:lang w:val="es-ES_tradnl"/>
        </w:rPr>
        <w:footnoteReference w:id="86"/>
      </w:r>
      <w:r w:rsidR="00411A74" w:rsidRPr="00AB4289">
        <w:rPr>
          <w:sz w:val="28"/>
          <w:szCs w:val="28"/>
          <w:lang w:val="es-ES_tradnl"/>
        </w:rPr>
        <w:t xml:space="preserve">. </w:t>
      </w:r>
      <w:r w:rsidR="00FA3EE9" w:rsidRPr="00AB4289">
        <w:rPr>
          <w:sz w:val="28"/>
          <w:szCs w:val="28"/>
          <w:lang w:val="es-ES_tradnl"/>
        </w:rPr>
        <w:t>Por tanto, el</w:t>
      </w:r>
      <w:r w:rsidR="001F3D2E" w:rsidRPr="00AB4289">
        <w:rPr>
          <w:sz w:val="28"/>
          <w:szCs w:val="28"/>
          <w:lang w:val="es-ES_tradnl"/>
        </w:rPr>
        <w:t xml:space="preserve"> principio de transparencia </w:t>
      </w:r>
      <w:r w:rsidR="001F3D2E" w:rsidRPr="00AB4289">
        <w:rPr>
          <w:sz w:val="28"/>
          <w:szCs w:val="28"/>
          <w:lang w:val="es-ES_tradnl"/>
        </w:rPr>
        <w:lastRenderedPageBreak/>
        <w:t>impone a l</w:t>
      </w:r>
      <w:r w:rsidR="00A23E3D" w:rsidRPr="00AB4289">
        <w:rPr>
          <w:sz w:val="28"/>
          <w:szCs w:val="28"/>
          <w:lang w:val="es-ES_tradnl"/>
        </w:rPr>
        <w:t xml:space="preserve">as </w:t>
      </w:r>
      <w:proofErr w:type="gramStart"/>
      <w:r w:rsidR="00A23E3D" w:rsidRPr="00AB4289">
        <w:rPr>
          <w:sz w:val="28"/>
          <w:szCs w:val="28"/>
          <w:lang w:val="es-ES_tradnl"/>
        </w:rPr>
        <w:t>autoridades públicas</w:t>
      </w:r>
      <w:proofErr w:type="gramEnd"/>
      <w:r w:rsidR="001F3D2E" w:rsidRPr="00AB4289">
        <w:rPr>
          <w:sz w:val="28"/>
          <w:szCs w:val="28"/>
          <w:lang w:val="es-ES_tradnl"/>
        </w:rPr>
        <w:t xml:space="preserve"> no solo el deber de entregar la información pública, sino también la obligación de facilitar activamente el acceso a los datos y documentos</w:t>
      </w:r>
      <w:r w:rsidR="00A23E3D" w:rsidRPr="00AB4289">
        <w:rPr>
          <w:sz w:val="28"/>
          <w:szCs w:val="28"/>
          <w:lang w:val="es-ES_tradnl"/>
        </w:rPr>
        <w:t xml:space="preserve"> que custodian</w:t>
      </w:r>
      <w:r w:rsidR="001F3D2E" w:rsidRPr="00AB4289">
        <w:rPr>
          <w:sz w:val="28"/>
          <w:szCs w:val="28"/>
          <w:lang w:val="es-ES_tradnl"/>
        </w:rPr>
        <w:t xml:space="preserve">. </w:t>
      </w:r>
      <w:r w:rsidR="005F09FB" w:rsidRPr="00AB4289">
        <w:rPr>
          <w:sz w:val="28"/>
          <w:szCs w:val="28"/>
          <w:lang w:val="es-ES_tradnl"/>
        </w:rPr>
        <w:t xml:space="preserve">Esto quiere decir que </w:t>
      </w:r>
      <w:r w:rsidR="00A645CA" w:rsidRPr="00AB4289">
        <w:rPr>
          <w:sz w:val="28"/>
          <w:szCs w:val="28"/>
          <w:lang w:val="es-ES_tradnl"/>
        </w:rPr>
        <w:t xml:space="preserve">la transparencia se materializa en un </w:t>
      </w:r>
      <w:r w:rsidR="001F3D2E" w:rsidRPr="00AB4289">
        <w:rPr>
          <w:sz w:val="28"/>
          <w:szCs w:val="28"/>
          <w:lang w:val="es-ES_tradnl"/>
        </w:rPr>
        <w:t>actuar estatal proactivo, en el que se empleen todos los medios y mecanismos disponibles para garantizar el acceso efectivo</w:t>
      </w:r>
      <w:r w:rsidR="008E0CE3" w:rsidRPr="00AB4289">
        <w:rPr>
          <w:sz w:val="28"/>
          <w:szCs w:val="28"/>
          <w:lang w:val="es-ES_tradnl"/>
        </w:rPr>
        <w:t>, oportuno y continuo</w:t>
      </w:r>
      <w:r w:rsidR="001F3D2E" w:rsidRPr="00AB4289">
        <w:rPr>
          <w:sz w:val="28"/>
          <w:szCs w:val="28"/>
          <w:lang w:val="es-ES_tradnl"/>
        </w:rPr>
        <w:t xml:space="preserve"> a la información pública.</w:t>
      </w:r>
    </w:p>
    <w:p w14:paraId="1E50660D" w14:textId="77777777" w:rsidR="00CC7F4E" w:rsidRPr="00AB4289" w:rsidRDefault="00CC7F4E" w:rsidP="00B40BE5">
      <w:pPr>
        <w:pStyle w:val="NormalWeb"/>
        <w:shd w:val="clear" w:color="auto" w:fill="FFFFFF"/>
        <w:spacing w:before="0" w:beforeAutospacing="0" w:after="0" w:afterAutospacing="0"/>
        <w:jc w:val="both"/>
        <w:rPr>
          <w:sz w:val="28"/>
          <w:szCs w:val="28"/>
          <w:lang w:val="es-ES_tradnl"/>
        </w:rPr>
      </w:pPr>
    </w:p>
    <w:p w14:paraId="4E999F48" w14:textId="411EA6FF" w:rsidR="00E72050" w:rsidRPr="00AB4289" w:rsidRDefault="00E72050" w:rsidP="00B40BE5">
      <w:pPr>
        <w:pStyle w:val="NormalWeb"/>
        <w:numPr>
          <w:ilvl w:val="0"/>
          <w:numId w:val="2"/>
        </w:numPr>
        <w:shd w:val="clear" w:color="auto" w:fill="FFFFFF"/>
        <w:spacing w:before="0" w:beforeAutospacing="0" w:after="0" w:afterAutospacing="0"/>
        <w:ind w:left="0" w:firstLine="0"/>
        <w:jc w:val="both"/>
        <w:rPr>
          <w:sz w:val="28"/>
          <w:szCs w:val="28"/>
          <w:lang w:val="es-ES_tradnl"/>
        </w:rPr>
      </w:pPr>
      <w:r w:rsidRPr="00AB4289">
        <w:rPr>
          <w:sz w:val="28"/>
          <w:szCs w:val="28"/>
          <w:lang w:val="es-ES_tradnl"/>
        </w:rPr>
        <w:t>La Corte Constitucional ha destacado la relación directa entre la protección del principio de transparencia, la lucha contra la corrupción y el fortalecimiento de la veeduría ciudadana</w:t>
      </w:r>
      <w:r w:rsidR="00FA3EE9" w:rsidRPr="00AB4289">
        <w:rPr>
          <w:vertAlign w:val="superscript"/>
          <w:lang w:val="es-ES_tradnl"/>
        </w:rPr>
        <w:footnoteReference w:id="87"/>
      </w:r>
      <w:r w:rsidRPr="00AB4289">
        <w:rPr>
          <w:sz w:val="28"/>
          <w:szCs w:val="28"/>
          <w:lang w:val="es-ES_tradnl"/>
        </w:rPr>
        <w:t xml:space="preserve">. Un ejemplo ilustrativo de esto se encuentra en la </w:t>
      </w:r>
      <w:r w:rsidR="00614CE7">
        <w:rPr>
          <w:sz w:val="28"/>
          <w:szCs w:val="28"/>
          <w:lang w:val="es-ES_tradnl"/>
        </w:rPr>
        <w:t>s</w:t>
      </w:r>
      <w:r w:rsidRPr="00AB4289">
        <w:rPr>
          <w:sz w:val="28"/>
          <w:szCs w:val="28"/>
          <w:lang w:val="es-ES_tradnl"/>
        </w:rPr>
        <w:t xml:space="preserve">entencia C-491 de 2002, una decisión en la que la Corte analizó una demanda contra la norma que regulaba los gastos reservados, es decir, aquellos destinados a financiar actividades de inteligencia e investigación </w:t>
      </w:r>
      <w:r w:rsidR="00F32EDA" w:rsidRPr="00AB4289">
        <w:rPr>
          <w:sz w:val="28"/>
          <w:szCs w:val="28"/>
          <w:lang w:val="es-ES_tradnl"/>
        </w:rPr>
        <w:t>militar</w:t>
      </w:r>
      <w:r w:rsidRPr="00AB4289">
        <w:rPr>
          <w:sz w:val="28"/>
          <w:szCs w:val="28"/>
          <w:lang w:val="es-ES_tradnl"/>
        </w:rPr>
        <w:t>. En dicha oportunidad, la Corte señaló lo siguiente al abordar el análisis del principio de transparencia</w:t>
      </w:r>
      <w:r w:rsidR="00ED7C68" w:rsidRPr="00AB4289">
        <w:rPr>
          <w:sz w:val="28"/>
          <w:szCs w:val="28"/>
          <w:lang w:val="es-ES_tradnl"/>
        </w:rPr>
        <w:t xml:space="preserve"> y su relación con la corrupción</w:t>
      </w:r>
      <w:r w:rsidRPr="00AB4289">
        <w:rPr>
          <w:sz w:val="28"/>
          <w:szCs w:val="28"/>
          <w:lang w:val="es-ES_tradnl"/>
        </w:rPr>
        <w:t>:</w:t>
      </w:r>
    </w:p>
    <w:p w14:paraId="42A56620" w14:textId="77777777" w:rsidR="00E72050" w:rsidRPr="00AB4289" w:rsidRDefault="00E72050" w:rsidP="00B40BE5">
      <w:pPr>
        <w:pStyle w:val="NormalWeb"/>
        <w:shd w:val="clear" w:color="auto" w:fill="FFFFFF"/>
        <w:spacing w:before="0" w:beforeAutospacing="0" w:after="0" w:afterAutospacing="0"/>
        <w:jc w:val="both"/>
        <w:rPr>
          <w:sz w:val="28"/>
          <w:szCs w:val="28"/>
          <w:lang w:val="es-ES_tradnl"/>
        </w:rPr>
      </w:pPr>
    </w:p>
    <w:p w14:paraId="69ED0FD4" w14:textId="1457EEE4" w:rsidR="00E72050" w:rsidRPr="00AB4289" w:rsidRDefault="00E72050" w:rsidP="00B40BE5">
      <w:pPr>
        <w:pStyle w:val="NormalWeb"/>
        <w:shd w:val="clear" w:color="auto" w:fill="FFFFFF"/>
        <w:spacing w:before="0" w:beforeAutospacing="0" w:after="0" w:afterAutospacing="0"/>
        <w:ind w:left="851"/>
        <w:jc w:val="both"/>
        <w:rPr>
          <w:lang w:val="es-ES_tradnl"/>
        </w:rPr>
      </w:pPr>
      <w:r w:rsidRPr="00AB4289">
        <w:rPr>
          <w:lang w:val="es-ES_tradnl"/>
        </w:rPr>
        <w:t>“Las decisiones o actuaciones de los servidores públicos que no se quieren mostrar son usualmente aquellas que no se pueden justificar. Y el uso secreto e injustificado del poder del Estado repugna al Estado de derecho y al adecuado funcionamiento de una sociedad democrática. En efecto, la transparencia y la publicidad de la información pública son dos condiciones necesarias para que las agencias del Estado se vean obligadas a explicar públicamente las decisiones adoptadas y el uso que le han dado al poder y a los recursos públicos; son la garantía más importante de la lucha contra la corrupción y del sometimiento de los servidores públicos a los fines y procedimientos que les impone el derecho”</w:t>
      </w:r>
      <w:r w:rsidRPr="00AB4289">
        <w:rPr>
          <w:vertAlign w:val="superscript"/>
          <w:lang w:val="es-ES_tradnl"/>
        </w:rPr>
        <w:footnoteReference w:id="88"/>
      </w:r>
      <w:r w:rsidRPr="00AB4289">
        <w:rPr>
          <w:lang w:val="es-ES_tradnl"/>
        </w:rPr>
        <w:t>.</w:t>
      </w:r>
    </w:p>
    <w:p w14:paraId="74B91E12" w14:textId="77777777" w:rsidR="00ED7C68" w:rsidRPr="00AB4289" w:rsidRDefault="00ED7C68" w:rsidP="00B40BE5">
      <w:pPr>
        <w:pStyle w:val="NormalWeb"/>
        <w:shd w:val="clear" w:color="auto" w:fill="FFFFFF"/>
        <w:spacing w:before="0" w:beforeAutospacing="0" w:after="0" w:afterAutospacing="0"/>
        <w:ind w:left="851"/>
        <w:jc w:val="both"/>
        <w:rPr>
          <w:lang w:val="es-ES_tradnl"/>
        </w:rPr>
      </w:pPr>
    </w:p>
    <w:p w14:paraId="1A32C35B" w14:textId="55BF0342" w:rsidR="00C11517" w:rsidRPr="00AB4289" w:rsidRDefault="00562D64" w:rsidP="00B40BE5">
      <w:pPr>
        <w:pStyle w:val="NormalWeb"/>
        <w:numPr>
          <w:ilvl w:val="0"/>
          <w:numId w:val="2"/>
        </w:numPr>
        <w:shd w:val="clear" w:color="auto" w:fill="FFFFFF"/>
        <w:spacing w:before="0" w:beforeAutospacing="0" w:after="0" w:afterAutospacing="0"/>
        <w:ind w:left="0" w:firstLine="0"/>
        <w:jc w:val="both"/>
        <w:rPr>
          <w:sz w:val="28"/>
          <w:szCs w:val="28"/>
          <w:lang w:val="es-ES_tradnl"/>
        </w:rPr>
      </w:pPr>
      <w:r w:rsidRPr="00AB4289">
        <w:rPr>
          <w:sz w:val="28"/>
          <w:szCs w:val="28"/>
          <w:lang w:val="es-ES_tradnl"/>
        </w:rPr>
        <w:t xml:space="preserve">Ahora bien, </w:t>
      </w:r>
      <w:r w:rsidR="004E066B" w:rsidRPr="00AB4289">
        <w:rPr>
          <w:sz w:val="28"/>
          <w:szCs w:val="28"/>
          <w:lang w:val="es-ES_tradnl"/>
        </w:rPr>
        <w:t xml:space="preserve">si </w:t>
      </w:r>
      <w:r w:rsidR="00ED7C68" w:rsidRPr="00AB4289">
        <w:rPr>
          <w:sz w:val="28"/>
          <w:szCs w:val="28"/>
          <w:lang w:val="es-ES_tradnl"/>
        </w:rPr>
        <w:t xml:space="preserve">el principio de transparencia es necesario para </w:t>
      </w:r>
      <w:r w:rsidR="00CD4B84" w:rsidRPr="00AB4289">
        <w:rPr>
          <w:sz w:val="28"/>
          <w:szCs w:val="28"/>
          <w:lang w:val="es-ES_tradnl"/>
        </w:rPr>
        <w:t>promover</w:t>
      </w:r>
      <w:r w:rsidR="009477E4" w:rsidRPr="00AB4289">
        <w:rPr>
          <w:sz w:val="28"/>
          <w:szCs w:val="28"/>
          <w:lang w:val="es-ES_tradnl"/>
        </w:rPr>
        <w:t xml:space="preserve"> el </w:t>
      </w:r>
      <w:r w:rsidR="004E066B" w:rsidRPr="00AB4289">
        <w:rPr>
          <w:sz w:val="28"/>
          <w:szCs w:val="28"/>
          <w:lang w:val="es-ES_tradnl"/>
        </w:rPr>
        <w:t>control social</w:t>
      </w:r>
      <w:r w:rsidR="000F0085" w:rsidRPr="00AB4289">
        <w:rPr>
          <w:sz w:val="28"/>
          <w:szCs w:val="28"/>
          <w:lang w:val="es-ES_tradnl"/>
        </w:rPr>
        <w:t xml:space="preserve"> y evitar escenarios de corrupción</w:t>
      </w:r>
      <w:r w:rsidR="00ED7C68" w:rsidRPr="00AB4289">
        <w:rPr>
          <w:sz w:val="28"/>
          <w:szCs w:val="28"/>
          <w:lang w:val="es-ES_tradnl"/>
        </w:rPr>
        <w:t xml:space="preserve">, </w:t>
      </w:r>
      <w:r w:rsidR="004E066B" w:rsidRPr="00AB4289">
        <w:rPr>
          <w:sz w:val="28"/>
          <w:szCs w:val="28"/>
          <w:lang w:val="es-ES_tradnl"/>
        </w:rPr>
        <w:t xml:space="preserve">es claro que las autoridades de </w:t>
      </w:r>
      <w:r w:rsidR="00ED7C68" w:rsidRPr="00AB4289">
        <w:rPr>
          <w:sz w:val="28"/>
          <w:szCs w:val="28"/>
          <w:lang w:val="es-ES_tradnl"/>
        </w:rPr>
        <w:t>todas las ramas del poder</w:t>
      </w:r>
      <w:r w:rsidR="004E066B" w:rsidRPr="00AB4289">
        <w:rPr>
          <w:sz w:val="28"/>
          <w:szCs w:val="28"/>
          <w:lang w:val="es-ES_tradnl"/>
        </w:rPr>
        <w:t xml:space="preserve"> público</w:t>
      </w:r>
      <w:r w:rsidR="00ED7C68" w:rsidRPr="00AB4289">
        <w:rPr>
          <w:sz w:val="28"/>
          <w:szCs w:val="28"/>
          <w:lang w:val="es-ES_tradnl"/>
        </w:rPr>
        <w:t xml:space="preserve"> deben aceptar </w:t>
      </w:r>
      <w:r w:rsidR="00CD4B84" w:rsidRPr="00AB4289">
        <w:rPr>
          <w:sz w:val="28"/>
          <w:szCs w:val="28"/>
          <w:lang w:val="es-ES_tradnl"/>
        </w:rPr>
        <w:t xml:space="preserve">las obligaciones </w:t>
      </w:r>
      <w:r w:rsidR="004E066B" w:rsidRPr="00AB4289">
        <w:rPr>
          <w:sz w:val="28"/>
          <w:szCs w:val="28"/>
          <w:lang w:val="es-ES_tradnl"/>
        </w:rPr>
        <w:t xml:space="preserve">que </w:t>
      </w:r>
      <w:r w:rsidR="00ED7C68" w:rsidRPr="00AB4289">
        <w:rPr>
          <w:sz w:val="28"/>
          <w:szCs w:val="28"/>
          <w:lang w:val="es-ES_tradnl"/>
        </w:rPr>
        <w:t>este principio</w:t>
      </w:r>
      <w:r w:rsidR="00CD4B84" w:rsidRPr="00AB4289">
        <w:rPr>
          <w:sz w:val="28"/>
          <w:szCs w:val="28"/>
          <w:lang w:val="es-ES_tradnl"/>
        </w:rPr>
        <w:t xml:space="preserve"> impone</w:t>
      </w:r>
      <w:r w:rsidR="00ED7C68" w:rsidRPr="00AB4289">
        <w:rPr>
          <w:sz w:val="28"/>
          <w:szCs w:val="28"/>
          <w:lang w:val="es-ES_tradnl"/>
        </w:rPr>
        <w:t xml:space="preserve">. Así, </w:t>
      </w:r>
      <w:r w:rsidRPr="00AB4289">
        <w:rPr>
          <w:sz w:val="28"/>
          <w:szCs w:val="28"/>
          <w:lang w:val="es-ES_tradnl"/>
        </w:rPr>
        <w:t xml:space="preserve">todos los </w:t>
      </w:r>
      <w:r w:rsidR="00ED7C68" w:rsidRPr="00AB4289">
        <w:rPr>
          <w:sz w:val="28"/>
          <w:szCs w:val="28"/>
          <w:lang w:val="es-ES_tradnl"/>
        </w:rPr>
        <w:t>funcionario</w:t>
      </w:r>
      <w:r w:rsidRPr="00AB4289">
        <w:rPr>
          <w:sz w:val="28"/>
          <w:szCs w:val="28"/>
          <w:lang w:val="es-ES_tradnl"/>
        </w:rPr>
        <w:t>s</w:t>
      </w:r>
      <w:r w:rsidR="00ED7C68" w:rsidRPr="00AB4289">
        <w:rPr>
          <w:sz w:val="28"/>
          <w:szCs w:val="28"/>
          <w:lang w:val="es-ES_tradnl"/>
        </w:rPr>
        <w:t xml:space="preserve"> público</w:t>
      </w:r>
      <w:r w:rsidRPr="00AB4289">
        <w:rPr>
          <w:sz w:val="28"/>
          <w:szCs w:val="28"/>
          <w:lang w:val="es-ES_tradnl"/>
        </w:rPr>
        <w:t>s</w:t>
      </w:r>
      <w:r w:rsidR="00ED7C68" w:rsidRPr="00AB4289">
        <w:rPr>
          <w:sz w:val="28"/>
          <w:szCs w:val="28"/>
          <w:lang w:val="es-ES_tradnl"/>
        </w:rPr>
        <w:t xml:space="preserve">, sin excepción de su jerarquía </w:t>
      </w:r>
      <w:r w:rsidR="000F0085" w:rsidRPr="00AB4289">
        <w:rPr>
          <w:sz w:val="28"/>
          <w:szCs w:val="28"/>
          <w:lang w:val="es-ES_tradnl"/>
        </w:rPr>
        <w:t xml:space="preserve">o </w:t>
      </w:r>
      <w:r w:rsidR="00F32EDA" w:rsidRPr="00AB4289">
        <w:rPr>
          <w:sz w:val="28"/>
          <w:szCs w:val="28"/>
          <w:lang w:val="es-ES_tradnl"/>
        </w:rPr>
        <w:t>d</w:t>
      </w:r>
      <w:r w:rsidR="000F0085" w:rsidRPr="00AB4289">
        <w:rPr>
          <w:sz w:val="28"/>
          <w:szCs w:val="28"/>
          <w:lang w:val="es-ES_tradnl"/>
        </w:rPr>
        <w:t xml:space="preserve">el área del Estado en </w:t>
      </w:r>
      <w:r w:rsidR="007C5CD4" w:rsidRPr="00AB4289">
        <w:rPr>
          <w:sz w:val="28"/>
          <w:szCs w:val="28"/>
          <w:lang w:val="es-ES_tradnl"/>
        </w:rPr>
        <w:t>el</w:t>
      </w:r>
      <w:r w:rsidR="000F0085" w:rsidRPr="00AB4289">
        <w:rPr>
          <w:sz w:val="28"/>
          <w:szCs w:val="28"/>
          <w:lang w:val="es-ES_tradnl"/>
        </w:rPr>
        <w:t xml:space="preserve"> que se desempeñe</w:t>
      </w:r>
      <w:r w:rsidR="00F32EDA" w:rsidRPr="00AB4289">
        <w:rPr>
          <w:sz w:val="28"/>
          <w:szCs w:val="28"/>
          <w:lang w:val="es-ES_tradnl"/>
        </w:rPr>
        <w:t>n</w:t>
      </w:r>
      <w:r w:rsidR="00ED7C68" w:rsidRPr="00AB4289">
        <w:rPr>
          <w:sz w:val="28"/>
          <w:szCs w:val="28"/>
          <w:lang w:val="es-ES_tradnl"/>
        </w:rPr>
        <w:t xml:space="preserve">, </w:t>
      </w:r>
      <w:r w:rsidR="00614CE7">
        <w:rPr>
          <w:sz w:val="28"/>
          <w:szCs w:val="28"/>
          <w:lang w:val="es-ES_tradnl"/>
        </w:rPr>
        <w:t xml:space="preserve">tienen que </w:t>
      </w:r>
      <w:r w:rsidRPr="00AB4289">
        <w:rPr>
          <w:sz w:val="28"/>
          <w:szCs w:val="28"/>
          <w:lang w:val="es-ES_tradnl"/>
        </w:rPr>
        <w:t xml:space="preserve">cumplir con el deber de garantizar el deber de transparencia en la información pública. </w:t>
      </w:r>
      <w:bookmarkStart w:id="21" w:name="OLE_LINK3"/>
      <w:r w:rsidR="00907911" w:rsidRPr="00AB4289">
        <w:rPr>
          <w:sz w:val="28"/>
          <w:szCs w:val="28"/>
          <w:lang w:val="es-ES_tradnl"/>
        </w:rPr>
        <w:t xml:space="preserve">Por esta razón, </w:t>
      </w:r>
      <w:r w:rsidR="007C5CD4" w:rsidRPr="00AB4289">
        <w:rPr>
          <w:sz w:val="28"/>
          <w:szCs w:val="28"/>
          <w:lang w:val="es-ES_tradnl"/>
        </w:rPr>
        <w:t xml:space="preserve">dicho deber </w:t>
      </w:r>
      <w:r w:rsidR="00907911" w:rsidRPr="00AB4289">
        <w:rPr>
          <w:sz w:val="28"/>
          <w:szCs w:val="28"/>
          <w:lang w:val="es-ES_tradnl"/>
        </w:rPr>
        <w:t>también se extiende a</w:t>
      </w:r>
      <w:r w:rsidR="0099367C" w:rsidRPr="00AB4289">
        <w:rPr>
          <w:sz w:val="28"/>
          <w:szCs w:val="28"/>
          <w:lang w:val="es-ES_tradnl"/>
        </w:rPr>
        <w:t xml:space="preserve"> los magistrados que</w:t>
      </w:r>
      <w:r w:rsidR="00907911" w:rsidRPr="00AB4289">
        <w:rPr>
          <w:sz w:val="28"/>
          <w:szCs w:val="28"/>
          <w:lang w:val="es-ES_tradnl"/>
        </w:rPr>
        <w:t xml:space="preserve"> integran la rama judicial. </w:t>
      </w:r>
    </w:p>
    <w:p w14:paraId="4680EF91" w14:textId="77777777" w:rsidR="00C11517" w:rsidRPr="00AB4289" w:rsidRDefault="00C11517" w:rsidP="00B40BE5">
      <w:pPr>
        <w:pStyle w:val="NormalWeb"/>
        <w:shd w:val="clear" w:color="auto" w:fill="FFFFFF"/>
        <w:spacing w:before="0" w:beforeAutospacing="0" w:after="0" w:afterAutospacing="0"/>
        <w:jc w:val="both"/>
        <w:rPr>
          <w:sz w:val="28"/>
          <w:szCs w:val="28"/>
          <w:lang w:val="es-ES_tradnl"/>
        </w:rPr>
      </w:pPr>
    </w:p>
    <w:p w14:paraId="307C822D" w14:textId="031ABEFF" w:rsidR="00ED7C68" w:rsidRPr="00AB4289" w:rsidRDefault="00C11517" w:rsidP="00B40BE5">
      <w:pPr>
        <w:pStyle w:val="NormalWeb"/>
        <w:numPr>
          <w:ilvl w:val="0"/>
          <w:numId w:val="2"/>
        </w:numPr>
        <w:shd w:val="clear" w:color="auto" w:fill="FFFFFF"/>
        <w:spacing w:before="0" w:beforeAutospacing="0" w:after="0" w:afterAutospacing="0"/>
        <w:ind w:left="0" w:firstLine="0"/>
        <w:jc w:val="both"/>
        <w:rPr>
          <w:sz w:val="28"/>
          <w:szCs w:val="28"/>
          <w:lang w:val="es-ES_tradnl"/>
        </w:rPr>
      </w:pPr>
      <w:r w:rsidRPr="00AB4289">
        <w:rPr>
          <w:b/>
          <w:bCs/>
          <w:sz w:val="28"/>
          <w:szCs w:val="28"/>
          <w:lang w:val="es-ES_tradnl"/>
        </w:rPr>
        <w:lastRenderedPageBreak/>
        <w:t xml:space="preserve">Las declaraciones </w:t>
      </w:r>
      <w:r w:rsidRPr="00AB4289">
        <w:rPr>
          <w:rFonts w:eastAsiaTheme="minorHAnsi"/>
          <w:b/>
          <w:bCs/>
          <w:sz w:val="28"/>
          <w:szCs w:val="28"/>
          <w:lang w:val="es-ES_tradnl" w:eastAsia="en-US"/>
        </w:rPr>
        <w:t xml:space="preserve">de bienes y rentas, </w:t>
      </w:r>
      <w:r w:rsidR="0099367C" w:rsidRPr="00AB4289">
        <w:rPr>
          <w:rFonts w:eastAsiaTheme="minorHAnsi"/>
          <w:b/>
          <w:bCs/>
          <w:sz w:val="28"/>
          <w:szCs w:val="28"/>
          <w:lang w:val="es-ES_tradnl" w:eastAsia="en-US"/>
        </w:rPr>
        <w:t xml:space="preserve">el registro </w:t>
      </w:r>
      <w:r w:rsidRPr="00AB4289">
        <w:rPr>
          <w:rFonts w:eastAsiaTheme="minorHAnsi"/>
          <w:b/>
          <w:bCs/>
          <w:sz w:val="28"/>
          <w:szCs w:val="28"/>
          <w:lang w:val="es-ES_tradnl" w:eastAsia="en-US"/>
        </w:rPr>
        <w:t>de conflictos de interés y las declaraciones del impuesto sobre la renta</w:t>
      </w:r>
      <w:r w:rsidR="00D52DEB" w:rsidRPr="00AB4289">
        <w:rPr>
          <w:rFonts w:eastAsiaTheme="minorHAnsi"/>
          <w:b/>
          <w:bCs/>
          <w:sz w:val="28"/>
          <w:szCs w:val="28"/>
          <w:lang w:val="es-ES_tradnl" w:eastAsia="en-US"/>
        </w:rPr>
        <w:t xml:space="preserve"> y complementarios</w:t>
      </w:r>
      <w:r w:rsidR="0099367C" w:rsidRPr="00AB4289">
        <w:rPr>
          <w:rFonts w:eastAsiaTheme="minorHAnsi"/>
          <w:b/>
          <w:bCs/>
          <w:sz w:val="28"/>
          <w:szCs w:val="28"/>
          <w:lang w:val="es-ES_tradnl" w:eastAsia="en-US"/>
        </w:rPr>
        <w:t xml:space="preserve"> de los magistrados</w:t>
      </w:r>
      <w:r w:rsidRPr="00AB4289">
        <w:rPr>
          <w:rFonts w:eastAsiaTheme="minorHAnsi"/>
          <w:b/>
          <w:bCs/>
          <w:sz w:val="28"/>
          <w:szCs w:val="28"/>
          <w:lang w:val="es-ES_tradnl" w:eastAsia="en-US"/>
        </w:rPr>
        <w:t>.</w:t>
      </w:r>
      <w:r w:rsidRPr="00AB4289">
        <w:rPr>
          <w:sz w:val="28"/>
          <w:szCs w:val="28"/>
          <w:lang w:val="es-ES_tradnl"/>
        </w:rPr>
        <w:t xml:space="preserve"> A</w:t>
      </w:r>
      <w:r w:rsidR="00907911" w:rsidRPr="00AB4289">
        <w:rPr>
          <w:sz w:val="28"/>
          <w:szCs w:val="28"/>
          <w:lang w:val="es-ES_tradnl"/>
        </w:rPr>
        <w:t xml:space="preserve"> nivel global se ha </w:t>
      </w:r>
      <w:r w:rsidR="00562D64" w:rsidRPr="00AB4289">
        <w:rPr>
          <w:sz w:val="28"/>
          <w:szCs w:val="28"/>
          <w:lang w:val="es-ES_tradnl"/>
        </w:rPr>
        <w:t xml:space="preserve">consolidado una </w:t>
      </w:r>
      <w:r w:rsidR="00907911" w:rsidRPr="00AB4289">
        <w:rPr>
          <w:sz w:val="28"/>
          <w:szCs w:val="28"/>
          <w:lang w:val="es-ES_tradnl"/>
        </w:rPr>
        <w:t>creciente preocupación por la necesidad de garantizar mecanismos efectivos de rendición de cuentas por parte de los funcionarios judiciales. Diversos estudios en materia de lucha contra la corrupción han advertido que, en numerosos países, la corrupción judicial representa un problema persistente y en aumento</w:t>
      </w:r>
      <w:r w:rsidR="00FA410C" w:rsidRPr="00AB4289">
        <w:rPr>
          <w:vertAlign w:val="superscript"/>
          <w:lang w:val="es-ES_tradnl"/>
        </w:rPr>
        <w:footnoteReference w:id="89"/>
      </w:r>
      <w:r w:rsidR="000F0085" w:rsidRPr="00AB4289">
        <w:rPr>
          <w:sz w:val="28"/>
          <w:szCs w:val="28"/>
          <w:lang w:val="es-ES_tradnl"/>
        </w:rPr>
        <w:t xml:space="preserve">. </w:t>
      </w:r>
      <w:r w:rsidR="00CD1B1F" w:rsidRPr="00AB4289">
        <w:rPr>
          <w:sz w:val="28"/>
          <w:szCs w:val="28"/>
          <w:lang w:val="es-ES_tradnl"/>
        </w:rPr>
        <w:t xml:space="preserve">De hecho, </w:t>
      </w:r>
      <w:r w:rsidR="000F0085" w:rsidRPr="00AB4289">
        <w:rPr>
          <w:sz w:val="28"/>
          <w:szCs w:val="28"/>
          <w:lang w:val="es-ES_tradnl"/>
        </w:rPr>
        <w:t>desde hace varios años, la</w:t>
      </w:r>
      <w:r w:rsidR="007C5CD4" w:rsidRPr="00AB4289">
        <w:rPr>
          <w:sz w:val="28"/>
          <w:szCs w:val="28"/>
          <w:lang w:val="es-ES_tradnl"/>
        </w:rPr>
        <w:t xml:space="preserve"> Organización de</w:t>
      </w:r>
      <w:r w:rsidR="000F0085" w:rsidRPr="00AB4289">
        <w:rPr>
          <w:sz w:val="28"/>
          <w:szCs w:val="28"/>
          <w:lang w:val="es-ES_tradnl"/>
        </w:rPr>
        <w:t xml:space="preserve"> Naciones Unidas hizo </w:t>
      </w:r>
      <w:r w:rsidR="00FA410C" w:rsidRPr="00AB4289">
        <w:rPr>
          <w:sz w:val="28"/>
          <w:szCs w:val="28"/>
          <w:lang w:val="es-ES_tradnl"/>
        </w:rPr>
        <w:t>un llamado para que los países implementen “obligaciones rigurosas que exijan a todos los funcionarios judiciales declarar públicamente los bienes del propio funcionario</w:t>
      </w:r>
      <w:r w:rsidR="00562D64" w:rsidRPr="00AB4289">
        <w:rPr>
          <w:sz w:val="28"/>
          <w:szCs w:val="28"/>
          <w:lang w:val="es-ES_tradnl"/>
        </w:rPr>
        <w:t xml:space="preserve"> judicial</w:t>
      </w:r>
      <w:r w:rsidR="00FA410C" w:rsidRPr="00AB4289">
        <w:rPr>
          <w:sz w:val="28"/>
          <w:szCs w:val="28"/>
          <w:lang w:val="es-ES_tradnl"/>
        </w:rPr>
        <w:t xml:space="preserve"> y de sus padres, cónyuge, hijos y otros familiares cercanos”</w:t>
      </w:r>
      <w:r w:rsidR="00D81AFD" w:rsidRPr="00AB4289">
        <w:rPr>
          <w:vertAlign w:val="superscript"/>
          <w:lang w:val="es-ES_tradnl"/>
        </w:rPr>
        <w:footnoteReference w:id="90"/>
      </w:r>
      <w:r w:rsidR="00FA410C" w:rsidRPr="00AB4289">
        <w:rPr>
          <w:sz w:val="28"/>
          <w:szCs w:val="28"/>
          <w:lang w:val="es-ES_tradnl"/>
        </w:rPr>
        <w:t>.</w:t>
      </w:r>
    </w:p>
    <w:p w14:paraId="625B297D" w14:textId="77777777" w:rsidR="00217C6E" w:rsidRPr="00AB4289" w:rsidRDefault="00217C6E" w:rsidP="00B40BE5">
      <w:pPr>
        <w:pStyle w:val="NormalWeb"/>
        <w:shd w:val="clear" w:color="auto" w:fill="FFFFFF"/>
        <w:spacing w:before="0" w:beforeAutospacing="0" w:after="0" w:afterAutospacing="0"/>
        <w:jc w:val="both"/>
        <w:rPr>
          <w:sz w:val="28"/>
          <w:szCs w:val="28"/>
          <w:lang w:val="es-ES_tradnl"/>
        </w:rPr>
      </w:pPr>
    </w:p>
    <w:p w14:paraId="543A7C65" w14:textId="1570D745" w:rsidR="00217C6E" w:rsidRPr="00AB4289" w:rsidRDefault="00414978" w:rsidP="00B40BE5">
      <w:pPr>
        <w:pStyle w:val="NormalWeb"/>
        <w:numPr>
          <w:ilvl w:val="0"/>
          <w:numId w:val="2"/>
        </w:numPr>
        <w:shd w:val="clear" w:color="auto" w:fill="FFFFFF"/>
        <w:spacing w:before="0" w:beforeAutospacing="0" w:after="0" w:afterAutospacing="0"/>
        <w:ind w:left="0" w:firstLine="0"/>
        <w:jc w:val="both"/>
        <w:rPr>
          <w:sz w:val="28"/>
          <w:szCs w:val="28"/>
          <w:lang w:val="es-ES_tradnl"/>
        </w:rPr>
      </w:pPr>
      <w:bookmarkStart w:id="22" w:name="OLE_LINK5"/>
      <w:r w:rsidRPr="00AB4289">
        <w:rPr>
          <w:sz w:val="28"/>
          <w:szCs w:val="28"/>
          <w:lang w:val="es-ES_tradnl"/>
        </w:rPr>
        <w:t xml:space="preserve">La </w:t>
      </w:r>
      <w:r w:rsidR="00217C6E" w:rsidRPr="00AB4289">
        <w:rPr>
          <w:sz w:val="28"/>
          <w:szCs w:val="28"/>
          <w:lang w:val="es-ES_tradnl"/>
        </w:rPr>
        <w:t xml:space="preserve">declaración de activos </w:t>
      </w:r>
      <w:r w:rsidR="00CD1B1F" w:rsidRPr="00AB4289">
        <w:rPr>
          <w:sz w:val="28"/>
          <w:szCs w:val="28"/>
          <w:lang w:val="es-ES_tradnl"/>
        </w:rPr>
        <w:t>y</w:t>
      </w:r>
      <w:r w:rsidR="00EA57B2" w:rsidRPr="00AB4289">
        <w:rPr>
          <w:sz w:val="28"/>
          <w:szCs w:val="28"/>
          <w:lang w:val="es-ES_tradnl"/>
        </w:rPr>
        <w:t xml:space="preserve"> de conflictos de interés</w:t>
      </w:r>
      <w:r w:rsidR="00CD1B1F" w:rsidRPr="00AB4289">
        <w:rPr>
          <w:sz w:val="28"/>
          <w:szCs w:val="28"/>
          <w:lang w:val="es-ES_tradnl"/>
        </w:rPr>
        <w:t xml:space="preserve"> de los</w:t>
      </w:r>
      <w:r w:rsidR="00522E93" w:rsidRPr="00AB4289">
        <w:rPr>
          <w:sz w:val="28"/>
          <w:szCs w:val="28"/>
          <w:lang w:val="es-ES_tradnl"/>
        </w:rPr>
        <w:t xml:space="preserve"> jueces</w:t>
      </w:r>
      <w:r w:rsidRPr="00AB4289">
        <w:rPr>
          <w:sz w:val="28"/>
          <w:szCs w:val="28"/>
          <w:lang w:val="es-ES_tradnl"/>
        </w:rPr>
        <w:t xml:space="preserve"> es una de las estrategias</w:t>
      </w:r>
      <w:r w:rsidR="00BD0F30" w:rsidRPr="00AB4289">
        <w:rPr>
          <w:sz w:val="28"/>
          <w:szCs w:val="28"/>
          <w:lang w:val="es-ES_tradnl"/>
        </w:rPr>
        <w:t xml:space="preserve"> más</w:t>
      </w:r>
      <w:r w:rsidRPr="00AB4289">
        <w:rPr>
          <w:sz w:val="28"/>
          <w:szCs w:val="28"/>
          <w:lang w:val="es-ES_tradnl"/>
        </w:rPr>
        <w:t xml:space="preserve"> empleadas para combatir estos escenarios de corrupción</w:t>
      </w:r>
      <w:r w:rsidR="00217C6E" w:rsidRPr="00AB4289">
        <w:rPr>
          <w:sz w:val="28"/>
          <w:szCs w:val="28"/>
          <w:lang w:val="es-ES_tradnl"/>
        </w:rPr>
        <w:t xml:space="preserve">. </w:t>
      </w:r>
      <w:r w:rsidR="00482930" w:rsidRPr="00AB4289">
        <w:rPr>
          <w:sz w:val="28"/>
          <w:szCs w:val="28"/>
          <w:lang w:val="es-ES_tradnl"/>
        </w:rPr>
        <w:t xml:space="preserve">En efecto, cuando </w:t>
      </w:r>
      <w:r w:rsidR="00CD1B1F" w:rsidRPr="00AB4289">
        <w:rPr>
          <w:sz w:val="28"/>
          <w:szCs w:val="28"/>
          <w:lang w:val="es-ES_tradnl"/>
        </w:rPr>
        <w:t>est</w:t>
      </w:r>
      <w:r w:rsidR="00BD0F30" w:rsidRPr="00AB4289">
        <w:rPr>
          <w:sz w:val="28"/>
          <w:szCs w:val="28"/>
          <w:lang w:val="es-ES_tradnl"/>
        </w:rPr>
        <w:t>as declaraciones se implementan de manera adecuada</w:t>
      </w:r>
      <w:r w:rsidR="00CD1B1F" w:rsidRPr="00AB4289">
        <w:rPr>
          <w:vertAlign w:val="superscript"/>
          <w:lang w:val="es-ES_tradnl"/>
        </w:rPr>
        <w:footnoteReference w:id="91"/>
      </w:r>
      <w:r w:rsidR="00BD0F30" w:rsidRPr="00AB4289">
        <w:rPr>
          <w:sz w:val="28"/>
          <w:szCs w:val="28"/>
          <w:vertAlign w:val="superscript"/>
          <w:lang w:val="es-ES_tradnl"/>
        </w:rPr>
        <w:t xml:space="preserve"> </w:t>
      </w:r>
      <w:r w:rsidR="00BD0F30" w:rsidRPr="00AB4289">
        <w:rPr>
          <w:sz w:val="28"/>
          <w:szCs w:val="28"/>
          <w:lang w:val="es-ES_tradnl"/>
        </w:rPr>
        <w:t>tienen consecuencias muy efectivas para la transparencia y la publicidad, pues</w:t>
      </w:r>
      <w:r w:rsidR="00CD1B1F" w:rsidRPr="00AB4289">
        <w:rPr>
          <w:sz w:val="28"/>
          <w:szCs w:val="28"/>
          <w:lang w:val="es-ES_tradnl"/>
        </w:rPr>
        <w:t xml:space="preserve"> </w:t>
      </w:r>
      <w:r w:rsidR="00BD0F30" w:rsidRPr="00AB4289">
        <w:rPr>
          <w:sz w:val="28"/>
          <w:szCs w:val="28"/>
          <w:lang w:val="es-ES_tradnl"/>
        </w:rPr>
        <w:t xml:space="preserve">permiten a </w:t>
      </w:r>
      <w:r w:rsidRPr="00AB4289">
        <w:rPr>
          <w:sz w:val="28"/>
          <w:szCs w:val="28"/>
          <w:lang w:val="es-ES_tradnl"/>
        </w:rPr>
        <w:t xml:space="preserve">la sociedad civil, </w:t>
      </w:r>
      <w:r w:rsidR="00BD0F30" w:rsidRPr="00AB4289">
        <w:rPr>
          <w:sz w:val="28"/>
          <w:szCs w:val="28"/>
          <w:lang w:val="es-ES_tradnl"/>
        </w:rPr>
        <w:t xml:space="preserve">a </w:t>
      </w:r>
      <w:r w:rsidRPr="00AB4289">
        <w:rPr>
          <w:sz w:val="28"/>
          <w:szCs w:val="28"/>
          <w:lang w:val="es-ES_tradnl"/>
        </w:rPr>
        <w:t>los periodistas y</w:t>
      </w:r>
      <w:r w:rsidR="00BD0F30" w:rsidRPr="00AB4289">
        <w:rPr>
          <w:sz w:val="28"/>
          <w:szCs w:val="28"/>
          <w:lang w:val="es-ES_tradnl"/>
        </w:rPr>
        <w:t xml:space="preserve"> a</w:t>
      </w:r>
      <w:r w:rsidRPr="00AB4289">
        <w:rPr>
          <w:sz w:val="28"/>
          <w:szCs w:val="28"/>
          <w:lang w:val="es-ES_tradnl"/>
        </w:rPr>
        <w:t xml:space="preserve"> la ciudadanía en general t</w:t>
      </w:r>
      <w:r w:rsidR="00BD0F30" w:rsidRPr="00AB4289">
        <w:rPr>
          <w:sz w:val="28"/>
          <w:szCs w:val="28"/>
          <w:lang w:val="es-ES_tradnl"/>
        </w:rPr>
        <w:t>ener</w:t>
      </w:r>
      <w:r w:rsidRPr="00AB4289">
        <w:rPr>
          <w:sz w:val="28"/>
          <w:szCs w:val="28"/>
          <w:lang w:val="es-ES_tradnl"/>
        </w:rPr>
        <w:t xml:space="preserve"> los elementos</w:t>
      </w:r>
      <w:r w:rsidR="00BD0F30" w:rsidRPr="00AB4289">
        <w:rPr>
          <w:sz w:val="28"/>
          <w:szCs w:val="28"/>
          <w:lang w:val="es-ES_tradnl"/>
        </w:rPr>
        <w:t xml:space="preserve"> necesarios</w:t>
      </w:r>
      <w:r w:rsidRPr="00AB4289">
        <w:rPr>
          <w:sz w:val="28"/>
          <w:szCs w:val="28"/>
          <w:lang w:val="es-ES_tradnl"/>
        </w:rPr>
        <w:t xml:space="preserve"> para hacer un control social</w:t>
      </w:r>
      <w:r w:rsidR="00BD0F30" w:rsidRPr="00AB4289">
        <w:rPr>
          <w:sz w:val="28"/>
          <w:szCs w:val="28"/>
          <w:lang w:val="es-ES_tradnl"/>
        </w:rPr>
        <w:t xml:space="preserve"> constante y eficaz</w:t>
      </w:r>
      <w:r w:rsidR="00482930" w:rsidRPr="00AB4289">
        <w:rPr>
          <w:sz w:val="28"/>
          <w:szCs w:val="28"/>
          <w:lang w:val="es-ES_tradnl"/>
        </w:rPr>
        <w:t>. La destitución de jueces de los más altos tribunales en países de todo el mundo es una prueba del impacto que pueden tener</w:t>
      </w:r>
      <w:r w:rsidR="00522E93" w:rsidRPr="00AB4289">
        <w:rPr>
          <w:sz w:val="28"/>
          <w:szCs w:val="28"/>
          <w:lang w:val="es-ES_tradnl"/>
        </w:rPr>
        <w:t xml:space="preserve"> este tipo de declaraciones</w:t>
      </w:r>
      <w:r w:rsidR="00CD1B1F" w:rsidRPr="00AB4289">
        <w:rPr>
          <w:vertAlign w:val="superscript"/>
          <w:lang w:val="es-ES_tradnl"/>
        </w:rPr>
        <w:footnoteReference w:id="92"/>
      </w:r>
      <w:r w:rsidR="00482930" w:rsidRPr="00AB4289">
        <w:rPr>
          <w:sz w:val="28"/>
          <w:szCs w:val="28"/>
          <w:lang w:val="es-ES_tradnl"/>
        </w:rPr>
        <w:t xml:space="preserve">. </w:t>
      </w:r>
      <w:r w:rsidR="00CD1B1F" w:rsidRPr="00AB4289">
        <w:rPr>
          <w:sz w:val="28"/>
          <w:szCs w:val="28"/>
          <w:lang w:val="es-ES_tradnl"/>
        </w:rPr>
        <w:t xml:space="preserve">En Chile, </w:t>
      </w:r>
      <w:r w:rsidR="0041083B" w:rsidRPr="00AB4289">
        <w:rPr>
          <w:sz w:val="28"/>
          <w:szCs w:val="28"/>
          <w:lang w:val="es-ES_tradnl"/>
        </w:rPr>
        <w:t xml:space="preserve">para </w:t>
      </w:r>
      <w:r w:rsidR="003F4B50" w:rsidRPr="00AB4289">
        <w:rPr>
          <w:sz w:val="28"/>
          <w:szCs w:val="28"/>
          <w:lang w:val="es-ES_tradnl"/>
        </w:rPr>
        <w:t>mencionar</w:t>
      </w:r>
      <w:r w:rsidR="0041083B" w:rsidRPr="00AB4289">
        <w:rPr>
          <w:sz w:val="28"/>
          <w:szCs w:val="28"/>
          <w:lang w:val="es-ES_tradnl"/>
        </w:rPr>
        <w:t xml:space="preserve"> un ejemplo, </w:t>
      </w:r>
      <w:r w:rsidR="00CD1B1F" w:rsidRPr="00AB4289">
        <w:rPr>
          <w:sz w:val="28"/>
          <w:szCs w:val="28"/>
          <w:lang w:val="es-ES_tradnl"/>
        </w:rPr>
        <w:t>se dispuso un sitio web en el que se publican las remuneraciones y antecedentes laborales de los funcionarios</w:t>
      </w:r>
      <w:r w:rsidR="00522E93" w:rsidRPr="00AB4289">
        <w:rPr>
          <w:sz w:val="28"/>
          <w:szCs w:val="28"/>
          <w:lang w:val="es-ES_tradnl"/>
        </w:rPr>
        <w:t xml:space="preserve"> judiciales</w:t>
      </w:r>
      <w:r w:rsidR="00CD1B1F" w:rsidRPr="00AB4289">
        <w:rPr>
          <w:sz w:val="28"/>
          <w:szCs w:val="28"/>
          <w:lang w:val="es-ES_tradnl"/>
        </w:rPr>
        <w:t>. Esta información fue clave para reportajes periodísticos</w:t>
      </w:r>
      <w:r w:rsidR="00E10F7E" w:rsidRPr="00AB4289">
        <w:rPr>
          <w:sz w:val="28"/>
          <w:szCs w:val="28"/>
          <w:lang w:val="es-ES_tradnl"/>
        </w:rPr>
        <w:t xml:space="preserve"> </w:t>
      </w:r>
      <w:r w:rsidR="00CD1B1F" w:rsidRPr="00AB4289">
        <w:rPr>
          <w:sz w:val="28"/>
          <w:szCs w:val="28"/>
          <w:lang w:val="es-ES_tradnl"/>
        </w:rPr>
        <w:t>en</w:t>
      </w:r>
      <w:r w:rsidR="00E10F7E" w:rsidRPr="00AB4289">
        <w:rPr>
          <w:sz w:val="28"/>
          <w:szCs w:val="28"/>
          <w:lang w:val="es-ES_tradnl"/>
        </w:rPr>
        <w:t xml:space="preserve"> los que </w:t>
      </w:r>
      <w:r w:rsidR="00CD1B1F" w:rsidRPr="00AB4289">
        <w:rPr>
          <w:sz w:val="28"/>
          <w:szCs w:val="28"/>
          <w:lang w:val="es-ES_tradnl"/>
        </w:rPr>
        <w:t>se expusieron pagos millonarios a jueces, lo que motivó destituciones y reformas en los sistemas de control interno</w:t>
      </w:r>
      <w:r w:rsidR="00CD1B1F" w:rsidRPr="00AB4289">
        <w:rPr>
          <w:vertAlign w:val="superscript"/>
          <w:lang w:val="es-ES_tradnl"/>
        </w:rPr>
        <w:footnoteReference w:id="93"/>
      </w:r>
      <w:r w:rsidR="00CD1B1F" w:rsidRPr="00AB4289">
        <w:rPr>
          <w:sz w:val="28"/>
          <w:szCs w:val="28"/>
          <w:lang w:val="es-ES_tradnl"/>
        </w:rPr>
        <w:t>.</w:t>
      </w:r>
    </w:p>
    <w:p w14:paraId="25A70958" w14:textId="77777777" w:rsidR="00217C6E" w:rsidRPr="00AB4289" w:rsidRDefault="00217C6E" w:rsidP="00B40BE5">
      <w:pPr>
        <w:pStyle w:val="NormalWeb"/>
        <w:shd w:val="clear" w:color="auto" w:fill="FFFFFF"/>
        <w:spacing w:before="0" w:beforeAutospacing="0" w:after="0" w:afterAutospacing="0"/>
        <w:jc w:val="both"/>
        <w:rPr>
          <w:sz w:val="28"/>
          <w:szCs w:val="28"/>
          <w:lang w:val="es-ES_tradnl"/>
        </w:rPr>
      </w:pPr>
    </w:p>
    <w:bookmarkEnd w:id="21"/>
    <w:bookmarkEnd w:id="22"/>
    <w:p w14:paraId="4C0B5D4D" w14:textId="7D4D159E" w:rsidR="00ED7C68" w:rsidRPr="00AB4289" w:rsidRDefault="00522E93" w:rsidP="00B40BE5">
      <w:pPr>
        <w:pStyle w:val="NormalWeb"/>
        <w:numPr>
          <w:ilvl w:val="0"/>
          <w:numId w:val="2"/>
        </w:numPr>
        <w:shd w:val="clear" w:color="auto" w:fill="FFFFFF"/>
        <w:spacing w:before="0" w:beforeAutospacing="0" w:after="0" w:afterAutospacing="0"/>
        <w:ind w:left="0" w:firstLine="0"/>
        <w:jc w:val="both"/>
        <w:rPr>
          <w:sz w:val="28"/>
          <w:szCs w:val="28"/>
          <w:lang w:val="es-ES_tradnl"/>
        </w:rPr>
      </w:pPr>
      <w:r w:rsidRPr="00AB4289">
        <w:rPr>
          <w:sz w:val="28"/>
          <w:szCs w:val="28"/>
          <w:lang w:val="es-ES_tradnl"/>
        </w:rPr>
        <w:lastRenderedPageBreak/>
        <w:t>Por esta razón, en varios países se han adoptado mecanismos para asegurar una declaración adecuada de los activos por parte de los jueces, que incluso trascienden la simple relación de bienes propios.</w:t>
      </w:r>
      <w:r w:rsidR="00BD0F30" w:rsidRPr="00AB4289">
        <w:rPr>
          <w:sz w:val="28"/>
          <w:szCs w:val="28"/>
          <w:lang w:val="es-ES_tradnl"/>
        </w:rPr>
        <w:t xml:space="preserve"> </w:t>
      </w:r>
      <w:r w:rsidRPr="00AB4289">
        <w:rPr>
          <w:sz w:val="28"/>
          <w:szCs w:val="28"/>
          <w:lang w:val="es-ES_tradnl"/>
        </w:rPr>
        <w:t xml:space="preserve">Por ejemplo, </w:t>
      </w:r>
      <w:r w:rsidR="003F4B50" w:rsidRPr="00AB4289">
        <w:rPr>
          <w:sz w:val="28"/>
          <w:szCs w:val="28"/>
          <w:lang w:val="es-ES_tradnl"/>
        </w:rPr>
        <w:t xml:space="preserve">en </w:t>
      </w:r>
      <w:r w:rsidR="00907911" w:rsidRPr="00AB4289">
        <w:rPr>
          <w:sz w:val="28"/>
          <w:szCs w:val="28"/>
          <w:lang w:val="es-ES_tradnl"/>
        </w:rPr>
        <w:t>Argentina</w:t>
      </w:r>
      <w:r w:rsidR="003F4B50" w:rsidRPr="00AB4289">
        <w:rPr>
          <w:sz w:val="28"/>
          <w:szCs w:val="28"/>
          <w:lang w:val="es-ES_tradnl"/>
        </w:rPr>
        <w:t xml:space="preserve">, </w:t>
      </w:r>
      <w:r w:rsidR="007B49FD" w:rsidRPr="00AB4289">
        <w:rPr>
          <w:sz w:val="28"/>
          <w:szCs w:val="28"/>
          <w:lang w:val="es-ES_tradnl"/>
        </w:rPr>
        <w:t xml:space="preserve">los funcionarios judiciales tienen el deber de declarar </w:t>
      </w:r>
      <w:r w:rsidR="003F4B50" w:rsidRPr="00AB4289">
        <w:rPr>
          <w:sz w:val="28"/>
          <w:szCs w:val="28"/>
          <w:lang w:val="es-ES_tradnl"/>
        </w:rPr>
        <w:t>no solo sus bienes</w:t>
      </w:r>
      <w:r w:rsidR="007C5CD4" w:rsidRPr="00AB4289">
        <w:rPr>
          <w:sz w:val="28"/>
          <w:szCs w:val="28"/>
          <w:lang w:val="es-ES_tradnl"/>
        </w:rPr>
        <w:t>,</w:t>
      </w:r>
      <w:r w:rsidR="003F4B50" w:rsidRPr="00AB4289">
        <w:rPr>
          <w:sz w:val="28"/>
          <w:szCs w:val="28"/>
          <w:lang w:val="es-ES_tradnl"/>
        </w:rPr>
        <w:t xml:space="preserve"> sino</w:t>
      </w:r>
      <w:r w:rsidR="007C5CD4" w:rsidRPr="00AB4289">
        <w:rPr>
          <w:sz w:val="28"/>
          <w:szCs w:val="28"/>
          <w:lang w:val="es-ES_tradnl"/>
        </w:rPr>
        <w:t xml:space="preserve"> también</w:t>
      </w:r>
      <w:r w:rsidR="003F4B50" w:rsidRPr="00AB4289">
        <w:rPr>
          <w:sz w:val="28"/>
          <w:szCs w:val="28"/>
          <w:lang w:val="es-ES_tradnl"/>
        </w:rPr>
        <w:t xml:space="preserve"> aquellos </w:t>
      </w:r>
      <w:r w:rsidR="007B49FD" w:rsidRPr="00AB4289">
        <w:rPr>
          <w:sz w:val="28"/>
          <w:szCs w:val="28"/>
          <w:lang w:val="es-ES_tradnl"/>
        </w:rPr>
        <w:t>de sus familiares más cercanos</w:t>
      </w:r>
      <w:r w:rsidR="007B49FD" w:rsidRPr="00AB4289">
        <w:rPr>
          <w:vertAlign w:val="superscript"/>
          <w:lang w:val="es-ES_tradnl"/>
        </w:rPr>
        <w:footnoteReference w:id="94"/>
      </w:r>
      <w:r w:rsidR="007B49FD" w:rsidRPr="00AB4289">
        <w:rPr>
          <w:sz w:val="28"/>
          <w:szCs w:val="28"/>
          <w:lang w:val="es-ES_tradnl"/>
        </w:rPr>
        <w:t>.</w:t>
      </w:r>
      <w:r w:rsidR="0026763E" w:rsidRPr="00AB4289">
        <w:rPr>
          <w:sz w:val="28"/>
          <w:szCs w:val="28"/>
          <w:lang w:val="es-ES_tradnl"/>
        </w:rPr>
        <w:t xml:space="preserve"> En Estados Unidos</w:t>
      </w:r>
      <w:r w:rsidR="0041083B" w:rsidRPr="00AB4289">
        <w:rPr>
          <w:sz w:val="28"/>
          <w:szCs w:val="28"/>
          <w:lang w:val="es-ES_tradnl"/>
        </w:rPr>
        <w:t xml:space="preserve"> se promulgó en 2022 una ley que exige</w:t>
      </w:r>
      <w:r w:rsidR="0026763E" w:rsidRPr="00AB4289">
        <w:rPr>
          <w:sz w:val="28"/>
          <w:szCs w:val="28"/>
          <w:lang w:val="es-ES_tradnl"/>
        </w:rPr>
        <w:t xml:space="preserve"> a los jueces que informen cualquier transacción superior a 1</w:t>
      </w:r>
      <w:r w:rsidR="007C5CD4" w:rsidRPr="00AB4289">
        <w:rPr>
          <w:sz w:val="28"/>
          <w:szCs w:val="28"/>
          <w:lang w:val="es-ES_tradnl"/>
        </w:rPr>
        <w:t>.</w:t>
      </w:r>
      <w:r w:rsidR="0026763E" w:rsidRPr="00AB4289">
        <w:rPr>
          <w:sz w:val="28"/>
          <w:szCs w:val="28"/>
          <w:lang w:val="es-ES_tradnl"/>
        </w:rPr>
        <w:t>000 dólares en un plazo de 45 días, en lugar de hacerlo únicamente en sus informes anuales de divulgación</w:t>
      </w:r>
      <w:r w:rsidR="0041083B" w:rsidRPr="00AB4289">
        <w:rPr>
          <w:vertAlign w:val="superscript"/>
          <w:lang w:val="es-ES_tradnl"/>
        </w:rPr>
        <w:footnoteReference w:id="95"/>
      </w:r>
      <w:r w:rsidR="0041083B" w:rsidRPr="00AB4289">
        <w:rPr>
          <w:sz w:val="28"/>
          <w:szCs w:val="28"/>
          <w:lang w:val="es-ES_tradnl"/>
        </w:rPr>
        <w:t>.</w:t>
      </w:r>
      <w:r w:rsidR="00F32EDA" w:rsidRPr="00AB4289">
        <w:rPr>
          <w:sz w:val="28"/>
          <w:szCs w:val="28"/>
          <w:lang w:val="es-ES_tradnl"/>
        </w:rPr>
        <w:t xml:space="preserve"> Estas estrategias han contribuido a que se haga un seguimiento más eficaz al ejercicio de la función judicial. </w:t>
      </w:r>
    </w:p>
    <w:p w14:paraId="01A0177F" w14:textId="77777777" w:rsidR="004C2DB7" w:rsidRPr="00AB4289" w:rsidRDefault="004C2DB7" w:rsidP="00B40BE5">
      <w:pPr>
        <w:pStyle w:val="NormalWeb"/>
        <w:shd w:val="clear" w:color="auto" w:fill="FFFFFF"/>
        <w:spacing w:before="0" w:beforeAutospacing="0" w:after="0" w:afterAutospacing="0"/>
        <w:jc w:val="both"/>
        <w:rPr>
          <w:sz w:val="28"/>
          <w:szCs w:val="28"/>
          <w:lang w:val="es-ES_tradnl"/>
        </w:rPr>
      </w:pPr>
    </w:p>
    <w:p w14:paraId="00799975" w14:textId="6AEA60EE" w:rsidR="00A96E8F" w:rsidRPr="00AB4289" w:rsidRDefault="00A96E8F" w:rsidP="00B40BE5">
      <w:pPr>
        <w:pStyle w:val="NormalWeb"/>
        <w:numPr>
          <w:ilvl w:val="0"/>
          <w:numId w:val="2"/>
        </w:numPr>
        <w:shd w:val="clear" w:color="auto" w:fill="FFFFFF"/>
        <w:spacing w:before="0" w:beforeAutospacing="0" w:after="0" w:afterAutospacing="0"/>
        <w:ind w:left="0" w:firstLine="0"/>
        <w:jc w:val="both"/>
        <w:rPr>
          <w:sz w:val="28"/>
          <w:szCs w:val="28"/>
          <w:lang w:val="es-ES_tradnl"/>
        </w:rPr>
      </w:pPr>
      <w:r w:rsidRPr="00AB4289">
        <w:rPr>
          <w:sz w:val="28"/>
          <w:szCs w:val="28"/>
          <w:lang w:val="es-ES_tradnl"/>
        </w:rPr>
        <w:t xml:space="preserve">Ahora bien, </w:t>
      </w:r>
      <w:r w:rsidR="004E4F8D" w:rsidRPr="00AB4289">
        <w:rPr>
          <w:sz w:val="28"/>
          <w:szCs w:val="28"/>
          <w:lang w:val="es-ES_tradnl"/>
        </w:rPr>
        <w:t xml:space="preserve">surge la pregunta de </w:t>
      </w:r>
      <w:r w:rsidRPr="00AB4289">
        <w:rPr>
          <w:sz w:val="28"/>
          <w:szCs w:val="28"/>
          <w:lang w:val="es-ES_tradnl"/>
        </w:rPr>
        <w:t>si</w:t>
      </w:r>
      <w:r w:rsidR="007C5CD4" w:rsidRPr="00AB4289">
        <w:rPr>
          <w:sz w:val="28"/>
          <w:szCs w:val="28"/>
          <w:lang w:val="es-ES_tradnl"/>
        </w:rPr>
        <w:t xml:space="preserve"> la publicación de</w:t>
      </w:r>
      <w:r w:rsidRPr="00AB4289">
        <w:rPr>
          <w:sz w:val="28"/>
          <w:szCs w:val="28"/>
          <w:lang w:val="es-ES_tradnl"/>
        </w:rPr>
        <w:t xml:space="preserve"> este tipo de declaraciones puede poner en riesgo </w:t>
      </w:r>
      <w:r w:rsidR="00A866B5" w:rsidRPr="00AB4289">
        <w:rPr>
          <w:sz w:val="28"/>
          <w:szCs w:val="28"/>
          <w:lang w:val="es-ES_tradnl"/>
        </w:rPr>
        <w:t xml:space="preserve">los derechos fundamentales </w:t>
      </w:r>
      <w:r w:rsidRPr="00AB4289">
        <w:rPr>
          <w:sz w:val="28"/>
          <w:szCs w:val="28"/>
          <w:lang w:val="es-ES_tradnl"/>
        </w:rPr>
        <w:t>de los funcionarios judiciales o puede</w:t>
      </w:r>
      <w:r w:rsidR="00522E93" w:rsidRPr="00AB4289">
        <w:rPr>
          <w:sz w:val="28"/>
          <w:szCs w:val="28"/>
          <w:lang w:val="es-ES_tradnl"/>
        </w:rPr>
        <w:t>n</w:t>
      </w:r>
      <w:r w:rsidRPr="00AB4289">
        <w:rPr>
          <w:sz w:val="28"/>
          <w:szCs w:val="28"/>
          <w:lang w:val="es-ES_tradnl"/>
        </w:rPr>
        <w:t xml:space="preserve"> </w:t>
      </w:r>
      <w:r w:rsidR="00217C6E" w:rsidRPr="00AB4289">
        <w:rPr>
          <w:sz w:val="28"/>
          <w:szCs w:val="28"/>
          <w:lang w:val="es-ES_tradnl"/>
        </w:rPr>
        <w:t>abrir las puertas para presiones políticas</w:t>
      </w:r>
      <w:r w:rsidR="007C5CD4" w:rsidRPr="00AB4289">
        <w:rPr>
          <w:sz w:val="28"/>
          <w:szCs w:val="28"/>
          <w:lang w:val="es-ES_tradnl"/>
        </w:rPr>
        <w:t xml:space="preserve"> indebidas sobre la rama judicial</w:t>
      </w:r>
      <w:r w:rsidR="00217C6E" w:rsidRPr="00AB4289">
        <w:rPr>
          <w:sz w:val="28"/>
          <w:szCs w:val="28"/>
          <w:lang w:val="es-ES_tradnl"/>
        </w:rPr>
        <w:t>. Sin embargo, las experiencias han demostrado lo contrario: en los</w:t>
      </w:r>
      <w:r w:rsidRPr="00AB4289">
        <w:rPr>
          <w:sz w:val="28"/>
          <w:szCs w:val="28"/>
          <w:lang w:val="es-ES_tradnl"/>
        </w:rPr>
        <w:t xml:space="preserve"> tribunales</w:t>
      </w:r>
      <w:r w:rsidR="003F4B50" w:rsidRPr="00AB4289">
        <w:rPr>
          <w:sz w:val="28"/>
          <w:szCs w:val="28"/>
          <w:lang w:val="es-ES_tradnl"/>
        </w:rPr>
        <w:t xml:space="preserve"> </w:t>
      </w:r>
      <w:r w:rsidR="00522E93" w:rsidRPr="00AB4289">
        <w:rPr>
          <w:sz w:val="28"/>
          <w:szCs w:val="28"/>
          <w:lang w:val="es-ES_tradnl"/>
        </w:rPr>
        <w:t>de</w:t>
      </w:r>
      <w:r w:rsidRPr="00AB4289">
        <w:rPr>
          <w:sz w:val="28"/>
          <w:szCs w:val="28"/>
          <w:lang w:val="es-ES_tradnl"/>
        </w:rPr>
        <w:t xml:space="preserve"> países </w:t>
      </w:r>
      <w:r w:rsidR="003F4B50" w:rsidRPr="00AB4289">
        <w:rPr>
          <w:sz w:val="28"/>
          <w:szCs w:val="28"/>
          <w:lang w:val="es-ES_tradnl"/>
        </w:rPr>
        <w:t>como Estados Unidos,</w:t>
      </w:r>
      <w:r w:rsidRPr="00AB4289">
        <w:rPr>
          <w:sz w:val="28"/>
          <w:szCs w:val="28"/>
          <w:lang w:val="es-ES_tradnl"/>
        </w:rPr>
        <w:t xml:space="preserve"> Chile, Alemani</w:t>
      </w:r>
      <w:r w:rsidR="00522E93" w:rsidRPr="00AB4289">
        <w:rPr>
          <w:sz w:val="28"/>
          <w:szCs w:val="28"/>
          <w:lang w:val="es-ES_tradnl"/>
        </w:rPr>
        <w:t>a y</w:t>
      </w:r>
      <w:r w:rsidRPr="00AB4289">
        <w:rPr>
          <w:sz w:val="28"/>
          <w:szCs w:val="28"/>
          <w:lang w:val="es-ES_tradnl"/>
        </w:rPr>
        <w:t xml:space="preserve"> Perú han decidido que las declaraciones financieras de los funcionarios públicos no contravienen el derecho constitucional a la intimidad</w:t>
      </w:r>
      <w:r w:rsidR="0041083B" w:rsidRPr="00AB4289">
        <w:rPr>
          <w:vertAlign w:val="superscript"/>
          <w:lang w:val="es-ES_tradnl"/>
        </w:rPr>
        <w:footnoteReference w:id="96"/>
      </w:r>
      <w:r w:rsidRPr="00AB4289">
        <w:rPr>
          <w:sz w:val="28"/>
          <w:szCs w:val="28"/>
          <w:lang w:val="es-ES_tradnl"/>
        </w:rPr>
        <w:t>.</w:t>
      </w:r>
      <w:r w:rsidR="009B2E8D" w:rsidRPr="00AB4289">
        <w:rPr>
          <w:sz w:val="28"/>
          <w:szCs w:val="28"/>
          <w:lang w:val="es-ES_tradnl"/>
        </w:rPr>
        <w:t xml:space="preserve"> De hecho,</w:t>
      </w:r>
      <w:r w:rsidR="00217C6E" w:rsidRPr="00AB4289">
        <w:rPr>
          <w:sz w:val="28"/>
          <w:szCs w:val="28"/>
          <w:lang w:val="es-ES_tradnl"/>
        </w:rPr>
        <w:t xml:space="preserve"> </w:t>
      </w:r>
      <w:r w:rsidR="000673E6" w:rsidRPr="00AB4289">
        <w:rPr>
          <w:sz w:val="28"/>
          <w:szCs w:val="28"/>
          <w:lang w:val="es-ES_tradnl"/>
        </w:rPr>
        <w:t>no</w:t>
      </w:r>
      <w:r w:rsidR="009B2E8D" w:rsidRPr="00AB4289">
        <w:rPr>
          <w:sz w:val="28"/>
          <w:szCs w:val="28"/>
          <w:lang w:val="es-ES_tradnl"/>
        </w:rPr>
        <w:t xml:space="preserve"> </w:t>
      </w:r>
      <w:r w:rsidR="00217C6E" w:rsidRPr="00AB4289">
        <w:rPr>
          <w:sz w:val="28"/>
          <w:szCs w:val="28"/>
          <w:lang w:val="es-ES_tradnl"/>
        </w:rPr>
        <w:t>se han evidenciado presiones que surjan en razón a estas declaraciones</w:t>
      </w:r>
      <w:r w:rsidR="007B49FD" w:rsidRPr="00AB4289">
        <w:rPr>
          <w:vertAlign w:val="superscript"/>
          <w:lang w:val="es-ES_tradnl"/>
        </w:rPr>
        <w:footnoteReference w:id="97"/>
      </w:r>
      <w:r w:rsidR="00217C6E" w:rsidRPr="00AB4289">
        <w:rPr>
          <w:sz w:val="28"/>
          <w:szCs w:val="28"/>
          <w:lang w:val="es-ES_tradnl"/>
        </w:rPr>
        <w:t>.</w:t>
      </w:r>
      <w:r w:rsidR="003F4B50" w:rsidRPr="00AB4289">
        <w:rPr>
          <w:sz w:val="28"/>
          <w:szCs w:val="28"/>
          <w:lang w:val="es-ES_tradnl"/>
        </w:rPr>
        <w:t xml:space="preserve"> </w:t>
      </w:r>
      <w:r w:rsidR="00217C6E" w:rsidRPr="00AB4289">
        <w:rPr>
          <w:sz w:val="28"/>
          <w:szCs w:val="28"/>
          <w:lang w:val="es-ES_tradnl"/>
        </w:rPr>
        <w:t xml:space="preserve">Sin embargo, sí </w:t>
      </w:r>
      <w:r w:rsidR="003F4B50" w:rsidRPr="00AB4289">
        <w:rPr>
          <w:sz w:val="28"/>
          <w:szCs w:val="28"/>
          <w:lang w:val="es-ES_tradnl"/>
        </w:rPr>
        <w:t>se debe</w:t>
      </w:r>
      <w:r w:rsidR="00217C6E" w:rsidRPr="00AB4289">
        <w:rPr>
          <w:sz w:val="28"/>
          <w:szCs w:val="28"/>
          <w:lang w:val="es-ES_tradnl"/>
        </w:rPr>
        <w:t xml:space="preserve"> destacar </w:t>
      </w:r>
      <w:r w:rsidR="003F4B50" w:rsidRPr="00AB4289">
        <w:rPr>
          <w:sz w:val="28"/>
          <w:szCs w:val="28"/>
          <w:lang w:val="es-ES_tradnl"/>
        </w:rPr>
        <w:t>que,</w:t>
      </w:r>
      <w:r w:rsidR="0041083B" w:rsidRPr="00AB4289">
        <w:rPr>
          <w:sz w:val="28"/>
          <w:szCs w:val="28"/>
          <w:lang w:val="es-ES_tradnl"/>
        </w:rPr>
        <w:t xml:space="preserve"> en varios países</w:t>
      </w:r>
      <w:r w:rsidR="00522E93" w:rsidRPr="00AB4289">
        <w:rPr>
          <w:sz w:val="28"/>
          <w:szCs w:val="28"/>
          <w:lang w:val="es-ES_tradnl"/>
        </w:rPr>
        <w:t xml:space="preserve">, </w:t>
      </w:r>
      <w:r w:rsidR="000673E6" w:rsidRPr="00AB4289">
        <w:rPr>
          <w:sz w:val="28"/>
          <w:szCs w:val="28"/>
          <w:lang w:val="es-ES_tradnl"/>
        </w:rPr>
        <w:t>las leyes de transparencia limitan</w:t>
      </w:r>
      <w:r w:rsidR="00217C6E" w:rsidRPr="00AB4289">
        <w:rPr>
          <w:sz w:val="28"/>
          <w:szCs w:val="28"/>
          <w:lang w:val="es-ES_tradnl"/>
        </w:rPr>
        <w:t xml:space="preserve"> la exposición de algunos datos privados, c</w:t>
      </w:r>
      <w:r w:rsidR="004E4F8D" w:rsidRPr="00AB4289">
        <w:rPr>
          <w:sz w:val="28"/>
          <w:szCs w:val="28"/>
          <w:lang w:val="es-ES_tradnl"/>
        </w:rPr>
        <w:t>o</w:t>
      </w:r>
      <w:r w:rsidR="00217C6E" w:rsidRPr="00AB4289">
        <w:rPr>
          <w:sz w:val="28"/>
          <w:szCs w:val="28"/>
          <w:lang w:val="es-ES_tradnl"/>
        </w:rPr>
        <w:t>mo la dirección y el teléfono de los funcionarios judiciales, ya que estas informaciones sí p</w:t>
      </w:r>
      <w:r w:rsidR="0041083B" w:rsidRPr="00AB4289">
        <w:rPr>
          <w:sz w:val="28"/>
          <w:szCs w:val="28"/>
          <w:lang w:val="es-ES_tradnl"/>
        </w:rPr>
        <w:t xml:space="preserve">ueden </w:t>
      </w:r>
      <w:r w:rsidR="00217C6E" w:rsidRPr="00AB4289">
        <w:rPr>
          <w:sz w:val="28"/>
          <w:szCs w:val="28"/>
          <w:lang w:val="es-ES_tradnl"/>
        </w:rPr>
        <w:t>poner</w:t>
      </w:r>
      <w:r w:rsidR="004E4F8D" w:rsidRPr="00AB4289">
        <w:rPr>
          <w:sz w:val="28"/>
          <w:szCs w:val="28"/>
          <w:lang w:val="es-ES_tradnl"/>
        </w:rPr>
        <w:t>los en riesgo</w:t>
      </w:r>
      <w:r w:rsidR="003F4B50" w:rsidRPr="00AB4289">
        <w:rPr>
          <w:vertAlign w:val="superscript"/>
          <w:lang w:val="es-ES_tradnl"/>
        </w:rPr>
        <w:footnoteReference w:id="98"/>
      </w:r>
      <w:r w:rsidR="004E4F8D" w:rsidRPr="00AB4289">
        <w:rPr>
          <w:sz w:val="28"/>
          <w:szCs w:val="28"/>
          <w:lang w:val="es-ES_tradnl"/>
        </w:rPr>
        <w:t>.</w:t>
      </w:r>
    </w:p>
    <w:p w14:paraId="2E24604D" w14:textId="77777777" w:rsidR="007D0D2D" w:rsidRPr="00AB4289" w:rsidRDefault="007D0D2D" w:rsidP="00B40BE5">
      <w:pPr>
        <w:pStyle w:val="NormalWeb"/>
        <w:shd w:val="clear" w:color="auto" w:fill="FFFFFF"/>
        <w:spacing w:before="0" w:beforeAutospacing="0" w:after="0" w:afterAutospacing="0"/>
        <w:jc w:val="both"/>
        <w:rPr>
          <w:sz w:val="28"/>
          <w:szCs w:val="28"/>
          <w:lang w:val="es-ES_tradnl"/>
        </w:rPr>
      </w:pPr>
    </w:p>
    <w:p w14:paraId="4E16419F" w14:textId="17474A09" w:rsidR="00181141" w:rsidRPr="00AB4289" w:rsidRDefault="00C03F70" w:rsidP="00B40BE5">
      <w:pPr>
        <w:pStyle w:val="NormalWeb"/>
        <w:numPr>
          <w:ilvl w:val="0"/>
          <w:numId w:val="2"/>
        </w:numPr>
        <w:shd w:val="clear" w:color="auto" w:fill="FFFFFF"/>
        <w:spacing w:before="0" w:beforeAutospacing="0" w:after="0" w:afterAutospacing="0"/>
        <w:ind w:left="0" w:firstLine="0"/>
        <w:jc w:val="both"/>
        <w:rPr>
          <w:sz w:val="28"/>
          <w:szCs w:val="28"/>
          <w:lang w:val="es-ES_tradnl"/>
        </w:rPr>
      </w:pPr>
      <w:r w:rsidRPr="00AB4289">
        <w:rPr>
          <w:sz w:val="28"/>
          <w:szCs w:val="28"/>
          <w:lang w:val="es-ES_tradnl"/>
        </w:rPr>
        <w:t xml:space="preserve">En Colombia </w:t>
      </w:r>
      <w:r w:rsidR="00181141" w:rsidRPr="00AB4289">
        <w:rPr>
          <w:sz w:val="28"/>
          <w:szCs w:val="28"/>
          <w:lang w:val="es-ES_tradnl"/>
        </w:rPr>
        <w:t xml:space="preserve">también existe un marco normativo que </w:t>
      </w:r>
      <w:r w:rsidRPr="00AB4289">
        <w:rPr>
          <w:sz w:val="28"/>
          <w:szCs w:val="28"/>
          <w:lang w:val="es-ES_tradnl"/>
        </w:rPr>
        <w:t xml:space="preserve">impone obligaciones de transparencia a los funcionarios judiciales. </w:t>
      </w:r>
      <w:r w:rsidR="00E10F7E" w:rsidRPr="00AB4289">
        <w:rPr>
          <w:sz w:val="28"/>
          <w:szCs w:val="28"/>
          <w:lang w:val="es-ES_tradnl"/>
        </w:rPr>
        <w:t>En efecto,</w:t>
      </w:r>
      <w:r w:rsidR="00181141" w:rsidRPr="00AB4289">
        <w:rPr>
          <w:sz w:val="28"/>
          <w:szCs w:val="28"/>
          <w:lang w:val="es-ES_tradnl"/>
        </w:rPr>
        <w:t xml:space="preserve"> </w:t>
      </w:r>
      <w:r w:rsidR="00BC0665" w:rsidRPr="00AB4289">
        <w:rPr>
          <w:sz w:val="28"/>
          <w:szCs w:val="28"/>
          <w:lang w:val="es-ES_tradnl"/>
        </w:rPr>
        <w:t xml:space="preserve">la </w:t>
      </w:r>
      <w:r w:rsidR="00BC0665" w:rsidRPr="00AB4289">
        <w:rPr>
          <w:sz w:val="28"/>
          <w:szCs w:val="28"/>
          <w:lang w:val="es-ES_tradnl"/>
        </w:rPr>
        <w:lastRenderedPageBreak/>
        <w:t xml:space="preserve">normativa colombiana </w:t>
      </w:r>
      <w:r w:rsidR="00181141" w:rsidRPr="00AB4289">
        <w:rPr>
          <w:sz w:val="28"/>
          <w:szCs w:val="28"/>
          <w:lang w:val="es-ES_tradnl"/>
        </w:rPr>
        <w:t xml:space="preserve">establece que </w:t>
      </w:r>
      <w:r w:rsidR="009B203C" w:rsidRPr="00AB4289">
        <w:rPr>
          <w:sz w:val="28"/>
          <w:szCs w:val="28"/>
          <w:lang w:val="es-ES_tradnl"/>
        </w:rPr>
        <w:t xml:space="preserve">esos funcionarios </w:t>
      </w:r>
      <w:r w:rsidR="00181141" w:rsidRPr="00AB4289">
        <w:rPr>
          <w:sz w:val="28"/>
          <w:szCs w:val="28"/>
          <w:lang w:val="es-ES_tradnl"/>
        </w:rPr>
        <w:t>están obligados a p</w:t>
      </w:r>
      <w:r w:rsidR="007C5CD4" w:rsidRPr="00AB4289">
        <w:rPr>
          <w:sz w:val="28"/>
          <w:szCs w:val="28"/>
          <w:lang w:val="es-ES_tradnl"/>
        </w:rPr>
        <w:t>ublicar</w:t>
      </w:r>
      <w:r w:rsidR="00181141" w:rsidRPr="00AB4289">
        <w:rPr>
          <w:sz w:val="28"/>
          <w:szCs w:val="28"/>
          <w:lang w:val="es-ES_tradnl"/>
        </w:rPr>
        <w:t xml:space="preserve"> </w:t>
      </w:r>
      <w:r w:rsidR="00107BB5" w:rsidRPr="00AB4289">
        <w:rPr>
          <w:sz w:val="28"/>
          <w:szCs w:val="28"/>
          <w:lang w:val="es-ES_tradnl"/>
        </w:rPr>
        <w:t xml:space="preserve">varios </w:t>
      </w:r>
      <w:r w:rsidR="00E30EBD" w:rsidRPr="00AB4289">
        <w:rPr>
          <w:sz w:val="28"/>
          <w:szCs w:val="28"/>
          <w:lang w:val="es-ES_tradnl"/>
        </w:rPr>
        <w:t>datos</w:t>
      </w:r>
      <w:r w:rsidR="00107BB5" w:rsidRPr="00AB4289">
        <w:rPr>
          <w:sz w:val="28"/>
          <w:szCs w:val="28"/>
          <w:lang w:val="es-ES_tradnl"/>
        </w:rPr>
        <w:t>: la</w:t>
      </w:r>
      <w:r w:rsidR="00181141" w:rsidRPr="00AB4289">
        <w:rPr>
          <w:sz w:val="28"/>
          <w:szCs w:val="28"/>
          <w:lang w:val="es-ES_tradnl"/>
        </w:rPr>
        <w:t xml:space="preserve"> declaración de bienes</w:t>
      </w:r>
      <w:r w:rsidR="00107BB5" w:rsidRPr="00AB4289">
        <w:rPr>
          <w:sz w:val="28"/>
          <w:szCs w:val="28"/>
          <w:lang w:val="es-ES_tradnl"/>
        </w:rPr>
        <w:t>, la declaración del impuesto de renta, los</w:t>
      </w:r>
      <w:r w:rsidR="00181141" w:rsidRPr="00AB4289">
        <w:rPr>
          <w:sz w:val="28"/>
          <w:szCs w:val="28"/>
          <w:lang w:val="es-ES_tradnl"/>
        </w:rPr>
        <w:t xml:space="preserve"> conflictos de interés</w:t>
      </w:r>
      <w:r w:rsidR="00107BB5" w:rsidRPr="00AB4289">
        <w:rPr>
          <w:sz w:val="28"/>
          <w:szCs w:val="28"/>
          <w:lang w:val="es-ES_tradnl"/>
        </w:rPr>
        <w:t xml:space="preserve"> y la hoja de vida</w:t>
      </w:r>
      <w:r w:rsidR="00181141" w:rsidRPr="00AB4289">
        <w:rPr>
          <w:sz w:val="28"/>
          <w:szCs w:val="28"/>
          <w:lang w:val="es-ES_tradnl"/>
        </w:rPr>
        <w:t>.</w:t>
      </w:r>
    </w:p>
    <w:p w14:paraId="5EA55A5F" w14:textId="77777777" w:rsidR="00181141" w:rsidRPr="00AB4289" w:rsidRDefault="00181141" w:rsidP="00B40BE5">
      <w:pPr>
        <w:autoSpaceDE w:val="0"/>
        <w:autoSpaceDN w:val="0"/>
        <w:adjustRightInd w:val="0"/>
        <w:jc w:val="both"/>
        <w:rPr>
          <w:sz w:val="28"/>
          <w:szCs w:val="28"/>
          <w:lang w:val="es-ES_tradnl"/>
        </w:rPr>
      </w:pPr>
    </w:p>
    <w:p w14:paraId="0E49CF40" w14:textId="5573C90E" w:rsidR="00BC0665" w:rsidRPr="00AB4289" w:rsidRDefault="00181141" w:rsidP="00B40BE5">
      <w:pPr>
        <w:pStyle w:val="NormalWeb"/>
        <w:numPr>
          <w:ilvl w:val="0"/>
          <w:numId w:val="2"/>
        </w:numPr>
        <w:shd w:val="clear" w:color="auto" w:fill="FFFFFF"/>
        <w:spacing w:before="0" w:beforeAutospacing="0" w:after="0" w:afterAutospacing="0"/>
        <w:ind w:left="0" w:firstLine="0"/>
        <w:jc w:val="both"/>
        <w:rPr>
          <w:sz w:val="28"/>
          <w:szCs w:val="28"/>
          <w:lang w:val="es-ES_tradnl"/>
        </w:rPr>
      </w:pPr>
      <w:r w:rsidRPr="00AB4289">
        <w:rPr>
          <w:sz w:val="28"/>
          <w:szCs w:val="28"/>
          <w:lang w:val="es-ES_tradnl"/>
        </w:rPr>
        <w:t>En primer lugar, el artículo 13</w:t>
      </w:r>
      <w:r w:rsidRPr="00AB4289">
        <w:rPr>
          <w:rStyle w:val="Refdenotaalpie"/>
          <w:rFonts w:cs="Times New Roman"/>
          <w:sz w:val="28"/>
          <w:szCs w:val="28"/>
          <w:lang w:val="es-ES_tradnl"/>
        </w:rPr>
        <w:footnoteReference w:id="99"/>
      </w:r>
      <w:r w:rsidRPr="00AB4289">
        <w:rPr>
          <w:sz w:val="28"/>
          <w:szCs w:val="28"/>
          <w:lang w:val="es-ES_tradnl"/>
        </w:rPr>
        <w:t xml:space="preserve"> de la Ley 190 de 1995</w:t>
      </w:r>
      <w:r w:rsidRPr="00AB4289">
        <w:rPr>
          <w:rStyle w:val="Refdenotaalpie"/>
          <w:rFonts w:cs="Times New Roman"/>
          <w:sz w:val="28"/>
          <w:szCs w:val="28"/>
          <w:lang w:val="es-ES_tradnl"/>
        </w:rPr>
        <w:footnoteReference w:id="100"/>
      </w:r>
      <w:r w:rsidRPr="00AB4289">
        <w:rPr>
          <w:sz w:val="28"/>
          <w:szCs w:val="28"/>
          <w:lang w:val="es-ES_tradnl"/>
        </w:rPr>
        <w:t xml:space="preserve"> y el artículo 153</w:t>
      </w:r>
      <w:r w:rsidRPr="00AB4289">
        <w:rPr>
          <w:rStyle w:val="Refdenotaalpie"/>
          <w:rFonts w:cs="Times New Roman"/>
          <w:sz w:val="28"/>
          <w:szCs w:val="28"/>
          <w:lang w:val="es-ES_tradnl"/>
        </w:rPr>
        <w:footnoteReference w:id="101"/>
      </w:r>
      <w:r w:rsidRPr="00AB4289">
        <w:rPr>
          <w:sz w:val="28"/>
          <w:szCs w:val="28"/>
          <w:lang w:val="es-ES_tradnl"/>
        </w:rPr>
        <w:t xml:space="preserve"> de la Ley 270 de 1996 establecieron que e</w:t>
      </w:r>
      <w:r w:rsidR="007C5CD4" w:rsidRPr="00AB4289">
        <w:rPr>
          <w:sz w:val="28"/>
          <w:szCs w:val="28"/>
          <w:lang w:val="es-ES_tradnl"/>
        </w:rPr>
        <w:t>s</w:t>
      </w:r>
      <w:r w:rsidRPr="00AB4289">
        <w:rPr>
          <w:sz w:val="28"/>
          <w:szCs w:val="28"/>
          <w:lang w:val="es-ES_tradnl"/>
        </w:rPr>
        <w:t xml:space="preserve"> deber de</w:t>
      </w:r>
      <w:r w:rsidR="0099367C" w:rsidRPr="00AB4289">
        <w:rPr>
          <w:sz w:val="28"/>
          <w:szCs w:val="28"/>
          <w:lang w:val="es-ES_tradnl"/>
        </w:rPr>
        <w:t xml:space="preserve"> todos</w:t>
      </w:r>
      <w:r w:rsidRPr="00AB4289">
        <w:rPr>
          <w:sz w:val="28"/>
          <w:szCs w:val="28"/>
          <w:lang w:val="es-ES_tradnl"/>
        </w:rPr>
        <w:t xml:space="preserve"> los funcionarios públicos </w:t>
      </w:r>
      <w:r w:rsidR="000B22A5" w:rsidRPr="00AB4289">
        <w:rPr>
          <w:sz w:val="28"/>
          <w:szCs w:val="28"/>
          <w:lang w:val="es-ES_tradnl"/>
        </w:rPr>
        <w:t xml:space="preserve">entregar la declaración de </w:t>
      </w:r>
      <w:r w:rsidRPr="00AB4289">
        <w:rPr>
          <w:sz w:val="28"/>
          <w:szCs w:val="28"/>
          <w:lang w:val="es-ES_tradnl"/>
        </w:rPr>
        <w:t>sus bienes y rentas</w:t>
      </w:r>
      <w:r w:rsidR="000B22A5" w:rsidRPr="00AB4289">
        <w:rPr>
          <w:sz w:val="28"/>
          <w:szCs w:val="28"/>
          <w:lang w:val="es-ES_tradnl"/>
        </w:rPr>
        <w:t xml:space="preserve"> al momento de la posesión</w:t>
      </w:r>
      <w:r w:rsidRPr="00AB4289">
        <w:rPr>
          <w:sz w:val="28"/>
          <w:szCs w:val="28"/>
          <w:lang w:val="es-ES_tradnl"/>
        </w:rPr>
        <w:t>.</w:t>
      </w:r>
      <w:r w:rsidR="00A645CA" w:rsidRPr="00AB4289">
        <w:rPr>
          <w:sz w:val="28"/>
          <w:szCs w:val="28"/>
          <w:lang w:val="es-ES_tradnl"/>
        </w:rPr>
        <w:t xml:space="preserve"> </w:t>
      </w:r>
      <w:r w:rsidR="00BC0665" w:rsidRPr="00AB4289">
        <w:rPr>
          <w:sz w:val="28"/>
          <w:szCs w:val="28"/>
          <w:lang w:val="es-ES_tradnl"/>
        </w:rPr>
        <w:t>Sin embargo, no fue sino hasta que se profirió la Ley 2013 de 2019</w:t>
      </w:r>
      <w:r w:rsidR="00BC0665" w:rsidRPr="00AB4289">
        <w:rPr>
          <w:vertAlign w:val="superscript"/>
          <w:lang w:val="es-ES_tradnl"/>
        </w:rPr>
        <w:footnoteReference w:id="102"/>
      </w:r>
      <w:r w:rsidR="00BC0665" w:rsidRPr="00AB4289">
        <w:rPr>
          <w:sz w:val="28"/>
          <w:szCs w:val="28"/>
          <w:lang w:val="es-ES_tradnl"/>
        </w:rPr>
        <w:t xml:space="preserve"> que se estableció que las declaraciones de bienes y rentas, las declaraciones del impuesto sobre la renta, así como los conflictos de interés debían hacerse públicas en el Sistema de Información y Gestión del Empleo Público -SIGEP (o en las herramientas que lo sustituyan). La norma estableció que la publicación de esta información es un requisito para posesionarse, ejercer y retirarse del cargo</w:t>
      </w:r>
      <w:r w:rsidR="00BC0665" w:rsidRPr="00AB4289">
        <w:rPr>
          <w:vertAlign w:val="superscript"/>
          <w:lang w:val="es-ES_tradnl"/>
        </w:rPr>
        <w:footnoteReference w:id="103"/>
      </w:r>
      <w:r w:rsidR="00BC0665" w:rsidRPr="00AB4289">
        <w:rPr>
          <w:sz w:val="28"/>
          <w:szCs w:val="28"/>
          <w:lang w:val="es-ES_tradnl"/>
        </w:rPr>
        <w:t>.</w:t>
      </w:r>
    </w:p>
    <w:p w14:paraId="549DAC84" w14:textId="77777777" w:rsidR="00BC0665" w:rsidRPr="00AB4289" w:rsidRDefault="00BC0665" w:rsidP="00B40BE5">
      <w:pPr>
        <w:pStyle w:val="Prrafodelista"/>
        <w:autoSpaceDE w:val="0"/>
        <w:autoSpaceDN w:val="0"/>
        <w:adjustRightInd w:val="0"/>
        <w:ind w:left="0"/>
        <w:jc w:val="both"/>
        <w:rPr>
          <w:sz w:val="28"/>
          <w:szCs w:val="28"/>
          <w:lang w:val="es-ES_tradnl"/>
        </w:rPr>
      </w:pPr>
    </w:p>
    <w:p w14:paraId="5F5012FE" w14:textId="24EFFD5C" w:rsidR="00181141" w:rsidRPr="00AB4289" w:rsidRDefault="007C5CD4" w:rsidP="00B40BE5">
      <w:pPr>
        <w:pStyle w:val="Prrafodelista"/>
        <w:numPr>
          <w:ilvl w:val="0"/>
          <w:numId w:val="2"/>
        </w:numPr>
        <w:autoSpaceDE w:val="0"/>
        <w:autoSpaceDN w:val="0"/>
        <w:adjustRightInd w:val="0"/>
        <w:ind w:left="0" w:firstLine="0"/>
        <w:jc w:val="both"/>
        <w:rPr>
          <w:sz w:val="28"/>
          <w:szCs w:val="28"/>
          <w:lang w:val="es-ES_tradnl"/>
        </w:rPr>
      </w:pPr>
      <w:r w:rsidRPr="00AB4289">
        <w:rPr>
          <w:sz w:val="28"/>
          <w:szCs w:val="28"/>
          <w:lang w:val="es-ES_tradnl"/>
        </w:rPr>
        <w:t>En atención a</w:t>
      </w:r>
      <w:r w:rsidR="00181141" w:rsidRPr="00AB4289">
        <w:rPr>
          <w:sz w:val="28"/>
          <w:szCs w:val="28"/>
          <w:lang w:val="es-ES_tradnl"/>
        </w:rPr>
        <w:t xml:space="preserve"> </w:t>
      </w:r>
      <w:r w:rsidRPr="00AB4289">
        <w:rPr>
          <w:sz w:val="28"/>
          <w:szCs w:val="28"/>
          <w:lang w:val="es-ES_tradnl"/>
        </w:rPr>
        <w:t>dichas leyes</w:t>
      </w:r>
      <w:r w:rsidR="00181141" w:rsidRPr="00AB4289">
        <w:rPr>
          <w:sz w:val="28"/>
          <w:szCs w:val="28"/>
          <w:lang w:val="es-ES_tradnl"/>
        </w:rPr>
        <w:t xml:space="preserve">, el Consejo Superior de la Judicatura profirió </w:t>
      </w:r>
      <w:r w:rsidR="004508E9" w:rsidRPr="00AB4289">
        <w:rPr>
          <w:sz w:val="28"/>
          <w:szCs w:val="28"/>
          <w:lang w:val="es-ES_tradnl"/>
        </w:rPr>
        <w:t>varios acuerdos y circulares</w:t>
      </w:r>
      <w:r w:rsidR="00181141" w:rsidRPr="00AB4289">
        <w:rPr>
          <w:sz w:val="28"/>
          <w:szCs w:val="28"/>
          <w:lang w:val="es-ES_tradnl"/>
        </w:rPr>
        <w:t xml:space="preserve"> en </w:t>
      </w:r>
      <w:r w:rsidR="004508E9" w:rsidRPr="00AB4289">
        <w:rPr>
          <w:sz w:val="28"/>
          <w:szCs w:val="28"/>
          <w:lang w:val="es-ES_tradnl"/>
        </w:rPr>
        <w:t>los</w:t>
      </w:r>
      <w:r w:rsidR="00181141" w:rsidRPr="00AB4289">
        <w:rPr>
          <w:sz w:val="28"/>
          <w:szCs w:val="28"/>
          <w:lang w:val="es-ES_tradnl"/>
        </w:rPr>
        <w:t xml:space="preserve"> que reguló lo relacionado con la presentación de la declaración de bienes y rentas de los servidores de la rama judicial</w:t>
      </w:r>
      <w:r w:rsidR="00181141" w:rsidRPr="00AB4289">
        <w:rPr>
          <w:rStyle w:val="Refdenotaalpie"/>
          <w:rFonts w:cs="Times New Roman"/>
          <w:sz w:val="28"/>
          <w:szCs w:val="28"/>
          <w:lang w:val="es-ES_tradnl"/>
        </w:rPr>
        <w:footnoteReference w:id="104"/>
      </w:r>
      <w:r w:rsidR="00181141" w:rsidRPr="00AB4289">
        <w:rPr>
          <w:sz w:val="28"/>
          <w:szCs w:val="28"/>
          <w:lang w:val="es-ES_tradnl"/>
        </w:rPr>
        <w:t>.</w:t>
      </w:r>
      <w:r w:rsidR="007A21A2" w:rsidRPr="00AB4289">
        <w:rPr>
          <w:sz w:val="28"/>
          <w:szCs w:val="28"/>
          <w:lang w:val="es-ES_tradnl"/>
        </w:rPr>
        <w:t xml:space="preserve"> En particular,</w:t>
      </w:r>
      <w:r w:rsidR="00181141" w:rsidRPr="00AB4289">
        <w:rPr>
          <w:sz w:val="28"/>
          <w:szCs w:val="28"/>
          <w:lang w:val="es-ES_tradnl"/>
        </w:rPr>
        <w:t xml:space="preserve"> </w:t>
      </w:r>
      <w:r w:rsidR="007A21A2" w:rsidRPr="00AB4289">
        <w:rPr>
          <w:sz w:val="28"/>
          <w:szCs w:val="28"/>
          <w:lang w:val="es-ES_tradnl"/>
        </w:rPr>
        <w:t>la Circular PCSJC20-36 del 18 de noviembre de 2020 determinó</w:t>
      </w:r>
      <w:r w:rsidR="00181141" w:rsidRPr="00AB4289">
        <w:rPr>
          <w:sz w:val="28"/>
          <w:szCs w:val="28"/>
          <w:lang w:val="es-ES_tradnl"/>
        </w:rPr>
        <w:t xml:space="preserve"> que dichas declaraciones se </w:t>
      </w:r>
      <w:r w:rsidRPr="00AB4289">
        <w:rPr>
          <w:sz w:val="28"/>
          <w:szCs w:val="28"/>
          <w:lang w:val="es-ES_tradnl"/>
        </w:rPr>
        <w:t xml:space="preserve">deben </w:t>
      </w:r>
      <w:r w:rsidR="00181141" w:rsidRPr="00AB4289">
        <w:rPr>
          <w:sz w:val="28"/>
          <w:szCs w:val="28"/>
          <w:lang w:val="es-ES_tradnl"/>
        </w:rPr>
        <w:t>divulga</w:t>
      </w:r>
      <w:r w:rsidRPr="00AB4289">
        <w:rPr>
          <w:sz w:val="28"/>
          <w:szCs w:val="28"/>
          <w:lang w:val="es-ES_tradnl"/>
        </w:rPr>
        <w:t>r</w:t>
      </w:r>
      <w:r w:rsidR="00181141" w:rsidRPr="00AB4289">
        <w:rPr>
          <w:sz w:val="28"/>
          <w:szCs w:val="28"/>
          <w:lang w:val="es-ES_tradnl"/>
        </w:rPr>
        <w:t xml:space="preserve"> en la página web de la rama judicial. Así, en principio, cualquier ciudadano </w:t>
      </w:r>
      <w:r w:rsidR="00A645CA" w:rsidRPr="00AB4289">
        <w:rPr>
          <w:sz w:val="28"/>
          <w:szCs w:val="28"/>
          <w:lang w:val="es-ES_tradnl"/>
        </w:rPr>
        <w:t>debería poder</w:t>
      </w:r>
      <w:r w:rsidR="00181141" w:rsidRPr="00AB4289">
        <w:rPr>
          <w:sz w:val="28"/>
          <w:szCs w:val="28"/>
          <w:lang w:val="es-ES_tradnl"/>
        </w:rPr>
        <w:t xml:space="preserve"> tener acceso a las declaraciones que deben hacer los servidores judiciales en el siguiente enlace: </w:t>
      </w:r>
    </w:p>
    <w:p w14:paraId="5306354F" w14:textId="7B2BFB02" w:rsidR="00181141" w:rsidRPr="00AB4289" w:rsidRDefault="00181141" w:rsidP="00B40BE5">
      <w:pPr>
        <w:autoSpaceDE w:val="0"/>
        <w:autoSpaceDN w:val="0"/>
        <w:adjustRightInd w:val="0"/>
        <w:jc w:val="both"/>
        <w:rPr>
          <w:sz w:val="28"/>
          <w:szCs w:val="28"/>
          <w:lang w:val="es-ES_tradnl"/>
        </w:rPr>
      </w:pPr>
    </w:p>
    <w:p w14:paraId="6DE0C54D" w14:textId="614971BD" w:rsidR="00181141" w:rsidRPr="00AB4289" w:rsidRDefault="00181141" w:rsidP="00B40BE5">
      <w:pPr>
        <w:autoSpaceDE w:val="0"/>
        <w:autoSpaceDN w:val="0"/>
        <w:adjustRightInd w:val="0"/>
        <w:jc w:val="both"/>
        <w:rPr>
          <w:sz w:val="28"/>
          <w:szCs w:val="28"/>
          <w:lang w:val="es-ES_tradnl"/>
        </w:rPr>
      </w:pPr>
      <w:r w:rsidRPr="00AB4289">
        <w:rPr>
          <w:noProof/>
          <w:sz w:val="28"/>
          <w:szCs w:val="28"/>
          <w:lang w:eastAsia="es-CO"/>
        </w:rPr>
        <mc:AlternateContent>
          <mc:Choice Requires="wps">
            <w:drawing>
              <wp:anchor distT="0" distB="0" distL="114300" distR="114300" simplePos="0" relativeHeight="251669504" behindDoc="0" locked="0" layoutInCell="1" allowOverlap="1" wp14:anchorId="38BC2F91" wp14:editId="7CFDCEEC">
                <wp:simplePos x="0" y="0"/>
                <wp:positionH relativeFrom="column">
                  <wp:posOffset>1115739</wp:posOffset>
                </wp:positionH>
                <wp:positionV relativeFrom="paragraph">
                  <wp:posOffset>9131</wp:posOffset>
                </wp:positionV>
                <wp:extent cx="3543300" cy="358140"/>
                <wp:effectExtent l="0" t="0" r="12700" b="10160"/>
                <wp:wrapNone/>
                <wp:docPr id="1897854381" name="Cuadro de texto 15"/>
                <wp:cNvGraphicFramePr/>
                <a:graphic xmlns:a="http://schemas.openxmlformats.org/drawingml/2006/main">
                  <a:graphicData uri="http://schemas.microsoft.com/office/word/2010/wordprocessingShape">
                    <wps:wsp>
                      <wps:cNvSpPr txBox="1"/>
                      <wps:spPr>
                        <a:xfrm>
                          <a:off x="0" y="0"/>
                          <a:ext cx="3543300" cy="35814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0EC840F" w14:textId="12A5D06A" w:rsidR="00181141" w:rsidRDefault="00181141" w:rsidP="00181141">
                            <w:pPr>
                              <w:jc w:val="center"/>
                            </w:pPr>
                            <w:hyperlink r:id="rId9" w:history="1">
                              <w:r w:rsidRPr="00D36393">
                                <w:rPr>
                                  <w:rStyle w:val="Hipervnculo"/>
                                </w:rPr>
                                <w:t>https://www.ramajudicial.gov.co/mapa-transparencia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BC2F91" id="Cuadro de texto 15" o:spid="_x0000_s1030" type="#_x0000_t202" style="position:absolute;left:0;text-align:left;margin-left:87.85pt;margin-top:.7pt;width:279pt;height:28.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" fillcolor="white [3201]" strokecolor="#4472c4 [3204]" strokeweight="1pt">
                <v:textbox>
                  <w:txbxContent>
                    <w:p w14:paraId="20EC840F" w14:textId="12A5D06A" w:rsidR="00181141" w:rsidRDefault="00181141" w:rsidP="00181141">
                      <w:pPr>
                        <w:jc w:val="center"/>
                      </w:pPr>
                      <w:hyperlink r:id="rId10" w:history="1">
                        <w:r w:rsidRPr="00D36393">
                          <w:rPr>
                            <w:rStyle w:val="Hipervnculo"/>
                          </w:rPr>
                          <w:t>https://www.ramajudicial.gov.co/mapa-transparencia</w:t>
                        </w:r>
                      </w:hyperlink>
                    </w:p>
                  </w:txbxContent>
                </v:textbox>
              </v:shape>
            </w:pict>
          </mc:Fallback>
        </mc:AlternateContent>
      </w:r>
    </w:p>
    <w:p w14:paraId="52768D5C" w14:textId="77777777" w:rsidR="00181141" w:rsidRPr="00AB4289" w:rsidRDefault="00181141" w:rsidP="00B40BE5">
      <w:pPr>
        <w:pStyle w:val="NormalWeb"/>
        <w:shd w:val="clear" w:color="auto" w:fill="FFFFFF"/>
        <w:spacing w:before="0" w:beforeAutospacing="0" w:after="0" w:afterAutospacing="0"/>
        <w:jc w:val="both"/>
        <w:rPr>
          <w:sz w:val="28"/>
          <w:szCs w:val="28"/>
          <w:lang w:val="es-ES_tradnl"/>
        </w:rPr>
      </w:pPr>
    </w:p>
    <w:p w14:paraId="449EC72B" w14:textId="05E3F959" w:rsidR="00D74990" w:rsidRPr="00AB4289" w:rsidRDefault="00D803B8" w:rsidP="00B40BE5">
      <w:pPr>
        <w:pStyle w:val="NormalWeb"/>
        <w:numPr>
          <w:ilvl w:val="0"/>
          <w:numId w:val="2"/>
        </w:numPr>
        <w:shd w:val="clear" w:color="auto" w:fill="FFFFFF"/>
        <w:spacing w:before="0" w:beforeAutospacing="0" w:after="0" w:afterAutospacing="0"/>
        <w:ind w:left="0" w:firstLine="0"/>
        <w:jc w:val="both"/>
        <w:rPr>
          <w:sz w:val="28"/>
          <w:szCs w:val="28"/>
          <w:lang w:val="es-ES_tradnl"/>
        </w:rPr>
      </w:pPr>
      <w:r w:rsidRPr="00AB4289">
        <w:rPr>
          <w:sz w:val="28"/>
          <w:szCs w:val="28"/>
          <w:lang w:val="es-ES_tradnl"/>
        </w:rPr>
        <w:t>Esta obligación</w:t>
      </w:r>
      <w:r w:rsidR="00BC0665" w:rsidRPr="00AB4289">
        <w:rPr>
          <w:sz w:val="28"/>
          <w:szCs w:val="28"/>
          <w:lang w:val="es-ES_tradnl"/>
        </w:rPr>
        <w:t xml:space="preserve"> también</w:t>
      </w:r>
      <w:r w:rsidRPr="00AB4289">
        <w:rPr>
          <w:sz w:val="28"/>
          <w:szCs w:val="28"/>
          <w:lang w:val="es-ES_tradnl"/>
        </w:rPr>
        <w:t xml:space="preserve"> se </w:t>
      </w:r>
      <w:r w:rsidR="00414978" w:rsidRPr="00AB4289">
        <w:rPr>
          <w:sz w:val="28"/>
          <w:szCs w:val="28"/>
          <w:lang w:val="es-ES_tradnl"/>
        </w:rPr>
        <w:t>reglamentó mediante</w:t>
      </w:r>
      <w:r w:rsidRPr="00AB4289">
        <w:rPr>
          <w:sz w:val="28"/>
          <w:szCs w:val="28"/>
          <w:lang w:val="es-ES_tradnl"/>
        </w:rPr>
        <w:t xml:space="preserve"> el Decreto 83</w:t>
      </w:r>
      <w:r w:rsidR="00E965EB" w:rsidRPr="00AB4289">
        <w:rPr>
          <w:sz w:val="28"/>
          <w:szCs w:val="28"/>
          <w:lang w:val="es-ES_tradnl"/>
        </w:rPr>
        <w:t>0</w:t>
      </w:r>
      <w:r w:rsidRPr="00AB4289">
        <w:rPr>
          <w:sz w:val="28"/>
          <w:szCs w:val="28"/>
          <w:lang w:val="es-ES_tradnl"/>
        </w:rPr>
        <w:t xml:space="preserve"> de 2021</w:t>
      </w:r>
      <w:r w:rsidR="00722350" w:rsidRPr="00AB4289">
        <w:rPr>
          <w:vertAlign w:val="superscript"/>
          <w:lang w:val="es-ES_tradnl"/>
        </w:rPr>
        <w:footnoteReference w:id="105"/>
      </w:r>
      <w:r w:rsidR="00181141" w:rsidRPr="00AB4289">
        <w:rPr>
          <w:sz w:val="28"/>
          <w:szCs w:val="28"/>
          <w:lang w:val="es-ES_tradnl"/>
        </w:rPr>
        <w:t>, que estableció</w:t>
      </w:r>
      <w:r w:rsidR="009B5489" w:rsidRPr="00AB4289">
        <w:rPr>
          <w:sz w:val="28"/>
          <w:szCs w:val="28"/>
          <w:lang w:val="es-ES_tradnl"/>
        </w:rPr>
        <w:t>, por un lado, que los magistrados de las Altas Cortes son personas expuestas políticamente y, por el otro</w:t>
      </w:r>
      <w:r w:rsidR="00306CB4" w:rsidRPr="00AB4289">
        <w:rPr>
          <w:sz w:val="28"/>
          <w:szCs w:val="28"/>
          <w:lang w:val="es-ES_tradnl"/>
        </w:rPr>
        <w:t>,</w:t>
      </w:r>
      <w:r w:rsidR="00BF41F0" w:rsidRPr="00AB4289">
        <w:rPr>
          <w:sz w:val="28"/>
          <w:szCs w:val="28"/>
          <w:lang w:val="es-ES_tradnl"/>
        </w:rPr>
        <w:t xml:space="preserve"> que el Departamento </w:t>
      </w:r>
      <w:r w:rsidR="00BF41F0" w:rsidRPr="00AB4289">
        <w:rPr>
          <w:sz w:val="28"/>
          <w:szCs w:val="28"/>
          <w:lang w:val="es-ES_tradnl"/>
        </w:rPr>
        <w:lastRenderedPageBreak/>
        <w:t>Administrativo de la Función Pública</w:t>
      </w:r>
      <w:r w:rsidR="007C5CD4" w:rsidRPr="00AB4289">
        <w:rPr>
          <w:sz w:val="28"/>
          <w:szCs w:val="28"/>
          <w:lang w:val="es-ES_tradnl"/>
        </w:rPr>
        <w:t xml:space="preserve"> </w:t>
      </w:r>
      <w:r w:rsidR="00BF41F0" w:rsidRPr="00AB4289">
        <w:rPr>
          <w:sz w:val="28"/>
          <w:szCs w:val="28"/>
          <w:lang w:val="es-ES_tradnl"/>
        </w:rPr>
        <w:t>deb</w:t>
      </w:r>
      <w:r w:rsidR="003D0E60" w:rsidRPr="00AB4289">
        <w:rPr>
          <w:sz w:val="28"/>
          <w:szCs w:val="28"/>
          <w:lang w:val="es-ES_tradnl"/>
        </w:rPr>
        <w:t>e</w:t>
      </w:r>
      <w:r w:rsidR="00BF41F0" w:rsidRPr="00AB4289">
        <w:rPr>
          <w:sz w:val="28"/>
          <w:szCs w:val="28"/>
          <w:lang w:val="es-ES_tradnl"/>
        </w:rPr>
        <w:t xml:space="preserve"> crear, actualizar, y permitir la consulta pública de</w:t>
      </w:r>
      <w:r w:rsidR="00BD0F30" w:rsidRPr="00AB4289">
        <w:rPr>
          <w:sz w:val="28"/>
          <w:szCs w:val="28"/>
          <w:lang w:val="es-ES_tradnl"/>
        </w:rPr>
        <w:t xml:space="preserve"> las declaraciones</w:t>
      </w:r>
      <w:r w:rsidR="003D0E60" w:rsidRPr="00AB4289">
        <w:rPr>
          <w:sz w:val="28"/>
          <w:szCs w:val="28"/>
          <w:lang w:val="es-ES_tradnl"/>
        </w:rPr>
        <w:t xml:space="preserve"> de bienes</w:t>
      </w:r>
      <w:r w:rsidR="00A645CA" w:rsidRPr="00AB4289">
        <w:rPr>
          <w:sz w:val="28"/>
          <w:szCs w:val="28"/>
          <w:lang w:val="es-ES_tradnl"/>
        </w:rPr>
        <w:t xml:space="preserve">, </w:t>
      </w:r>
      <w:r w:rsidR="00B24737" w:rsidRPr="00AB4289">
        <w:rPr>
          <w:sz w:val="28"/>
          <w:szCs w:val="28"/>
          <w:lang w:val="es-ES_tradnl"/>
        </w:rPr>
        <w:t xml:space="preserve">los registros de </w:t>
      </w:r>
      <w:r w:rsidR="00A645CA" w:rsidRPr="00AB4289">
        <w:rPr>
          <w:sz w:val="28"/>
          <w:szCs w:val="28"/>
          <w:lang w:val="es-ES_tradnl"/>
        </w:rPr>
        <w:t xml:space="preserve">los conflictos de interés y las declaraciones del impuesto </w:t>
      </w:r>
      <w:r w:rsidR="00D52DEB" w:rsidRPr="00AB4289">
        <w:rPr>
          <w:sz w:val="28"/>
          <w:szCs w:val="28"/>
          <w:lang w:val="es-ES_tradnl"/>
        </w:rPr>
        <w:t>sobre la</w:t>
      </w:r>
      <w:r w:rsidR="00A645CA" w:rsidRPr="00AB4289">
        <w:rPr>
          <w:sz w:val="28"/>
          <w:szCs w:val="28"/>
          <w:lang w:val="es-ES_tradnl"/>
        </w:rPr>
        <w:t xml:space="preserve"> renta</w:t>
      </w:r>
      <w:r w:rsidR="00BD0F30" w:rsidRPr="00AB4289">
        <w:rPr>
          <w:sz w:val="28"/>
          <w:szCs w:val="28"/>
          <w:lang w:val="es-ES_tradnl"/>
        </w:rPr>
        <w:t xml:space="preserve"> de</w:t>
      </w:r>
      <w:r w:rsidR="00A645CA" w:rsidRPr="00AB4289">
        <w:rPr>
          <w:sz w:val="28"/>
          <w:szCs w:val="28"/>
          <w:lang w:val="es-ES_tradnl"/>
        </w:rPr>
        <w:t xml:space="preserve"> l</w:t>
      </w:r>
      <w:r w:rsidR="00A866B5" w:rsidRPr="00AB4289">
        <w:rPr>
          <w:sz w:val="28"/>
          <w:szCs w:val="28"/>
          <w:lang w:val="es-ES_tradnl"/>
        </w:rPr>
        <w:t>os altos funcionarios públicos</w:t>
      </w:r>
      <w:r w:rsidR="00722350" w:rsidRPr="00AB4289">
        <w:rPr>
          <w:vertAlign w:val="superscript"/>
          <w:lang w:val="es-ES_tradnl"/>
        </w:rPr>
        <w:footnoteReference w:id="106"/>
      </w:r>
      <w:r w:rsidR="00BF41F0" w:rsidRPr="00AB4289">
        <w:rPr>
          <w:sz w:val="28"/>
          <w:szCs w:val="28"/>
          <w:lang w:val="es-ES_tradnl"/>
        </w:rPr>
        <w:t>. En atención a estas obligaci</w:t>
      </w:r>
      <w:r w:rsidR="00414978" w:rsidRPr="00AB4289">
        <w:rPr>
          <w:sz w:val="28"/>
          <w:szCs w:val="28"/>
          <w:lang w:val="es-ES_tradnl"/>
        </w:rPr>
        <w:t>ones</w:t>
      </w:r>
      <w:r w:rsidR="003D0E60" w:rsidRPr="00AB4289">
        <w:rPr>
          <w:sz w:val="28"/>
          <w:szCs w:val="28"/>
          <w:lang w:val="es-ES_tradnl"/>
        </w:rPr>
        <w:t>,</w:t>
      </w:r>
      <w:r w:rsidR="00BF41F0" w:rsidRPr="00AB4289">
        <w:rPr>
          <w:sz w:val="28"/>
          <w:szCs w:val="28"/>
          <w:lang w:val="es-ES_tradnl"/>
        </w:rPr>
        <w:t xml:space="preserve"> </w:t>
      </w:r>
      <w:r w:rsidR="007C5CD4" w:rsidRPr="00AB4289">
        <w:rPr>
          <w:sz w:val="28"/>
          <w:szCs w:val="28"/>
          <w:lang w:val="es-ES_tradnl"/>
        </w:rPr>
        <w:t xml:space="preserve">ese departamento administrativo </w:t>
      </w:r>
      <w:r w:rsidR="00BF41F0" w:rsidRPr="00AB4289">
        <w:rPr>
          <w:sz w:val="28"/>
          <w:szCs w:val="28"/>
          <w:lang w:val="es-ES_tradnl"/>
        </w:rPr>
        <w:t>puso a disposición de la ciudadanía el “Aplicativo por la Integridad Pública Consulta Ciudadana”</w:t>
      </w:r>
      <w:r w:rsidR="00414978" w:rsidRPr="00AB4289">
        <w:rPr>
          <w:sz w:val="28"/>
          <w:szCs w:val="28"/>
          <w:lang w:val="es-ES_tradnl"/>
        </w:rPr>
        <w:t xml:space="preserve">. Así, en principio, a través del </w:t>
      </w:r>
      <w:r w:rsidR="00D74990" w:rsidRPr="00AB4289">
        <w:rPr>
          <w:sz w:val="28"/>
          <w:szCs w:val="28"/>
          <w:lang w:val="es-ES_tradnl"/>
        </w:rPr>
        <w:t xml:space="preserve">siguiente </w:t>
      </w:r>
      <w:r w:rsidR="00B73D2D" w:rsidRPr="00AB4289">
        <w:rPr>
          <w:sz w:val="28"/>
          <w:szCs w:val="28"/>
          <w:lang w:val="es-ES_tradnl"/>
        </w:rPr>
        <w:t>enlace,</w:t>
      </w:r>
      <w:r w:rsidR="00D74990" w:rsidRPr="00AB4289">
        <w:rPr>
          <w:sz w:val="28"/>
          <w:szCs w:val="28"/>
          <w:lang w:val="es-ES_tradnl"/>
        </w:rPr>
        <w:t xml:space="preserve"> cualquier persona puede ver e identificar l</w:t>
      </w:r>
      <w:r w:rsidR="00414978" w:rsidRPr="00AB4289">
        <w:rPr>
          <w:sz w:val="28"/>
          <w:szCs w:val="28"/>
          <w:lang w:val="es-ES_tradnl"/>
        </w:rPr>
        <w:t>as declaraciones</w:t>
      </w:r>
      <w:r w:rsidR="00B24737" w:rsidRPr="00AB4289">
        <w:rPr>
          <w:sz w:val="28"/>
          <w:szCs w:val="28"/>
          <w:lang w:val="es-ES_tradnl"/>
        </w:rPr>
        <w:t xml:space="preserve"> y regi</w:t>
      </w:r>
      <w:r w:rsidR="00D52DEB" w:rsidRPr="00AB4289">
        <w:rPr>
          <w:sz w:val="28"/>
          <w:szCs w:val="28"/>
          <w:lang w:val="es-ES_tradnl"/>
        </w:rPr>
        <w:t>s</w:t>
      </w:r>
      <w:r w:rsidR="00B24737" w:rsidRPr="00AB4289">
        <w:rPr>
          <w:sz w:val="28"/>
          <w:szCs w:val="28"/>
          <w:lang w:val="es-ES_tradnl"/>
        </w:rPr>
        <w:t>tros</w:t>
      </w:r>
      <w:r w:rsidR="00414978" w:rsidRPr="00AB4289">
        <w:rPr>
          <w:sz w:val="28"/>
          <w:szCs w:val="28"/>
          <w:lang w:val="es-ES_tradnl"/>
        </w:rPr>
        <w:t xml:space="preserve"> actualizad</w:t>
      </w:r>
      <w:r w:rsidR="00B24737" w:rsidRPr="00AB4289">
        <w:rPr>
          <w:sz w:val="28"/>
          <w:szCs w:val="28"/>
          <w:lang w:val="es-ES_tradnl"/>
        </w:rPr>
        <w:t>o</w:t>
      </w:r>
      <w:r w:rsidR="00414978" w:rsidRPr="00AB4289">
        <w:rPr>
          <w:sz w:val="28"/>
          <w:szCs w:val="28"/>
          <w:lang w:val="es-ES_tradnl"/>
        </w:rPr>
        <w:t>s de</w:t>
      </w:r>
      <w:r w:rsidR="00D74990" w:rsidRPr="00AB4289">
        <w:rPr>
          <w:sz w:val="28"/>
          <w:szCs w:val="28"/>
          <w:lang w:val="es-ES_tradnl"/>
        </w:rPr>
        <w:t xml:space="preserve"> las personas obligadas a </w:t>
      </w:r>
      <w:r w:rsidR="00A01D36" w:rsidRPr="00AB4289">
        <w:rPr>
          <w:sz w:val="28"/>
          <w:szCs w:val="28"/>
          <w:lang w:val="es-ES_tradnl"/>
        </w:rPr>
        <w:t xml:space="preserve">publicar la información: </w:t>
      </w:r>
    </w:p>
    <w:p w14:paraId="123C55D8" w14:textId="796B62C4" w:rsidR="00D74990" w:rsidRPr="00AB4289" w:rsidRDefault="00D74990" w:rsidP="00B40BE5">
      <w:pPr>
        <w:autoSpaceDE w:val="0"/>
        <w:autoSpaceDN w:val="0"/>
        <w:adjustRightInd w:val="0"/>
        <w:jc w:val="both"/>
        <w:rPr>
          <w:rStyle w:val="normaltextrun"/>
          <w:rFonts w:eastAsiaTheme="majorEastAsia"/>
          <w:color w:val="000000"/>
          <w:lang w:val="es-ES_tradnl"/>
        </w:rPr>
      </w:pPr>
    </w:p>
    <w:p w14:paraId="1FAD0093" w14:textId="24CC3BE5" w:rsidR="005756FA" w:rsidRPr="00AB4289" w:rsidRDefault="005756FA" w:rsidP="00B40BE5">
      <w:pPr>
        <w:autoSpaceDE w:val="0"/>
        <w:autoSpaceDN w:val="0"/>
        <w:adjustRightInd w:val="0"/>
        <w:jc w:val="both"/>
        <w:rPr>
          <w:rStyle w:val="normaltextrun"/>
          <w:rFonts w:eastAsiaTheme="majorEastAsia"/>
          <w:color w:val="000000"/>
          <w:lang w:val="es-ES_tradnl"/>
        </w:rPr>
      </w:pPr>
    </w:p>
    <w:p w14:paraId="207B5A8D" w14:textId="4A22808E" w:rsidR="00722350" w:rsidRPr="00AB4289" w:rsidRDefault="004508E9" w:rsidP="00B40BE5">
      <w:pPr>
        <w:autoSpaceDE w:val="0"/>
        <w:autoSpaceDN w:val="0"/>
        <w:adjustRightInd w:val="0"/>
        <w:jc w:val="center"/>
        <w:rPr>
          <w:rStyle w:val="normaltextrun"/>
          <w:rFonts w:eastAsiaTheme="majorEastAsia"/>
          <w:color w:val="2E74B5" w:themeColor="accent5" w:themeShade="BF"/>
          <w:u w:val="single"/>
          <w:lang w:val="es-ES_tradnl"/>
        </w:rPr>
      </w:pPr>
      <w:r w:rsidRPr="00AB4289">
        <w:rPr>
          <w:rFonts w:eastAsiaTheme="majorEastAsia"/>
          <w:noProof/>
          <w:color w:val="000000"/>
          <w:lang w:eastAsia="es-CO"/>
        </w:rPr>
        <mc:AlternateContent>
          <mc:Choice Requires="wps">
            <w:drawing>
              <wp:anchor distT="0" distB="0" distL="114300" distR="114300" simplePos="0" relativeHeight="251658239" behindDoc="1" locked="0" layoutInCell="1" allowOverlap="1" wp14:anchorId="76D7E80B" wp14:editId="6D62DA1C">
                <wp:simplePos x="0" y="0"/>
                <wp:positionH relativeFrom="column">
                  <wp:posOffset>699649</wp:posOffset>
                </wp:positionH>
                <wp:positionV relativeFrom="paragraph">
                  <wp:posOffset>-51800</wp:posOffset>
                </wp:positionV>
                <wp:extent cx="4206875" cy="398145"/>
                <wp:effectExtent l="0" t="0" r="9525" b="8255"/>
                <wp:wrapNone/>
                <wp:docPr id="2066463651" name="Rectángulo 2"/>
                <wp:cNvGraphicFramePr/>
                <a:graphic xmlns:a="http://schemas.openxmlformats.org/drawingml/2006/main">
                  <a:graphicData uri="http://schemas.microsoft.com/office/word/2010/wordprocessingShape">
                    <wps:wsp>
                      <wps:cNvSpPr/>
                      <wps:spPr>
                        <a:xfrm>
                          <a:off x="0" y="0"/>
                          <a:ext cx="4206875" cy="398145"/>
                        </a:xfrm>
                        <a:prstGeom prst="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4035E7" id="Rectángulo 2" o:spid="_x0000_s1026" style="position:absolute;margin-left:55.1pt;margin-top:-4.1pt;width:331.25pt;height:31.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" filled="f" strokecolor="#4472c4 [3204]" strokeweight="1pt"/>
            </w:pict>
          </mc:Fallback>
        </mc:AlternateContent>
      </w:r>
      <w:hyperlink r:id="rId11" w:history="1">
        <w:r w:rsidR="005756FA" w:rsidRPr="00AB4289">
          <w:rPr>
            <w:rStyle w:val="Hipervnculo"/>
            <w:rFonts w:eastAsiaTheme="majorEastAsia"/>
            <w:color w:val="2E74B5" w:themeColor="accent5" w:themeShade="BF"/>
            <w:lang w:val="es-ES_tradnl"/>
          </w:rPr>
          <w:t>https://www.funcionpublica.gov.co/fdci/consultaCiudadana/index</w:t>
        </w:r>
      </w:hyperlink>
    </w:p>
    <w:p w14:paraId="0C742E49" w14:textId="12D8F7F9" w:rsidR="005756FA" w:rsidRPr="00AB4289" w:rsidRDefault="005756FA" w:rsidP="00B40BE5">
      <w:pPr>
        <w:autoSpaceDE w:val="0"/>
        <w:autoSpaceDN w:val="0"/>
        <w:adjustRightInd w:val="0"/>
        <w:jc w:val="both"/>
        <w:rPr>
          <w:rStyle w:val="normaltextrun"/>
          <w:rFonts w:eastAsiaTheme="majorEastAsia"/>
          <w:color w:val="000000"/>
          <w:lang w:val="es-ES_tradnl"/>
        </w:rPr>
      </w:pPr>
    </w:p>
    <w:p w14:paraId="6D8363DB" w14:textId="77777777" w:rsidR="00E30EBD" w:rsidRPr="00AB4289" w:rsidRDefault="00E30EBD" w:rsidP="00B40BE5">
      <w:pPr>
        <w:pStyle w:val="Prrafodelista"/>
        <w:autoSpaceDE w:val="0"/>
        <w:autoSpaceDN w:val="0"/>
        <w:adjustRightInd w:val="0"/>
        <w:ind w:left="0"/>
        <w:jc w:val="both"/>
        <w:rPr>
          <w:rFonts w:eastAsiaTheme="minorHAnsi"/>
          <w:sz w:val="28"/>
          <w:szCs w:val="28"/>
          <w:lang w:val="es-ES_tradnl" w:eastAsia="en-US"/>
        </w:rPr>
      </w:pPr>
    </w:p>
    <w:p w14:paraId="31C7248B" w14:textId="7AD134B9" w:rsidR="009F59F2" w:rsidRPr="00AB4289" w:rsidRDefault="00B24737" w:rsidP="00B40BE5">
      <w:pPr>
        <w:pStyle w:val="Prrafodelista"/>
        <w:numPr>
          <w:ilvl w:val="0"/>
          <w:numId w:val="2"/>
        </w:numPr>
        <w:autoSpaceDE w:val="0"/>
        <w:autoSpaceDN w:val="0"/>
        <w:adjustRightInd w:val="0"/>
        <w:ind w:left="0" w:firstLine="0"/>
        <w:jc w:val="both"/>
        <w:rPr>
          <w:sz w:val="28"/>
          <w:szCs w:val="28"/>
          <w:lang w:val="es-ES_tradnl"/>
        </w:rPr>
      </w:pPr>
      <w:r w:rsidRPr="00AB4289">
        <w:rPr>
          <w:rFonts w:eastAsiaTheme="minorHAnsi"/>
          <w:b/>
          <w:bCs/>
          <w:sz w:val="28"/>
          <w:szCs w:val="28"/>
          <w:lang w:val="es-ES_tradnl" w:eastAsia="en-US"/>
        </w:rPr>
        <w:t>Las hojas de vida y sus soportes.</w:t>
      </w:r>
      <w:r w:rsidRPr="00AB4289">
        <w:rPr>
          <w:rFonts w:eastAsiaTheme="minorHAnsi"/>
          <w:sz w:val="28"/>
          <w:szCs w:val="28"/>
          <w:lang w:val="es-ES_tradnl" w:eastAsia="en-US"/>
        </w:rPr>
        <w:t xml:space="preserve"> A</w:t>
      </w:r>
      <w:r w:rsidR="00B01608" w:rsidRPr="00AB4289">
        <w:rPr>
          <w:rFonts w:eastAsiaTheme="minorHAnsi"/>
          <w:sz w:val="28"/>
          <w:szCs w:val="28"/>
          <w:lang w:val="es-ES_tradnl" w:eastAsia="en-US"/>
        </w:rPr>
        <w:t xml:space="preserve">unque la Ley 2013 de 2019 sobre transparencia no se refirió al deber de declarar esta información, sí existen disposiciones </w:t>
      </w:r>
      <w:r w:rsidR="007C5CD4" w:rsidRPr="00AB4289">
        <w:rPr>
          <w:rFonts w:eastAsiaTheme="minorHAnsi"/>
          <w:sz w:val="28"/>
          <w:szCs w:val="28"/>
          <w:lang w:val="es-ES_tradnl" w:eastAsia="en-US"/>
        </w:rPr>
        <w:t xml:space="preserve">que consagran </w:t>
      </w:r>
      <w:r w:rsidR="00B01608" w:rsidRPr="00AB4289">
        <w:rPr>
          <w:rFonts w:eastAsiaTheme="minorHAnsi"/>
          <w:sz w:val="28"/>
          <w:szCs w:val="28"/>
          <w:lang w:val="es-ES_tradnl" w:eastAsia="en-US"/>
        </w:rPr>
        <w:t>el deber de publicar</w:t>
      </w:r>
      <w:r w:rsidR="00C73726" w:rsidRPr="00AB4289">
        <w:rPr>
          <w:rFonts w:eastAsiaTheme="minorHAnsi"/>
          <w:sz w:val="28"/>
          <w:szCs w:val="28"/>
          <w:lang w:val="es-ES_tradnl" w:eastAsia="en-US"/>
        </w:rPr>
        <w:t xml:space="preserve"> datos laborales y académicos</w:t>
      </w:r>
      <w:r w:rsidR="0046640C" w:rsidRPr="00AB4289">
        <w:rPr>
          <w:rFonts w:eastAsiaTheme="minorHAnsi"/>
          <w:sz w:val="28"/>
          <w:szCs w:val="28"/>
          <w:lang w:val="es-ES_tradnl" w:eastAsia="en-US"/>
        </w:rPr>
        <w:t xml:space="preserve"> de ciertas personas</w:t>
      </w:r>
      <w:r w:rsidR="00E30EBD" w:rsidRPr="00AB4289">
        <w:rPr>
          <w:rFonts w:eastAsiaTheme="minorHAnsi"/>
          <w:sz w:val="28"/>
          <w:szCs w:val="28"/>
          <w:lang w:val="es-ES_tradnl" w:eastAsia="en-US"/>
        </w:rPr>
        <w:t>.</w:t>
      </w:r>
      <w:r w:rsidR="00B601B1" w:rsidRPr="00AB4289">
        <w:rPr>
          <w:rFonts w:eastAsiaTheme="minorHAnsi"/>
          <w:sz w:val="28"/>
          <w:szCs w:val="28"/>
          <w:lang w:val="es-ES_tradnl" w:eastAsia="en-US"/>
        </w:rPr>
        <w:t xml:space="preserve"> Además, diferentes pronunciamientos de la Corte han determinado qué información</w:t>
      </w:r>
      <w:r w:rsidR="009F59F2" w:rsidRPr="00AB4289">
        <w:rPr>
          <w:rFonts w:eastAsiaTheme="minorHAnsi"/>
          <w:sz w:val="28"/>
          <w:szCs w:val="28"/>
          <w:lang w:val="es-ES_tradnl" w:eastAsia="en-US"/>
        </w:rPr>
        <w:t xml:space="preserve"> de </w:t>
      </w:r>
      <w:r w:rsidRPr="00AB4289">
        <w:rPr>
          <w:rFonts w:eastAsiaTheme="minorHAnsi"/>
          <w:sz w:val="28"/>
          <w:szCs w:val="28"/>
          <w:lang w:val="es-ES_tradnl" w:eastAsia="en-US"/>
        </w:rPr>
        <w:t xml:space="preserve">las hojas de vida </w:t>
      </w:r>
      <w:r w:rsidR="00B601B1" w:rsidRPr="00AB4289">
        <w:rPr>
          <w:rFonts w:eastAsiaTheme="minorHAnsi"/>
          <w:sz w:val="28"/>
          <w:szCs w:val="28"/>
          <w:lang w:val="es-ES_tradnl" w:eastAsia="en-US"/>
        </w:rPr>
        <w:t xml:space="preserve">puede ser pública, y sobre cual recae una reserva. </w:t>
      </w:r>
      <w:r w:rsidR="00E30EBD" w:rsidRPr="00AB4289">
        <w:rPr>
          <w:rFonts w:eastAsiaTheme="minorHAnsi"/>
          <w:sz w:val="28"/>
          <w:szCs w:val="28"/>
          <w:lang w:val="es-ES_tradnl" w:eastAsia="en-US"/>
        </w:rPr>
        <w:t xml:space="preserve"> </w:t>
      </w:r>
    </w:p>
    <w:p w14:paraId="3FD1C509" w14:textId="77777777" w:rsidR="009F59F2" w:rsidRPr="00AB4289" w:rsidRDefault="009F59F2" w:rsidP="00B40BE5">
      <w:pPr>
        <w:pStyle w:val="Prrafodelista"/>
        <w:jc w:val="both"/>
        <w:rPr>
          <w:rFonts w:eastAsiaTheme="minorHAnsi"/>
          <w:sz w:val="28"/>
          <w:szCs w:val="28"/>
          <w:lang w:val="es-ES_tradnl" w:eastAsia="en-US"/>
        </w:rPr>
      </w:pPr>
    </w:p>
    <w:p w14:paraId="52B781FB" w14:textId="0873AB29" w:rsidR="00B01608" w:rsidRPr="00AB4289" w:rsidRDefault="00B601B1" w:rsidP="00B40BE5">
      <w:pPr>
        <w:pStyle w:val="Prrafodelista"/>
        <w:numPr>
          <w:ilvl w:val="0"/>
          <w:numId w:val="2"/>
        </w:numPr>
        <w:autoSpaceDE w:val="0"/>
        <w:autoSpaceDN w:val="0"/>
        <w:adjustRightInd w:val="0"/>
        <w:ind w:left="0" w:firstLine="0"/>
        <w:jc w:val="both"/>
        <w:rPr>
          <w:sz w:val="28"/>
          <w:szCs w:val="28"/>
          <w:lang w:val="es-ES_tradnl"/>
        </w:rPr>
      </w:pPr>
      <w:r w:rsidRPr="00AB4289">
        <w:rPr>
          <w:rFonts w:eastAsiaTheme="minorHAnsi"/>
          <w:sz w:val="28"/>
          <w:szCs w:val="28"/>
          <w:lang w:val="es-ES_tradnl" w:eastAsia="en-US"/>
        </w:rPr>
        <w:t xml:space="preserve">En efecto, </w:t>
      </w:r>
      <w:r w:rsidR="00B24737" w:rsidRPr="00AB4289">
        <w:rPr>
          <w:rFonts w:eastAsiaTheme="minorHAnsi"/>
          <w:sz w:val="28"/>
          <w:szCs w:val="28"/>
          <w:lang w:val="es-ES_tradnl" w:eastAsia="en-US"/>
        </w:rPr>
        <w:t xml:space="preserve">como se explicó previamente, </w:t>
      </w:r>
      <w:r w:rsidRPr="00AB4289">
        <w:rPr>
          <w:rFonts w:eastAsiaTheme="minorHAnsi"/>
          <w:sz w:val="28"/>
          <w:szCs w:val="28"/>
          <w:lang w:val="es-ES_tradnl" w:eastAsia="en-US"/>
        </w:rPr>
        <w:t>e</w:t>
      </w:r>
      <w:r w:rsidR="00E30EBD" w:rsidRPr="00AB4289">
        <w:rPr>
          <w:rFonts w:eastAsiaTheme="minorHAnsi"/>
          <w:sz w:val="28"/>
          <w:szCs w:val="28"/>
          <w:lang w:val="es-ES_tradnl" w:eastAsia="en-US"/>
        </w:rPr>
        <w:t>l artículo</w:t>
      </w:r>
      <w:r w:rsidR="00B01608" w:rsidRPr="00AB4289">
        <w:rPr>
          <w:rFonts w:eastAsiaTheme="minorHAnsi"/>
          <w:sz w:val="28"/>
          <w:szCs w:val="28"/>
          <w:lang w:val="es-ES_tradnl" w:eastAsia="en-US"/>
        </w:rPr>
        <w:t xml:space="preserve"> 9</w:t>
      </w:r>
      <w:r w:rsidR="00B01608" w:rsidRPr="00AB4289">
        <w:rPr>
          <w:rStyle w:val="Refdenotaalpie"/>
          <w:rFonts w:eastAsiaTheme="minorHAnsi" w:cs="Times New Roman"/>
          <w:sz w:val="28"/>
          <w:szCs w:val="28"/>
          <w:lang w:val="es-ES_tradnl" w:eastAsia="en-US"/>
        </w:rPr>
        <w:footnoteReference w:id="107"/>
      </w:r>
      <w:r w:rsidR="00E30EBD" w:rsidRPr="00AB4289">
        <w:rPr>
          <w:rFonts w:eastAsiaTheme="minorHAnsi"/>
          <w:sz w:val="28"/>
          <w:szCs w:val="28"/>
          <w:lang w:val="es-ES_tradnl" w:eastAsia="en-US"/>
        </w:rPr>
        <w:t xml:space="preserve"> de la Ley 1712 de 2014</w:t>
      </w:r>
      <w:r w:rsidR="0004011A" w:rsidRPr="00AB4289">
        <w:rPr>
          <w:rFonts w:eastAsiaTheme="minorHAnsi"/>
          <w:sz w:val="28"/>
          <w:szCs w:val="28"/>
          <w:lang w:val="es-ES_tradnl" w:eastAsia="en-US"/>
        </w:rPr>
        <w:t xml:space="preserve"> establec</w:t>
      </w:r>
      <w:r w:rsidR="007C5CD4" w:rsidRPr="00AB4289">
        <w:rPr>
          <w:rFonts w:eastAsiaTheme="minorHAnsi"/>
          <w:sz w:val="28"/>
          <w:szCs w:val="28"/>
          <w:lang w:val="es-ES_tradnl" w:eastAsia="en-US"/>
        </w:rPr>
        <w:t>e</w:t>
      </w:r>
      <w:r w:rsidR="008B47CE" w:rsidRPr="00AB4289">
        <w:rPr>
          <w:rFonts w:eastAsiaTheme="minorHAnsi"/>
          <w:sz w:val="28"/>
          <w:szCs w:val="28"/>
          <w:lang w:val="es-ES_tradnl" w:eastAsia="en-US"/>
        </w:rPr>
        <w:t xml:space="preserve"> que los sujetos obligados</w:t>
      </w:r>
      <w:r w:rsidRPr="00AB4289">
        <w:rPr>
          <w:rFonts w:eastAsiaTheme="minorHAnsi"/>
          <w:sz w:val="28"/>
          <w:szCs w:val="28"/>
          <w:lang w:val="es-ES_tradnl" w:eastAsia="en-US"/>
        </w:rPr>
        <w:t xml:space="preserve"> (</w:t>
      </w:r>
      <w:r w:rsidR="009F59F2" w:rsidRPr="00AB4289">
        <w:rPr>
          <w:rFonts w:eastAsiaTheme="minorHAnsi"/>
          <w:sz w:val="28"/>
          <w:szCs w:val="28"/>
          <w:lang w:val="es-ES_tradnl" w:eastAsia="en-US"/>
        </w:rPr>
        <w:t>entidades públicas, órganos de control, personas que presten función o servicios públicos, etc</w:t>
      </w:r>
      <w:r w:rsidR="004C4E5B" w:rsidRPr="00AB4289">
        <w:rPr>
          <w:rFonts w:eastAsiaTheme="minorHAnsi"/>
          <w:sz w:val="28"/>
          <w:szCs w:val="28"/>
          <w:lang w:val="es-ES_tradnl" w:eastAsia="en-US"/>
        </w:rPr>
        <w:t>.</w:t>
      </w:r>
      <w:r w:rsidR="009F59F2" w:rsidRPr="00AB4289">
        <w:rPr>
          <w:rFonts w:eastAsiaTheme="minorHAnsi"/>
          <w:sz w:val="28"/>
          <w:szCs w:val="28"/>
          <w:lang w:val="es-ES_tradnl" w:eastAsia="en-US"/>
        </w:rPr>
        <w:t>)</w:t>
      </w:r>
      <w:r w:rsidR="00B01608" w:rsidRPr="00AB4289">
        <w:rPr>
          <w:rFonts w:eastAsiaTheme="minorHAnsi"/>
          <w:sz w:val="28"/>
          <w:szCs w:val="28"/>
          <w:lang w:val="es-ES_tradnl" w:eastAsia="en-US"/>
        </w:rPr>
        <w:t xml:space="preserve"> </w:t>
      </w:r>
      <w:r w:rsidR="00050974" w:rsidRPr="00AB4289">
        <w:rPr>
          <w:rFonts w:eastAsiaTheme="minorHAnsi"/>
          <w:sz w:val="28"/>
          <w:szCs w:val="28"/>
          <w:lang w:val="es-ES_tradnl" w:eastAsia="en-US"/>
        </w:rPr>
        <w:t xml:space="preserve">tienen el deber de publicar un directorio en el que </w:t>
      </w:r>
      <w:r w:rsidR="007A3223" w:rsidRPr="00AB4289">
        <w:rPr>
          <w:rFonts w:eastAsiaTheme="minorHAnsi"/>
          <w:sz w:val="28"/>
          <w:szCs w:val="28"/>
          <w:lang w:val="es-ES_tradnl" w:eastAsia="en-US"/>
        </w:rPr>
        <w:t>conste</w:t>
      </w:r>
      <w:r w:rsidR="006272DE" w:rsidRPr="00AB4289">
        <w:rPr>
          <w:rFonts w:eastAsiaTheme="minorHAnsi"/>
          <w:sz w:val="28"/>
          <w:szCs w:val="28"/>
          <w:lang w:val="es-ES_tradnl" w:eastAsia="en-US"/>
        </w:rPr>
        <w:t>, entre otros datos,</w:t>
      </w:r>
      <w:r w:rsidR="007A3223" w:rsidRPr="00AB4289">
        <w:rPr>
          <w:rFonts w:eastAsiaTheme="minorHAnsi"/>
          <w:sz w:val="28"/>
          <w:szCs w:val="28"/>
          <w:lang w:val="es-ES_tradnl" w:eastAsia="en-US"/>
        </w:rPr>
        <w:t xml:space="preserve"> </w:t>
      </w:r>
      <w:r w:rsidR="006272DE" w:rsidRPr="00AB4289">
        <w:rPr>
          <w:rFonts w:eastAsiaTheme="minorHAnsi"/>
          <w:sz w:val="28"/>
          <w:szCs w:val="28"/>
          <w:lang w:val="es-ES_tradnl" w:eastAsia="en-US"/>
        </w:rPr>
        <w:t>la formación académica y</w:t>
      </w:r>
      <w:r w:rsidR="00B24737" w:rsidRPr="00AB4289">
        <w:rPr>
          <w:rFonts w:eastAsiaTheme="minorHAnsi"/>
          <w:sz w:val="28"/>
          <w:szCs w:val="28"/>
          <w:lang w:val="es-ES_tradnl" w:eastAsia="en-US"/>
        </w:rPr>
        <w:t xml:space="preserve"> la experiencia laboral</w:t>
      </w:r>
      <w:r w:rsidR="006272DE" w:rsidRPr="00AB4289">
        <w:rPr>
          <w:rFonts w:eastAsiaTheme="minorHAnsi"/>
          <w:sz w:val="28"/>
          <w:szCs w:val="28"/>
          <w:lang w:val="es-ES_tradnl" w:eastAsia="en-US"/>
        </w:rPr>
        <w:t xml:space="preserve"> y profesional</w:t>
      </w:r>
      <w:r w:rsidR="00B24737" w:rsidRPr="00AB4289">
        <w:rPr>
          <w:rFonts w:eastAsiaTheme="minorHAnsi"/>
          <w:sz w:val="28"/>
          <w:szCs w:val="28"/>
          <w:lang w:val="es-ES_tradnl" w:eastAsia="en-US"/>
        </w:rPr>
        <w:t xml:space="preserve"> </w:t>
      </w:r>
      <w:r w:rsidR="00050974" w:rsidRPr="00AB4289">
        <w:rPr>
          <w:rFonts w:eastAsiaTheme="minorHAnsi"/>
          <w:sz w:val="28"/>
          <w:szCs w:val="28"/>
          <w:lang w:val="es-ES_tradnl" w:eastAsia="en-US"/>
        </w:rPr>
        <w:t>de sus empleados</w:t>
      </w:r>
      <w:r w:rsidR="00B24737" w:rsidRPr="00AB4289">
        <w:rPr>
          <w:rFonts w:eastAsiaTheme="minorHAnsi"/>
          <w:sz w:val="28"/>
          <w:szCs w:val="28"/>
          <w:lang w:val="es-ES_tradnl" w:eastAsia="en-US"/>
        </w:rPr>
        <w:t>,</w:t>
      </w:r>
      <w:r w:rsidR="007C5CD4" w:rsidRPr="00AB4289">
        <w:rPr>
          <w:rFonts w:eastAsiaTheme="minorHAnsi"/>
          <w:sz w:val="28"/>
          <w:szCs w:val="28"/>
          <w:lang w:val="es-ES_tradnl" w:eastAsia="en-US"/>
        </w:rPr>
        <w:t xml:space="preserve"> funcionarios</w:t>
      </w:r>
      <w:r w:rsidR="00B24737" w:rsidRPr="00AB4289">
        <w:rPr>
          <w:rFonts w:eastAsiaTheme="minorHAnsi"/>
          <w:sz w:val="28"/>
          <w:szCs w:val="28"/>
          <w:lang w:val="es-ES_tradnl" w:eastAsia="en-US"/>
        </w:rPr>
        <w:t xml:space="preserve"> y contratistas</w:t>
      </w:r>
      <w:r w:rsidR="00247B84" w:rsidRPr="00AB4289">
        <w:rPr>
          <w:rStyle w:val="Refdenotaalpie"/>
          <w:rFonts w:eastAsiaTheme="minorHAnsi" w:cs="Times New Roman"/>
          <w:sz w:val="28"/>
          <w:szCs w:val="28"/>
          <w:lang w:val="es-ES_tradnl" w:eastAsia="en-US"/>
        </w:rPr>
        <w:footnoteReference w:id="108"/>
      </w:r>
      <w:r w:rsidR="00050974" w:rsidRPr="00AB4289">
        <w:rPr>
          <w:rFonts w:eastAsiaTheme="minorHAnsi"/>
          <w:sz w:val="28"/>
          <w:szCs w:val="28"/>
          <w:lang w:val="es-ES_tradnl" w:eastAsia="en-US"/>
        </w:rPr>
        <w:t>.</w:t>
      </w:r>
      <w:r w:rsidR="00C73726" w:rsidRPr="00AB4289">
        <w:rPr>
          <w:rFonts w:eastAsiaTheme="minorHAnsi"/>
          <w:sz w:val="28"/>
          <w:szCs w:val="28"/>
          <w:lang w:val="es-ES_tradnl" w:eastAsia="en-US"/>
        </w:rPr>
        <w:t xml:space="preserve"> </w:t>
      </w:r>
      <w:r w:rsidR="007C5CD4" w:rsidRPr="00AB4289">
        <w:rPr>
          <w:rFonts w:eastAsiaTheme="minorHAnsi"/>
          <w:sz w:val="28"/>
          <w:szCs w:val="28"/>
          <w:lang w:val="es-ES_tradnl" w:eastAsia="en-US"/>
        </w:rPr>
        <w:t xml:space="preserve">El artículo también precisa </w:t>
      </w:r>
      <w:r w:rsidR="00C73726" w:rsidRPr="00AB4289">
        <w:rPr>
          <w:rFonts w:eastAsiaTheme="minorHAnsi"/>
          <w:sz w:val="28"/>
          <w:szCs w:val="28"/>
          <w:lang w:val="es-ES_tradnl" w:eastAsia="en-US"/>
        </w:rPr>
        <w:t>que</w:t>
      </w:r>
      <w:r w:rsidR="006272DE" w:rsidRPr="00AB4289">
        <w:rPr>
          <w:rFonts w:eastAsiaTheme="minorHAnsi"/>
          <w:sz w:val="28"/>
          <w:szCs w:val="28"/>
          <w:lang w:val="es-ES_tradnl" w:eastAsia="en-US"/>
        </w:rPr>
        <w:t>, en dicha publicación, es</w:t>
      </w:r>
      <w:r w:rsidR="007C5CD4" w:rsidRPr="00AB4289">
        <w:rPr>
          <w:rFonts w:eastAsiaTheme="minorHAnsi"/>
          <w:sz w:val="28"/>
          <w:szCs w:val="28"/>
          <w:lang w:val="es-ES_tradnl" w:eastAsia="en-US"/>
        </w:rPr>
        <w:t xml:space="preserve"> necesario</w:t>
      </w:r>
      <w:r w:rsidR="00C73726" w:rsidRPr="00AB4289">
        <w:rPr>
          <w:rFonts w:eastAsiaTheme="minorHAnsi"/>
          <w:sz w:val="28"/>
          <w:szCs w:val="28"/>
          <w:lang w:val="es-ES_tradnl" w:eastAsia="en-US"/>
        </w:rPr>
        <w:t xml:space="preserve"> omitir cualquier información que afecte la privacidad y el buen nombre de estas personas. </w:t>
      </w:r>
    </w:p>
    <w:p w14:paraId="7B786A6A" w14:textId="77777777" w:rsidR="007A21A2" w:rsidRPr="00AB4289" w:rsidRDefault="007A21A2" w:rsidP="00B40BE5">
      <w:pPr>
        <w:pStyle w:val="Prrafodelista"/>
        <w:jc w:val="both"/>
        <w:rPr>
          <w:sz w:val="28"/>
          <w:szCs w:val="28"/>
          <w:lang w:val="es-ES_tradnl"/>
        </w:rPr>
      </w:pPr>
    </w:p>
    <w:p w14:paraId="0AC67B64" w14:textId="5C5E2ECD" w:rsidR="007A21A2" w:rsidRPr="00AB4289" w:rsidRDefault="007A21A2" w:rsidP="00B40BE5">
      <w:pPr>
        <w:pStyle w:val="Prrafodelista"/>
        <w:numPr>
          <w:ilvl w:val="0"/>
          <w:numId w:val="2"/>
        </w:numPr>
        <w:autoSpaceDE w:val="0"/>
        <w:autoSpaceDN w:val="0"/>
        <w:adjustRightInd w:val="0"/>
        <w:ind w:left="0" w:firstLine="0"/>
        <w:jc w:val="both"/>
        <w:rPr>
          <w:sz w:val="28"/>
          <w:szCs w:val="28"/>
          <w:lang w:val="es-ES_tradnl"/>
        </w:rPr>
      </w:pPr>
      <w:r w:rsidRPr="00AB4289">
        <w:rPr>
          <w:sz w:val="28"/>
          <w:szCs w:val="28"/>
          <w:lang w:val="es-ES_tradnl"/>
        </w:rPr>
        <w:t>En e</w:t>
      </w:r>
      <w:r w:rsidR="00B24737" w:rsidRPr="00AB4289">
        <w:rPr>
          <w:sz w:val="28"/>
          <w:szCs w:val="28"/>
          <w:lang w:val="es-ES_tradnl"/>
        </w:rPr>
        <w:t>se sentido, p</w:t>
      </w:r>
      <w:r w:rsidRPr="00AB4289">
        <w:rPr>
          <w:sz w:val="28"/>
          <w:szCs w:val="28"/>
          <w:lang w:val="es-ES_tradnl"/>
        </w:rPr>
        <w:t>or ejemplo, en el Portal Transparencia</w:t>
      </w:r>
      <w:r w:rsidR="0046640C" w:rsidRPr="00AB4289">
        <w:rPr>
          <w:sz w:val="28"/>
          <w:szCs w:val="28"/>
          <w:lang w:val="es-ES_tradnl"/>
        </w:rPr>
        <w:t xml:space="preserve"> de la página web de la </w:t>
      </w:r>
      <w:r w:rsidR="007C5CD4" w:rsidRPr="00AB4289">
        <w:rPr>
          <w:sz w:val="28"/>
          <w:szCs w:val="28"/>
          <w:lang w:val="es-ES_tradnl"/>
        </w:rPr>
        <w:t>r</w:t>
      </w:r>
      <w:r w:rsidR="0046640C" w:rsidRPr="00AB4289">
        <w:rPr>
          <w:sz w:val="28"/>
          <w:szCs w:val="28"/>
          <w:lang w:val="es-ES_tradnl"/>
        </w:rPr>
        <w:t>ama</w:t>
      </w:r>
      <w:r w:rsidR="007C5CD4" w:rsidRPr="00AB4289">
        <w:rPr>
          <w:sz w:val="28"/>
          <w:szCs w:val="28"/>
          <w:lang w:val="es-ES_tradnl"/>
        </w:rPr>
        <w:t xml:space="preserve"> judicial</w:t>
      </w:r>
      <w:r w:rsidRPr="00AB4289">
        <w:rPr>
          <w:sz w:val="28"/>
          <w:szCs w:val="28"/>
          <w:lang w:val="es-ES_tradnl"/>
        </w:rPr>
        <w:t xml:space="preserve"> establecido en virtud de la Circular PCSJC20-36 del 18 de </w:t>
      </w:r>
      <w:r w:rsidRPr="00AB4289">
        <w:rPr>
          <w:sz w:val="28"/>
          <w:szCs w:val="28"/>
          <w:lang w:val="es-ES_tradnl"/>
        </w:rPr>
        <w:lastRenderedPageBreak/>
        <w:t>noviembre de 2020</w:t>
      </w:r>
      <w:r w:rsidR="007A3223" w:rsidRPr="00AB4289">
        <w:rPr>
          <w:sz w:val="28"/>
          <w:szCs w:val="28"/>
          <w:lang w:val="es-ES_tradnl"/>
        </w:rPr>
        <w:t xml:space="preserve"> proferida por el Consejo Superior de la Judicatura</w:t>
      </w:r>
      <w:r w:rsidRPr="00AB4289">
        <w:rPr>
          <w:sz w:val="28"/>
          <w:szCs w:val="28"/>
          <w:lang w:val="es-ES_tradnl"/>
        </w:rPr>
        <w:t>, se presenta la hoja de vida de los servidores judiciale</w:t>
      </w:r>
      <w:r w:rsidR="00C509BB" w:rsidRPr="00AB4289">
        <w:rPr>
          <w:sz w:val="28"/>
          <w:szCs w:val="28"/>
          <w:lang w:val="es-ES_tradnl"/>
        </w:rPr>
        <w:t>s</w:t>
      </w:r>
      <w:r w:rsidRPr="00AB4289">
        <w:rPr>
          <w:sz w:val="28"/>
          <w:szCs w:val="28"/>
          <w:lang w:val="es-ES_tradnl"/>
        </w:rPr>
        <w:t>.</w:t>
      </w:r>
      <w:r w:rsidR="00ED5C73" w:rsidRPr="00AB4289">
        <w:rPr>
          <w:sz w:val="28"/>
          <w:szCs w:val="28"/>
          <w:lang w:val="es-ES_tradnl"/>
        </w:rPr>
        <w:t xml:space="preserve"> </w:t>
      </w:r>
      <w:r w:rsidR="00ED2BB5" w:rsidRPr="00AB4289">
        <w:rPr>
          <w:sz w:val="28"/>
          <w:szCs w:val="28"/>
          <w:lang w:val="es-ES_tradnl"/>
        </w:rPr>
        <w:t>En el aplicativo aparece información relacionada con la experiencia laboral</w:t>
      </w:r>
      <w:r w:rsidR="006272DE" w:rsidRPr="00AB4289">
        <w:rPr>
          <w:sz w:val="28"/>
          <w:szCs w:val="28"/>
          <w:lang w:val="es-ES_tradnl"/>
        </w:rPr>
        <w:t xml:space="preserve"> y profesional</w:t>
      </w:r>
      <w:r w:rsidR="00ED2BB5" w:rsidRPr="00AB4289">
        <w:rPr>
          <w:sz w:val="28"/>
          <w:szCs w:val="28"/>
          <w:lang w:val="es-ES_tradnl"/>
        </w:rPr>
        <w:t xml:space="preserve"> y</w:t>
      </w:r>
      <w:r w:rsidR="006272DE" w:rsidRPr="00AB4289">
        <w:rPr>
          <w:sz w:val="28"/>
          <w:szCs w:val="28"/>
          <w:lang w:val="es-ES_tradnl"/>
        </w:rPr>
        <w:t xml:space="preserve"> con la formación</w:t>
      </w:r>
      <w:r w:rsidR="00ED2BB5" w:rsidRPr="00AB4289">
        <w:rPr>
          <w:sz w:val="28"/>
          <w:szCs w:val="28"/>
          <w:lang w:val="es-ES_tradnl"/>
        </w:rPr>
        <w:t xml:space="preserve"> académica de los servidores</w:t>
      </w:r>
      <w:r w:rsidR="00C509BB" w:rsidRPr="00AB4289">
        <w:rPr>
          <w:sz w:val="28"/>
          <w:szCs w:val="28"/>
          <w:lang w:val="es-ES_tradnl"/>
        </w:rPr>
        <w:t xml:space="preserve"> de la </w:t>
      </w:r>
      <w:r w:rsidR="007C5CD4" w:rsidRPr="00AB4289">
        <w:rPr>
          <w:sz w:val="28"/>
          <w:szCs w:val="28"/>
          <w:lang w:val="es-ES_tradnl"/>
        </w:rPr>
        <w:t>r</w:t>
      </w:r>
      <w:r w:rsidR="00C509BB" w:rsidRPr="00AB4289">
        <w:rPr>
          <w:sz w:val="28"/>
          <w:szCs w:val="28"/>
          <w:lang w:val="es-ES_tradnl"/>
        </w:rPr>
        <w:t xml:space="preserve">ama </w:t>
      </w:r>
      <w:r w:rsidR="007C5CD4" w:rsidRPr="00AB4289">
        <w:rPr>
          <w:sz w:val="28"/>
          <w:szCs w:val="28"/>
          <w:lang w:val="es-ES_tradnl"/>
        </w:rPr>
        <w:t>j</w:t>
      </w:r>
      <w:r w:rsidR="00C509BB" w:rsidRPr="00AB4289">
        <w:rPr>
          <w:sz w:val="28"/>
          <w:szCs w:val="28"/>
          <w:lang w:val="es-ES_tradnl"/>
        </w:rPr>
        <w:t>udicial</w:t>
      </w:r>
      <w:r w:rsidR="00C509BB" w:rsidRPr="00AB4289">
        <w:rPr>
          <w:rStyle w:val="Refdenotaalpie"/>
          <w:rFonts w:cs="Times New Roman"/>
          <w:sz w:val="28"/>
          <w:szCs w:val="28"/>
          <w:lang w:val="es-ES_tradnl"/>
        </w:rPr>
        <w:footnoteReference w:id="109"/>
      </w:r>
      <w:r w:rsidR="00ED2BB5" w:rsidRPr="00AB4289">
        <w:rPr>
          <w:sz w:val="28"/>
          <w:szCs w:val="28"/>
          <w:lang w:val="es-ES_tradnl"/>
        </w:rPr>
        <w:t>.</w:t>
      </w:r>
      <w:r w:rsidR="0046640C" w:rsidRPr="00AB4289">
        <w:rPr>
          <w:sz w:val="28"/>
          <w:szCs w:val="28"/>
          <w:lang w:val="es-ES_tradnl"/>
        </w:rPr>
        <w:t xml:space="preserve"> Además, e</w:t>
      </w:r>
      <w:r w:rsidR="00ED5C73" w:rsidRPr="00AB4289">
        <w:rPr>
          <w:sz w:val="28"/>
          <w:szCs w:val="28"/>
          <w:lang w:val="es-ES_tradnl"/>
        </w:rPr>
        <w:t xml:space="preserve">n el </w:t>
      </w:r>
      <w:r w:rsidR="007C5CD4" w:rsidRPr="00AB4289">
        <w:rPr>
          <w:sz w:val="28"/>
          <w:szCs w:val="28"/>
          <w:lang w:val="es-ES_tradnl"/>
        </w:rPr>
        <w:t>i</w:t>
      </w:r>
      <w:r w:rsidR="00ED5C73" w:rsidRPr="00AB4289">
        <w:rPr>
          <w:sz w:val="28"/>
          <w:szCs w:val="28"/>
          <w:lang w:val="es-ES_tradnl"/>
        </w:rPr>
        <w:t xml:space="preserve">nstructivo </w:t>
      </w:r>
      <w:r w:rsidR="00C509BB" w:rsidRPr="00AB4289">
        <w:rPr>
          <w:sz w:val="28"/>
          <w:szCs w:val="28"/>
          <w:lang w:val="es-ES_tradnl"/>
        </w:rPr>
        <w:t xml:space="preserve">que realizó el Consejo Superior de la Judicatura </w:t>
      </w:r>
      <w:r w:rsidR="00BB67AC" w:rsidRPr="00AB4289">
        <w:rPr>
          <w:sz w:val="28"/>
          <w:szCs w:val="28"/>
          <w:lang w:val="es-ES_tradnl"/>
        </w:rPr>
        <w:t>para el registro de la información</w:t>
      </w:r>
      <w:r w:rsidR="00ED5C73" w:rsidRPr="00AB4289">
        <w:rPr>
          <w:sz w:val="28"/>
          <w:szCs w:val="28"/>
          <w:lang w:val="es-ES_tradnl"/>
        </w:rPr>
        <w:t xml:space="preserve">, se </w:t>
      </w:r>
      <w:r w:rsidR="00BB67AC" w:rsidRPr="00AB4289">
        <w:rPr>
          <w:sz w:val="28"/>
          <w:szCs w:val="28"/>
          <w:lang w:val="es-ES_tradnl"/>
        </w:rPr>
        <w:t>señala explícitamente</w:t>
      </w:r>
      <w:r w:rsidR="00ED5C73" w:rsidRPr="00AB4289">
        <w:rPr>
          <w:sz w:val="28"/>
          <w:szCs w:val="28"/>
          <w:lang w:val="es-ES_tradnl"/>
        </w:rPr>
        <w:t xml:space="preserve"> </w:t>
      </w:r>
      <w:r w:rsidR="00ED2BB5" w:rsidRPr="00AB4289">
        <w:rPr>
          <w:sz w:val="28"/>
          <w:szCs w:val="28"/>
          <w:lang w:val="es-ES_tradnl"/>
        </w:rPr>
        <w:t>una advertencia para no incluir datos sensibles de la persona</w:t>
      </w:r>
      <w:r w:rsidR="00ED2BB5" w:rsidRPr="00AB4289">
        <w:rPr>
          <w:rStyle w:val="Refdenotaalpie"/>
          <w:rFonts w:cs="Times New Roman"/>
          <w:sz w:val="28"/>
          <w:szCs w:val="28"/>
          <w:lang w:val="es-ES_tradnl"/>
        </w:rPr>
        <w:footnoteReference w:id="110"/>
      </w:r>
      <w:r w:rsidR="00ED2BB5" w:rsidRPr="00AB4289">
        <w:rPr>
          <w:sz w:val="28"/>
          <w:szCs w:val="28"/>
          <w:lang w:val="es-ES_tradnl"/>
        </w:rPr>
        <w:t xml:space="preserve">. </w:t>
      </w:r>
      <w:r w:rsidR="00ED5C73" w:rsidRPr="00AB4289">
        <w:rPr>
          <w:sz w:val="28"/>
          <w:szCs w:val="28"/>
          <w:lang w:val="es-ES_tradnl"/>
        </w:rPr>
        <w:t xml:space="preserve"> </w:t>
      </w:r>
    </w:p>
    <w:p w14:paraId="32D20FE4" w14:textId="77777777" w:rsidR="00C73726" w:rsidRPr="00AB4289" w:rsidRDefault="00C73726" w:rsidP="00B40BE5">
      <w:pPr>
        <w:pStyle w:val="Prrafodelista"/>
        <w:autoSpaceDE w:val="0"/>
        <w:autoSpaceDN w:val="0"/>
        <w:adjustRightInd w:val="0"/>
        <w:ind w:left="0"/>
        <w:jc w:val="both"/>
        <w:rPr>
          <w:sz w:val="28"/>
          <w:szCs w:val="28"/>
          <w:lang w:val="es-ES_tradnl"/>
        </w:rPr>
      </w:pPr>
    </w:p>
    <w:p w14:paraId="5FA4A602" w14:textId="56B0153F" w:rsidR="00050974" w:rsidRPr="00AB4289" w:rsidRDefault="00B01608" w:rsidP="00B40BE5">
      <w:pPr>
        <w:pStyle w:val="Prrafodelista"/>
        <w:numPr>
          <w:ilvl w:val="0"/>
          <w:numId w:val="2"/>
        </w:numPr>
        <w:autoSpaceDE w:val="0"/>
        <w:autoSpaceDN w:val="0"/>
        <w:adjustRightInd w:val="0"/>
        <w:ind w:left="0" w:firstLine="0"/>
        <w:jc w:val="both"/>
        <w:rPr>
          <w:sz w:val="28"/>
          <w:szCs w:val="28"/>
          <w:lang w:val="es-ES_tradnl"/>
        </w:rPr>
      </w:pPr>
      <w:r w:rsidRPr="00AB4289">
        <w:rPr>
          <w:sz w:val="28"/>
          <w:szCs w:val="28"/>
          <w:lang w:val="es-ES_tradnl"/>
        </w:rPr>
        <w:t xml:space="preserve">Ahora </w:t>
      </w:r>
      <w:r w:rsidR="00C73726" w:rsidRPr="00AB4289">
        <w:rPr>
          <w:sz w:val="28"/>
          <w:szCs w:val="28"/>
          <w:lang w:val="es-ES_tradnl"/>
        </w:rPr>
        <w:t>bien</w:t>
      </w:r>
      <w:r w:rsidR="009F59F2" w:rsidRPr="00AB4289">
        <w:rPr>
          <w:sz w:val="28"/>
          <w:szCs w:val="28"/>
          <w:lang w:val="es-ES_tradnl"/>
        </w:rPr>
        <w:t xml:space="preserve">, la información de </w:t>
      </w:r>
      <w:r w:rsidRPr="00AB4289">
        <w:rPr>
          <w:sz w:val="28"/>
          <w:szCs w:val="28"/>
          <w:lang w:val="es-ES_tradnl"/>
        </w:rPr>
        <w:t>la</w:t>
      </w:r>
      <w:r w:rsidR="00C73726" w:rsidRPr="00AB4289">
        <w:rPr>
          <w:sz w:val="28"/>
          <w:szCs w:val="28"/>
          <w:lang w:val="es-ES_tradnl"/>
        </w:rPr>
        <w:t>s</w:t>
      </w:r>
      <w:r w:rsidRPr="00AB4289">
        <w:rPr>
          <w:sz w:val="28"/>
          <w:szCs w:val="28"/>
          <w:lang w:val="es-ES_tradnl"/>
        </w:rPr>
        <w:t xml:space="preserve"> hoja</w:t>
      </w:r>
      <w:r w:rsidR="00C73726" w:rsidRPr="00AB4289">
        <w:rPr>
          <w:sz w:val="28"/>
          <w:szCs w:val="28"/>
          <w:lang w:val="es-ES_tradnl"/>
        </w:rPr>
        <w:t>s</w:t>
      </w:r>
      <w:r w:rsidRPr="00AB4289">
        <w:rPr>
          <w:sz w:val="28"/>
          <w:szCs w:val="28"/>
          <w:lang w:val="es-ES_tradnl"/>
        </w:rPr>
        <w:t xml:space="preserve"> de vida de quienes no trabajan para sujetos obligados</w:t>
      </w:r>
      <w:r w:rsidR="00C73726" w:rsidRPr="00AB4289">
        <w:rPr>
          <w:sz w:val="28"/>
          <w:szCs w:val="28"/>
          <w:lang w:val="es-ES_tradnl"/>
        </w:rPr>
        <w:t xml:space="preserve"> </w:t>
      </w:r>
      <w:r w:rsidRPr="00AB4289">
        <w:rPr>
          <w:sz w:val="28"/>
          <w:szCs w:val="28"/>
          <w:lang w:val="es-ES_tradnl"/>
        </w:rPr>
        <w:t>tampoco es reservada.</w:t>
      </w:r>
      <w:r w:rsidR="00C73726" w:rsidRPr="00AB4289">
        <w:rPr>
          <w:sz w:val="28"/>
          <w:szCs w:val="28"/>
          <w:lang w:val="es-ES_tradnl"/>
        </w:rPr>
        <w:t xml:space="preserve"> Si bien </w:t>
      </w:r>
      <w:r w:rsidRPr="00AB4289">
        <w:rPr>
          <w:sz w:val="28"/>
          <w:szCs w:val="28"/>
          <w:lang w:val="es-ES_tradnl"/>
        </w:rPr>
        <w:t>no existe un deber de publicar la hoja de vida</w:t>
      </w:r>
      <w:r w:rsidR="00C73726" w:rsidRPr="00AB4289">
        <w:rPr>
          <w:sz w:val="28"/>
          <w:szCs w:val="28"/>
          <w:lang w:val="es-ES_tradnl"/>
        </w:rPr>
        <w:t xml:space="preserve"> para todas las personas</w:t>
      </w:r>
      <w:r w:rsidRPr="00AB4289">
        <w:rPr>
          <w:sz w:val="28"/>
          <w:szCs w:val="28"/>
          <w:lang w:val="es-ES_tradnl"/>
        </w:rPr>
        <w:t>, solo</w:t>
      </w:r>
      <w:r w:rsidR="00C73726" w:rsidRPr="00AB4289">
        <w:rPr>
          <w:sz w:val="28"/>
          <w:szCs w:val="28"/>
          <w:lang w:val="es-ES_tradnl"/>
        </w:rPr>
        <w:t xml:space="preserve"> se p</w:t>
      </w:r>
      <w:r w:rsidR="005111C2" w:rsidRPr="00AB4289">
        <w:rPr>
          <w:sz w:val="28"/>
          <w:szCs w:val="28"/>
          <w:lang w:val="es-ES_tradnl"/>
        </w:rPr>
        <w:t>uede</w:t>
      </w:r>
      <w:r w:rsidR="00C73726" w:rsidRPr="00AB4289">
        <w:rPr>
          <w:sz w:val="28"/>
          <w:szCs w:val="28"/>
          <w:lang w:val="es-ES_tradnl"/>
        </w:rPr>
        <w:t xml:space="preserve"> prohibir el acceso a los datos que afecten de manera grave la privacidad del titular</w:t>
      </w:r>
      <w:r w:rsidR="00C509BB" w:rsidRPr="00AB4289">
        <w:rPr>
          <w:sz w:val="28"/>
          <w:szCs w:val="28"/>
          <w:lang w:val="es-ES_tradnl"/>
        </w:rPr>
        <w:t xml:space="preserve"> de la información</w:t>
      </w:r>
      <w:r w:rsidRPr="00AB4289">
        <w:rPr>
          <w:sz w:val="28"/>
          <w:szCs w:val="28"/>
          <w:lang w:val="es-ES_tradnl"/>
        </w:rPr>
        <w:t xml:space="preserve">. </w:t>
      </w:r>
      <w:r w:rsidR="0046640C" w:rsidRPr="00AB4289">
        <w:rPr>
          <w:sz w:val="28"/>
          <w:szCs w:val="28"/>
          <w:lang w:val="es-ES_tradnl"/>
        </w:rPr>
        <w:t>En efecto, en la</w:t>
      </w:r>
      <w:r w:rsidRPr="00AB4289">
        <w:rPr>
          <w:sz w:val="28"/>
          <w:szCs w:val="28"/>
          <w:lang w:val="es-ES_tradnl"/>
        </w:rPr>
        <w:t xml:space="preserve"> </w:t>
      </w:r>
      <w:r w:rsidR="00050974" w:rsidRPr="00AB4289">
        <w:rPr>
          <w:sz w:val="28"/>
          <w:szCs w:val="28"/>
          <w:lang w:val="es-ES_tradnl"/>
        </w:rPr>
        <w:t>sentencia C-951 de 2014</w:t>
      </w:r>
      <w:r w:rsidR="00C73726" w:rsidRPr="00AB4289">
        <w:rPr>
          <w:sz w:val="28"/>
          <w:szCs w:val="28"/>
          <w:lang w:val="es-ES_tradnl"/>
        </w:rPr>
        <w:t xml:space="preserve"> -</w:t>
      </w:r>
      <w:r w:rsidR="00050974" w:rsidRPr="00AB4289">
        <w:rPr>
          <w:sz w:val="28"/>
          <w:szCs w:val="28"/>
          <w:lang w:val="es-ES_tradnl"/>
        </w:rPr>
        <w:t xml:space="preserve">que hizo un análisis integral de la constitucionalidad de </w:t>
      </w:r>
      <w:r w:rsidR="0046640C" w:rsidRPr="00AB4289">
        <w:rPr>
          <w:sz w:val="28"/>
          <w:szCs w:val="28"/>
          <w:lang w:val="es-ES_tradnl"/>
        </w:rPr>
        <w:t xml:space="preserve">la </w:t>
      </w:r>
      <w:r w:rsidR="00C509BB" w:rsidRPr="00AB4289">
        <w:rPr>
          <w:sz w:val="28"/>
          <w:szCs w:val="28"/>
          <w:lang w:val="es-ES_tradnl"/>
        </w:rPr>
        <w:t>L</w:t>
      </w:r>
      <w:r w:rsidR="00050974" w:rsidRPr="00AB4289">
        <w:rPr>
          <w:sz w:val="28"/>
          <w:szCs w:val="28"/>
          <w:lang w:val="es-ES_tradnl"/>
        </w:rPr>
        <w:t>ey 1755 de 2015</w:t>
      </w:r>
      <w:r w:rsidRPr="00AB4289">
        <w:rPr>
          <w:sz w:val="28"/>
          <w:szCs w:val="28"/>
          <w:vertAlign w:val="superscript"/>
        </w:rPr>
        <w:footnoteReference w:id="111"/>
      </w:r>
      <w:r w:rsidR="00050974" w:rsidRPr="00AB4289">
        <w:rPr>
          <w:sz w:val="28"/>
          <w:szCs w:val="28"/>
          <w:lang w:val="es-ES_tradnl"/>
        </w:rPr>
        <w:t>-, la Corte</w:t>
      </w:r>
      <w:r w:rsidR="00C509BB" w:rsidRPr="00AB4289">
        <w:rPr>
          <w:sz w:val="28"/>
          <w:szCs w:val="28"/>
          <w:lang w:val="es-ES_tradnl"/>
        </w:rPr>
        <w:t xml:space="preserve"> examinó el artículo 24 de dicha ley, que determinaba</w:t>
      </w:r>
      <w:r w:rsidR="0046640C" w:rsidRPr="00AB4289">
        <w:rPr>
          <w:sz w:val="28"/>
          <w:szCs w:val="28"/>
          <w:lang w:val="es-ES_tradnl"/>
        </w:rPr>
        <w:t xml:space="preserve"> que la información de las hojas de vida era personal y por eso tenía reserva. E</w:t>
      </w:r>
      <w:r w:rsidR="00C509BB" w:rsidRPr="00AB4289">
        <w:rPr>
          <w:sz w:val="28"/>
          <w:szCs w:val="28"/>
          <w:lang w:val="es-ES_tradnl"/>
        </w:rPr>
        <w:t xml:space="preserve">sta </w:t>
      </w:r>
      <w:r w:rsidR="000D2207" w:rsidRPr="00AB4289">
        <w:rPr>
          <w:sz w:val="28"/>
          <w:szCs w:val="28"/>
          <w:lang w:val="es-ES_tradnl"/>
        </w:rPr>
        <w:t>C</w:t>
      </w:r>
      <w:r w:rsidR="00C509BB" w:rsidRPr="00AB4289">
        <w:rPr>
          <w:sz w:val="28"/>
          <w:szCs w:val="28"/>
          <w:lang w:val="es-ES_tradnl"/>
        </w:rPr>
        <w:t xml:space="preserve">orporación </w:t>
      </w:r>
      <w:r w:rsidR="00050974" w:rsidRPr="00AB4289">
        <w:rPr>
          <w:sz w:val="28"/>
          <w:szCs w:val="28"/>
          <w:lang w:val="es-ES_tradnl"/>
        </w:rPr>
        <w:t>determinó que la reserva de las hojas de vida no opera frente a todos los datos que reposan en ellas</w:t>
      </w:r>
      <w:r w:rsidR="0046640C" w:rsidRPr="00AB4289">
        <w:rPr>
          <w:sz w:val="28"/>
          <w:szCs w:val="28"/>
          <w:lang w:val="es-ES_tradnl"/>
        </w:rPr>
        <w:t>. En ese sentido señaló lo siguiente:</w:t>
      </w:r>
    </w:p>
    <w:p w14:paraId="4A817B9C" w14:textId="77777777" w:rsidR="00050974" w:rsidRPr="00AB4289" w:rsidRDefault="00050974"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646FE430" w14:textId="7B870871" w:rsidR="00050974" w:rsidRPr="00AB4289" w:rsidRDefault="00050974" w:rsidP="00B40BE5">
      <w:pPr>
        <w:pStyle w:val="NormalWeb"/>
        <w:tabs>
          <w:tab w:val="left" w:pos="284"/>
          <w:tab w:val="left" w:pos="426"/>
          <w:tab w:val="left" w:pos="567"/>
        </w:tabs>
        <w:spacing w:before="0" w:beforeAutospacing="0" w:after="0" w:afterAutospacing="0"/>
        <w:ind w:left="567" w:right="49"/>
        <w:jc w:val="both"/>
        <w:rPr>
          <w:lang w:val="es-ES_tradnl"/>
        </w:rPr>
      </w:pPr>
      <w:r w:rsidRPr="00AB4289">
        <w:rPr>
          <w:lang w:val="es-ES_tradnl"/>
        </w:rPr>
        <w:t xml:space="preserve">“no todos los datos que reposan en las hojas de vida, la historia laboral, los expedientes pensionales y demás registros de personal están cobijados por la reserva, sino solamente aquellos que tocan con el ámbito privado e íntimo de las personas, que se ha considerado </w:t>
      </w:r>
      <w:r w:rsidR="00F376B7" w:rsidRPr="00AB4289">
        <w:rPr>
          <w:lang w:val="es-ES_tradnl"/>
        </w:rPr>
        <w:t>c</w:t>
      </w:r>
      <w:r w:rsidR="000752F0" w:rsidRPr="00AB4289">
        <w:rPr>
          <w:lang w:val="es-ES_tradnl"/>
        </w:rPr>
        <w:t>o</w:t>
      </w:r>
      <w:r w:rsidR="00F376B7" w:rsidRPr="00AB4289">
        <w:rPr>
          <w:lang w:val="es-ES_tradnl"/>
        </w:rPr>
        <w:t xml:space="preserve">mo </w:t>
      </w:r>
      <w:r w:rsidRPr="00AB4289">
        <w:rPr>
          <w:lang w:val="es-ES_tradnl"/>
        </w:rPr>
        <w:t>datos sensibles.</w:t>
      </w:r>
      <w:r w:rsidR="00F376B7" w:rsidRPr="00AB4289">
        <w:rPr>
          <w:lang w:val="es-ES_tradnl"/>
        </w:rPr>
        <w:t xml:space="preserve"> </w:t>
      </w:r>
      <w:r w:rsidRPr="00AB4289">
        <w:rPr>
          <w:lang w:val="es-ES_tradnl"/>
        </w:rPr>
        <w:t>Por el contrario, no estarán sujetos a reserva aquellos datos que tengan relevancia pública y no encajen en la categoría de datos personales sensibles”.</w:t>
      </w:r>
    </w:p>
    <w:p w14:paraId="6D1E9AC8" w14:textId="77777777" w:rsidR="00050974" w:rsidRPr="00AB4289" w:rsidRDefault="00050974" w:rsidP="00B40BE5">
      <w:pPr>
        <w:pStyle w:val="Prrafodelista"/>
        <w:autoSpaceDE w:val="0"/>
        <w:autoSpaceDN w:val="0"/>
        <w:adjustRightInd w:val="0"/>
        <w:ind w:left="0"/>
        <w:jc w:val="both"/>
        <w:rPr>
          <w:rFonts w:eastAsiaTheme="minorHAnsi"/>
          <w:sz w:val="28"/>
          <w:szCs w:val="28"/>
          <w:lang w:val="es-ES_tradnl" w:eastAsia="en-US"/>
        </w:rPr>
      </w:pPr>
    </w:p>
    <w:p w14:paraId="7E6BE0B0" w14:textId="77777777" w:rsidR="00893E89" w:rsidRPr="00AB4289" w:rsidRDefault="00050974" w:rsidP="00B40BE5">
      <w:pPr>
        <w:pStyle w:val="Prrafodelista"/>
        <w:numPr>
          <w:ilvl w:val="0"/>
          <w:numId w:val="2"/>
        </w:numPr>
        <w:shd w:val="clear" w:color="auto" w:fill="FFFFFF"/>
        <w:ind w:left="0" w:right="103" w:firstLine="0"/>
        <w:jc w:val="both"/>
        <w:textAlignment w:val="baseline"/>
        <w:rPr>
          <w:color w:val="2D2D2D"/>
          <w:sz w:val="27"/>
          <w:szCs w:val="27"/>
        </w:rPr>
      </w:pPr>
      <w:r w:rsidRPr="00AB4289">
        <w:rPr>
          <w:rFonts w:eastAsiaTheme="minorHAnsi"/>
          <w:sz w:val="28"/>
          <w:szCs w:val="28"/>
          <w:lang w:val="es-ES_tradnl" w:eastAsia="en-US"/>
        </w:rPr>
        <w:t xml:space="preserve">Esta </w:t>
      </w:r>
      <w:r w:rsidR="004F426D" w:rsidRPr="00AB4289">
        <w:rPr>
          <w:rFonts w:eastAsiaTheme="minorHAnsi"/>
          <w:sz w:val="28"/>
          <w:szCs w:val="28"/>
          <w:lang w:val="es-ES_tradnl" w:eastAsia="en-US"/>
        </w:rPr>
        <w:t>interpretación fue reiterada en la sentencia T-</w:t>
      </w:r>
      <w:r w:rsidR="00E8482E" w:rsidRPr="00AB4289">
        <w:rPr>
          <w:rFonts w:eastAsiaTheme="minorHAnsi"/>
          <w:sz w:val="28"/>
          <w:szCs w:val="28"/>
          <w:lang w:val="es-ES_tradnl" w:eastAsia="en-US"/>
        </w:rPr>
        <w:t>324</w:t>
      </w:r>
      <w:r w:rsidR="004F426D" w:rsidRPr="00AB4289">
        <w:rPr>
          <w:rFonts w:eastAsiaTheme="minorHAnsi"/>
          <w:sz w:val="28"/>
          <w:szCs w:val="28"/>
          <w:lang w:val="es-ES_tradnl" w:eastAsia="en-US"/>
        </w:rPr>
        <w:t xml:space="preserve"> de 2024</w:t>
      </w:r>
      <w:r w:rsidR="005111C2" w:rsidRPr="00AB4289">
        <w:rPr>
          <w:rFonts w:eastAsiaTheme="minorHAnsi"/>
          <w:sz w:val="28"/>
          <w:szCs w:val="28"/>
          <w:lang w:val="es-ES_tradnl" w:eastAsia="en-US"/>
        </w:rPr>
        <w:t xml:space="preserve"> que </w:t>
      </w:r>
      <w:r w:rsidR="004F426D" w:rsidRPr="00AB4289">
        <w:rPr>
          <w:rFonts w:eastAsiaTheme="minorHAnsi"/>
          <w:sz w:val="28"/>
          <w:szCs w:val="28"/>
          <w:lang w:val="es-ES_tradnl" w:eastAsia="en-US"/>
        </w:rPr>
        <w:t>analizó un caso en el que una universidad pública negó el acceso a varias hojas de vida d</w:t>
      </w:r>
      <w:r w:rsidR="00ED5C73" w:rsidRPr="00AB4289">
        <w:rPr>
          <w:rFonts w:eastAsiaTheme="minorHAnsi"/>
          <w:sz w:val="28"/>
          <w:szCs w:val="28"/>
          <w:lang w:val="es-ES_tradnl" w:eastAsia="en-US"/>
        </w:rPr>
        <w:t>e sus funcionarios</w:t>
      </w:r>
      <w:r w:rsidR="004F426D" w:rsidRPr="00AB4289">
        <w:rPr>
          <w:rFonts w:eastAsiaTheme="minorHAnsi"/>
          <w:sz w:val="28"/>
          <w:szCs w:val="28"/>
          <w:lang w:val="es-ES_tradnl" w:eastAsia="en-US"/>
        </w:rPr>
        <w:t>.</w:t>
      </w:r>
      <w:r w:rsidR="00DA4989" w:rsidRPr="00AB4289">
        <w:rPr>
          <w:rFonts w:eastAsiaTheme="minorHAnsi"/>
          <w:sz w:val="28"/>
          <w:szCs w:val="28"/>
          <w:lang w:val="es-ES_tradnl" w:eastAsia="en-US"/>
        </w:rPr>
        <w:t xml:space="preserve"> L</w:t>
      </w:r>
      <w:r w:rsidR="004F426D" w:rsidRPr="00AB4289">
        <w:rPr>
          <w:rFonts w:eastAsiaTheme="minorHAnsi"/>
          <w:sz w:val="28"/>
          <w:szCs w:val="28"/>
          <w:lang w:val="es-ES_tradnl" w:eastAsia="en-US"/>
        </w:rPr>
        <w:t xml:space="preserve">a Corte confirmó que la información de la hoja de vida de una persona </w:t>
      </w:r>
      <w:r w:rsidR="004F426D" w:rsidRPr="00AB4289">
        <w:rPr>
          <w:sz w:val="28"/>
          <w:szCs w:val="28"/>
        </w:rPr>
        <w:t>no está sujeta a reserva por el solo hecho de obrar en dicho documento. En consecuencia, precisó que están sujetos a reserva solo los datos sensibles</w:t>
      </w:r>
      <w:r w:rsidR="00DA4989" w:rsidRPr="00AB4289">
        <w:rPr>
          <w:sz w:val="28"/>
          <w:szCs w:val="28"/>
        </w:rPr>
        <w:t xml:space="preserve">, pues tienen </w:t>
      </w:r>
      <w:r w:rsidR="004F426D" w:rsidRPr="00AB4289">
        <w:rPr>
          <w:sz w:val="28"/>
          <w:szCs w:val="28"/>
        </w:rPr>
        <w:t>una relación intrínseca con la intimidad del titular.</w:t>
      </w:r>
    </w:p>
    <w:p w14:paraId="55DB8C09" w14:textId="77777777" w:rsidR="00893E89" w:rsidRPr="00AB4289" w:rsidRDefault="00893E89" w:rsidP="00B40BE5">
      <w:pPr>
        <w:pStyle w:val="Prrafodelista"/>
        <w:shd w:val="clear" w:color="auto" w:fill="FFFFFF"/>
        <w:ind w:left="0" w:right="103"/>
        <w:jc w:val="both"/>
        <w:textAlignment w:val="baseline"/>
        <w:rPr>
          <w:color w:val="2D2D2D"/>
          <w:sz w:val="27"/>
          <w:szCs w:val="27"/>
        </w:rPr>
      </w:pPr>
    </w:p>
    <w:p w14:paraId="169E64F4" w14:textId="32820FAD" w:rsidR="00893E89" w:rsidRPr="00AB4289" w:rsidRDefault="00893E89" w:rsidP="00B40BE5">
      <w:pPr>
        <w:pStyle w:val="Prrafodelista"/>
        <w:numPr>
          <w:ilvl w:val="0"/>
          <w:numId w:val="2"/>
        </w:numPr>
        <w:shd w:val="clear" w:color="auto" w:fill="FFFFFF"/>
        <w:ind w:left="0" w:right="103" w:firstLine="0"/>
        <w:jc w:val="both"/>
        <w:textAlignment w:val="baseline"/>
        <w:rPr>
          <w:sz w:val="28"/>
          <w:szCs w:val="28"/>
        </w:rPr>
      </w:pPr>
      <w:r w:rsidRPr="00AB4289">
        <w:rPr>
          <w:sz w:val="28"/>
          <w:szCs w:val="28"/>
        </w:rPr>
        <w:t xml:space="preserve">Resulta relevante señalar que, en dicha sentencia, la Corte se pronunció sobre la entrega de información académica más allá del simple diploma, </w:t>
      </w:r>
      <w:proofErr w:type="gramStart"/>
      <w:r w:rsidRPr="00AB4289">
        <w:rPr>
          <w:sz w:val="28"/>
          <w:szCs w:val="28"/>
        </w:rPr>
        <w:t>pues  el</w:t>
      </w:r>
      <w:proofErr w:type="gramEnd"/>
      <w:r w:rsidRPr="00AB4289">
        <w:rPr>
          <w:sz w:val="28"/>
          <w:szCs w:val="28"/>
        </w:rPr>
        <w:t xml:space="preserve"> accionante solicitó aspectos relacionados con las condiciones en que la </w:t>
      </w:r>
      <w:r w:rsidRPr="00AB4289">
        <w:rPr>
          <w:sz w:val="28"/>
          <w:szCs w:val="28"/>
        </w:rPr>
        <w:lastRenderedPageBreak/>
        <w:t xml:space="preserve">persona obtuvo su grado. En efecto, el </w:t>
      </w:r>
      <w:r w:rsidR="003159B1" w:rsidRPr="00AB4289">
        <w:rPr>
          <w:sz w:val="28"/>
          <w:szCs w:val="28"/>
        </w:rPr>
        <w:t>demandante</w:t>
      </w:r>
      <w:r w:rsidRPr="00AB4289">
        <w:rPr>
          <w:sz w:val="28"/>
          <w:szCs w:val="28"/>
        </w:rPr>
        <w:t xml:space="preserve"> -un periodista- requirió también la información</w:t>
      </w:r>
      <w:r w:rsidR="00730F8C" w:rsidRPr="00AB4289">
        <w:rPr>
          <w:sz w:val="28"/>
          <w:szCs w:val="28"/>
        </w:rPr>
        <w:t xml:space="preserve"> que por lo general está</w:t>
      </w:r>
      <w:r w:rsidRPr="00AB4289">
        <w:rPr>
          <w:sz w:val="28"/>
          <w:szCs w:val="28"/>
        </w:rPr>
        <w:t xml:space="preserve"> consignada en los soportes de la hoja de vida, es</w:t>
      </w:r>
      <w:r w:rsidR="00730F8C" w:rsidRPr="00AB4289">
        <w:rPr>
          <w:sz w:val="28"/>
          <w:szCs w:val="28"/>
        </w:rPr>
        <w:t xml:space="preserve"> decir, en</w:t>
      </w:r>
      <w:r w:rsidRPr="00AB4289">
        <w:rPr>
          <w:sz w:val="28"/>
          <w:szCs w:val="28"/>
        </w:rPr>
        <w:t xml:space="preserve"> los documentos que acreditan los datos allí registrados, tales como copias de diplomas, certificados de notas y constancias laborales. El periodista explicó que solicitó dicha información en el marco de una investigación destinada a verificar la autenticidad de las credenciales profesionales de varios funcionarios de relevancia pública.</w:t>
      </w:r>
    </w:p>
    <w:p w14:paraId="3EA49CBA" w14:textId="0D5C241B" w:rsidR="00E42B81" w:rsidRPr="00AB4289" w:rsidRDefault="00E42B81" w:rsidP="00B40BE5">
      <w:pPr>
        <w:pStyle w:val="Prrafodelista"/>
        <w:shd w:val="clear" w:color="auto" w:fill="FFFFFF"/>
        <w:ind w:left="0" w:right="103"/>
        <w:jc w:val="both"/>
        <w:textAlignment w:val="baseline"/>
        <w:rPr>
          <w:color w:val="2D2D2D"/>
          <w:sz w:val="27"/>
          <w:szCs w:val="27"/>
        </w:rPr>
      </w:pPr>
    </w:p>
    <w:p w14:paraId="417A6A10" w14:textId="3ABE39BE" w:rsidR="00E8482E" w:rsidRPr="00AB4289" w:rsidRDefault="001040EF" w:rsidP="00B40BE5">
      <w:pPr>
        <w:pStyle w:val="Prrafodelista"/>
        <w:numPr>
          <w:ilvl w:val="0"/>
          <w:numId w:val="2"/>
        </w:numPr>
        <w:shd w:val="clear" w:color="auto" w:fill="FFFFFF"/>
        <w:ind w:left="0" w:right="103" w:firstLine="0"/>
        <w:jc w:val="both"/>
        <w:textAlignment w:val="baseline"/>
        <w:rPr>
          <w:sz w:val="28"/>
          <w:szCs w:val="28"/>
        </w:rPr>
      </w:pPr>
      <w:r w:rsidRPr="00AB4289">
        <w:rPr>
          <w:sz w:val="28"/>
          <w:szCs w:val="28"/>
        </w:rPr>
        <w:t xml:space="preserve">Al </w:t>
      </w:r>
      <w:r w:rsidR="000B1B8F" w:rsidRPr="00AB4289">
        <w:rPr>
          <w:sz w:val="28"/>
          <w:szCs w:val="28"/>
        </w:rPr>
        <w:t>resolver el caso concreto</w:t>
      </w:r>
      <w:r w:rsidRPr="00AB4289">
        <w:rPr>
          <w:sz w:val="28"/>
          <w:szCs w:val="28"/>
        </w:rPr>
        <w:t>, la Corte concluyó</w:t>
      </w:r>
      <w:r w:rsidR="00E8482E" w:rsidRPr="00AB4289">
        <w:rPr>
          <w:sz w:val="28"/>
          <w:szCs w:val="28"/>
        </w:rPr>
        <w:t xml:space="preserve"> que</w:t>
      </w:r>
      <w:r w:rsidR="00E42B81" w:rsidRPr="00AB4289">
        <w:rPr>
          <w:sz w:val="28"/>
          <w:szCs w:val="28"/>
        </w:rPr>
        <w:t xml:space="preserve"> l</w:t>
      </w:r>
      <w:r w:rsidR="00730F8C" w:rsidRPr="00AB4289">
        <w:rPr>
          <w:sz w:val="28"/>
          <w:szCs w:val="28"/>
        </w:rPr>
        <w:t>a información que consta en los</w:t>
      </w:r>
      <w:r w:rsidR="000D4FE1" w:rsidRPr="00AB4289">
        <w:rPr>
          <w:sz w:val="28"/>
          <w:szCs w:val="28"/>
        </w:rPr>
        <w:t xml:space="preserve"> soportes de la hoja de vida </w:t>
      </w:r>
      <w:proofErr w:type="gramStart"/>
      <w:r w:rsidR="00E42B81" w:rsidRPr="00AB4289">
        <w:rPr>
          <w:sz w:val="28"/>
          <w:szCs w:val="28"/>
        </w:rPr>
        <w:t>debía</w:t>
      </w:r>
      <w:r w:rsidR="000D4FE1" w:rsidRPr="00AB4289">
        <w:rPr>
          <w:sz w:val="28"/>
          <w:szCs w:val="28"/>
        </w:rPr>
        <w:t>n</w:t>
      </w:r>
      <w:proofErr w:type="gramEnd"/>
      <w:r w:rsidR="00E42B81" w:rsidRPr="00AB4289">
        <w:rPr>
          <w:sz w:val="28"/>
          <w:szCs w:val="28"/>
        </w:rPr>
        <w:t xml:space="preserve"> ser otorgad</w:t>
      </w:r>
      <w:r w:rsidR="00730F8C" w:rsidRPr="00AB4289">
        <w:rPr>
          <w:sz w:val="28"/>
          <w:szCs w:val="28"/>
        </w:rPr>
        <w:t>a</w:t>
      </w:r>
      <w:r w:rsidR="000D4FE1" w:rsidRPr="00AB4289">
        <w:rPr>
          <w:sz w:val="28"/>
          <w:szCs w:val="28"/>
        </w:rPr>
        <w:t xml:space="preserve"> porque, </w:t>
      </w:r>
      <w:r w:rsidR="000B1B8F" w:rsidRPr="00AB4289">
        <w:rPr>
          <w:sz w:val="28"/>
          <w:szCs w:val="28"/>
        </w:rPr>
        <w:t xml:space="preserve">en primer lugar, </w:t>
      </w:r>
      <w:r w:rsidR="00E42B81" w:rsidRPr="00AB4289">
        <w:rPr>
          <w:sz w:val="28"/>
          <w:szCs w:val="28"/>
        </w:rPr>
        <w:t>los diplomas o la</w:t>
      </w:r>
      <w:r w:rsidR="00E8482E" w:rsidRPr="00AB4289">
        <w:rPr>
          <w:sz w:val="28"/>
          <w:szCs w:val="28"/>
        </w:rPr>
        <w:t xml:space="preserve"> información sobre</w:t>
      </w:r>
      <w:r w:rsidR="00E42B81" w:rsidRPr="00AB4289">
        <w:rPr>
          <w:sz w:val="28"/>
          <w:szCs w:val="28"/>
        </w:rPr>
        <w:t xml:space="preserve"> la existencia de</w:t>
      </w:r>
      <w:r w:rsidR="00E8482E" w:rsidRPr="00AB4289">
        <w:rPr>
          <w:sz w:val="28"/>
          <w:szCs w:val="28"/>
        </w:rPr>
        <w:t xml:space="preserve"> títulos de educación s</w:t>
      </w:r>
      <w:r w:rsidR="00E42B81" w:rsidRPr="00AB4289">
        <w:rPr>
          <w:sz w:val="28"/>
          <w:szCs w:val="28"/>
        </w:rPr>
        <w:t>uperior es pública, en la medida que son datos contenidos en un documento</w:t>
      </w:r>
      <w:r w:rsidR="000B1B8F" w:rsidRPr="00AB4289">
        <w:rPr>
          <w:sz w:val="28"/>
          <w:szCs w:val="28"/>
        </w:rPr>
        <w:t xml:space="preserve"> </w:t>
      </w:r>
      <w:r w:rsidR="00E42B81" w:rsidRPr="00AB4289">
        <w:rPr>
          <w:sz w:val="28"/>
          <w:szCs w:val="28"/>
        </w:rPr>
        <w:t xml:space="preserve">público. </w:t>
      </w:r>
      <w:r w:rsidR="000D4FE1" w:rsidRPr="00AB4289">
        <w:rPr>
          <w:sz w:val="28"/>
          <w:szCs w:val="28"/>
        </w:rPr>
        <w:t xml:space="preserve">En segundo lugar, </w:t>
      </w:r>
      <w:r w:rsidR="000B1B8F" w:rsidRPr="00AB4289">
        <w:rPr>
          <w:sz w:val="28"/>
          <w:szCs w:val="28"/>
        </w:rPr>
        <w:t>la Corte determinó</w:t>
      </w:r>
      <w:r w:rsidR="00E42B81" w:rsidRPr="00AB4289">
        <w:rPr>
          <w:sz w:val="28"/>
          <w:szCs w:val="28"/>
        </w:rPr>
        <w:t xml:space="preserve"> que la información relacionada con l</w:t>
      </w:r>
      <w:r w:rsidR="000B1B8F" w:rsidRPr="00AB4289">
        <w:rPr>
          <w:sz w:val="28"/>
          <w:szCs w:val="28"/>
        </w:rPr>
        <w:t xml:space="preserve">os datos </w:t>
      </w:r>
      <w:r w:rsidR="00715F3C" w:rsidRPr="00AB4289">
        <w:rPr>
          <w:sz w:val="28"/>
          <w:szCs w:val="28"/>
        </w:rPr>
        <w:t>académic</w:t>
      </w:r>
      <w:r w:rsidR="000B1B8F" w:rsidRPr="00AB4289">
        <w:rPr>
          <w:sz w:val="28"/>
          <w:szCs w:val="28"/>
        </w:rPr>
        <w:t>os</w:t>
      </w:r>
      <w:r w:rsidR="00715F3C" w:rsidRPr="00AB4289">
        <w:rPr>
          <w:sz w:val="28"/>
          <w:szCs w:val="28"/>
        </w:rPr>
        <w:t xml:space="preserve"> es semiprivada, pero que</w:t>
      </w:r>
      <w:r w:rsidR="000D4FE1" w:rsidRPr="00AB4289">
        <w:rPr>
          <w:sz w:val="28"/>
          <w:szCs w:val="28"/>
        </w:rPr>
        <w:t xml:space="preserve"> en dicho caso</w:t>
      </w:r>
      <w:r w:rsidR="00715F3C" w:rsidRPr="00AB4289">
        <w:rPr>
          <w:sz w:val="28"/>
          <w:szCs w:val="28"/>
        </w:rPr>
        <w:t xml:space="preserve"> era necesario exponerla en la medida que </w:t>
      </w:r>
      <w:r w:rsidR="000D4FE1" w:rsidRPr="00AB4289">
        <w:rPr>
          <w:sz w:val="28"/>
          <w:szCs w:val="28"/>
        </w:rPr>
        <w:t xml:space="preserve">eran datos </w:t>
      </w:r>
      <w:r w:rsidR="00715F3C" w:rsidRPr="00AB4289">
        <w:rPr>
          <w:sz w:val="28"/>
          <w:szCs w:val="28"/>
        </w:rPr>
        <w:t>de relevancia social</w:t>
      </w:r>
      <w:r w:rsidRPr="00AB4289">
        <w:rPr>
          <w:sz w:val="28"/>
          <w:szCs w:val="28"/>
        </w:rPr>
        <w:t>. Así</w:t>
      </w:r>
      <w:r w:rsidR="000B1B8F" w:rsidRPr="00AB4289">
        <w:rPr>
          <w:sz w:val="28"/>
          <w:szCs w:val="28"/>
        </w:rPr>
        <w:t>, por un lado,</w:t>
      </w:r>
      <w:r w:rsidRPr="00AB4289">
        <w:rPr>
          <w:sz w:val="28"/>
          <w:szCs w:val="28"/>
        </w:rPr>
        <w:t xml:space="preserve"> podían</w:t>
      </w:r>
      <w:r w:rsidR="00715F3C" w:rsidRPr="00AB4289">
        <w:rPr>
          <w:sz w:val="28"/>
          <w:szCs w:val="28"/>
        </w:rPr>
        <w:t xml:space="preserve"> ofrecer información importante sobre la idoneidad profesional </w:t>
      </w:r>
      <w:r w:rsidR="000D4FE1" w:rsidRPr="00AB4289">
        <w:rPr>
          <w:sz w:val="28"/>
          <w:szCs w:val="28"/>
        </w:rPr>
        <w:t>de un personaje público y</w:t>
      </w:r>
      <w:r w:rsidR="000B1B8F" w:rsidRPr="00AB4289">
        <w:rPr>
          <w:sz w:val="28"/>
          <w:szCs w:val="28"/>
        </w:rPr>
        <w:t>, por el otro,</w:t>
      </w:r>
      <w:r w:rsidR="000D4FE1" w:rsidRPr="00AB4289">
        <w:rPr>
          <w:sz w:val="28"/>
          <w:szCs w:val="28"/>
        </w:rPr>
        <w:t xml:space="preserve"> iban a ser utilizadas para una investigación periodística</w:t>
      </w:r>
      <w:r w:rsidR="000B1B8F" w:rsidRPr="00AB4289">
        <w:rPr>
          <w:rStyle w:val="Refdenotaalpie"/>
          <w:rFonts w:cs="Times New Roman"/>
          <w:sz w:val="28"/>
          <w:szCs w:val="28"/>
        </w:rPr>
        <w:footnoteReference w:id="112"/>
      </w:r>
      <w:r w:rsidR="000D4FE1" w:rsidRPr="00AB4289">
        <w:rPr>
          <w:sz w:val="28"/>
          <w:szCs w:val="28"/>
        </w:rPr>
        <w:t>.</w:t>
      </w:r>
    </w:p>
    <w:p w14:paraId="371726F1" w14:textId="77777777" w:rsidR="00715F3C" w:rsidRPr="00AB4289" w:rsidRDefault="00715F3C" w:rsidP="00B40BE5">
      <w:pPr>
        <w:pStyle w:val="Prrafodelista"/>
        <w:shd w:val="clear" w:color="auto" w:fill="FFFFFF"/>
        <w:ind w:left="0" w:right="103"/>
        <w:jc w:val="both"/>
        <w:textAlignment w:val="baseline"/>
        <w:rPr>
          <w:color w:val="2D2D2D"/>
          <w:sz w:val="27"/>
          <w:szCs w:val="27"/>
        </w:rPr>
      </w:pPr>
    </w:p>
    <w:p w14:paraId="177B57F9" w14:textId="52D77D18" w:rsidR="004F426D" w:rsidRPr="00AB4289" w:rsidRDefault="00ED5C73" w:rsidP="00B40BE5">
      <w:pPr>
        <w:pStyle w:val="Prrafodelista"/>
        <w:numPr>
          <w:ilvl w:val="0"/>
          <w:numId w:val="2"/>
        </w:numPr>
        <w:shd w:val="clear" w:color="auto" w:fill="FFFFFF"/>
        <w:ind w:left="0" w:right="103" w:firstLine="0"/>
        <w:jc w:val="both"/>
        <w:textAlignment w:val="baseline"/>
        <w:rPr>
          <w:sz w:val="27"/>
          <w:szCs w:val="27"/>
        </w:rPr>
      </w:pPr>
      <w:r w:rsidRPr="00AB4289">
        <w:rPr>
          <w:sz w:val="28"/>
          <w:szCs w:val="28"/>
        </w:rPr>
        <w:t>A partir de estos argumentos</w:t>
      </w:r>
      <w:r w:rsidR="004F426D" w:rsidRPr="00AB4289">
        <w:rPr>
          <w:sz w:val="28"/>
          <w:szCs w:val="28"/>
        </w:rPr>
        <w:t>, se puede concluir</w:t>
      </w:r>
      <w:r w:rsidRPr="00AB4289">
        <w:rPr>
          <w:sz w:val="28"/>
          <w:szCs w:val="28"/>
        </w:rPr>
        <w:t>,</w:t>
      </w:r>
      <w:r w:rsidR="004F426D" w:rsidRPr="00AB4289">
        <w:rPr>
          <w:sz w:val="28"/>
          <w:szCs w:val="28"/>
        </w:rPr>
        <w:t xml:space="preserve"> </w:t>
      </w:r>
      <w:r w:rsidRPr="00AB4289">
        <w:rPr>
          <w:sz w:val="28"/>
          <w:szCs w:val="28"/>
        </w:rPr>
        <w:t>en lo relacionado con las hojas de vida</w:t>
      </w:r>
      <w:r w:rsidR="000D4FE1" w:rsidRPr="00AB4289">
        <w:rPr>
          <w:sz w:val="28"/>
          <w:szCs w:val="28"/>
        </w:rPr>
        <w:t xml:space="preserve"> en el sistema colombiano,</w:t>
      </w:r>
      <w:r w:rsidRPr="00AB4289">
        <w:rPr>
          <w:sz w:val="28"/>
          <w:szCs w:val="28"/>
        </w:rPr>
        <w:t xml:space="preserve"> </w:t>
      </w:r>
      <w:r w:rsidR="004F426D" w:rsidRPr="00AB4289">
        <w:rPr>
          <w:sz w:val="28"/>
          <w:szCs w:val="28"/>
        </w:rPr>
        <w:t xml:space="preserve">que </w:t>
      </w:r>
      <w:r w:rsidR="00C73726" w:rsidRPr="00AB4289">
        <w:rPr>
          <w:sz w:val="28"/>
          <w:szCs w:val="28"/>
        </w:rPr>
        <w:t xml:space="preserve">(i) </w:t>
      </w:r>
      <w:r w:rsidR="00ED222B" w:rsidRPr="00AB4289">
        <w:rPr>
          <w:sz w:val="28"/>
          <w:szCs w:val="28"/>
        </w:rPr>
        <w:t>l</w:t>
      </w:r>
      <w:r w:rsidR="00C73726" w:rsidRPr="00AB4289">
        <w:rPr>
          <w:sz w:val="28"/>
          <w:szCs w:val="28"/>
        </w:rPr>
        <w:t>os sujetos obligados</w:t>
      </w:r>
      <w:r w:rsidR="00ED222B" w:rsidRPr="00AB4289">
        <w:rPr>
          <w:sz w:val="28"/>
          <w:szCs w:val="28"/>
        </w:rPr>
        <w:t xml:space="preserve"> tienen </w:t>
      </w:r>
      <w:r w:rsidR="004029E8" w:rsidRPr="00AB4289">
        <w:rPr>
          <w:sz w:val="28"/>
          <w:szCs w:val="28"/>
        </w:rPr>
        <w:t xml:space="preserve">el deber de publicar la información relacionada con la </w:t>
      </w:r>
      <w:r w:rsidR="001040EF" w:rsidRPr="00AB4289">
        <w:rPr>
          <w:sz w:val="28"/>
          <w:szCs w:val="28"/>
        </w:rPr>
        <w:t xml:space="preserve">experiencia laboral y profesional </w:t>
      </w:r>
      <w:r w:rsidR="004029E8" w:rsidRPr="00AB4289">
        <w:rPr>
          <w:sz w:val="28"/>
          <w:szCs w:val="28"/>
        </w:rPr>
        <w:t>y</w:t>
      </w:r>
      <w:r w:rsidR="001040EF" w:rsidRPr="00AB4289">
        <w:rPr>
          <w:sz w:val="28"/>
          <w:szCs w:val="28"/>
        </w:rPr>
        <w:t xml:space="preserve"> la formación</w:t>
      </w:r>
      <w:r w:rsidR="004029E8" w:rsidRPr="00AB4289">
        <w:rPr>
          <w:sz w:val="28"/>
          <w:szCs w:val="28"/>
        </w:rPr>
        <w:t xml:space="preserve"> académica </w:t>
      </w:r>
      <w:r w:rsidR="00ED222B" w:rsidRPr="00AB4289">
        <w:rPr>
          <w:sz w:val="28"/>
          <w:szCs w:val="28"/>
        </w:rPr>
        <w:t xml:space="preserve">de sus </w:t>
      </w:r>
      <w:r w:rsidR="00C73726" w:rsidRPr="00AB4289">
        <w:rPr>
          <w:sz w:val="28"/>
          <w:szCs w:val="28"/>
        </w:rPr>
        <w:t>empleados</w:t>
      </w:r>
      <w:r w:rsidR="000D4FE1" w:rsidRPr="00AB4289">
        <w:rPr>
          <w:sz w:val="28"/>
          <w:szCs w:val="28"/>
        </w:rPr>
        <w:t>;</w:t>
      </w:r>
      <w:r w:rsidR="00C73726" w:rsidRPr="00AB4289">
        <w:rPr>
          <w:sz w:val="28"/>
          <w:szCs w:val="28"/>
        </w:rPr>
        <w:t xml:space="preserve"> (</w:t>
      </w:r>
      <w:proofErr w:type="spellStart"/>
      <w:r w:rsidR="00C73726" w:rsidRPr="00AB4289">
        <w:rPr>
          <w:sz w:val="28"/>
          <w:szCs w:val="28"/>
        </w:rPr>
        <w:t>ii</w:t>
      </w:r>
      <w:proofErr w:type="spellEnd"/>
      <w:r w:rsidR="00C73726" w:rsidRPr="00AB4289">
        <w:rPr>
          <w:sz w:val="28"/>
          <w:szCs w:val="28"/>
        </w:rPr>
        <w:t xml:space="preserve">) </w:t>
      </w:r>
      <w:r w:rsidR="00ED222B" w:rsidRPr="00AB4289">
        <w:rPr>
          <w:sz w:val="28"/>
          <w:szCs w:val="28"/>
        </w:rPr>
        <w:t>la</w:t>
      </w:r>
      <w:r w:rsidR="00C73726" w:rsidRPr="00AB4289">
        <w:rPr>
          <w:sz w:val="28"/>
          <w:szCs w:val="28"/>
        </w:rPr>
        <w:t>s</w:t>
      </w:r>
      <w:r w:rsidR="00ED222B" w:rsidRPr="00AB4289">
        <w:rPr>
          <w:sz w:val="28"/>
          <w:szCs w:val="28"/>
        </w:rPr>
        <w:t xml:space="preserve"> hoja</w:t>
      </w:r>
      <w:r w:rsidR="00C73726" w:rsidRPr="00AB4289">
        <w:rPr>
          <w:sz w:val="28"/>
          <w:szCs w:val="28"/>
        </w:rPr>
        <w:t>s</w:t>
      </w:r>
      <w:r w:rsidR="00ED222B" w:rsidRPr="00AB4289">
        <w:rPr>
          <w:sz w:val="28"/>
          <w:szCs w:val="28"/>
        </w:rPr>
        <w:t xml:space="preserve"> de vida no cuenta</w:t>
      </w:r>
      <w:r w:rsidR="00C73726" w:rsidRPr="00AB4289">
        <w:rPr>
          <w:sz w:val="28"/>
          <w:szCs w:val="28"/>
        </w:rPr>
        <w:t>n</w:t>
      </w:r>
      <w:r w:rsidR="00ED222B" w:rsidRPr="00AB4289">
        <w:rPr>
          <w:sz w:val="28"/>
          <w:szCs w:val="28"/>
        </w:rPr>
        <w:t xml:space="preserve"> con reserva</w:t>
      </w:r>
      <w:r w:rsidR="005111C2" w:rsidRPr="00AB4289">
        <w:rPr>
          <w:sz w:val="28"/>
          <w:szCs w:val="28"/>
        </w:rPr>
        <w:t>,</w:t>
      </w:r>
      <w:r w:rsidR="00ED222B" w:rsidRPr="00AB4289">
        <w:rPr>
          <w:sz w:val="28"/>
          <w:szCs w:val="28"/>
        </w:rPr>
        <w:t xml:space="preserve"> </w:t>
      </w:r>
      <w:r w:rsidR="0046640C" w:rsidRPr="00AB4289">
        <w:rPr>
          <w:sz w:val="28"/>
          <w:szCs w:val="28"/>
        </w:rPr>
        <w:t xml:space="preserve">excepto </w:t>
      </w:r>
      <w:r w:rsidR="005111C2" w:rsidRPr="00AB4289">
        <w:rPr>
          <w:sz w:val="28"/>
          <w:szCs w:val="28"/>
        </w:rPr>
        <w:t xml:space="preserve">frente a </w:t>
      </w:r>
      <w:r w:rsidR="0046640C" w:rsidRPr="00AB4289">
        <w:rPr>
          <w:sz w:val="28"/>
          <w:szCs w:val="28"/>
        </w:rPr>
        <w:t xml:space="preserve">los </w:t>
      </w:r>
      <w:r w:rsidR="00ED222B" w:rsidRPr="00AB4289">
        <w:rPr>
          <w:sz w:val="28"/>
          <w:szCs w:val="28"/>
        </w:rPr>
        <w:t>datos sensibles</w:t>
      </w:r>
      <w:r w:rsidR="005111C2" w:rsidRPr="00AB4289">
        <w:rPr>
          <w:sz w:val="28"/>
          <w:szCs w:val="28"/>
        </w:rPr>
        <w:t xml:space="preserve"> que contienen</w:t>
      </w:r>
      <w:r w:rsidR="000D4FE1" w:rsidRPr="00AB4289">
        <w:rPr>
          <w:sz w:val="28"/>
          <w:szCs w:val="28"/>
        </w:rPr>
        <w:t xml:space="preserve"> y (</w:t>
      </w:r>
      <w:proofErr w:type="spellStart"/>
      <w:r w:rsidR="000D4FE1" w:rsidRPr="00AB4289">
        <w:rPr>
          <w:sz w:val="28"/>
          <w:szCs w:val="28"/>
        </w:rPr>
        <w:t>iii</w:t>
      </w:r>
      <w:proofErr w:type="spellEnd"/>
      <w:r w:rsidR="000D4FE1" w:rsidRPr="00AB4289">
        <w:rPr>
          <w:sz w:val="28"/>
          <w:szCs w:val="28"/>
        </w:rPr>
        <w:t>) los documentos que soportan la veracidad de l</w:t>
      </w:r>
      <w:r w:rsidR="001E6063" w:rsidRPr="00AB4289">
        <w:rPr>
          <w:sz w:val="28"/>
          <w:szCs w:val="28"/>
        </w:rPr>
        <w:t>o</w:t>
      </w:r>
      <w:r w:rsidR="001040EF" w:rsidRPr="00AB4289">
        <w:rPr>
          <w:sz w:val="28"/>
          <w:szCs w:val="28"/>
        </w:rPr>
        <w:t xml:space="preserve"> señalado en la</w:t>
      </w:r>
      <w:r w:rsidR="000D4FE1" w:rsidRPr="00AB4289">
        <w:rPr>
          <w:sz w:val="28"/>
          <w:szCs w:val="28"/>
        </w:rPr>
        <w:t xml:space="preserve"> hoja de vida pueden ser entregados cuando </w:t>
      </w:r>
      <w:r w:rsidR="000B1B8F" w:rsidRPr="00AB4289">
        <w:rPr>
          <w:sz w:val="28"/>
          <w:szCs w:val="28"/>
        </w:rPr>
        <w:t xml:space="preserve">tienen relevancia pública </w:t>
      </w:r>
      <w:r w:rsidR="005C3FE9" w:rsidRPr="00AB4289">
        <w:rPr>
          <w:sz w:val="28"/>
          <w:szCs w:val="28"/>
        </w:rPr>
        <w:t>o</w:t>
      </w:r>
      <w:r w:rsidR="000B1B8F" w:rsidRPr="00AB4289">
        <w:rPr>
          <w:sz w:val="28"/>
          <w:szCs w:val="28"/>
        </w:rPr>
        <w:t xml:space="preserve"> sirven para verificar la idoneidad profesional de personajes públicos. </w:t>
      </w:r>
    </w:p>
    <w:p w14:paraId="2EB42D47" w14:textId="77777777" w:rsidR="0053719C" w:rsidRPr="00AB4289" w:rsidRDefault="0053719C" w:rsidP="00B40BE5">
      <w:pPr>
        <w:pStyle w:val="Prrafodelista"/>
        <w:autoSpaceDE w:val="0"/>
        <w:autoSpaceDN w:val="0"/>
        <w:adjustRightInd w:val="0"/>
        <w:ind w:left="0"/>
        <w:jc w:val="both"/>
        <w:rPr>
          <w:rFonts w:eastAsiaTheme="minorHAnsi"/>
          <w:sz w:val="28"/>
          <w:szCs w:val="28"/>
          <w:lang w:val="es-ES_tradnl" w:eastAsia="en-US"/>
        </w:rPr>
      </w:pPr>
    </w:p>
    <w:p w14:paraId="31CDAFCA" w14:textId="45031D00" w:rsidR="0053719C" w:rsidRPr="00AB4289" w:rsidRDefault="00D61FF1" w:rsidP="00B40BE5">
      <w:pPr>
        <w:pStyle w:val="Prrafodelista"/>
        <w:numPr>
          <w:ilvl w:val="0"/>
          <w:numId w:val="2"/>
        </w:numPr>
        <w:autoSpaceDE w:val="0"/>
        <w:autoSpaceDN w:val="0"/>
        <w:adjustRightInd w:val="0"/>
        <w:ind w:left="0" w:firstLine="0"/>
        <w:jc w:val="both"/>
        <w:rPr>
          <w:rFonts w:eastAsiaTheme="minorHAnsi"/>
          <w:sz w:val="28"/>
          <w:szCs w:val="28"/>
          <w:lang w:val="es-ES_tradnl" w:eastAsia="en-US"/>
        </w:rPr>
      </w:pPr>
      <w:r w:rsidRPr="00AB4289">
        <w:rPr>
          <w:rFonts w:eastAsiaTheme="minorHAnsi"/>
          <w:sz w:val="28"/>
          <w:szCs w:val="28"/>
          <w:lang w:val="es-ES_tradnl" w:eastAsia="en-US"/>
        </w:rPr>
        <w:t>A</w:t>
      </w:r>
      <w:r w:rsidR="00E42B81" w:rsidRPr="00AB4289">
        <w:rPr>
          <w:rFonts w:eastAsiaTheme="minorHAnsi"/>
          <w:sz w:val="28"/>
          <w:szCs w:val="28"/>
          <w:lang w:val="es-ES_tradnl" w:eastAsia="en-US"/>
        </w:rPr>
        <w:t>hora bien, a</w:t>
      </w:r>
      <w:r w:rsidRPr="00AB4289">
        <w:rPr>
          <w:rFonts w:eastAsiaTheme="minorHAnsi"/>
          <w:sz w:val="28"/>
          <w:szCs w:val="28"/>
          <w:lang w:val="es-ES_tradnl" w:eastAsia="en-US"/>
        </w:rPr>
        <w:t xml:space="preserve"> pesar de</w:t>
      </w:r>
      <w:r w:rsidR="00181141" w:rsidRPr="00AB4289">
        <w:rPr>
          <w:rFonts w:eastAsiaTheme="minorHAnsi"/>
          <w:sz w:val="28"/>
          <w:szCs w:val="28"/>
          <w:lang w:val="es-ES_tradnl" w:eastAsia="en-US"/>
        </w:rPr>
        <w:t xml:space="preserve">l </w:t>
      </w:r>
      <w:r w:rsidR="004B606C" w:rsidRPr="00AB4289">
        <w:rPr>
          <w:rFonts w:eastAsiaTheme="minorHAnsi"/>
          <w:sz w:val="28"/>
          <w:szCs w:val="28"/>
          <w:lang w:val="es-ES_tradnl" w:eastAsia="en-US"/>
        </w:rPr>
        <w:t>marco normativo que</w:t>
      </w:r>
      <w:r w:rsidR="00403FB4" w:rsidRPr="00AB4289">
        <w:rPr>
          <w:rFonts w:eastAsiaTheme="minorHAnsi"/>
          <w:sz w:val="28"/>
          <w:szCs w:val="28"/>
          <w:lang w:val="es-ES_tradnl" w:eastAsia="en-US"/>
        </w:rPr>
        <w:t xml:space="preserve"> busca </w:t>
      </w:r>
      <w:r w:rsidR="004B606C" w:rsidRPr="00AB4289">
        <w:rPr>
          <w:rFonts w:eastAsiaTheme="minorHAnsi"/>
          <w:sz w:val="28"/>
          <w:szCs w:val="28"/>
          <w:lang w:val="es-ES_tradnl" w:eastAsia="en-US"/>
        </w:rPr>
        <w:t>garantizar la transparencia en el ejercicio de la función judicial</w:t>
      </w:r>
      <w:r w:rsidR="000D4FE1" w:rsidRPr="00AB4289">
        <w:rPr>
          <w:rFonts w:eastAsiaTheme="minorHAnsi"/>
          <w:sz w:val="28"/>
          <w:szCs w:val="28"/>
          <w:lang w:val="es-ES_tradnl" w:eastAsia="en-US"/>
        </w:rPr>
        <w:t xml:space="preserve"> en el país</w:t>
      </w:r>
      <w:r w:rsidR="004B606C" w:rsidRPr="00AB4289">
        <w:rPr>
          <w:rFonts w:eastAsiaTheme="minorHAnsi"/>
          <w:sz w:val="28"/>
          <w:szCs w:val="28"/>
          <w:lang w:val="es-ES_tradnl" w:eastAsia="en-US"/>
        </w:rPr>
        <w:t>, lo cierto es que</w:t>
      </w:r>
      <w:r w:rsidRPr="00AB4289">
        <w:rPr>
          <w:rFonts w:eastAsiaTheme="minorHAnsi"/>
          <w:sz w:val="28"/>
          <w:szCs w:val="28"/>
          <w:lang w:val="es-ES_tradnl" w:eastAsia="en-US"/>
        </w:rPr>
        <w:t xml:space="preserve"> </w:t>
      </w:r>
      <w:r w:rsidR="00AE67F5" w:rsidRPr="00AB4289">
        <w:rPr>
          <w:rFonts w:eastAsiaTheme="minorHAnsi"/>
          <w:sz w:val="28"/>
          <w:szCs w:val="28"/>
          <w:lang w:val="es-ES_tradnl" w:eastAsia="en-US"/>
        </w:rPr>
        <w:t>en Colombia</w:t>
      </w:r>
      <w:r w:rsidRPr="00AB4289">
        <w:rPr>
          <w:rFonts w:eastAsiaTheme="minorHAnsi"/>
          <w:sz w:val="28"/>
          <w:szCs w:val="28"/>
          <w:lang w:val="es-ES_tradnl" w:eastAsia="en-US"/>
        </w:rPr>
        <w:t xml:space="preserve"> </w:t>
      </w:r>
      <w:r w:rsidR="00403FB4" w:rsidRPr="00AB4289">
        <w:rPr>
          <w:rFonts w:eastAsiaTheme="minorHAnsi"/>
          <w:sz w:val="28"/>
          <w:szCs w:val="28"/>
          <w:lang w:val="es-ES_tradnl" w:eastAsia="en-US"/>
        </w:rPr>
        <w:t>estos deberes no siempre se cumplen</w:t>
      </w:r>
      <w:r w:rsidR="00AE67F5" w:rsidRPr="00AB4289">
        <w:rPr>
          <w:rFonts w:eastAsiaTheme="minorHAnsi"/>
          <w:sz w:val="28"/>
          <w:szCs w:val="28"/>
          <w:lang w:val="es-ES_tradnl" w:eastAsia="en-US"/>
        </w:rPr>
        <w:t xml:space="preserve">. </w:t>
      </w:r>
      <w:r w:rsidR="00BF53D7" w:rsidRPr="00AB4289">
        <w:rPr>
          <w:rFonts w:eastAsiaTheme="minorHAnsi"/>
          <w:sz w:val="28"/>
          <w:szCs w:val="28"/>
          <w:lang w:val="es-ES_tradnl" w:eastAsia="en-US"/>
        </w:rPr>
        <w:t>Así, por ejemplo,</w:t>
      </w:r>
      <w:r w:rsidR="0079004E" w:rsidRPr="00AB4289">
        <w:rPr>
          <w:rFonts w:eastAsiaTheme="minorHAnsi"/>
          <w:sz w:val="28"/>
          <w:szCs w:val="28"/>
          <w:lang w:val="es-ES_tradnl" w:eastAsia="en-US"/>
        </w:rPr>
        <w:t xml:space="preserve"> </w:t>
      </w:r>
      <w:r w:rsidR="00BF53D7" w:rsidRPr="00AB4289">
        <w:rPr>
          <w:rFonts w:eastAsiaTheme="minorHAnsi"/>
          <w:sz w:val="28"/>
          <w:szCs w:val="28"/>
          <w:lang w:val="es-ES_tradnl" w:eastAsia="en-US"/>
        </w:rPr>
        <w:t>una investigación</w:t>
      </w:r>
      <w:r w:rsidR="00A01D36" w:rsidRPr="00AB4289">
        <w:rPr>
          <w:rFonts w:eastAsiaTheme="minorHAnsi"/>
          <w:sz w:val="28"/>
          <w:szCs w:val="28"/>
          <w:lang w:val="es-ES_tradnl" w:eastAsia="en-US"/>
        </w:rPr>
        <w:t xml:space="preserve"> sobre la transparencia en la rama judicial </w:t>
      </w:r>
      <w:r w:rsidR="00BF53D7" w:rsidRPr="00AB4289">
        <w:rPr>
          <w:rFonts w:eastAsiaTheme="minorHAnsi"/>
          <w:sz w:val="28"/>
          <w:szCs w:val="28"/>
          <w:lang w:val="es-ES_tradnl" w:eastAsia="en-US"/>
        </w:rPr>
        <w:t>demostró que</w:t>
      </w:r>
      <w:r w:rsidR="0079004E" w:rsidRPr="00AB4289">
        <w:rPr>
          <w:rFonts w:eastAsiaTheme="minorHAnsi"/>
          <w:sz w:val="28"/>
          <w:szCs w:val="28"/>
          <w:lang w:val="es-ES_tradnl" w:eastAsia="en-US"/>
        </w:rPr>
        <w:t xml:space="preserve"> </w:t>
      </w:r>
      <w:r w:rsidR="00A01D36" w:rsidRPr="00AB4289">
        <w:rPr>
          <w:rFonts w:eastAsiaTheme="minorHAnsi"/>
          <w:sz w:val="28"/>
          <w:szCs w:val="28"/>
          <w:lang w:val="es-ES_tradnl" w:eastAsia="en-US"/>
        </w:rPr>
        <w:t xml:space="preserve">en muchos casos las </w:t>
      </w:r>
      <w:r w:rsidR="009B203C" w:rsidRPr="00AB4289">
        <w:rPr>
          <w:rFonts w:eastAsiaTheme="minorHAnsi"/>
          <w:sz w:val="28"/>
          <w:szCs w:val="28"/>
          <w:lang w:val="es-ES_tradnl" w:eastAsia="en-US"/>
        </w:rPr>
        <w:t>A</w:t>
      </w:r>
      <w:r w:rsidR="00A01D36" w:rsidRPr="00AB4289">
        <w:rPr>
          <w:rFonts w:eastAsiaTheme="minorHAnsi"/>
          <w:sz w:val="28"/>
          <w:szCs w:val="28"/>
          <w:lang w:val="es-ES_tradnl" w:eastAsia="en-US"/>
        </w:rPr>
        <w:t xml:space="preserve">ltas </w:t>
      </w:r>
      <w:r w:rsidR="009B203C" w:rsidRPr="00AB4289">
        <w:rPr>
          <w:rFonts w:eastAsiaTheme="minorHAnsi"/>
          <w:sz w:val="28"/>
          <w:szCs w:val="28"/>
          <w:lang w:val="es-ES_tradnl" w:eastAsia="en-US"/>
        </w:rPr>
        <w:t>C</w:t>
      </w:r>
      <w:r w:rsidR="00A01D36" w:rsidRPr="00AB4289">
        <w:rPr>
          <w:rFonts w:eastAsiaTheme="minorHAnsi"/>
          <w:sz w:val="28"/>
          <w:szCs w:val="28"/>
          <w:lang w:val="es-ES_tradnl" w:eastAsia="en-US"/>
        </w:rPr>
        <w:t xml:space="preserve">ortes </w:t>
      </w:r>
      <w:r w:rsidR="0079004E" w:rsidRPr="00AB4289">
        <w:rPr>
          <w:rFonts w:eastAsiaTheme="minorHAnsi"/>
          <w:sz w:val="28"/>
          <w:szCs w:val="28"/>
          <w:lang w:val="es-ES_tradnl" w:eastAsia="en-US"/>
        </w:rPr>
        <w:t xml:space="preserve">se niegan o no han actualizado informaciones </w:t>
      </w:r>
      <w:r w:rsidR="0079004E" w:rsidRPr="00AB4289">
        <w:rPr>
          <w:rFonts w:eastAsiaTheme="minorHAnsi"/>
          <w:sz w:val="28"/>
          <w:szCs w:val="28"/>
          <w:lang w:val="es-ES_tradnl" w:eastAsia="en-US"/>
        </w:rPr>
        <w:lastRenderedPageBreak/>
        <w:t xml:space="preserve">relacionadas con el salario y la </w:t>
      </w:r>
      <w:r w:rsidR="000D4FE1" w:rsidRPr="00AB4289">
        <w:rPr>
          <w:rFonts w:eastAsiaTheme="minorHAnsi"/>
          <w:sz w:val="28"/>
          <w:szCs w:val="28"/>
          <w:lang w:val="es-ES_tradnl" w:eastAsia="en-US"/>
        </w:rPr>
        <w:t xml:space="preserve">hoja de vida </w:t>
      </w:r>
      <w:r w:rsidR="0079004E" w:rsidRPr="00AB4289">
        <w:rPr>
          <w:rFonts w:eastAsiaTheme="minorHAnsi"/>
          <w:sz w:val="28"/>
          <w:szCs w:val="28"/>
          <w:lang w:val="es-ES_tradnl" w:eastAsia="en-US"/>
        </w:rPr>
        <w:t xml:space="preserve">de </w:t>
      </w:r>
      <w:r w:rsidR="005111C2" w:rsidRPr="00AB4289">
        <w:rPr>
          <w:rFonts w:eastAsiaTheme="minorHAnsi"/>
          <w:sz w:val="28"/>
          <w:szCs w:val="28"/>
          <w:lang w:val="es-ES_tradnl" w:eastAsia="en-US"/>
        </w:rPr>
        <w:t>sus</w:t>
      </w:r>
      <w:r w:rsidR="0079004E" w:rsidRPr="00AB4289">
        <w:rPr>
          <w:rFonts w:eastAsiaTheme="minorHAnsi"/>
          <w:sz w:val="28"/>
          <w:szCs w:val="28"/>
          <w:lang w:val="es-ES_tradnl" w:eastAsia="en-US"/>
        </w:rPr>
        <w:t xml:space="preserve"> funcionarios</w:t>
      </w:r>
      <w:r w:rsidR="0079004E" w:rsidRPr="00AB4289">
        <w:rPr>
          <w:rStyle w:val="Refdenotaalpie"/>
          <w:rFonts w:eastAsiaTheme="minorHAnsi" w:cs="Times New Roman"/>
          <w:sz w:val="28"/>
          <w:szCs w:val="28"/>
          <w:lang w:val="es-ES_tradnl" w:eastAsia="en-US"/>
        </w:rPr>
        <w:footnoteReference w:id="113"/>
      </w:r>
      <w:r w:rsidR="00BF53D7" w:rsidRPr="00AB4289">
        <w:rPr>
          <w:rFonts w:eastAsiaTheme="minorHAnsi"/>
          <w:sz w:val="28"/>
          <w:szCs w:val="28"/>
          <w:lang w:val="es-ES_tradnl" w:eastAsia="en-US"/>
        </w:rPr>
        <w:t>.</w:t>
      </w:r>
      <w:r w:rsidR="00146C95" w:rsidRPr="00AB4289">
        <w:rPr>
          <w:rFonts w:eastAsiaTheme="minorHAnsi"/>
          <w:sz w:val="28"/>
          <w:szCs w:val="28"/>
          <w:lang w:val="es-ES_tradnl" w:eastAsia="en-US"/>
        </w:rPr>
        <w:t xml:space="preserve"> </w:t>
      </w:r>
      <w:r w:rsidR="00BF53D7" w:rsidRPr="00AB4289">
        <w:rPr>
          <w:rFonts w:eastAsiaTheme="minorHAnsi"/>
          <w:sz w:val="28"/>
          <w:szCs w:val="28"/>
          <w:lang w:val="es-ES_tradnl" w:eastAsia="en-US"/>
        </w:rPr>
        <w:t xml:space="preserve">Por otro lado, </w:t>
      </w:r>
      <w:r w:rsidR="00AE67F5" w:rsidRPr="00AB4289">
        <w:rPr>
          <w:rFonts w:eastAsiaTheme="minorHAnsi"/>
          <w:sz w:val="28"/>
          <w:szCs w:val="28"/>
          <w:lang w:val="es-ES_tradnl" w:eastAsia="en-US"/>
        </w:rPr>
        <w:t>un informe elaborado por diversas organizaciones de la sociedad civil colombiana</w:t>
      </w:r>
      <w:r w:rsidRPr="00AB4289">
        <w:rPr>
          <w:rFonts w:eastAsiaTheme="minorHAnsi"/>
          <w:sz w:val="28"/>
          <w:szCs w:val="28"/>
          <w:lang w:val="es-ES_tradnl" w:eastAsia="en-US"/>
        </w:rPr>
        <w:t xml:space="preserve"> </w:t>
      </w:r>
      <w:r w:rsidR="00AE67F5" w:rsidRPr="00AB4289">
        <w:rPr>
          <w:rFonts w:eastAsiaTheme="minorHAnsi"/>
          <w:sz w:val="28"/>
          <w:szCs w:val="28"/>
          <w:lang w:val="es-ES_tradnl" w:eastAsia="en-US"/>
        </w:rPr>
        <w:t xml:space="preserve">con el apoyo de la Unión Europea evidenció que el nivel de cumplimiento de la Ley de Transparencia por parte de las </w:t>
      </w:r>
      <w:r w:rsidR="009B203C" w:rsidRPr="00AB4289">
        <w:rPr>
          <w:rFonts w:eastAsiaTheme="minorHAnsi"/>
          <w:sz w:val="28"/>
          <w:szCs w:val="28"/>
          <w:lang w:val="es-ES_tradnl" w:eastAsia="en-US"/>
        </w:rPr>
        <w:t>A</w:t>
      </w:r>
      <w:r w:rsidR="00AE67F5" w:rsidRPr="00AB4289">
        <w:rPr>
          <w:rFonts w:eastAsiaTheme="minorHAnsi"/>
          <w:sz w:val="28"/>
          <w:szCs w:val="28"/>
          <w:lang w:val="es-ES_tradnl" w:eastAsia="en-US"/>
        </w:rPr>
        <w:t xml:space="preserve">ltas </w:t>
      </w:r>
      <w:r w:rsidR="009B203C" w:rsidRPr="00AB4289">
        <w:rPr>
          <w:rFonts w:eastAsiaTheme="minorHAnsi"/>
          <w:sz w:val="28"/>
          <w:szCs w:val="28"/>
          <w:lang w:val="es-ES_tradnl" w:eastAsia="en-US"/>
        </w:rPr>
        <w:t>C</w:t>
      </w:r>
      <w:r w:rsidR="00AE67F5" w:rsidRPr="00AB4289">
        <w:rPr>
          <w:rFonts w:eastAsiaTheme="minorHAnsi"/>
          <w:sz w:val="28"/>
          <w:szCs w:val="28"/>
          <w:lang w:val="es-ES_tradnl" w:eastAsia="en-US"/>
        </w:rPr>
        <w:t xml:space="preserve">ortes es deficiente, </w:t>
      </w:r>
      <w:r w:rsidR="0025377E" w:rsidRPr="00AB4289">
        <w:rPr>
          <w:rFonts w:eastAsiaTheme="minorHAnsi"/>
          <w:sz w:val="28"/>
          <w:szCs w:val="28"/>
          <w:lang w:val="es-ES_tradnl" w:eastAsia="en-US"/>
        </w:rPr>
        <w:t>pues la información de los magistrados muchas veces no está actualizada o ni siquiera publicada</w:t>
      </w:r>
      <w:r w:rsidR="0025377E" w:rsidRPr="00AB4289">
        <w:rPr>
          <w:rStyle w:val="Refdenotaalpie"/>
          <w:rFonts w:eastAsiaTheme="minorHAnsi" w:cs="Times New Roman"/>
          <w:sz w:val="28"/>
          <w:szCs w:val="28"/>
          <w:lang w:val="es-ES_tradnl" w:eastAsia="en-US"/>
        </w:rPr>
        <w:footnoteReference w:id="114"/>
      </w:r>
      <w:r w:rsidR="0025377E" w:rsidRPr="00AB4289">
        <w:rPr>
          <w:rFonts w:eastAsiaTheme="minorHAnsi"/>
          <w:sz w:val="28"/>
          <w:szCs w:val="28"/>
          <w:lang w:val="es-ES_tradnl" w:eastAsia="en-US"/>
        </w:rPr>
        <w:t xml:space="preserve">. </w:t>
      </w:r>
    </w:p>
    <w:p w14:paraId="3ADD98E6" w14:textId="77777777" w:rsidR="0053719C" w:rsidRPr="00AB4289" w:rsidRDefault="0053719C" w:rsidP="00B40BE5">
      <w:pPr>
        <w:pStyle w:val="Prrafodelista"/>
        <w:jc w:val="both"/>
        <w:rPr>
          <w:rFonts w:eastAsiaTheme="minorHAnsi"/>
          <w:sz w:val="28"/>
          <w:szCs w:val="28"/>
          <w:lang w:val="es-ES_tradnl" w:eastAsia="en-US"/>
        </w:rPr>
      </w:pPr>
    </w:p>
    <w:p w14:paraId="3980D540" w14:textId="439C223B" w:rsidR="0053719C" w:rsidRPr="00AB4289" w:rsidRDefault="001B206C" w:rsidP="00B40BE5">
      <w:pPr>
        <w:pStyle w:val="Prrafodelista"/>
        <w:numPr>
          <w:ilvl w:val="0"/>
          <w:numId w:val="2"/>
        </w:numPr>
        <w:autoSpaceDE w:val="0"/>
        <w:autoSpaceDN w:val="0"/>
        <w:adjustRightInd w:val="0"/>
        <w:ind w:left="0" w:firstLine="0"/>
        <w:jc w:val="both"/>
        <w:rPr>
          <w:rFonts w:eastAsiaTheme="minorHAnsi"/>
          <w:sz w:val="28"/>
          <w:szCs w:val="28"/>
          <w:lang w:val="es-ES_tradnl" w:eastAsia="en-US"/>
        </w:rPr>
      </w:pPr>
      <w:r w:rsidRPr="00AB4289">
        <w:rPr>
          <w:rFonts w:eastAsiaTheme="minorHAnsi"/>
          <w:sz w:val="28"/>
          <w:szCs w:val="28"/>
          <w:lang w:val="es-ES_tradnl" w:eastAsia="en-US"/>
        </w:rPr>
        <w:t xml:space="preserve">Ante este panorama, </w:t>
      </w:r>
      <w:r w:rsidR="004B606C" w:rsidRPr="00AB4289">
        <w:rPr>
          <w:rFonts w:eastAsiaTheme="minorHAnsi"/>
          <w:sz w:val="28"/>
          <w:szCs w:val="28"/>
          <w:lang w:val="es-ES_tradnl" w:eastAsia="en-US"/>
        </w:rPr>
        <w:t xml:space="preserve">la Corte </w:t>
      </w:r>
      <w:r w:rsidR="00403FB4" w:rsidRPr="00AB4289">
        <w:rPr>
          <w:rFonts w:eastAsiaTheme="minorHAnsi"/>
          <w:sz w:val="28"/>
          <w:szCs w:val="28"/>
          <w:lang w:val="es-ES_tradnl" w:eastAsia="en-US"/>
        </w:rPr>
        <w:t>debe</w:t>
      </w:r>
      <w:r w:rsidR="004B606C" w:rsidRPr="00AB4289">
        <w:rPr>
          <w:rFonts w:eastAsiaTheme="minorHAnsi"/>
          <w:sz w:val="28"/>
          <w:szCs w:val="28"/>
          <w:lang w:val="es-ES_tradnl" w:eastAsia="en-US"/>
        </w:rPr>
        <w:t xml:space="preserve"> reiterar que el respeto y la diligencia en el cumplimiento de los deberes de transparencia constituyen un pilar esencial para el desarrollo de la democracia. </w:t>
      </w:r>
      <w:r w:rsidR="002B3274" w:rsidRPr="00AB4289">
        <w:rPr>
          <w:rFonts w:eastAsiaTheme="minorHAnsi"/>
          <w:sz w:val="28"/>
          <w:szCs w:val="28"/>
          <w:lang w:val="es-ES_tradnl" w:eastAsia="en-US"/>
        </w:rPr>
        <w:t>La transparencia no</w:t>
      </w:r>
      <w:r w:rsidR="0025377E" w:rsidRPr="00AB4289">
        <w:rPr>
          <w:rFonts w:eastAsiaTheme="minorHAnsi"/>
          <w:sz w:val="28"/>
          <w:szCs w:val="28"/>
          <w:lang w:val="es-ES_tradnl" w:eastAsia="en-US"/>
        </w:rPr>
        <w:t xml:space="preserve"> es solo un deber</w:t>
      </w:r>
      <w:r w:rsidR="002B3274" w:rsidRPr="00AB4289">
        <w:rPr>
          <w:rFonts w:eastAsiaTheme="minorHAnsi"/>
          <w:sz w:val="28"/>
          <w:szCs w:val="28"/>
          <w:lang w:val="es-ES_tradnl" w:eastAsia="en-US"/>
        </w:rPr>
        <w:t xml:space="preserve"> jurídico</w:t>
      </w:r>
      <w:r w:rsidR="0025377E" w:rsidRPr="00AB4289">
        <w:rPr>
          <w:rFonts w:eastAsiaTheme="minorHAnsi"/>
          <w:sz w:val="28"/>
          <w:szCs w:val="28"/>
          <w:lang w:val="es-ES_tradnl" w:eastAsia="en-US"/>
        </w:rPr>
        <w:t xml:space="preserve"> formal, sino una invitación a asumir una actitud vigilante y proactiva frente a</w:t>
      </w:r>
      <w:r w:rsidR="00B601B1" w:rsidRPr="00AB4289">
        <w:rPr>
          <w:rFonts w:eastAsiaTheme="minorHAnsi"/>
          <w:sz w:val="28"/>
          <w:szCs w:val="28"/>
          <w:lang w:val="es-ES_tradnl" w:eastAsia="en-US"/>
        </w:rPr>
        <w:t>l ejercicio de las funciones públicas</w:t>
      </w:r>
      <w:r w:rsidR="0079004E" w:rsidRPr="00AB4289">
        <w:rPr>
          <w:rFonts w:eastAsiaTheme="minorHAnsi"/>
          <w:sz w:val="28"/>
          <w:szCs w:val="28"/>
          <w:lang w:val="es-ES_tradnl" w:eastAsia="en-US"/>
        </w:rPr>
        <w:t xml:space="preserve">. A través de </w:t>
      </w:r>
      <w:r w:rsidR="00403FB4" w:rsidRPr="00AB4289">
        <w:rPr>
          <w:rFonts w:eastAsiaTheme="minorHAnsi"/>
          <w:sz w:val="28"/>
          <w:szCs w:val="28"/>
          <w:lang w:val="es-ES_tradnl" w:eastAsia="en-US"/>
        </w:rPr>
        <w:t>este principio</w:t>
      </w:r>
      <w:r w:rsidR="0079004E" w:rsidRPr="00AB4289">
        <w:rPr>
          <w:rFonts w:eastAsiaTheme="minorHAnsi"/>
          <w:sz w:val="28"/>
          <w:szCs w:val="28"/>
          <w:lang w:val="es-ES_tradnl" w:eastAsia="en-US"/>
        </w:rPr>
        <w:t xml:space="preserve">, se cultiva </w:t>
      </w:r>
      <w:r w:rsidR="00403FB4" w:rsidRPr="00AB4289">
        <w:rPr>
          <w:rFonts w:eastAsiaTheme="minorHAnsi"/>
          <w:sz w:val="28"/>
          <w:szCs w:val="28"/>
          <w:lang w:val="es-ES_tradnl" w:eastAsia="en-US"/>
        </w:rPr>
        <w:t xml:space="preserve">una cultura de lo público en la que el </w:t>
      </w:r>
      <w:r w:rsidR="0079004E" w:rsidRPr="00AB4289">
        <w:rPr>
          <w:rFonts w:eastAsiaTheme="minorHAnsi"/>
          <w:sz w:val="28"/>
          <w:szCs w:val="28"/>
          <w:lang w:val="es-ES_tradnl" w:eastAsia="en-US"/>
        </w:rPr>
        <w:t>ejercicio del poder no se oculta, sino que se muestra, se explica y se deja comprender, para estar verdaderamente al alcance de todas las personas.</w:t>
      </w:r>
    </w:p>
    <w:p w14:paraId="1E81BDC9" w14:textId="77777777" w:rsidR="0053719C" w:rsidRPr="00AB4289" w:rsidRDefault="0053719C" w:rsidP="00B40BE5">
      <w:pPr>
        <w:pStyle w:val="Prrafodelista"/>
        <w:jc w:val="both"/>
        <w:rPr>
          <w:rFonts w:eastAsiaTheme="minorHAnsi"/>
          <w:sz w:val="28"/>
          <w:szCs w:val="28"/>
          <w:lang w:val="es-ES_tradnl" w:eastAsia="en-US"/>
        </w:rPr>
      </w:pPr>
    </w:p>
    <w:p w14:paraId="0EDD5CD6" w14:textId="1038C7E6" w:rsidR="0053719C" w:rsidRPr="00AB4289" w:rsidRDefault="000A0220" w:rsidP="00B40BE5">
      <w:pPr>
        <w:pStyle w:val="Prrafodelista"/>
        <w:numPr>
          <w:ilvl w:val="0"/>
          <w:numId w:val="2"/>
        </w:numPr>
        <w:autoSpaceDE w:val="0"/>
        <w:autoSpaceDN w:val="0"/>
        <w:adjustRightInd w:val="0"/>
        <w:ind w:left="0" w:firstLine="0"/>
        <w:jc w:val="both"/>
        <w:rPr>
          <w:rFonts w:eastAsiaTheme="minorHAnsi"/>
          <w:sz w:val="28"/>
          <w:szCs w:val="28"/>
          <w:lang w:val="es-ES_tradnl" w:eastAsia="en-US"/>
        </w:rPr>
      </w:pPr>
      <w:r w:rsidRPr="00AB4289">
        <w:rPr>
          <w:rFonts w:eastAsiaTheme="minorHAnsi"/>
          <w:sz w:val="28"/>
          <w:szCs w:val="28"/>
          <w:lang w:val="es-ES_tradnl" w:eastAsia="en-US"/>
        </w:rPr>
        <w:t xml:space="preserve">Por eso quienes </w:t>
      </w:r>
      <w:r w:rsidR="00221BA6" w:rsidRPr="00AB4289">
        <w:rPr>
          <w:rFonts w:eastAsiaTheme="minorHAnsi"/>
          <w:sz w:val="28"/>
          <w:szCs w:val="28"/>
          <w:lang w:val="es-ES_tradnl" w:eastAsia="en-US"/>
        </w:rPr>
        <w:t xml:space="preserve">integran la </w:t>
      </w:r>
      <w:r w:rsidR="003D0E60" w:rsidRPr="00AB4289">
        <w:rPr>
          <w:rFonts w:eastAsiaTheme="minorHAnsi"/>
          <w:sz w:val="28"/>
          <w:szCs w:val="28"/>
          <w:lang w:val="es-ES_tradnl" w:eastAsia="en-US"/>
        </w:rPr>
        <w:t>r</w:t>
      </w:r>
      <w:r w:rsidR="00221BA6" w:rsidRPr="00AB4289">
        <w:rPr>
          <w:rFonts w:eastAsiaTheme="minorHAnsi"/>
          <w:sz w:val="28"/>
          <w:szCs w:val="28"/>
          <w:lang w:val="es-ES_tradnl" w:eastAsia="en-US"/>
        </w:rPr>
        <w:t xml:space="preserve">ama </w:t>
      </w:r>
      <w:r w:rsidR="003D0E60" w:rsidRPr="00AB4289">
        <w:rPr>
          <w:rFonts w:eastAsiaTheme="minorHAnsi"/>
          <w:sz w:val="28"/>
          <w:szCs w:val="28"/>
          <w:lang w:val="es-ES_tradnl" w:eastAsia="en-US"/>
        </w:rPr>
        <w:t>j</w:t>
      </w:r>
      <w:r w:rsidR="00221BA6" w:rsidRPr="00AB4289">
        <w:rPr>
          <w:rFonts w:eastAsiaTheme="minorHAnsi"/>
          <w:sz w:val="28"/>
          <w:szCs w:val="28"/>
          <w:lang w:val="es-ES_tradnl" w:eastAsia="en-US"/>
        </w:rPr>
        <w:t>udicial,</w:t>
      </w:r>
      <w:r w:rsidR="00A01D36" w:rsidRPr="00AB4289">
        <w:rPr>
          <w:rFonts w:eastAsiaTheme="minorHAnsi"/>
          <w:sz w:val="28"/>
          <w:szCs w:val="28"/>
          <w:lang w:val="es-ES_tradnl" w:eastAsia="en-US"/>
        </w:rPr>
        <w:t xml:space="preserve"> en especial los magistrados de las </w:t>
      </w:r>
      <w:r w:rsidR="00B601B1" w:rsidRPr="00AB4289">
        <w:rPr>
          <w:rFonts w:eastAsiaTheme="minorHAnsi"/>
          <w:sz w:val="28"/>
          <w:szCs w:val="28"/>
          <w:lang w:val="es-ES_tradnl" w:eastAsia="en-US"/>
        </w:rPr>
        <w:t>A</w:t>
      </w:r>
      <w:r w:rsidR="00A01D36" w:rsidRPr="00AB4289">
        <w:rPr>
          <w:rFonts w:eastAsiaTheme="minorHAnsi"/>
          <w:sz w:val="28"/>
          <w:szCs w:val="28"/>
          <w:lang w:val="es-ES_tradnl" w:eastAsia="en-US"/>
        </w:rPr>
        <w:t xml:space="preserve">ltas </w:t>
      </w:r>
      <w:proofErr w:type="gramStart"/>
      <w:r w:rsidR="00B601B1" w:rsidRPr="00AB4289">
        <w:rPr>
          <w:rFonts w:eastAsiaTheme="minorHAnsi"/>
          <w:sz w:val="28"/>
          <w:szCs w:val="28"/>
          <w:lang w:val="es-ES_tradnl" w:eastAsia="en-US"/>
        </w:rPr>
        <w:t>C</w:t>
      </w:r>
      <w:r w:rsidR="00A01D36" w:rsidRPr="00AB4289">
        <w:rPr>
          <w:rFonts w:eastAsiaTheme="minorHAnsi"/>
          <w:sz w:val="28"/>
          <w:szCs w:val="28"/>
          <w:lang w:val="es-ES_tradnl" w:eastAsia="en-US"/>
        </w:rPr>
        <w:t>ortes,</w:t>
      </w:r>
      <w:proofErr w:type="gramEnd"/>
      <w:r w:rsidR="00221BA6" w:rsidRPr="00AB4289">
        <w:rPr>
          <w:rFonts w:eastAsiaTheme="minorHAnsi"/>
          <w:sz w:val="28"/>
          <w:szCs w:val="28"/>
          <w:lang w:val="es-ES_tradnl" w:eastAsia="en-US"/>
        </w:rPr>
        <w:t xml:space="preserve"> </w:t>
      </w:r>
      <w:r w:rsidR="001B206C" w:rsidRPr="00AB4289">
        <w:rPr>
          <w:rFonts w:eastAsiaTheme="minorHAnsi"/>
          <w:sz w:val="28"/>
          <w:szCs w:val="28"/>
          <w:lang w:val="es-ES_tradnl" w:eastAsia="en-US"/>
        </w:rPr>
        <w:t>están llamados a atender este deber</w:t>
      </w:r>
      <w:r w:rsidR="00221BA6" w:rsidRPr="00AB4289">
        <w:rPr>
          <w:rFonts w:eastAsiaTheme="minorHAnsi"/>
          <w:sz w:val="28"/>
          <w:szCs w:val="28"/>
          <w:lang w:val="es-ES_tradnl" w:eastAsia="en-US"/>
        </w:rPr>
        <w:t xml:space="preserve">, </w:t>
      </w:r>
      <w:r w:rsidR="0079004E" w:rsidRPr="00AB4289">
        <w:rPr>
          <w:rFonts w:eastAsiaTheme="minorHAnsi"/>
          <w:sz w:val="28"/>
          <w:szCs w:val="28"/>
          <w:lang w:val="es-ES_tradnl" w:eastAsia="en-US"/>
        </w:rPr>
        <w:t xml:space="preserve">que </w:t>
      </w:r>
      <w:r w:rsidR="00221BA6" w:rsidRPr="00AB4289">
        <w:rPr>
          <w:rFonts w:eastAsiaTheme="minorHAnsi"/>
          <w:sz w:val="28"/>
          <w:szCs w:val="28"/>
          <w:lang w:val="es-ES_tradnl" w:eastAsia="en-US"/>
        </w:rPr>
        <w:t xml:space="preserve">resulta </w:t>
      </w:r>
      <w:r w:rsidR="0079004E" w:rsidRPr="00AB4289">
        <w:rPr>
          <w:rFonts w:eastAsiaTheme="minorHAnsi"/>
          <w:sz w:val="28"/>
          <w:szCs w:val="28"/>
          <w:lang w:val="es-ES_tradnl" w:eastAsia="en-US"/>
        </w:rPr>
        <w:t xml:space="preserve">esencial </w:t>
      </w:r>
      <w:r w:rsidR="00221BA6" w:rsidRPr="00AB4289">
        <w:rPr>
          <w:rFonts w:eastAsiaTheme="minorHAnsi"/>
          <w:sz w:val="28"/>
          <w:szCs w:val="28"/>
          <w:lang w:val="es-ES_tradnl" w:eastAsia="en-US"/>
        </w:rPr>
        <w:t xml:space="preserve">para contrarrestar las prácticas </w:t>
      </w:r>
      <w:r w:rsidRPr="00AB4289">
        <w:rPr>
          <w:rFonts w:eastAsiaTheme="minorHAnsi"/>
          <w:sz w:val="28"/>
          <w:szCs w:val="28"/>
          <w:lang w:val="es-ES_tradnl" w:eastAsia="en-US"/>
        </w:rPr>
        <w:t>de ocultamiento y camuflaje de la información</w:t>
      </w:r>
      <w:r w:rsidR="00221BA6" w:rsidRPr="00AB4289">
        <w:rPr>
          <w:rFonts w:eastAsiaTheme="minorHAnsi"/>
          <w:sz w:val="28"/>
          <w:szCs w:val="28"/>
          <w:lang w:val="es-ES_tradnl" w:eastAsia="en-US"/>
        </w:rPr>
        <w:t xml:space="preserve"> que facilitan los escenarios de corrupción. </w:t>
      </w:r>
      <w:r w:rsidR="001B206C" w:rsidRPr="00AB4289">
        <w:rPr>
          <w:rFonts w:eastAsiaTheme="minorHAnsi"/>
          <w:sz w:val="28"/>
          <w:szCs w:val="28"/>
          <w:lang w:val="es-ES_tradnl" w:eastAsia="en-US"/>
        </w:rPr>
        <w:t>Por eso</w:t>
      </w:r>
      <w:r w:rsidR="003D0E60" w:rsidRPr="00AB4289">
        <w:rPr>
          <w:rFonts w:eastAsiaTheme="minorHAnsi"/>
          <w:sz w:val="28"/>
          <w:szCs w:val="28"/>
          <w:lang w:val="es-ES_tradnl" w:eastAsia="en-US"/>
        </w:rPr>
        <w:t>,</w:t>
      </w:r>
      <w:r w:rsidR="001B206C" w:rsidRPr="00AB4289">
        <w:rPr>
          <w:rFonts w:eastAsiaTheme="minorHAnsi"/>
          <w:sz w:val="28"/>
          <w:szCs w:val="28"/>
          <w:lang w:val="es-ES_tradnl" w:eastAsia="en-US"/>
        </w:rPr>
        <w:t xml:space="preserve"> </w:t>
      </w:r>
      <w:r w:rsidR="00221BA6" w:rsidRPr="00AB4289">
        <w:rPr>
          <w:rFonts w:eastAsiaTheme="minorHAnsi"/>
          <w:sz w:val="28"/>
          <w:szCs w:val="28"/>
          <w:lang w:val="es-ES_tradnl" w:eastAsia="en-US"/>
        </w:rPr>
        <w:t xml:space="preserve">la legislación colombiana </w:t>
      </w:r>
      <w:r w:rsidR="001B206C" w:rsidRPr="00AB4289">
        <w:rPr>
          <w:rFonts w:eastAsiaTheme="minorHAnsi"/>
          <w:sz w:val="28"/>
          <w:szCs w:val="28"/>
          <w:lang w:val="es-ES_tradnl" w:eastAsia="en-US"/>
        </w:rPr>
        <w:t xml:space="preserve">estableció </w:t>
      </w:r>
      <w:r w:rsidR="00A01D36" w:rsidRPr="00AB4289">
        <w:rPr>
          <w:rFonts w:eastAsiaTheme="minorHAnsi"/>
          <w:sz w:val="28"/>
          <w:szCs w:val="28"/>
          <w:lang w:val="es-ES_tradnl" w:eastAsia="en-US"/>
        </w:rPr>
        <w:t xml:space="preserve">que los magistrados de las </w:t>
      </w:r>
      <w:r w:rsidR="009B203C" w:rsidRPr="00AB4289">
        <w:rPr>
          <w:rFonts w:eastAsiaTheme="minorHAnsi"/>
          <w:sz w:val="28"/>
          <w:szCs w:val="28"/>
          <w:lang w:val="es-ES_tradnl" w:eastAsia="en-US"/>
        </w:rPr>
        <w:t>A</w:t>
      </w:r>
      <w:r w:rsidR="00A01D36" w:rsidRPr="00AB4289">
        <w:rPr>
          <w:rFonts w:eastAsiaTheme="minorHAnsi"/>
          <w:sz w:val="28"/>
          <w:szCs w:val="28"/>
          <w:lang w:val="es-ES_tradnl" w:eastAsia="en-US"/>
        </w:rPr>
        <w:t xml:space="preserve">ltas </w:t>
      </w:r>
      <w:r w:rsidR="009B203C" w:rsidRPr="00AB4289">
        <w:rPr>
          <w:rFonts w:eastAsiaTheme="minorHAnsi"/>
          <w:sz w:val="28"/>
          <w:szCs w:val="28"/>
          <w:lang w:val="es-ES_tradnl" w:eastAsia="en-US"/>
        </w:rPr>
        <w:t>C</w:t>
      </w:r>
      <w:r w:rsidR="00A01D36" w:rsidRPr="00AB4289">
        <w:rPr>
          <w:rFonts w:eastAsiaTheme="minorHAnsi"/>
          <w:sz w:val="28"/>
          <w:szCs w:val="28"/>
          <w:lang w:val="es-ES_tradnl" w:eastAsia="en-US"/>
        </w:rPr>
        <w:t xml:space="preserve">ortes deben seguir </w:t>
      </w:r>
      <w:r w:rsidR="00221BA6" w:rsidRPr="00AB4289">
        <w:rPr>
          <w:rFonts w:eastAsiaTheme="minorHAnsi"/>
          <w:sz w:val="28"/>
          <w:szCs w:val="28"/>
          <w:lang w:val="es-ES_tradnl" w:eastAsia="en-US"/>
        </w:rPr>
        <w:t xml:space="preserve">un régimen </w:t>
      </w:r>
      <w:r w:rsidRPr="00AB4289">
        <w:rPr>
          <w:rFonts w:eastAsiaTheme="minorHAnsi"/>
          <w:sz w:val="28"/>
          <w:szCs w:val="28"/>
          <w:lang w:val="es-ES_tradnl" w:eastAsia="en-US"/>
        </w:rPr>
        <w:t>de</w:t>
      </w:r>
      <w:r w:rsidR="00221BA6" w:rsidRPr="00AB4289">
        <w:rPr>
          <w:rFonts w:eastAsiaTheme="minorHAnsi"/>
          <w:sz w:val="28"/>
          <w:szCs w:val="28"/>
          <w:lang w:val="es-ES_tradnl" w:eastAsia="en-US"/>
        </w:rPr>
        <w:t xml:space="preserve"> declaración de bienes, rentas</w:t>
      </w:r>
      <w:r w:rsidR="00B601B1" w:rsidRPr="00AB4289">
        <w:rPr>
          <w:rFonts w:eastAsiaTheme="minorHAnsi"/>
          <w:sz w:val="28"/>
          <w:szCs w:val="28"/>
          <w:lang w:val="es-ES_tradnl" w:eastAsia="en-US"/>
        </w:rPr>
        <w:t>,</w:t>
      </w:r>
      <w:r w:rsidR="00221BA6" w:rsidRPr="00AB4289">
        <w:rPr>
          <w:rFonts w:eastAsiaTheme="minorHAnsi"/>
          <w:sz w:val="28"/>
          <w:szCs w:val="28"/>
          <w:lang w:val="es-ES_tradnl" w:eastAsia="en-US"/>
        </w:rPr>
        <w:t xml:space="preserve"> conflictos de interés</w:t>
      </w:r>
      <w:r w:rsidR="00B601B1" w:rsidRPr="00AB4289">
        <w:rPr>
          <w:rFonts w:eastAsiaTheme="minorHAnsi"/>
          <w:sz w:val="28"/>
          <w:szCs w:val="28"/>
          <w:lang w:val="es-ES_tradnl" w:eastAsia="en-US"/>
        </w:rPr>
        <w:t xml:space="preserve"> y hojas de vida</w:t>
      </w:r>
      <w:r w:rsidR="00221BA6" w:rsidRPr="00AB4289">
        <w:rPr>
          <w:rFonts w:eastAsiaTheme="minorHAnsi"/>
          <w:sz w:val="28"/>
          <w:szCs w:val="28"/>
          <w:lang w:val="es-ES_tradnl" w:eastAsia="en-US"/>
        </w:rPr>
        <w:t xml:space="preserve"> </w:t>
      </w:r>
      <w:r w:rsidR="0079004E" w:rsidRPr="00AB4289">
        <w:rPr>
          <w:rFonts w:eastAsiaTheme="minorHAnsi"/>
          <w:sz w:val="28"/>
          <w:szCs w:val="28"/>
          <w:lang w:val="es-ES_tradnl" w:eastAsia="en-US"/>
        </w:rPr>
        <w:t xml:space="preserve">que permita </w:t>
      </w:r>
      <w:r w:rsidR="00221BA6" w:rsidRPr="00AB4289">
        <w:rPr>
          <w:rFonts w:eastAsiaTheme="minorHAnsi"/>
          <w:sz w:val="28"/>
          <w:szCs w:val="28"/>
          <w:lang w:val="es-ES_tradnl" w:eastAsia="en-US"/>
        </w:rPr>
        <w:t>promover una gestión pública íntegra y transparente.</w:t>
      </w:r>
    </w:p>
    <w:p w14:paraId="5D3F44FF" w14:textId="77777777" w:rsidR="0053719C" w:rsidRPr="00AB4289" w:rsidRDefault="0053719C" w:rsidP="00B40BE5">
      <w:pPr>
        <w:pStyle w:val="Prrafodelista"/>
        <w:jc w:val="both"/>
        <w:rPr>
          <w:rFonts w:eastAsiaTheme="minorHAnsi"/>
          <w:sz w:val="28"/>
          <w:szCs w:val="28"/>
          <w:lang w:val="es-ES_tradnl" w:eastAsia="en-US"/>
        </w:rPr>
      </w:pPr>
    </w:p>
    <w:p w14:paraId="353045F2" w14:textId="0182C613" w:rsidR="003E36EF" w:rsidRPr="00AB4289" w:rsidRDefault="000A0220" w:rsidP="00B40BE5">
      <w:pPr>
        <w:pStyle w:val="Prrafodelista"/>
        <w:numPr>
          <w:ilvl w:val="0"/>
          <w:numId w:val="2"/>
        </w:numPr>
        <w:autoSpaceDE w:val="0"/>
        <w:autoSpaceDN w:val="0"/>
        <w:adjustRightInd w:val="0"/>
        <w:ind w:left="0" w:firstLine="0"/>
        <w:jc w:val="both"/>
        <w:rPr>
          <w:rFonts w:eastAsiaTheme="minorHAnsi"/>
          <w:sz w:val="28"/>
          <w:szCs w:val="28"/>
          <w:lang w:val="es-ES_tradnl" w:eastAsia="en-US"/>
        </w:rPr>
      </w:pPr>
      <w:r w:rsidRPr="00AB4289">
        <w:rPr>
          <w:rFonts w:eastAsiaTheme="minorHAnsi"/>
          <w:sz w:val="28"/>
          <w:szCs w:val="28"/>
          <w:lang w:val="es-ES_tradnl" w:eastAsia="en-US"/>
        </w:rPr>
        <w:t>E</w:t>
      </w:r>
      <w:r w:rsidR="0025377E" w:rsidRPr="00AB4289">
        <w:rPr>
          <w:rFonts w:eastAsiaTheme="minorHAnsi"/>
          <w:sz w:val="28"/>
          <w:szCs w:val="28"/>
          <w:lang w:val="es-ES_tradnl" w:eastAsia="en-US"/>
        </w:rPr>
        <w:t xml:space="preserve">stas </w:t>
      </w:r>
      <w:r w:rsidR="00221BA6" w:rsidRPr="00AB4289">
        <w:rPr>
          <w:rFonts w:eastAsiaTheme="minorHAnsi"/>
          <w:sz w:val="28"/>
          <w:szCs w:val="28"/>
          <w:lang w:val="es-ES_tradnl" w:eastAsia="en-US"/>
        </w:rPr>
        <w:t>herramientas no suponen</w:t>
      </w:r>
      <w:r w:rsidRPr="00AB4289">
        <w:rPr>
          <w:rFonts w:eastAsiaTheme="minorHAnsi"/>
          <w:sz w:val="28"/>
          <w:szCs w:val="28"/>
          <w:lang w:val="es-ES_tradnl" w:eastAsia="en-US"/>
        </w:rPr>
        <w:t xml:space="preserve">, de ninguna manera, </w:t>
      </w:r>
      <w:r w:rsidR="00221BA6" w:rsidRPr="00AB4289">
        <w:rPr>
          <w:rFonts w:eastAsiaTheme="minorHAnsi"/>
          <w:sz w:val="28"/>
          <w:szCs w:val="28"/>
          <w:lang w:val="es-ES_tradnl" w:eastAsia="en-US"/>
        </w:rPr>
        <w:t xml:space="preserve">una persecución </w:t>
      </w:r>
      <w:r w:rsidRPr="00AB4289">
        <w:rPr>
          <w:rFonts w:eastAsiaTheme="minorHAnsi"/>
          <w:sz w:val="28"/>
          <w:szCs w:val="28"/>
          <w:lang w:val="es-ES_tradnl" w:eastAsia="en-US"/>
        </w:rPr>
        <w:t xml:space="preserve">o cuestionamiento </w:t>
      </w:r>
      <w:r w:rsidR="00221BA6" w:rsidRPr="00AB4289">
        <w:rPr>
          <w:rFonts w:eastAsiaTheme="minorHAnsi"/>
          <w:sz w:val="28"/>
          <w:szCs w:val="28"/>
          <w:lang w:val="es-ES_tradnl" w:eastAsia="en-US"/>
        </w:rPr>
        <w:t>a los jueces; por el contrario, tienen como propósito fundamental enaltecer el ejercicio de la actividad judicial. La legitimidad y credibilidad de las instituciones judiciales dependen de que se</w:t>
      </w:r>
      <w:r w:rsidR="00B601B1" w:rsidRPr="00AB4289">
        <w:rPr>
          <w:rFonts w:eastAsiaTheme="minorHAnsi"/>
          <w:sz w:val="28"/>
          <w:szCs w:val="28"/>
          <w:lang w:val="es-ES_tradnl" w:eastAsia="en-US"/>
        </w:rPr>
        <w:t xml:space="preserve"> pueda hacer</w:t>
      </w:r>
      <w:r w:rsidR="00221BA6" w:rsidRPr="00AB4289">
        <w:rPr>
          <w:rFonts w:eastAsiaTheme="minorHAnsi"/>
          <w:sz w:val="28"/>
          <w:szCs w:val="28"/>
          <w:lang w:val="es-ES_tradnl" w:eastAsia="en-US"/>
        </w:rPr>
        <w:t xml:space="preserve"> un debido seguimiento y auditoría de quienes </w:t>
      </w:r>
      <w:r w:rsidR="0025377E" w:rsidRPr="00AB4289">
        <w:rPr>
          <w:rFonts w:eastAsiaTheme="minorHAnsi"/>
          <w:sz w:val="28"/>
          <w:szCs w:val="28"/>
          <w:lang w:val="es-ES_tradnl" w:eastAsia="en-US"/>
        </w:rPr>
        <w:t xml:space="preserve">imparten justicia. Por tanto, </w:t>
      </w:r>
      <w:r w:rsidR="00221BA6" w:rsidRPr="00AB4289">
        <w:rPr>
          <w:rFonts w:eastAsiaTheme="minorHAnsi"/>
          <w:sz w:val="28"/>
          <w:szCs w:val="28"/>
          <w:lang w:val="es-ES_tradnl" w:eastAsia="en-US"/>
        </w:rPr>
        <w:t>para que los</w:t>
      </w:r>
      <w:r w:rsidR="0025377E" w:rsidRPr="00AB4289">
        <w:rPr>
          <w:rFonts w:eastAsiaTheme="minorHAnsi"/>
          <w:sz w:val="28"/>
          <w:szCs w:val="28"/>
          <w:lang w:val="es-ES_tradnl" w:eastAsia="en-US"/>
        </w:rPr>
        <w:t xml:space="preserve"> mecanismos que garantizan la transparencia sean eficaces</w:t>
      </w:r>
      <w:r w:rsidR="00221BA6" w:rsidRPr="00AB4289">
        <w:rPr>
          <w:rFonts w:eastAsiaTheme="minorHAnsi"/>
          <w:sz w:val="28"/>
          <w:szCs w:val="28"/>
          <w:lang w:val="es-ES_tradnl" w:eastAsia="en-US"/>
        </w:rPr>
        <w:t xml:space="preserve"> no basta con habilitar plataformas públicas de información</w:t>
      </w:r>
      <w:r w:rsidR="002B3274" w:rsidRPr="00AB4289">
        <w:rPr>
          <w:rFonts w:eastAsiaTheme="minorHAnsi"/>
          <w:sz w:val="28"/>
          <w:szCs w:val="28"/>
          <w:lang w:val="es-ES_tradnl" w:eastAsia="en-US"/>
        </w:rPr>
        <w:t>,</w:t>
      </w:r>
      <w:r w:rsidR="00221BA6" w:rsidRPr="00AB4289">
        <w:rPr>
          <w:rFonts w:eastAsiaTheme="minorHAnsi"/>
          <w:sz w:val="28"/>
          <w:szCs w:val="28"/>
          <w:lang w:val="es-ES_tradnl" w:eastAsia="en-US"/>
        </w:rPr>
        <w:t xml:space="preserve"> es indispensable que exista una actualización </w:t>
      </w:r>
      <w:r w:rsidR="003D0E60" w:rsidRPr="00AB4289">
        <w:rPr>
          <w:rFonts w:eastAsiaTheme="minorHAnsi"/>
          <w:sz w:val="28"/>
          <w:szCs w:val="28"/>
          <w:lang w:val="es-ES_tradnl" w:eastAsia="en-US"/>
        </w:rPr>
        <w:t>periódica</w:t>
      </w:r>
      <w:r w:rsidR="00221BA6" w:rsidRPr="00AB4289">
        <w:rPr>
          <w:rFonts w:eastAsiaTheme="minorHAnsi"/>
          <w:sz w:val="28"/>
          <w:szCs w:val="28"/>
          <w:lang w:val="es-ES_tradnl" w:eastAsia="en-US"/>
        </w:rPr>
        <w:t xml:space="preserve"> de los datos divulgados</w:t>
      </w:r>
      <w:r w:rsidR="00A01D36" w:rsidRPr="00AB4289">
        <w:rPr>
          <w:rFonts w:eastAsiaTheme="minorHAnsi"/>
          <w:sz w:val="28"/>
          <w:szCs w:val="28"/>
          <w:lang w:val="es-ES_tradnl" w:eastAsia="en-US"/>
        </w:rPr>
        <w:t xml:space="preserve"> que permita a la ciudadanía tener un acceso permanente a ellos. </w:t>
      </w:r>
    </w:p>
    <w:p w14:paraId="094F25DC" w14:textId="77777777" w:rsidR="00072924" w:rsidRPr="00AB4289" w:rsidRDefault="00072924" w:rsidP="00B40BE5">
      <w:pPr>
        <w:pStyle w:val="Prrafodelista"/>
        <w:jc w:val="both"/>
        <w:rPr>
          <w:rFonts w:eastAsiaTheme="minorHAnsi"/>
          <w:sz w:val="28"/>
          <w:szCs w:val="28"/>
          <w:lang w:val="es-ES_tradnl" w:eastAsia="en-US"/>
        </w:rPr>
      </w:pPr>
    </w:p>
    <w:p w14:paraId="19270748" w14:textId="214E48C8" w:rsidR="00072924" w:rsidRPr="00AB4289" w:rsidRDefault="00072924" w:rsidP="00B40BE5">
      <w:pPr>
        <w:pStyle w:val="Prrafodelista"/>
        <w:numPr>
          <w:ilvl w:val="0"/>
          <w:numId w:val="2"/>
        </w:numPr>
        <w:autoSpaceDE w:val="0"/>
        <w:autoSpaceDN w:val="0"/>
        <w:adjustRightInd w:val="0"/>
        <w:ind w:left="0" w:firstLine="0"/>
        <w:jc w:val="both"/>
        <w:rPr>
          <w:rFonts w:eastAsiaTheme="minorHAnsi"/>
          <w:sz w:val="28"/>
          <w:szCs w:val="28"/>
          <w:lang w:val="es-ES_tradnl" w:eastAsia="en-US"/>
        </w:rPr>
      </w:pPr>
      <w:bookmarkStart w:id="25" w:name="OLE_LINK4"/>
      <w:r w:rsidRPr="00AB4289">
        <w:rPr>
          <w:rFonts w:eastAsiaTheme="minorHAnsi"/>
          <w:sz w:val="28"/>
          <w:szCs w:val="28"/>
          <w:lang w:val="es-ES_tradnl" w:eastAsia="en-US"/>
        </w:rPr>
        <w:lastRenderedPageBreak/>
        <w:t xml:space="preserve">Ahora, si bien la legislación y las normas sobre transparencia constituyen un avance fundamental, representan solamente el primer paso. </w:t>
      </w:r>
      <w:r w:rsidR="001744C6" w:rsidRPr="00AB4289">
        <w:rPr>
          <w:rFonts w:eastAsiaTheme="minorHAnsi"/>
          <w:sz w:val="28"/>
          <w:szCs w:val="28"/>
          <w:lang w:val="es-ES_tradnl" w:eastAsia="en-US"/>
        </w:rPr>
        <w:t>L</w:t>
      </w:r>
      <w:r w:rsidRPr="00AB4289">
        <w:rPr>
          <w:rFonts w:eastAsiaTheme="minorHAnsi"/>
          <w:sz w:val="28"/>
          <w:szCs w:val="28"/>
          <w:lang w:val="es-ES_tradnl" w:eastAsia="en-US"/>
        </w:rPr>
        <w:t>a regulación</w:t>
      </w:r>
      <w:r w:rsidR="00432FAC" w:rsidRPr="00AB4289">
        <w:rPr>
          <w:rFonts w:eastAsiaTheme="minorHAnsi"/>
          <w:sz w:val="28"/>
          <w:szCs w:val="28"/>
          <w:lang w:val="es-ES_tradnl" w:eastAsia="en-US"/>
        </w:rPr>
        <w:t xml:space="preserve"> normativa</w:t>
      </w:r>
      <w:r w:rsidRPr="00AB4289">
        <w:rPr>
          <w:rFonts w:eastAsiaTheme="minorHAnsi"/>
          <w:sz w:val="28"/>
          <w:szCs w:val="28"/>
          <w:lang w:val="es-ES_tradnl" w:eastAsia="en-US"/>
        </w:rPr>
        <w:t xml:space="preserve"> por sí sola no basta para garantizar este principio. </w:t>
      </w:r>
      <w:r w:rsidR="0098304E" w:rsidRPr="00AB4289">
        <w:rPr>
          <w:rFonts w:eastAsiaTheme="minorHAnsi"/>
          <w:sz w:val="28"/>
          <w:szCs w:val="28"/>
          <w:lang w:val="es-ES_tradnl" w:eastAsia="en-US"/>
        </w:rPr>
        <w:t>L</w:t>
      </w:r>
      <w:r w:rsidRPr="00AB4289">
        <w:rPr>
          <w:rFonts w:eastAsiaTheme="minorHAnsi"/>
          <w:sz w:val="28"/>
          <w:szCs w:val="28"/>
          <w:lang w:val="es-ES_tradnl" w:eastAsia="en-US"/>
        </w:rPr>
        <w:t>a transparencia</w:t>
      </w:r>
      <w:r w:rsidR="0098304E" w:rsidRPr="00AB4289">
        <w:rPr>
          <w:rFonts w:eastAsiaTheme="minorHAnsi"/>
          <w:sz w:val="28"/>
          <w:szCs w:val="28"/>
          <w:lang w:val="es-ES_tradnl" w:eastAsia="en-US"/>
        </w:rPr>
        <w:t xml:space="preserve"> es sobre todo un estándar ético,</w:t>
      </w:r>
      <w:r w:rsidR="001744C6" w:rsidRPr="00AB4289">
        <w:rPr>
          <w:rFonts w:eastAsiaTheme="minorHAnsi"/>
          <w:sz w:val="28"/>
          <w:szCs w:val="28"/>
          <w:lang w:val="es-ES_tradnl" w:eastAsia="en-US"/>
        </w:rPr>
        <w:t xml:space="preserve"> pues lo que se revela</w:t>
      </w:r>
      <w:r w:rsidR="004A324B" w:rsidRPr="00AB4289">
        <w:rPr>
          <w:rFonts w:eastAsiaTheme="minorHAnsi"/>
          <w:sz w:val="28"/>
          <w:szCs w:val="28"/>
          <w:lang w:val="es-ES_tradnl" w:eastAsia="en-US"/>
        </w:rPr>
        <w:t xml:space="preserve"> y se comparte</w:t>
      </w:r>
      <w:r w:rsidR="001744C6" w:rsidRPr="00AB4289">
        <w:rPr>
          <w:rFonts w:eastAsiaTheme="minorHAnsi"/>
          <w:sz w:val="28"/>
          <w:szCs w:val="28"/>
          <w:lang w:val="es-ES_tradnl" w:eastAsia="en-US"/>
        </w:rPr>
        <w:t xml:space="preserve"> es aquello que merece ser cuidado y enorgullece.</w:t>
      </w:r>
      <w:r w:rsidR="0098304E" w:rsidRPr="00AB4289">
        <w:rPr>
          <w:rFonts w:eastAsiaTheme="minorHAnsi"/>
          <w:sz w:val="28"/>
          <w:szCs w:val="28"/>
          <w:lang w:val="es-ES_tradnl" w:eastAsia="en-US"/>
        </w:rPr>
        <w:t xml:space="preserve"> </w:t>
      </w:r>
      <w:r w:rsidR="001744C6" w:rsidRPr="00AB4289">
        <w:rPr>
          <w:rFonts w:eastAsiaTheme="minorHAnsi"/>
          <w:sz w:val="28"/>
          <w:szCs w:val="28"/>
          <w:lang w:val="es-ES_tradnl" w:eastAsia="en-US"/>
        </w:rPr>
        <w:t xml:space="preserve">Este estándar en el Estado </w:t>
      </w:r>
      <w:r w:rsidRPr="00AB4289">
        <w:rPr>
          <w:rFonts w:eastAsiaTheme="minorHAnsi"/>
          <w:sz w:val="28"/>
          <w:szCs w:val="28"/>
          <w:lang w:val="es-ES_tradnl" w:eastAsia="en-US"/>
        </w:rPr>
        <w:t>solo se alcanza</w:t>
      </w:r>
      <w:r w:rsidR="001744C6" w:rsidRPr="00AB4289">
        <w:rPr>
          <w:rFonts w:eastAsiaTheme="minorHAnsi"/>
          <w:sz w:val="28"/>
          <w:szCs w:val="28"/>
          <w:lang w:val="es-ES_tradnl" w:eastAsia="en-US"/>
        </w:rPr>
        <w:t>rá</w:t>
      </w:r>
      <w:r w:rsidRPr="00AB4289">
        <w:rPr>
          <w:rFonts w:eastAsiaTheme="minorHAnsi"/>
          <w:sz w:val="28"/>
          <w:szCs w:val="28"/>
          <w:lang w:val="es-ES_tradnl" w:eastAsia="en-US"/>
        </w:rPr>
        <w:t xml:space="preserve"> realmente </w:t>
      </w:r>
      <w:r w:rsidR="0098304E" w:rsidRPr="00AB4289">
        <w:rPr>
          <w:rFonts w:eastAsiaTheme="minorHAnsi"/>
          <w:sz w:val="28"/>
          <w:szCs w:val="28"/>
          <w:lang w:val="es-ES_tradnl" w:eastAsia="en-US"/>
        </w:rPr>
        <w:t>cuando se consolide una cultura ciudadana</w:t>
      </w:r>
      <w:r w:rsidR="001744C6" w:rsidRPr="00AB4289">
        <w:rPr>
          <w:rFonts w:eastAsiaTheme="minorHAnsi"/>
          <w:sz w:val="28"/>
          <w:szCs w:val="28"/>
          <w:lang w:val="es-ES_tradnl" w:eastAsia="en-US"/>
        </w:rPr>
        <w:t xml:space="preserve"> de lo público</w:t>
      </w:r>
      <w:r w:rsidR="0098304E" w:rsidRPr="00AB4289">
        <w:rPr>
          <w:rFonts w:eastAsiaTheme="minorHAnsi"/>
          <w:sz w:val="28"/>
          <w:szCs w:val="28"/>
          <w:lang w:val="es-ES_tradnl" w:eastAsia="en-US"/>
        </w:rPr>
        <w:t xml:space="preserve"> en la que la información </w:t>
      </w:r>
      <w:r w:rsidR="001744C6" w:rsidRPr="00AB4289">
        <w:rPr>
          <w:rFonts w:eastAsiaTheme="minorHAnsi"/>
          <w:sz w:val="28"/>
          <w:szCs w:val="28"/>
          <w:lang w:val="es-ES_tradnl" w:eastAsia="en-US"/>
        </w:rPr>
        <w:t xml:space="preserve">que nos compete a todos </w:t>
      </w:r>
      <w:r w:rsidR="0098304E" w:rsidRPr="00AB4289">
        <w:rPr>
          <w:rFonts w:eastAsiaTheme="minorHAnsi"/>
          <w:sz w:val="28"/>
          <w:szCs w:val="28"/>
          <w:lang w:val="es-ES_tradnl" w:eastAsia="en-US"/>
        </w:rPr>
        <w:t xml:space="preserve">sea clara, visible, </w:t>
      </w:r>
      <w:r w:rsidR="00F15F27" w:rsidRPr="00AB4289">
        <w:rPr>
          <w:rFonts w:eastAsiaTheme="minorHAnsi"/>
          <w:sz w:val="28"/>
          <w:szCs w:val="28"/>
          <w:lang w:val="es-ES_tradnl" w:eastAsia="en-US"/>
        </w:rPr>
        <w:t xml:space="preserve">accesible </w:t>
      </w:r>
      <w:r w:rsidR="0098304E" w:rsidRPr="00AB4289">
        <w:rPr>
          <w:rFonts w:eastAsiaTheme="minorHAnsi"/>
          <w:sz w:val="28"/>
          <w:szCs w:val="28"/>
          <w:lang w:val="es-ES_tradnl" w:eastAsia="en-US"/>
        </w:rPr>
        <w:t xml:space="preserve">y fácil de entender para todas las personas. </w:t>
      </w:r>
    </w:p>
    <w:bookmarkEnd w:id="25"/>
    <w:p w14:paraId="48D969BD" w14:textId="77777777" w:rsidR="00C54719" w:rsidRPr="00AB4289" w:rsidRDefault="00C54719" w:rsidP="00B40BE5">
      <w:pPr>
        <w:pStyle w:val="Prrafodelista"/>
        <w:ind w:left="0"/>
        <w:jc w:val="both"/>
        <w:rPr>
          <w:rFonts w:eastAsiaTheme="minorHAnsi"/>
          <w:sz w:val="28"/>
          <w:szCs w:val="28"/>
          <w:lang w:val="es-ES_tradnl" w:eastAsia="en-US"/>
        </w:rPr>
      </w:pPr>
    </w:p>
    <w:p w14:paraId="331507CF" w14:textId="4176582E" w:rsidR="00C54719" w:rsidRPr="00AB4289" w:rsidRDefault="00C54719" w:rsidP="00B40BE5">
      <w:pPr>
        <w:pStyle w:val="Prrafodelista"/>
        <w:numPr>
          <w:ilvl w:val="0"/>
          <w:numId w:val="2"/>
        </w:numPr>
        <w:shd w:val="clear" w:color="auto" w:fill="FFFFFF"/>
        <w:ind w:left="0" w:firstLine="0"/>
        <w:jc w:val="both"/>
        <w:rPr>
          <w:rFonts w:eastAsiaTheme="minorHAnsi"/>
          <w:sz w:val="28"/>
          <w:szCs w:val="28"/>
          <w:lang w:val="es-ES_tradnl" w:eastAsia="en-US"/>
        </w:rPr>
      </w:pPr>
      <w:r w:rsidRPr="00AB4289">
        <w:rPr>
          <w:rFonts w:eastAsiaTheme="minorHAnsi"/>
          <w:sz w:val="28"/>
          <w:szCs w:val="28"/>
          <w:lang w:val="es-ES_tradnl" w:eastAsia="en-US"/>
        </w:rPr>
        <w:t xml:space="preserve">A partir del análisis de las anteriores consideraciones, la Corte procede a resolver el caso concreto. </w:t>
      </w:r>
    </w:p>
    <w:p w14:paraId="5319B2E4" w14:textId="77777777" w:rsidR="00020B47" w:rsidRPr="00AB4289" w:rsidRDefault="00020B47" w:rsidP="00B40BE5">
      <w:pPr>
        <w:pStyle w:val="Prrafodelista"/>
        <w:jc w:val="both"/>
        <w:rPr>
          <w:rFonts w:eastAsiaTheme="minorHAnsi"/>
          <w:sz w:val="28"/>
          <w:szCs w:val="28"/>
          <w:lang w:val="es-ES_tradnl" w:eastAsia="en-US"/>
        </w:rPr>
      </w:pPr>
    </w:p>
    <w:p w14:paraId="585179FB" w14:textId="395D45D3" w:rsidR="00020B47" w:rsidRPr="00AB4289" w:rsidRDefault="00C54719" w:rsidP="00B40BE5">
      <w:pPr>
        <w:pStyle w:val="Ttulo1"/>
        <w:numPr>
          <w:ilvl w:val="0"/>
          <w:numId w:val="41"/>
        </w:numPr>
        <w:spacing w:before="0" w:after="0"/>
        <w:jc w:val="both"/>
        <w:rPr>
          <w:rFonts w:ascii="Times New Roman" w:hAnsi="Times New Roman" w:cs="Times New Roman"/>
          <w:b/>
          <w:bCs/>
          <w:color w:val="000000" w:themeColor="text1"/>
          <w:sz w:val="28"/>
          <w:szCs w:val="28"/>
          <w:lang w:val="es-ES_tradnl"/>
        </w:rPr>
      </w:pPr>
      <w:bookmarkStart w:id="26" w:name="_Toc210202232"/>
      <w:r w:rsidRPr="00AB4289">
        <w:rPr>
          <w:rFonts w:ascii="Times New Roman" w:hAnsi="Times New Roman" w:cs="Times New Roman"/>
          <w:b/>
          <w:bCs/>
          <w:color w:val="000000" w:themeColor="text1"/>
          <w:sz w:val="28"/>
          <w:szCs w:val="28"/>
          <w:lang w:val="es-ES_tradnl"/>
        </w:rPr>
        <w:t>CASO CONCRETO</w:t>
      </w:r>
      <w:bookmarkEnd w:id="26"/>
      <w:r w:rsidRPr="00AB4289">
        <w:rPr>
          <w:rFonts w:ascii="Times New Roman" w:hAnsi="Times New Roman" w:cs="Times New Roman"/>
          <w:b/>
          <w:bCs/>
          <w:color w:val="000000" w:themeColor="text1"/>
          <w:sz w:val="28"/>
          <w:szCs w:val="28"/>
          <w:lang w:val="es-ES_tradnl"/>
        </w:rPr>
        <w:t xml:space="preserve"> </w:t>
      </w:r>
    </w:p>
    <w:p w14:paraId="79A3794C" w14:textId="77777777" w:rsidR="00C54719" w:rsidRPr="00AB4289" w:rsidRDefault="00C54719" w:rsidP="00B40BE5">
      <w:pPr>
        <w:pStyle w:val="Prrafodelista"/>
        <w:ind w:left="1003" w:right="49"/>
        <w:jc w:val="both"/>
        <w:rPr>
          <w:lang w:val="es-ES_tradnl"/>
        </w:rPr>
      </w:pPr>
    </w:p>
    <w:p w14:paraId="7A28415C" w14:textId="22BDCAE8" w:rsidR="001040EF" w:rsidRPr="00AB4289" w:rsidRDefault="00020B47" w:rsidP="00B40BE5">
      <w:pPr>
        <w:pStyle w:val="Prrafodelista"/>
        <w:numPr>
          <w:ilvl w:val="0"/>
          <w:numId w:val="2"/>
        </w:numPr>
        <w:tabs>
          <w:tab w:val="left" w:pos="284"/>
          <w:tab w:val="left" w:pos="426"/>
          <w:tab w:val="left" w:pos="567"/>
        </w:tabs>
        <w:autoSpaceDE w:val="0"/>
        <w:autoSpaceDN w:val="0"/>
        <w:adjustRightInd w:val="0"/>
        <w:ind w:left="0" w:firstLine="0"/>
        <w:jc w:val="both"/>
        <w:rPr>
          <w:sz w:val="28"/>
          <w:szCs w:val="28"/>
          <w:lang w:val="es-ES"/>
        </w:rPr>
      </w:pPr>
      <w:r w:rsidRPr="00AB4289">
        <w:rPr>
          <w:sz w:val="28"/>
          <w:szCs w:val="28"/>
          <w:lang w:val="es-ES_tradnl"/>
        </w:rPr>
        <w:t>En este caso, el señor Juan Pablo Barrientos radicó un</w:t>
      </w:r>
      <w:r w:rsidR="00706BA8">
        <w:rPr>
          <w:sz w:val="28"/>
          <w:szCs w:val="28"/>
          <w:lang w:val="es-ES_tradnl"/>
        </w:rPr>
        <w:t>a solicitud en ejercicio del</w:t>
      </w:r>
      <w:r w:rsidRPr="00AB4289">
        <w:rPr>
          <w:sz w:val="28"/>
          <w:szCs w:val="28"/>
          <w:lang w:val="es-ES_tradnl"/>
        </w:rPr>
        <w:t xml:space="preserve"> derecho de petición dirigid</w:t>
      </w:r>
      <w:r w:rsidR="005A5F5B">
        <w:rPr>
          <w:sz w:val="28"/>
          <w:szCs w:val="28"/>
          <w:lang w:val="es-ES_tradnl"/>
        </w:rPr>
        <w:t>a</w:t>
      </w:r>
      <w:r w:rsidRPr="00AB4289">
        <w:rPr>
          <w:sz w:val="28"/>
          <w:szCs w:val="28"/>
          <w:lang w:val="es-ES_tradnl"/>
        </w:rPr>
        <w:t xml:space="preserve"> al presidente de la Corte Suprema de Justicia en el que solicitó copia de las hojas de vida</w:t>
      </w:r>
      <w:r w:rsidR="00451E93" w:rsidRPr="00AB4289">
        <w:rPr>
          <w:sz w:val="28"/>
          <w:szCs w:val="28"/>
          <w:lang w:val="es-ES_tradnl"/>
        </w:rPr>
        <w:t xml:space="preserve"> con sus respectivos soportes</w:t>
      </w:r>
      <w:r w:rsidRPr="00AB4289">
        <w:rPr>
          <w:sz w:val="28"/>
          <w:szCs w:val="28"/>
          <w:lang w:val="es-ES_tradnl"/>
        </w:rPr>
        <w:t xml:space="preserve">, de las declaraciones </w:t>
      </w:r>
      <w:r w:rsidR="001040EF" w:rsidRPr="00AB4289">
        <w:rPr>
          <w:sz w:val="28"/>
          <w:szCs w:val="28"/>
          <w:lang w:val="es-ES_tradnl"/>
        </w:rPr>
        <w:t>sobre el impuesto a la</w:t>
      </w:r>
      <w:r w:rsidRPr="00AB4289">
        <w:rPr>
          <w:sz w:val="28"/>
          <w:szCs w:val="28"/>
          <w:lang w:val="es-ES_tradnl"/>
        </w:rPr>
        <w:t xml:space="preserve"> renta, de las declaraciones de bienes</w:t>
      </w:r>
      <w:r w:rsidR="001040EF" w:rsidRPr="00AB4289">
        <w:rPr>
          <w:sz w:val="28"/>
          <w:szCs w:val="28"/>
          <w:lang w:val="es-ES_tradnl"/>
        </w:rPr>
        <w:t xml:space="preserve"> y rentas</w:t>
      </w:r>
      <w:r w:rsidRPr="00AB4289">
        <w:rPr>
          <w:sz w:val="28"/>
          <w:szCs w:val="28"/>
          <w:lang w:val="es-ES_tradnl"/>
        </w:rPr>
        <w:t xml:space="preserve"> y</w:t>
      </w:r>
      <w:r w:rsidR="001040EF" w:rsidRPr="00AB4289">
        <w:rPr>
          <w:sz w:val="28"/>
          <w:szCs w:val="28"/>
          <w:lang w:val="es-ES_tradnl"/>
        </w:rPr>
        <w:t xml:space="preserve"> de los registros de</w:t>
      </w:r>
      <w:r w:rsidRPr="00AB4289">
        <w:rPr>
          <w:sz w:val="28"/>
          <w:szCs w:val="28"/>
          <w:lang w:val="es-ES_tradnl"/>
        </w:rPr>
        <w:t xml:space="preserve"> conflictos de inter</w:t>
      </w:r>
      <w:r w:rsidR="001040EF" w:rsidRPr="00AB4289">
        <w:rPr>
          <w:sz w:val="28"/>
          <w:szCs w:val="28"/>
          <w:lang w:val="es-ES_tradnl"/>
        </w:rPr>
        <w:t>é</w:t>
      </w:r>
      <w:r w:rsidRPr="00AB4289">
        <w:rPr>
          <w:sz w:val="28"/>
          <w:szCs w:val="28"/>
          <w:lang w:val="es-ES_tradnl"/>
        </w:rPr>
        <w:t xml:space="preserve">s de los magistrados de la Sala Plena de dicha </w:t>
      </w:r>
      <w:r w:rsidR="000D2207" w:rsidRPr="00AB4289">
        <w:rPr>
          <w:sz w:val="28"/>
          <w:szCs w:val="28"/>
          <w:lang w:val="es-ES_tradnl"/>
        </w:rPr>
        <w:t>C</w:t>
      </w:r>
      <w:r w:rsidRPr="00AB4289">
        <w:rPr>
          <w:sz w:val="28"/>
          <w:szCs w:val="28"/>
          <w:lang w:val="es-ES_tradnl"/>
        </w:rPr>
        <w:t>orporación. Sin embargo, la Corte Suprema respondió que no era posible efectuar la entrega de las hojas de vida</w:t>
      </w:r>
      <w:r w:rsidR="0022777F" w:rsidRPr="00AB4289">
        <w:rPr>
          <w:sz w:val="28"/>
          <w:szCs w:val="28"/>
          <w:lang w:val="es-ES_tradnl"/>
        </w:rPr>
        <w:t xml:space="preserve"> </w:t>
      </w:r>
      <w:r w:rsidRPr="00AB4289">
        <w:rPr>
          <w:sz w:val="28"/>
          <w:szCs w:val="28"/>
          <w:lang w:val="es-ES_tradnl"/>
        </w:rPr>
        <w:t>de los magistrados,</w:t>
      </w:r>
      <w:r w:rsidR="005111C2" w:rsidRPr="00AB4289">
        <w:rPr>
          <w:sz w:val="28"/>
          <w:szCs w:val="28"/>
          <w:lang w:val="es-ES_tradnl"/>
        </w:rPr>
        <w:t xml:space="preserve"> junto con sus respectivos soportes,</w:t>
      </w:r>
      <w:r w:rsidRPr="00AB4289">
        <w:rPr>
          <w:sz w:val="28"/>
          <w:szCs w:val="28"/>
          <w:lang w:val="es-ES_tradnl"/>
        </w:rPr>
        <w:t xml:space="preserve"> toda vez que sobre esa información reca</w:t>
      </w:r>
      <w:r w:rsidR="001040EF" w:rsidRPr="00AB4289">
        <w:rPr>
          <w:sz w:val="28"/>
          <w:szCs w:val="28"/>
          <w:lang w:val="es-ES_tradnl"/>
        </w:rPr>
        <w:t>ía</w:t>
      </w:r>
      <w:r w:rsidRPr="00AB4289">
        <w:rPr>
          <w:sz w:val="28"/>
          <w:szCs w:val="28"/>
          <w:lang w:val="es-ES_tradnl"/>
        </w:rPr>
        <w:t xml:space="preserve"> la reserva descrita en el artículo 24 de la Ley 1755 de 2015. Además, destacó que las declaraciones </w:t>
      </w:r>
      <w:r w:rsidR="001040EF" w:rsidRPr="00AB4289">
        <w:rPr>
          <w:sz w:val="28"/>
          <w:szCs w:val="28"/>
          <w:lang w:val="es-ES_tradnl"/>
        </w:rPr>
        <w:t>sobre el impuesto a la</w:t>
      </w:r>
      <w:r w:rsidRPr="00AB4289">
        <w:rPr>
          <w:sz w:val="28"/>
          <w:szCs w:val="28"/>
          <w:lang w:val="es-ES_tradnl"/>
        </w:rPr>
        <w:t xml:space="preserve"> renta, las declaraciones de bienes</w:t>
      </w:r>
      <w:r w:rsidR="001040EF" w:rsidRPr="00AB4289">
        <w:rPr>
          <w:sz w:val="28"/>
          <w:szCs w:val="28"/>
          <w:lang w:val="es-ES_tradnl"/>
        </w:rPr>
        <w:t xml:space="preserve"> y rentas</w:t>
      </w:r>
      <w:r w:rsidRPr="00AB4289">
        <w:rPr>
          <w:sz w:val="28"/>
          <w:szCs w:val="28"/>
          <w:lang w:val="es-ES_tradnl"/>
        </w:rPr>
        <w:t xml:space="preserve"> y los</w:t>
      </w:r>
      <w:r w:rsidR="001040EF" w:rsidRPr="00AB4289">
        <w:rPr>
          <w:sz w:val="28"/>
          <w:szCs w:val="28"/>
          <w:lang w:val="es-ES_tradnl"/>
        </w:rPr>
        <w:t xml:space="preserve"> registros de</w:t>
      </w:r>
      <w:r w:rsidRPr="00AB4289">
        <w:rPr>
          <w:sz w:val="28"/>
          <w:szCs w:val="28"/>
          <w:lang w:val="es-ES_tradnl"/>
        </w:rPr>
        <w:t xml:space="preserve"> conflictos de interés se encuentran en la página de</w:t>
      </w:r>
      <w:r w:rsidR="001040EF" w:rsidRPr="00AB4289">
        <w:rPr>
          <w:sz w:val="28"/>
          <w:szCs w:val="28"/>
          <w:lang w:val="es-ES_tradnl"/>
        </w:rPr>
        <w:t>l Departamento Administrativo de la</w:t>
      </w:r>
      <w:r w:rsidRPr="00AB4289">
        <w:rPr>
          <w:sz w:val="28"/>
          <w:szCs w:val="28"/>
          <w:lang w:val="es-ES_tradnl"/>
        </w:rPr>
        <w:t xml:space="preserve"> </w:t>
      </w:r>
      <w:r w:rsidR="001040EF" w:rsidRPr="00AB4289">
        <w:rPr>
          <w:sz w:val="28"/>
          <w:szCs w:val="28"/>
          <w:lang w:val="es-ES_tradnl"/>
        </w:rPr>
        <w:t>F</w:t>
      </w:r>
      <w:r w:rsidRPr="00AB4289">
        <w:rPr>
          <w:sz w:val="28"/>
          <w:szCs w:val="28"/>
          <w:lang w:val="es-ES_tradnl"/>
        </w:rPr>
        <w:t xml:space="preserve">unción </w:t>
      </w:r>
      <w:r w:rsidR="001040EF" w:rsidRPr="00AB4289">
        <w:rPr>
          <w:sz w:val="28"/>
          <w:szCs w:val="28"/>
          <w:lang w:val="es-ES_tradnl"/>
        </w:rPr>
        <w:t>P</w:t>
      </w:r>
      <w:r w:rsidRPr="00AB4289">
        <w:rPr>
          <w:sz w:val="28"/>
          <w:szCs w:val="28"/>
          <w:lang w:val="es-ES_tradnl"/>
        </w:rPr>
        <w:t xml:space="preserve">ública. </w:t>
      </w:r>
    </w:p>
    <w:p w14:paraId="374A24D9" w14:textId="77777777" w:rsidR="001040EF" w:rsidRPr="00AB4289" w:rsidRDefault="001040EF" w:rsidP="00B40BE5">
      <w:pPr>
        <w:pStyle w:val="Prrafodelista"/>
        <w:tabs>
          <w:tab w:val="left" w:pos="284"/>
          <w:tab w:val="left" w:pos="426"/>
          <w:tab w:val="left" w:pos="567"/>
        </w:tabs>
        <w:autoSpaceDE w:val="0"/>
        <w:autoSpaceDN w:val="0"/>
        <w:adjustRightInd w:val="0"/>
        <w:ind w:left="0"/>
        <w:jc w:val="both"/>
        <w:rPr>
          <w:sz w:val="28"/>
          <w:szCs w:val="28"/>
          <w:lang w:val="es-ES"/>
        </w:rPr>
      </w:pPr>
    </w:p>
    <w:p w14:paraId="5A8905A9" w14:textId="1B215ADD" w:rsidR="00020B47" w:rsidRPr="00AB4289" w:rsidRDefault="005111C2" w:rsidP="00B40BE5">
      <w:pPr>
        <w:pStyle w:val="Prrafodelista"/>
        <w:numPr>
          <w:ilvl w:val="0"/>
          <w:numId w:val="2"/>
        </w:numPr>
        <w:tabs>
          <w:tab w:val="left" w:pos="284"/>
          <w:tab w:val="left" w:pos="426"/>
          <w:tab w:val="left" w:pos="567"/>
        </w:tabs>
        <w:autoSpaceDE w:val="0"/>
        <w:autoSpaceDN w:val="0"/>
        <w:adjustRightInd w:val="0"/>
        <w:ind w:left="0" w:firstLine="0"/>
        <w:jc w:val="both"/>
        <w:rPr>
          <w:sz w:val="28"/>
          <w:szCs w:val="28"/>
          <w:lang w:val="es-ES"/>
        </w:rPr>
      </w:pPr>
      <w:r w:rsidRPr="00AB4289">
        <w:rPr>
          <w:sz w:val="28"/>
          <w:szCs w:val="28"/>
          <w:lang w:val="es-ES_tradnl"/>
        </w:rPr>
        <w:t xml:space="preserve">A juicio del accionante, </w:t>
      </w:r>
      <w:r w:rsidR="00254C7D" w:rsidRPr="00AB4289">
        <w:rPr>
          <w:sz w:val="28"/>
          <w:szCs w:val="28"/>
          <w:lang w:val="es-ES"/>
        </w:rPr>
        <w:t xml:space="preserve">la </w:t>
      </w:r>
      <w:r w:rsidR="001040EF" w:rsidRPr="00AB4289">
        <w:rPr>
          <w:sz w:val="28"/>
          <w:szCs w:val="28"/>
          <w:lang w:val="es-ES"/>
        </w:rPr>
        <w:t>negativa</w:t>
      </w:r>
      <w:r w:rsidR="005C0392" w:rsidRPr="00AB4289">
        <w:rPr>
          <w:sz w:val="28"/>
          <w:szCs w:val="28"/>
          <w:lang w:val="es-ES"/>
        </w:rPr>
        <w:t xml:space="preserve"> de</w:t>
      </w:r>
      <w:r w:rsidR="003159B1" w:rsidRPr="00AB4289">
        <w:rPr>
          <w:sz w:val="28"/>
          <w:szCs w:val="28"/>
          <w:lang w:val="es-ES"/>
        </w:rPr>
        <w:t xml:space="preserve"> </w:t>
      </w:r>
      <w:r w:rsidR="0026497A" w:rsidRPr="00AB4289">
        <w:rPr>
          <w:sz w:val="28"/>
          <w:szCs w:val="28"/>
          <w:lang w:val="es-ES"/>
        </w:rPr>
        <w:t xml:space="preserve">la Corte Suprema de Justicia </w:t>
      </w:r>
      <w:r w:rsidR="001040EF" w:rsidRPr="00AB4289">
        <w:rPr>
          <w:sz w:val="28"/>
          <w:szCs w:val="28"/>
          <w:lang w:val="es-ES"/>
        </w:rPr>
        <w:t xml:space="preserve">a entregar la información solicitada </w:t>
      </w:r>
      <w:r w:rsidR="00254C7D" w:rsidRPr="00AB4289">
        <w:rPr>
          <w:sz w:val="28"/>
          <w:szCs w:val="28"/>
          <w:lang w:val="es-ES"/>
        </w:rPr>
        <w:t xml:space="preserve">resulta particularmente grave, ya que la solicitud proviene de un periodista que ejerce sus derechos a la libertad de expresión, a la libertad de información y al trabajo a través de sus investigaciones. Por esta razón, el accionante pidió la protección de sus derechos fundamentales </w:t>
      </w:r>
      <w:r w:rsidR="002A23BE" w:rsidRPr="00AB4289">
        <w:rPr>
          <w:sz w:val="28"/>
          <w:szCs w:val="28"/>
          <w:lang w:val="es-ES"/>
        </w:rPr>
        <w:t xml:space="preserve">de petición, de </w:t>
      </w:r>
      <w:r w:rsidR="00254C7D" w:rsidRPr="00AB4289">
        <w:rPr>
          <w:sz w:val="28"/>
          <w:szCs w:val="28"/>
          <w:lang w:val="es-ES"/>
        </w:rPr>
        <w:t>acceso a la información</w:t>
      </w:r>
      <w:r w:rsidR="002A23BE" w:rsidRPr="00AB4289">
        <w:rPr>
          <w:sz w:val="28"/>
          <w:szCs w:val="28"/>
          <w:lang w:val="es-ES"/>
        </w:rPr>
        <w:t xml:space="preserve"> pública</w:t>
      </w:r>
      <w:r w:rsidR="001040EF" w:rsidRPr="00AB4289">
        <w:rPr>
          <w:sz w:val="28"/>
          <w:szCs w:val="28"/>
          <w:lang w:val="es-ES"/>
        </w:rPr>
        <w:t xml:space="preserve"> y a la</w:t>
      </w:r>
      <w:r w:rsidR="00254C7D" w:rsidRPr="00AB4289">
        <w:rPr>
          <w:sz w:val="28"/>
          <w:szCs w:val="28"/>
          <w:lang w:val="es-ES"/>
        </w:rPr>
        <w:t xml:space="preserve"> libertad de opinión y expresión. En esa medida, solicitó que se ordene a</w:t>
      </w:r>
      <w:r w:rsidR="003159B1" w:rsidRPr="00AB4289">
        <w:rPr>
          <w:sz w:val="28"/>
          <w:szCs w:val="28"/>
          <w:lang w:val="es-ES"/>
        </w:rPr>
        <w:t xml:space="preserve"> la Corte Suprema de Justicia</w:t>
      </w:r>
      <w:r w:rsidR="00254C7D" w:rsidRPr="00AB4289">
        <w:rPr>
          <w:sz w:val="28"/>
          <w:szCs w:val="28"/>
          <w:lang w:val="es-ES"/>
        </w:rPr>
        <w:t xml:space="preserve"> </w:t>
      </w:r>
      <w:r w:rsidR="001040EF" w:rsidRPr="00AB4289">
        <w:rPr>
          <w:sz w:val="28"/>
          <w:szCs w:val="28"/>
          <w:lang w:val="es-ES"/>
        </w:rPr>
        <w:t xml:space="preserve">entregarle la información solicitada mediante </w:t>
      </w:r>
      <w:r w:rsidR="00706BA8">
        <w:rPr>
          <w:sz w:val="28"/>
          <w:szCs w:val="28"/>
          <w:lang w:val="es-ES"/>
        </w:rPr>
        <w:t xml:space="preserve">la </w:t>
      </w:r>
      <w:r w:rsidR="001E64F9">
        <w:rPr>
          <w:sz w:val="28"/>
          <w:szCs w:val="28"/>
          <w:lang w:val="es-ES"/>
        </w:rPr>
        <w:t xml:space="preserve">solicitud </w:t>
      </w:r>
      <w:r w:rsidR="001E64F9" w:rsidRPr="00AB4289">
        <w:rPr>
          <w:sz w:val="28"/>
          <w:szCs w:val="28"/>
          <w:lang w:val="es-ES"/>
        </w:rPr>
        <w:t>enviada</w:t>
      </w:r>
      <w:r w:rsidR="00254C7D" w:rsidRPr="00AB4289">
        <w:rPr>
          <w:sz w:val="28"/>
          <w:szCs w:val="28"/>
          <w:lang w:val="es-ES"/>
        </w:rPr>
        <w:t xml:space="preserve"> el 9 de febrero de 2024.</w:t>
      </w:r>
    </w:p>
    <w:p w14:paraId="34AB84E8" w14:textId="77777777" w:rsidR="00254C7D" w:rsidRPr="00AB4289" w:rsidRDefault="00254C7D"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2D963290" w14:textId="04319D7B" w:rsidR="00254C7D" w:rsidRPr="00AB4289" w:rsidRDefault="00E01159"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A continuación</w:t>
      </w:r>
      <w:r w:rsidR="00254C7D" w:rsidRPr="00AB4289">
        <w:rPr>
          <w:sz w:val="28"/>
          <w:szCs w:val="28"/>
          <w:lang w:val="es-ES_tradnl"/>
        </w:rPr>
        <w:t xml:space="preserve">, </w:t>
      </w:r>
      <w:r w:rsidR="00790E7F" w:rsidRPr="00AB4289">
        <w:rPr>
          <w:sz w:val="28"/>
          <w:szCs w:val="28"/>
          <w:lang w:val="es-ES_tradnl"/>
        </w:rPr>
        <w:t xml:space="preserve">en primer y segundo lugar, </w:t>
      </w:r>
      <w:r w:rsidR="00254C7D" w:rsidRPr="00AB4289">
        <w:rPr>
          <w:sz w:val="28"/>
          <w:szCs w:val="28"/>
          <w:lang w:val="es-ES_tradnl"/>
        </w:rPr>
        <w:t>la Corte</w:t>
      </w:r>
      <w:r w:rsidR="008C0058" w:rsidRPr="00AB4289">
        <w:rPr>
          <w:sz w:val="28"/>
          <w:szCs w:val="28"/>
          <w:lang w:val="es-ES_tradnl"/>
        </w:rPr>
        <w:t xml:space="preserve"> Constitucional</w:t>
      </w:r>
      <w:r w:rsidR="00254C7D" w:rsidRPr="00AB4289">
        <w:rPr>
          <w:sz w:val="28"/>
          <w:szCs w:val="28"/>
          <w:lang w:val="es-ES_tradnl"/>
        </w:rPr>
        <w:t xml:space="preserve"> </w:t>
      </w:r>
      <w:r w:rsidR="00790E7F" w:rsidRPr="00AB4289">
        <w:rPr>
          <w:sz w:val="28"/>
          <w:szCs w:val="28"/>
          <w:lang w:val="es-ES_tradnl"/>
        </w:rPr>
        <w:t xml:space="preserve">explicará las razones por las cuales la Corte Suprema de Justicia vulneró los derechos fundamentales de acceso a la información pública y a la libertad de </w:t>
      </w:r>
      <w:r w:rsidR="00790E7F" w:rsidRPr="00AB4289">
        <w:rPr>
          <w:sz w:val="28"/>
          <w:szCs w:val="28"/>
          <w:lang w:val="es-ES_tradnl"/>
        </w:rPr>
        <w:lastRenderedPageBreak/>
        <w:t>expresión del demandante al negarle la entrega de las hojas de vida, junto con sus soportes, las declaraciones sobre el impuesto de renta, las declaraciones de bienes y rentas, y los registros de conflictos de interés de los magistrados que integran</w:t>
      </w:r>
      <w:r w:rsidR="00926D23" w:rsidRPr="00AB4289">
        <w:rPr>
          <w:sz w:val="28"/>
          <w:szCs w:val="28"/>
          <w:lang w:val="es-ES_tradnl"/>
        </w:rPr>
        <w:t xml:space="preserve"> la Sala Plena de</w:t>
      </w:r>
      <w:r w:rsidR="00790E7F" w:rsidRPr="00AB4289">
        <w:rPr>
          <w:sz w:val="28"/>
          <w:szCs w:val="28"/>
          <w:lang w:val="es-ES_tradnl"/>
        </w:rPr>
        <w:t xml:space="preserve"> dicha</w:t>
      </w:r>
      <w:r w:rsidR="008C0058" w:rsidRPr="00AB4289">
        <w:rPr>
          <w:sz w:val="28"/>
          <w:szCs w:val="28"/>
          <w:lang w:val="es-ES_tradnl"/>
        </w:rPr>
        <w:t xml:space="preserve"> Corporación.</w:t>
      </w:r>
      <w:r w:rsidR="00790E7F" w:rsidRPr="00AB4289">
        <w:rPr>
          <w:sz w:val="28"/>
          <w:szCs w:val="28"/>
          <w:lang w:val="es-ES_tradnl"/>
        </w:rPr>
        <w:t xml:space="preserve"> En tercer lugar, </w:t>
      </w:r>
      <w:r w:rsidR="008C0058" w:rsidRPr="00AB4289">
        <w:rPr>
          <w:sz w:val="28"/>
          <w:szCs w:val="28"/>
          <w:lang w:val="es-ES_tradnl"/>
        </w:rPr>
        <w:t xml:space="preserve">la Corte Constitucional </w:t>
      </w:r>
      <w:r w:rsidR="00790E7F" w:rsidRPr="00AB4289">
        <w:rPr>
          <w:sz w:val="28"/>
          <w:szCs w:val="28"/>
          <w:lang w:val="es-ES_tradnl"/>
        </w:rPr>
        <w:t xml:space="preserve">expondrá los remedios judiciales </w:t>
      </w:r>
      <w:r w:rsidRPr="00AB4289">
        <w:rPr>
          <w:sz w:val="28"/>
          <w:szCs w:val="28"/>
          <w:lang w:val="es-ES_tradnl"/>
        </w:rPr>
        <w:t>que</w:t>
      </w:r>
      <w:r w:rsidR="00790E7F" w:rsidRPr="00AB4289">
        <w:rPr>
          <w:sz w:val="28"/>
          <w:szCs w:val="28"/>
          <w:lang w:val="es-ES_tradnl"/>
        </w:rPr>
        <w:t xml:space="preserve"> adoptar</w:t>
      </w:r>
      <w:r w:rsidRPr="00AB4289">
        <w:rPr>
          <w:sz w:val="28"/>
          <w:szCs w:val="28"/>
          <w:lang w:val="es-ES_tradnl"/>
        </w:rPr>
        <w:t>á</w:t>
      </w:r>
      <w:r w:rsidR="00790E7F" w:rsidRPr="00AB4289">
        <w:rPr>
          <w:sz w:val="28"/>
          <w:szCs w:val="28"/>
          <w:lang w:val="es-ES_tradnl"/>
        </w:rPr>
        <w:t xml:space="preserve">. </w:t>
      </w:r>
    </w:p>
    <w:p w14:paraId="1BC49F09" w14:textId="77777777" w:rsidR="00790E7F" w:rsidRPr="00AB4289" w:rsidRDefault="00790E7F"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55AB0354" w14:textId="0338276A" w:rsidR="00020B47" w:rsidRPr="00AB4289" w:rsidRDefault="00020B47" w:rsidP="00B40BE5">
      <w:pPr>
        <w:pStyle w:val="Ttulo2"/>
        <w:numPr>
          <w:ilvl w:val="0"/>
          <w:numId w:val="43"/>
        </w:numPr>
        <w:spacing w:before="0" w:after="0"/>
        <w:jc w:val="both"/>
        <w:rPr>
          <w:rFonts w:ascii="Times New Roman" w:hAnsi="Times New Roman" w:cs="Times New Roman"/>
          <w:color w:val="000000" w:themeColor="text1"/>
          <w:sz w:val="28"/>
          <w:szCs w:val="28"/>
          <w:lang w:val="es-ES_tradnl"/>
        </w:rPr>
      </w:pPr>
      <w:bookmarkStart w:id="27" w:name="_Toc210202233"/>
      <w:r w:rsidRPr="00AB4289">
        <w:rPr>
          <w:rFonts w:ascii="Times New Roman" w:hAnsi="Times New Roman" w:cs="Times New Roman"/>
          <w:b/>
          <w:bCs/>
          <w:color w:val="000000" w:themeColor="text1"/>
          <w:sz w:val="28"/>
          <w:szCs w:val="28"/>
          <w:lang w:val="es-ES_tradnl"/>
        </w:rPr>
        <w:t>Las hojas de vida de los magistrados</w:t>
      </w:r>
      <w:r w:rsidR="004F5B69" w:rsidRPr="00AB4289">
        <w:rPr>
          <w:rFonts w:ascii="Times New Roman" w:hAnsi="Times New Roman" w:cs="Times New Roman"/>
          <w:b/>
          <w:bCs/>
          <w:color w:val="000000" w:themeColor="text1"/>
          <w:sz w:val="28"/>
          <w:szCs w:val="28"/>
          <w:lang w:val="es-ES_tradnl"/>
        </w:rPr>
        <w:t xml:space="preserve"> y sus respectivos soportes</w:t>
      </w:r>
      <w:bookmarkEnd w:id="27"/>
    </w:p>
    <w:p w14:paraId="1CAB8CAD" w14:textId="77777777" w:rsidR="00020B47" w:rsidRPr="00AB4289" w:rsidRDefault="00020B47"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53A601C8" w14:textId="14751E63" w:rsidR="002A23BE" w:rsidRPr="00AB4289" w:rsidRDefault="008C0058" w:rsidP="00B40BE5">
      <w:pPr>
        <w:pStyle w:val="NormalWeb"/>
        <w:numPr>
          <w:ilvl w:val="0"/>
          <w:numId w:val="2"/>
        </w:numPr>
        <w:tabs>
          <w:tab w:val="left" w:pos="0"/>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L</w:t>
      </w:r>
      <w:r w:rsidR="00020B47" w:rsidRPr="00AB4289">
        <w:rPr>
          <w:sz w:val="28"/>
          <w:szCs w:val="28"/>
          <w:lang w:val="es-ES_tradnl"/>
        </w:rPr>
        <w:t>as hojas de vida de los magistrados de la Sala Plena de la Corte Suprema</w:t>
      </w:r>
      <w:r w:rsidR="00E04928" w:rsidRPr="00AB4289">
        <w:rPr>
          <w:sz w:val="28"/>
          <w:szCs w:val="28"/>
          <w:lang w:val="es-ES_tradnl"/>
        </w:rPr>
        <w:t xml:space="preserve"> y sus respectivos soportes</w:t>
      </w:r>
      <w:r w:rsidR="00020B47" w:rsidRPr="00AB4289">
        <w:rPr>
          <w:sz w:val="28"/>
          <w:szCs w:val="28"/>
          <w:lang w:val="es-ES_tradnl"/>
        </w:rPr>
        <w:t xml:space="preserve"> incluyen información de naturaleza pública. En efecto, la Corte Suprema de Justicia -</w:t>
      </w:r>
      <w:r w:rsidR="000D2207" w:rsidRPr="00AB4289">
        <w:rPr>
          <w:sz w:val="28"/>
          <w:szCs w:val="28"/>
          <w:lang w:val="es-ES_tradnl"/>
        </w:rPr>
        <w:t>C</w:t>
      </w:r>
      <w:r w:rsidR="00020B47" w:rsidRPr="00AB4289">
        <w:rPr>
          <w:sz w:val="28"/>
          <w:szCs w:val="28"/>
          <w:lang w:val="es-ES_tradnl"/>
        </w:rPr>
        <w:t>orporación encargada de custodiar</w:t>
      </w:r>
      <w:r w:rsidR="00D52DEB" w:rsidRPr="00AB4289">
        <w:rPr>
          <w:sz w:val="28"/>
          <w:szCs w:val="28"/>
          <w:lang w:val="es-ES_tradnl"/>
        </w:rPr>
        <w:t xml:space="preserve"> dicha información</w:t>
      </w:r>
      <w:r w:rsidR="00020B47" w:rsidRPr="00AB4289">
        <w:rPr>
          <w:rStyle w:val="Refdenotaalpie"/>
          <w:rFonts w:cs="Times New Roman"/>
          <w:sz w:val="28"/>
          <w:szCs w:val="28"/>
          <w:lang w:val="es-ES_tradnl"/>
        </w:rPr>
        <w:footnoteReference w:id="115"/>
      </w:r>
      <w:r w:rsidR="00020B47" w:rsidRPr="00AB4289">
        <w:rPr>
          <w:sz w:val="28"/>
          <w:szCs w:val="28"/>
          <w:lang w:val="es-ES_tradnl"/>
        </w:rPr>
        <w:t xml:space="preserve">- es una entidad pública. Por tanto, </w:t>
      </w:r>
      <w:r w:rsidR="00E04928" w:rsidRPr="00AB4289">
        <w:rPr>
          <w:sz w:val="28"/>
          <w:szCs w:val="28"/>
          <w:lang w:val="es-ES_tradnl"/>
        </w:rPr>
        <w:t>est</w:t>
      </w:r>
      <w:r w:rsidR="00D52DEB" w:rsidRPr="00AB4289">
        <w:rPr>
          <w:sz w:val="28"/>
          <w:szCs w:val="28"/>
          <w:lang w:val="es-ES_tradnl"/>
        </w:rPr>
        <w:t xml:space="preserve">os datos </w:t>
      </w:r>
      <w:r w:rsidR="00020B47" w:rsidRPr="00AB4289">
        <w:rPr>
          <w:sz w:val="28"/>
          <w:szCs w:val="28"/>
          <w:lang w:val="es-ES_tradnl"/>
        </w:rPr>
        <w:t>está</w:t>
      </w:r>
      <w:r w:rsidR="00D52DEB" w:rsidRPr="00AB4289">
        <w:rPr>
          <w:sz w:val="28"/>
          <w:szCs w:val="28"/>
          <w:lang w:val="es-ES_tradnl"/>
        </w:rPr>
        <w:t>n</w:t>
      </w:r>
      <w:r w:rsidR="00020B47" w:rsidRPr="00AB4289">
        <w:rPr>
          <w:sz w:val="28"/>
          <w:szCs w:val="28"/>
          <w:lang w:val="es-ES_tradnl"/>
        </w:rPr>
        <w:t xml:space="preserve"> custodiad</w:t>
      </w:r>
      <w:r w:rsidR="00D52DEB" w:rsidRPr="00AB4289">
        <w:rPr>
          <w:sz w:val="28"/>
          <w:szCs w:val="28"/>
          <w:lang w:val="es-ES_tradnl"/>
        </w:rPr>
        <w:t>os</w:t>
      </w:r>
      <w:r w:rsidR="00020B47" w:rsidRPr="00AB4289">
        <w:rPr>
          <w:sz w:val="28"/>
          <w:szCs w:val="28"/>
          <w:lang w:val="es-ES_tradnl"/>
        </w:rPr>
        <w:t xml:space="preserve"> por un sujeto obligado según lo establecido en </w:t>
      </w:r>
      <w:r w:rsidR="003159B1" w:rsidRPr="00AB4289">
        <w:rPr>
          <w:sz w:val="28"/>
          <w:szCs w:val="28"/>
          <w:lang w:val="es-ES_tradnl"/>
        </w:rPr>
        <w:t>los</w:t>
      </w:r>
      <w:r w:rsidR="00020B47" w:rsidRPr="00AB4289">
        <w:rPr>
          <w:sz w:val="28"/>
          <w:szCs w:val="28"/>
          <w:lang w:val="es-ES_tradnl"/>
        </w:rPr>
        <w:t xml:space="preserve"> artículo</w:t>
      </w:r>
      <w:r w:rsidR="003159B1" w:rsidRPr="00AB4289">
        <w:rPr>
          <w:sz w:val="28"/>
          <w:szCs w:val="28"/>
          <w:lang w:val="es-ES_tradnl"/>
        </w:rPr>
        <w:t>s 2, 4 y</w:t>
      </w:r>
      <w:r w:rsidR="00020B47" w:rsidRPr="00AB4289">
        <w:rPr>
          <w:sz w:val="28"/>
          <w:szCs w:val="28"/>
          <w:lang w:val="es-ES_tradnl"/>
        </w:rPr>
        <w:t xml:space="preserve"> 5 de la Ley 1712 de 2014, y, en consecuencia, son</w:t>
      </w:r>
      <w:r w:rsidR="002A23BE" w:rsidRPr="00AB4289">
        <w:rPr>
          <w:sz w:val="28"/>
          <w:szCs w:val="28"/>
          <w:lang w:val="es-ES_tradnl"/>
        </w:rPr>
        <w:t xml:space="preserve"> datos públicos.</w:t>
      </w:r>
    </w:p>
    <w:p w14:paraId="54DC608F" w14:textId="77777777" w:rsidR="00020B47" w:rsidRPr="00AB4289" w:rsidRDefault="00020B47" w:rsidP="00B40BE5">
      <w:pPr>
        <w:pStyle w:val="NormalWeb"/>
        <w:tabs>
          <w:tab w:val="left" w:pos="0"/>
          <w:tab w:val="left" w:pos="426"/>
          <w:tab w:val="left" w:pos="567"/>
        </w:tabs>
        <w:spacing w:before="0" w:beforeAutospacing="0" w:after="0" w:afterAutospacing="0"/>
        <w:ind w:right="49"/>
        <w:jc w:val="both"/>
        <w:rPr>
          <w:sz w:val="28"/>
          <w:szCs w:val="28"/>
          <w:lang w:val="es-ES_tradnl"/>
        </w:rPr>
      </w:pPr>
      <w:r w:rsidRPr="00AB4289">
        <w:rPr>
          <w:sz w:val="28"/>
          <w:szCs w:val="28"/>
          <w:lang w:val="es-ES_tradnl"/>
        </w:rPr>
        <w:t xml:space="preserve"> </w:t>
      </w:r>
    </w:p>
    <w:p w14:paraId="034F2832" w14:textId="139E8C07" w:rsidR="00020B47" w:rsidRPr="00AB4289" w:rsidRDefault="00020B47" w:rsidP="00B40BE5">
      <w:pPr>
        <w:pStyle w:val="NormalWeb"/>
        <w:numPr>
          <w:ilvl w:val="0"/>
          <w:numId w:val="2"/>
        </w:numPr>
        <w:tabs>
          <w:tab w:val="left" w:pos="0"/>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El hecho de que esta información sea pública significa que los sujetos obligados deben propender por asegurar que la ciudadanía tenga acceso a estos datos y cualquier reserva debe ser justificada de manera adecuada. Así, la información solo podría negarse a partir de los criterios establecidos en el artículo 28 de la Ley 1712 de 2014</w:t>
      </w:r>
      <w:r w:rsidR="00D52DEB" w:rsidRPr="00AB4289">
        <w:rPr>
          <w:sz w:val="28"/>
          <w:szCs w:val="28"/>
          <w:lang w:val="es-ES_tradnl"/>
        </w:rPr>
        <w:t>,</w:t>
      </w:r>
      <w:r w:rsidRPr="00AB4289">
        <w:rPr>
          <w:sz w:val="28"/>
          <w:szCs w:val="28"/>
          <w:lang w:val="es-ES_tradnl"/>
        </w:rPr>
        <w:t xml:space="preserve"> que se explicaron en esta decisión</w:t>
      </w:r>
      <w:r w:rsidR="00D52DEB" w:rsidRPr="00AB4289">
        <w:rPr>
          <w:sz w:val="28"/>
          <w:szCs w:val="28"/>
          <w:lang w:val="es-ES_tradnl"/>
        </w:rPr>
        <w:t>,</w:t>
      </w:r>
      <w:r w:rsidRPr="00AB4289">
        <w:rPr>
          <w:sz w:val="28"/>
          <w:szCs w:val="28"/>
          <w:lang w:val="es-ES_tradnl"/>
        </w:rPr>
        <w:t xml:space="preserve"> según los cuales el sujeto obligado debe demostrar </w:t>
      </w:r>
      <w:r w:rsidR="00A55A0D" w:rsidRPr="00AB4289">
        <w:rPr>
          <w:sz w:val="28"/>
          <w:szCs w:val="28"/>
          <w:lang w:val="es-ES_tradnl"/>
        </w:rPr>
        <w:t xml:space="preserve">que </w:t>
      </w:r>
      <w:r w:rsidRPr="00AB4289">
        <w:rPr>
          <w:sz w:val="28"/>
          <w:szCs w:val="28"/>
          <w:lang w:val="es-ES_tradnl"/>
        </w:rPr>
        <w:t xml:space="preserve">i) se trata de información pública reservada o clasificada y </w:t>
      </w:r>
      <w:proofErr w:type="spellStart"/>
      <w:r w:rsidRPr="00AB4289">
        <w:rPr>
          <w:sz w:val="28"/>
          <w:szCs w:val="28"/>
          <w:lang w:val="es-ES_tradnl"/>
        </w:rPr>
        <w:t>ii</w:t>
      </w:r>
      <w:proofErr w:type="spellEnd"/>
      <w:r w:rsidRPr="00AB4289">
        <w:rPr>
          <w:sz w:val="28"/>
          <w:szCs w:val="28"/>
          <w:lang w:val="es-ES_tradnl"/>
        </w:rPr>
        <w:t xml:space="preserve">) </w:t>
      </w:r>
      <w:r w:rsidR="00A55A0D" w:rsidRPr="00AB4289">
        <w:rPr>
          <w:sz w:val="28"/>
          <w:szCs w:val="28"/>
          <w:lang w:val="es-ES_tradnl"/>
        </w:rPr>
        <w:t>su</w:t>
      </w:r>
      <w:r w:rsidRPr="00AB4289">
        <w:rPr>
          <w:sz w:val="28"/>
          <w:szCs w:val="28"/>
          <w:lang w:val="es-ES_tradnl"/>
        </w:rPr>
        <w:t xml:space="preserve"> revelación genera un daño para </w:t>
      </w:r>
      <w:r w:rsidR="00254C7D" w:rsidRPr="00AB4289">
        <w:rPr>
          <w:sz w:val="28"/>
          <w:szCs w:val="28"/>
          <w:lang w:val="es-ES_tradnl"/>
        </w:rPr>
        <w:t xml:space="preserve">los derechos del titular de la información </w:t>
      </w:r>
      <w:r w:rsidRPr="00AB4289">
        <w:rPr>
          <w:sz w:val="28"/>
          <w:szCs w:val="28"/>
          <w:lang w:val="es-ES_tradnl"/>
        </w:rPr>
        <w:t xml:space="preserve">que es superior al beneficio público que produce </w:t>
      </w:r>
      <w:r w:rsidR="00A55A0D" w:rsidRPr="00AB4289">
        <w:rPr>
          <w:sz w:val="28"/>
          <w:szCs w:val="28"/>
          <w:lang w:val="es-ES_tradnl"/>
        </w:rPr>
        <w:t>su</w:t>
      </w:r>
      <w:r w:rsidRPr="00AB4289">
        <w:rPr>
          <w:sz w:val="28"/>
          <w:szCs w:val="28"/>
          <w:lang w:val="es-ES_tradnl"/>
        </w:rPr>
        <w:t xml:space="preserve"> entrega. </w:t>
      </w:r>
    </w:p>
    <w:p w14:paraId="01E166BA" w14:textId="77777777" w:rsidR="002E1C83" w:rsidRPr="00AB4289" w:rsidRDefault="002E1C83" w:rsidP="00B40BE5">
      <w:pPr>
        <w:pStyle w:val="Prrafodelista"/>
        <w:jc w:val="both"/>
        <w:rPr>
          <w:sz w:val="28"/>
          <w:szCs w:val="28"/>
          <w:lang w:val="es-ES_tradnl"/>
        </w:rPr>
      </w:pPr>
    </w:p>
    <w:p w14:paraId="1F3D37D0" w14:textId="0E5C5036" w:rsidR="00710C96" w:rsidRPr="00AB4289" w:rsidRDefault="00E01159" w:rsidP="00B40BE5">
      <w:pPr>
        <w:pStyle w:val="NormalWeb"/>
        <w:numPr>
          <w:ilvl w:val="0"/>
          <w:numId w:val="2"/>
        </w:numPr>
        <w:tabs>
          <w:tab w:val="left" w:pos="0"/>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A juicio de</w:t>
      </w:r>
      <w:r w:rsidR="00926D23" w:rsidRPr="00AB4289">
        <w:rPr>
          <w:sz w:val="28"/>
          <w:szCs w:val="28"/>
          <w:lang w:val="es-ES_tradnl"/>
        </w:rPr>
        <w:t xml:space="preserve"> </w:t>
      </w:r>
      <w:r w:rsidR="002E1C83" w:rsidRPr="00AB4289">
        <w:rPr>
          <w:sz w:val="28"/>
          <w:szCs w:val="28"/>
          <w:lang w:val="es-ES_tradnl"/>
        </w:rPr>
        <w:t>la Corte</w:t>
      </w:r>
      <w:r w:rsidR="00A55A0D" w:rsidRPr="00AB4289">
        <w:rPr>
          <w:sz w:val="28"/>
          <w:szCs w:val="28"/>
          <w:lang w:val="es-ES_tradnl"/>
        </w:rPr>
        <w:t xml:space="preserve"> Constitucional</w:t>
      </w:r>
      <w:r w:rsidRPr="00AB4289">
        <w:rPr>
          <w:sz w:val="28"/>
          <w:szCs w:val="28"/>
          <w:lang w:val="es-ES_tradnl"/>
        </w:rPr>
        <w:t xml:space="preserve">, </w:t>
      </w:r>
      <w:r w:rsidR="002E1C83" w:rsidRPr="00AB4289">
        <w:rPr>
          <w:sz w:val="28"/>
          <w:szCs w:val="28"/>
          <w:lang w:val="es-ES_tradnl"/>
        </w:rPr>
        <w:t xml:space="preserve">la Corte Suprema de Justicia </w:t>
      </w:r>
      <w:r w:rsidR="00311E1B" w:rsidRPr="00AB4289">
        <w:rPr>
          <w:sz w:val="28"/>
          <w:szCs w:val="28"/>
          <w:lang w:val="es-ES_tradnl"/>
        </w:rPr>
        <w:t xml:space="preserve">no </w:t>
      </w:r>
      <w:r w:rsidR="002E1C83" w:rsidRPr="00AB4289">
        <w:rPr>
          <w:sz w:val="28"/>
          <w:szCs w:val="28"/>
          <w:lang w:val="es-ES_tradnl"/>
        </w:rPr>
        <w:t>cumplió con el estándar argumentativo exigido al negar la entrega de la información solicitada por el accionante</w:t>
      </w:r>
      <w:r w:rsidR="007A5836" w:rsidRPr="00AB4289">
        <w:rPr>
          <w:sz w:val="28"/>
          <w:szCs w:val="28"/>
          <w:lang w:val="es-ES_tradnl"/>
        </w:rPr>
        <w:t xml:space="preserve"> por las siguientes razones</w:t>
      </w:r>
      <w:r w:rsidR="00311E1B" w:rsidRPr="00AB4289">
        <w:rPr>
          <w:sz w:val="28"/>
          <w:szCs w:val="28"/>
          <w:lang w:val="es-ES_tradnl"/>
        </w:rPr>
        <w:t xml:space="preserve">. </w:t>
      </w:r>
      <w:r w:rsidRPr="00AB4289">
        <w:rPr>
          <w:sz w:val="28"/>
          <w:szCs w:val="28"/>
          <w:lang w:val="es-ES_tradnl"/>
        </w:rPr>
        <w:t>E</w:t>
      </w:r>
      <w:r w:rsidR="002E1C83" w:rsidRPr="00AB4289">
        <w:rPr>
          <w:sz w:val="28"/>
          <w:szCs w:val="28"/>
          <w:lang w:val="es-ES_tradnl"/>
        </w:rPr>
        <w:t>n</w:t>
      </w:r>
      <w:r w:rsidR="00020B47" w:rsidRPr="00AB4289">
        <w:rPr>
          <w:sz w:val="28"/>
          <w:szCs w:val="28"/>
          <w:lang w:val="es-ES_tradnl"/>
        </w:rPr>
        <w:t xml:space="preserve"> primer lugar,</w:t>
      </w:r>
      <w:r w:rsidR="007A5836" w:rsidRPr="00AB4289">
        <w:rPr>
          <w:sz w:val="28"/>
          <w:szCs w:val="28"/>
          <w:lang w:val="es-ES_tradnl"/>
        </w:rPr>
        <w:t xml:space="preserve"> frente al primer requisito relacionado con la naturaleza de la información,</w:t>
      </w:r>
      <w:r w:rsidR="00020B47" w:rsidRPr="00AB4289">
        <w:rPr>
          <w:sz w:val="28"/>
          <w:szCs w:val="28"/>
          <w:lang w:val="es-ES_tradnl"/>
        </w:rPr>
        <w:t xml:space="preserve"> </w:t>
      </w:r>
      <w:r w:rsidRPr="00AB4289">
        <w:rPr>
          <w:sz w:val="28"/>
          <w:szCs w:val="28"/>
          <w:lang w:val="es-ES_tradnl"/>
        </w:rPr>
        <w:t xml:space="preserve">esa Corporación </w:t>
      </w:r>
      <w:r w:rsidR="00020B47" w:rsidRPr="00AB4289">
        <w:rPr>
          <w:sz w:val="28"/>
          <w:szCs w:val="28"/>
          <w:lang w:val="es-ES_tradnl"/>
        </w:rPr>
        <w:t>no logró demostrar que las hojas de vida</w:t>
      </w:r>
      <w:r w:rsidR="00986B59" w:rsidRPr="00AB4289">
        <w:rPr>
          <w:sz w:val="28"/>
          <w:szCs w:val="28"/>
          <w:lang w:val="es-ES_tradnl"/>
        </w:rPr>
        <w:t xml:space="preserve"> </w:t>
      </w:r>
      <w:r w:rsidR="00020B47" w:rsidRPr="00AB4289">
        <w:rPr>
          <w:sz w:val="28"/>
          <w:szCs w:val="28"/>
          <w:lang w:val="es-ES_tradnl"/>
        </w:rPr>
        <w:t>de los magistrados</w:t>
      </w:r>
      <w:r w:rsidR="00A55A0D" w:rsidRPr="00AB4289">
        <w:rPr>
          <w:sz w:val="28"/>
          <w:szCs w:val="28"/>
          <w:lang w:val="es-ES_tradnl"/>
        </w:rPr>
        <w:t>,</w:t>
      </w:r>
      <w:r w:rsidR="00986B59" w:rsidRPr="00AB4289">
        <w:rPr>
          <w:sz w:val="28"/>
          <w:szCs w:val="28"/>
          <w:lang w:val="es-ES_tradnl"/>
        </w:rPr>
        <w:t xml:space="preserve"> </w:t>
      </w:r>
      <w:r w:rsidR="00986B59" w:rsidRPr="00AB4289">
        <w:rPr>
          <w:sz w:val="28"/>
          <w:szCs w:val="28"/>
          <w:lang w:val="es-ES_tradnl"/>
        </w:rPr>
        <w:lastRenderedPageBreak/>
        <w:t>con sus respectivos soportes</w:t>
      </w:r>
      <w:r w:rsidR="00A55A0D" w:rsidRPr="00AB4289">
        <w:rPr>
          <w:sz w:val="28"/>
          <w:szCs w:val="28"/>
          <w:lang w:val="es-ES_tradnl"/>
        </w:rPr>
        <w:t>,</w:t>
      </w:r>
      <w:r w:rsidR="00020B47" w:rsidRPr="00AB4289">
        <w:rPr>
          <w:b/>
          <w:bCs/>
          <w:sz w:val="28"/>
          <w:szCs w:val="28"/>
          <w:lang w:val="es-ES_tradnl"/>
        </w:rPr>
        <w:t xml:space="preserve"> </w:t>
      </w:r>
      <w:r w:rsidR="005111C2" w:rsidRPr="00AB4289">
        <w:rPr>
          <w:sz w:val="28"/>
          <w:szCs w:val="28"/>
          <w:lang w:val="es-ES_tradnl"/>
        </w:rPr>
        <w:t>son</w:t>
      </w:r>
      <w:r w:rsidR="00020B47" w:rsidRPr="00AB4289">
        <w:rPr>
          <w:sz w:val="28"/>
          <w:szCs w:val="28"/>
          <w:lang w:val="es-ES_tradnl"/>
        </w:rPr>
        <w:t xml:space="preserve"> información reservada.</w:t>
      </w:r>
      <w:r w:rsidR="00451E93" w:rsidRPr="00AB4289">
        <w:rPr>
          <w:sz w:val="28"/>
          <w:szCs w:val="28"/>
          <w:lang w:val="es-ES_tradnl"/>
        </w:rPr>
        <w:t xml:space="preserve"> En efecto</w:t>
      </w:r>
      <w:r w:rsidR="00D2146F" w:rsidRPr="00AB4289">
        <w:rPr>
          <w:sz w:val="28"/>
          <w:szCs w:val="28"/>
          <w:lang w:val="es-ES_tradnl"/>
        </w:rPr>
        <w:t xml:space="preserve">, </w:t>
      </w:r>
      <w:r w:rsidR="007A5836" w:rsidRPr="00AB4289">
        <w:rPr>
          <w:sz w:val="28"/>
          <w:szCs w:val="28"/>
          <w:lang w:val="es-ES_tradnl"/>
        </w:rPr>
        <w:t xml:space="preserve">la Corte Suprema de Justicia </w:t>
      </w:r>
      <w:r w:rsidR="00020B47" w:rsidRPr="00AB4289">
        <w:rPr>
          <w:sz w:val="28"/>
          <w:szCs w:val="28"/>
          <w:lang w:val="es-ES_tradnl"/>
        </w:rPr>
        <w:t>señaló que no era posible efectuar la entrega</w:t>
      </w:r>
      <w:r w:rsidR="00614CE7">
        <w:rPr>
          <w:sz w:val="28"/>
          <w:szCs w:val="28"/>
          <w:lang w:val="es-ES_tradnl"/>
        </w:rPr>
        <w:t xml:space="preserve"> de</w:t>
      </w:r>
      <w:r w:rsidR="00020B47" w:rsidRPr="00AB4289">
        <w:rPr>
          <w:sz w:val="28"/>
          <w:szCs w:val="28"/>
          <w:lang w:val="es-ES_tradnl"/>
        </w:rPr>
        <w:t xml:space="preserve"> </w:t>
      </w:r>
      <w:r w:rsidR="00A55A0D" w:rsidRPr="00AB4289">
        <w:rPr>
          <w:sz w:val="28"/>
          <w:szCs w:val="28"/>
          <w:lang w:val="es-ES_tradnl"/>
        </w:rPr>
        <w:t>los documentos</w:t>
      </w:r>
      <w:r w:rsidR="00020B47" w:rsidRPr="00AB4289">
        <w:rPr>
          <w:sz w:val="28"/>
          <w:szCs w:val="28"/>
          <w:lang w:val="es-ES_tradnl"/>
        </w:rPr>
        <w:t xml:space="preserve"> porque sobre ell</w:t>
      </w:r>
      <w:r w:rsidR="00A55A0D" w:rsidRPr="00AB4289">
        <w:rPr>
          <w:sz w:val="28"/>
          <w:szCs w:val="28"/>
          <w:lang w:val="es-ES_tradnl"/>
        </w:rPr>
        <w:t>o</w:t>
      </w:r>
      <w:r w:rsidR="00020B47" w:rsidRPr="00AB4289">
        <w:rPr>
          <w:sz w:val="28"/>
          <w:szCs w:val="28"/>
          <w:lang w:val="es-ES_tradnl"/>
        </w:rPr>
        <w:t xml:space="preserve">s recae la reserva descrita en el artículo 24 de la Ley 1755 de 2015, según </w:t>
      </w:r>
      <w:r w:rsidR="00A55A0D" w:rsidRPr="00AB4289">
        <w:rPr>
          <w:sz w:val="28"/>
          <w:szCs w:val="28"/>
          <w:lang w:val="es-ES_tradnl"/>
        </w:rPr>
        <w:t xml:space="preserve">el </w:t>
      </w:r>
      <w:r w:rsidR="00020B47" w:rsidRPr="00AB4289">
        <w:rPr>
          <w:sz w:val="28"/>
          <w:szCs w:val="28"/>
          <w:lang w:val="es-ES_tradnl"/>
        </w:rPr>
        <w:t xml:space="preserve">cual tienen carácter reservado </w:t>
      </w:r>
      <w:r w:rsidR="00DA4989" w:rsidRPr="00AB4289">
        <w:rPr>
          <w:sz w:val="28"/>
          <w:szCs w:val="28"/>
          <w:lang w:val="es-ES_tradnl"/>
        </w:rPr>
        <w:t>“</w:t>
      </w:r>
      <w:r w:rsidR="00020B47" w:rsidRPr="00AB4289">
        <w:rPr>
          <w:sz w:val="28"/>
          <w:szCs w:val="28"/>
          <w:lang w:val="es-ES_tradnl"/>
        </w:rPr>
        <w:t>los datos que</w:t>
      </w:r>
      <w:r w:rsidR="00DA4989" w:rsidRPr="00AB4289">
        <w:rPr>
          <w:sz w:val="28"/>
          <w:szCs w:val="28"/>
          <w:lang w:val="es-ES_tradnl"/>
        </w:rPr>
        <w:t xml:space="preserve"> </w:t>
      </w:r>
      <w:r w:rsidR="00020B47" w:rsidRPr="00AB4289">
        <w:rPr>
          <w:sz w:val="28"/>
          <w:szCs w:val="28"/>
          <w:lang w:val="es-ES_tradnl"/>
        </w:rPr>
        <w:t>involucren derechos a la privacidad e intimidad de las personas</w:t>
      </w:r>
      <w:r w:rsidR="00DA4989" w:rsidRPr="00AB4289">
        <w:rPr>
          <w:sz w:val="28"/>
          <w:szCs w:val="28"/>
          <w:lang w:val="es-ES_tradnl"/>
        </w:rPr>
        <w:t xml:space="preserve"> </w:t>
      </w:r>
      <w:r w:rsidR="00020B47" w:rsidRPr="00AB4289">
        <w:rPr>
          <w:sz w:val="28"/>
          <w:szCs w:val="28"/>
          <w:lang w:val="es-ES_tradnl"/>
        </w:rPr>
        <w:t>incluid</w:t>
      </w:r>
      <w:r w:rsidR="00DA4989" w:rsidRPr="00AB4289">
        <w:rPr>
          <w:sz w:val="28"/>
          <w:szCs w:val="28"/>
          <w:lang w:val="es-ES_tradnl"/>
        </w:rPr>
        <w:t>o</w:t>
      </w:r>
      <w:r w:rsidR="00020B47" w:rsidRPr="00AB4289">
        <w:rPr>
          <w:sz w:val="28"/>
          <w:szCs w:val="28"/>
          <w:lang w:val="es-ES_tradnl"/>
        </w:rPr>
        <w:t>s en las hojas de vida</w:t>
      </w:r>
      <w:r w:rsidR="00DA4989" w:rsidRPr="00AB4289">
        <w:rPr>
          <w:sz w:val="28"/>
          <w:szCs w:val="28"/>
          <w:lang w:val="es-ES_tradnl"/>
        </w:rPr>
        <w:t>”.</w:t>
      </w:r>
      <w:r w:rsidR="00020B47" w:rsidRPr="00AB4289">
        <w:rPr>
          <w:sz w:val="28"/>
          <w:szCs w:val="28"/>
          <w:lang w:val="es-ES_tradnl"/>
        </w:rPr>
        <w:t xml:space="preserve"> </w:t>
      </w:r>
    </w:p>
    <w:p w14:paraId="53FB43AF" w14:textId="77777777" w:rsidR="00FA5118" w:rsidRPr="00AB4289" w:rsidRDefault="00FA5118" w:rsidP="00B40BE5">
      <w:pPr>
        <w:pStyle w:val="NormalWeb"/>
        <w:tabs>
          <w:tab w:val="left" w:pos="0"/>
          <w:tab w:val="left" w:pos="426"/>
          <w:tab w:val="left" w:pos="567"/>
        </w:tabs>
        <w:spacing w:before="0" w:beforeAutospacing="0" w:after="0" w:afterAutospacing="0"/>
        <w:ind w:right="49"/>
        <w:jc w:val="both"/>
        <w:rPr>
          <w:sz w:val="28"/>
          <w:szCs w:val="28"/>
          <w:lang w:val="es-ES_tradnl"/>
        </w:rPr>
      </w:pPr>
    </w:p>
    <w:p w14:paraId="69607CD8" w14:textId="68BFA59E" w:rsidR="00FA5118" w:rsidRPr="00AB4289" w:rsidRDefault="00FA5118"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 xml:space="preserve">Sin embargo, este argumento no es procedente porque se funda en una lectura parcial del artículo 24 de la Ley 1755 de 2015. En efecto, como se indicó previamente, en la sentencia C-951 de 2014 la Corte Constitucional determinó que en las hojas de vida solo podrán ser reservados aquellos datos que sean considerados como sensibles. </w:t>
      </w:r>
    </w:p>
    <w:p w14:paraId="35A2565E" w14:textId="77777777" w:rsidR="00FA5118" w:rsidRPr="00AB4289" w:rsidRDefault="00FA5118" w:rsidP="00B40BE5">
      <w:pPr>
        <w:pStyle w:val="NormalWeb"/>
        <w:tabs>
          <w:tab w:val="left" w:pos="0"/>
          <w:tab w:val="left" w:pos="426"/>
          <w:tab w:val="left" w:pos="567"/>
        </w:tabs>
        <w:spacing w:before="0" w:beforeAutospacing="0" w:after="0" w:afterAutospacing="0"/>
        <w:ind w:right="49"/>
        <w:jc w:val="both"/>
        <w:rPr>
          <w:sz w:val="28"/>
          <w:szCs w:val="28"/>
          <w:lang w:val="es-ES_tradnl"/>
        </w:rPr>
      </w:pPr>
    </w:p>
    <w:p w14:paraId="2FD81D34" w14:textId="66A31BAF" w:rsidR="00FA5118" w:rsidRPr="00AB4289" w:rsidRDefault="00D70B2F" w:rsidP="00B40BE5">
      <w:pPr>
        <w:pStyle w:val="NormalWeb"/>
        <w:numPr>
          <w:ilvl w:val="0"/>
          <w:numId w:val="2"/>
        </w:numPr>
        <w:tabs>
          <w:tab w:val="left" w:pos="0"/>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Lo</w:t>
      </w:r>
      <w:r w:rsidR="00FA5118" w:rsidRPr="00AB4289">
        <w:rPr>
          <w:sz w:val="28"/>
          <w:szCs w:val="28"/>
          <w:lang w:val="es-ES_tradnl"/>
        </w:rPr>
        <w:t>s datos sensibles son,</w:t>
      </w:r>
      <w:r w:rsidRPr="00AB4289">
        <w:rPr>
          <w:sz w:val="28"/>
          <w:szCs w:val="28"/>
          <w:lang w:val="es-ES_tradnl"/>
        </w:rPr>
        <w:t xml:space="preserve"> como se explicó, </w:t>
      </w:r>
      <w:r w:rsidR="00FA5118" w:rsidRPr="00AB4289">
        <w:rPr>
          <w:sz w:val="28"/>
          <w:szCs w:val="28"/>
          <w:lang w:val="es-ES_tradnl"/>
        </w:rPr>
        <w:t>aquellos que afectan de manera grave la intimidad del titular o cuyo uso indebido puede generar su discriminación.</w:t>
      </w:r>
      <w:r w:rsidR="00451E93" w:rsidRPr="00AB4289">
        <w:rPr>
          <w:sz w:val="28"/>
          <w:szCs w:val="28"/>
          <w:lang w:val="es-ES_tradnl"/>
        </w:rPr>
        <w:t xml:space="preserve"> La </w:t>
      </w:r>
      <w:r w:rsidR="00A55A0D" w:rsidRPr="00AB4289">
        <w:rPr>
          <w:sz w:val="28"/>
          <w:szCs w:val="28"/>
          <w:lang w:val="es-ES_tradnl"/>
        </w:rPr>
        <w:t>jurisprudencia constitucional</w:t>
      </w:r>
      <w:r w:rsidR="00451E93" w:rsidRPr="00AB4289">
        <w:rPr>
          <w:sz w:val="28"/>
          <w:szCs w:val="28"/>
          <w:lang w:val="es-ES_tradnl"/>
        </w:rPr>
        <w:t xml:space="preserve"> ha señalado que los datos sensibles no se determinan a partir de una lista taxativa, sino que se identifican por su especial vínculo con la intimidad del titular y por el riesgo de que su uso indebido genere discriminación, estigmatización o violencia</w:t>
      </w:r>
      <w:r w:rsidR="00451E93" w:rsidRPr="00AB4289">
        <w:rPr>
          <w:rStyle w:val="Refdenotaalpie"/>
          <w:rFonts w:cs="Times New Roman"/>
          <w:sz w:val="28"/>
          <w:szCs w:val="28"/>
          <w:lang w:val="es-ES_tradnl"/>
        </w:rPr>
        <w:footnoteReference w:id="116"/>
      </w:r>
      <w:r w:rsidR="00451E93" w:rsidRPr="00AB4289">
        <w:rPr>
          <w:sz w:val="28"/>
          <w:szCs w:val="28"/>
          <w:lang w:val="es-ES_tradnl"/>
        </w:rPr>
        <w:t>. Ejemplos típicos de este tipo de datos son la orientación sexual, las creencias religiosas o las convicciones políticas</w:t>
      </w:r>
      <w:r w:rsidR="00FA5118" w:rsidRPr="00AB4289">
        <w:rPr>
          <w:rStyle w:val="Refdenotaalpie"/>
          <w:rFonts w:cs="Times New Roman"/>
          <w:sz w:val="28"/>
          <w:szCs w:val="28"/>
          <w:lang w:val="es-ES_tradnl"/>
        </w:rPr>
        <w:footnoteReference w:id="117"/>
      </w:r>
      <w:r w:rsidR="00FA5118" w:rsidRPr="00AB4289">
        <w:rPr>
          <w:sz w:val="28"/>
          <w:szCs w:val="28"/>
          <w:lang w:val="es-ES_tradnl"/>
        </w:rPr>
        <w:t>.</w:t>
      </w:r>
    </w:p>
    <w:p w14:paraId="10E5318E" w14:textId="77777777" w:rsidR="00FA5118" w:rsidRPr="00AB4289" w:rsidRDefault="00FA5118" w:rsidP="00B40BE5">
      <w:pPr>
        <w:pStyle w:val="NormalWeb"/>
        <w:tabs>
          <w:tab w:val="left" w:pos="0"/>
          <w:tab w:val="left" w:pos="426"/>
          <w:tab w:val="left" w:pos="567"/>
        </w:tabs>
        <w:spacing w:before="0" w:beforeAutospacing="0" w:after="0" w:afterAutospacing="0"/>
        <w:ind w:right="49"/>
        <w:jc w:val="both"/>
        <w:rPr>
          <w:sz w:val="28"/>
          <w:szCs w:val="28"/>
          <w:lang w:val="es-ES_tradnl"/>
        </w:rPr>
      </w:pPr>
    </w:p>
    <w:p w14:paraId="0DA6B8BB" w14:textId="1A69EA5C" w:rsidR="007D3AD7" w:rsidRPr="00AB4289" w:rsidRDefault="00FA5118" w:rsidP="00B40BE5">
      <w:pPr>
        <w:pStyle w:val="NormalWeb"/>
        <w:numPr>
          <w:ilvl w:val="0"/>
          <w:numId w:val="2"/>
        </w:numPr>
        <w:tabs>
          <w:tab w:val="left" w:pos="0"/>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 xml:space="preserve">Para la Corte Constitucional, los datos que solicitó el accionante sobre la </w:t>
      </w:r>
      <w:r w:rsidR="00A55A0D" w:rsidRPr="00AB4289">
        <w:rPr>
          <w:sz w:val="28"/>
          <w:szCs w:val="28"/>
          <w:lang w:val="es-ES_tradnl"/>
        </w:rPr>
        <w:t>trayectoria</w:t>
      </w:r>
      <w:r w:rsidRPr="00AB4289">
        <w:rPr>
          <w:sz w:val="28"/>
          <w:szCs w:val="28"/>
          <w:lang w:val="es-ES_tradnl"/>
        </w:rPr>
        <w:t xml:space="preserve"> laboral y académica de los magistrados de la Corte Suprema de Justicia</w:t>
      </w:r>
      <w:r w:rsidR="0049129E" w:rsidRPr="00AB4289">
        <w:rPr>
          <w:sz w:val="28"/>
          <w:szCs w:val="28"/>
          <w:lang w:val="es-ES_tradnl"/>
        </w:rPr>
        <w:t xml:space="preserve"> y sus respectivos soporte</w:t>
      </w:r>
      <w:r w:rsidR="00250F5C" w:rsidRPr="00AB4289">
        <w:rPr>
          <w:sz w:val="28"/>
          <w:szCs w:val="28"/>
          <w:lang w:val="es-ES_tradnl"/>
        </w:rPr>
        <w:t>s</w:t>
      </w:r>
      <w:r w:rsidRPr="00AB4289">
        <w:rPr>
          <w:sz w:val="28"/>
          <w:szCs w:val="28"/>
          <w:lang w:val="es-ES_tradnl"/>
        </w:rPr>
        <w:t xml:space="preserve"> no pueden ser considerados sensibles</w:t>
      </w:r>
      <w:r w:rsidR="006E3B64" w:rsidRPr="00AB4289">
        <w:rPr>
          <w:sz w:val="28"/>
          <w:szCs w:val="28"/>
          <w:lang w:val="es-ES_tradnl"/>
        </w:rPr>
        <w:t xml:space="preserve"> por las siguientes razones: </w:t>
      </w:r>
    </w:p>
    <w:p w14:paraId="641C2703" w14:textId="77777777" w:rsidR="006E3B64" w:rsidRPr="00AB4289" w:rsidRDefault="006E3B64" w:rsidP="00B40BE5">
      <w:pPr>
        <w:pStyle w:val="NormalWeb"/>
        <w:tabs>
          <w:tab w:val="left" w:pos="0"/>
          <w:tab w:val="left" w:pos="426"/>
          <w:tab w:val="left" w:pos="567"/>
        </w:tabs>
        <w:spacing w:before="0" w:beforeAutospacing="0" w:after="0" w:afterAutospacing="0"/>
        <w:ind w:left="284" w:right="49"/>
        <w:jc w:val="both"/>
        <w:rPr>
          <w:sz w:val="28"/>
          <w:szCs w:val="28"/>
          <w:lang w:val="es-ES_tradnl"/>
        </w:rPr>
      </w:pPr>
    </w:p>
    <w:p w14:paraId="5DFEBBD4" w14:textId="5B16253F" w:rsidR="007D3AD7" w:rsidRPr="00AB4289" w:rsidRDefault="006E3B64" w:rsidP="00B40BE5">
      <w:pPr>
        <w:pStyle w:val="NormalWeb"/>
        <w:numPr>
          <w:ilvl w:val="0"/>
          <w:numId w:val="40"/>
        </w:numPr>
        <w:tabs>
          <w:tab w:val="left" w:pos="0"/>
          <w:tab w:val="left" w:pos="426"/>
          <w:tab w:val="left" w:pos="567"/>
        </w:tabs>
        <w:spacing w:before="0" w:beforeAutospacing="0" w:after="0" w:afterAutospacing="0"/>
        <w:ind w:left="567" w:right="49" w:firstLine="0"/>
        <w:jc w:val="both"/>
        <w:rPr>
          <w:sz w:val="28"/>
          <w:szCs w:val="28"/>
          <w:lang w:val="es-ES_tradnl"/>
        </w:rPr>
      </w:pPr>
      <w:r w:rsidRPr="00AB4289">
        <w:rPr>
          <w:sz w:val="28"/>
          <w:szCs w:val="28"/>
          <w:lang w:val="es-ES_tradnl"/>
        </w:rPr>
        <w:t>L</w:t>
      </w:r>
      <w:r w:rsidR="00D70B2F" w:rsidRPr="00AB4289">
        <w:rPr>
          <w:sz w:val="28"/>
          <w:szCs w:val="28"/>
          <w:lang w:val="es-ES_tradnl"/>
        </w:rPr>
        <w:t xml:space="preserve">as hojas de vida de </w:t>
      </w:r>
      <w:r w:rsidR="00FA5118" w:rsidRPr="00AB4289">
        <w:rPr>
          <w:sz w:val="28"/>
          <w:szCs w:val="28"/>
          <w:lang w:val="es-ES_tradnl"/>
        </w:rPr>
        <w:t>los magistrados de las Altas Cortes que se publica</w:t>
      </w:r>
      <w:r w:rsidR="00250F5C" w:rsidRPr="00AB4289">
        <w:rPr>
          <w:sz w:val="28"/>
          <w:szCs w:val="28"/>
          <w:lang w:val="es-ES_tradnl"/>
        </w:rPr>
        <w:t>n</w:t>
      </w:r>
      <w:r w:rsidR="00FA5118" w:rsidRPr="00AB4289">
        <w:rPr>
          <w:sz w:val="28"/>
          <w:szCs w:val="28"/>
          <w:lang w:val="es-ES_tradnl"/>
        </w:rPr>
        <w:t xml:space="preserve"> en la página web de la </w:t>
      </w:r>
      <w:r w:rsidR="00A55A0D" w:rsidRPr="00AB4289">
        <w:rPr>
          <w:sz w:val="28"/>
          <w:szCs w:val="28"/>
          <w:lang w:val="es-ES_tradnl"/>
        </w:rPr>
        <w:t>r</w:t>
      </w:r>
      <w:r w:rsidR="00FA5118" w:rsidRPr="00AB4289">
        <w:rPr>
          <w:sz w:val="28"/>
          <w:szCs w:val="28"/>
          <w:lang w:val="es-ES_tradnl"/>
        </w:rPr>
        <w:t xml:space="preserve">ama </w:t>
      </w:r>
      <w:r w:rsidR="00A55A0D" w:rsidRPr="00AB4289">
        <w:rPr>
          <w:sz w:val="28"/>
          <w:szCs w:val="28"/>
          <w:lang w:val="es-ES_tradnl"/>
        </w:rPr>
        <w:t>j</w:t>
      </w:r>
      <w:r w:rsidR="00FA5118" w:rsidRPr="00AB4289">
        <w:rPr>
          <w:sz w:val="28"/>
          <w:szCs w:val="28"/>
          <w:lang w:val="es-ES_tradnl"/>
        </w:rPr>
        <w:t>udicial no incluye</w:t>
      </w:r>
      <w:r w:rsidR="007D3AD7" w:rsidRPr="00AB4289">
        <w:rPr>
          <w:sz w:val="28"/>
          <w:szCs w:val="28"/>
          <w:lang w:val="es-ES_tradnl"/>
        </w:rPr>
        <w:t>n</w:t>
      </w:r>
      <w:r w:rsidR="00FA5118" w:rsidRPr="00AB4289">
        <w:rPr>
          <w:sz w:val="28"/>
          <w:szCs w:val="28"/>
          <w:lang w:val="es-ES_tradnl"/>
        </w:rPr>
        <w:t xml:space="preserve"> ningún dato de carácter íntimo que pueda comprometer</w:t>
      </w:r>
      <w:r w:rsidR="00A55A0D" w:rsidRPr="00AB4289">
        <w:rPr>
          <w:sz w:val="28"/>
          <w:szCs w:val="28"/>
          <w:lang w:val="es-ES_tradnl"/>
        </w:rPr>
        <w:t xml:space="preserve"> la</w:t>
      </w:r>
      <w:r w:rsidR="00FA5118" w:rsidRPr="00AB4289">
        <w:rPr>
          <w:sz w:val="28"/>
          <w:szCs w:val="28"/>
          <w:lang w:val="es-ES_tradnl"/>
        </w:rPr>
        <w:t xml:space="preserve"> seguridad o generar </w:t>
      </w:r>
      <w:r w:rsidR="00A55A0D" w:rsidRPr="00AB4289">
        <w:rPr>
          <w:sz w:val="28"/>
          <w:szCs w:val="28"/>
          <w:lang w:val="es-ES_tradnl"/>
        </w:rPr>
        <w:t xml:space="preserve">la </w:t>
      </w:r>
      <w:r w:rsidR="00FA5118" w:rsidRPr="00AB4289">
        <w:rPr>
          <w:sz w:val="28"/>
          <w:szCs w:val="28"/>
          <w:lang w:val="es-ES_tradnl"/>
        </w:rPr>
        <w:t>discriminación</w:t>
      </w:r>
      <w:r w:rsidR="00A55A0D" w:rsidRPr="00AB4289">
        <w:rPr>
          <w:sz w:val="28"/>
          <w:szCs w:val="28"/>
          <w:lang w:val="es-ES_tradnl"/>
        </w:rPr>
        <w:t xml:space="preserve"> de esos funcionarios públicos</w:t>
      </w:r>
      <w:r w:rsidR="00FA5118" w:rsidRPr="00AB4289">
        <w:rPr>
          <w:rStyle w:val="Refdenotaalpie"/>
          <w:rFonts w:cs="Times New Roman"/>
          <w:sz w:val="28"/>
          <w:szCs w:val="28"/>
          <w:lang w:val="es-ES_tradnl"/>
        </w:rPr>
        <w:footnoteReference w:id="118"/>
      </w:r>
      <w:r w:rsidR="00FA5118" w:rsidRPr="00AB4289">
        <w:rPr>
          <w:sz w:val="28"/>
          <w:szCs w:val="28"/>
          <w:lang w:val="es-ES_tradnl"/>
        </w:rPr>
        <w:t>. En dichos documentos se consigna la dirección y el teléfono del lugar de trabajo</w:t>
      </w:r>
      <w:r w:rsidR="005F7D9F" w:rsidRPr="00AB4289">
        <w:rPr>
          <w:sz w:val="28"/>
          <w:szCs w:val="28"/>
          <w:lang w:val="es-ES_tradnl"/>
        </w:rPr>
        <w:t xml:space="preserve"> </w:t>
      </w:r>
      <w:r w:rsidR="00D70B2F" w:rsidRPr="00AB4289">
        <w:rPr>
          <w:sz w:val="28"/>
          <w:szCs w:val="28"/>
          <w:lang w:val="es-ES_tradnl"/>
        </w:rPr>
        <w:t xml:space="preserve">-y no </w:t>
      </w:r>
      <w:r w:rsidR="00A55A0D" w:rsidRPr="00AB4289">
        <w:rPr>
          <w:sz w:val="28"/>
          <w:szCs w:val="28"/>
          <w:lang w:val="es-ES_tradnl"/>
        </w:rPr>
        <w:t>del domicilio</w:t>
      </w:r>
      <w:r w:rsidR="00D70B2F" w:rsidRPr="00AB4289">
        <w:rPr>
          <w:sz w:val="28"/>
          <w:szCs w:val="28"/>
          <w:lang w:val="es-ES_tradnl"/>
        </w:rPr>
        <w:t>-</w:t>
      </w:r>
      <w:r w:rsidR="00FA5118" w:rsidRPr="00AB4289">
        <w:rPr>
          <w:sz w:val="28"/>
          <w:szCs w:val="28"/>
          <w:lang w:val="es-ES_tradnl"/>
        </w:rPr>
        <w:t xml:space="preserve">, así como información relativa a la trayectoria académica y laboral de los funcionarios. Esta fue la información que solicitó Juan Pablo Barrientos, </w:t>
      </w:r>
      <w:r w:rsidR="00FA5118" w:rsidRPr="00AB4289">
        <w:rPr>
          <w:sz w:val="28"/>
          <w:szCs w:val="28"/>
          <w:lang w:val="es-ES_tradnl"/>
        </w:rPr>
        <w:lastRenderedPageBreak/>
        <w:t xml:space="preserve">como </w:t>
      </w:r>
      <w:r w:rsidR="00A55A0D" w:rsidRPr="00AB4289">
        <w:rPr>
          <w:sz w:val="28"/>
          <w:szCs w:val="28"/>
          <w:lang w:val="es-ES_tradnl"/>
        </w:rPr>
        <w:t xml:space="preserve">lo </w:t>
      </w:r>
      <w:r w:rsidR="00FA5118" w:rsidRPr="00AB4289">
        <w:rPr>
          <w:sz w:val="28"/>
          <w:szCs w:val="28"/>
          <w:lang w:val="es-ES_tradnl"/>
        </w:rPr>
        <w:t>especificó en varias ocasiones durante el trámite de la presente tutela</w:t>
      </w:r>
      <w:r w:rsidR="00FA5118" w:rsidRPr="00AB4289">
        <w:rPr>
          <w:rStyle w:val="Refdenotaalpie"/>
          <w:rFonts w:cs="Times New Roman"/>
          <w:sz w:val="28"/>
          <w:szCs w:val="28"/>
          <w:lang w:val="es-ES_tradnl"/>
        </w:rPr>
        <w:footnoteReference w:id="119"/>
      </w:r>
      <w:r w:rsidR="00FA5118" w:rsidRPr="00AB4289">
        <w:rPr>
          <w:sz w:val="28"/>
          <w:szCs w:val="28"/>
          <w:lang w:val="es-ES_tradnl"/>
        </w:rPr>
        <w:t>.</w:t>
      </w:r>
    </w:p>
    <w:p w14:paraId="2A36AE38" w14:textId="77777777" w:rsidR="006E3B64" w:rsidRPr="00AB4289" w:rsidRDefault="006E3B64" w:rsidP="00B40BE5">
      <w:pPr>
        <w:pStyle w:val="NormalWeb"/>
        <w:tabs>
          <w:tab w:val="left" w:pos="0"/>
          <w:tab w:val="left" w:pos="426"/>
          <w:tab w:val="left" w:pos="567"/>
        </w:tabs>
        <w:spacing w:before="0" w:beforeAutospacing="0" w:after="0" w:afterAutospacing="0"/>
        <w:ind w:left="284" w:right="49"/>
        <w:jc w:val="both"/>
        <w:rPr>
          <w:sz w:val="28"/>
          <w:szCs w:val="28"/>
          <w:lang w:val="es-ES_tradnl"/>
        </w:rPr>
      </w:pPr>
    </w:p>
    <w:p w14:paraId="4AB72612" w14:textId="3B979CF7" w:rsidR="00020B47" w:rsidRPr="00AB4289" w:rsidRDefault="00250F5C" w:rsidP="00B40BE5">
      <w:pPr>
        <w:pStyle w:val="NormalWeb"/>
        <w:numPr>
          <w:ilvl w:val="0"/>
          <w:numId w:val="40"/>
        </w:numPr>
        <w:tabs>
          <w:tab w:val="left" w:pos="0"/>
          <w:tab w:val="left" w:pos="426"/>
          <w:tab w:val="left" w:pos="567"/>
        </w:tabs>
        <w:spacing w:before="0" w:beforeAutospacing="0" w:after="0" w:afterAutospacing="0"/>
        <w:ind w:left="567" w:right="49" w:firstLine="0"/>
        <w:jc w:val="both"/>
        <w:rPr>
          <w:sz w:val="28"/>
          <w:szCs w:val="28"/>
          <w:lang w:val="es-ES_tradnl"/>
        </w:rPr>
      </w:pPr>
      <w:r w:rsidRPr="00AB4289">
        <w:rPr>
          <w:sz w:val="28"/>
          <w:szCs w:val="28"/>
          <w:lang w:val="es-ES_tradnl"/>
        </w:rPr>
        <w:t>De igual manera, los documentos que soportan las hojas de vida -como los diplomas y las certificaciones laborales- no contienen información reservada. Como se explicó, los diplomas son</w:t>
      </w:r>
      <w:r w:rsidR="005D7172" w:rsidRPr="00AB4289">
        <w:rPr>
          <w:sz w:val="28"/>
          <w:szCs w:val="28"/>
          <w:lang w:val="es-ES_tradnl"/>
        </w:rPr>
        <w:t xml:space="preserve"> datos públicos por estar contenidos en un documento público</w:t>
      </w:r>
      <w:r w:rsidR="005D7172" w:rsidRPr="00AB4289">
        <w:rPr>
          <w:rStyle w:val="Refdenotaalpie"/>
          <w:rFonts w:cs="Times New Roman"/>
          <w:sz w:val="28"/>
          <w:szCs w:val="28"/>
          <w:lang w:val="es-ES_tradnl"/>
        </w:rPr>
        <w:footnoteReference w:id="120"/>
      </w:r>
      <w:r w:rsidR="005D7172" w:rsidRPr="00AB4289">
        <w:rPr>
          <w:sz w:val="28"/>
          <w:szCs w:val="28"/>
          <w:lang w:val="es-ES_tradnl"/>
        </w:rPr>
        <w:t xml:space="preserve"> </w:t>
      </w:r>
      <w:r w:rsidRPr="00AB4289">
        <w:rPr>
          <w:sz w:val="28"/>
          <w:szCs w:val="28"/>
          <w:lang w:val="es-ES_tradnl"/>
        </w:rPr>
        <w:t>y la historia laboral, conforme a la jurisprudencia de la Corte, comprende aspectos como el tiempo de servicio, la índole del vínculo laboral y el salario devengado</w:t>
      </w:r>
      <w:r w:rsidR="00B3095C" w:rsidRPr="00AB4289">
        <w:rPr>
          <w:rStyle w:val="Refdenotaalpie"/>
          <w:rFonts w:cs="Times New Roman"/>
          <w:sz w:val="28"/>
          <w:szCs w:val="28"/>
          <w:lang w:val="es-ES_tradnl"/>
        </w:rPr>
        <w:footnoteReference w:id="121"/>
      </w:r>
      <w:r w:rsidRPr="00AB4289">
        <w:rPr>
          <w:sz w:val="28"/>
          <w:szCs w:val="28"/>
          <w:lang w:val="es-ES_tradnl"/>
        </w:rPr>
        <w:t>. Si bien es posible que en estos documentos aparezca eventualmente información de carácter más personal, como la dirección de residencia o el número de teléfono, esta no corresponde a datos sensibles. Se trata, en cambio, de datos de naturaleza privada</w:t>
      </w:r>
      <w:r w:rsidR="00CF6364" w:rsidRPr="00AB4289">
        <w:rPr>
          <w:rStyle w:val="Refdenotaalpie"/>
          <w:rFonts w:cs="Times New Roman"/>
          <w:sz w:val="28"/>
          <w:szCs w:val="28"/>
          <w:lang w:val="es-ES_tradnl"/>
        </w:rPr>
        <w:footnoteReference w:id="122"/>
      </w:r>
      <w:r w:rsidR="00A55A0D" w:rsidRPr="00AB4289">
        <w:rPr>
          <w:sz w:val="28"/>
          <w:szCs w:val="28"/>
          <w:lang w:val="es-ES_tradnl"/>
        </w:rPr>
        <w:t>,</w:t>
      </w:r>
      <w:r w:rsidR="00BA2305" w:rsidRPr="00AB4289">
        <w:rPr>
          <w:sz w:val="28"/>
          <w:szCs w:val="28"/>
          <w:lang w:val="es-ES_tradnl"/>
        </w:rPr>
        <w:t xml:space="preserve"> cuya </w:t>
      </w:r>
      <w:r w:rsidRPr="00AB4289">
        <w:rPr>
          <w:sz w:val="28"/>
          <w:szCs w:val="28"/>
          <w:lang w:val="es-ES_tradnl"/>
        </w:rPr>
        <w:t>reserva no opera de forma automática</w:t>
      </w:r>
      <w:r w:rsidR="00FC41CC" w:rsidRPr="00AB4289">
        <w:rPr>
          <w:sz w:val="28"/>
          <w:szCs w:val="28"/>
          <w:lang w:val="es-ES_tradnl"/>
        </w:rPr>
        <w:t xml:space="preserve">. Su </w:t>
      </w:r>
      <w:r w:rsidRPr="00AB4289">
        <w:rPr>
          <w:sz w:val="28"/>
          <w:szCs w:val="28"/>
          <w:lang w:val="es-ES_tradnl"/>
        </w:rPr>
        <w:t xml:space="preserve">divulgación depende, conforme a la ley, del nivel de afectación que pueda generar al titular de la información. </w:t>
      </w:r>
    </w:p>
    <w:p w14:paraId="57D9200A" w14:textId="6AA5855F" w:rsidR="006E3B64" w:rsidRPr="00AB4289" w:rsidRDefault="006E3B64" w:rsidP="00B40BE5">
      <w:pPr>
        <w:jc w:val="both"/>
        <w:rPr>
          <w:sz w:val="28"/>
          <w:szCs w:val="28"/>
          <w:lang w:val="es-ES_tradnl"/>
        </w:rPr>
      </w:pPr>
    </w:p>
    <w:p w14:paraId="6EB2E808" w14:textId="3BA96C75" w:rsidR="006E3B64" w:rsidRPr="00AB4289" w:rsidRDefault="006E3B64" w:rsidP="00B40BE5">
      <w:pPr>
        <w:pStyle w:val="Prrafodelista"/>
        <w:numPr>
          <w:ilvl w:val="0"/>
          <w:numId w:val="2"/>
        </w:numPr>
        <w:ind w:left="0" w:firstLine="0"/>
        <w:jc w:val="both"/>
        <w:rPr>
          <w:sz w:val="28"/>
          <w:szCs w:val="28"/>
          <w:lang w:val="es-ES_tradnl"/>
        </w:rPr>
      </w:pPr>
      <w:r w:rsidRPr="00AB4289">
        <w:rPr>
          <w:sz w:val="28"/>
          <w:szCs w:val="28"/>
          <w:lang w:val="es-ES_tradnl"/>
        </w:rPr>
        <w:t>De esta manera</w:t>
      </w:r>
      <w:r w:rsidR="00A55A0D" w:rsidRPr="00AB4289">
        <w:rPr>
          <w:sz w:val="28"/>
          <w:szCs w:val="28"/>
          <w:lang w:val="es-ES_tradnl"/>
        </w:rPr>
        <w:t>,</w:t>
      </w:r>
      <w:r w:rsidRPr="00AB4289">
        <w:rPr>
          <w:sz w:val="28"/>
          <w:szCs w:val="28"/>
          <w:lang w:val="es-ES_tradnl"/>
        </w:rPr>
        <w:t xml:space="preserve"> se observa que la Corte Suprema </w:t>
      </w:r>
      <w:r w:rsidR="00A55A0D" w:rsidRPr="00AB4289">
        <w:rPr>
          <w:sz w:val="28"/>
          <w:szCs w:val="28"/>
          <w:lang w:val="es-ES_tradnl"/>
        </w:rPr>
        <w:t xml:space="preserve">de Justicia </w:t>
      </w:r>
      <w:r w:rsidRPr="00AB4289">
        <w:rPr>
          <w:sz w:val="28"/>
          <w:szCs w:val="28"/>
          <w:lang w:val="es-ES_tradnl"/>
        </w:rPr>
        <w:t xml:space="preserve">no logró justificar que </w:t>
      </w:r>
      <w:r w:rsidR="003D4E5C" w:rsidRPr="00AB4289">
        <w:rPr>
          <w:sz w:val="28"/>
          <w:szCs w:val="28"/>
          <w:lang w:val="es-ES_tradnl"/>
        </w:rPr>
        <w:t>la información sobre las hojas de vida y sus soportes</w:t>
      </w:r>
      <w:r w:rsidRPr="00AB4289">
        <w:rPr>
          <w:sz w:val="28"/>
          <w:szCs w:val="28"/>
          <w:lang w:val="es-ES_tradnl"/>
        </w:rPr>
        <w:t xml:space="preserve"> fuera reservada. </w:t>
      </w:r>
      <w:r w:rsidR="003D4E5C" w:rsidRPr="00AB4289">
        <w:rPr>
          <w:sz w:val="28"/>
          <w:szCs w:val="28"/>
          <w:lang w:val="es-ES_tradnl"/>
        </w:rPr>
        <w:t>Sobre este punto, resulta pertinente hacer una precisión en relación con los tipos de información</w:t>
      </w:r>
      <w:r w:rsidR="00BE5C71" w:rsidRPr="00AB4289">
        <w:rPr>
          <w:sz w:val="28"/>
          <w:szCs w:val="28"/>
          <w:lang w:val="es-ES_tradnl"/>
        </w:rPr>
        <w:t xml:space="preserve"> consagrados en la Ley 1712 de 2014</w:t>
      </w:r>
      <w:r w:rsidR="003D4E5C" w:rsidRPr="00AB4289">
        <w:rPr>
          <w:sz w:val="28"/>
          <w:szCs w:val="28"/>
          <w:lang w:val="es-ES_tradnl"/>
        </w:rPr>
        <w:t>. Cuando un sujeto obligado restringe el acceso a determinada información por considerarla reservada, debe demostrar que su divulgación comprometería intereses superiores del Estado, como la seguridad nacional, la defensa o la salud pública. En contraste, si</w:t>
      </w:r>
      <w:r w:rsidR="00BE5C71" w:rsidRPr="00AB4289">
        <w:rPr>
          <w:sz w:val="28"/>
          <w:szCs w:val="28"/>
          <w:lang w:val="es-ES_tradnl"/>
        </w:rPr>
        <w:t xml:space="preserve"> como en este caso </w:t>
      </w:r>
      <w:r w:rsidR="003D4E5C" w:rsidRPr="00AB4289">
        <w:rPr>
          <w:sz w:val="28"/>
          <w:szCs w:val="28"/>
          <w:lang w:val="es-ES_tradnl"/>
        </w:rPr>
        <w:t>la limitación se fundamenta en la protección de datos personales sensibles -como los vinculados a la vida íntima del titular-, la información no se califica como reservada, sino como clasificada, y su tratamiento debe regirse por los principios de necesidad, finalidad y proporcionalidad.</w:t>
      </w:r>
    </w:p>
    <w:p w14:paraId="68E8B4C2" w14:textId="77777777" w:rsidR="003D4E5C" w:rsidRPr="00AB4289" w:rsidRDefault="003D4E5C" w:rsidP="00B40BE5">
      <w:pPr>
        <w:pStyle w:val="Prrafodelista"/>
        <w:ind w:left="0"/>
        <w:jc w:val="both"/>
        <w:rPr>
          <w:sz w:val="28"/>
          <w:szCs w:val="28"/>
          <w:lang w:val="es-ES_tradnl"/>
        </w:rPr>
      </w:pPr>
    </w:p>
    <w:p w14:paraId="3272D509" w14:textId="77777777" w:rsidR="004F6763" w:rsidRPr="00AB4289" w:rsidRDefault="0096798D" w:rsidP="00B40BE5">
      <w:pPr>
        <w:pStyle w:val="NormalWeb"/>
        <w:numPr>
          <w:ilvl w:val="0"/>
          <w:numId w:val="2"/>
        </w:numPr>
        <w:spacing w:before="0" w:beforeAutospacing="0" w:after="0" w:afterAutospacing="0"/>
        <w:ind w:left="0" w:firstLine="0"/>
        <w:jc w:val="both"/>
        <w:rPr>
          <w:sz w:val="28"/>
          <w:szCs w:val="28"/>
          <w:lang w:val="es-ES_tradnl"/>
        </w:rPr>
      </w:pPr>
      <w:r w:rsidRPr="00AB4289">
        <w:rPr>
          <w:sz w:val="28"/>
          <w:szCs w:val="28"/>
          <w:lang w:val="es-ES_tradnl"/>
        </w:rPr>
        <w:t xml:space="preserve">En segundo lugar, </w:t>
      </w:r>
      <w:r w:rsidR="00CE456C" w:rsidRPr="00AB4289">
        <w:rPr>
          <w:sz w:val="28"/>
          <w:szCs w:val="28"/>
          <w:lang w:val="es-ES_tradnl"/>
        </w:rPr>
        <w:t xml:space="preserve">se evidencia que </w:t>
      </w:r>
      <w:r w:rsidRPr="00AB4289">
        <w:rPr>
          <w:sz w:val="28"/>
          <w:szCs w:val="28"/>
          <w:lang w:val="es-ES_tradnl"/>
        </w:rPr>
        <w:t>la Corte Suprema</w:t>
      </w:r>
      <w:r w:rsidR="00BE5C71" w:rsidRPr="00AB4289">
        <w:rPr>
          <w:sz w:val="28"/>
          <w:szCs w:val="28"/>
          <w:lang w:val="es-ES_tradnl"/>
        </w:rPr>
        <w:t xml:space="preserve"> de Justicia</w:t>
      </w:r>
      <w:r w:rsidRPr="00AB4289">
        <w:rPr>
          <w:sz w:val="28"/>
          <w:szCs w:val="28"/>
          <w:lang w:val="es-ES_tradnl"/>
        </w:rPr>
        <w:t xml:space="preserve"> tampoco cumplió con el segundo requisito exigido para restringir el acceso a la información pública, consistente en demostrar que la divulgación de los datos laborales y sus soportes generaría un perjuicio concreto </w:t>
      </w:r>
      <w:r w:rsidR="007F138B" w:rsidRPr="00AB4289">
        <w:rPr>
          <w:sz w:val="28"/>
          <w:szCs w:val="28"/>
          <w:lang w:val="es-ES_tradnl"/>
        </w:rPr>
        <w:t>-frente a</w:t>
      </w:r>
      <w:r w:rsidRPr="00AB4289">
        <w:rPr>
          <w:sz w:val="28"/>
          <w:szCs w:val="28"/>
          <w:lang w:val="es-ES_tradnl"/>
        </w:rPr>
        <w:t xml:space="preserve"> los derechos </w:t>
      </w:r>
      <w:r w:rsidR="007F138B" w:rsidRPr="00AB4289">
        <w:rPr>
          <w:sz w:val="28"/>
          <w:szCs w:val="28"/>
          <w:lang w:val="es-ES_tradnl"/>
        </w:rPr>
        <w:lastRenderedPageBreak/>
        <w:t>al</w:t>
      </w:r>
      <w:r w:rsidRPr="00AB4289">
        <w:rPr>
          <w:sz w:val="28"/>
          <w:szCs w:val="28"/>
          <w:lang w:val="es-ES_tradnl"/>
        </w:rPr>
        <w:t xml:space="preserve"> hábeas data </w:t>
      </w:r>
      <w:r w:rsidR="007F138B" w:rsidRPr="00AB4289">
        <w:rPr>
          <w:sz w:val="28"/>
          <w:szCs w:val="28"/>
          <w:lang w:val="es-ES_tradnl"/>
        </w:rPr>
        <w:t>y a la</w:t>
      </w:r>
      <w:r w:rsidRPr="00AB4289">
        <w:rPr>
          <w:sz w:val="28"/>
          <w:szCs w:val="28"/>
          <w:lang w:val="es-ES_tradnl"/>
        </w:rPr>
        <w:t xml:space="preserve"> intimidad de los magistrados</w:t>
      </w:r>
      <w:r w:rsidR="007F138B" w:rsidRPr="00AB4289">
        <w:rPr>
          <w:sz w:val="28"/>
          <w:szCs w:val="28"/>
          <w:lang w:val="es-ES_tradnl"/>
        </w:rPr>
        <w:t>-</w:t>
      </w:r>
      <w:r w:rsidR="006E3B64" w:rsidRPr="00AB4289">
        <w:rPr>
          <w:sz w:val="28"/>
          <w:szCs w:val="28"/>
          <w:lang w:val="es-ES_tradnl"/>
        </w:rPr>
        <w:t xml:space="preserve"> </w:t>
      </w:r>
      <w:r w:rsidRPr="00AB4289">
        <w:rPr>
          <w:sz w:val="28"/>
          <w:szCs w:val="28"/>
          <w:lang w:val="es-ES_tradnl"/>
        </w:rPr>
        <w:t>superior al interés público que se deriva de su revelación. Lejos de realizar este análisis, la entidad se limitó a esgrimir una justificación genérica basada en el presunto carácter reservado de la información.</w:t>
      </w:r>
    </w:p>
    <w:p w14:paraId="7A637DDA" w14:textId="77777777" w:rsidR="004F6763" w:rsidRPr="00AB4289" w:rsidRDefault="004F6763" w:rsidP="00B40BE5">
      <w:pPr>
        <w:pStyle w:val="Prrafodelista"/>
        <w:rPr>
          <w:sz w:val="28"/>
          <w:szCs w:val="28"/>
          <w:lang w:val="es-ES_tradnl"/>
        </w:rPr>
      </w:pPr>
    </w:p>
    <w:p w14:paraId="3DC6A409" w14:textId="77777777" w:rsidR="009E79DD" w:rsidRDefault="00020B47" w:rsidP="00AB4289">
      <w:pPr>
        <w:pStyle w:val="NormalWeb"/>
        <w:numPr>
          <w:ilvl w:val="0"/>
          <w:numId w:val="2"/>
        </w:numPr>
        <w:spacing w:before="0" w:beforeAutospacing="0" w:after="0" w:afterAutospacing="0"/>
        <w:ind w:left="0" w:firstLine="0"/>
        <w:jc w:val="both"/>
        <w:rPr>
          <w:sz w:val="28"/>
          <w:szCs w:val="28"/>
          <w:lang w:val="es-ES_tradnl"/>
        </w:rPr>
      </w:pPr>
      <w:r w:rsidRPr="00AB4289">
        <w:rPr>
          <w:sz w:val="28"/>
          <w:szCs w:val="28"/>
          <w:lang w:val="es-ES_tradnl"/>
        </w:rPr>
        <w:t xml:space="preserve">Por estas razones, se </w:t>
      </w:r>
      <w:r w:rsidR="00311E1B" w:rsidRPr="00AB4289">
        <w:rPr>
          <w:sz w:val="28"/>
          <w:szCs w:val="28"/>
          <w:lang w:val="es-ES_tradnl"/>
        </w:rPr>
        <w:t xml:space="preserve">concluye </w:t>
      </w:r>
      <w:r w:rsidRPr="00AB4289">
        <w:rPr>
          <w:sz w:val="28"/>
          <w:szCs w:val="28"/>
          <w:lang w:val="es-ES_tradnl"/>
        </w:rPr>
        <w:t>que la Corte Suprema de Justicia no siguió los dos lineamientos establecidos en el artículo 28 de la Ley 1712 de 2014 para negar el acceso a la información pública</w:t>
      </w:r>
      <w:r w:rsidR="007F138B" w:rsidRPr="00AB4289">
        <w:rPr>
          <w:sz w:val="28"/>
          <w:szCs w:val="28"/>
          <w:lang w:val="es-ES_tradnl"/>
        </w:rPr>
        <w:t xml:space="preserve"> solicitad</w:t>
      </w:r>
      <w:r w:rsidR="004F6763" w:rsidRPr="00AB4289">
        <w:rPr>
          <w:sz w:val="28"/>
          <w:szCs w:val="28"/>
          <w:lang w:val="es-ES_tradnl"/>
        </w:rPr>
        <w:t xml:space="preserve">a: </w:t>
      </w:r>
      <w:r w:rsidR="007F138B" w:rsidRPr="00AB4289">
        <w:rPr>
          <w:sz w:val="28"/>
          <w:szCs w:val="28"/>
          <w:lang w:val="es-ES_tradnl"/>
        </w:rPr>
        <w:t xml:space="preserve">por un lado, </w:t>
      </w:r>
      <w:r w:rsidRPr="00AB4289">
        <w:rPr>
          <w:sz w:val="28"/>
          <w:szCs w:val="28"/>
          <w:lang w:val="es-ES_tradnl"/>
        </w:rPr>
        <w:t>no demostró que la información pública era reservada y</w:t>
      </w:r>
      <w:r w:rsidR="007F138B" w:rsidRPr="00AB4289">
        <w:rPr>
          <w:sz w:val="28"/>
          <w:szCs w:val="28"/>
          <w:lang w:val="es-ES_tradnl"/>
        </w:rPr>
        <w:t>, por otro lado,</w:t>
      </w:r>
      <w:r w:rsidRPr="00AB4289">
        <w:rPr>
          <w:sz w:val="28"/>
          <w:szCs w:val="28"/>
          <w:lang w:val="es-ES_tradnl"/>
        </w:rPr>
        <w:t xml:space="preserve"> no demostró que el daño que produc</w:t>
      </w:r>
      <w:r w:rsidR="007F138B" w:rsidRPr="00AB4289">
        <w:rPr>
          <w:sz w:val="28"/>
          <w:szCs w:val="28"/>
          <w:lang w:val="es-ES_tradnl"/>
        </w:rPr>
        <w:t>iría</w:t>
      </w:r>
      <w:r w:rsidRPr="00AB4289">
        <w:rPr>
          <w:sz w:val="28"/>
          <w:szCs w:val="28"/>
          <w:lang w:val="es-ES_tradnl"/>
        </w:rPr>
        <w:t xml:space="preserve"> </w:t>
      </w:r>
      <w:r w:rsidR="007F138B" w:rsidRPr="00AB4289">
        <w:rPr>
          <w:sz w:val="28"/>
          <w:szCs w:val="28"/>
          <w:lang w:val="es-ES_tradnl"/>
        </w:rPr>
        <w:t>su</w:t>
      </w:r>
      <w:r w:rsidRPr="00AB4289">
        <w:rPr>
          <w:sz w:val="28"/>
          <w:szCs w:val="28"/>
          <w:lang w:val="es-ES_tradnl"/>
        </w:rPr>
        <w:t xml:space="preserve"> publicación </w:t>
      </w:r>
      <w:r w:rsidR="007F138B" w:rsidRPr="00AB4289">
        <w:rPr>
          <w:sz w:val="28"/>
          <w:szCs w:val="28"/>
          <w:lang w:val="es-ES_tradnl"/>
        </w:rPr>
        <w:t xml:space="preserve">fuera </w:t>
      </w:r>
      <w:r w:rsidRPr="00AB4289">
        <w:rPr>
          <w:sz w:val="28"/>
          <w:szCs w:val="28"/>
          <w:lang w:val="es-ES_tradnl"/>
        </w:rPr>
        <w:t>mayor al beneficio público que se deriva</w:t>
      </w:r>
      <w:r w:rsidR="007F138B" w:rsidRPr="00AB4289">
        <w:rPr>
          <w:sz w:val="28"/>
          <w:szCs w:val="28"/>
          <w:lang w:val="es-ES_tradnl"/>
        </w:rPr>
        <w:t>ría</w:t>
      </w:r>
      <w:r w:rsidRPr="00AB4289">
        <w:rPr>
          <w:sz w:val="28"/>
          <w:szCs w:val="28"/>
          <w:lang w:val="es-ES_tradnl"/>
        </w:rPr>
        <w:t xml:space="preserve"> de su entrega. </w:t>
      </w:r>
    </w:p>
    <w:p w14:paraId="088FBF3F" w14:textId="77777777" w:rsidR="009E79DD" w:rsidRDefault="009E79DD" w:rsidP="009E79DD">
      <w:pPr>
        <w:pStyle w:val="Prrafodelista"/>
        <w:rPr>
          <w:sz w:val="28"/>
          <w:szCs w:val="28"/>
          <w:lang w:val="es-ES_tradnl"/>
        </w:rPr>
      </w:pPr>
    </w:p>
    <w:p w14:paraId="7F909C34" w14:textId="17F56F97" w:rsidR="00A55AF4" w:rsidRPr="009E79DD" w:rsidRDefault="00B40BE5" w:rsidP="00AB4289">
      <w:pPr>
        <w:pStyle w:val="NormalWeb"/>
        <w:numPr>
          <w:ilvl w:val="0"/>
          <w:numId w:val="2"/>
        </w:numPr>
        <w:spacing w:before="0" w:beforeAutospacing="0" w:after="0" w:afterAutospacing="0"/>
        <w:ind w:left="0" w:firstLine="0"/>
        <w:jc w:val="both"/>
        <w:rPr>
          <w:sz w:val="28"/>
          <w:szCs w:val="28"/>
          <w:lang w:val="es-ES_tradnl"/>
        </w:rPr>
      </w:pPr>
      <w:r w:rsidRPr="009E79DD">
        <w:rPr>
          <w:sz w:val="28"/>
          <w:szCs w:val="28"/>
          <w:lang w:val="es-ES_tradnl"/>
        </w:rPr>
        <w:t>En consecuencia, la Corporación vulneró los derechos fundamentales del señor Juan Pablo Barrientos al acceso a la información y a la libertad de expresión, al negarle la posibilidad de obtener la información necesaria para adelantar la investigación periodística que se encontraba desarrollando y que reviste de evidente interés público. Del mismo modo, desconoció su derecho de petición, en tanto se trataba de una solicitud de acceso a información pública, cuya respuesta debía cumplir</w:t>
      </w:r>
      <w:r w:rsidR="00A55AF4" w:rsidRPr="009E79DD">
        <w:rPr>
          <w:sz w:val="28"/>
          <w:szCs w:val="28"/>
          <w:lang w:val="es-ES_tradnl"/>
        </w:rPr>
        <w:t xml:space="preserve"> </w:t>
      </w:r>
      <w:r w:rsidRPr="009E79DD">
        <w:rPr>
          <w:sz w:val="28"/>
          <w:szCs w:val="28"/>
          <w:lang w:val="es-ES_tradnl"/>
        </w:rPr>
        <w:t>con exigencias específicas para ser considerada de fondo, conforme a los requisitos expresamente previstos en el artículo 28 de la Ley Estatutaria 1712 de 2014</w:t>
      </w:r>
      <w:r w:rsidR="00A55AF4" w:rsidRPr="009E79DD">
        <w:rPr>
          <w:sz w:val="28"/>
          <w:szCs w:val="28"/>
          <w:lang w:val="es-ES_tradnl"/>
        </w:rPr>
        <w:t xml:space="preserve"> y lo establecido por la Corte Constitucional</w:t>
      </w:r>
      <w:r w:rsidR="00A55AF4" w:rsidRPr="00AB4289">
        <w:rPr>
          <w:rStyle w:val="Refdenotaalpie"/>
          <w:sz w:val="28"/>
          <w:szCs w:val="28"/>
          <w:lang w:val="es-ES_tradnl"/>
        </w:rPr>
        <w:footnoteReference w:id="123"/>
      </w:r>
      <w:r w:rsidR="00A55AF4" w:rsidRPr="009E79DD">
        <w:rPr>
          <w:sz w:val="28"/>
          <w:szCs w:val="28"/>
          <w:lang w:val="es-ES_tradnl"/>
        </w:rPr>
        <w:t>.</w:t>
      </w:r>
    </w:p>
    <w:p w14:paraId="36207D4A" w14:textId="77777777" w:rsidR="00B40BE5" w:rsidRPr="00AB4289" w:rsidRDefault="00B40BE5" w:rsidP="00A55AF4">
      <w:pPr>
        <w:pStyle w:val="NormalWeb"/>
        <w:spacing w:before="0" w:beforeAutospacing="0" w:after="0" w:afterAutospacing="0"/>
        <w:jc w:val="both"/>
        <w:rPr>
          <w:sz w:val="28"/>
          <w:szCs w:val="28"/>
          <w:lang w:val="es-ES_tradnl"/>
        </w:rPr>
      </w:pPr>
    </w:p>
    <w:p w14:paraId="2085B78B" w14:textId="4FBBAC29" w:rsidR="00020B47" w:rsidRPr="00AB4289" w:rsidRDefault="00311E1B" w:rsidP="00B40BE5">
      <w:pPr>
        <w:pStyle w:val="NormalWeb"/>
        <w:numPr>
          <w:ilvl w:val="0"/>
          <w:numId w:val="2"/>
        </w:numPr>
        <w:tabs>
          <w:tab w:val="left" w:pos="0"/>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Una vez establecido el incumplimiento del estándar argumentativo exigido para negar la información</w:t>
      </w:r>
      <w:r w:rsidR="00020B47" w:rsidRPr="00AB4289">
        <w:rPr>
          <w:sz w:val="28"/>
          <w:szCs w:val="28"/>
          <w:lang w:val="es-ES_tradnl"/>
        </w:rPr>
        <w:t xml:space="preserve">, la Corte </w:t>
      </w:r>
      <w:r w:rsidRPr="00AB4289">
        <w:rPr>
          <w:sz w:val="28"/>
          <w:szCs w:val="28"/>
          <w:lang w:val="es-ES_tradnl"/>
        </w:rPr>
        <w:t xml:space="preserve">aplicará el juicio </w:t>
      </w:r>
      <w:r w:rsidR="00020B47" w:rsidRPr="00AB4289">
        <w:rPr>
          <w:sz w:val="28"/>
          <w:szCs w:val="28"/>
          <w:lang w:val="es-ES_tradnl"/>
        </w:rPr>
        <w:t xml:space="preserve">de ponderación establecido en el artículo 28 de la Ley 1712 de 2014, </w:t>
      </w:r>
      <w:r w:rsidRPr="00AB4289">
        <w:rPr>
          <w:sz w:val="28"/>
          <w:szCs w:val="28"/>
          <w:lang w:val="es-ES_tradnl"/>
        </w:rPr>
        <w:t xml:space="preserve">cuyo propósito es garantizar una protección de los derechos en tensión y asegurar que la entrega de los datos no implique una afectación desproporcionada de los derechos a la intimidad y hábeas data de los magistrados. Para la Corte, </w:t>
      </w:r>
      <w:r w:rsidR="00D837E7" w:rsidRPr="00AB4289">
        <w:rPr>
          <w:sz w:val="28"/>
          <w:szCs w:val="28"/>
          <w:lang w:val="es-ES_tradnl"/>
        </w:rPr>
        <w:t xml:space="preserve">por las siguientes razones, </w:t>
      </w:r>
      <w:r w:rsidRPr="00AB4289">
        <w:rPr>
          <w:sz w:val="28"/>
          <w:szCs w:val="28"/>
          <w:lang w:val="es-ES_tradnl"/>
        </w:rPr>
        <w:t xml:space="preserve">en este caso los </w:t>
      </w:r>
      <w:r w:rsidR="00020B47" w:rsidRPr="00AB4289">
        <w:rPr>
          <w:sz w:val="28"/>
          <w:szCs w:val="28"/>
          <w:lang w:val="es-ES_tradnl"/>
        </w:rPr>
        <w:t>eventuales efectos adversos de la divulgación</w:t>
      </w:r>
      <w:r w:rsidR="00B32A03" w:rsidRPr="00AB4289">
        <w:rPr>
          <w:sz w:val="28"/>
          <w:szCs w:val="28"/>
          <w:lang w:val="es-ES_tradnl"/>
        </w:rPr>
        <w:t xml:space="preserve"> </w:t>
      </w:r>
      <w:r w:rsidR="002E1C83" w:rsidRPr="00AB4289">
        <w:rPr>
          <w:sz w:val="28"/>
          <w:szCs w:val="28"/>
          <w:lang w:val="es-ES_tradnl"/>
        </w:rPr>
        <w:t>de</w:t>
      </w:r>
      <w:r w:rsidR="00020B47" w:rsidRPr="00AB4289">
        <w:rPr>
          <w:sz w:val="28"/>
          <w:szCs w:val="28"/>
          <w:lang w:val="es-ES_tradnl"/>
        </w:rPr>
        <w:t xml:space="preserve"> la</w:t>
      </w:r>
      <w:r w:rsidR="002E7FAE" w:rsidRPr="00AB4289">
        <w:rPr>
          <w:sz w:val="28"/>
          <w:szCs w:val="28"/>
          <w:lang w:val="es-ES_tradnl"/>
        </w:rPr>
        <w:t xml:space="preserve"> </w:t>
      </w:r>
      <w:r w:rsidR="002E1C83" w:rsidRPr="00AB4289">
        <w:rPr>
          <w:sz w:val="28"/>
          <w:szCs w:val="28"/>
          <w:lang w:val="es-ES_tradnl"/>
        </w:rPr>
        <w:t>hoja de vida</w:t>
      </w:r>
      <w:r w:rsidR="00CE456C" w:rsidRPr="00AB4289">
        <w:rPr>
          <w:sz w:val="28"/>
          <w:szCs w:val="28"/>
          <w:lang w:val="es-ES_tradnl"/>
        </w:rPr>
        <w:t xml:space="preserve"> y</w:t>
      </w:r>
      <w:r w:rsidR="00B32A03" w:rsidRPr="00AB4289">
        <w:rPr>
          <w:sz w:val="28"/>
          <w:szCs w:val="28"/>
          <w:lang w:val="es-ES_tradnl"/>
        </w:rPr>
        <w:t xml:space="preserve"> </w:t>
      </w:r>
      <w:r w:rsidR="002E1C83" w:rsidRPr="00AB4289">
        <w:rPr>
          <w:sz w:val="28"/>
          <w:szCs w:val="28"/>
          <w:lang w:val="es-ES_tradnl"/>
        </w:rPr>
        <w:t xml:space="preserve">de </w:t>
      </w:r>
      <w:r w:rsidR="00D70B2F" w:rsidRPr="00AB4289">
        <w:rPr>
          <w:sz w:val="28"/>
          <w:szCs w:val="28"/>
          <w:lang w:val="es-ES_tradnl"/>
        </w:rPr>
        <w:t>su</w:t>
      </w:r>
      <w:r w:rsidR="002E1C83" w:rsidRPr="00AB4289">
        <w:rPr>
          <w:sz w:val="28"/>
          <w:szCs w:val="28"/>
          <w:lang w:val="es-ES_tradnl"/>
        </w:rPr>
        <w:t>s respectivos</w:t>
      </w:r>
      <w:r w:rsidR="002E7FAE" w:rsidRPr="00AB4289">
        <w:rPr>
          <w:sz w:val="28"/>
          <w:szCs w:val="28"/>
          <w:lang w:val="es-ES_tradnl"/>
        </w:rPr>
        <w:t xml:space="preserve"> soporte</w:t>
      </w:r>
      <w:r w:rsidR="002E1C83" w:rsidRPr="00AB4289">
        <w:rPr>
          <w:sz w:val="28"/>
          <w:szCs w:val="28"/>
          <w:lang w:val="es-ES_tradnl"/>
        </w:rPr>
        <w:t>s</w:t>
      </w:r>
      <w:r w:rsidR="002E7FAE" w:rsidRPr="00AB4289">
        <w:rPr>
          <w:sz w:val="28"/>
          <w:szCs w:val="28"/>
          <w:lang w:val="es-ES_tradnl"/>
        </w:rPr>
        <w:t xml:space="preserve"> </w:t>
      </w:r>
      <w:r w:rsidR="00020B47" w:rsidRPr="00AB4289">
        <w:rPr>
          <w:sz w:val="28"/>
          <w:szCs w:val="28"/>
          <w:lang w:val="es-ES_tradnl"/>
        </w:rPr>
        <w:t>no super</w:t>
      </w:r>
      <w:r w:rsidR="00D837E7" w:rsidRPr="00AB4289">
        <w:rPr>
          <w:sz w:val="28"/>
          <w:szCs w:val="28"/>
          <w:lang w:val="es-ES_tradnl"/>
        </w:rPr>
        <w:t>a</w:t>
      </w:r>
      <w:r w:rsidR="00020B47" w:rsidRPr="00AB4289">
        <w:rPr>
          <w:sz w:val="28"/>
          <w:szCs w:val="28"/>
          <w:lang w:val="es-ES_tradnl"/>
        </w:rPr>
        <w:t xml:space="preserve">n el beneficio asociado al acceso </w:t>
      </w:r>
      <w:r w:rsidR="007F138B" w:rsidRPr="00AB4289">
        <w:rPr>
          <w:sz w:val="28"/>
          <w:szCs w:val="28"/>
          <w:lang w:val="es-ES_tradnl"/>
        </w:rPr>
        <w:t>a</w:t>
      </w:r>
      <w:r w:rsidR="00020B47" w:rsidRPr="00AB4289">
        <w:rPr>
          <w:sz w:val="28"/>
          <w:szCs w:val="28"/>
          <w:lang w:val="es-ES_tradnl"/>
        </w:rPr>
        <w:t xml:space="preserve"> esta información</w:t>
      </w:r>
      <w:r w:rsidR="00D837E7" w:rsidRPr="00AB4289">
        <w:rPr>
          <w:sz w:val="28"/>
          <w:szCs w:val="28"/>
          <w:lang w:val="es-ES_tradnl"/>
        </w:rPr>
        <w:t xml:space="preserve">, de forma que procede su entrega. </w:t>
      </w:r>
    </w:p>
    <w:p w14:paraId="4504EA99" w14:textId="77777777" w:rsidR="00D837E7" w:rsidRPr="00AB4289" w:rsidRDefault="00D837E7" w:rsidP="00B40BE5">
      <w:pPr>
        <w:pStyle w:val="NormalWeb"/>
        <w:tabs>
          <w:tab w:val="left" w:pos="0"/>
          <w:tab w:val="left" w:pos="426"/>
          <w:tab w:val="left" w:pos="567"/>
        </w:tabs>
        <w:spacing w:before="0" w:beforeAutospacing="0" w:after="0" w:afterAutospacing="0"/>
        <w:ind w:right="49"/>
        <w:jc w:val="both"/>
        <w:rPr>
          <w:sz w:val="28"/>
          <w:szCs w:val="28"/>
          <w:lang w:val="es-ES_tradnl"/>
        </w:rPr>
      </w:pPr>
    </w:p>
    <w:p w14:paraId="6476D984" w14:textId="59E05D58" w:rsidR="004D36DA" w:rsidRPr="00AB4289" w:rsidRDefault="00020B47" w:rsidP="00B40BE5">
      <w:pPr>
        <w:pStyle w:val="NormalWeb"/>
        <w:numPr>
          <w:ilvl w:val="0"/>
          <w:numId w:val="2"/>
        </w:numPr>
        <w:tabs>
          <w:tab w:val="left" w:pos="0"/>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 xml:space="preserve">En primer lugar, la Corte evidencia que la negativa </w:t>
      </w:r>
      <w:r w:rsidR="007F138B" w:rsidRPr="00AB4289">
        <w:rPr>
          <w:sz w:val="28"/>
          <w:szCs w:val="28"/>
          <w:lang w:val="es-ES_tradnl"/>
        </w:rPr>
        <w:t xml:space="preserve">a </w:t>
      </w:r>
      <w:r w:rsidRPr="00AB4289">
        <w:rPr>
          <w:sz w:val="28"/>
          <w:szCs w:val="28"/>
          <w:lang w:val="es-ES_tradnl"/>
        </w:rPr>
        <w:t>entrega</w:t>
      </w:r>
      <w:r w:rsidR="007F138B" w:rsidRPr="00AB4289">
        <w:rPr>
          <w:sz w:val="28"/>
          <w:szCs w:val="28"/>
          <w:lang w:val="es-ES_tradnl"/>
        </w:rPr>
        <w:t>r</w:t>
      </w:r>
      <w:r w:rsidRPr="00AB4289">
        <w:rPr>
          <w:sz w:val="28"/>
          <w:szCs w:val="28"/>
          <w:lang w:val="es-ES_tradnl"/>
        </w:rPr>
        <w:t xml:space="preserve"> esta información vulnera de forma grave y evidente </w:t>
      </w:r>
      <w:r w:rsidR="00CE3363" w:rsidRPr="00AB4289">
        <w:rPr>
          <w:sz w:val="28"/>
          <w:szCs w:val="28"/>
          <w:lang w:val="es-ES_tradnl"/>
        </w:rPr>
        <w:t>los</w:t>
      </w:r>
      <w:r w:rsidRPr="00AB4289">
        <w:rPr>
          <w:sz w:val="28"/>
          <w:szCs w:val="28"/>
          <w:lang w:val="es-ES_tradnl"/>
        </w:rPr>
        <w:t xml:space="preserve"> derecho</w:t>
      </w:r>
      <w:r w:rsidR="00CE3363" w:rsidRPr="00AB4289">
        <w:rPr>
          <w:sz w:val="28"/>
          <w:szCs w:val="28"/>
          <w:lang w:val="es-ES_tradnl"/>
        </w:rPr>
        <w:t>s</w:t>
      </w:r>
      <w:r w:rsidRPr="00AB4289">
        <w:rPr>
          <w:sz w:val="28"/>
          <w:szCs w:val="28"/>
          <w:lang w:val="es-ES_tradnl"/>
        </w:rPr>
        <w:t xml:space="preserve"> fundamental</w:t>
      </w:r>
      <w:r w:rsidR="00CE3363" w:rsidRPr="00AB4289">
        <w:rPr>
          <w:sz w:val="28"/>
          <w:szCs w:val="28"/>
          <w:lang w:val="es-ES_tradnl"/>
        </w:rPr>
        <w:t>es</w:t>
      </w:r>
      <w:r w:rsidRPr="00AB4289">
        <w:rPr>
          <w:sz w:val="28"/>
          <w:szCs w:val="28"/>
          <w:lang w:val="es-ES_tradnl"/>
        </w:rPr>
        <w:t xml:space="preserve"> de acceso a la información pública</w:t>
      </w:r>
      <w:r w:rsidR="00FA3D37" w:rsidRPr="00AB4289">
        <w:rPr>
          <w:sz w:val="28"/>
          <w:szCs w:val="28"/>
          <w:lang w:val="es-ES_tradnl"/>
        </w:rPr>
        <w:t>, al derecho de petición y a la</w:t>
      </w:r>
      <w:r w:rsidR="00CE3363" w:rsidRPr="00AB4289">
        <w:rPr>
          <w:sz w:val="28"/>
          <w:szCs w:val="28"/>
          <w:lang w:val="es-ES_tradnl"/>
        </w:rPr>
        <w:t xml:space="preserve"> libertad de expresión</w:t>
      </w:r>
      <w:r w:rsidRPr="00AB4289">
        <w:rPr>
          <w:sz w:val="28"/>
          <w:szCs w:val="28"/>
          <w:lang w:val="es-ES_tradnl"/>
        </w:rPr>
        <w:t xml:space="preserve"> del señor Juan Pablo Barrientos. En efecto, el accionante explicó que </w:t>
      </w:r>
      <w:r w:rsidR="007F138B" w:rsidRPr="00AB4289">
        <w:rPr>
          <w:sz w:val="28"/>
          <w:szCs w:val="28"/>
          <w:lang w:val="es-ES_tradnl"/>
        </w:rPr>
        <w:t xml:space="preserve">solicitó </w:t>
      </w:r>
      <w:r w:rsidRPr="00AB4289">
        <w:rPr>
          <w:sz w:val="28"/>
          <w:szCs w:val="28"/>
          <w:lang w:val="es-ES_tradnl"/>
        </w:rPr>
        <w:t xml:space="preserve">la información en el marco de una investigación periodística que viene desarrollando desde hace varios años </w:t>
      </w:r>
      <w:r w:rsidR="00BE5C71" w:rsidRPr="00AB4289">
        <w:rPr>
          <w:sz w:val="28"/>
          <w:szCs w:val="28"/>
          <w:lang w:val="es-ES_tradnl"/>
        </w:rPr>
        <w:t xml:space="preserve">con la que pretende </w:t>
      </w:r>
      <w:r w:rsidRPr="00AB4289">
        <w:rPr>
          <w:sz w:val="28"/>
          <w:szCs w:val="28"/>
          <w:lang w:val="es-ES_tradnl"/>
        </w:rPr>
        <w:t xml:space="preserve">verificar que los </w:t>
      </w:r>
      <w:r w:rsidRPr="00AB4289">
        <w:rPr>
          <w:sz w:val="28"/>
          <w:szCs w:val="28"/>
          <w:lang w:val="es-ES_tradnl"/>
        </w:rPr>
        <w:lastRenderedPageBreak/>
        <w:t xml:space="preserve">funcionarios públicos no </w:t>
      </w:r>
      <w:r w:rsidR="005111C2" w:rsidRPr="00AB4289">
        <w:rPr>
          <w:sz w:val="28"/>
          <w:szCs w:val="28"/>
          <w:lang w:val="es-ES_tradnl"/>
        </w:rPr>
        <w:t xml:space="preserve">incurran en falsedades frente a </w:t>
      </w:r>
      <w:r w:rsidRPr="00AB4289">
        <w:rPr>
          <w:sz w:val="28"/>
          <w:szCs w:val="28"/>
          <w:lang w:val="es-ES_tradnl"/>
        </w:rPr>
        <w:t>los datos relacionados con su formación académica y su experiencia profesional. Según indicó, irregularidades</w:t>
      </w:r>
      <w:r w:rsidR="007F138B" w:rsidRPr="00AB4289">
        <w:rPr>
          <w:sz w:val="28"/>
          <w:szCs w:val="28"/>
          <w:lang w:val="es-ES_tradnl"/>
        </w:rPr>
        <w:t xml:space="preserve"> de este tipo</w:t>
      </w:r>
      <w:r w:rsidRPr="00AB4289">
        <w:rPr>
          <w:sz w:val="28"/>
          <w:szCs w:val="28"/>
          <w:lang w:val="es-ES_tradnl"/>
        </w:rPr>
        <w:t xml:space="preserve"> ha</w:t>
      </w:r>
      <w:r w:rsidR="007F138B" w:rsidRPr="00AB4289">
        <w:rPr>
          <w:sz w:val="28"/>
          <w:szCs w:val="28"/>
          <w:lang w:val="es-ES_tradnl"/>
        </w:rPr>
        <w:t>n</w:t>
      </w:r>
      <w:r w:rsidRPr="00AB4289">
        <w:rPr>
          <w:sz w:val="28"/>
          <w:szCs w:val="28"/>
          <w:lang w:val="es-ES_tradnl"/>
        </w:rPr>
        <w:t xml:space="preserve"> sido frecuente</w:t>
      </w:r>
      <w:r w:rsidR="007F138B" w:rsidRPr="00AB4289">
        <w:rPr>
          <w:sz w:val="28"/>
          <w:szCs w:val="28"/>
          <w:lang w:val="es-ES_tradnl"/>
        </w:rPr>
        <w:t>s</w:t>
      </w:r>
      <w:r w:rsidRPr="00AB4289">
        <w:rPr>
          <w:sz w:val="28"/>
          <w:szCs w:val="28"/>
          <w:lang w:val="es-ES_tradnl"/>
        </w:rPr>
        <w:t xml:space="preserve"> en el país y</w:t>
      </w:r>
      <w:r w:rsidR="007F138B" w:rsidRPr="00AB4289">
        <w:rPr>
          <w:sz w:val="28"/>
          <w:szCs w:val="28"/>
          <w:lang w:val="es-ES_tradnl"/>
        </w:rPr>
        <w:t>,</w:t>
      </w:r>
      <w:r w:rsidRPr="00AB4289">
        <w:rPr>
          <w:sz w:val="28"/>
          <w:szCs w:val="28"/>
          <w:lang w:val="es-ES_tradnl"/>
        </w:rPr>
        <w:t xml:space="preserve"> por eso</w:t>
      </w:r>
      <w:r w:rsidR="007F138B" w:rsidRPr="00AB4289">
        <w:rPr>
          <w:sz w:val="28"/>
          <w:szCs w:val="28"/>
          <w:lang w:val="es-ES_tradnl"/>
        </w:rPr>
        <w:t>,</w:t>
      </w:r>
      <w:r w:rsidRPr="00AB4289">
        <w:rPr>
          <w:sz w:val="28"/>
          <w:szCs w:val="28"/>
          <w:lang w:val="es-ES_tradnl"/>
        </w:rPr>
        <w:t xml:space="preserve"> </w:t>
      </w:r>
      <w:r w:rsidR="007F138B" w:rsidRPr="00AB4289">
        <w:rPr>
          <w:sz w:val="28"/>
          <w:szCs w:val="28"/>
          <w:lang w:val="es-ES_tradnl"/>
        </w:rPr>
        <w:t xml:space="preserve">hay que </w:t>
      </w:r>
      <w:r w:rsidRPr="00AB4289">
        <w:rPr>
          <w:sz w:val="28"/>
          <w:szCs w:val="28"/>
          <w:lang w:val="es-ES_tradnl"/>
        </w:rPr>
        <w:t>ejercer control ciudadano para prevenirlas</w:t>
      </w:r>
      <w:r w:rsidRPr="00AB4289">
        <w:rPr>
          <w:rStyle w:val="Refdenotaalpie"/>
          <w:rFonts w:cs="Times New Roman"/>
          <w:sz w:val="28"/>
          <w:szCs w:val="28"/>
          <w:lang w:val="es-ES_tradnl"/>
        </w:rPr>
        <w:footnoteReference w:id="124"/>
      </w:r>
      <w:r w:rsidRPr="00AB4289">
        <w:rPr>
          <w:sz w:val="28"/>
          <w:szCs w:val="28"/>
          <w:lang w:val="es-ES_tradnl"/>
        </w:rPr>
        <w:t xml:space="preserve">. </w:t>
      </w:r>
    </w:p>
    <w:p w14:paraId="3E8381BB" w14:textId="77777777" w:rsidR="004D36DA" w:rsidRPr="00AB4289" w:rsidRDefault="004D36DA" w:rsidP="00B40BE5">
      <w:pPr>
        <w:pStyle w:val="Prrafodelista"/>
        <w:jc w:val="both"/>
      </w:pPr>
    </w:p>
    <w:p w14:paraId="765E154B" w14:textId="67FB47CF" w:rsidR="004D36DA" w:rsidRPr="00AB4289" w:rsidRDefault="004D36DA" w:rsidP="00B40BE5">
      <w:pPr>
        <w:pStyle w:val="NormalWeb"/>
        <w:numPr>
          <w:ilvl w:val="0"/>
          <w:numId w:val="2"/>
        </w:numPr>
        <w:tabs>
          <w:tab w:val="left" w:pos="0"/>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En consecuencia, la negativa a entregar la información solicitada priva al accionante de un elemento esencial para el desarrollo de su investigación periodística, la cual reviste</w:t>
      </w:r>
      <w:r w:rsidR="00540A0A" w:rsidRPr="00AB4289">
        <w:rPr>
          <w:sz w:val="28"/>
          <w:szCs w:val="28"/>
          <w:lang w:val="es-ES_tradnl"/>
        </w:rPr>
        <w:t xml:space="preserve"> de</w:t>
      </w:r>
      <w:r w:rsidRPr="00AB4289">
        <w:rPr>
          <w:sz w:val="28"/>
          <w:szCs w:val="28"/>
          <w:lang w:val="es-ES_tradnl"/>
        </w:rPr>
        <w:t xml:space="preserve"> un evidente interés público y constituye un ejercicio legítimo de control ciudadano. </w:t>
      </w:r>
      <w:r w:rsidR="00540A0A" w:rsidRPr="00AB4289">
        <w:rPr>
          <w:sz w:val="28"/>
          <w:szCs w:val="28"/>
          <w:lang w:val="es-ES_tradnl"/>
        </w:rPr>
        <w:t xml:space="preserve">Dicha negativa configura una afectación grave a derechos fundamentales, en particular al acceso a la información pública -como manifestación específica del derecho de petición- y a la libertad de expresión, por dos razones principales: (i) </w:t>
      </w:r>
      <w:r w:rsidR="00FA3D37" w:rsidRPr="00AB4289">
        <w:rPr>
          <w:sz w:val="28"/>
          <w:szCs w:val="28"/>
          <w:lang w:val="es-ES_tradnl"/>
        </w:rPr>
        <w:t>estos</w:t>
      </w:r>
      <w:r w:rsidR="00540A0A" w:rsidRPr="00AB4289">
        <w:rPr>
          <w:sz w:val="28"/>
          <w:szCs w:val="28"/>
          <w:lang w:val="es-ES_tradnl"/>
        </w:rPr>
        <w:t xml:space="preserve"> derechos gozan de una protección constitucional reforzada cuando son ejercidos por un periodista en el marco de su labor investigativa; y (</w:t>
      </w:r>
      <w:proofErr w:type="spellStart"/>
      <w:r w:rsidR="00540A0A" w:rsidRPr="00AB4289">
        <w:rPr>
          <w:sz w:val="28"/>
          <w:szCs w:val="28"/>
          <w:lang w:val="es-ES_tradnl"/>
        </w:rPr>
        <w:t>ii</w:t>
      </w:r>
      <w:proofErr w:type="spellEnd"/>
      <w:r w:rsidR="00540A0A" w:rsidRPr="00AB4289">
        <w:rPr>
          <w:sz w:val="28"/>
          <w:szCs w:val="28"/>
          <w:lang w:val="es-ES_tradnl"/>
        </w:rPr>
        <w:t>) la información solicitada posee una relevancia especial para el ejercicio del periodismo, de modo que su denegación no solo impacta la esfera individual del periodista, en cuanto limita su libertad de expresión, sino también la esfera colectiva, al impedir que la ciudadanía acceda a información indispensable para el control democrático.</w:t>
      </w:r>
    </w:p>
    <w:p w14:paraId="485EFCEE" w14:textId="77777777" w:rsidR="00540A0A" w:rsidRPr="00AB4289" w:rsidRDefault="00540A0A" w:rsidP="00B40BE5">
      <w:pPr>
        <w:pStyle w:val="NormalWeb"/>
        <w:tabs>
          <w:tab w:val="left" w:pos="0"/>
          <w:tab w:val="left" w:pos="426"/>
          <w:tab w:val="left" w:pos="567"/>
        </w:tabs>
        <w:spacing w:before="0" w:beforeAutospacing="0" w:after="0" w:afterAutospacing="0"/>
        <w:ind w:right="49"/>
        <w:jc w:val="both"/>
        <w:rPr>
          <w:sz w:val="28"/>
          <w:szCs w:val="28"/>
          <w:lang w:val="es-ES_tradnl"/>
        </w:rPr>
      </w:pPr>
    </w:p>
    <w:p w14:paraId="314002F5" w14:textId="7CB6AB5D" w:rsidR="00250F5C" w:rsidRPr="00AB4289" w:rsidRDefault="00020B47" w:rsidP="00B40BE5">
      <w:pPr>
        <w:pStyle w:val="NormalWeb"/>
        <w:numPr>
          <w:ilvl w:val="0"/>
          <w:numId w:val="2"/>
        </w:numPr>
        <w:tabs>
          <w:tab w:val="left" w:pos="0"/>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En segundo lugar, se constata que, si se revelan las hojas de vida</w:t>
      </w:r>
      <w:r w:rsidR="00BE5C71" w:rsidRPr="00AB4289">
        <w:rPr>
          <w:sz w:val="28"/>
          <w:szCs w:val="28"/>
          <w:lang w:val="es-ES_tradnl"/>
        </w:rPr>
        <w:t xml:space="preserve"> y sus </w:t>
      </w:r>
      <w:r w:rsidR="007F138B" w:rsidRPr="00AB4289">
        <w:rPr>
          <w:sz w:val="28"/>
          <w:szCs w:val="28"/>
          <w:lang w:val="es-ES_tradnl"/>
        </w:rPr>
        <w:t>respectivos</w:t>
      </w:r>
      <w:r w:rsidR="00BE5C71" w:rsidRPr="00AB4289">
        <w:rPr>
          <w:sz w:val="28"/>
          <w:szCs w:val="28"/>
          <w:lang w:val="es-ES_tradnl"/>
        </w:rPr>
        <w:t xml:space="preserve"> soportes</w:t>
      </w:r>
      <w:r w:rsidRPr="00AB4289">
        <w:rPr>
          <w:sz w:val="28"/>
          <w:szCs w:val="28"/>
          <w:lang w:val="es-ES_tradnl"/>
        </w:rPr>
        <w:t>, no se presenta una afectación mayor a los derechos al hábeas data</w:t>
      </w:r>
      <w:r w:rsidR="005111C2" w:rsidRPr="00AB4289">
        <w:rPr>
          <w:sz w:val="28"/>
          <w:szCs w:val="28"/>
          <w:lang w:val="es-ES_tradnl"/>
        </w:rPr>
        <w:t>, a la privacidad y a la</w:t>
      </w:r>
      <w:r w:rsidRPr="00AB4289">
        <w:rPr>
          <w:sz w:val="28"/>
          <w:szCs w:val="28"/>
          <w:lang w:val="es-ES_tradnl"/>
        </w:rPr>
        <w:t xml:space="preserve"> intimidad de los magistrados de la Sala Plena de la Corte Suprema de Justicia. </w:t>
      </w:r>
    </w:p>
    <w:p w14:paraId="7FBE36D5" w14:textId="77777777" w:rsidR="00250F5C" w:rsidRPr="00AB4289" w:rsidRDefault="00250F5C" w:rsidP="00B40BE5">
      <w:pPr>
        <w:pStyle w:val="Prrafodelista"/>
        <w:jc w:val="both"/>
        <w:rPr>
          <w:sz w:val="28"/>
          <w:szCs w:val="28"/>
          <w:lang w:val="es-ES_tradnl"/>
        </w:rPr>
      </w:pPr>
    </w:p>
    <w:p w14:paraId="4F2B1D05" w14:textId="3AA68AF4" w:rsidR="00FC41CC" w:rsidRPr="00AB4289" w:rsidRDefault="00020B47" w:rsidP="00B40BE5">
      <w:pPr>
        <w:pStyle w:val="NormalWeb"/>
        <w:numPr>
          <w:ilvl w:val="0"/>
          <w:numId w:val="2"/>
        </w:numPr>
        <w:tabs>
          <w:tab w:val="left" w:pos="0"/>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Como ya se explicó, la información de las hojas de vida que solicitó el accionante está relacionada con aspectos laborales y académicos que no constituyen datos sensibles que puedan comprometer su seguridad o generar una posible discriminación en su contra. Además, es importante resaltar que los magistrados, al ser figuras con una influencia significativa en asuntos de interés público, están sujetos a un mayor nivel de escrutinio. En consecuencia, es razonable entender que su</w:t>
      </w:r>
      <w:r w:rsidR="0007790C" w:rsidRPr="00AB4289">
        <w:rPr>
          <w:sz w:val="28"/>
          <w:szCs w:val="28"/>
          <w:lang w:val="es-ES_tradnl"/>
        </w:rPr>
        <w:t>s derechos a la</w:t>
      </w:r>
      <w:r w:rsidRPr="00AB4289">
        <w:rPr>
          <w:sz w:val="28"/>
          <w:szCs w:val="28"/>
          <w:lang w:val="es-ES_tradnl"/>
        </w:rPr>
        <w:t xml:space="preserve"> privacidad</w:t>
      </w:r>
      <w:r w:rsidR="0007790C" w:rsidRPr="00AB4289">
        <w:rPr>
          <w:sz w:val="28"/>
          <w:szCs w:val="28"/>
          <w:lang w:val="es-ES_tradnl"/>
        </w:rPr>
        <w:t>, al hábeas data y a</w:t>
      </w:r>
      <w:r w:rsidRPr="00AB4289">
        <w:rPr>
          <w:sz w:val="28"/>
          <w:szCs w:val="28"/>
          <w:lang w:val="es-ES_tradnl"/>
        </w:rPr>
        <w:t xml:space="preserve"> </w:t>
      </w:r>
      <w:r w:rsidR="00A76723" w:rsidRPr="00AB4289">
        <w:rPr>
          <w:sz w:val="28"/>
          <w:szCs w:val="28"/>
          <w:lang w:val="es-ES_tradnl"/>
        </w:rPr>
        <w:t>l</w:t>
      </w:r>
      <w:r w:rsidR="0007790C" w:rsidRPr="00AB4289">
        <w:rPr>
          <w:sz w:val="28"/>
          <w:szCs w:val="28"/>
          <w:lang w:val="es-ES_tradnl"/>
        </w:rPr>
        <w:t>a</w:t>
      </w:r>
      <w:r w:rsidR="005111C2" w:rsidRPr="00AB4289">
        <w:rPr>
          <w:sz w:val="28"/>
          <w:szCs w:val="28"/>
          <w:lang w:val="es-ES_tradnl"/>
        </w:rPr>
        <w:t xml:space="preserve"> intimidad </w:t>
      </w:r>
      <w:r w:rsidRPr="00AB4289">
        <w:rPr>
          <w:sz w:val="28"/>
          <w:szCs w:val="28"/>
          <w:lang w:val="es-ES_tradnl"/>
        </w:rPr>
        <w:t>se puede</w:t>
      </w:r>
      <w:r w:rsidR="005111C2" w:rsidRPr="00AB4289">
        <w:rPr>
          <w:sz w:val="28"/>
          <w:szCs w:val="28"/>
          <w:lang w:val="es-ES_tradnl"/>
        </w:rPr>
        <w:t>n</w:t>
      </w:r>
      <w:r w:rsidRPr="00AB4289">
        <w:rPr>
          <w:sz w:val="28"/>
          <w:szCs w:val="28"/>
          <w:lang w:val="es-ES_tradnl"/>
        </w:rPr>
        <w:t xml:space="preserve"> ver</w:t>
      </w:r>
      <w:r w:rsidR="005111C2" w:rsidRPr="00AB4289">
        <w:rPr>
          <w:sz w:val="28"/>
          <w:szCs w:val="28"/>
          <w:lang w:val="es-ES_tradnl"/>
        </w:rPr>
        <w:t xml:space="preserve"> más</w:t>
      </w:r>
      <w:r w:rsidRPr="00AB4289">
        <w:rPr>
          <w:sz w:val="28"/>
          <w:szCs w:val="28"/>
          <w:lang w:val="es-ES_tradnl"/>
        </w:rPr>
        <w:t xml:space="preserve"> limitad</w:t>
      </w:r>
      <w:r w:rsidR="0007790C" w:rsidRPr="00AB4289">
        <w:rPr>
          <w:sz w:val="28"/>
          <w:szCs w:val="28"/>
          <w:lang w:val="es-ES_tradnl"/>
        </w:rPr>
        <w:t>o</w:t>
      </w:r>
      <w:r w:rsidR="005111C2" w:rsidRPr="00AB4289">
        <w:rPr>
          <w:sz w:val="28"/>
          <w:szCs w:val="28"/>
          <w:lang w:val="es-ES_tradnl"/>
        </w:rPr>
        <w:t>s</w:t>
      </w:r>
      <w:r w:rsidRPr="00AB4289">
        <w:rPr>
          <w:sz w:val="28"/>
          <w:szCs w:val="28"/>
          <w:lang w:val="es-ES_tradnl"/>
        </w:rPr>
        <w:t xml:space="preserve"> en comparación con l</w:t>
      </w:r>
      <w:r w:rsidR="0007790C" w:rsidRPr="00AB4289">
        <w:rPr>
          <w:sz w:val="28"/>
          <w:szCs w:val="28"/>
          <w:lang w:val="es-ES_tradnl"/>
        </w:rPr>
        <w:t>o</w:t>
      </w:r>
      <w:r w:rsidR="005111C2" w:rsidRPr="00AB4289">
        <w:rPr>
          <w:sz w:val="28"/>
          <w:szCs w:val="28"/>
          <w:lang w:val="es-ES_tradnl"/>
        </w:rPr>
        <w:t>s</w:t>
      </w:r>
      <w:r w:rsidRPr="00AB4289">
        <w:rPr>
          <w:sz w:val="28"/>
          <w:szCs w:val="28"/>
          <w:lang w:val="es-ES_tradnl"/>
        </w:rPr>
        <w:t xml:space="preserve"> de otros ciudadanos, dada la necesidad de garantizar la transparencia y permitir el ejercicio del control y la crítica pública sobre su</w:t>
      </w:r>
      <w:r w:rsidR="005111C2" w:rsidRPr="00AB4289">
        <w:rPr>
          <w:sz w:val="28"/>
          <w:szCs w:val="28"/>
          <w:lang w:val="es-ES_tradnl"/>
        </w:rPr>
        <w:t>s</w:t>
      </w:r>
      <w:r w:rsidRPr="00AB4289">
        <w:rPr>
          <w:sz w:val="28"/>
          <w:szCs w:val="28"/>
          <w:lang w:val="es-ES_tradnl"/>
        </w:rPr>
        <w:t xml:space="preserve"> actuaci</w:t>
      </w:r>
      <w:r w:rsidR="005111C2" w:rsidRPr="00AB4289">
        <w:rPr>
          <w:sz w:val="28"/>
          <w:szCs w:val="28"/>
          <w:lang w:val="es-ES_tradnl"/>
        </w:rPr>
        <w:t>ones</w:t>
      </w:r>
      <w:r w:rsidRPr="00AB4289">
        <w:rPr>
          <w:sz w:val="28"/>
          <w:szCs w:val="28"/>
          <w:lang w:val="es-ES_tradnl"/>
        </w:rPr>
        <w:t>.</w:t>
      </w:r>
      <w:r w:rsidR="007D3AD7" w:rsidRPr="00AB4289">
        <w:rPr>
          <w:sz w:val="28"/>
          <w:szCs w:val="28"/>
          <w:lang w:val="es-ES_tradnl"/>
        </w:rPr>
        <w:t xml:space="preserve"> </w:t>
      </w:r>
      <w:r w:rsidR="00BE5C71" w:rsidRPr="00AB4289">
        <w:rPr>
          <w:sz w:val="28"/>
          <w:szCs w:val="28"/>
          <w:lang w:val="es-ES_tradnl"/>
        </w:rPr>
        <w:t xml:space="preserve">Muestra de ello es que, como se indicó en esta providencia, dicha información </w:t>
      </w:r>
      <w:r w:rsidR="0007790C" w:rsidRPr="00AB4289">
        <w:rPr>
          <w:sz w:val="28"/>
          <w:szCs w:val="28"/>
          <w:lang w:val="es-ES_tradnl"/>
        </w:rPr>
        <w:t>debe estar</w:t>
      </w:r>
      <w:r w:rsidR="00BE5C71" w:rsidRPr="00AB4289">
        <w:rPr>
          <w:sz w:val="28"/>
          <w:szCs w:val="28"/>
          <w:lang w:val="es-ES_tradnl"/>
        </w:rPr>
        <w:t xml:space="preserve"> disponible en el Portal de Transparencia de la Rama Judicial.</w:t>
      </w:r>
    </w:p>
    <w:p w14:paraId="440522E1" w14:textId="77777777" w:rsidR="00FC41CC" w:rsidRPr="00AB4289" w:rsidRDefault="00FC41CC" w:rsidP="00B40BE5">
      <w:pPr>
        <w:pStyle w:val="Prrafodelista"/>
        <w:jc w:val="both"/>
        <w:rPr>
          <w:sz w:val="28"/>
          <w:szCs w:val="28"/>
          <w:lang w:val="es-ES_tradnl"/>
        </w:rPr>
      </w:pPr>
    </w:p>
    <w:p w14:paraId="19BF3DE3" w14:textId="29BFA854" w:rsidR="006426EF" w:rsidRPr="00AB4289" w:rsidRDefault="00250F5C" w:rsidP="00B40BE5">
      <w:pPr>
        <w:pStyle w:val="NormalWeb"/>
        <w:numPr>
          <w:ilvl w:val="0"/>
          <w:numId w:val="2"/>
        </w:numPr>
        <w:tabs>
          <w:tab w:val="left" w:pos="0"/>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lastRenderedPageBreak/>
        <w:t xml:space="preserve">En cuanto a los soportes </w:t>
      </w:r>
      <w:r w:rsidR="00B3095C" w:rsidRPr="00AB4289">
        <w:rPr>
          <w:sz w:val="28"/>
          <w:szCs w:val="28"/>
          <w:lang w:val="es-ES_tradnl"/>
        </w:rPr>
        <w:t>de la información académica y laboral, la Corte considera que su entrega tampoco supone una afectación desproporcionada a</w:t>
      </w:r>
      <w:r w:rsidR="0007790C" w:rsidRPr="00AB4289">
        <w:rPr>
          <w:sz w:val="28"/>
          <w:szCs w:val="28"/>
          <w:lang w:val="es-ES_tradnl"/>
        </w:rPr>
        <w:t xml:space="preserve"> los</w:t>
      </w:r>
      <w:r w:rsidR="00B3095C" w:rsidRPr="00AB4289">
        <w:rPr>
          <w:sz w:val="28"/>
          <w:szCs w:val="28"/>
          <w:lang w:val="es-ES_tradnl"/>
        </w:rPr>
        <w:t xml:space="preserve"> derecho</w:t>
      </w:r>
      <w:r w:rsidR="0007790C" w:rsidRPr="00AB4289">
        <w:rPr>
          <w:sz w:val="28"/>
          <w:szCs w:val="28"/>
          <w:lang w:val="es-ES_tradnl"/>
        </w:rPr>
        <w:t>s</w:t>
      </w:r>
      <w:r w:rsidR="00B3095C" w:rsidRPr="00AB4289">
        <w:rPr>
          <w:sz w:val="28"/>
          <w:szCs w:val="28"/>
          <w:lang w:val="es-ES_tradnl"/>
        </w:rPr>
        <w:t xml:space="preserve"> a la intimidad</w:t>
      </w:r>
      <w:r w:rsidR="00BE5C71" w:rsidRPr="00AB4289">
        <w:rPr>
          <w:sz w:val="28"/>
          <w:szCs w:val="28"/>
          <w:lang w:val="es-ES_tradnl"/>
        </w:rPr>
        <w:t>,</w:t>
      </w:r>
      <w:r w:rsidR="00B3095C" w:rsidRPr="00AB4289">
        <w:rPr>
          <w:sz w:val="28"/>
          <w:szCs w:val="28"/>
          <w:lang w:val="es-ES_tradnl"/>
        </w:rPr>
        <w:t xml:space="preserve"> </w:t>
      </w:r>
      <w:r w:rsidR="0007790C" w:rsidRPr="00AB4289">
        <w:rPr>
          <w:sz w:val="28"/>
          <w:szCs w:val="28"/>
          <w:lang w:val="es-ES_tradnl"/>
        </w:rPr>
        <w:t xml:space="preserve">a la </w:t>
      </w:r>
      <w:r w:rsidR="00B3095C" w:rsidRPr="00AB4289">
        <w:rPr>
          <w:sz w:val="28"/>
          <w:szCs w:val="28"/>
          <w:lang w:val="es-ES_tradnl"/>
        </w:rPr>
        <w:t>privacidad y al hábeas data</w:t>
      </w:r>
      <w:r w:rsidR="00BE5C71" w:rsidRPr="00AB4289">
        <w:rPr>
          <w:sz w:val="28"/>
          <w:szCs w:val="28"/>
          <w:lang w:val="es-ES_tradnl"/>
        </w:rPr>
        <w:t xml:space="preserve"> de los magistrados</w:t>
      </w:r>
      <w:r w:rsidR="00B3095C" w:rsidRPr="00AB4289">
        <w:rPr>
          <w:sz w:val="28"/>
          <w:szCs w:val="28"/>
          <w:lang w:val="es-ES_tradnl"/>
        </w:rPr>
        <w:t xml:space="preserve">. En efecto, como se explicó, los diplomas </w:t>
      </w:r>
      <w:r w:rsidR="0007790C" w:rsidRPr="00AB4289">
        <w:rPr>
          <w:sz w:val="28"/>
          <w:szCs w:val="28"/>
          <w:lang w:val="es-ES_tradnl"/>
        </w:rPr>
        <w:t>contienen</w:t>
      </w:r>
      <w:r w:rsidR="00B3095C" w:rsidRPr="00AB4289">
        <w:rPr>
          <w:sz w:val="28"/>
          <w:szCs w:val="28"/>
          <w:lang w:val="es-ES_tradnl"/>
        </w:rPr>
        <w:t xml:space="preserve"> información de carácter público a l</w:t>
      </w:r>
      <w:r w:rsidR="00B32A03" w:rsidRPr="00AB4289">
        <w:rPr>
          <w:sz w:val="28"/>
          <w:szCs w:val="28"/>
          <w:lang w:val="es-ES_tradnl"/>
        </w:rPr>
        <w:t>a</w:t>
      </w:r>
      <w:r w:rsidR="00B3095C" w:rsidRPr="00AB4289">
        <w:rPr>
          <w:sz w:val="28"/>
          <w:szCs w:val="28"/>
          <w:lang w:val="es-ES_tradnl"/>
        </w:rPr>
        <w:t xml:space="preserve"> que tod</w:t>
      </w:r>
      <w:r w:rsidR="0096798D" w:rsidRPr="00AB4289">
        <w:rPr>
          <w:sz w:val="28"/>
          <w:szCs w:val="28"/>
          <w:lang w:val="es-ES_tradnl"/>
        </w:rPr>
        <w:t xml:space="preserve">a la ciudadanía </w:t>
      </w:r>
      <w:r w:rsidR="0007790C" w:rsidRPr="00AB4289">
        <w:rPr>
          <w:sz w:val="28"/>
          <w:szCs w:val="28"/>
          <w:lang w:val="es-ES_tradnl"/>
        </w:rPr>
        <w:t>tiene derecho a</w:t>
      </w:r>
      <w:r w:rsidR="001E6063" w:rsidRPr="00AB4289">
        <w:rPr>
          <w:sz w:val="28"/>
          <w:szCs w:val="28"/>
          <w:lang w:val="es-ES_tradnl"/>
        </w:rPr>
        <w:t xml:space="preserve"> conocer</w:t>
      </w:r>
      <w:r w:rsidR="002D009B" w:rsidRPr="00AB4289">
        <w:rPr>
          <w:rStyle w:val="Refdenotaalpie"/>
          <w:rFonts w:cs="Times New Roman"/>
          <w:sz w:val="28"/>
          <w:szCs w:val="28"/>
          <w:lang w:val="es-ES_tradnl"/>
        </w:rPr>
        <w:footnoteReference w:id="125"/>
      </w:r>
      <w:r w:rsidR="00B3095C" w:rsidRPr="00AB4289">
        <w:rPr>
          <w:sz w:val="28"/>
          <w:szCs w:val="28"/>
          <w:lang w:val="es-ES_tradnl"/>
        </w:rPr>
        <w:t>. Los certificados laborales, por regla general, tampoco incluyen información</w:t>
      </w:r>
      <w:r w:rsidR="0096798D" w:rsidRPr="00AB4289">
        <w:rPr>
          <w:sz w:val="28"/>
          <w:szCs w:val="28"/>
          <w:lang w:val="es-ES_tradnl"/>
        </w:rPr>
        <w:t xml:space="preserve"> personal y</w:t>
      </w:r>
      <w:r w:rsidR="00B3095C" w:rsidRPr="00AB4289">
        <w:rPr>
          <w:sz w:val="28"/>
          <w:szCs w:val="28"/>
          <w:lang w:val="es-ES_tradnl"/>
        </w:rPr>
        <w:t xml:space="preserve"> </w:t>
      </w:r>
      <w:r w:rsidR="0096798D" w:rsidRPr="00AB4289">
        <w:rPr>
          <w:sz w:val="28"/>
          <w:szCs w:val="28"/>
          <w:lang w:val="es-ES_tradnl"/>
        </w:rPr>
        <w:t xml:space="preserve">están relacionadas </w:t>
      </w:r>
      <w:r w:rsidR="00B3095C" w:rsidRPr="00AB4289">
        <w:rPr>
          <w:sz w:val="28"/>
          <w:szCs w:val="28"/>
          <w:lang w:val="es-ES_tradnl"/>
        </w:rPr>
        <w:t>con aspectos meramente profesionales</w:t>
      </w:r>
      <w:r w:rsidR="0007790C" w:rsidRPr="00AB4289">
        <w:rPr>
          <w:sz w:val="28"/>
          <w:szCs w:val="28"/>
          <w:lang w:val="es-ES_tradnl"/>
        </w:rPr>
        <w:t xml:space="preserve"> y laborales</w:t>
      </w:r>
      <w:r w:rsidR="00B32A03" w:rsidRPr="00AB4289">
        <w:rPr>
          <w:sz w:val="28"/>
          <w:szCs w:val="28"/>
          <w:lang w:val="es-ES_tradnl"/>
        </w:rPr>
        <w:t xml:space="preserve"> como </w:t>
      </w:r>
      <w:r w:rsidR="0007790C" w:rsidRPr="00AB4289">
        <w:rPr>
          <w:sz w:val="28"/>
          <w:szCs w:val="28"/>
          <w:lang w:val="es-ES_tradnl"/>
        </w:rPr>
        <w:t xml:space="preserve">la experiencia, </w:t>
      </w:r>
      <w:r w:rsidR="00B32A03" w:rsidRPr="00AB4289">
        <w:rPr>
          <w:sz w:val="28"/>
          <w:szCs w:val="28"/>
          <w:lang w:val="es-ES_tradnl"/>
        </w:rPr>
        <w:t xml:space="preserve">el período de trabajo </w:t>
      </w:r>
      <w:r w:rsidR="0007790C" w:rsidRPr="00AB4289">
        <w:rPr>
          <w:sz w:val="28"/>
          <w:szCs w:val="28"/>
          <w:lang w:val="es-ES_tradnl"/>
        </w:rPr>
        <w:t>o</w:t>
      </w:r>
      <w:r w:rsidR="00B32A03" w:rsidRPr="00AB4289">
        <w:rPr>
          <w:sz w:val="28"/>
          <w:szCs w:val="28"/>
          <w:lang w:val="es-ES_tradnl"/>
        </w:rPr>
        <w:t xml:space="preserve"> el tipo de vínculo laboral</w:t>
      </w:r>
      <w:r w:rsidR="002D009B" w:rsidRPr="00AB4289">
        <w:rPr>
          <w:rStyle w:val="Refdenotaalpie"/>
          <w:rFonts w:cs="Times New Roman"/>
          <w:sz w:val="28"/>
          <w:szCs w:val="28"/>
          <w:lang w:val="es-ES_tradnl"/>
        </w:rPr>
        <w:footnoteReference w:id="126"/>
      </w:r>
      <w:r w:rsidR="00B3095C" w:rsidRPr="00AB4289">
        <w:rPr>
          <w:sz w:val="28"/>
          <w:szCs w:val="28"/>
          <w:lang w:val="es-ES_tradnl"/>
        </w:rPr>
        <w:t>.</w:t>
      </w:r>
      <w:r w:rsidR="00D2146F" w:rsidRPr="00AB4289">
        <w:rPr>
          <w:sz w:val="28"/>
          <w:szCs w:val="28"/>
          <w:lang w:val="es-ES_tradnl"/>
        </w:rPr>
        <w:t xml:space="preserve"> </w:t>
      </w:r>
      <w:r w:rsidR="00FC41CC" w:rsidRPr="00AB4289">
        <w:rPr>
          <w:sz w:val="28"/>
          <w:szCs w:val="28"/>
          <w:lang w:val="es-ES_tradnl"/>
        </w:rPr>
        <w:t>Se trata de datos que, además, revisten</w:t>
      </w:r>
      <w:r w:rsidR="00535A31" w:rsidRPr="00AB4289">
        <w:rPr>
          <w:sz w:val="28"/>
          <w:szCs w:val="28"/>
          <w:lang w:val="es-ES_tradnl"/>
        </w:rPr>
        <w:t xml:space="preserve"> de</w:t>
      </w:r>
      <w:r w:rsidR="00FC41CC" w:rsidRPr="00AB4289">
        <w:rPr>
          <w:sz w:val="28"/>
          <w:szCs w:val="28"/>
          <w:lang w:val="es-ES_tradnl"/>
        </w:rPr>
        <w:t xml:space="preserve"> especial relevancia por cuanto permiten corroborar la veracidad de la información profesional</w:t>
      </w:r>
      <w:r w:rsidR="0007790C" w:rsidRPr="00AB4289">
        <w:rPr>
          <w:sz w:val="28"/>
          <w:szCs w:val="28"/>
          <w:lang w:val="es-ES_tradnl"/>
        </w:rPr>
        <w:t>, laboral y académica</w:t>
      </w:r>
      <w:r w:rsidR="00FC41CC" w:rsidRPr="00AB4289">
        <w:rPr>
          <w:sz w:val="28"/>
          <w:szCs w:val="28"/>
          <w:lang w:val="es-ES_tradnl"/>
        </w:rPr>
        <w:t xml:space="preserve"> de personas con alta exposición pública, respecto de quienes resulta particularmente importante conocer su trayectoria</w:t>
      </w:r>
      <w:r w:rsidR="0007790C" w:rsidRPr="00AB4289">
        <w:rPr>
          <w:sz w:val="28"/>
          <w:szCs w:val="28"/>
          <w:lang w:val="es-ES_tradnl"/>
        </w:rPr>
        <w:t xml:space="preserve"> en esos campos</w:t>
      </w:r>
      <w:r w:rsidR="00FC41CC" w:rsidRPr="00AB4289">
        <w:rPr>
          <w:sz w:val="28"/>
          <w:szCs w:val="28"/>
          <w:lang w:val="es-ES_tradnl"/>
        </w:rPr>
        <w:t>.</w:t>
      </w:r>
    </w:p>
    <w:p w14:paraId="0DAB192A" w14:textId="77777777" w:rsidR="0096798D" w:rsidRPr="00AB4289" w:rsidRDefault="0096798D" w:rsidP="00B40BE5">
      <w:pPr>
        <w:pStyle w:val="Prrafodelista"/>
        <w:jc w:val="both"/>
        <w:rPr>
          <w:sz w:val="28"/>
          <w:szCs w:val="28"/>
          <w:lang w:val="es-ES_tradnl"/>
        </w:rPr>
      </w:pPr>
    </w:p>
    <w:p w14:paraId="48D42563" w14:textId="5EF9AF73" w:rsidR="0096798D" w:rsidRPr="00AB4289" w:rsidRDefault="0096798D" w:rsidP="00B40BE5">
      <w:pPr>
        <w:pStyle w:val="NormalWeb"/>
        <w:numPr>
          <w:ilvl w:val="0"/>
          <w:numId w:val="2"/>
        </w:numPr>
        <w:tabs>
          <w:tab w:val="left" w:pos="0"/>
          <w:tab w:val="left" w:pos="426"/>
          <w:tab w:val="left" w:pos="567"/>
        </w:tabs>
        <w:spacing w:before="0" w:beforeAutospacing="0" w:after="0" w:afterAutospacing="0"/>
        <w:ind w:left="0" w:right="49" w:firstLine="0"/>
        <w:jc w:val="both"/>
        <w:rPr>
          <w:sz w:val="28"/>
          <w:szCs w:val="28"/>
          <w:lang w:val="es-ES_tradnl"/>
        </w:rPr>
      </w:pPr>
      <w:bookmarkStart w:id="28" w:name="OLE_LINK6"/>
      <w:r w:rsidRPr="00AB4289">
        <w:rPr>
          <w:sz w:val="28"/>
          <w:szCs w:val="28"/>
          <w:lang w:val="es-ES_tradnl"/>
        </w:rPr>
        <w:t xml:space="preserve">Es cierto que, eventualmente, dentro de la </w:t>
      </w:r>
      <w:r w:rsidR="002110CA">
        <w:rPr>
          <w:sz w:val="28"/>
          <w:szCs w:val="28"/>
          <w:lang w:val="es-ES_tradnl"/>
        </w:rPr>
        <w:t xml:space="preserve">hoja de vida </w:t>
      </w:r>
      <w:r w:rsidRPr="00AB4289">
        <w:rPr>
          <w:sz w:val="28"/>
          <w:szCs w:val="28"/>
          <w:lang w:val="es-ES_tradnl"/>
        </w:rPr>
        <w:t>de una persona pueden figurar datos de carácter personal, como la dirección de residencia o el número de teléfono</w:t>
      </w:r>
      <w:r w:rsidR="002D009B" w:rsidRPr="00AB4289">
        <w:rPr>
          <w:sz w:val="28"/>
          <w:szCs w:val="28"/>
          <w:lang w:val="es-ES_tradnl"/>
        </w:rPr>
        <w:t>,</w:t>
      </w:r>
      <w:r w:rsidRPr="00AB4289">
        <w:rPr>
          <w:sz w:val="28"/>
          <w:szCs w:val="28"/>
          <w:lang w:val="es-ES_tradnl"/>
        </w:rPr>
        <w:t xml:space="preserve"> que sí pueden exponer la seguridad personal o la intimidad de los magistrados.</w:t>
      </w:r>
      <w:r w:rsidR="002D009B" w:rsidRPr="00AB4289">
        <w:rPr>
          <w:sz w:val="28"/>
          <w:szCs w:val="28"/>
          <w:lang w:val="es-ES_tradnl"/>
        </w:rPr>
        <w:t xml:space="preserve"> </w:t>
      </w:r>
      <w:r w:rsidRPr="00AB4289">
        <w:rPr>
          <w:sz w:val="28"/>
          <w:szCs w:val="28"/>
          <w:lang w:val="es-ES_tradnl"/>
        </w:rPr>
        <w:t>No obstante,</w:t>
      </w:r>
      <w:r w:rsidR="002D009B" w:rsidRPr="00AB4289">
        <w:rPr>
          <w:sz w:val="28"/>
          <w:szCs w:val="28"/>
          <w:lang w:val="es-ES_tradnl"/>
        </w:rPr>
        <w:t xml:space="preserve"> el accionante manifestó que su interés se</w:t>
      </w:r>
      <w:r w:rsidRPr="00AB4289">
        <w:rPr>
          <w:sz w:val="28"/>
          <w:szCs w:val="28"/>
          <w:lang w:val="es-ES_tradnl"/>
        </w:rPr>
        <w:t xml:space="preserve"> centra exclusivamente en la verificación de la trayectoria profesional de los magistrados, y no en aspectos propios de su vida privada. </w:t>
      </w:r>
      <w:r w:rsidR="00B32A03" w:rsidRPr="00AB4289">
        <w:rPr>
          <w:sz w:val="28"/>
          <w:szCs w:val="28"/>
          <w:lang w:val="es-ES_tradnl"/>
        </w:rPr>
        <w:t xml:space="preserve">De manera que la Corte considera que, en el presente caso, </w:t>
      </w:r>
      <w:r w:rsidRPr="00AB4289">
        <w:rPr>
          <w:sz w:val="28"/>
          <w:szCs w:val="28"/>
          <w:lang w:val="es-ES_tradnl"/>
        </w:rPr>
        <w:t>es posible entregar la información solicitada</w:t>
      </w:r>
      <w:r w:rsidR="002D009B" w:rsidRPr="00AB4289">
        <w:rPr>
          <w:sz w:val="28"/>
          <w:szCs w:val="28"/>
          <w:lang w:val="es-ES_tradnl"/>
        </w:rPr>
        <w:t>,</w:t>
      </w:r>
      <w:r w:rsidRPr="00AB4289">
        <w:rPr>
          <w:sz w:val="28"/>
          <w:szCs w:val="28"/>
          <w:lang w:val="es-ES_tradnl"/>
        </w:rPr>
        <w:t xml:space="preserve"> </w:t>
      </w:r>
      <w:r w:rsidR="00B32A03" w:rsidRPr="00AB4289">
        <w:rPr>
          <w:sz w:val="28"/>
          <w:szCs w:val="28"/>
          <w:lang w:val="es-ES_tradnl"/>
        </w:rPr>
        <w:t xml:space="preserve">y simplemente es necesario omitir </w:t>
      </w:r>
      <w:r w:rsidRPr="00AB4289">
        <w:rPr>
          <w:sz w:val="28"/>
          <w:szCs w:val="28"/>
          <w:lang w:val="es-ES_tradnl"/>
        </w:rPr>
        <w:t>aquellos datos estrictamente</w:t>
      </w:r>
      <w:r w:rsidR="002D009B" w:rsidRPr="00AB4289">
        <w:rPr>
          <w:sz w:val="28"/>
          <w:szCs w:val="28"/>
          <w:lang w:val="es-ES_tradnl"/>
        </w:rPr>
        <w:t xml:space="preserve"> privados que eventualmente figuren en la</w:t>
      </w:r>
      <w:r w:rsidR="002110CA">
        <w:rPr>
          <w:sz w:val="28"/>
          <w:szCs w:val="28"/>
          <w:lang w:val="es-ES_tradnl"/>
        </w:rPr>
        <w:t xml:space="preserve"> hoja de vida</w:t>
      </w:r>
      <w:r w:rsidRPr="00AB4289">
        <w:rPr>
          <w:sz w:val="28"/>
          <w:szCs w:val="28"/>
          <w:lang w:val="es-ES_tradnl"/>
        </w:rPr>
        <w:t xml:space="preserve">. Bajo este supuesto, no se configura una afectación desproporcionada a los derechos a la intimidad, </w:t>
      </w:r>
      <w:r w:rsidR="0007790C" w:rsidRPr="00AB4289">
        <w:rPr>
          <w:sz w:val="28"/>
          <w:szCs w:val="28"/>
          <w:lang w:val="es-ES_tradnl"/>
        </w:rPr>
        <w:t xml:space="preserve">a la </w:t>
      </w:r>
      <w:r w:rsidRPr="00AB4289">
        <w:rPr>
          <w:sz w:val="28"/>
          <w:szCs w:val="28"/>
          <w:lang w:val="es-ES_tradnl"/>
        </w:rPr>
        <w:t xml:space="preserve">privacidad o </w:t>
      </w:r>
      <w:r w:rsidR="0007790C" w:rsidRPr="00AB4289">
        <w:rPr>
          <w:sz w:val="28"/>
          <w:szCs w:val="28"/>
          <w:lang w:val="es-ES_tradnl"/>
        </w:rPr>
        <w:t xml:space="preserve">al </w:t>
      </w:r>
      <w:r w:rsidRPr="00AB4289">
        <w:rPr>
          <w:sz w:val="28"/>
          <w:szCs w:val="28"/>
          <w:lang w:val="es-ES_tradnl"/>
        </w:rPr>
        <w:t xml:space="preserve">hábeas data de los magistrados. </w:t>
      </w:r>
    </w:p>
    <w:bookmarkEnd w:id="28"/>
    <w:p w14:paraId="04C0CF87" w14:textId="77777777" w:rsidR="0096798D" w:rsidRPr="00AB4289" w:rsidRDefault="0096798D" w:rsidP="00B40BE5">
      <w:pPr>
        <w:pStyle w:val="NormalWeb"/>
        <w:tabs>
          <w:tab w:val="left" w:pos="0"/>
          <w:tab w:val="left" w:pos="426"/>
          <w:tab w:val="left" w:pos="567"/>
        </w:tabs>
        <w:spacing w:before="0" w:beforeAutospacing="0" w:after="0" w:afterAutospacing="0"/>
        <w:ind w:right="49"/>
        <w:jc w:val="both"/>
        <w:rPr>
          <w:sz w:val="28"/>
          <w:szCs w:val="28"/>
          <w:lang w:val="es-ES_tradnl"/>
        </w:rPr>
      </w:pPr>
    </w:p>
    <w:p w14:paraId="543F2066" w14:textId="3E110F3F" w:rsidR="00020B47" w:rsidRPr="00AB4289" w:rsidRDefault="00020B47" w:rsidP="00B40BE5">
      <w:pPr>
        <w:pStyle w:val="NormalWeb"/>
        <w:numPr>
          <w:ilvl w:val="0"/>
          <w:numId w:val="2"/>
        </w:numPr>
        <w:tabs>
          <w:tab w:val="left" w:pos="0"/>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 xml:space="preserve"> </w:t>
      </w:r>
      <w:r w:rsidR="0007790C" w:rsidRPr="00AB4289">
        <w:rPr>
          <w:sz w:val="28"/>
          <w:szCs w:val="28"/>
          <w:lang w:val="es-ES_tradnl"/>
        </w:rPr>
        <w:t>En conclusión</w:t>
      </w:r>
      <w:r w:rsidRPr="00AB4289">
        <w:rPr>
          <w:sz w:val="28"/>
          <w:szCs w:val="28"/>
          <w:lang w:val="es-ES_tradnl"/>
        </w:rPr>
        <w:t>, si no se publica la información sobre las hojas de vida</w:t>
      </w:r>
      <w:r w:rsidR="00B3095C" w:rsidRPr="00AB4289">
        <w:rPr>
          <w:sz w:val="28"/>
          <w:szCs w:val="28"/>
          <w:lang w:val="es-ES_tradnl"/>
        </w:rPr>
        <w:t xml:space="preserve"> y sus respectivos soportes</w:t>
      </w:r>
      <w:r w:rsidRPr="00AB4289">
        <w:rPr>
          <w:sz w:val="28"/>
          <w:szCs w:val="28"/>
          <w:lang w:val="es-ES_tradnl"/>
        </w:rPr>
        <w:t xml:space="preserve">, </w:t>
      </w:r>
      <w:r w:rsidR="0007790C" w:rsidRPr="00AB4289">
        <w:rPr>
          <w:sz w:val="28"/>
          <w:szCs w:val="28"/>
          <w:lang w:val="es-ES_tradnl"/>
        </w:rPr>
        <w:t>se afecta</w:t>
      </w:r>
      <w:r w:rsidRPr="00AB4289">
        <w:rPr>
          <w:sz w:val="28"/>
          <w:szCs w:val="28"/>
          <w:lang w:val="es-ES_tradnl"/>
        </w:rPr>
        <w:t xml:space="preserve"> de manera grave el derecho de acceso a la información </w:t>
      </w:r>
      <w:r w:rsidR="002E7FAE" w:rsidRPr="00AB4289">
        <w:rPr>
          <w:sz w:val="28"/>
          <w:szCs w:val="28"/>
          <w:lang w:val="es-ES_tradnl"/>
        </w:rPr>
        <w:t xml:space="preserve">y </w:t>
      </w:r>
      <w:r w:rsidR="0007790C" w:rsidRPr="00AB4289">
        <w:rPr>
          <w:sz w:val="28"/>
          <w:szCs w:val="28"/>
          <w:lang w:val="es-ES_tradnl"/>
        </w:rPr>
        <w:t xml:space="preserve">la </w:t>
      </w:r>
      <w:r w:rsidRPr="00AB4289">
        <w:rPr>
          <w:sz w:val="28"/>
          <w:szCs w:val="28"/>
          <w:lang w:val="es-ES_tradnl"/>
        </w:rPr>
        <w:t>del señor Juan Pablo Barrientos. En cambio, la divulgación de esta información</w:t>
      </w:r>
      <w:r w:rsidR="00D57D2D" w:rsidRPr="00AB4289">
        <w:rPr>
          <w:sz w:val="28"/>
          <w:szCs w:val="28"/>
          <w:lang w:val="es-ES_tradnl"/>
        </w:rPr>
        <w:t xml:space="preserve"> -limita</w:t>
      </w:r>
      <w:r w:rsidR="0007790C" w:rsidRPr="00AB4289">
        <w:rPr>
          <w:sz w:val="28"/>
          <w:szCs w:val="28"/>
          <w:lang w:val="es-ES_tradnl"/>
        </w:rPr>
        <w:t>da</w:t>
      </w:r>
      <w:r w:rsidR="00D57D2D" w:rsidRPr="00AB4289">
        <w:rPr>
          <w:sz w:val="28"/>
          <w:szCs w:val="28"/>
          <w:lang w:val="es-ES_tradnl"/>
        </w:rPr>
        <w:t xml:space="preserve"> a lo profesional,</w:t>
      </w:r>
      <w:r w:rsidR="0007790C" w:rsidRPr="00AB4289">
        <w:rPr>
          <w:sz w:val="28"/>
          <w:szCs w:val="28"/>
          <w:lang w:val="es-ES_tradnl"/>
        </w:rPr>
        <w:t xml:space="preserve"> laboral y académico,</w:t>
      </w:r>
      <w:r w:rsidR="00D57D2D" w:rsidRPr="00AB4289">
        <w:rPr>
          <w:sz w:val="28"/>
          <w:szCs w:val="28"/>
          <w:lang w:val="es-ES_tradnl"/>
        </w:rPr>
        <w:t xml:space="preserve"> como lo pretende el accionante</w:t>
      </w:r>
      <w:r w:rsidR="002D009B" w:rsidRPr="00AB4289">
        <w:rPr>
          <w:sz w:val="28"/>
          <w:szCs w:val="28"/>
          <w:lang w:val="es-ES_tradnl"/>
        </w:rPr>
        <w:t>-</w:t>
      </w:r>
      <w:r w:rsidR="00D57D2D" w:rsidRPr="00AB4289">
        <w:rPr>
          <w:sz w:val="28"/>
          <w:szCs w:val="28"/>
          <w:lang w:val="es-ES_tradnl"/>
        </w:rPr>
        <w:t>,</w:t>
      </w:r>
      <w:r w:rsidRPr="00AB4289">
        <w:rPr>
          <w:sz w:val="28"/>
          <w:szCs w:val="28"/>
          <w:lang w:val="es-ES_tradnl"/>
        </w:rPr>
        <w:t xml:space="preserve"> no supone una intromisión grave a la vida personal y privada de los magistrados</w:t>
      </w:r>
      <w:r w:rsidR="0007790C" w:rsidRPr="00AB4289">
        <w:rPr>
          <w:sz w:val="28"/>
          <w:szCs w:val="28"/>
          <w:lang w:val="es-ES_tradnl"/>
        </w:rPr>
        <w:t>. E</w:t>
      </w:r>
      <w:r w:rsidRPr="00AB4289">
        <w:rPr>
          <w:sz w:val="28"/>
          <w:szCs w:val="28"/>
          <w:lang w:val="es-ES_tradnl"/>
        </w:rPr>
        <w:t>n esa medida</w:t>
      </w:r>
      <w:r w:rsidR="0007790C" w:rsidRPr="00AB4289">
        <w:rPr>
          <w:sz w:val="28"/>
          <w:szCs w:val="28"/>
          <w:lang w:val="es-ES_tradnl"/>
        </w:rPr>
        <w:t>, la entrega de la información solicitada</w:t>
      </w:r>
      <w:r w:rsidRPr="00AB4289">
        <w:rPr>
          <w:sz w:val="28"/>
          <w:szCs w:val="28"/>
          <w:lang w:val="es-ES_tradnl"/>
        </w:rPr>
        <w:t xml:space="preserve"> no supone una afectación desproporcionada </w:t>
      </w:r>
      <w:r w:rsidR="0007790C" w:rsidRPr="00AB4289">
        <w:rPr>
          <w:sz w:val="28"/>
          <w:szCs w:val="28"/>
          <w:lang w:val="es-ES_tradnl"/>
        </w:rPr>
        <w:t>a los</w:t>
      </w:r>
      <w:r w:rsidRPr="00AB4289">
        <w:rPr>
          <w:sz w:val="28"/>
          <w:szCs w:val="28"/>
          <w:lang w:val="es-ES_tradnl"/>
        </w:rPr>
        <w:t xml:space="preserve"> derechos a la intimidad</w:t>
      </w:r>
      <w:r w:rsidR="005111C2" w:rsidRPr="00AB4289">
        <w:rPr>
          <w:sz w:val="28"/>
          <w:szCs w:val="28"/>
          <w:lang w:val="es-ES_tradnl"/>
        </w:rPr>
        <w:t>, a la privacidad</w:t>
      </w:r>
      <w:r w:rsidRPr="00AB4289">
        <w:rPr>
          <w:sz w:val="28"/>
          <w:szCs w:val="28"/>
          <w:lang w:val="es-ES_tradnl"/>
        </w:rPr>
        <w:t xml:space="preserve"> y </w:t>
      </w:r>
      <w:r w:rsidR="005111C2" w:rsidRPr="00AB4289">
        <w:rPr>
          <w:sz w:val="28"/>
          <w:szCs w:val="28"/>
          <w:lang w:val="es-ES_tradnl"/>
        </w:rPr>
        <w:t>a</w:t>
      </w:r>
      <w:r w:rsidRPr="00AB4289">
        <w:rPr>
          <w:sz w:val="28"/>
          <w:szCs w:val="28"/>
          <w:lang w:val="es-ES_tradnl"/>
        </w:rPr>
        <w:t>l hábeas data</w:t>
      </w:r>
      <w:r w:rsidR="0007790C" w:rsidRPr="00AB4289">
        <w:rPr>
          <w:sz w:val="28"/>
          <w:szCs w:val="28"/>
          <w:lang w:val="es-ES_tradnl"/>
        </w:rPr>
        <w:t xml:space="preserve"> de esos funcionarios</w:t>
      </w:r>
      <w:r w:rsidRPr="00AB4289">
        <w:rPr>
          <w:sz w:val="28"/>
          <w:szCs w:val="28"/>
          <w:lang w:val="es-ES_tradnl"/>
        </w:rPr>
        <w:t xml:space="preserve">. </w:t>
      </w:r>
    </w:p>
    <w:p w14:paraId="0F34719B" w14:textId="77777777" w:rsidR="00020B47" w:rsidRPr="00AB4289" w:rsidRDefault="00020B47" w:rsidP="00B40BE5">
      <w:pPr>
        <w:pStyle w:val="NormalWeb"/>
        <w:tabs>
          <w:tab w:val="left" w:pos="0"/>
          <w:tab w:val="left" w:pos="426"/>
          <w:tab w:val="left" w:pos="567"/>
        </w:tabs>
        <w:spacing w:before="0" w:beforeAutospacing="0" w:after="0" w:afterAutospacing="0"/>
        <w:ind w:right="49"/>
        <w:jc w:val="both"/>
        <w:rPr>
          <w:sz w:val="28"/>
          <w:szCs w:val="28"/>
          <w:lang w:val="es-ES_tradnl"/>
        </w:rPr>
      </w:pPr>
    </w:p>
    <w:p w14:paraId="2B868BA0" w14:textId="6C411F6A" w:rsidR="005A6022" w:rsidRPr="00AB4289" w:rsidRDefault="00D57D2D" w:rsidP="00B40BE5">
      <w:pPr>
        <w:pStyle w:val="NormalWeb"/>
        <w:numPr>
          <w:ilvl w:val="0"/>
          <w:numId w:val="2"/>
        </w:numPr>
        <w:tabs>
          <w:tab w:val="left" w:pos="0"/>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 xml:space="preserve"> </w:t>
      </w:r>
      <w:r w:rsidR="0007790C" w:rsidRPr="00AB4289">
        <w:rPr>
          <w:sz w:val="28"/>
          <w:szCs w:val="28"/>
          <w:lang w:val="es-ES_tradnl"/>
        </w:rPr>
        <w:t>Por lo tanto,</w:t>
      </w:r>
      <w:r w:rsidR="00D837E7" w:rsidRPr="00AB4289">
        <w:rPr>
          <w:sz w:val="28"/>
          <w:szCs w:val="28"/>
          <w:lang w:val="es-ES_tradnl"/>
        </w:rPr>
        <w:t xml:space="preserve"> se concluye que</w:t>
      </w:r>
      <w:r w:rsidR="0007790C" w:rsidRPr="00AB4289">
        <w:rPr>
          <w:sz w:val="28"/>
          <w:szCs w:val="28"/>
          <w:lang w:val="es-ES_tradnl"/>
        </w:rPr>
        <w:t xml:space="preserve"> </w:t>
      </w:r>
      <w:r w:rsidR="002D009B" w:rsidRPr="00AB4289">
        <w:rPr>
          <w:sz w:val="28"/>
          <w:szCs w:val="28"/>
          <w:lang w:val="es-ES_tradnl"/>
        </w:rPr>
        <w:t>la Corte</w:t>
      </w:r>
      <w:r w:rsidRPr="00AB4289">
        <w:rPr>
          <w:sz w:val="28"/>
          <w:szCs w:val="28"/>
          <w:lang w:val="es-ES_tradnl"/>
        </w:rPr>
        <w:t xml:space="preserve"> Suprema de Justicia vulneró </w:t>
      </w:r>
      <w:r w:rsidR="005A6022" w:rsidRPr="00AB4289">
        <w:rPr>
          <w:sz w:val="28"/>
          <w:szCs w:val="28"/>
          <w:lang w:val="es-ES_tradnl"/>
        </w:rPr>
        <w:t>los</w:t>
      </w:r>
      <w:r w:rsidRPr="00AB4289">
        <w:rPr>
          <w:sz w:val="28"/>
          <w:szCs w:val="28"/>
          <w:lang w:val="es-ES_tradnl"/>
        </w:rPr>
        <w:t xml:space="preserve"> derecho</w:t>
      </w:r>
      <w:r w:rsidR="005A6022" w:rsidRPr="00AB4289">
        <w:rPr>
          <w:sz w:val="28"/>
          <w:szCs w:val="28"/>
          <w:lang w:val="es-ES_tradnl"/>
        </w:rPr>
        <w:t>s</w:t>
      </w:r>
      <w:r w:rsidRPr="00AB4289">
        <w:rPr>
          <w:sz w:val="28"/>
          <w:szCs w:val="28"/>
          <w:lang w:val="es-ES_tradnl"/>
        </w:rPr>
        <w:t xml:space="preserve"> al acceso a la información</w:t>
      </w:r>
      <w:r w:rsidR="00535A31" w:rsidRPr="00AB4289">
        <w:rPr>
          <w:sz w:val="28"/>
          <w:szCs w:val="28"/>
          <w:lang w:val="es-ES_tradnl"/>
        </w:rPr>
        <w:t xml:space="preserve"> pública</w:t>
      </w:r>
      <w:r w:rsidR="00A55AF4" w:rsidRPr="00AB4289">
        <w:rPr>
          <w:sz w:val="28"/>
          <w:szCs w:val="28"/>
          <w:lang w:val="es-ES_tradnl"/>
        </w:rPr>
        <w:t>, de</w:t>
      </w:r>
      <w:r w:rsidR="00837A28" w:rsidRPr="00AB4289">
        <w:rPr>
          <w:sz w:val="28"/>
          <w:szCs w:val="28"/>
          <w:lang w:val="es-ES_tradnl"/>
        </w:rPr>
        <w:t xml:space="preserve"> petición</w:t>
      </w:r>
      <w:r w:rsidR="005A6022" w:rsidRPr="00AB4289">
        <w:rPr>
          <w:sz w:val="28"/>
          <w:szCs w:val="28"/>
          <w:lang w:val="es-ES_tradnl"/>
        </w:rPr>
        <w:t xml:space="preserve"> y </w:t>
      </w:r>
      <w:r w:rsidR="00A55AF4" w:rsidRPr="00AB4289">
        <w:rPr>
          <w:sz w:val="28"/>
          <w:szCs w:val="28"/>
          <w:lang w:val="es-ES_tradnl"/>
        </w:rPr>
        <w:t>de</w:t>
      </w:r>
      <w:r w:rsidR="005A6022" w:rsidRPr="00AB4289">
        <w:rPr>
          <w:sz w:val="28"/>
          <w:szCs w:val="28"/>
          <w:lang w:val="es-ES_tradnl"/>
        </w:rPr>
        <w:t xml:space="preserve"> libertad de expresión</w:t>
      </w:r>
      <w:r w:rsidR="002D009B" w:rsidRPr="00AB4289">
        <w:rPr>
          <w:sz w:val="28"/>
          <w:szCs w:val="28"/>
          <w:lang w:val="es-ES_tradnl"/>
        </w:rPr>
        <w:t xml:space="preserve"> del</w:t>
      </w:r>
      <w:r w:rsidRPr="00AB4289">
        <w:rPr>
          <w:sz w:val="28"/>
          <w:szCs w:val="28"/>
          <w:lang w:val="es-ES_tradnl"/>
        </w:rPr>
        <w:t xml:space="preserve"> accionante</w:t>
      </w:r>
      <w:r w:rsidR="0007790C" w:rsidRPr="00AB4289">
        <w:rPr>
          <w:sz w:val="28"/>
          <w:szCs w:val="28"/>
          <w:lang w:val="es-ES_tradnl"/>
        </w:rPr>
        <w:t xml:space="preserve">. Por un lado, no </w:t>
      </w:r>
      <w:r w:rsidRPr="00AB4289">
        <w:rPr>
          <w:sz w:val="28"/>
          <w:szCs w:val="28"/>
          <w:lang w:val="es-ES_tradnl"/>
        </w:rPr>
        <w:t>justific</w:t>
      </w:r>
      <w:r w:rsidR="0007790C" w:rsidRPr="00AB4289">
        <w:rPr>
          <w:sz w:val="28"/>
          <w:szCs w:val="28"/>
          <w:lang w:val="es-ES_tradnl"/>
        </w:rPr>
        <w:t>ó</w:t>
      </w:r>
      <w:r w:rsidRPr="00AB4289">
        <w:rPr>
          <w:sz w:val="28"/>
          <w:szCs w:val="28"/>
          <w:lang w:val="es-ES_tradnl"/>
        </w:rPr>
        <w:t xml:space="preserve"> de manera suficiente el rechazo de la entrega de la información</w:t>
      </w:r>
      <w:r w:rsidR="005A6022" w:rsidRPr="00AB4289">
        <w:rPr>
          <w:sz w:val="28"/>
          <w:szCs w:val="28"/>
          <w:lang w:val="es-ES_tradnl"/>
        </w:rPr>
        <w:t>, que es vital para llevar a cabo una investigación periodística de alta relevancia social</w:t>
      </w:r>
      <w:r w:rsidR="00AB4289" w:rsidRPr="00AB4289">
        <w:rPr>
          <w:sz w:val="28"/>
          <w:szCs w:val="28"/>
          <w:lang w:val="es-ES_tradnl"/>
        </w:rPr>
        <w:t xml:space="preserve"> y que es requisito para que la petición del accionante se pueda considerar resuelta de fondo</w:t>
      </w:r>
      <w:r w:rsidR="002D009B" w:rsidRPr="00AB4289">
        <w:rPr>
          <w:sz w:val="28"/>
          <w:szCs w:val="28"/>
          <w:lang w:val="es-ES_tradnl"/>
        </w:rPr>
        <w:t xml:space="preserve">. </w:t>
      </w:r>
      <w:r w:rsidR="0007790C" w:rsidRPr="00AB4289">
        <w:rPr>
          <w:sz w:val="28"/>
          <w:szCs w:val="28"/>
          <w:lang w:val="es-ES_tradnl"/>
        </w:rPr>
        <w:t>Por otro lado</w:t>
      </w:r>
      <w:r w:rsidR="002D009B" w:rsidRPr="00AB4289">
        <w:rPr>
          <w:sz w:val="28"/>
          <w:szCs w:val="28"/>
          <w:lang w:val="es-ES_tradnl"/>
        </w:rPr>
        <w:t xml:space="preserve">, se demostró que la entrega </w:t>
      </w:r>
      <w:r w:rsidR="0007790C" w:rsidRPr="00AB4289">
        <w:rPr>
          <w:sz w:val="28"/>
          <w:szCs w:val="28"/>
          <w:lang w:val="es-ES_tradnl"/>
        </w:rPr>
        <w:t>de las hojas de vida</w:t>
      </w:r>
      <w:r w:rsidR="005A6022" w:rsidRPr="00AB4289">
        <w:rPr>
          <w:sz w:val="28"/>
          <w:szCs w:val="28"/>
          <w:lang w:val="es-ES_tradnl"/>
        </w:rPr>
        <w:t xml:space="preserve"> de los magistrados, junto con sus respectivos soportes, </w:t>
      </w:r>
      <w:r w:rsidR="002D009B" w:rsidRPr="00AB4289">
        <w:rPr>
          <w:sz w:val="28"/>
          <w:szCs w:val="28"/>
          <w:lang w:val="es-ES_tradnl"/>
        </w:rPr>
        <w:t>no supone una afectación desproporcionada de los derechos de los magistrados de la Corte Suprema</w:t>
      </w:r>
      <w:r w:rsidR="005A6022" w:rsidRPr="00AB4289">
        <w:rPr>
          <w:sz w:val="28"/>
          <w:szCs w:val="28"/>
          <w:lang w:val="es-ES_tradnl"/>
        </w:rPr>
        <w:t xml:space="preserve"> de Justicia a la privacidad, la intimidad y el hábeas data</w:t>
      </w:r>
      <w:r w:rsidR="002D009B" w:rsidRPr="00AB4289">
        <w:rPr>
          <w:sz w:val="28"/>
          <w:szCs w:val="28"/>
          <w:lang w:val="es-ES_tradnl"/>
        </w:rPr>
        <w:t xml:space="preserve">. </w:t>
      </w:r>
      <w:r w:rsidR="005A6022" w:rsidRPr="00AB4289">
        <w:rPr>
          <w:sz w:val="28"/>
          <w:szCs w:val="28"/>
          <w:lang w:val="es-ES_tradnl"/>
        </w:rPr>
        <w:t xml:space="preserve">Los remedios que se adoptarán frente a esta </w:t>
      </w:r>
      <w:proofErr w:type="gramStart"/>
      <w:r w:rsidR="005A6022" w:rsidRPr="00AB4289">
        <w:rPr>
          <w:sz w:val="28"/>
          <w:szCs w:val="28"/>
          <w:lang w:val="es-ES_tradnl"/>
        </w:rPr>
        <w:t>situación,</w:t>
      </w:r>
      <w:proofErr w:type="gramEnd"/>
      <w:r w:rsidR="005A6022" w:rsidRPr="00AB4289">
        <w:rPr>
          <w:sz w:val="28"/>
          <w:szCs w:val="28"/>
          <w:lang w:val="es-ES_tradnl"/>
        </w:rPr>
        <w:t xml:space="preserve"> serán expuestos en la última parte de esta sentencia, luego de que se analice lo relacionado con las declaraciones del impuesto sobre la renta, de las declaraciones de bienes y rentas y de los registros de conflictos de interés solicitados por el peticionario. </w:t>
      </w:r>
    </w:p>
    <w:p w14:paraId="43C339E6" w14:textId="77777777" w:rsidR="00020B47" w:rsidRPr="00AB4289" w:rsidRDefault="00020B47" w:rsidP="00B40BE5">
      <w:pPr>
        <w:pStyle w:val="NormalWeb"/>
        <w:tabs>
          <w:tab w:val="left" w:pos="0"/>
          <w:tab w:val="left" w:pos="426"/>
          <w:tab w:val="left" w:pos="567"/>
        </w:tabs>
        <w:spacing w:before="0" w:beforeAutospacing="0" w:after="0" w:afterAutospacing="0"/>
        <w:ind w:right="49"/>
        <w:jc w:val="both"/>
        <w:rPr>
          <w:sz w:val="28"/>
          <w:szCs w:val="28"/>
          <w:lang w:val="es-ES_tradnl"/>
        </w:rPr>
      </w:pPr>
    </w:p>
    <w:p w14:paraId="3390FA42" w14:textId="21399101" w:rsidR="00020B47" w:rsidRPr="00AB4289" w:rsidRDefault="00020B47" w:rsidP="00B40BE5">
      <w:pPr>
        <w:pStyle w:val="Ttulo2"/>
        <w:numPr>
          <w:ilvl w:val="0"/>
          <w:numId w:val="43"/>
        </w:numPr>
        <w:spacing w:before="0" w:after="0"/>
        <w:jc w:val="both"/>
        <w:rPr>
          <w:rFonts w:ascii="Times New Roman" w:hAnsi="Times New Roman" w:cs="Times New Roman"/>
          <w:b/>
          <w:bCs/>
          <w:color w:val="000000" w:themeColor="text1"/>
          <w:sz w:val="28"/>
          <w:szCs w:val="28"/>
          <w:lang w:val="es-ES_tradnl"/>
        </w:rPr>
      </w:pPr>
      <w:bookmarkStart w:id="29" w:name="_Toc210202234"/>
      <w:r w:rsidRPr="00AB4289">
        <w:rPr>
          <w:rFonts w:ascii="Times New Roman" w:hAnsi="Times New Roman" w:cs="Times New Roman"/>
          <w:b/>
          <w:bCs/>
          <w:color w:val="000000" w:themeColor="text1"/>
          <w:sz w:val="28"/>
          <w:szCs w:val="28"/>
          <w:lang w:val="es-ES_tradnl"/>
        </w:rPr>
        <w:t xml:space="preserve">Las declaraciones </w:t>
      </w:r>
      <w:r w:rsidR="005A6022" w:rsidRPr="00AB4289">
        <w:rPr>
          <w:rFonts w:ascii="Times New Roman" w:hAnsi="Times New Roman" w:cs="Times New Roman"/>
          <w:b/>
          <w:bCs/>
          <w:color w:val="000000" w:themeColor="text1"/>
          <w:sz w:val="28"/>
          <w:szCs w:val="28"/>
          <w:lang w:val="es-ES_tradnl"/>
        </w:rPr>
        <w:t>del impuesto sobre la</w:t>
      </w:r>
      <w:r w:rsidRPr="00AB4289">
        <w:rPr>
          <w:rFonts w:ascii="Times New Roman" w:hAnsi="Times New Roman" w:cs="Times New Roman"/>
          <w:b/>
          <w:bCs/>
          <w:color w:val="000000" w:themeColor="text1"/>
          <w:sz w:val="28"/>
          <w:szCs w:val="28"/>
          <w:lang w:val="es-ES_tradnl"/>
        </w:rPr>
        <w:t xml:space="preserve"> renta, las declaraciones de bienes</w:t>
      </w:r>
      <w:r w:rsidR="005A6022" w:rsidRPr="00AB4289">
        <w:rPr>
          <w:rFonts w:ascii="Times New Roman" w:hAnsi="Times New Roman" w:cs="Times New Roman"/>
          <w:b/>
          <w:bCs/>
          <w:color w:val="000000" w:themeColor="text1"/>
          <w:sz w:val="28"/>
          <w:szCs w:val="28"/>
          <w:lang w:val="es-ES_tradnl"/>
        </w:rPr>
        <w:t xml:space="preserve"> y rentas</w:t>
      </w:r>
      <w:r w:rsidRPr="00AB4289">
        <w:rPr>
          <w:rFonts w:ascii="Times New Roman" w:hAnsi="Times New Roman" w:cs="Times New Roman"/>
          <w:b/>
          <w:bCs/>
          <w:color w:val="000000" w:themeColor="text1"/>
          <w:sz w:val="28"/>
          <w:szCs w:val="28"/>
          <w:lang w:val="es-ES_tradnl"/>
        </w:rPr>
        <w:t xml:space="preserve"> y lo</w:t>
      </w:r>
      <w:r w:rsidR="005A6022" w:rsidRPr="00AB4289">
        <w:rPr>
          <w:rFonts w:ascii="Times New Roman" w:hAnsi="Times New Roman" w:cs="Times New Roman"/>
          <w:b/>
          <w:bCs/>
          <w:color w:val="000000" w:themeColor="text1"/>
          <w:sz w:val="28"/>
          <w:szCs w:val="28"/>
          <w:lang w:val="es-ES_tradnl"/>
        </w:rPr>
        <w:t>s registros de</w:t>
      </w:r>
      <w:r w:rsidRPr="00AB4289">
        <w:rPr>
          <w:rFonts w:ascii="Times New Roman" w:hAnsi="Times New Roman" w:cs="Times New Roman"/>
          <w:b/>
          <w:bCs/>
          <w:color w:val="000000" w:themeColor="text1"/>
          <w:sz w:val="28"/>
          <w:szCs w:val="28"/>
          <w:lang w:val="es-ES_tradnl"/>
        </w:rPr>
        <w:t xml:space="preserve"> conflictos de interés de los magistrados</w:t>
      </w:r>
      <w:bookmarkEnd w:id="29"/>
    </w:p>
    <w:p w14:paraId="5BDD7750" w14:textId="77777777" w:rsidR="00020B47" w:rsidRPr="00AB4289" w:rsidRDefault="00020B47"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5A3720E3" w14:textId="2C6DA9A2" w:rsidR="00020B47" w:rsidRPr="00AB4289" w:rsidRDefault="00020B47" w:rsidP="00B40BE5">
      <w:pPr>
        <w:pStyle w:val="Default"/>
        <w:numPr>
          <w:ilvl w:val="0"/>
          <w:numId w:val="2"/>
        </w:numPr>
        <w:ind w:left="0" w:right="49" w:firstLine="0"/>
        <w:jc w:val="both"/>
        <w:rPr>
          <w:rFonts w:eastAsia="Times New Roman"/>
          <w:color w:val="auto"/>
          <w:sz w:val="28"/>
          <w:szCs w:val="28"/>
          <w:lang w:val="es-ES_tradnl" w:eastAsia="es-MX"/>
        </w:rPr>
      </w:pPr>
      <w:r w:rsidRPr="00AB4289">
        <w:rPr>
          <w:sz w:val="28"/>
          <w:szCs w:val="28"/>
          <w:lang w:val="es-ES_tradnl"/>
        </w:rPr>
        <w:t xml:space="preserve">Frente a esta información, la Corte Suprema de Justicia </w:t>
      </w:r>
      <w:r w:rsidRPr="00AB4289">
        <w:rPr>
          <w:rFonts w:eastAsia="Times New Roman"/>
          <w:color w:val="auto"/>
          <w:sz w:val="28"/>
          <w:szCs w:val="28"/>
          <w:lang w:val="es-ES_tradnl" w:eastAsia="es-MX"/>
        </w:rPr>
        <w:t xml:space="preserve">indicó que </w:t>
      </w:r>
      <w:r w:rsidR="005A6022" w:rsidRPr="00AB4289">
        <w:rPr>
          <w:rFonts w:eastAsia="Times New Roman"/>
          <w:color w:val="auto"/>
          <w:sz w:val="28"/>
          <w:szCs w:val="28"/>
          <w:lang w:val="es-ES_tradnl" w:eastAsia="es-MX"/>
        </w:rPr>
        <w:t xml:space="preserve">dichos documentos </w:t>
      </w:r>
      <w:r w:rsidRPr="00AB4289">
        <w:rPr>
          <w:rFonts w:eastAsia="Times New Roman"/>
          <w:color w:val="auto"/>
          <w:sz w:val="28"/>
          <w:szCs w:val="28"/>
          <w:lang w:val="es-ES_tradnl" w:eastAsia="es-MX"/>
        </w:rPr>
        <w:t>no debían ser entregad</w:t>
      </w:r>
      <w:r w:rsidR="00A76723" w:rsidRPr="00AB4289">
        <w:rPr>
          <w:rFonts w:eastAsia="Times New Roman"/>
          <w:color w:val="auto"/>
          <w:sz w:val="28"/>
          <w:szCs w:val="28"/>
          <w:lang w:val="es-ES_tradnl" w:eastAsia="es-MX"/>
        </w:rPr>
        <w:t>o</w:t>
      </w:r>
      <w:r w:rsidRPr="00AB4289">
        <w:rPr>
          <w:rFonts w:eastAsia="Times New Roman"/>
          <w:color w:val="auto"/>
          <w:sz w:val="28"/>
          <w:szCs w:val="28"/>
          <w:lang w:val="es-ES_tradnl" w:eastAsia="es-MX"/>
        </w:rPr>
        <w:t>s en la medida que pueden ser encontrad</w:t>
      </w:r>
      <w:r w:rsidR="00A76723" w:rsidRPr="00AB4289">
        <w:rPr>
          <w:rFonts w:eastAsia="Times New Roman"/>
          <w:color w:val="auto"/>
          <w:sz w:val="28"/>
          <w:szCs w:val="28"/>
          <w:lang w:val="es-ES_tradnl" w:eastAsia="es-MX"/>
        </w:rPr>
        <w:t>o</w:t>
      </w:r>
      <w:r w:rsidRPr="00AB4289">
        <w:rPr>
          <w:rFonts w:eastAsia="Times New Roman"/>
          <w:color w:val="auto"/>
          <w:sz w:val="28"/>
          <w:szCs w:val="28"/>
          <w:lang w:val="es-ES_tradnl" w:eastAsia="es-MX"/>
        </w:rPr>
        <w:t>s en la página web oficial del Departamento Administrativo de la Función Pública</w:t>
      </w:r>
      <w:r w:rsidRPr="00AB4289">
        <w:rPr>
          <w:rFonts w:eastAsia="Times New Roman"/>
          <w:sz w:val="28"/>
          <w:szCs w:val="28"/>
          <w:lang w:val="es-ES_tradnl" w:eastAsia="es-MX"/>
        </w:rPr>
        <w:t xml:space="preserve">. </w:t>
      </w:r>
      <w:r w:rsidRPr="00AB4289">
        <w:rPr>
          <w:sz w:val="28"/>
          <w:szCs w:val="28"/>
          <w:lang w:val="es-ES_tradnl"/>
        </w:rPr>
        <w:t>Del mismo modo,</w:t>
      </w:r>
      <w:r w:rsidR="005111C2" w:rsidRPr="00AB4289">
        <w:rPr>
          <w:sz w:val="28"/>
          <w:szCs w:val="28"/>
          <w:lang w:val="es-ES_tradnl"/>
        </w:rPr>
        <w:t xml:space="preserve"> en respuesta a la invitación a intervenir que le dirigió la Corte Constitucional,</w:t>
      </w:r>
      <w:r w:rsidRPr="00AB4289">
        <w:rPr>
          <w:sz w:val="28"/>
          <w:szCs w:val="28"/>
          <w:lang w:val="es-ES_tradnl"/>
        </w:rPr>
        <w:t xml:space="preserve"> el Consejo de Estado</w:t>
      </w:r>
      <w:r w:rsidRPr="00AB4289">
        <w:rPr>
          <w:rStyle w:val="Refdenotaalpie"/>
          <w:rFonts w:cs="Times New Roman"/>
          <w:sz w:val="28"/>
          <w:szCs w:val="28"/>
          <w:lang w:val="es-ES_tradnl"/>
        </w:rPr>
        <w:footnoteReference w:id="127"/>
      </w:r>
      <w:r w:rsidRPr="00AB4289">
        <w:rPr>
          <w:sz w:val="28"/>
          <w:szCs w:val="28"/>
          <w:lang w:val="es-ES_tradnl"/>
        </w:rPr>
        <w:t xml:space="preserve"> señaló </w:t>
      </w:r>
      <w:r w:rsidRPr="00AB4289">
        <w:rPr>
          <w:rFonts w:eastAsia="Times New Roman"/>
          <w:sz w:val="28"/>
          <w:szCs w:val="28"/>
          <w:lang w:val="es-ES_tradnl" w:eastAsia="es-MX"/>
        </w:rPr>
        <w:t>que no es necesario que la Corte Suprema entregue las declaraciones</w:t>
      </w:r>
      <w:r w:rsidR="005A6022" w:rsidRPr="00AB4289">
        <w:rPr>
          <w:rFonts w:eastAsia="Times New Roman"/>
          <w:sz w:val="28"/>
          <w:szCs w:val="28"/>
          <w:lang w:val="es-ES_tradnl" w:eastAsia="es-MX"/>
        </w:rPr>
        <w:t xml:space="preserve"> mencionad</w:t>
      </w:r>
      <w:r w:rsidR="00A76723" w:rsidRPr="00AB4289">
        <w:rPr>
          <w:rFonts w:eastAsia="Times New Roman"/>
          <w:sz w:val="28"/>
          <w:szCs w:val="28"/>
          <w:lang w:val="es-ES_tradnl" w:eastAsia="es-MX"/>
        </w:rPr>
        <w:t>a</w:t>
      </w:r>
      <w:r w:rsidR="005A6022" w:rsidRPr="00AB4289">
        <w:rPr>
          <w:rFonts w:eastAsia="Times New Roman"/>
          <w:sz w:val="28"/>
          <w:szCs w:val="28"/>
          <w:lang w:val="es-ES_tradnl" w:eastAsia="es-MX"/>
        </w:rPr>
        <w:t>s</w:t>
      </w:r>
      <w:r w:rsidRPr="00AB4289">
        <w:rPr>
          <w:rFonts w:eastAsia="Times New Roman"/>
          <w:sz w:val="28"/>
          <w:szCs w:val="28"/>
          <w:lang w:val="es-ES_tradnl" w:eastAsia="es-MX"/>
        </w:rPr>
        <w:t xml:space="preserve">, ya que </w:t>
      </w:r>
      <w:r w:rsidR="000F50E6" w:rsidRPr="00AB4289">
        <w:rPr>
          <w:rFonts w:eastAsia="Times New Roman"/>
          <w:sz w:val="28"/>
          <w:szCs w:val="28"/>
          <w:lang w:val="es-ES_tradnl" w:eastAsia="es-MX"/>
        </w:rPr>
        <w:t xml:space="preserve">estas </w:t>
      </w:r>
      <w:r w:rsidRPr="00AB4289">
        <w:rPr>
          <w:rFonts w:eastAsia="Times New Roman"/>
          <w:sz w:val="28"/>
          <w:szCs w:val="28"/>
          <w:lang w:val="es-ES_tradnl" w:eastAsia="es-MX"/>
        </w:rPr>
        <w:t>están publicad</w:t>
      </w:r>
      <w:r w:rsidR="000F50E6" w:rsidRPr="00AB4289">
        <w:rPr>
          <w:rFonts w:eastAsia="Times New Roman"/>
          <w:sz w:val="28"/>
          <w:szCs w:val="28"/>
          <w:lang w:val="es-ES_tradnl" w:eastAsia="es-MX"/>
        </w:rPr>
        <w:t>a</w:t>
      </w:r>
      <w:r w:rsidRPr="00AB4289">
        <w:rPr>
          <w:rFonts w:eastAsia="Times New Roman"/>
          <w:sz w:val="28"/>
          <w:szCs w:val="28"/>
          <w:lang w:val="es-ES_tradnl" w:eastAsia="es-MX"/>
        </w:rPr>
        <w:t xml:space="preserve">s en la página web de la </w:t>
      </w:r>
      <w:r w:rsidR="005111C2" w:rsidRPr="00AB4289">
        <w:rPr>
          <w:rFonts w:eastAsia="Times New Roman"/>
          <w:sz w:val="28"/>
          <w:szCs w:val="28"/>
          <w:lang w:val="es-ES_tradnl" w:eastAsia="es-MX"/>
        </w:rPr>
        <w:t>r</w:t>
      </w:r>
      <w:r w:rsidRPr="00AB4289">
        <w:rPr>
          <w:rFonts w:eastAsia="Times New Roman"/>
          <w:sz w:val="28"/>
          <w:szCs w:val="28"/>
          <w:lang w:val="es-ES_tradnl" w:eastAsia="es-MX"/>
        </w:rPr>
        <w:t xml:space="preserve">ama </w:t>
      </w:r>
      <w:r w:rsidR="005111C2" w:rsidRPr="00AB4289">
        <w:rPr>
          <w:rFonts w:eastAsia="Times New Roman"/>
          <w:sz w:val="28"/>
          <w:szCs w:val="28"/>
          <w:lang w:val="es-ES_tradnl" w:eastAsia="es-MX"/>
        </w:rPr>
        <w:t>j</w:t>
      </w:r>
      <w:r w:rsidRPr="00AB4289">
        <w:rPr>
          <w:rFonts w:eastAsia="Times New Roman"/>
          <w:sz w:val="28"/>
          <w:szCs w:val="28"/>
          <w:lang w:val="es-ES_tradnl" w:eastAsia="es-MX"/>
        </w:rPr>
        <w:t>udicial.</w:t>
      </w:r>
    </w:p>
    <w:p w14:paraId="0FF582BA" w14:textId="77777777" w:rsidR="00020B47" w:rsidRPr="00AB4289" w:rsidRDefault="00020B47" w:rsidP="00B40BE5">
      <w:pPr>
        <w:pStyle w:val="Prrafodelista"/>
        <w:ind w:left="0" w:right="49"/>
        <w:jc w:val="both"/>
        <w:rPr>
          <w:sz w:val="28"/>
          <w:szCs w:val="28"/>
          <w:lang w:val="es-ES_tradnl"/>
        </w:rPr>
      </w:pPr>
    </w:p>
    <w:p w14:paraId="06697642" w14:textId="3FF1D267" w:rsidR="004B70EE" w:rsidRPr="00AB4289" w:rsidRDefault="00D837E7" w:rsidP="00B40BE5">
      <w:pPr>
        <w:pStyle w:val="Prrafodelista"/>
        <w:numPr>
          <w:ilvl w:val="0"/>
          <w:numId w:val="2"/>
        </w:numPr>
        <w:ind w:left="0" w:right="49" w:firstLine="0"/>
        <w:jc w:val="both"/>
        <w:rPr>
          <w:color w:val="000000"/>
          <w:sz w:val="28"/>
          <w:szCs w:val="28"/>
          <w:lang w:val="es-ES_tradnl"/>
        </w:rPr>
      </w:pPr>
      <w:r w:rsidRPr="00AB4289">
        <w:rPr>
          <w:color w:val="000000"/>
          <w:sz w:val="28"/>
          <w:szCs w:val="28"/>
          <w:lang w:val="es-ES_tradnl"/>
        </w:rPr>
        <w:t xml:space="preserve">Sin embargo, </w:t>
      </w:r>
      <w:r w:rsidR="000A6C19" w:rsidRPr="00AB4289">
        <w:rPr>
          <w:color w:val="000000"/>
          <w:sz w:val="28"/>
          <w:szCs w:val="28"/>
          <w:lang w:val="es-ES_tradnl"/>
        </w:rPr>
        <w:t xml:space="preserve">para </w:t>
      </w:r>
      <w:r w:rsidRPr="00AB4289">
        <w:rPr>
          <w:color w:val="000000"/>
          <w:sz w:val="28"/>
          <w:szCs w:val="28"/>
          <w:lang w:val="es-ES_tradnl"/>
        </w:rPr>
        <w:t>la Corte Constitucional</w:t>
      </w:r>
      <w:r w:rsidR="000A6C19" w:rsidRPr="00AB4289">
        <w:rPr>
          <w:color w:val="000000"/>
          <w:sz w:val="28"/>
          <w:szCs w:val="28"/>
          <w:lang w:val="es-ES_tradnl"/>
        </w:rPr>
        <w:t xml:space="preserve">, </w:t>
      </w:r>
      <w:r w:rsidRPr="00AB4289">
        <w:rPr>
          <w:color w:val="000000"/>
          <w:sz w:val="28"/>
          <w:szCs w:val="28"/>
          <w:lang w:val="es-ES_tradnl"/>
        </w:rPr>
        <w:t xml:space="preserve">este argumento no es válido porque la información solicitada </w:t>
      </w:r>
      <w:r w:rsidR="00020B47" w:rsidRPr="00AB4289">
        <w:rPr>
          <w:color w:val="000000"/>
          <w:sz w:val="28"/>
          <w:szCs w:val="28"/>
          <w:lang w:val="es-ES_tradnl"/>
        </w:rPr>
        <w:t xml:space="preserve">por el periodista </w:t>
      </w:r>
      <w:r w:rsidRPr="00AB4289">
        <w:rPr>
          <w:color w:val="000000"/>
          <w:sz w:val="28"/>
          <w:szCs w:val="28"/>
          <w:lang w:val="es-ES_tradnl"/>
        </w:rPr>
        <w:t xml:space="preserve">no </w:t>
      </w:r>
      <w:r w:rsidR="00020B47" w:rsidRPr="00AB4289">
        <w:rPr>
          <w:color w:val="000000"/>
          <w:sz w:val="28"/>
          <w:szCs w:val="28"/>
          <w:lang w:val="es-ES_tradnl"/>
        </w:rPr>
        <w:t xml:space="preserve">se encuentra efectivamente disponible en medios públicos a los que la ciudadanía tenga acceso. </w:t>
      </w:r>
      <w:r w:rsidR="000A6C19" w:rsidRPr="00AB4289">
        <w:rPr>
          <w:color w:val="000000"/>
          <w:sz w:val="28"/>
          <w:szCs w:val="28"/>
          <w:lang w:val="es-ES_tradnl"/>
        </w:rPr>
        <w:t>Por un lado</w:t>
      </w:r>
      <w:r w:rsidR="004B70EE" w:rsidRPr="00AB4289">
        <w:rPr>
          <w:color w:val="000000"/>
          <w:sz w:val="28"/>
          <w:szCs w:val="28"/>
          <w:lang w:val="es-ES_tradnl"/>
        </w:rPr>
        <w:t>,</w:t>
      </w:r>
      <w:r w:rsidR="004B70EE" w:rsidRPr="00AB4289">
        <w:rPr>
          <w:sz w:val="28"/>
          <w:szCs w:val="28"/>
          <w:lang w:val="es-ES_tradnl"/>
        </w:rPr>
        <w:t xml:space="preserve"> en la respuesta al auto de pruebas, el Consejo Superior de la Judicatura le informó a esta Corporación que, al 15 de julio de 2025, solo el 30 % de los magistrados de la Sala Plena de la Corte Suprema de Justicia habían actualizado para el año 2025 la información en el aplicativo “Transparencia activa”. </w:t>
      </w:r>
    </w:p>
    <w:p w14:paraId="4840B5AA" w14:textId="77777777" w:rsidR="00020B47" w:rsidRPr="00AB4289" w:rsidRDefault="00020B47" w:rsidP="00B40BE5">
      <w:pPr>
        <w:pStyle w:val="Prrafodelista"/>
        <w:ind w:left="0" w:right="49"/>
        <w:jc w:val="both"/>
        <w:rPr>
          <w:color w:val="000000"/>
          <w:sz w:val="28"/>
          <w:szCs w:val="28"/>
          <w:lang w:val="es-ES_tradnl"/>
        </w:rPr>
      </w:pPr>
    </w:p>
    <w:p w14:paraId="1BCAD57D" w14:textId="127561C0" w:rsidR="00FD0E4A" w:rsidRPr="00AB4289" w:rsidRDefault="000A6C19" w:rsidP="00B40BE5">
      <w:pPr>
        <w:pStyle w:val="Prrafodelista"/>
        <w:numPr>
          <w:ilvl w:val="0"/>
          <w:numId w:val="2"/>
        </w:numPr>
        <w:ind w:left="0" w:right="49" w:firstLine="0"/>
        <w:jc w:val="both"/>
        <w:rPr>
          <w:sz w:val="28"/>
          <w:szCs w:val="28"/>
          <w:lang w:val="es-ES_tradnl"/>
        </w:rPr>
      </w:pPr>
      <w:r w:rsidRPr="00AB4289">
        <w:rPr>
          <w:sz w:val="28"/>
          <w:szCs w:val="28"/>
          <w:lang w:val="es-ES_tradnl"/>
        </w:rPr>
        <w:lastRenderedPageBreak/>
        <w:t>Por otro lado</w:t>
      </w:r>
      <w:r w:rsidR="003D7657" w:rsidRPr="00AB4289">
        <w:rPr>
          <w:sz w:val="28"/>
          <w:szCs w:val="28"/>
          <w:lang w:val="es-ES_tradnl"/>
        </w:rPr>
        <w:t>, l</w:t>
      </w:r>
      <w:r w:rsidR="00020B47" w:rsidRPr="00AB4289">
        <w:rPr>
          <w:sz w:val="28"/>
          <w:szCs w:val="28"/>
          <w:lang w:val="es-ES_tradnl"/>
        </w:rPr>
        <w:t>a Corte</w:t>
      </w:r>
      <w:r w:rsidRPr="00AB4289">
        <w:rPr>
          <w:sz w:val="28"/>
          <w:szCs w:val="28"/>
          <w:lang w:val="es-ES_tradnl"/>
        </w:rPr>
        <w:t xml:space="preserve"> Constitucional</w:t>
      </w:r>
      <w:r w:rsidR="00020B47" w:rsidRPr="00AB4289">
        <w:rPr>
          <w:sz w:val="28"/>
          <w:szCs w:val="28"/>
          <w:lang w:val="es-ES_tradnl"/>
        </w:rPr>
        <w:t xml:space="preserve"> hizo un estudio de la plataforma en las que, en principio, debería estar publicada la información exigida por la Ley 2013 de 2019. En particular, </w:t>
      </w:r>
      <w:r w:rsidR="005111C2" w:rsidRPr="00AB4289">
        <w:rPr>
          <w:sz w:val="28"/>
          <w:szCs w:val="28"/>
          <w:lang w:val="es-ES_tradnl"/>
        </w:rPr>
        <w:t>consultó</w:t>
      </w:r>
      <w:r w:rsidR="00020B47" w:rsidRPr="00AB4289">
        <w:rPr>
          <w:sz w:val="28"/>
          <w:szCs w:val="28"/>
          <w:lang w:val="es-ES_tradnl"/>
        </w:rPr>
        <w:t xml:space="preserve"> el “Aplicativo por la Integridad Pública - Consulta Ciudadana”</w:t>
      </w:r>
      <w:r w:rsidR="00C21F01" w:rsidRPr="00AB4289">
        <w:rPr>
          <w:sz w:val="28"/>
          <w:szCs w:val="28"/>
          <w:lang w:val="es-ES_tradnl"/>
        </w:rPr>
        <w:t xml:space="preserve"> para verificar </w:t>
      </w:r>
      <w:r w:rsidR="00020B47" w:rsidRPr="00AB4289">
        <w:rPr>
          <w:sz w:val="28"/>
          <w:szCs w:val="28"/>
          <w:lang w:val="es-ES_tradnl"/>
        </w:rPr>
        <w:t>si la</w:t>
      </w:r>
      <w:r w:rsidR="00C21F01" w:rsidRPr="00AB4289">
        <w:rPr>
          <w:sz w:val="28"/>
          <w:szCs w:val="28"/>
          <w:lang w:val="es-ES_tradnl"/>
        </w:rPr>
        <w:t>s</w:t>
      </w:r>
      <w:r w:rsidR="00020B47" w:rsidRPr="00AB4289">
        <w:rPr>
          <w:sz w:val="28"/>
          <w:szCs w:val="28"/>
          <w:lang w:val="es-ES_tradnl"/>
        </w:rPr>
        <w:t xml:space="preserve"> declaraci</w:t>
      </w:r>
      <w:r w:rsidR="00C21F01" w:rsidRPr="00AB4289">
        <w:rPr>
          <w:sz w:val="28"/>
          <w:szCs w:val="28"/>
          <w:lang w:val="es-ES_tradnl"/>
        </w:rPr>
        <w:t>ones de renta</w:t>
      </w:r>
      <w:r w:rsidR="00020B47" w:rsidRPr="00AB4289">
        <w:rPr>
          <w:sz w:val="28"/>
          <w:szCs w:val="28"/>
          <w:lang w:val="es-ES_tradnl"/>
        </w:rPr>
        <w:t xml:space="preserve"> de los magistrados de la Corte Suprema de Justicia habían sido efectivamente publicadas.</w:t>
      </w:r>
      <w:r w:rsidRPr="00AB4289">
        <w:rPr>
          <w:sz w:val="28"/>
          <w:szCs w:val="28"/>
          <w:lang w:val="es-ES_tradnl"/>
        </w:rPr>
        <w:t xml:space="preserve"> En dicho análisis, la Corte Constitucional pudo constatar que, al 25 de julio de 2025</w:t>
      </w:r>
      <w:r w:rsidR="00C21F01" w:rsidRPr="00AB4289">
        <w:rPr>
          <w:sz w:val="28"/>
          <w:szCs w:val="28"/>
          <w:lang w:val="es-ES_tradnl"/>
        </w:rPr>
        <w:t>- momento en el que se redactó esta sentencia-</w:t>
      </w:r>
      <w:r w:rsidRPr="00AB4289">
        <w:rPr>
          <w:sz w:val="28"/>
          <w:szCs w:val="28"/>
          <w:lang w:val="es-ES_tradnl"/>
        </w:rPr>
        <w:t xml:space="preserve">, en el Aplicativo de la Integridad Pública, solo </w:t>
      </w:r>
      <w:r w:rsidR="00C21F01" w:rsidRPr="00AB4289">
        <w:rPr>
          <w:sz w:val="28"/>
          <w:szCs w:val="28"/>
          <w:lang w:val="es-ES_tradnl"/>
        </w:rPr>
        <w:t xml:space="preserve">6 </w:t>
      </w:r>
      <w:r w:rsidRPr="00AB4289">
        <w:rPr>
          <w:sz w:val="28"/>
          <w:szCs w:val="28"/>
          <w:lang w:val="es-ES_tradnl"/>
        </w:rPr>
        <w:t xml:space="preserve">magistrados (es decir, cerca del 16% de la Sala Plena de la Corte Suprema de Justicia) tenían la publicación de sus declaraciones </w:t>
      </w:r>
      <w:r w:rsidR="00C21F01" w:rsidRPr="00AB4289">
        <w:rPr>
          <w:sz w:val="28"/>
          <w:szCs w:val="28"/>
          <w:lang w:val="es-ES_tradnl"/>
        </w:rPr>
        <w:t xml:space="preserve">de renta </w:t>
      </w:r>
      <w:r w:rsidRPr="00AB4289">
        <w:rPr>
          <w:sz w:val="28"/>
          <w:szCs w:val="28"/>
          <w:lang w:val="es-ES_tradnl"/>
        </w:rPr>
        <w:t>para el año</w:t>
      </w:r>
      <w:r w:rsidR="00C21F01" w:rsidRPr="00AB4289">
        <w:rPr>
          <w:sz w:val="28"/>
          <w:szCs w:val="28"/>
          <w:lang w:val="es-ES_tradnl"/>
        </w:rPr>
        <w:t xml:space="preserve"> 2024</w:t>
      </w:r>
      <w:r w:rsidR="00C21F01" w:rsidRPr="00AB4289">
        <w:rPr>
          <w:rStyle w:val="Refdenotaalpie"/>
          <w:sz w:val="28"/>
          <w:szCs w:val="28"/>
          <w:lang w:val="es-ES_tradnl"/>
        </w:rPr>
        <w:footnoteReference w:id="128"/>
      </w:r>
      <w:r w:rsidRPr="00AB4289">
        <w:rPr>
          <w:sz w:val="28"/>
          <w:szCs w:val="28"/>
          <w:lang w:val="es-ES_tradnl"/>
        </w:rPr>
        <w:t>, y 8 magistrados (cerca del 25% de la Sala Plena de la Corte Suprema de Justicia) no tenían publicada declaración alguna</w:t>
      </w:r>
      <w:r w:rsidRPr="00AB4289">
        <w:rPr>
          <w:rStyle w:val="Refdenotaalpie"/>
          <w:rFonts w:cs="Times New Roman"/>
          <w:sz w:val="28"/>
          <w:szCs w:val="28"/>
          <w:lang w:val="es-ES_tradnl"/>
        </w:rPr>
        <w:footnoteReference w:id="129"/>
      </w:r>
      <w:r w:rsidRPr="00AB4289">
        <w:rPr>
          <w:sz w:val="28"/>
          <w:szCs w:val="28"/>
          <w:lang w:val="es-ES_tradnl"/>
        </w:rPr>
        <w:t xml:space="preserve">. </w:t>
      </w:r>
    </w:p>
    <w:p w14:paraId="166B5510" w14:textId="77777777" w:rsidR="00FC41CC" w:rsidRPr="00AB4289" w:rsidRDefault="00FC41CC" w:rsidP="00B40BE5">
      <w:pPr>
        <w:jc w:val="both"/>
        <w:rPr>
          <w:sz w:val="28"/>
          <w:szCs w:val="28"/>
          <w:lang w:val="es-ES_tradnl"/>
        </w:rPr>
      </w:pPr>
    </w:p>
    <w:p w14:paraId="02CC2FC0" w14:textId="64E83B0D" w:rsidR="00203FA8" w:rsidRPr="00AB4289" w:rsidRDefault="00203FA8" w:rsidP="00B40BE5">
      <w:pPr>
        <w:pStyle w:val="Prrafodelista"/>
        <w:numPr>
          <w:ilvl w:val="0"/>
          <w:numId w:val="2"/>
        </w:numPr>
        <w:ind w:left="0" w:right="49" w:firstLine="0"/>
        <w:jc w:val="both"/>
        <w:rPr>
          <w:sz w:val="28"/>
          <w:szCs w:val="28"/>
          <w:lang w:val="es-ES_tradnl"/>
        </w:rPr>
      </w:pPr>
      <w:r w:rsidRPr="00AB4289">
        <w:rPr>
          <w:sz w:val="28"/>
          <w:szCs w:val="28"/>
          <w:lang w:val="es-ES_tradnl"/>
        </w:rPr>
        <w:t xml:space="preserve">A partir de lo anterior, </w:t>
      </w:r>
      <w:r w:rsidR="000A6C19" w:rsidRPr="00AB4289">
        <w:rPr>
          <w:sz w:val="28"/>
          <w:szCs w:val="28"/>
          <w:lang w:val="es-ES_tradnl"/>
        </w:rPr>
        <w:t>se</w:t>
      </w:r>
      <w:r w:rsidRPr="00AB4289">
        <w:rPr>
          <w:sz w:val="28"/>
          <w:szCs w:val="28"/>
          <w:lang w:val="es-ES_tradnl"/>
        </w:rPr>
        <w:t xml:space="preserve"> concluye que, en efecto, la información que los magistrados de la Sala Plena de la Corte Suprema deben entregar en virtud de la Ley 2013 de 2019, no está</w:t>
      </w:r>
      <w:r w:rsidR="00F2662F" w:rsidRPr="00AB4289">
        <w:rPr>
          <w:sz w:val="28"/>
          <w:szCs w:val="28"/>
          <w:lang w:val="es-ES_tradnl"/>
        </w:rPr>
        <w:t xml:space="preserve"> en su mayoría</w:t>
      </w:r>
      <w:r w:rsidRPr="00AB4289">
        <w:rPr>
          <w:sz w:val="28"/>
          <w:szCs w:val="28"/>
          <w:lang w:val="es-ES_tradnl"/>
        </w:rPr>
        <w:t xml:space="preserve"> actualizada y en algunos casos ni siquiera p</w:t>
      </w:r>
      <w:r w:rsidR="00F2662F" w:rsidRPr="00AB4289">
        <w:rPr>
          <w:sz w:val="28"/>
          <w:szCs w:val="28"/>
          <w:lang w:val="es-ES_tradnl"/>
        </w:rPr>
        <w:t>ublicada</w:t>
      </w:r>
      <w:r w:rsidRPr="00AB4289">
        <w:rPr>
          <w:sz w:val="28"/>
          <w:szCs w:val="28"/>
          <w:lang w:val="es-ES_tradnl"/>
        </w:rPr>
        <w:t xml:space="preserve"> en las plataformas </w:t>
      </w:r>
      <w:r w:rsidR="005A6022" w:rsidRPr="00AB4289">
        <w:rPr>
          <w:sz w:val="28"/>
          <w:szCs w:val="28"/>
          <w:lang w:val="es-ES_tradnl"/>
        </w:rPr>
        <w:t>habilitadas para tal fin</w:t>
      </w:r>
      <w:r w:rsidRPr="00AB4289">
        <w:rPr>
          <w:sz w:val="28"/>
          <w:szCs w:val="28"/>
          <w:lang w:val="es-ES_tradnl"/>
        </w:rPr>
        <w:t xml:space="preserve">. Por tanto, para la Corte </w:t>
      </w:r>
      <w:r w:rsidR="000A6C19" w:rsidRPr="00AB4289">
        <w:rPr>
          <w:sz w:val="28"/>
          <w:szCs w:val="28"/>
          <w:lang w:val="es-ES_tradnl"/>
        </w:rPr>
        <w:t xml:space="preserve">Constitucional </w:t>
      </w:r>
      <w:r w:rsidRPr="00AB4289">
        <w:rPr>
          <w:sz w:val="28"/>
          <w:szCs w:val="28"/>
          <w:lang w:val="es-ES_tradnl"/>
        </w:rPr>
        <w:t>es claro que, en la actualidad,</w:t>
      </w:r>
      <w:r w:rsidR="00F2662F" w:rsidRPr="00AB4289">
        <w:rPr>
          <w:sz w:val="28"/>
          <w:szCs w:val="28"/>
          <w:lang w:val="es-ES_tradnl"/>
        </w:rPr>
        <w:t xml:space="preserve"> a diferencia de lo que planteó la </w:t>
      </w:r>
      <w:r w:rsidR="000A6C19" w:rsidRPr="00AB4289">
        <w:rPr>
          <w:sz w:val="28"/>
          <w:szCs w:val="28"/>
          <w:lang w:val="es-ES_tradnl"/>
        </w:rPr>
        <w:t>entidad</w:t>
      </w:r>
      <w:r w:rsidR="00F2662F" w:rsidRPr="00AB4289">
        <w:rPr>
          <w:sz w:val="28"/>
          <w:szCs w:val="28"/>
          <w:lang w:val="es-ES_tradnl"/>
        </w:rPr>
        <w:t xml:space="preserve"> accionada en su respuesta</w:t>
      </w:r>
      <w:r w:rsidR="00D6519C" w:rsidRPr="00AB4289">
        <w:rPr>
          <w:sz w:val="28"/>
          <w:szCs w:val="28"/>
          <w:lang w:val="es-ES_tradnl"/>
        </w:rPr>
        <w:t xml:space="preserve"> emitida</w:t>
      </w:r>
      <w:r w:rsidR="000B7720" w:rsidRPr="00AB4289">
        <w:rPr>
          <w:rStyle w:val="Refdenotaalpie"/>
          <w:rFonts w:cs="Times New Roman"/>
          <w:sz w:val="28"/>
          <w:szCs w:val="28"/>
          <w:lang w:val="es-ES_tradnl"/>
        </w:rPr>
        <w:footnoteReference w:id="130"/>
      </w:r>
      <w:r w:rsidR="00F2662F" w:rsidRPr="00AB4289">
        <w:rPr>
          <w:sz w:val="28"/>
          <w:szCs w:val="28"/>
          <w:lang w:val="es-ES_tradnl"/>
        </w:rPr>
        <w:t>,</w:t>
      </w:r>
      <w:r w:rsidRPr="00AB4289">
        <w:rPr>
          <w:sz w:val="28"/>
          <w:szCs w:val="28"/>
          <w:lang w:val="es-ES_tradnl"/>
        </w:rPr>
        <w:t xml:space="preserve"> la ciudadanía no tiene acceso efectivo a una información que es de manifiesto interés público y que es necesaria para hacer el control social al ejercicio de los funcionarios judiciales.</w:t>
      </w:r>
    </w:p>
    <w:p w14:paraId="41BC65F0" w14:textId="77777777" w:rsidR="002D009B" w:rsidRPr="00AB4289" w:rsidRDefault="002D009B" w:rsidP="00B40BE5">
      <w:pPr>
        <w:pStyle w:val="Prrafodelista"/>
        <w:jc w:val="both"/>
        <w:rPr>
          <w:sz w:val="28"/>
          <w:szCs w:val="28"/>
          <w:lang w:val="es-ES_tradnl"/>
        </w:rPr>
      </w:pPr>
    </w:p>
    <w:p w14:paraId="0440B715" w14:textId="39CF66DA" w:rsidR="002D009B" w:rsidRPr="00AB4289" w:rsidRDefault="002D009B" w:rsidP="00B40BE5">
      <w:pPr>
        <w:pStyle w:val="Prrafodelista"/>
        <w:numPr>
          <w:ilvl w:val="0"/>
          <w:numId w:val="2"/>
        </w:numPr>
        <w:ind w:left="0" w:right="49" w:firstLine="0"/>
        <w:jc w:val="both"/>
        <w:rPr>
          <w:sz w:val="28"/>
          <w:szCs w:val="28"/>
          <w:lang w:val="es-ES_tradnl"/>
        </w:rPr>
      </w:pPr>
      <w:r w:rsidRPr="00AB4289">
        <w:rPr>
          <w:color w:val="000000"/>
          <w:sz w:val="28"/>
          <w:szCs w:val="28"/>
          <w:shd w:val="clear" w:color="auto" w:fill="FFFFFF"/>
          <w:lang w:val="es-ES"/>
        </w:rPr>
        <w:t>En conclusión, con fundamento en lo expuesto</w:t>
      </w:r>
      <w:r w:rsidR="00F2662F" w:rsidRPr="00AB4289">
        <w:rPr>
          <w:color w:val="000000"/>
          <w:sz w:val="28"/>
          <w:szCs w:val="28"/>
          <w:shd w:val="clear" w:color="auto" w:fill="FFFFFF"/>
          <w:lang w:val="es-ES"/>
        </w:rPr>
        <w:t>,</w:t>
      </w:r>
      <w:r w:rsidRPr="00AB4289">
        <w:rPr>
          <w:color w:val="000000"/>
          <w:sz w:val="28"/>
          <w:szCs w:val="28"/>
          <w:shd w:val="clear" w:color="auto" w:fill="FFFFFF"/>
          <w:lang w:val="es-ES"/>
        </w:rPr>
        <w:t xml:space="preserve"> la Sala Plena de la Corte Constitucional tutelará los derechos fundamentales </w:t>
      </w:r>
      <w:proofErr w:type="gramStart"/>
      <w:r w:rsidRPr="00AB4289">
        <w:rPr>
          <w:color w:val="000000"/>
          <w:sz w:val="28"/>
          <w:szCs w:val="28"/>
          <w:shd w:val="clear" w:color="auto" w:fill="FFFFFF"/>
          <w:lang w:val="es-ES"/>
        </w:rPr>
        <w:t>al derechos</w:t>
      </w:r>
      <w:proofErr w:type="gramEnd"/>
      <w:r w:rsidRPr="00AB4289">
        <w:rPr>
          <w:color w:val="000000"/>
          <w:sz w:val="28"/>
          <w:szCs w:val="28"/>
          <w:shd w:val="clear" w:color="auto" w:fill="FFFFFF"/>
          <w:lang w:val="es-ES"/>
        </w:rPr>
        <w:t xml:space="preserve"> de acceso a la información pública</w:t>
      </w:r>
      <w:r w:rsidR="00AB4289" w:rsidRPr="00AB4289">
        <w:rPr>
          <w:color w:val="000000"/>
          <w:sz w:val="28"/>
          <w:szCs w:val="28"/>
          <w:shd w:val="clear" w:color="auto" w:fill="FFFFFF"/>
          <w:lang w:val="es-ES"/>
        </w:rPr>
        <w:t xml:space="preserve">, el derecho de petición </w:t>
      </w:r>
      <w:r w:rsidRPr="00AB4289">
        <w:rPr>
          <w:color w:val="000000"/>
          <w:sz w:val="28"/>
          <w:szCs w:val="28"/>
          <w:shd w:val="clear" w:color="auto" w:fill="FFFFFF"/>
          <w:lang w:val="es-ES"/>
        </w:rPr>
        <w:t xml:space="preserve">y al derecho de libertad de expresión del señor Juan Pablo Barrientos. </w:t>
      </w:r>
      <w:r w:rsidR="00C756DA" w:rsidRPr="00AB4289">
        <w:rPr>
          <w:color w:val="000000"/>
          <w:sz w:val="28"/>
          <w:szCs w:val="28"/>
          <w:shd w:val="clear" w:color="auto" w:fill="FFFFFF"/>
          <w:lang w:val="es-ES"/>
        </w:rPr>
        <w:t xml:space="preserve">A continuación, se presentan los remedios judiciales </w:t>
      </w:r>
      <w:r w:rsidRPr="00AB4289">
        <w:rPr>
          <w:color w:val="000000"/>
          <w:sz w:val="28"/>
          <w:szCs w:val="28"/>
          <w:shd w:val="clear" w:color="auto" w:fill="FFFFFF"/>
          <w:lang w:val="es-ES"/>
        </w:rPr>
        <w:t>tendientes a hacer cesar la vulneración constatada.</w:t>
      </w:r>
    </w:p>
    <w:p w14:paraId="0E60EF72" w14:textId="77777777" w:rsidR="002D009B" w:rsidRPr="00AB4289" w:rsidRDefault="002D009B" w:rsidP="00B40BE5">
      <w:pPr>
        <w:pStyle w:val="Prrafodelista"/>
        <w:jc w:val="both"/>
        <w:rPr>
          <w:sz w:val="28"/>
          <w:szCs w:val="28"/>
          <w:lang w:val="es-ES_tradnl"/>
        </w:rPr>
      </w:pPr>
    </w:p>
    <w:p w14:paraId="0BF34313" w14:textId="5069E3B4" w:rsidR="002D009B" w:rsidRPr="00AB4289" w:rsidRDefault="002D009B" w:rsidP="00B40BE5">
      <w:pPr>
        <w:pStyle w:val="Ttulo2"/>
        <w:numPr>
          <w:ilvl w:val="0"/>
          <w:numId w:val="43"/>
        </w:numPr>
        <w:spacing w:before="0" w:after="0"/>
        <w:jc w:val="both"/>
        <w:rPr>
          <w:rFonts w:ascii="Times New Roman" w:hAnsi="Times New Roman" w:cs="Times New Roman"/>
          <w:b/>
          <w:bCs/>
          <w:color w:val="000000" w:themeColor="text1"/>
          <w:sz w:val="28"/>
          <w:szCs w:val="28"/>
          <w:lang w:val="es-ES_tradnl"/>
        </w:rPr>
      </w:pPr>
      <w:bookmarkStart w:id="30" w:name="_Toc210202235"/>
      <w:r w:rsidRPr="00AB4289">
        <w:rPr>
          <w:rFonts w:ascii="Times New Roman" w:hAnsi="Times New Roman" w:cs="Times New Roman"/>
          <w:b/>
          <w:bCs/>
          <w:color w:val="000000" w:themeColor="text1"/>
          <w:sz w:val="28"/>
          <w:szCs w:val="28"/>
          <w:lang w:val="es-ES_tradnl"/>
        </w:rPr>
        <w:t>Remedios Judiciales</w:t>
      </w:r>
      <w:bookmarkEnd w:id="30"/>
      <w:r w:rsidRPr="00AB4289">
        <w:rPr>
          <w:rFonts w:ascii="Times New Roman" w:hAnsi="Times New Roman" w:cs="Times New Roman"/>
          <w:b/>
          <w:bCs/>
          <w:color w:val="000000" w:themeColor="text1"/>
          <w:sz w:val="28"/>
          <w:szCs w:val="28"/>
          <w:lang w:val="es-ES_tradnl"/>
        </w:rPr>
        <w:t xml:space="preserve"> </w:t>
      </w:r>
    </w:p>
    <w:p w14:paraId="1A91AC01" w14:textId="77777777" w:rsidR="00D2146F" w:rsidRPr="00AB4289" w:rsidRDefault="00D2146F" w:rsidP="00B40BE5">
      <w:pPr>
        <w:ind w:right="49"/>
        <w:jc w:val="both"/>
        <w:rPr>
          <w:b/>
          <w:bCs/>
          <w:sz w:val="28"/>
          <w:szCs w:val="28"/>
          <w:lang w:val="es-ES_tradnl"/>
        </w:rPr>
      </w:pPr>
    </w:p>
    <w:p w14:paraId="36F3F483" w14:textId="37273419" w:rsidR="00D2146F" w:rsidRPr="00AB4289" w:rsidRDefault="00D2146F" w:rsidP="00B40BE5">
      <w:pPr>
        <w:pStyle w:val="Prrafodelista"/>
        <w:numPr>
          <w:ilvl w:val="0"/>
          <w:numId w:val="2"/>
        </w:numPr>
        <w:ind w:left="0" w:right="49" w:firstLine="0"/>
        <w:jc w:val="both"/>
        <w:rPr>
          <w:sz w:val="28"/>
          <w:szCs w:val="28"/>
          <w:lang w:val="es-ES_tradnl"/>
        </w:rPr>
      </w:pPr>
      <w:r w:rsidRPr="00AB4289">
        <w:rPr>
          <w:sz w:val="28"/>
          <w:szCs w:val="28"/>
          <w:lang w:val="es-ES_tradnl"/>
        </w:rPr>
        <w:t>En esta sentencia se demostró que, en lo relacionado con la</w:t>
      </w:r>
      <w:r w:rsidR="008C511F" w:rsidRPr="00AB4289">
        <w:rPr>
          <w:sz w:val="28"/>
          <w:szCs w:val="28"/>
          <w:lang w:val="es-ES_tradnl"/>
        </w:rPr>
        <w:t>s</w:t>
      </w:r>
      <w:r w:rsidRPr="00AB4289">
        <w:rPr>
          <w:sz w:val="28"/>
          <w:szCs w:val="28"/>
          <w:lang w:val="es-ES_tradnl"/>
        </w:rPr>
        <w:t xml:space="preserve"> hoja</w:t>
      </w:r>
      <w:r w:rsidR="008C511F" w:rsidRPr="00AB4289">
        <w:rPr>
          <w:sz w:val="28"/>
          <w:szCs w:val="28"/>
          <w:lang w:val="es-ES_tradnl"/>
        </w:rPr>
        <w:t>s</w:t>
      </w:r>
      <w:r w:rsidRPr="00AB4289">
        <w:rPr>
          <w:sz w:val="28"/>
          <w:szCs w:val="28"/>
          <w:lang w:val="es-ES_tradnl"/>
        </w:rPr>
        <w:t xml:space="preserve"> de vida y sus respectivos soportes, la Corte Suprema</w:t>
      </w:r>
      <w:r w:rsidR="005958A9" w:rsidRPr="00AB4289">
        <w:rPr>
          <w:sz w:val="28"/>
          <w:szCs w:val="28"/>
          <w:lang w:val="es-ES_tradnl"/>
        </w:rPr>
        <w:t xml:space="preserve"> de Justicia</w:t>
      </w:r>
      <w:r w:rsidRPr="00AB4289">
        <w:rPr>
          <w:sz w:val="28"/>
          <w:szCs w:val="28"/>
          <w:lang w:val="es-ES_tradnl"/>
        </w:rPr>
        <w:t xml:space="preserve"> no cumplió con </w:t>
      </w:r>
      <w:r w:rsidRPr="00AB4289">
        <w:rPr>
          <w:sz w:val="28"/>
          <w:szCs w:val="28"/>
          <w:lang w:val="es-ES_tradnl"/>
        </w:rPr>
        <w:lastRenderedPageBreak/>
        <w:t>su deber de fundamentar el rechazo de la información</w:t>
      </w:r>
      <w:r w:rsidR="005958A9" w:rsidRPr="00AB4289">
        <w:rPr>
          <w:sz w:val="28"/>
          <w:szCs w:val="28"/>
          <w:lang w:val="es-ES_tradnl"/>
        </w:rPr>
        <w:t>.</w:t>
      </w:r>
      <w:r w:rsidRPr="00AB4289">
        <w:rPr>
          <w:sz w:val="28"/>
          <w:szCs w:val="28"/>
          <w:lang w:val="es-ES_tradnl"/>
        </w:rPr>
        <w:t xml:space="preserve"> Así mismo, se demostró que la entrega de </w:t>
      </w:r>
      <w:r w:rsidR="005958A9" w:rsidRPr="00AB4289">
        <w:rPr>
          <w:sz w:val="28"/>
          <w:szCs w:val="28"/>
          <w:lang w:val="es-ES_tradnl"/>
        </w:rPr>
        <w:t xml:space="preserve">esos datos </w:t>
      </w:r>
      <w:r w:rsidRPr="00AB4289">
        <w:rPr>
          <w:sz w:val="28"/>
          <w:szCs w:val="28"/>
          <w:lang w:val="es-ES_tradnl"/>
        </w:rPr>
        <w:t>no afecta</w:t>
      </w:r>
      <w:r w:rsidR="005958A9" w:rsidRPr="00AB4289">
        <w:rPr>
          <w:sz w:val="28"/>
          <w:szCs w:val="28"/>
          <w:lang w:val="es-ES_tradnl"/>
        </w:rPr>
        <w:t xml:space="preserve"> de manera desproporcionada</w:t>
      </w:r>
      <w:r w:rsidRPr="00AB4289">
        <w:rPr>
          <w:sz w:val="28"/>
          <w:szCs w:val="28"/>
          <w:lang w:val="es-ES_tradnl"/>
        </w:rPr>
        <w:t xml:space="preserve"> la intimidad</w:t>
      </w:r>
      <w:r w:rsidR="005A6022" w:rsidRPr="00AB4289">
        <w:rPr>
          <w:sz w:val="28"/>
          <w:szCs w:val="28"/>
          <w:lang w:val="es-ES_tradnl"/>
        </w:rPr>
        <w:t>, la privacidad ni el hábeas data</w:t>
      </w:r>
      <w:r w:rsidRPr="00AB4289">
        <w:rPr>
          <w:sz w:val="28"/>
          <w:szCs w:val="28"/>
          <w:lang w:val="es-ES_tradnl"/>
        </w:rPr>
        <w:t xml:space="preserve"> de los magistrados. Por otro lado, se evidenció que, contrario a lo señalado por la Corporación accionada, la</w:t>
      </w:r>
      <w:r w:rsidR="00F2662F" w:rsidRPr="00AB4289">
        <w:rPr>
          <w:sz w:val="28"/>
          <w:szCs w:val="28"/>
          <w:lang w:val="es-ES_tradnl"/>
        </w:rPr>
        <w:t xml:space="preserve"> mayoría de la</w:t>
      </w:r>
      <w:r w:rsidRPr="00AB4289">
        <w:rPr>
          <w:sz w:val="28"/>
          <w:szCs w:val="28"/>
          <w:lang w:val="es-ES_tradnl"/>
        </w:rPr>
        <w:t xml:space="preserve"> información relacionada con la declaración </w:t>
      </w:r>
      <w:r w:rsidR="005A6022" w:rsidRPr="00AB4289">
        <w:rPr>
          <w:sz w:val="28"/>
          <w:szCs w:val="28"/>
          <w:lang w:val="es-ES_tradnl"/>
        </w:rPr>
        <w:t>de</w:t>
      </w:r>
      <w:r w:rsidRPr="00AB4289">
        <w:rPr>
          <w:sz w:val="28"/>
          <w:szCs w:val="28"/>
          <w:lang w:val="es-ES_tradnl"/>
        </w:rPr>
        <w:t xml:space="preserve"> bienes</w:t>
      </w:r>
      <w:r w:rsidR="005A6022" w:rsidRPr="00AB4289">
        <w:rPr>
          <w:sz w:val="28"/>
          <w:szCs w:val="28"/>
          <w:lang w:val="es-ES_tradnl"/>
        </w:rPr>
        <w:t xml:space="preserve"> y rentas</w:t>
      </w:r>
      <w:r w:rsidRPr="00AB4289">
        <w:rPr>
          <w:sz w:val="28"/>
          <w:szCs w:val="28"/>
          <w:lang w:val="es-ES_tradnl"/>
        </w:rPr>
        <w:t xml:space="preserve">, la declaración </w:t>
      </w:r>
      <w:r w:rsidR="005A6022" w:rsidRPr="00AB4289">
        <w:rPr>
          <w:sz w:val="28"/>
          <w:szCs w:val="28"/>
          <w:lang w:val="es-ES_tradnl"/>
        </w:rPr>
        <w:t>del impuesto sobre la renta</w:t>
      </w:r>
      <w:r w:rsidRPr="00AB4289">
        <w:rPr>
          <w:sz w:val="28"/>
          <w:szCs w:val="28"/>
          <w:lang w:val="es-ES_tradnl"/>
        </w:rPr>
        <w:t xml:space="preserve"> y </w:t>
      </w:r>
      <w:r w:rsidR="005A6022" w:rsidRPr="00AB4289">
        <w:rPr>
          <w:sz w:val="28"/>
          <w:szCs w:val="28"/>
          <w:lang w:val="es-ES_tradnl"/>
        </w:rPr>
        <w:t>el registro</w:t>
      </w:r>
      <w:r w:rsidR="0023666D" w:rsidRPr="00AB4289">
        <w:rPr>
          <w:sz w:val="28"/>
          <w:szCs w:val="28"/>
          <w:lang w:val="es-ES_tradnl"/>
        </w:rPr>
        <w:t xml:space="preserve"> de</w:t>
      </w:r>
      <w:r w:rsidRPr="00AB4289">
        <w:rPr>
          <w:sz w:val="28"/>
          <w:szCs w:val="28"/>
          <w:lang w:val="es-ES_tradnl"/>
        </w:rPr>
        <w:t xml:space="preserve"> conflictos de interés no</w:t>
      </w:r>
      <w:r w:rsidR="00F2662F" w:rsidRPr="00AB4289">
        <w:rPr>
          <w:sz w:val="28"/>
          <w:szCs w:val="28"/>
          <w:lang w:val="es-ES_tradnl"/>
        </w:rPr>
        <w:t xml:space="preserve"> está publicada en los aplicativos correspondientes, y en esa medida la ciudadanía no tiene acceso a ella.</w:t>
      </w:r>
      <w:r w:rsidRPr="00AB4289">
        <w:rPr>
          <w:sz w:val="28"/>
          <w:szCs w:val="28"/>
          <w:lang w:val="es-ES_tradnl"/>
        </w:rPr>
        <w:t xml:space="preserve"> </w:t>
      </w:r>
    </w:p>
    <w:p w14:paraId="553A34D8" w14:textId="77777777" w:rsidR="00203FA8" w:rsidRPr="00AB4289" w:rsidRDefault="00203FA8" w:rsidP="00B40BE5">
      <w:pPr>
        <w:pStyle w:val="Prrafodelista"/>
        <w:jc w:val="both"/>
        <w:rPr>
          <w:sz w:val="28"/>
          <w:szCs w:val="28"/>
          <w:lang w:val="es-ES_tradnl"/>
        </w:rPr>
      </w:pPr>
    </w:p>
    <w:p w14:paraId="35AF47F4" w14:textId="51559E09" w:rsidR="004F5901" w:rsidRPr="00AB4289" w:rsidRDefault="00203FA8"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Por esta razón,</w:t>
      </w:r>
      <w:r w:rsidR="00260637" w:rsidRPr="00AB4289">
        <w:rPr>
          <w:sz w:val="28"/>
          <w:szCs w:val="28"/>
          <w:lang w:val="es-ES_tradnl"/>
        </w:rPr>
        <w:t xml:space="preserve"> </w:t>
      </w:r>
      <w:r w:rsidR="004F5901" w:rsidRPr="00AB4289">
        <w:rPr>
          <w:sz w:val="28"/>
          <w:szCs w:val="28"/>
          <w:lang w:val="es-ES_tradnl"/>
        </w:rPr>
        <w:t xml:space="preserve">la Sala Plena de la Corte Constitucional revocará la sentencia proferida el 21 de octubre de 2024 por la Sala de Casación Civil de la Corte Suprema de Justicia en la que confirmó la decisión de primera instancia proferida por la Sala de Decisión de Tutelas No. 3 de la Sala de Casación Penal de la Corte Suprema de Justicia y, en su lugar, concederá el amparo invocado por el ciudadano Juan Pablo Barrientos. En ese sentido, se ordenará a la Corte Suprema otorgar la información que el accionante solicitó mediante </w:t>
      </w:r>
      <w:r w:rsidR="00706BA8">
        <w:rPr>
          <w:sz w:val="28"/>
          <w:szCs w:val="28"/>
          <w:lang w:val="es-ES_tradnl"/>
        </w:rPr>
        <w:t xml:space="preserve">la solicitud enviada </w:t>
      </w:r>
      <w:r w:rsidR="004F5901" w:rsidRPr="00AB4289">
        <w:rPr>
          <w:sz w:val="28"/>
          <w:szCs w:val="28"/>
          <w:lang w:val="es-ES_tradnl"/>
        </w:rPr>
        <w:t xml:space="preserve">el 9 de febrero de 2024, frente a los 31 magistrados que conforman la Sala Plena de dicha Corporación. </w:t>
      </w:r>
    </w:p>
    <w:p w14:paraId="579AAD58" w14:textId="77777777" w:rsidR="00B814D5" w:rsidRPr="00AB4289" w:rsidRDefault="00B814D5" w:rsidP="00B40BE5">
      <w:pPr>
        <w:pStyle w:val="NormalWeb"/>
        <w:tabs>
          <w:tab w:val="left" w:pos="284"/>
          <w:tab w:val="left" w:pos="426"/>
          <w:tab w:val="left" w:pos="567"/>
        </w:tabs>
        <w:spacing w:before="0" w:beforeAutospacing="0" w:after="0" w:afterAutospacing="0"/>
        <w:ind w:right="49"/>
        <w:jc w:val="both"/>
        <w:rPr>
          <w:sz w:val="28"/>
          <w:szCs w:val="28"/>
          <w:lang w:val="es-ES_tradnl"/>
        </w:rPr>
      </w:pPr>
    </w:p>
    <w:p w14:paraId="2C072684" w14:textId="1DA59B48" w:rsidR="00B814D5" w:rsidRPr="00AB4289" w:rsidRDefault="00B814D5"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Los soportes de las hojas de vida deberán limitarse a la información relativa a la trayectoria académica, profesional y laboral de los magistrados. En caso de que estos documentos incluyan datos sensibles, como religión, orientación sexual, domicilio o número de teléfono personal, dicha información deberá suprimirse antes de la entrega. Así mismo, la Corporación deberá suministrar los soportes que obren en sus archivos, esto es, en principio aquellos que acompañaban las hojas de vida en el momento en que los magistrados ingresaron a la Corte Suprema de Justicia, sin que sea necesario obtener versiones actualizadas.</w:t>
      </w:r>
    </w:p>
    <w:p w14:paraId="529973C8" w14:textId="77777777" w:rsidR="004D7C02" w:rsidRPr="00AB4289" w:rsidRDefault="004D7C02" w:rsidP="00B40BE5">
      <w:pPr>
        <w:jc w:val="both"/>
        <w:rPr>
          <w:sz w:val="28"/>
          <w:szCs w:val="28"/>
          <w:lang w:val="es-ES_tradnl"/>
        </w:rPr>
      </w:pPr>
    </w:p>
    <w:p w14:paraId="15907494" w14:textId="2C9E8E31" w:rsidR="00785BA4" w:rsidRPr="00AB4289" w:rsidRDefault="00540A0A" w:rsidP="00B40BE5">
      <w:pPr>
        <w:pStyle w:val="NormalWeb"/>
        <w:numPr>
          <w:ilvl w:val="0"/>
          <w:numId w:val="2"/>
        </w:numPr>
        <w:tabs>
          <w:tab w:val="left" w:pos="284"/>
          <w:tab w:val="left" w:pos="426"/>
          <w:tab w:val="left" w:pos="567"/>
        </w:tabs>
        <w:spacing w:before="0" w:beforeAutospacing="0" w:after="0" w:afterAutospacing="0"/>
        <w:ind w:left="0" w:right="49" w:firstLine="0"/>
        <w:jc w:val="both"/>
        <w:rPr>
          <w:sz w:val="28"/>
          <w:szCs w:val="28"/>
          <w:lang w:val="es-ES_tradnl"/>
        </w:rPr>
      </w:pPr>
      <w:r w:rsidRPr="00AB4289">
        <w:rPr>
          <w:sz w:val="28"/>
          <w:szCs w:val="28"/>
          <w:lang w:val="es-ES_tradnl"/>
        </w:rPr>
        <w:t>En efecto,</w:t>
      </w:r>
      <w:r w:rsidR="00F2662F" w:rsidRPr="00AB4289">
        <w:rPr>
          <w:sz w:val="28"/>
          <w:szCs w:val="28"/>
          <w:lang w:val="es-ES_tradnl"/>
        </w:rPr>
        <w:t xml:space="preserve"> es necesario precisar que, aunque</w:t>
      </w:r>
      <w:r w:rsidRPr="00AB4289">
        <w:rPr>
          <w:sz w:val="28"/>
          <w:szCs w:val="28"/>
          <w:lang w:val="es-ES_tradnl"/>
        </w:rPr>
        <w:t xml:space="preserve"> </w:t>
      </w:r>
      <w:r w:rsidR="00B83F87" w:rsidRPr="00AB4289">
        <w:rPr>
          <w:sz w:val="28"/>
          <w:szCs w:val="28"/>
          <w:lang w:val="es-ES_tradnl"/>
        </w:rPr>
        <w:t xml:space="preserve">la obligación de publicar </w:t>
      </w:r>
      <w:r w:rsidR="004F5B69" w:rsidRPr="00AB4289">
        <w:rPr>
          <w:sz w:val="28"/>
          <w:szCs w:val="28"/>
          <w:lang w:val="es-ES_tradnl"/>
        </w:rPr>
        <w:t xml:space="preserve">la </w:t>
      </w:r>
      <w:r w:rsidR="00B83F87" w:rsidRPr="00AB4289">
        <w:rPr>
          <w:sz w:val="28"/>
          <w:szCs w:val="28"/>
          <w:lang w:val="es-ES_tradnl"/>
        </w:rPr>
        <w:t>información recae individualmente sobre cada magistrado</w:t>
      </w:r>
      <w:r w:rsidR="00F2662F" w:rsidRPr="00AB4289">
        <w:rPr>
          <w:sz w:val="28"/>
          <w:szCs w:val="28"/>
          <w:lang w:val="es-ES_tradnl"/>
        </w:rPr>
        <w:t xml:space="preserve"> titular</w:t>
      </w:r>
      <w:r w:rsidR="00B83F87" w:rsidRPr="00AB4289">
        <w:rPr>
          <w:sz w:val="28"/>
          <w:szCs w:val="28"/>
          <w:lang w:val="es-ES_tradnl"/>
        </w:rPr>
        <w:t xml:space="preserve"> -</w:t>
      </w:r>
      <w:r w:rsidR="00F2662F" w:rsidRPr="00AB4289">
        <w:rPr>
          <w:sz w:val="28"/>
          <w:szCs w:val="28"/>
          <w:lang w:val="es-ES_tradnl"/>
        </w:rPr>
        <w:t xml:space="preserve">aspecto sobre el cual </w:t>
      </w:r>
      <w:r w:rsidR="00B83F87" w:rsidRPr="00AB4289">
        <w:rPr>
          <w:sz w:val="28"/>
          <w:szCs w:val="28"/>
          <w:lang w:val="es-ES_tradnl"/>
        </w:rPr>
        <w:t xml:space="preserve">se hará un pronunciamiento al final de esta decisión-, la orden concreta de entrega de </w:t>
      </w:r>
      <w:r w:rsidR="004F5B69" w:rsidRPr="00AB4289">
        <w:rPr>
          <w:sz w:val="28"/>
          <w:szCs w:val="28"/>
          <w:lang w:val="es-ES_tradnl"/>
        </w:rPr>
        <w:t xml:space="preserve">los datos solicitados </w:t>
      </w:r>
      <w:r w:rsidR="00B83F87" w:rsidRPr="00AB4289">
        <w:rPr>
          <w:sz w:val="28"/>
          <w:szCs w:val="28"/>
          <w:lang w:val="es-ES_tradnl"/>
        </w:rPr>
        <w:t>por el accionante se dirig</w:t>
      </w:r>
      <w:r w:rsidR="004F5B69" w:rsidRPr="00AB4289">
        <w:rPr>
          <w:sz w:val="28"/>
          <w:szCs w:val="28"/>
          <w:lang w:val="es-ES_tradnl"/>
        </w:rPr>
        <w:t>irá</w:t>
      </w:r>
      <w:r w:rsidR="00B83F87" w:rsidRPr="00AB4289">
        <w:rPr>
          <w:sz w:val="28"/>
          <w:szCs w:val="28"/>
          <w:lang w:val="es-ES_tradnl"/>
        </w:rPr>
        <w:t xml:space="preserve"> a la</w:t>
      </w:r>
      <w:r w:rsidR="004F5B69" w:rsidRPr="00AB4289">
        <w:rPr>
          <w:sz w:val="28"/>
          <w:szCs w:val="28"/>
          <w:lang w:val="es-ES_tradnl"/>
        </w:rPr>
        <w:t xml:space="preserve"> Corte Suprema como </w:t>
      </w:r>
      <w:r w:rsidR="00F2662F" w:rsidRPr="00AB4289">
        <w:rPr>
          <w:sz w:val="28"/>
          <w:szCs w:val="28"/>
          <w:lang w:val="es-ES_tradnl"/>
        </w:rPr>
        <w:t>C</w:t>
      </w:r>
      <w:r w:rsidR="004F5B69" w:rsidRPr="00AB4289">
        <w:rPr>
          <w:sz w:val="28"/>
          <w:szCs w:val="28"/>
          <w:lang w:val="es-ES_tradnl"/>
        </w:rPr>
        <w:t>orporación</w:t>
      </w:r>
      <w:r w:rsidR="0023666D" w:rsidRPr="00AB4289">
        <w:rPr>
          <w:sz w:val="28"/>
          <w:szCs w:val="28"/>
          <w:lang w:val="es-ES_tradnl"/>
        </w:rPr>
        <w:t xml:space="preserve">. </w:t>
      </w:r>
      <w:r w:rsidR="004D7C02" w:rsidRPr="00AB4289">
        <w:rPr>
          <w:sz w:val="28"/>
          <w:szCs w:val="28"/>
          <w:lang w:val="es-ES_tradnl"/>
        </w:rPr>
        <w:t>Ello obedece a dos razones</w:t>
      </w:r>
      <w:r w:rsidR="000442F6" w:rsidRPr="00AB4289">
        <w:rPr>
          <w:sz w:val="28"/>
          <w:szCs w:val="28"/>
          <w:lang w:val="es-ES_tradnl"/>
        </w:rPr>
        <w:t>,</w:t>
      </w:r>
      <w:r w:rsidR="004D7C02" w:rsidRPr="00AB4289">
        <w:rPr>
          <w:sz w:val="28"/>
          <w:szCs w:val="28"/>
          <w:lang w:val="es-ES_tradnl"/>
        </w:rPr>
        <w:t xml:space="preserve"> que ya se expusieron en esta </w:t>
      </w:r>
      <w:proofErr w:type="gramStart"/>
      <w:r w:rsidR="004D7C02" w:rsidRPr="00AB4289">
        <w:rPr>
          <w:sz w:val="28"/>
          <w:szCs w:val="28"/>
          <w:lang w:val="es-ES_tradnl"/>
        </w:rPr>
        <w:t>decisión :</w:t>
      </w:r>
      <w:proofErr w:type="gramEnd"/>
      <w:r w:rsidR="004D7C02" w:rsidRPr="00AB4289">
        <w:rPr>
          <w:sz w:val="28"/>
          <w:szCs w:val="28"/>
          <w:lang w:val="es-ES_tradnl"/>
        </w:rPr>
        <w:t xml:space="preserve"> (i) la solicitud de información elevada por el periodista no fue dirigida a los magistrados en su calidad personal, sino a la Corte Suprema de Justicia en cuanto institución; y (</w:t>
      </w:r>
      <w:proofErr w:type="spellStart"/>
      <w:r w:rsidR="004D7C02" w:rsidRPr="00AB4289">
        <w:rPr>
          <w:sz w:val="28"/>
          <w:szCs w:val="28"/>
          <w:lang w:val="es-ES_tradnl"/>
        </w:rPr>
        <w:t>ii</w:t>
      </w:r>
      <w:proofErr w:type="spellEnd"/>
      <w:r w:rsidR="004D7C02" w:rsidRPr="00AB4289">
        <w:rPr>
          <w:sz w:val="28"/>
          <w:szCs w:val="28"/>
          <w:lang w:val="es-ES_tradnl"/>
        </w:rPr>
        <w:t xml:space="preserve">) dicha Corporación tiene la posesión y/o control de la información solicitada. En efecto, conforme al numeral 6 del artículo 24 del Acuerdo 2175 de 2023, la Secretaría de la Corte Suprema de Justicia tiene a su cargo la custodia de las hojas de vida de los magistrados, de </w:t>
      </w:r>
      <w:r w:rsidR="004D7C02" w:rsidRPr="00AB4289">
        <w:rPr>
          <w:sz w:val="28"/>
          <w:szCs w:val="28"/>
          <w:lang w:val="es-ES_tradnl"/>
        </w:rPr>
        <w:lastRenderedPageBreak/>
        <w:t>los soportes que acreditan los requisitos exigidos al momento de posesionarse en el cargo, y se encuentra en las mejores condiciones para garantizar el acceso y la gestión a la información relacionada con las declaraciones de renta.</w:t>
      </w:r>
    </w:p>
    <w:p w14:paraId="61D505B0" w14:textId="77777777" w:rsidR="00785BA4" w:rsidRPr="00AB4289" w:rsidRDefault="00785BA4" w:rsidP="00B40BE5">
      <w:pPr>
        <w:pStyle w:val="Prrafodelista"/>
      </w:pPr>
    </w:p>
    <w:p w14:paraId="7684922A" w14:textId="77777777" w:rsidR="0034018A" w:rsidRPr="00AB4289" w:rsidRDefault="0034018A" w:rsidP="00AB4289">
      <w:pPr>
        <w:rPr>
          <w:lang w:val="es-ES_tradnl"/>
        </w:rPr>
      </w:pPr>
    </w:p>
    <w:p w14:paraId="4750817E" w14:textId="079FC935" w:rsidR="0034018A" w:rsidRPr="00AB4289" w:rsidRDefault="0034018A" w:rsidP="0034018A">
      <w:pPr>
        <w:pStyle w:val="NormalWeb"/>
        <w:numPr>
          <w:ilvl w:val="0"/>
          <w:numId w:val="43"/>
        </w:numPr>
        <w:tabs>
          <w:tab w:val="left" w:pos="284"/>
          <w:tab w:val="left" w:pos="426"/>
          <w:tab w:val="left" w:pos="567"/>
        </w:tabs>
        <w:spacing w:before="0" w:beforeAutospacing="0" w:after="0" w:afterAutospacing="0"/>
        <w:ind w:right="49"/>
        <w:jc w:val="both"/>
        <w:rPr>
          <w:b/>
          <w:bCs/>
          <w:sz w:val="28"/>
          <w:szCs w:val="28"/>
          <w:lang w:val="es-ES_tradnl"/>
        </w:rPr>
      </w:pPr>
      <w:r w:rsidRPr="00AB4289">
        <w:rPr>
          <w:b/>
          <w:bCs/>
          <w:sz w:val="28"/>
          <w:szCs w:val="28"/>
          <w:lang w:val="es-ES_tradnl"/>
        </w:rPr>
        <w:t xml:space="preserve">Reflexión adicional sobre la publicación de la información de los magistrados de las Altas Cortes en general </w:t>
      </w:r>
    </w:p>
    <w:p w14:paraId="09AABBE6" w14:textId="77777777" w:rsidR="00631596" w:rsidRPr="00AB4289" w:rsidRDefault="00631596" w:rsidP="00B40BE5">
      <w:pPr>
        <w:pStyle w:val="NormalWeb"/>
        <w:spacing w:before="0" w:beforeAutospacing="0" w:after="0" w:afterAutospacing="0"/>
        <w:jc w:val="both"/>
        <w:rPr>
          <w:sz w:val="28"/>
          <w:szCs w:val="28"/>
          <w:lang w:val="es-ES_tradnl"/>
        </w:rPr>
      </w:pPr>
    </w:p>
    <w:p w14:paraId="5F091013" w14:textId="7F2DF501" w:rsidR="003D7657" w:rsidRPr="00AB4289" w:rsidRDefault="000442F6" w:rsidP="00B40BE5">
      <w:pPr>
        <w:pStyle w:val="NormalWeb"/>
        <w:numPr>
          <w:ilvl w:val="0"/>
          <w:numId w:val="2"/>
        </w:numPr>
        <w:spacing w:before="0" w:beforeAutospacing="0" w:after="0" w:afterAutospacing="0"/>
        <w:ind w:left="0" w:firstLine="0"/>
        <w:jc w:val="both"/>
        <w:rPr>
          <w:sz w:val="28"/>
          <w:szCs w:val="28"/>
          <w:lang w:val="es-ES_tradnl"/>
        </w:rPr>
      </w:pPr>
      <w:r w:rsidRPr="00AB4289">
        <w:rPr>
          <w:sz w:val="28"/>
          <w:szCs w:val="28"/>
          <w:lang w:val="es-ES_tradnl"/>
        </w:rPr>
        <w:t xml:space="preserve">Establecido lo anterior en cuanto a la Corte Suprema, es necesario hacer una advertencia más general. En efecto, </w:t>
      </w:r>
      <w:r w:rsidR="005F04CD" w:rsidRPr="00AB4289">
        <w:rPr>
          <w:sz w:val="28"/>
          <w:szCs w:val="28"/>
          <w:lang w:val="es-ES_tradnl"/>
        </w:rPr>
        <w:t xml:space="preserve">se </w:t>
      </w:r>
      <w:r w:rsidR="00C8538F" w:rsidRPr="00AB4289">
        <w:rPr>
          <w:sz w:val="28"/>
          <w:szCs w:val="28"/>
          <w:lang w:val="es-ES_tradnl"/>
        </w:rPr>
        <w:t xml:space="preserve">evidencia que </w:t>
      </w:r>
      <w:r w:rsidR="00865380" w:rsidRPr="00AB4289">
        <w:rPr>
          <w:sz w:val="28"/>
          <w:szCs w:val="28"/>
          <w:lang w:val="es-ES_tradnl"/>
        </w:rPr>
        <w:t xml:space="preserve">la </w:t>
      </w:r>
      <w:r w:rsidR="00885DB1" w:rsidRPr="00AB4289">
        <w:rPr>
          <w:sz w:val="28"/>
          <w:szCs w:val="28"/>
          <w:lang w:val="es-ES_tradnl"/>
        </w:rPr>
        <w:t>imposibilidad de acceder a</w:t>
      </w:r>
      <w:r w:rsidR="00865380" w:rsidRPr="00AB4289">
        <w:rPr>
          <w:sz w:val="28"/>
          <w:szCs w:val="28"/>
          <w:lang w:val="es-ES_tradnl"/>
        </w:rPr>
        <w:t xml:space="preserve"> las hojas de vida, las declaraciones del impuesto sobre la renta, las declaraciones de bienes y rentas y los registros de los conflictos de interés </w:t>
      </w:r>
      <w:r w:rsidR="00C8538F" w:rsidRPr="00AB4289">
        <w:rPr>
          <w:sz w:val="28"/>
          <w:szCs w:val="28"/>
          <w:lang w:val="es-ES_tradnl"/>
        </w:rPr>
        <w:t xml:space="preserve">no es un fenómeno exclusivo de </w:t>
      </w:r>
      <w:r w:rsidR="00865380" w:rsidRPr="00AB4289">
        <w:rPr>
          <w:sz w:val="28"/>
          <w:szCs w:val="28"/>
          <w:lang w:val="es-ES_tradnl"/>
        </w:rPr>
        <w:t xml:space="preserve">los magistrados de </w:t>
      </w:r>
      <w:r w:rsidR="00C8538F" w:rsidRPr="00AB4289">
        <w:rPr>
          <w:sz w:val="28"/>
          <w:szCs w:val="28"/>
          <w:lang w:val="es-ES_tradnl"/>
        </w:rPr>
        <w:t xml:space="preserve">la Corte Suprema de Justicia, sino que también se presenta </w:t>
      </w:r>
      <w:r w:rsidR="008C0058" w:rsidRPr="00AB4289">
        <w:rPr>
          <w:sz w:val="28"/>
          <w:szCs w:val="28"/>
          <w:lang w:val="es-ES_tradnl"/>
        </w:rPr>
        <w:t>frente a</w:t>
      </w:r>
      <w:r w:rsidR="00885DB1" w:rsidRPr="00AB4289">
        <w:rPr>
          <w:sz w:val="28"/>
          <w:szCs w:val="28"/>
          <w:lang w:val="es-ES_tradnl"/>
        </w:rPr>
        <w:t xml:space="preserve"> los magistrados de</w:t>
      </w:r>
      <w:r w:rsidR="00C8538F" w:rsidRPr="00AB4289">
        <w:rPr>
          <w:sz w:val="28"/>
          <w:szCs w:val="28"/>
          <w:lang w:val="es-ES_tradnl"/>
        </w:rPr>
        <w:t xml:space="preserve"> otras Altas Cortes. En efecto, </w:t>
      </w:r>
      <w:r w:rsidR="00885DB1" w:rsidRPr="00AB4289">
        <w:rPr>
          <w:sz w:val="28"/>
          <w:szCs w:val="28"/>
          <w:lang w:val="es-ES_tradnl"/>
        </w:rPr>
        <w:t xml:space="preserve">en </w:t>
      </w:r>
      <w:r w:rsidR="005958A9" w:rsidRPr="00AB4289">
        <w:rPr>
          <w:sz w:val="28"/>
          <w:szCs w:val="28"/>
          <w:lang w:val="es-ES_tradnl"/>
        </w:rPr>
        <w:t>la</w:t>
      </w:r>
      <w:r w:rsidR="00C8538F" w:rsidRPr="00AB4289">
        <w:rPr>
          <w:sz w:val="28"/>
          <w:szCs w:val="28"/>
          <w:lang w:val="es-ES_tradnl"/>
        </w:rPr>
        <w:t xml:space="preserve"> respuesta enviada por el Consejo Superior de la Judicatura respecto de las declaraciones de los magistrados</w:t>
      </w:r>
      <w:r w:rsidR="005958A9" w:rsidRPr="00AB4289">
        <w:rPr>
          <w:sz w:val="28"/>
          <w:szCs w:val="28"/>
          <w:lang w:val="es-ES_tradnl"/>
        </w:rPr>
        <w:t xml:space="preserve"> en el Portal Transparencia</w:t>
      </w:r>
      <w:r w:rsidR="00885DB1" w:rsidRPr="00AB4289">
        <w:rPr>
          <w:sz w:val="28"/>
          <w:szCs w:val="28"/>
          <w:lang w:val="es-ES_tradnl"/>
        </w:rPr>
        <w:t xml:space="preserve">, </w:t>
      </w:r>
      <w:r w:rsidR="00490F7B" w:rsidRPr="00AB4289">
        <w:rPr>
          <w:sz w:val="28"/>
          <w:szCs w:val="28"/>
          <w:lang w:val="es-ES_tradnl"/>
        </w:rPr>
        <w:t>la entidad presentó</w:t>
      </w:r>
      <w:r w:rsidR="00885DB1" w:rsidRPr="00AB4289">
        <w:rPr>
          <w:sz w:val="28"/>
          <w:szCs w:val="28"/>
          <w:lang w:val="es-ES_tradnl"/>
        </w:rPr>
        <w:t xml:space="preserve"> l</w:t>
      </w:r>
      <w:r w:rsidR="00490F7B" w:rsidRPr="00AB4289">
        <w:rPr>
          <w:sz w:val="28"/>
          <w:szCs w:val="28"/>
          <w:lang w:val="es-ES_tradnl"/>
        </w:rPr>
        <w:t>a siguiente tabla</w:t>
      </w:r>
      <w:r w:rsidR="00885DB1" w:rsidRPr="00AB4289">
        <w:rPr>
          <w:sz w:val="28"/>
          <w:szCs w:val="28"/>
          <w:lang w:val="es-ES_tradnl"/>
        </w:rPr>
        <w:t xml:space="preserve">: </w:t>
      </w:r>
    </w:p>
    <w:p w14:paraId="291D2B0B" w14:textId="77777777" w:rsidR="003D7657" w:rsidRPr="00AB4289" w:rsidRDefault="003D7657" w:rsidP="00B40BE5">
      <w:pPr>
        <w:pStyle w:val="NormalWeb"/>
        <w:spacing w:before="0" w:beforeAutospacing="0" w:after="0" w:afterAutospacing="0"/>
        <w:jc w:val="both"/>
        <w:rPr>
          <w:sz w:val="28"/>
          <w:szCs w:val="28"/>
          <w:lang w:val="es-ES_tradnl"/>
        </w:rPr>
      </w:pPr>
    </w:p>
    <w:tbl>
      <w:tblPr>
        <w:tblStyle w:val="Tablaconcuadrcula"/>
        <w:tblpPr w:leftFromText="141" w:rightFromText="141" w:vertAnchor="text" w:horzAnchor="margin" w:tblpY="14"/>
        <w:tblW w:w="8552" w:type="dxa"/>
        <w:tblLook w:val="04A0" w:firstRow="1" w:lastRow="0" w:firstColumn="1" w:lastColumn="0" w:noHBand="0" w:noVBand="1"/>
      </w:tblPr>
      <w:tblGrid>
        <w:gridCol w:w="2138"/>
        <w:gridCol w:w="2138"/>
        <w:gridCol w:w="2138"/>
        <w:gridCol w:w="2138"/>
      </w:tblGrid>
      <w:tr w:rsidR="003D7657" w:rsidRPr="00AB4289" w14:paraId="07622CD8" w14:textId="77777777" w:rsidTr="00FB49B2">
        <w:trPr>
          <w:trHeight w:val="642"/>
        </w:trPr>
        <w:tc>
          <w:tcPr>
            <w:tcW w:w="2138" w:type="dxa"/>
            <w:shd w:val="clear" w:color="auto" w:fill="8EAADB" w:themeFill="accent1" w:themeFillTint="99"/>
          </w:tcPr>
          <w:p w14:paraId="0071F25D" w14:textId="77777777" w:rsidR="003D7657" w:rsidRPr="00AB4289" w:rsidRDefault="003D7657" w:rsidP="00B40BE5">
            <w:pPr>
              <w:jc w:val="both"/>
              <w:rPr>
                <w:sz w:val="20"/>
                <w:szCs w:val="20"/>
                <w:lang w:val="es-ES_tradnl"/>
              </w:rPr>
            </w:pPr>
            <w:r w:rsidRPr="00AB4289">
              <w:rPr>
                <w:sz w:val="20"/>
                <w:szCs w:val="20"/>
                <w:lang w:val="es-ES_tradnl"/>
              </w:rPr>
              <w:t xml:space="preserve">Alta Corte </w:t>
            </w:r>
          </w:p>
        </w:tc>
        <w:tc>
          <w:tcPr>
            <w:tcW w:w="2138" w:type="dxa"/>
            <w:shd w:val="clear" w:color="auto" w:fill="8EAADB" w:themeFill="accent1" w:themeFillTint="99"/>
          </w:tcPr>
          <w:p w14:paraId="2E6B913C" w14:textId="77777777" w:rsidR="003D7657" w:rsidRPr="00AB4289" w:rsidRDefault="003D7657" w:rsidP="00B40BE5">
            <w:pPr>
              <w:jc w:val="both"/>
              <w:rPr>
                <w:sz w:val="20"/>
                <w:szCs w:val="20"/>
                <w:lang w:val="es-ES_tradnl"/>
              </w:rPr>
            </w:pPr>
            <w:proofErr w:type="gramStart"/>
            <w:r w:rsidRPr="00AB4289">
              <w:rPr>
                <w:sz w:val="20"/>
                <w:szCs w:val="20"/>
                <w:lang w:val="es-ES_tradnl"/>
              </w:rPr>
              <w:t>Total</w:t>
            </w:r>
            <w:proofErr w:type="gramEnd"/>
            <w:r w:rsidRPr="00AB4289">
              <w:rPr>
                <w:sz w:val="20"/>
                <w:szCs w:val="20"/>
                <w:lang w:val="es-ES_tradnl"/>
              </w:rPr>
              <w:t xml:space="preserve"> magistrados titulares </w:t>
            </w:r>
          </w:p>
        </w:tc>
        <w:tc>
          <w:tcPr>
            <w:tcW w:w="2138" w:type="dxa"/>
            <w:shd w:val="clear" w:color="auto" w:fill="8EAADB" w:themeFill="accent1" w:themeFillTint="99"/>
          </w:tcPr>
          <w:p w14:paraId="6FAF6E28" w14:textId="752DA6BC" w:rsidR="003D7657" w:rsidRPr="00AB4289" w:rsidRDefault="003D7657" w:rsidP="00B40BE5">
            <w:pPr>
              <w:jc w:val="both"/>
              <w:rPr>
                <w:sz w:val="20"/>
                <w:szCs w:val="20"/>
                <w:lang w:val="es-ES_tradnl"/>
              </w:rPr>
            </w:pPr>
            <w:proofErr w:type="gramStart"/>
            <w:r w:rsidRPr="00AB4289">
              <w:rPr>
                <w:sz w:val="20"/>
                <w:szCs w:val="20"/>
                <w:lang w:val="es-ES_tradnl"/>
              </w:rPr>
              <w:t>Total</w:t>
            </w:r>
            <w:proofErr w:type="gramEnd"/>
            <w:r w:rsidRPr="00AB4289">
              <w:rPr>
                <w:sz w:val="20"/>
                <w:szCs w:val="20"/>
                <w:lang w:val="es-ES_tradnl"/>
              </w:rPr>
              <w:t xml:space="preserve"> magistrados </w:t>
            </w:r>
            <w:r w:rsidR="005F04CD" w:rsidRPr="00AB4289">
              <w:rPr>
                <w:sz w:val="20"/>
                <w:szCs w:val="20"/>
                <w:lang w:val="es-ES_tradnl"/>
              </w:rPr>
              <w:t xml:space="preserve">cuya información está </w:t>
            </w:r>
            <w:r w:rsidRPr="00AB4289">
              <w:rPr>
                <w:sz w:val="20"/>
                <w:szCs w:val="20"/>
                <w:lang w:val="es-ES_tradnl"/>
              </w:rPr>
              <w:t>publicad</w:t>
            </w:r>
            <w:r w:rsidR="005F04CD" w:rsidRPr="00AB4289">
              <w:rPr>
                <w:sz w:val="20"/>
                <w:szCs w:val="20"/>
                <w:lang w:val="es-ES_tradnl"/>
              </w:rPr>
              <w:t>a</w:t>
            </w:r>
          </w:p>
        </w:tc>
        <w:tc>
          <w:tcPr>
            <w:tcW w:w="2138" w:type="dxa"/>
            <w:shd w:val="clear" w:color="auto" w:fill="8EAADB" w:themeFill="accent1" w:themeFillTint="99"/>
          </w:tcPr>
          <w:p w14:paraId="3821E530" w14:textId="77777777" w:rsidR="003D7657" w:rsidRPr="00AB4289" w:rsidRDefault="003D7657" w:rsidP="00B40BE5">
            <w:pPr>
              <w:jc w:val="both"/>
              <w:rPr>
                <w:sz w:val="20"/>
                <w:szCs w:val="20"/>
                <w:lang w:val="es-ES_tradnl"/>
              </w:rPr>
            </w:pPr>
            <w:r w:rsidRPr="00AB4289">
              <w:rPr>
                <w:sz w:val="20"/>
                <w:szCs w:val="20"/>
                <w:lang w:val="es-ES_tradnl"/>
              </w:rPr>
              <w:t>Porcentaje avance</w:t>
            </w:r>
          </w:p>
        </w:tc>
      </w:tr>
      <w:tr w:rsidR="003D7657" w:rsidRPr="00AB4289" w14:paraId="148A1003" w14:textId="77777777" w:rsidTr="00FB49B2">
        <w:trPr>
          <w:trHeight w:val="521"/>
        </w:trPr>
        <w:tc>
          <w:tcPr>
            <w:tcW w:w="2138" w:type="dxa"/>
            <w:shd w:val="clear" w:color="auto" w:fill="B4C6E7" w:themeFill="accent1" w:themeFillTint="66"/>
          </w:tcPr>
          <w:p w14:paraId="5C5F1C1B" w14:textId="77777777" w:rsidR="003D7657" w:rsidRPr="00AB4289" w:rsidRDefault="003D7657" w:rsidP="00B40BE5">
            <w:pPr>
              <w:jc w:val="both"/>
              <w:rPr>
                <w:sz w:val="20"/>
                <w:szCs w:val="20"/>
                <w:lang w:val="es-ES_tradnl"/>
              </w:rPr>
            </w:pPr>
            <w:r w:rsidRPr="00AB4289">
              <w:rPr>
                <w:sz w:val="20"/>
                <w:szCs w:val="20"/>
                <w:lang w:val="es-ES_tradnl"/>
              </w:rPr>
              <w:t>Corte Suprema de Justicia</w:t>
            </w:r>
          </w:p>
        </w:tc>
        <w:tc>
          <w:tcPr>
            <w:tcW w:w="2138" w:type="dxa"/>
          </w:tcPr>
          <w:p w14:paraId="47C61625" w14:textId="77777777" w:rsidR="003D7657" w:rsidRPr="00AB4289" w:rsidRDefault="003D7657" w:rsidP="00B40BE5">
            <w:pPr>
              <w:jc w:val="both"/>
              <w:rPr>
                <w:sz w:val="20"/>
                <w:szCs w:val="20"/>
                <w:lang w:val="es-ES_tradnl"/>
              </w:rPr>
            </w:pPr>
            <w:r w:rsidRPr="00AB4289">
              <w:rPr>
                <w:sz w:val="20"/>
                <w:szCs w:val="20"/>
                <w:lang w:val="es-ES_tradnl"/>
              </w:rPr>
              <w:t>40</w:t>
            </w:r>
            <w:r w:rsidRPr="00AB4289">
              <w:rPr>
                <w:rStyle w:val="Refdenotaalpie"/>
                <w:rFonts w:cs="Times New Roman"/>
                <w:sz w:val="20"/>
                <w:szCs w:val="20"/>
                <w:lang w:val="es-ES_tradnl"/>
              </w:rPr>
              <w:footnoteReference w:id="131"/>
            </w:r>
          </w:p>
        </w:tc>
        <w:tc>
          <w:tcPr>
            <w:tcW w:w="2138" w:type="dxa"/>
          </w:tcPr>
          <w:p w14:paraId="154C5738" w14:textId="77777777" w:rsidR="003D7657" w:rsidRPr="00AB4289" w:rsidRDefault="003D7657" w:rsidP="00B40BE5">
            <w:pPr>
              <w:jc w:val="both"/>
              <w:rPr>
                <w:sz w:val="20"/>
                <w:szCs w:val="20"/>
                <w:lang w:val="es-ES_tradnl"/>
              </w:rPr>
            </w:pPr>
            <w:r w:rsidRPr="00AB4289">
              <w:rPr>
                <w:sz w:val="20"/>
                <w:szCs w:val="20"/>
                <w:lang w:val="es-ES_tradnl"/>
              </w:rPr>
              <w:t>12</w:t>
            </w:r>
          </w:p>
        </w:tc>
        <w:tc>
          <w:tcPr>
            <w:tcW w:w="2138" w:type="dxa"/>
          </w:tcPr>
          <w:p w14:paraId="2CBAC7A7" w14:textId="77777777" w:rsidR="003D7657" w:rsidRPr="00AB4289" w:rsidRDefault="003D7657" w:rsidP="00B40BE5">
            <w:pPr>
              <w:jc w:val="both"/>
              <w:rPr>
                <w:sz w:val="20"/>
                <w:szCs w:val="20"/>
                <w:lang w:val="es-ES_tradnl"/>
              </w:rPr>
            </w:pPr>
            <w:r w:rsidRPr="00AB4289">
              <w:rPr>
                <w:sz w:val="20"/>
                <w:szCs w:val="20"/>
                <w:lang w:val="es-ES_tradnl"/>
              </w:rPr>
              <w:t>30%</w:t>
            </w:r>
          </w:p>
        </w:tc>
      </w:tr>
      <w:tr w:rsidR="003D7657" w:rsidRPr="00AB4289" w14:paraId="22FBC9B2" w14:textId="77777777" w:rsidTr="00FB49B2">
        <w:trPr>
          <w:trHeight w:val="267"/>
        </w:trPr>
        <w:tc>
          <w:tcPr>
            <w:tcW w:w="2138" w:type="dxa"/>
            <w:shd w:val="clear" w:color="auto" w:fill="B4C6E7" w:themeFill="accent1" w:themeFillTint="66"/>
          </w:tcPr>
          <w:p w14:paraId="0F94FB5D" w14:textId="77777777" w:rsidR="003D7657" w:rsidRPr="00AB4289" w:rsidRDefault="003D7657" w:rsidP="00B40BE5">
            <w:pPr>
              <w:jc w:val="both"/>
              <w:rPr>
                <w:sz w:val="20"/>
                <w:szCs w:val="20"/>
                <w:lang w:val="es-ES_tradnl"/>
              </w:rPr>
            </w:pPr>
            <w:r w:rsidRPr="00AB4289">
              <w:rPr>
                <w:sz w:val="20"/>
                <w:szCs w:val="20"/>
                <w:lang w:val="es-ES_tradnl"/>
              </w:rPr>
              <w:t xml:space="preserve">Corte Constitucional </w:t>
            </w:r>
          </w:p>
        </w:tc>
        <w:tc>
          <w:tcPr>
            <w:tcW w:w="2138" w:type="dxa"/>
          </w:tcPr>
          <w:p w14:paraId="617BE212" w14:textId="77777777" w:rsidR="003D7657" w:rsidRPr="00AB4289" w:rsidRDefault="003D7657" w:rsidP="00B40BE5">
            <w:pPr>
              <w:jc w:val="both"/>
              <w:rPr>
                <w:sz w:val="20"/>
                <w:szCs w:val="20"/>
                <w:lang w:val="es-ES_tradnl"/>
              </w:rPr>
            </w:pPr>
            <w:r w:rsidRPr="00AB4289">
              <w:rPr>
                <w:sz w:val="20"/>
                <w:szCs w:val="20"/>
                <w:lang w:val="es-ES_tradnl"/>
              </w:rPr>
              <w:t>9</w:t>
            </w:r>
          </w:p>
        </w:tc>
        <w:tc>
          <w:tcPr>
            <w:tcW w:w="2138" w:type="dxa"/>
          </w:tcPr>
          <w:p w14:paraId="689CAAB9" w14:textId="77777777" w:rsidR="003D7657" w:rsidRPr="00AB4289" w:rsidRDefault="003D7657" w:rsidP="00B40BE5">
            <w:pPr>
              <w:jc w:val="both"/>
              <w:rPr>
                <w:sz w:val="20"/>
                <w:szCs w:val="20"/>
                <w:lang w:val="es-ES_tradnl"/>
              </w:rPr>
            </w:pPr>
            <w:r w:rsidRPr="00AB4289">
              <w:rPr>
                <w:sz w:val="20"/>
                <w:szCs w:val="20"/>
                <w:lang w:val="es-ES_tradnl"/>
              </w:rPr>
              <w:t>3</w:t>
            </w:r>
          </w:p>
        </w:tc>
        <w:tc>
          <w:tcPr>
            <w:tcW w:w="2138" w:type="dxa"/>
          </w:tcPr>
          <w:p w14:paraId="5D4E6168" w14:textId="77777777" w:rsidR="003D7657" w:rsidRPr="00AB4289" w:rsidRDefault="003D7657" w:rsidP="00B40BE5">
            <w:pPr>
              <w:jc w:val="both"/>
              <w:rPr>
                <w:sz w:val="20"/>
                <w:szCs w:val="20"/>
                <w:lang w:val="es-ES_tradnl"/>
              </w:rPr>
            </w:pPr>
            <w:r w:rsidRPr="00AB4289">
              <w:rPr>
                <w:sz w:val="20"/>
                <w:szCs w:val="20"/>
                <w:lang w:val="es-ES_tradnl"/>
              </w:rPr>
              <w:t>33.3%</w:t>
            </w:r>
          </w:p>
        </w:tc>
      </w:tr>
      <w:tr w:rsidR="003D7657" w:rsidRPr="00AB4289" w14:paraId="012EEFE8" w14:textId="77777777" w:rsidTr="00FB49B2">
        <w:trPr>
          <w:trHeight w:val="267"/>
        </w:trPr>
        <w:tc>
          <w:tcPr>
            <w:tcW w:w="2138" w:type="dxa"/>
            <w:shd w:val="clear" w:color="auto" w:fill="B4C6E7" w:themeFill="accent1" w:themeFillTint="66"/>
          </w:tcPr>
          <w:p w14:paraId="30756F42" w14:textId="77777777" w:rsidR="003D7657" w:rsidRPr="00AB4289" w:rsidRDefault="003D7657" w:rsidP="00B40BE5">
            <w:pPr>
              <w:jc w:val="both"/>
              <w:rPr>
                <w:sz w:val="20"/>
                <w:szCs w:val="20"/>
                <w:lang w:val="es-ES_tradnl"/>
              </w:rPr>
            </w:pPr>
            <w:r w:rsidRPr="00AB4289">
              <w:rPr>
                <w:sz w:val="20"/>
                <w:szCs w:val="20"/>
                <w:lang w:val="es-ES_tradnl"/>
              </w:rPr>
              <w:t xml:space="preserve">Consejo de Estado </w:t>
            </w:r>
          </w:p>
        </w:tc>
        <w:tc>
          <w:tcPr>
            <w:tcW w:w="2138" w:type="dxa"/>
          </w:tcPr>
          <w:p w14:paraId="2439F64B" w14:textId="77777777" w:rsidR="003D7657" w:rsidRPr="00AB4289" w:rsidRDefault="003D7657" w:rsidP="00B40BE5">
            <w:pPr>
              <w:jc w:val="both"/>
              <w:rPr>
                <w:sz w:val="20"/>
                <w:szCs w:val="20"/>
                <w:lang w:val="es-ES_tradnl"/>
              </w:rPr>
            </w:pPr>
            <w:r w:rsidRPr="00AB4289">
              <w:rPr>
                <w:sz w:val="20"/>
                <w:szCs w:val="20"/>
                <w:lang w:val="es-ES_tradnl"/>
              </w:rPr>
              <w:t>31</w:t>
            </w:r>
          </w:p>
        </w:tc>
        <w:tc>
          <w:tcPr>
            <w:tcW w:w="2138" w:type="dxa"/>
          </w:tcPr>
          <w:p w14:paraId="5EAA6161" w14:textId="77777777" w:rsidR="003D7657" w:rsidRPr="00AB4289" w:rsidRDefault="003D7657" w:rsidP="00B40BE5">
            <w:pPr>
              <w:jc w:val="both"/>
              <w:rPr>
                <w:sz w:val="20"/>
                <w:szCs w:val="20"/>
                <w:lang w:val="es-ES_tradnl"/>
              </w:rPr>
            </w:pPr>
            <w:r w:rsidRPr="00AB4289">
              <w:rPr>
                <w:sz w:val="20"/>
                <w:szCs w:val="20"/>
                <w:lang w:val="es-ES_tradnl"/>
              </w:rPr>
              <w:t>7</w:t>
            </w:r>
          </w:p>
        </w:tc>
        <w:tc>
          <w:tcPr>
            <w:tcW w:w="2138" w:type="dxa"/>
          </w:tcPr>
          <w:p w14:paraId="4966A0AD" w14:textId="77777777" w:rsidR="003D7657" w:rsidRPr="00AB4289" w:rsidRDefault="003D7657" w:rsidP="00B40BE5">
            <w:pPr>
              <w:jc w:val="both"/>
              <w:rPr>
                <w:sz w:val="20"/>
                <w:szCs w:val="20"/>
                <w:lang w:val="es-ES_tradnl"/>
              </w:rPr>
            </w:pPr>
            <w:r w:rsidRPr="00AB4289">
              <w:rPr>
                <w:sz w:val="20"/>
                <w:szCs w:val="20"/>
                <w:lang w:val="es-ES_tradnl"/>
              </w:rPr>
              <w:t>22.5%</w:t>
            </w:r>
          </w:p>
        </w:tc>
      </w:tr>
      <w:tr w:rsidR="003D7657" w:rsidRPr="00AB4289" w14:paraId="47BA615D" w14:textId="77777777" w:rsidTr="00FB49B2">
        <w:trPr>
          <w:trHeight w:val="369"/>
        </w:trPr>
        <w:tc>
          <w:tcPr>
            <w:tcW w:w="2138" w:type="dxa"/>
            <w:shd w:val="clear" w:color="auto" w:fill="B4C6E7" w:themeFill="accent1" w:themeFillTint="66"/>
          </w:tcPr>
          <w:p w14:paraId="00B64FB5" w14:textId="77777777" w:rsidR="003D7657" w:rsidRPr="00AB4289" w:rsidRDefault="003D7657" w:rsidP="00B40BE5">
            <w:pPr>
              <w:jc w:val="both"/>
              <w:rPr>
                <w:sz w:val="20"/>
                <w:szCs w:val="20"/>
                <w:lang w:val="es-ES_tradnl"/>
              </w:rPr>
            </w:pPr>
            <w:r w:rsidRPr="00AB4289">
              <w:rPr>
                <w:sz w:val="20"/>
                <w:szCs w:val="20"/>
                <w:lang w:val="es-ES_tradnl"/>
              </w:rPr>
              <w:t xml:space="preserve">Comisión Nacional de Disciplina Judicial </w:t>
            </w:r>
          </w:p>
        </w:tc>
        <w:tc>
          <w:tcPr>
            <w:tcW w:w="2138" w:type="dxa"/>
          </w:tcPr>
          <w:p w14:paraId="6D1C7D9D" w14:textId="77777777" w:rsidR="003D7657" w:rsidRPr="00AB4289" w:rsidRDefault="003D7657" w:rsidP="00B40BE5">
            <w:pPr>
              <w:jc w:val="both"/>
              <w:rPr>
                <w:sz w:val="20"/>
                <w:szCs w:val="20"/>
                <w:lang w:val="es-ES_tradnl"/>
              </w:rPr>
            </w:pPr>
            <w:r w:rsidRPr="00AB4289">
              <w:rPr>
                <w:sz w:val="20"/>
                <w:szCs w:val="20"/>
                <w:lang w:val="es-ES_tradnl"/>
              </w:rPr>
              <w:t>7</w:t>
            </w:r>
          </w:p>
        </w:tc>
        <w:tc>
          <w:tcPr>
            <w:tcW w:w="2138" w:type="dxa"/>
          </w:tcPr>
          <w:p w14:paraId="790BD179" w14:textId="77777777" w:rsidR="003D7657" w:rsidRPr="00AB4289" w:rsidRDefault="003D7657" w:rsidP="00B40BE5">
            <w:pPr>
              <w:jc w:val="both"/>
              <w:rPr>
                <w:sz w:val="20"/>
                <w:szCs w:val="20"/>
                <w:lang w:val="es-ES_tradnl"/>
              </w:rPr>
            </w:pPr>
            <w:r w:rsidRPr="00AB4289">
              <w:rPr>
                <w:sz w:val="20"/>
                <w:szCs w:val="20"/>
                <w:lang w:val="es-ES_tradnl"/>
              </w:rPr>
              <w:t>1</w:t>
            </w:r>
          </w:p>
        </w:tc>
        <w:tc>
          <w:tcPr>
            <w:tcW w:w="2138" w:type="dxa"/>
          </w:tcPr>
          <w:p w14:paraId="557013F4" w14:textId="77777777" w:rsidR="003D7657" w:rsidRPr="00AB4289" w:rsidRDefault="003D7657" w:rsidP="00B40BE5">
            <w:pPr>
              <w:jc w:val="both"/>
              <w:rPr>
                <w:sz w:val="20"/>
                <w:szCs w:val="20"/>
                <w:lang w:val="es-ES_tradnl"/>
              </w:rPr>
            </w:pPr>
            <w:r w:rsidRPr="00AB4289">
              <w:rPr>
                <w:sz w:val="20"/>
                <w:szCs w:val="20"/>
                <w:lang w:val="es-ES_tradnl"/>
              </w:rPr>
              <w:t>14.2%</w:t>
            </w:r>
          </w:p>
        </w:tc>
      </w:tr>
      <w:tr w:rsidR="003D7657" w:rsidRPr="00AB4289" w14:paraId="29F9201E" w14:textId="77777777" w:rsidTr="00FB49B2">
        <w:trPr>
          <w:trHeight w:val="314"/>
        </w:trPr>
        <w:tc>
          <w:tcPr>
            <w:tcW w:w="2138" w:type="dxa"/>
            <w:shd w:val="clear" w:color="auto" w:fill="B4C6E7" w:themeFill="accent1" w:themeFillTint="66"/>
          </w:tcPr>
          <w:p w14:paraId="543611F0" w14:textId="77777777" w:rsidR="003D7657" w:rsidRPr="00AB4289" w:rsidRDefault="003D7657" w:rsidP="00B40BE5">
            <w:pPr>
              <w:jc w:val="both"/>
              <w:rPr>
                <w:sz w:val="20"/>
                <w:szCs w:val="20"/>
                <w:lang w:val="es-ES_tradnl"/>
              </w:rPr>
            </w:pPr>
            <w:r w:rsidRPr="00AB4289">
              <w:rPr>
                <w:sz w:val="20"/>
                <w:szCs w:val="20"/>
                <w:lang w:val="es-ES_tradnl"/>
              </w:rPr>
              <w:t xml:space="preserve">Consejo Superior de la Judicatura </w:t>
            </w:r>
          </w:p>
        </w:tc>
        <w:tc>
          <w:tcPr>
            <w:tcW w:w="2138" w:type="dxa"/>
          </w:tcPr>
          <w:p w14:paraId="395B0645" w14:textId="77777777" w:rsidR="003D7657" w:rsidRPr="00AB4289" w:rsidRDefault="003D7657" w:rsidP="00B40BE5">
            <w:pPr>
              <w:jc w:val="both"/>
              <w:rPr>
                <w:sz w:val="20"/>
                <w:szCs w:val="20"/>
                <w:lang w:val="es-ES_tradnl"/>
              </w:rPr>
            </w:pPr>
            <w:r w:rsidRPr="00AB4289">
              <w:rPr>
                <w:sz w:val="20"/>
                <w:szCs w:val="20"/>
                <w:lang w:val="es-ES_tradnl"/>
              </w:rPr>
              <w:t>6</w:t>
            </w:r>
          </w:p>
        </w:tc>
        <w:tc>
          <w:tcPr>
            <w:tcW w:w="2138" w:type="dxa"/>
          </w:tcPr>
          <w:p w14:paraId="740C55FC" w14:textId="77777777" w:rsidR="003D7657" w:rsidRPr="00AB4289" w:rsidRDefault="003D7657" w:rsidP="00B40BE5">
            <w:pPr>
              <w:jc w:val="both"/>
              <w:rPr>
                <w:sz w:val="20"/>
                <w:szCs w:val="20"/>
                <w:lang w:val="es-ES_tradnl"/>
              </w:rPr>
            </w:pPr>
            <w:r w:rsidRPr="00AB4289">
              <w:rPr>
                <w:sz w:val="20"/>
                <w:szCs w:val="20"/>
                <w:lang w:val="es-ES_tradnl"/>
              </w:rPr>
              <w:t>6</w:t>
            </w:r>
          </w:p>
        </w:tc>
        <w:tc>
          <w:tcPr>
            <w:tcW w:w="2138" w:type="dxa"/>
          </w:tcPr>
          <w:p w14:paraId="184BAB58" w14:textId="77777777" w:rsidR="003D7657" w:rsidRPr="00AB4289" w:rsidRDefault="003D7657" w:rsidP="00B40BE5">
            <w:pPr>
              <w:jc w:val="both"/>
              <w:rPr>
                <w:sz w:val="20"/>
                <w:szCs w:val="20"/>
                <w:lang w:val="es-ES_tradnl"/>
              </w:rPr>
            </w:pPr>
            <w:r w:rsidRPr="00AB4289">
              <w:rPr>
                <w:sz w:val="20"/>
                <w:szCs w:val="20"/>
                <w:lang w:val="es-ES_tradnl"/>
              </w:rPr>
              <w:t>100%</w:t>
            </w:r>
          </w:p>
        </w:tc>
      </w:tr>
      <w:tr w:rsidR="003D7657" w:rsidRPr="00AB4289" w14:paraId="305A6F7F" w14:textId="77777777" w:rsidTr="00FB49B2">
        <w:trPr>
          <w:trHeight w:val="253"/>
        </w:trPr>
        <w:tc>
          <w:tcPr>
            <w:tcW w:w="2138" w:type="dxa"/>
            <w:shd w:val="clear" w:color="auto" w:fill="B4C6E7" w:themeFill="accent1" w:themeFillTint="66"/>
          </w:tcPr>
          <w:p w14:paraId="5551EDDF" w14:textId="77777777" w:rsidR="003D7657" w:rsidRPr="00AB4289" w:rsidRDefault="003D7657" w:rsidP="00B40BE5">
            <w:pPr>
              <w:jc w:val="both"/>
              <w:rPr>
                <w:sz w:val="20"/>
                <w:szCs w:val="20"/>
                <w:lang w:val="es-ES_tradnl"/>
              </w:rPr>
            </w:pPr>
            <w:r w:rsidRPr="00AB4289">
              <w:rPr>
                <w:sz w:val="20"/>
                <w:szCs w:val="20"/>
                <w:lang w:val="es-ES_tradnl"/>
              </w:rPr>
              <w:t xml:space="preserve">Total </w:t>
            </w:r>
          </w:p>
        </w:tc>
        <w:tc>
          <w:tcPr>
            <w:tcW w:w="2138" w:type="dxa"/>
          </w:tcPr>
          <w:p w14:paraId="431F6F16" w14:textId="77777777" w:rsidR="003D7657" w:rsidRPr="00AB4289" w:rsidRDefault="003D7657" w:rsidP="00B40BE5">
            <w:pPr>
              <w:jc w:val="both"/>
              <w:rPr>
                <w:b/>
                <w:bCs/>
                <w:sz w:val="20"/>
                <w:szCs w:val="20"/>
                <w:lang w:val="es-ES_tradnl"/>
              </w:rPr>
            </w:pPr>
            <w:r w:rsidRPr="00AB4289">
              <w:rPr>
                <w:b/>
                <w:bCs/>
                <w:sz w:val="20"/>
                <w:szCs w:val="20"/>
                <w:lang w:val="es-ES_tradnl"/>
              </w:rPr>
              <w:t>93</w:t>
            </w:r>
          </w:p>
        </w:tc>
        <w:tc>
          <w:tcPr>
            <w:tcW w:w="2138" w:type="dxa"/>
          </w:tcPr>
          <w:p w14:paraId="27F56820" w14:textId="77777777" w:rsidR="003D7657" w:rsidRPr="00AB4289" w:rsidRDefault="003D7657" w:rsidP="00B40BE5">
            <w:pPr>
              <w:jc w:val="both"/>
              <w:rPr>
                <w:b/>
                <w:bCs/>
                <w:sz w:val="20"/>
                <w:szCs w:val="20"/>
                <w:lang w:val="es-ES_tradnl"/>
              </w:rPr>
            </w:pPr>
            <w:r w:rsidRPr="00AB4289">
              <w:rPr>
                <w:b/>
                <w:bCs/>
                <w:sz w:val="20"/>
                <w:szCs w:val="20"/>
                <w:lang w:val="es-ES_tradnl"/>
              </w:rPr>
              <w:t>29</w:t>
            </w:r>
          </w:p>
        </w:tc>
        <w:tc>
          <w:tcPr>
            <w:tcW w:w="2138" w:type="dxa"/>
          </w:tcPr>
          <w:p w14:paraId="0CA851E5" w14:textId="77777777" w:rsidR="003D7657" w:rsidRPr="00AB4289" w:rsidRDefault="003D7657" w:rsidP="00B40BE5">
            <w:pPr>
              <w:jc w:val="both"/>
              <w:rPr>
                <w:b/>
                <w:bCs/>
                <w:sz w:val="20"/>
                <w:szCs w:val="20"/>
                <w:lang w:val="es-ES_tradnl"/>
              </w:rPr>
            </w:pPr>
            <w:r w:rsidRPr="00AB4289">
              <w:rPr>
                <w:b/>
                <w:bCs/>
                <w:sz w:val="20"/>
                <w:szCs w:val="20"/>
                <w:lang w:val="es-ES_tradnl"/>
              </w:rPr>
              <w:t>31%</w:t>
            </w:r>
          </w:p>
        </w:tc>
      </w:tr>
    </w:tbl>
    <w:p w14:paraId="7E1B0FD4" w14:textId="77777777" w:rsidR="003D7657" w:rsidRPr="00AB4289" w:rsidRDefault="003D7657" w:rsidP="00B40BE5">
      <w:pPr>
        <w:jc w:val="both"/>
        <w:rPr>
          <w:sz w:val="28"/>
          <w:szCs w:val="28"/>
          <w:lang w:val="es-ES_tradnl"/>
        </w:rPr>
      </w:pPr>
    </w:p>
    <w:p w14:paraId="339D65E5" w14:textId="07575196" w:rsidR="00C8538F" w:rsidRPr="00AB4289" w:rsidRDefault="00C8538F" w:rsidP="00B40BE5">
      <w:pPr>
        <w:pStyle w:val="NormalWeb"/>
        <w:numPr>
          <w:ilvl w:val="0"/>
          <w:numId w:val="2"/>
        </w:numPr>
        <w:spacing w:before="0" w:beforeAutospacing="0" w:after="0" w:afterAutospacing="0"/>
        <w:ind w:left="0" w:firstLine="0"/>
        <w:jc w:val="both"/>
        <w:rPr>
          <w:sz w:val="28"/>
          <w:szCs w:val="28"/>
          <w:lang w:val="es-ES_tradnl"/>
        </w:rPr>
      </w:pPr>
      <w:r w:rsidRPr="00AB4289">
        <w:rPr>
          <w:sz w:val="28"/>
          <w:szCs w:val="28"/>
          <w:lang w:val="es-ES_tradnl"/>
        </w:rPr>
        <w:t xml:space="preserve"> </w:t>
      </w:r>
      <w:r w:rsidR="00885DB1" w:rsidRPr="00AB4289">
        <w:rPr>
          <w:sz w:val="28"/>
          <w:szCs w:val="28"/>
          <w:lang w:val="es-ES_tradnl"/>
        </w:rPr>
        <w:t xml:space="preserve">En la misma línea, </w:t>
      </w:r>
      <w:r w:rsidRPr="00AB4289">
        <w:rPr>
          <w:sz w:val="28"/>
          <w:szCs w:val="28"/>
          <w:lang w:val="es-ES_tradnl"/>
        </w:rPr>
        <w:t>se destacan las investigaciones e informes sobre transparencia judicial citados en esta providencia</w:t>
      </w:r>
      <w:r w:rsidRPr="00AB4289">
        <w:rPr>
          <w:sz w:val="28"/>
          <w:szCs w:val="28"/>
          <w:vertAlign w:val="superscript"/>
          <w:lang w:val="es-ES_tradnl"/>
        </w:rPr>
        <w:footnoteReference w:id="132"/>
      </w:r>
      <w:r w:rsidRPr="00AB4289">
        <w:rPr>
          <w:sz w:val="28"/>
          <w:szCs w:val="28"/>
          <w:lang w:val="es-ES_tradnl"/>
        </w:rPr>
        <w:t>, en los que se constató que: (i) las Altas Cortes se han negado a entregar o no han actualizado información profesional de sus funcionarios; y (</w:t>
      </w:r>
      <w:proofErr w:type="spellStart"/>
      <w:r w:rsidRPr="00AB4289">
        <w:rPr>
          <w:sz w:val="28"/>
          <w:szCs w:val="28"/>
          <w:lang w:val="es-ES_tradnl"/>
        </w:rPr>
        <w:t>ii</w:t>
      </w:r>
      <w:proofErr w:type="spellEnd"/>
      <w:r w:rsidRPr="00AB4289">
        <w:rPr>
          <w:sz w:val="28"/>
          <w:szCs w:val="28"/>
          <w:lang w:val="es-ES_tradnl"/>
        </w:rPr>
        <w:t xml:space="preserve">) el nivel de cumplimiento de la Ley de </w:t>
      </w:r>
      <w:r w:rsidRPr="00AB4289">
        <w:rPr>
          <w:sz w:val="28"/>
          <w:szCs w:val="28"/>
          <w:lang w:val="es-ES_tradnl"/>
        </w:rPr>
        <w:lastRenderedPageBreak/>
        <w:t xml:space="preserve">Transparencia por parte de dichas </w:t>
      </w:r>
      <w:r w:rsidR="000D2207" w:rsidRPr="00AB4289">
        <w:rPr>
          <w:sz w:val="28"/>
          <w:szCs w:val="28"/>
          <w:lang w:val="es-ES_tradnl"/>
        </w:rPr>
        <w:t>C</w:t>
      </w:r>
      <w:r w:rsidRPr="00AB4289">
        <w:rPr>
          <w:sz w:val="28"/>
          <w:szCs w:val="28"/>
          <w:lang w:val="es-ES_tradnl"/>
        </w:rPr>
        <w:t>orporaciones es deficiente, toda vez que, en varios casos, la información correspondiente a sus magistrados no se encuentra publicada o actualizada en los medios dispuestos para tal fin.</w:t>
      </w:r>
    </w:p>
    <w:p w14:paraId="1FA710E2" w14:textId="77777777" w:rsidR="00020B47" w:rsidRPr="00AB4289" w:rsidRDefault="00020B47" w:rsidP="00B40BE5">
      <w:pPr>
        <w:jc w:val="both"/>
        <w:rPr>
          <w:sz w:val="28"/>
          <w:szCs w:val="28"/>
          <w:lang w:val="es-ES_tradnl"/>
        </w:rPr>
      </w:pPr>
    </w:p>
    <w:p w14:paraId="42F2274B" w14:textId="4EB45843" w:rsidR="00CB6A53" w:rsidRPr="00AB4289" w:rsidRDefault="008F3E2B" w:rsidP="00B40BE5">
      <w:pPr>
        <w:pStyle w:val="Prrafodelista"/>
        <w:numPr>
          <w:ilvl w:val="0"/>
          <w:numId w:val="2"/>
        </w:numPr>
        <w:ind w:left="0" w:right="49" w:firstLine="0"/>
        <w:jc w:val="both"/>
        <w:rPr>
          <w:sz w:val="28"/>
          <w:szCs w:val="28"/>
          <w:lang w:val="es-ES_tradnl"/>
        </w:rPr>
      </w:pPr>
      <w:r w:rsidRPr="00AB4289">
        <w:rPr>
          <w:sz w:val="28"/>
          <w:szCs w:val="28"/>
          <w:lang w:val="es-ES_tradnl"/>
        </w:rPr>
        <w:t>La</w:t>
      </w:r>
      <w:r w:rsidR="00020B47" w:rsidRPr="00AB4289">
        <w:rPr>
          <w:sz w:val="28"/>
          <w:szCs w:val="28"/>
          <w:lang w:val="es-ES_tradnl"/>
        </w:rPr>
        <w:t xml:space="preserve"> Corte considera necesario llamar la atención sobre la gravedad de esta situación. El hecho de que</w:t>
      </w:r>
      <w:r w:rsidR="00865380" w:rsidRPr="00AB4289">
        <w:rPr>
          <w:sz w:val="28"/>
          <w:szCs w:val="28"/>
          <w:lang w:val="es-ES_tradnl"/>
        </w:rPr>
        <w:t xml:space="preserve"> la ciudadanía sólo pueda acceder a la información pública actualizada de naturaleza laboral, profesional y académica de menos de la mitad de los magistrados</w:t>
      </w:r>
      <w:r w:rsidR="008C0058" w:rsidRPr="00AB4289">
        <w:rPr>
          <w:sz w:val="28"/>
          <w:szCs w:val="28"/>
          <w:lang w:val="es-ES_tradnl"/>
        </w:rPr>
        <w:t xml:space="preserve"> titulares</w:t>
      </w:r>
      <w:r w:rsidR="00865380" w:rsidRPr="00AB4289">
        <w:rPr>
          <w:sz w:val="28"/>
          <w:szCs w:val="28"/>
          <w:lang w:val="es-ES_tradnl"/>
        </w:rPr>
        <w:t xml:space="preserve"> de todas </w:t>
      </w:r>
      <w:r w:rsidR="00203FA8" w:rsidRPr="00AB4289">
        <w:rPr>
          <w:sz w:val="28"/>
          <w:szCs w:val="28"/>
          <w:lang w:val="es-ES_tradnl"/>
        </w:rPr>
        <w:t>las Altas Cortes</w:t>
      </w:r>
      <w:r w:rsidR="00020B47" w:rsidRPr="00AB4289">
        <w:rPr>
          <w:sz w:val="28"/>
          <w:szCs w:val="28"/>
          <w:lang w:val="es-ES_tradnl"/>
        </w:rPr>
        <w:t xml:space="preserve"> evidencia que</w:t>
      </w:r>
      <w:r w:rsidR="001C5035" w:rsidRPr="00AB4289">
        <w:rPr>
          <w:sz w:val="28"/>
          <w:szCs w:val="28"/>
          <w:lang w:val="es-ES_tradnl"/>
        </w:rPr>
        <w:t xml:space="preserve"> los</w:t>
      </w:r>
      <w:r w:rsidR="00020B47" w:rsidRPr="00AB4289">
        <w:rPr>
          <w:sz w:val="28"/>
          <w:szCs w:val="28"/>
          <w:lang w:val="es-ES_tradnl"/>
        </w:rPr>
        <w:t xml:space="preserve"> mecanismo</w:t>
      </w:r>
      <w:r w:rsidR="001C5035" w:rsidRPr="00AB4289">
        <w:rPr>
          <w:sz w:val="28"/>
          <w:szCs w:val="28"/>
          <w:lang w:val="es-ES_tradnl"/>
        </w:rPr>
        <w:t>s</w:t>
      </w:r>
      <w:r w:rsidR="00020B47" w:rsidRPr="00AB4289">
        <w:rPr>
          <w:sz w:val="28"/>
          <w:szCs w:val="28"/>
          <w:lang w:val="es-ES_tradnl"/>
        </w:rPr>
        <w:t xml:space="preserve"> de transparencia previsto</w:t>
      </w:r>
      <w:r w:rsidR="001C5035" w:rsidRPr="00AB4289">
        <w:rPr>
          <w:sz w:val="28"/>
          <w:szCs w:val="28"/>
          <w:lang w:val="es-ES_tradnl"/>
        </w:rPr>
        <w:t>s</w:t>
      </w:r>
      <w:r w:rsidR="00020B47" w:rsidRPr="00AB4289">
        <w:rPr>
          <w:sz w:val="28"/>
          <w:szCs w:val="28"/>
          <w:lang w:val="es-ES_tradnl"/>
        </w:rPr>
        <w:t xml:space="preserve"> en la normativa colombiana no se ha</w:t>
      </w:r>
      <w:r w:rsidR="001C5035" w:rsidRPr="00AB4289">
        <w:rPr>
          <w:sz w:val="28"/>
          <w:szCs w:val="28"/>
          <w:lang w:val="es-ES_tradnl"/>
        </w:rPr>
        <w:t>n</w:t>
      </w:r>
      <w:r w:rsidR="00020B47" w:rsidRPr="00AB4289">
        <w:rPr>
          <w:sz w:val="28"/>
          <w:szCs w:val="28"/>
          <w:lang w:val="es-ES_tradnl"/>
        </w:rPr>
        <w:t xml:space="preserve"> implementado de manera adecuada en los aplicativos dispuestos para ello.</w:t>
      </w:r>
      <w:r w:rsidR="001C5035" w:rsidRPr="00AB4289">
        <w:t xml:space="preserve"> </w:t>
      </w:r>
      <w:r w:rsidR="001C5035" w:rsidRPr="00AB4289">
        <w:rPr>
          <w:sz w:val="28"/>
          <w:szCs w:val="28"/>
          <w:lang w:val="es-ES_tradnl"/>
        </w:rPr>
        <w:t>Incluso</w:t>
      </w:r>
      <w:r w:rsidR="008C0058" w:rsidRPr="00AB4289">
        <w:rPr>
          <w:sz w:val="28"/>
          <w:szCs w:val="28"/>
          <w:lang w:val="es-ES_tradnl"/>
        </w:rPr>
        <w:t>,</w:t>
      </w:r>
      <w:r w:rsidR="001C5035" w:rsidRPr="00AB4289">
        <w:rPr>
          <w:sz w:val="28"/>
          <w:szCs w:val="28"/>
          <w:lang w:val="es-ES_tradnl"/>
        </w:rPr>
        <w:t xml:space="preserve"> quienes integramos esta Corporación debemos contribuir activamente a que esta situación se supere</w:t>
      </w:r>
      <w:r w:rsidR="00B3057C" w:rsidRPr="00AB4289">
        <w:rPr>
          <w:sz w:val="28"/>
          <w:szCs w:val="28"/>
          <w:lang w:val="es-ES_tradnl"/>
        </w:rPr>
        <w:t xml:space="preserve">. </w:t>
      </w:r>
      <w:r w:rsidR="00020B47" w:rsidRPr="00AB4289">
        <w:rPr>
          <w:sz w:val="28"/>
          <w:szCs w:val="28"/>
          <w:lang w:val="es-ES_tradnl"/>
        </w:rPr>
        <w:t xml:space="preserve">Como se señaló en las consideraciones de esta sentencia, </w:t>
      </w:r>
      <w:r w:rsidR="00865380" w:rsidRPr="00AB4289">
        <w:rPr>
          <w:sz w:val="28"/>
          <w:szCs w:val="28"/>
          <w:lang w:val="es-ES_tradnl"/>
        </w:rPr>
        <w:t xml:space="preserve">el acceso a </w:t>
      </w:r>
      <w:r w:rsidR="000E0C80" w:rsidRPr="00AB4289">
        <w:rPr>
          <w:sz w:val="28"/>
          <w:szCs w:val="28"/>
          <w:lang w:val="es-ES_tradnl"/>
        </w:rPr>
        <w:t xml:space="preserve">esta información </w:t>
      </w:r>
      <w:r w:rsidR="00020B47" w:rsidRPr="00AB4289">
        <w:rPr>
          <w:sz w:val="28"/>
          <w:szCs w:val="28"/>
          <w:lang w:val="es-ES_tradnl"/>
        </w:rPr>
        <w:t xml:space="preserve">constituye una herramienta fundamental para prevenir escenarios de corrupción y garantizar el ejercicio íntegro de la función judicial. </w:t>
      </w:r>
    </w:p>
    <w:p w14:paraId="33E8BEEA" w14:textId="77777777" w:rsidR="001C5035" w:rsidRPr="00AB4289" w:rsidRDefault="001C5035" w:rsidP="00B40BE5">
      <w:pPr>
        <w:pStyle w:val="Prrafodelista"/>
        <w:ind w:left="0" w:right="49"/>
        <w:jc w:val="both"/>
        <w:rPr>
          <w:sz w:val="28"/>
          <w:szCs w:val="28"/>
          <w:lang w:val="es-ES_tradnl"/>
        </w:rPr>
      </w:pPr>
    </w:p>
    <w:p w14:paraId="29B36F9A" w14:textId="34B2E708" w:rsidR="00FF7654" w:rsidRPr="00AB4289" w:rsidRDefault="00B3057C" w:rsidP="00B40BE5">
      <w:pPr>
        <w:pStyle w:val="Prrafodelista"/>
        <w:numPr>
          <w:ilvl w:val="0"/>
          <w:numId w:val="2"/>
        </w:numPr>
        <w:ind w:left="0" w:right="49" w:firstLine="0"/>
        <w:jc w:val="both"/>
        <w:rPr>
          <w:sz w:val="28"/>
          <w:szCs w:val="28"/>
          <w:lang w:val="es-ES_tradnl"/>
        </w:rPr>
      </w:pPr>
      <w:r w:rsidRPr="00AB4289">
        <w:rPr>
          <w:sz w:val="28"/>
          <w:szCs w:val="28"/>
          <w:lang w:val="es-ES_tradnl"/>
        </w:rPr>
        <w:t>La existencia de un</w:t>
      </w:r>
      <w:r w:rsidR="008741BA" w:rsidRPr="00AB4289">
        <w:rPr>
          <w:sz w:val="28"/>
          <w:szCs w:val="28"/>
          <w:lang w:val="es-ES_tradnl"/>
        </w:rPr>
        <w:t xml:space="preserve">a situación como la descrita </w:t>
      </w:r>
      <w:r w:rsidRPr="00AB4289">
        <w:rPr>
          <w:sz w:val="28"/>
          <w:szCs w:val="28"/>
          <w:lang w:val="es-ES_tradnl"/>
        </w:rPr>
        <w:t xml:space="preserve">justifica que la Corte se pronuncie frente a todos los actores que pueden incidir en el trámite de publicación de esta información. En consecuencia, la Corte </w:t>
      </w:r>
      <w:r w:rsidR="004B26EB" w:rsidRPr="00AB4289">
        <w:rPr>
          <w:sz w:val="28"/>
          <w:szCs w:val="28"/>
          <w:lang w:val="es-ES_tradnl"/>
        </w:rPr>
        <w:t xml:space="preserve">hará </w:t>
      </w:r>
      <w:proofErr w:type="gramStart"/>
      <w:r w:rsidR="004B26EB" w:rsidRPr="00AB4289">
        <w:rPr>
          <w:sz w:val="28"/>
          <w:szCs w:val="28"/>
          <w:lang w:val="es-ES_tradnl"/>
        </w:rPr>
        <w:t>una análisis</w:t>
      </w:r>
      <w:proofErr w:type="gramEnd"/>
      <w:r w:rsidR="004B26EB" w:rsidRPr="00AB4289">
        <w:rPr>
          <w:sz w:val="28"/>
          <w:szCs w:val="28"/>
          <w:lang w:val="es-ES_tradnl"/>
        </w:rPr>
        <w:t xml:space="preserve"> sobre la responsabilidad que tienen conjuntamente </w:t>
      </w:r>
      <w:r w:rsidRPr="00AB4289">
        <w:rPr>
          <w:sz w:val="28"/>
          <w:szCs w:val="28"/>
          <w:lang w:val="es-ES_tradnl"/>
        </w:rPr>
        <w:t xml:space="preserve">las </w:t>
      </w:r>
      <w:r w:rsidR="001C5035" w:rsidRPr="00AB4289">
        <w:rPr>
          <w:sz w:val="28"/>
          <w:szCs w:val="28"/>
          <w:lang w:val="es-ES_tradnl"/>
        </w:rPr>
        <w:t>P</w:t>
      </w:r>
      <w:r w:rsidRPr="00AB4289">
        <w:rPr>
          <w:sz w:val="28"/>
          <w:szCs w:val="28"/>
          <w:lang w:val="es-ES_tradnl"/>
        </w:rPr>
        <w:t xml:space="preserve">residencias, </w:t>
      </w:r>
      <w:r w:rsidR="001C5035" w:rsidRPr="00AB4289">
        <w:rPr>
          <w:sz w:val="28"/>
          <w:szCs w:val="28"/>
          <w:lang w:val="es-ES_tradnl"/>
        </w:rPr>
        <w:t>S</w:t>
      </w:r>
      <w:r w:rsidRPr="00AB4289">
        <w:rPr>
          <w:sz w:val="28"/>
          <w:szCs w:val="28"/>
          <w:lang w:val="es-ES_tradnl"/>
        </w:rPr>
        <w:t xml:space="preserve">ecretarías o dependencias internas de </w:t>
      </w:r>
      <w:r w:rsidR="001C5035" w:rsidRPr="00AB4289">
        <w:rPr>
          <w:sz w:val="28"/>
          <w:szCs w:val="28"/>
          <w:lang w:val="es-ES_tradnl"/>
        </w:rPr>
        <w:t xml:space="preserve">estas Corporaciones </w:t>
      </w:r>
      <w:r w:rsidRPr="00AB4289">
        <w:rPr>
          <w:sz w:val="28"/>
          <w:szCs w:val="28"/>
          <w:lang w:val="es-ES_tradnl"/>
        </w:rPr>
        <w:t>responsables de custodiar la información, y también a las entidades encargadas de los aplicativos en los que deben publicarse las hojas de vida y las declaraciones, a saber: el Departamento Administrativo de la Función Pública y el Consejo Superior de la Judicatura.</w:t>
      </w:r>
    </w:p>
    <w:p w14:paraId="13184B8F" w14:textId="77777777" w:rsidR="00B3057C" w:rsidRPr="00AB4289" w:rsidRDefault="00B3057C" w:rsidP="00B40BE5">
      <w:pPr>
        <w:jc w:val="both"/>
        <w:rPr>
          <w:sz w:val="28"/>
          <w:szCs w:val="28"/>
          <w:lang w:val="es-ES_tradnl"/>
        </w:rPr>
      </w:pPr>
    </w:p>
    <w:p w14:paraId="78D1953E" w14:textId="5D293157" w:rsidR="00D764E2" w:rsidRPr="00AB4289" w:rsidRDefault="008800DF" w:rsidP="00B40BE5">
      <w:pPr>
        <w:pStyle w:val="Prrafodelista"/>
        <w:numPr>
          <w:ilvl w:val="0"/>
          <w:numId w:val="2"/>
        </w:numPr>
        <w:ind w:left="0" w:right="49" w:firstLine="0"/>
        <w:jc w:val="both"/>
        <w:rPr>
          <w:sz w:val="28"/>
          <w:szCs w:val="28"/>
          <w:lang w:val="es-ES_tradnl"/>
        </w:rPr>
      </w:pPr>
      <w:r w:rsidRPr="00AB4289">
        <w:rPr>
          <w:sz w:val="28"/>
          <w:szCs w:val="28"/>
          <w:lang w:val="es-ES_tradnl"/>
        </w:rPr>
        <w:t xml:space="preserve">Al respecto, </w:t>
      </w:r>
      <w:r w:rsidR="00A40335" w:rsidRPr="00AB4289">
        <w:rPr>
          <w:sz w:val="28"/>
          <w:szCs w:val="28"/>
          <w:lang w:val="es-ES_tradnl"/>
        </w:rPr>
        <w:t xml:space="preserve">es importante destacar que el </w:t>
      </w:r>
      <w:r w:rsidR="00793716" w:rsidRPr="00AB4289">
        <w:rPr>
          <w:sz w:val="28"/>
          <w:szCs w:val="28"/>
          <w:lang w:val="es-ES_tradnl"/>
        </w:rPr>
        <w:t>1</w:t>
      </w:r>
      <w:r w:rsidR="00A40335" w:rsidRPr="00AB4289">
        <w:rPr>
          <w:sz w:val="28"/>
          <w:szCs w:val="28"/>
          <w:lang w:val="es-ES_tradnl"/>
        </w:rPr>
        <w:t xml:space="preserve">5 de julio de 2025 tanto el Departamento Administrativo de la Función Pública como el Consejo Superior de la Judicatura se pronunciaron respecto del rol que desempeñan en la publicación efectiva de la información </w:t>
      </w:r>
      <w:r w:rsidR="000E0C80" w:rsidRPr="00AB4289">
        <w:rPr>
          <w:sz w:val="28"/>
          <w:szCs w:val="28"/>
          <w:lang w:val="es-ES_tradnl"/>
        </w:rPr>
        <w:t xml:space="preserve">de los magistrados de las Altas Cortes. </w:t>
      </w:r>
    </w:p>
    <w:p w14:paraId="1B576FA0" w14:textId="77777777" w:rsidR="00D764E2" w:rsidRPr="00AB4289" w:rsidRDefault="00D764E2" w:rsidP="00B40BE5">
      <w:pPr>
        <w:pStyle w:val="Prrafodelista"/>
        <w:jc w:val="both"/>
        <w:rPr>
          <w:sz w:val="28"/>
          <w:szCs w:val="28"/>
          <w:lang w:val="es-ES_tradnl"/>
        </w:rPr>
      </w:pPr>
    </w:p>
    <w:p w14:paraId="536466FC" w14:textId="25EE9ECD" w:rsidR="00D764E2" w:rsidRPr="00AB4289" w:rsidRDefault="00A370DC" w:rsidP="00B40BE5">
      <w:pPr>
        <w:pStyle w:val="Prrafodelista"/>
        <w:numPr>
          <w:ilvl w:val="0"/>
          <w:numId w:val="2"/>
        </w:numPr>
        <w:ind w:left="0" w:right="49" w:firstLine="0"/>
        <w:jc w:val="both"/>
        <w:rPr>
          <w:sz w:val="28"/>
          <w:szCs w:val="28"/>
          <w:lang w:val="es-ES_tradnl"/>
        </w:rPr>
      </w:pPr>
      <w:r w:rsidRPr="00AB4289">
        <w:rPr>
          <w:sz w:val="28"/>
          <w:szCs w:val="28"/>
          <w:lang w:val="es-ES_tradnl"/>
        </w:rPr>
        <w:t>E</w:t>
      </w:r>
      <w:r w:rsidR="008F3E2B" w:rsidRPr="00AB4289">
        <w:rPr>
          <w:sz w:val="28"/>
          <w:szCs w:val="28"/>
          <w:lang w:val="es-ES_tradnl"/>
        </w:rPr>
        <w:t>l</w:t>
      </w:r>
      <w:r w:rsidR="005111C2" w:rsidRPr="00AB4289">
        <w:rPr>
          <w:sz w:val="28"/>
          <w:szCs w:val="28"/>
          <w:lang w:val="es-ES_tradnl"/>
        </w:rPr>
        <w:t xml:space="preserve"> </w:t>
      </w:r>
      <w:r w:rsidR="008F3E2B" w:rsidRPr="00AB4289">
        <w:rPr>
          <w:sz w:val="28"/>
          <w:szCs w:val="28"/>
          <w:lang w:val="es-ES_tradnl"/>
        </w:rPr>
        <w:t>D</w:t>
      </w:r>
      <w:r w:rsidR="005111C2" w:rsidRPr="00AB4289">
        <w:rPr>
          <w:sz w:val="28"/>
          <w:szCs w:val="28"/>
          <w:lang w:val="es-ES_tradnl"/>
        </w:rPr>
        <w:t xml:space="preserve">epartamento </w:t>
      </w:r>
      <w:r w:rsidR="008F3E2B" w:rsidRPr="00AB4289">
        <w:rPr>
          <w:sz w:val="28"/>
          <w:szCs w:val="28"/>
          <w:lang w:val="es-ES_tradnl"/>
        </w:rPr>
        <w:t>A</w:t>
      </w:r>
      <w:r w:rsidR="005111C2" w:rsidRPr="00AB4289">
        <w:rPr>
          <w:sz w:val="28"/>
          <w:szCs w:val="28"/>
          <w:lang w:val="es-ES_tradnl"/>
        </w:rPr>
        <w:t>dministrativo</w:t>
      </w:r>
      <w:r w:rsidRPr="00AB4289">
        <w:rPr>
          <w:sz w:val="28"/>
          <w:szCs w:val="28"/>
          <w:lang w:val="es-ES_tradnl"/>
        </w:rPr>
        <w:t xml:space="preserve"> señaló que</w:t>
      </w:r>
      <w:r w:rsidR="0015493D" w:rsidRPr="00AB4289">
        <w:rPr>
          <w:sz w:val="28"/>
          <w:szCs w:val="28"/>
          <w:lang w:val="es-ES_tradnl"/>
        </w:rPr>
        <w:t xml:space="preserve"> </w:t>
      </w:r>
      <w:r w:rsidR="00A40335" w:rsidRPr="00AB4289">
        <w:rPr>
          <w:sz w:val="28"/>
          <w:szCs w:val="28"/>
          <w:lang w:val="es-ES_tradnl"/>
        </w:rPr>
        <w:t>la información de los magistrados se sube de manera automática y no hay ning</w:t>
      </w:r>
      <w:r w:rsidR="000345CA" w:rsidRPr="00AB4289">
        <w:rPr>
          <w:sz w:val="28"/>
          <w:szCs w:val="28"/>
          <w:lang w:val="es-ES_tradnl"/>
        </w:rPr>
        <w:t xml:space="preserve">ún filtro </w:t>
      </w:r>
      <w:r w:rsidR="000E0C80" w:rsidRPr="00AB4289">
        <w:rPr>
          <w:sz w:val="28"/>
          <w:szCs w:val="28"/>
          <w:lang w:val="es-ES_tradnl"/>
        </w:rPr>
        <w:t>en</w:t>
      </w:r>
      <w:r w:rsidR="000345CA" w:rsidRPr="00AB4289">
        <w:rPr>
          <w:sz w:val="28"/>
          <w:szCs w:val="28"/>
          <w:lang w:val="es-ES_tradnl"/>
        </w:rPr>
        <w:t xml:space="preserve"> la información. </w:t>
      </w:r>
      <w:r w:rsidR="005111C2" w:rsidRPr="00AB4289">
        <w:rPr>
          <w:sz w:val="28"/>
          <w:szCs w:val="28"/>
          <w:lang w:val="es-ES_tradnl"/>
        </w:rPr>
        <w:t xml:space="preserve">También manifestó </w:t>
      </w:r>
      <w:r w:rsidR="000345CA" w:rsidRPr="00AB4289">
        <w:rPr>
          <w:sz w:val="28"/>
          <w:szCs w:val="28"/>
          <w:lang w:val="es-ES_tradnl"/>
        </w:rPr>
        <w:t xml:space="preserve">que </w:t>
      </w:r>
      <w:r w:rsidR="0015493D" w:rsidRPr="00AB4289">
        <w:rPr>
          <w:sz w:val="28"/>
          <w:szCs w:val="28"/>
          <w:lang w:val="es-ES_tradnl"/>
        </w:rPr>
        <w:t xml:space="preserve">no le corresponde la valoración de los casos particulares, no funge como ente de control y no tiene la capacidad de atribuir responsabilidades individuales en torno </w:t>
      </w:r>
      <w:r w:rsidR="001E6063" w:rsidRPr="00AB4289">
        <w:rPr>
          <w:sz w:val="28"/>
          <w:szCs w:val="28"/>
          <w:lang w:val="es-ES_tradnl"/>
        </w:rPr>
        <w:t xml:space="preserve">a </w:t>
      </w:r>
      <w:r w:rsidR="0015493D" w:rsidRPr="00AB4289">
        <w:rPr>
          <w:sz w:val="28"/>
          <w:szCs w:val="28"/>
          <w:lang w:val="es-ES_tradnl"/>
        </w:rPr>
        <w:t xml:space="preserve">la información registrada por los funcionarios públicos. </w:t>
      </w:r>
      <w:r w:rsidR="005958A9" w:rsidRPr="00AB4289">
        <w:rPr>
          <w:sz w:val="28"/>
          <w:szCs w:val="28"/>
          <w:lang w:val="es-ES_tradnl"/>
        </w:rPr>
        <w:t>Del mismo modo</w:t>
      </w:r>
      <w:r w:rsidR="005111C2" w:rsidRPr="00AB4289">
        <w:rPr>
          <w:sz w:val="28"/>
          <w:szCs w:val="28"/>
          <w:lang w:val="es-ES_tradnl"/>
        </w:rPr>
        <w:t>,</w:t>
      </w:r>
      <w:r w:rsidR="0015493D" w:rsidRPr="00AB4289">
        <w:rPr>
          <w:sz w:val="28"/>
          <w:szCs w:val="28"/>
          <w:lang w:val="es-ES_tradnl"/>
        </w:rPr>
        <w:t xml:space="preserve"> indicó que según la Ley 2013 de 2019 no puede requerir a los sujetos obligados para el cumplimiento de las obligaciones de transparencia. </w:t>
      </w:r>
    </w:p>
    <w:p w14:paraId="4DCFA158" w14:textId="77777777" w:rsidR="00D764E2" w:rsidRPr="00AB4289" w:rsidRDefault="00D764E2" w:rsidP="00B40BE5">
      <w:pPr>
        <w:pStyle w:val="Prrafodelista"/>
        <w:jc w:val="both"/>
        <w:rPr>
          <w:sz w:val="28"/>
          <w:szCs w:val="28"/>
          <w:lang w:val="es-ES_tradnl"/>
        </w:rPr>
      </w:pPr>
    </w:p>
    <w:p w14:paraId="3B2C4686" w14:textId="51A90CEB" w:rsidR="00D764E2" w:rsidRPr="00AB4289" w:rsidRDefault="0015493D" w:rsidP="00B40BE5">
      <w:pPr>
        <w:pStyle w:val="Prrafodelista"/>
        <w:numPr>
          <w:ilvl w:val="0"/>
          <w:numId w:val="2"/>
        </w:numPr>
        <w:ind w:left="0" w:right="49" w:firstLine="0"/>
        <w:jc w:val="both"/>
        <w:rPr>
          <w:sz w:val="28"/>
          <w:szCs w:val="28"/>
          <w:lang w:val="es-ES_tradnl"/>
        </w:rPr>
      </w:pPr>
      <w:r w:rsidRPr="00AB4289">
        <w:rPr>
          <w:sz w:val="28"/>
          <w:szCs w:val="28"/>
          <w:lang w:val="es-ES_tradnl"/>
        </w:rPr>
        <w:lastRenderedPageBreak/>
        <w:t xml:space="preserve">El Consejo Superior de la Judicatura </w:t>
      </w:r>
      <w:r w:rsidR="00CB6AF0" w:rsidRPr="00AB4289">
        <w:rPr>
          <w:sz w:val="28"/>
          <w:szCs w:val="28"/>
          <w:lang w:val="es-ES_tradnl"/>
        </w:rPr>
        <w:t xml:space="preserve">no se pronunció específicamente sobre su responsabilidad en la actualización del aplicativo ni </w:t>
      </w:r>
      <w:r w:rsidR="00A40335" w:rsidRPr="00AB4289">
        <w:rPr>
          <w:sz w:val="28"/>
          <w:szCs w:val="28"/>
          <w:lang w:val="es-ES_tradnl"/>
        </w:rPr>
        <w:t xml:space="preserve">sobre una eventual obligación </w:t>
      </w:r>
      <w:r w:rsidR="00CB6AF0" w:rsidRPr="00AB4289">
        <w:rPr>
          <w:sz w:val="28"/>
          <w:szCs w:val="28"/>
          <w:lang w:val="es-ES_tradnl"/>
        </w:rPr>
        <w:t>de requerir a los sujetos obligados. Sin embargo, señaló que lleva a cabo campañas comunicativas de forma continua para informar sobre la importancia de publicar y mantener actualizado el aplicativo.</w:t>
      </w:r>
    </w:p>
    <w:p w14:paraId="2BD9D9F3" w14:textId="204934C9" w:rsidR="00DF14FF" w:rsidRPr="00AB4289" w:rsidRDefault="00DF14FF" w:rsidP="00B40BE5">
      <w:pPr>
        <w:pStyle w:val="NormalWeb"/>
        <w:spacing w:before="0" w:beforeAutospacing="0" w:after="0" w:afterAutospacing="0"/>
        <w:jc w:val="both"/>
        <w:rPr>
          <w:sz w:val="28"/>
          <w:szCs w:val="28"/>
          <w:lang w:val="es-ES_tradnl"/>
        </w:rPr>
      </w:pPr>
      <w:bookmarkStart w:id="31" w:name="OLE_LINK8"/>
    </w:p>
    <w:p w14:paraId="0D57E07C" w14:textId="0268B4EC" w:rsidR="00293762" w:rsidRPr="00AB4289" w:rsidRDefault="00785BA4" w:rsidP="00B40BE5">
      <w:pPr>
        <w:pStyle w:val="NormalWeb"/>
        <w:numPr>
          <w:ilvl w:val="0"/>
          <w:numId w:val="2"/>
        </w:numPr>
        <w:spacing w:before="0" w:beforeAutospacing="0" w:after="0" w:afterAutospacing="0"/>
        <w:ind w:left="0" w:firstLine="0"/>
        <w:jc w:val="both"/>
        <w:rPr>
          <w:sz w:val="28"/>
          <w:szCs w:val="28"/>
          <w:lang w:val="es-ES_tradnl"/>
        </w:rPr>
      </w:pPr>
      <w:r w:rsidRPr="00AB4289">
        <w:rPr>
          <w:sz w:val="28"/>
          <w:szCs w:val="28"/>
          <w:lang w:val="es-ES_tradnl"/>
        </w:rPr>
        <w:t>Con fundamento en lo expuesto, la Corte concluye que la obligación de declarar la información exigida por la ley recae directamente en cada uno de los magistrados de las Altas Cortes. En efecto, a partir de una interpretación sistemática de las Leyes 190 de 1995, 270 de 1996 y 2013 de 2019, y conforme con el principio de legalidad, se advierte que las entidades encargadas de administrar los aplicativos destinados a la publicación no cuentan con facultades legales para conminar a los funcionarios a cumplir dicha obligación. La responsabilidad de publicar la información corresponde, de manera exclusiva, a los propios magistrados en calidad de sujetos obligados.</w:t>
      </w:r>
    </w:p>
    <w:p w14:paraId="7F4BA453" w14:textId="77777777" w:rsidR="00293762" w:rsidRPr="00AB4289" w:rsidRDefault="00293762" w:rsidP="00B40BE5">
      <w:pPr>
        <w:pStyle w:val="Prrafodelista"/>
        <w:jc w:val="both"/>
        <w:rPr>
          <w:sz w:val="28"/>
          <w:szCs w:val="28"/>
          <w:lang w:val="es-ES_tradnl"/>
        </w:rPr>
      </w:pPr>
    </w:p>
    <w:p w14:paraId="0FD2D314" w14:textId="736271BB" w:rsidR="00E524EF" w:rsidRPr="00AB4289" w:rsidRDefault="005F04CD" w:rsidP="00B40BE5">
      <w:pPr>
        <w:pStyle w:val="NormalWeb"/>
        <w:numPr>
          <w:ilvl w:val="0"/>
          <w:numId w:val="2"/>
        </w:numPr>
        <w:spacing w:before="0" w:beforeAutospacing="0" w:after="0" w:afterAutospacing="0"/>
        <w:ind w:left="0" w:firstLine="0"/>
        <w:jc w:val="both"/>
        <w:rPr>
          <w:sz w:val="28"/>
          <w:szCs w:val="28"/>
          <w:lang w:val="es-ES_tradnl"/>
        </w:rPr>
      </w:pPr>
      <w:r w:rsidRPr="00AB4289">
        <w:rPr>
          <w:sz w:val="28"/>
          <w:szCs w:val="28"/>
          <w:lang w:val="es-ES_tradnl"/>
        </w:rPr>
        <w:t>También se concluye que</w:t>
      </w:r>
      <w:r w:rsidR="00F16321" w:rsidRPr="00AB4289">
        <w:rPr>
          <w:sz w:val="28"/>
          <w:szCs w:val="28"/>
          <w:lang w:val="es-ES_tradnl"/>
        </w:rPr>
        <w:t xml:space="preserve"> es evidente que la información no se encuentra actualizada y que, si bien no siempre es posible identificar con precisión las razones por las cuales no ha sido publicada -pues también es posible que algunos magistrados hayan entregado la información y esta no se haya reflejado en los aplicativos correspondientes</w:t>
      </w:r>
      <w:r w:rsidRPr="00AB4289">
        <w:rPr>
          <w:rStyle w:val="Refdenotaalpie"/>
          <w:sz w:val="28"/>
          <w:szCs w:val="28"/>
          <w:lang w:val="es-ES_tradnl"/>
        </w:rPr>
        <w:footnoteReference w:id="133"/>
      </w:r>
      <w:r w:rsidR="00F16321" w:rsidRPr="00AB4289">
        <w:rPr>
          <w:sz w:val="28"/>
          <w:szCs w:val="28"/>
          <w:lang w:val="es-ES_tradnl"/>
        </w:rPr>
        <w:t xml:space="preserve">-, lo cierto es que persiste una falla en el proceso de gestión y divulgación de la información. </w:t>
      </w:r>
      <w:r w:rsidR="00B3057C" w:rsidRPr="00AB4289">
        <w:rPr>
          <w:sz w:val="28"/>
          <w:szCs w:val="28"/>
          <w:lang w:val="es-ES_tradnl"/>
        </w:rPr>
        <w:t xml:space="preserve">Por tanto, al constatar que </w:t>
      </w:r>
      <w:r w:rsidR="00F16321" w:rsidRPr="00AB4289">
        <w:rPr>
          <w:sz w:val="28"/>
          <w:szCs w:val="28"/>
          <w:lang w:val="es-ES_tradnl"/>
        </w:rPr>
        <w:t xml:space="preserve">el Departamento Administrativo de la Función Pública y el Consejo Superior de la Judicatura </w:t>
      </w:r>
      <w:r w:rsidR="00B3057C" w:rsidRPr="00AB4289">
        <w:rPr>
          <w:sz w:val="28"/>
          <w:szCs w:val="28"/>
          <w:lang w:val="es-ES_tradnl"/>
        </w:rPr>
        <w:t>están legalmente obligadas a garantizar el adecuado funcionamiento de los sistemas y a hacer seguimiento al cumplimiento de</w:t>
      </w:r>
      <w:r w:rsidR="001C5035" w:rsidRPr="00AB4289">
        <w:rPr>
          <w:sz w:val="28"/>
          <w:szCs w:val="28"/>
          <w:lang w:val="es-ES_tradnl"/>
        </w:rPr>
        <w:t>l deber de entrega de la información</w:t>
      </w:r>
      <w:r w:rsidR="00B3057C" w:rsidRPr="00AB4289">
        <w:rPr>
          <w:sz w:val="28"/>
          <w:szCs w:val="28"/>
          <w:lang w:val="es-ES_tradnl"/>
        </w:rPr>
        <w:t xml:space="preserve">, la Corte considera necesario </w:t>
      </w:r>
      <w:r w:rsidR="001C6ED3" w:rsidRPr="00AB4289">
        <w:rPr>
          <w:sz w:val="28"/>
          <w:szCs w:val="28"/>
          <w:lang w:val="es-ES_tradnl"/>
        </w:rPr>
        <w:t xml:space="preserve">emitir una orden para que verifiquen </w:t>
      </w:r>
      <w:r w:rsidR="00B3057C" w:rsidRPr="00AB4289">
        <w:rPr>
          <w:sz w:val="28"/>
          <w:szCs w:val="28"/>
          <w:lang w:val="es-ES_tradnl"/>
        </w:rPr>
        <w:t>que l</w:t>
      </w:r>
      <w:r w:rsidR="001C5035" w:rsidRPr="00AB4289">
        <w:rPr>
          <w:sz w:val="28"/>
          <w:szCs w:val="28"/>
          <w:lang w:val="es-ES_tradnl"/>
        </w:rPr>
        <w:t>os</w:t>
      </w:r>
      <w:r w:rsidR="00B3057C" w:rsidRPr="00AB4289">
        <w:rPr>
          <w:sz w:val="28"/>
          <w:szCs w:val="28"/>
          <w:lang w:val="es-ES_tradnl"/>
        </w:rPr>
        <w:t xml:space="preserve"> </w:t>
      </w:r>
      <w:r w:rsidR="001C5035" w:rsidRPr="00AB4289">
        <w:rPr>
          <w:sz w:val="28"/>
          <w:szCs w:val="28"/>
          <w:lang w:val="es-ES_tradnl"/>
        </w:rPr>
        <w:t>datos</w:t>
      </w:r>
      <w:r w:rsidR="001721E2" w:rsidRPr="00AB4289">
        <w:rPr>
          <w:sz w:val="28"/>
          <w:szCs w:val="28"/>
          <w:lang w:val="es-ES_tradnl"/>
        </w:rPr>
        <w:t xml:space="preserve"> </w:t>
      </w:r>
      <w:r w:rsidR="008B0A3B" w:rsidRPr="00AB4289">
        <w:rPr>
          <w:sz w:val="28"/>
          <w:szCs w:val="28"/>
          <w:lang w:val="es-ES_tradnl"/>
        </w:rPr>
        <w:t xml:space="preserve">efectivamente </w:t>
      </w:r>
      <w:r w:rsidR="001721E2" w:rsidRPr="00AB4289">
        <w:rPr>
          <w:sz w:val="28"/>
          <w:szCs w:val="28"/>
          <w:lang w:val="es-ES_tradnl"/>
        </w:rPr>
        <w:t>suministrados por los magistrados</w:t>
      </w:r>
      <w:r w:rsidR="001C5035" w:rsidRPr="00AB4289">
        <w:rPr>
          <w:sz w:val="28"/>
          <w:szCs w:val="28"/>
          <w:lang w:val="es-ES_tradnl"/>
        </w:rPr>
        <w:t xml:space="preserve"> </w:t>
      </w:r>
      <w:r w:rsidR="00B3057C" w:rsidRPr="00AB4289">
        <w:rPr>
          <w:sz w:val="28"/>
          <w:szCs w:val="28"/>
          <w:lang w:val="es-ES_tradnl"/>
        </w:rPr>
        <w:t>esté</w:t>
      </w:r>
      <w:r w:rsidR="001C5035" w:rsidRPr="00AB4289">
        <w:rPr>
          <w:sz w:val="28"/>
          <w:szCs w:val="28"/>
          <w:lang w:val="es-ES_tradnl"/>
        </w:rPr>
        <w:t>n</w:t>
      </w:r>
      <w:r w:rsidR="00B3057C" w:rsidRPr="00AB4289">
        <w:rPr>
          <w:sz w:val="28"/>
          <w:szCs w:val="28"/>
          <w:lang w:val="es-ES_tradnl"/>
        </w:rPr>
        <w:t xml:space="preserve"> publicad</w:t>
      </w:r>
      <w:r w:rsidR="001C5035" w:rsidRPr="00AB4289">
        <w:rPr>
          <w:sz w:val="28"/>
          <w:szCs w:val="28"/>
          <w:lang w:val="es-ES_tradnl"/>
        </w:rPr>
        <w:t>os</w:t>
      </w:r>
      <w:r w:rsidR="0083131E" w:rsidRPr="00AB4289">
        <w:rPr>
          <w:vertAlign w:val="superscript"/>
        </w:rPr>
        <w:footnoteReference w:id="134"/>
      </w:r>
      <w:r w:rsidR="00E524EF" w:rsidRPr="00AB4289">
        <w:rPr>
          <w:sz w:val="28"/>
          <w:szCs w:val="28"/>
          <w:lang w:val="es-ES_tradnl"/>
        </w:rPr>
        <w:t xml:space="preserve">. Por ello, en la presente sentencia, para </w:t>
      </w:r>
      <w:r w:rsidR="003C27C2" w:rsidRPr="00AB4289">
        <w:rPr>
          <w:sz w:val="28"/>
          <w:szCs w:val="28"/>
          <w:lang w:val="es-ES_tradnl"/>
        </w:rPr>
        <w:t xml:space="preserve">evitar cualquier </w:t>
      </w:r>
      <w:r w:rsidR="008F3E2B" w:rsidRPr="00AB4289">
        <w:rPr>
          <w:sz w:val="28"/>
          <w:szCs w:val="28"/>
          <w:lang w:val="es-ES_tradnl"/>
        </w:rPr>
        <w:t>circunstancia que</w:t>
      </w:r>
      <w:r w:rsidR="00293762" w:rsidRPr="00AB4289">
        <w:rPr>
          <w:sz w:val="28"/>
          <w:szCs w:val="28"/>
          <w:lang w:val="es-ES_tradnl"/>
        </w:rPr>
        <w:t xml:space="preserve"> pueda</w:t>
      </w:r>
      <w:r w:rsidR="008F3E2B" w:rsidRPr="00AB4289">
        <w:rPr>
          <w:sz w:val="28"/>
          <w:szCs w:val="28"/>
          <w:lang w:val="es-ES_tradnl"/>
        </w:rPr>
        <w:t xml:space="preserve"> limit</w:t>
      </w:r>
      <w:r w:rsidR="00293762" w:rsidRPr="00AB4289">
        <w:rPr>
          <w:sz w:val="28"/>
          <w:szCs w:val="28"/>
          <w:lang w:val="es-ES_tradnl"/>
        </w:rPr>
        <w:t>ar</w:t>
      </w:r>
      <w:r w:rsidR="008F3E2B" w:rsidRPr="00AB4289">
        <w:rPr>
          <w:sz w:val="28"/>
          <w:szCs w:val="28"/>
          <w:lang w:val="es-ES_tradnl"/>
        </w:rPr>
        <w:t xml:space="preserve"> el </w:t>
      </w:r>
      <w:r w:rsidR="00E524EF" w:rsidRPr="00AB4289">
        <w:rPr>
          <w:sz w:val="28"/>
          <w:szCs w:val="28"/>
          <w:lang w:val="es-ES_tradnl"/>
        </w:rPr>
        <w:t>acceso a la información pública, se emitirá una orden dirigida a las entidades responsables para que verifiquen la</w:t>
      </w:r>
      <w:r w:rsidR="008F3E2B" w:rsidRPr="00AB4289">
        <w:rPr>
          <w:sz w:val="28"/>
          <w:szCs w:val="28"/>
          <w:lang w:val="es-ES_tradnl"/>
        </w:rPr>
        <w:t xml:space="preserve"> adecuada</w:t>
      </w:r>
      <w:r w:rsidR="00E524EF" w:rsidRPr="00AB4289">
        <w:rPr>
          <w:sz w:val="28"/>
          <w:szCs w:val="28"/>
          <w:lang w:val="es-ES_tradnl"/>
        </w:rPr>
        <w:t xml:space="preserve"> operatividad de estos aplicativos</w:t>
      </w:r>
      <w:r w:rsidR="008F3E2B" w:rsidRPr="00AB4289">
        <w:rPr>
          <w:sz w:val="28"/>
          <w:szCs w:val="28"/>
          <w:lang w:val="es-ES_tradnl"/>
        </w:rPr>
        <w:t>. Esto con</w:t>
      </w:r>
      <w:r w:rsidR="00E524EF" w:rsidRPr="00AB4289">
        <w:rPr>
          <w:sz w:val="28"/>
          <w:szCs w:val="28"/>
          <w:lang w:val="es-ES_tradnl"/>
        </w:rPr>
        <w:t xml:space="preserve"> el fin de garantizar que la </w:t>
      </w:r>
      <w:r w:rsidR="00E524EF" w:rsidRPr="00AB4289">
        <w:rPr>
          <w:sz w:val="28"/>
          <w:szCs w:val="28"/>
          <w:lang w:val="es-ES_tradnl"/>
        </w:rPr>
        <w:lastRenderedPageBreak/>
        <w:t>información suministrada sea efectivamente visible, accesible y actualizada constantemente para la ciudadanía.</w:t>
      </w:r>
    </w:p>
    <w:bookmarkEnd w:id="31"/>
    <w:p w14:paraId="14E5108E" w14:textId="77777777" w:rsidR="00E524EF" w:rsidRPr="00AB4289" w:rsidRDefault="00E524EF" w:rsidP="00B40BE5">
      <w:pPr>
        <w:pStyle w:val="NormalWeb"/>
        <w:spacing w:before="0" w:beforeAutospacing="0" w:after="0" w:afterAutospacing="0"/>
        <w:jc w:val="both"/>
        <w:rPr>
          <w:sz w:val="28"/>
          <w:szCs w:val="28"/>
          <w:lang w:val="es-ES_tradnl"/>
        </w:rPr>
      </w:pPr>
    </w:p>
    <w:p w14:paraId="3F35455D" w14:textId="4AE1F617" w:rsidR="00BC0665" w:rsidRPr="00AB4289" w:rsidRDefault="00DF14FF" w:rsidP="00B40BE5">
      <w:pPr>
        <w:pStyle w:val="Prrafodelista"/>
        <w:numPr>
          <w:ilvl w:val="0"/>
          <w:numId w:val="2"/>
        </w:numPr>
        <w:ind w:left="0" w:right="49" w:firstLine="0"/>
        <w:jc w:val="both"/>
        <w:rPr>
          <w:sz w:val="28"/>
          <w:szCs w:val="28"/>
          <w:lang w:val="es-ES_tradnl"/>
        </w:rPr>
      </w:pPr>
      <w:r w:rsidRPr="00AB4289">
        <w:rPr>
          <w:sz w:val="28"/>
          <w:szCs w:val="28"/>
          <w:lang w:val="es-ES_tradnl"/>
        </w:rPr>
        <w:t>En consecuencia, por</w:t>
      </w:r>
      <w:r w:rsidR="00D3395E" w:rsidRPr="00AB4289">
        <w:rPr>
          <w:sz w:val="28"/>
          <w:szCs w:val="28"/>
          <w:lang w:val="es-ES_tradnl"/>
        </w:rPr>
        <w:t xml:space="preserve"> un lado, se</w:t>
      </w:r>
      <w:r w:rsidR="00D3395E" w:rsidRPr="00AB4289">
        <w:rPr>
          <w:b/>
          <w:bCs/>
          <w:sz w:val="28"/>
          <w:szCs w:val="28"/>
          <w:lang w:val="es-ES_tradnl"/>
        </w:rPr>
        <w:t xml:space="preserve"> </w:t>
      </w:r>
      <w:r w:rsidR="00D3395E" w:rsidRPr="00AB4289">
        <w:rPr>
          <w:sz w:val="28"/>
          <w:szCs w:val="28"/>
          <w:lang w:val="es-ES_tradnl"/>
        </w:rPr>
        <w:t>ordenará al Departamento Administrativo de la Función Pública hacer seguimiento a la operabilidad del “Aplicativo por la Integridad Pública - Consulta Ciudadana”. Así</w:t>
      </w:r>
      <w:r w:rsidR="008800DF" w:rsidRPr="00AB4289">
        <w:rPr>
          <w:sz w:val="28"/>
          <w:szCs w:val="28"/>
          <w:lang w:val="es-ES_tradnl"/>
        </w:rPr>
        <w:t>,</w:t>
      </w:r>
      <w:r w:rsidR="00D3395E" w:rsidRPr="00AB4289">
        <w:rPr>
          <w:sz w:val="28"/>
          <w:szCs w:val="28"/>
          <w:lang w:val="es-ES_tradnl"/>
        </w:rPr>
        <w:t xml:space="preserve"> la entidad deberá, si aún no lo ha hecho, </w:t>
      </w:r>
      <w:r w:rsidR="00D764E2" w:rsidRPr="00AB4289">
        <w:rPr>
          <w:sz w:val="28"/>
          <w:szCs w:val="28"/>
          <w:lang w:val="es-ES_tradnl"/>
        </w:rPr>
        <w:t xml:space="preserve">verificar que se realice de manera adecuada el </w:t>
      </w:r>
      <w:r w:rsidR="00D3395E" w:rsidRPr="00AB4289">
        <w:rPr>
          <w:sz w:val="28"/>
          <w:szCs w:val="28"/>
          <w:lang w:val="es-ES_tradnl"/>
        </w:rPr>
        <w:t>registro y actualización de las declaraciones</w:t>
      </w:r>
      <w:r w:rsidR="008B0A3B" w:rsidRPr="00AB4289">
        <w:rPr>
          <w:sz w:val="28"/>
          <w:szCs w:val="28"/>
          <w:lang w:val="es-ES_tradnl"/>
        </w:rPr>
        <w:t xml:space="preserve"> </w:t>
      </w:r>
      <w:r w:rsidR="001721E2" w:rsidRPr="00AB4289">
        <w:rPr>
          <w:sz w:val="28"/>
          <w:szCs w:val="28"/>
          <w:lang w:val="es-ES_tradnl"/>
        </w:rPr>
        <w:t>efectivamente presentadas</w:t>
      </w:r>
      <w:r w:rsidR="008B0A3B" w:rsidRPr="00AB4289">
        <w:rPr>
          <w:sz w:val="28"/>
          <w:szCs w:val="28"/>
          <w:lang w:val="es-ES_tradnl"/>
        </w:rPr>
        <w:t xml:space="preserve"> por los magistrados</w:t>
      </w:r>
      <w:r w:rsidR="00D3395E" w:rsidRPr="00AB4289">
        <w:rPr>
          <w:sz w:val="28"/>
          <w:szCs w:val="28"/>
          <w:lang w:val="es-ES_tradnl"/>
        </w:rPr>
        <w:t xml:space="preserve">. </w:t>
      </w:r>
    </w:p>
    <w:p w14:paraId="64DB53CF" w14:textId="77777777" w:rsidR="00B32A03" w:rsidRPr="00AB4289" w:rsidRDefault="00B32A03" w:rsidP="00B40BE5">
      <w:pPr>
        <w:pStyle w:val="Prrafodelista"/>
        <w:ind w:left="0" w:right="49"/>
        <w:jc w:val="both"/>
        <w:rPr>
          <w:sz w:val="28"/>
          <w:szCs w:val="28"/>
          <w:lang w:val="es-ES_tradnl"/>
        </w:rPr>
      </w:pPr>
    </w:p>
    <w:p w14:paraId="6DA6E794" w14:textId="77777777" w:rsidR="00EE728C" w:rsidRPr="00AB4289" w:rsidRDefault="00020B47" w:rsidP="00B40BE5">
      <w:pPr>
        <w:pStyle w:val="Prrafodelista"/>
        <w:numPr>
          <w:ilvl w:val="0"/>
          <w:numId w:val="2"/>
        </w:numPr>
        <w:ind w:left="0" w:right="49" w:firstLine="0"/>
        <w:jc w:val="both"/>
        <w:rPr>
          <w:sz w:val="28"/>
          <w:szCs w:val="28"/>
          <w:lang w:val="es-ES_tradnl"/>
        </w:rPr>
      </w:pPr>
      <w:r w:rsidRPr="00AB4289">
        <w:rPr>
          <w:sz w:val="28"/>
          <w:szCs w:val="28"/>
          <w:lang w:val="es-ES_tradnl"/>
        </w:rPr>
        <w:t xml:space="preserve">Por otro lado, se ordenará al Consejo Superior de la Judicatura hacer seguimiento a la operabilidad del “Portal Transparencia” de la página web de la Rama Judicial. </w:t>
      </w:r>
      <w:r w:rsidR="008C0058" w:rsidRPr="00AB4289">
        <w:rPr>
          <w:sz w:val="28"/>
          <w:szCs w:val="28"/>
          <w:lang w:val="es-ES_tradnl"/>
        </w:rPr>
        <w:t>L</w:t>
      </w:r>
      <w:r w:rsidRPr="00AB4289">
        <w:rPr>
          <w:sz w:val="28"/>
          <w:szCs w:val="28"/>
          <w:lang w:val="es-ES_tradnl"/>
        </w:rPr>
        <w:t xml:space="preserve">a </w:t>
      </w:r>
      <w:r w:rsidR="000D2207" w:rsidRPr="00AB4289">
        <w:rPr>
          <w:sz w:val="28"/>
          <w:szCs w:val="28"/>
          <w:lang w:val="es-ES_tradnl"/>
        </w:rPr>
        <w:t>C</w:t>
      </w:r>
      <w:r w:rsidRPr="00AB4289">
        <w:rPr>
          <w:sz w:val="28"/>
          <w:szCs w:val="28"/>
          <w:lang w:val="es-ES_tradnl"/>
        </w:rPr>
        <w:t xml:space="preserve">orporación deberá, si aún no lo ha hecho, </w:t>
      </w:r>
      <w:r w:rsidR="00D764E2" w:rsidRPr="00AB4289">
        <w:rPr>
          <w:sz w:val="28"/>
          <w:szCs w:val="28"/>
          <w:lang w:val="es-ES_tradnl"/>
        </w:rPr>
        <w:t xml:space="preserve">verificar que se realice de manera adecuada el </w:t>
      </w:r>
      <w:r w:rsidRPr="00AB4289">
        <w:rPr>
          <w:sz w:val="28"/>
          <w:szCs w:val="28"/>
          <w:lang w:val="es-ES_tradnl"/>
        </w:rPr>
        <w:t>registro y actualización de las declaraciones</w:t>
      </w:r>
      <w:r w:rsidR="001721E2" w:rsidRPr="00AB4289">
        <w:rPr>
          <w:sz w:val="28"/>
          <w:szCs w:val="28"/>
          <w:lang w:val="es-ES_tradnl"/>
        </w:rPr>
        <w:t xml:space="preserve"> efectivamente presentadas</w:t>
      </w:r>
      <w:r w:rsidR="008B0A3B" w:rsidRPr="00AB4289">
        <w:rPr>
          <w:sz w:val="28"/>
          <w:szCs w:val="28"/>
          <w:lang w:val="es-ES_tradnl"/>
        </w:rPr>
        <w:t xml:space="preserve"> por los magistrados</w:t>
      </w:r>
      <w:r w:rsidRPr="00AB4289">
        <w:rPr>
          <w:rStyle w:val="Refdenotaalpie"/>
          <w:rFonts w:cs="Times New Roman"/>
          <w:sz w:val="28"/>
          <w:szCs w:val="28"/>
          <w:lang w:val="es-ES_tradnl"/>
        </w:rPr>
        <w:footnoteReference w:id="135"/>
      </w:r>
      <w:r w:rsidRPr="00AB4289">
        <w:rPr>
          <w:sz w:val="28"/>
          <w:szCs w:val="28"/>
          <w:lang w:val="es-ES_tradnl"/>
        </w:rPr>
        <w:t xml:space="preserve">. Al Consejo Superior de la judicatura también se le ordenará </w:t>
      </w:r>
      <w:r w:rsidR="008F3E2B" w:rsidRPr="00AB4289">
        <w:rPr>
          <w:sz w:val="28"/>
          <w:szCs w:val="28"/>
          <w:lang w:val="es-ES_tradnl"/>
        </w:rPr>
        <w:t xml:space="preserve">verificar la operatividad del sistema en torno a la actualización de </w:t>
      </w:r>
      <w:r w:rsidRPr="00AB4289">
        <w:rPr>
          <w:sz w:val="28"/>
          <w:szCs w:val="28"/>
          <w:lang w:val="es-ES_tradnl"/>
        </w:rPr>
        <w:t xml:space="preserve">las hojas de vida </w:t>
      </w:r>
      <w:r w:rsidR="008B0A3B" w:rsidRPr="00AB4289">
        <w:rPr>
          <w:sz w:val="28"/>
          <w:szCs w:val="28"/>
          <w:lang w:val="es-ES_tradnl"/>
        </w:rPr>
        <w:t>realizadas por</w:t>
      </w:r>
      <w:r w:rsidRPr="00AB4289">
        <w:rPr>
          <w:sz w:val="28"/>
          <w:szCs w:val="28"/>
          <w:lang w:val="es-ES_tradnl"/>
        </w:rPr>
        <w:t xml:space="preserve"> los magistrados en dicho portal, en la medida que, como se indicó a lo largo de esta providencia, estas también </w:t>
      </w:r>
      <w:r w:rsidR="005C20DA" w:rsidRPr="00AB4289">
        <w:rPr>
          <w:sz w:val="28"/>
          <w:szCs w:val="28"/>
          <w:lang w:val="es-ES_tradnl"/>
        </w:rPr>
        <w:t xml:space="preserve">son </w:t>
      </w:r>
      <w:r w:rsidRPr="00AB4289">
        <w:rPr>
          <w:sz w:val="28"/>
          <w:szCs w:val="28"/>
          <w:lang w:val="es-ES_tradnl"/>
        </w:rPr>
        <w:t xml:space="preserve">publicadas en la página web de la </w:t>
      </w:r>
      <w:r w:rsidR="008800DF" w:rsidRPr="00AB4289">
        <w:rPr>
          <w:sz w:val="28"/>
          <w:szCs w:val="28"/>
          <w:lang w:val="es-ES_tradnl"/>
        </w:rPr>
        <w:t>r</w:t>
      </w:r>
      <w:r w:rsidRPr="00AB4289">
        <w:rPr>
          <w:sz w:val="28"/>
          <w:szCs w:val="28"/>
          <w:lang w:val="es-ES_tradnl"/>
        </w:rPr>
        <w:t>ama</w:t>
      </w:r>
      <w:r w:rsidR="005C20DA" w:rsidRPr="00AB4289">
        <w:rPr>
          <w:sz w:val="28"/>
          <w:szCs w:val="28"/>
          <w:lang w:val="es-ES_tradnl"/>
        </w:rPr>
        <w:t xml:space="preserve"> </w:t>
      </w:r>
      <w:r w:rsidR="008800DF" w:rsidRPr="00AB4289">
        <w:rPr>
          <w:sz w:val="28"/>
          <w:szCs w:val="28"/>
          <w:lang w:val="es-ES_tradnl"/>
        </w:rPr>
        <w:t>j</w:t>
      </w:r>
      <w:r w:rsidR="005C20DA" w:rsidRPr="00AB4289">
        <w:rPr>
          <w:sz w:val="28"/>
          <w:szCs w:val="28"/>
          <w:lang w:val="es-ES_tradnl"/>
        </w:rPr>
        <w:t>udicial</w:t>
      </w:r>
      <w:r w:rsidRPr="00AB4289">
        <w:rPr>
          <w:rStyle w:val="Refdenotaalpie"/>
          <w:rFonts w:cs="Times New Roman"/>
          <w:sz w:val="28"/>
          <w:szCs w:val="28"/>
          <w:lang w:val="es-ES_tradnl"/>
        </w:rPr>
        <w:footnoteReference w:id="136"/>
      </w:r>
      <w:r w:rsidRPr="00AB4289">
        <w:rPr>
          <w:sz w:val="28"/>
          <w:szCs w:val="28"/>
          <w:lang w:val="es-ES_tradnl"/>
        </w:rPr>
        <w:t xml:space="preserve">. </w:t>
      </w:r>
    </w:p>
    <w:p w14:paraId="370EFA40" w14:textId="77777777" w:rsidR="00EE728C" w:rsidRPr="00AB4289" w:rsidRDefault="00EE728C" w:rsidP="00B40BE5">
      <w:pPr>
        <w:pStyle w:val="Prrafodelista"/>
      </w:pPr>
    </w:p>
    <w:p w14:paraId="4F25CED6" w14:textId="540BFF97" w:rsidR="00EE728C" w:rsidRPr="00AB4289" w:rsidRDefault="00EE728C" w:rsidP="00B40BE5">
      <w:pPr>
        <w:pStyle w:val="Prrafodelista"/>
        <w:numPr>
          <w:ilvl w:val="0"/>
          <w:numId w:val="2"/>
        </w:numPr>
        <w:ind w:left="0" w:right="49" w:firstLine="0"/>
        <w:jc w:val="both"/>
        <w:rPr>
          <w:sz w:val="28"/>
          <w:szCs w:val="28"/>
          <w:lang w:val="es-ES_tradnl"/>
        </w:rPr>
      </w:pPr>
      <w:r w:rsidRPr="00AB4289">
        <w:rPr>
          <w:sz w:val="28"/>
          <w:szCs w:val="28"/>
          <w:lang w:val="es-ES_tradnl"/>
        </w:rPr>
        <w:t xml:space="preserve">Ahora bien, como se demostró en esta decisión, es posible que la información cuya publicación es obligatoria conforme a la Ley 2013 de 2019 incluya datos de carácter personal -como la dirección de residencia o el número de teléfono- que podrían poner en riesgo la seguridad e intimidad de los magistrados. </w:t>
      </w:r>
      <w:r w:rsidR="009C3FCB" w:rsidRPr="00AB4289">
        <w:rPr>
          <w:sz w:val="28"/>
          <w:szCs w:val="28"/>
          <w:lang w:val="es-ES_tradnl"/>
        </w:rPr>
        <w:t>En efecto</w:t>
      </w:r>
      <w:r w:rsidRPr="00AB4289">
        <w:rPr>
          <w:sz w:val="28"/>
          <w:szCs w:val="28"/>
          <w:lang w:val="es-ES_tradnl"/>
        </w:rPr>
        <w:t xml:space="preserve">, </w:t>
      </w:r>
      <w:r w:rsidR="009C3FCB" w:rsidRPr="00AB4289">
        <w:rPr>
          <w:sz w:val="28"/>
          <w:szCs w:val="28"/>
          <w:lang w:val="es-ES_tradnl"/>
        </w:rPr>
        <w:t xml:space="preserve">como lo estableció la sentencia C-951 de 2014, es justificable la reserva de cuestiones que reposen en las hojas de vida, expedientes pensionales u otros documentos de orden laboral, así como en las historias clínicas, que afecten el ámbito privado y de intimidad de las personas. Por tanto, </w:t>
      </w:r>
      <w:r w:rsidRPr="00AB4289">
        <w:rPr>
          <w:sz w:val="28"/>
          <w:szCs w:val="28"/>
          <w:lang w:val="es-ES_tradnl"/>
        </w:rPr>
        <w:t>la Corte también exhortará a las entidades competentes para que, en caso de no haberlo hecho aún, revisen el diseño de sus aplicativos y verifiquen que no se exija a los funcionarios consignar información sensible, sino únicamente aquella expresamente prevista en la Ley 2013 de 2019.</w:t>
      </w:r>
      <w:r w:rsidR="00306EFD" w:rsidRPr="00AB4289">
        <w:rPr>
          <w:sz w:val="28"/>
          <w:szCs w:val="28"/>
          <w:lang w:val="es-ES_tradnl"/>
        </w:rPr>
        <w:t xml:space="preserve"> </w:t>
      </w:r>
    </w:p>
    <w:p w14:paraId="13888202" w14:textId="77777777" w:rsidR="00EE728C" w:rsidRPr="00AB4289" w:rsidRDefault="00EE728C" w:rsidP="00B40BE5">
      <w:pPr>
        <w:pStyle w:val="Prrafodelista"/>
        <w:ind w:left="0" w:right="49"/>
        <w:jc w:val="both"/>
        <w:rPr>
          <w:sz w:val="28"/>
          <w:szCs w:val="28"/>
          <w:lang w:val="es-ES_tradnl"/>
        </w:rPr>
      </w:pPr>
    </w:p>
    <w:p w14:paraId="3098858C" w14:textId="5967754E" w:rsidR="00F16321" w:rsidRPr="00AB4289" w:rsidRDefault="00F16321" w:rsidP="00B40BE5">
      <w:pPr>
        <w:pStyle w:val="Prrafodelista"/>
        <w:numPr>
          <w:ilvl w:val="0"/>
          <w:numId w:val="2"/>
        </w:numPr>
        <w:ind w:left="0" w:right="49" w:firstLine="0"/>
        <w:jc w:val="both"/>
        <w:rPr>
          <w:sz w:val="28"/>
          <w:szCs w:val="28"/>
          <w:lang w:val="es-ES_tradnl"/>
        </w:rPr>
      </w:pPr>
      <w:r w:rsidRPr="00AB4289">
        <w:rPr>
          <w:sz w:val="28"/>
          <w:szCs w:val="28"/>
          <w:lang w:val="es-ES_tradnl"/>
        </w:rPr>
        <w:t xml:space="preserve">En la misma línea, </w:t>
      </w:r>
      <w:r w:rsidR="001C5035" w:rsidRPr="00AB4289">
        <w:rPr>
          <w:sz w:val="28"/>
          <w:szCs w:val="28"/>
          <w:lang w:val="es-ES_tradnl"/>
        </w:rPr>
        <w:t xml:space="preserve">se </w:t>
      </w:r>
      <w:r w:rsidR="00F37ADA" w:rsidRPr="00AB4289">
        <w:rPr>
          <w:sz w:val="28"/>
          <w:szCs w:val="28"/>
          <w:lang w:val="es-ES_tradnl"/>
        </w:rPr>
        <w:t xml:space="preserve">exhortará </w:t>
      </w:r>
      <w:r w:rsidR="001C5035" w:rsidRPr="00AB4289">
        <w:rPr>
          <w:sz w:val="28"/>
          <w:szCs w:val="28"/>
          <w:lang w:val="es-ES_tradnl"/>
        </w:rPr>
        <w:t xml:space="preserve">a las Presidencias, Secretarías o dependencias encargadas de administrar la información de los servidores judiciales en cada una de las Altas Cortes para que gestionen y ejerzan el </w:t>
      </w:r>
      <w:r w:rsidR="001C5035" w:rsidRPr="00AB4289">
        <w:rPr>
          <w:sz w:val="28"/>
          <w:szCs w:val="28"/>
          <w:lang w:val="es-ES_tradnl"/>
        </w:rPr>
        <w:lastRenderedPageBreak/>
        <w:t xml:space="preserve">control necesario para asegurar que los funcionarios que están obligados a entregar la información -de conformidad con lo dispuesto en las Leyes 190 de 1995, 270 de 1996 y 2013 de 2019- cumplan con sus deberes de </w:t>
      </w:r>
      <w:r w:rsidR="00093B63" w:rsidRPr="00AB4289">
        <w:rPr>
          <w:sz w:val="28"/>
          <w:szCs w:val="28"/>
          <w:lang w:val="es-ES_tradnl"/>
        </w:rPr>
        <w:t>envío de la información</w:t>
      </w:r>
      <w:r w:rsidR="001C5035" w:rsidRPr="00AB4289">
        <w:rPr>
          <w:sz w:val="28"/>
          <w:szCs w:val="28"/>
          <w:lang w:val="es-ES_tradnl"/>
        </w:rPr>
        <w:t xml:space="preserve"> tanto </w:t>
      </w:r>
      <w:r w:rsidR="00093B63" w:rsidRPr="00AB4289">
        <w:rPr>
          <w:sz w:val="28"/>
          <w:szCs w:val="28"/>
          <w:lang w:val="es-ES_tradnl"/>
        </w:rPr>
        <w:t>al</w:t>
      </w:r>
      <w:r w:rsidR="001C5035" w:rsidRPr="00AB4289">
        <w:rPr>
          <w:sz w:val="28"/>
          <w:szCs w:val="28"/>
          <w:lang w:val="es-ES_tradnl"/>
        </w:rPr>
        <w:t xml:space="preserve"> aplicativo del Consejo Superior de la Judicatura como </w:t>
      </w:r>
      <w:r w:rsidR="00093B63" w:rsidRPr="00AB4289">
        <w:rPr>
          <w:sz w:val="28"/>
          <w:szCs w:val="28"/>
          <w:lang w:val="es-ES_tradnl"/>
        </w:rPr>
        <w:t xml:space="preserve">al aplicativo del </w:t>
      </w:r>
      <w:r w:rsidR="001C5035" w:rsidRPr="00AB4289">
        <w:rPr>
          <w:sz w:val="28"/>
          <w:szCs w:val="28"/>
          <w:lang w:val="es-ES_tradnl"/>
        </w:rPr>
        <w:t>Departamento Administrativo de la Función Pública.</w:t>
      </w:r>
    </w:p>
    <w:p w14:paraId="4BCC89AD" w14:textId="77777777" w:rsidR="00020B47" w:rsidRPr="00AB4289" w:rsidRDefault="00020B47" w:rsidP="00B40BE5">
      <w:pPr>
        <w:pStyle w:val="Prrafodelista"/>
        <w:ind w:left="0" w:right="49"/>
        <w:jc w:val="both"/>
        <w:rPr>
          <w:rStyle w:val="fontstyle21"/>
          <w:rFonts w:eastAsia="SimSun"/>
          <w:lang w:val="es-ES_tradnl"/>
        </w:rPr>
      </w:pPr>
    </w:p>
    <w:p w14:paraId="00CA89E5" w14:textId="5332A9AA" w:rsidR="00020B47" w:rsidRPr="00AB4289" w:rsidRDefault="00E70CC1" w:rsidP="00B40BE5">
      <w:pPr>
        <w:pStyle w:val="Prrafodelista"/>
        <w:numPr>
          <w:ilvl w:val="0"/>
          <w:numId w:val="2"/>
        </w:numPr>
        <w:ind w:left="0" w:right="49" w:firstLine="0"/>
        <w:jc w:val="both"/>
        <w:rPr>
          <w:sz w:val="28"/>
          <w:szCs w:val="28"/>
          <w:lang w:val="es-ES_tradnl"/>
        </w:rPr>
      </w:pPr>
      <w:r w:rsidRPr="00AB4289">
        <w:rPr>
          <w:sz w:val="28"/>
          <w:szCs w:val="28"/>
          <w:lang w:val="es-ES_tradnl"/>
        </w:rPr>
        <w:t>L</w:t>
      </w:r>
      <w:r w:rsidR="00020B47" w:rsidRPr="00AB4289">
        <w:rPr>
          <w:sz w:val="28"/>
          <w:szCs w:val="28"/>
          <w:lang w:val="es-ES_tradnl"/>
        </w:rPr>
        <w:t>a Corte</w:t>
      </w:r>
      <w:r w:rsidR="00306EFD" w:rsidRPr="00AB4289">
        <w:rPr>
          <w:sz w:val="28"/>
          <w:szCs w:val="28"/>
          <w:lang w:val="es-ES_tradnl"/>
        </w:rPr>
        <w:t xml:space="preserve"> a aprovecha esta oportunidad</w:t>
      </w:r>
      <w:r w:rsidRPr="00AB4289">
        <w:rPr>
          <w:sz w:val="28"/>
          <w:szCs w:val="28"/>
          <w:lang w:val="es-ES_tradnl"/>
        </w:rPr>
        <w:t xml:space="preserve"> </w:t>
      </w:r>
      <w:r w:rsidR="00306EFD" w:rsidRPr="00AB4289">
        <w:rPr>
          <w:sz w:val="28"/>
          <w:szCs w:val="28"/>
          <w:lang w:val="es-ES_tradnl"/>
        </w:rPr>
        <w:t>para</w:t>
      </w:r>
      <w:r w:rsidR="001C6ED3" w:rsidRPr="00AB4289">
        <w:rPr>
          <w:sz w:val="28"/>
          <w:szCs w:val="28"/>
          <w:lang w:val="es-ES_tradnl"/>
        </w:rPr>
        <w:t xml:space="preserve"> hace</w:t>
      </w:r>
      <w:r w:rsidR="00306EFD" w:rsidRPr="00AB4289">
        <w:rPr>
          <w:sz w:val="28"/>
          <w:szCs w:val="28"/>
          <w:lang w:val="es-ES_tradnl"/>
        </w:rPr>
        <w:t>rles</w:t>
      </w:r>
      <w:r w:rsidR="001C6ED3" w:rsidRPr="00AB4289">
        <w:rPr>
          <w:sz w:val="28"/>
          <w:szCs w:val="28"/>
          <w:lang w:val="es-ES_tradnl"/>
        </w:rPr>
        <w:t xml:space="preserve"> un llamado a </w:t>
      </w:r>
      <w:r w:rsidR="00020B47" w:rsidRPr="00AB4289">
        <w:rPr>
          <w:sz w:val="28"/>
          <w:szCs w:val="28"/>
          <w:lang w:val="es-ES_tradnl"/>
        </w:rPr>
        <w:t>los magistrados</w:t>
      </w:r>
      <w:r w:rsidR="005C20DA" w:rsidRPr="00AB4289">
        <w:rPr>
          <w:sz w:val="28"/>
          <w:szCs w:val="28"/>
          <w:lang w:val="es-ES_tradnl"/>
        </w:rPr>
        <w:t xml:space="preserve"> titulares</w:t>
      </w:r>
      <w:r w:rsidR="00B32A03" w:rsidRPr="00AB4289">
        <w:rPr>
          <w:sz w:val="28"/>
          <w:szCs w:val="28"/>
          <w:lang w:val="es-ES_tradnl"/>
        </w:rPr>
        <w:t xml:space="preserve"> de las Altas Cortes</w:t>
      </w:r>
      <w:r w:rsidR="00F16321" w:rsidRPr="00AB4289">
        <w:rPr>
          <w:sz w:val="28"/>
          <w:szCs w:val="28"/>
          <w:lang w:val="es-ES_tradnl"/>
        </w:rPr>
        <w:t xml:space="preserve"> </w:t>
      </w:r>
      <w:r w:rsidR="00020B47" w:rsidRPr="00AB4289">
        <w:rPr>
          <w:sz w:val="28"/>
          <w:szCs w:val="28"/>
          <w:lang w:val="es-ES_tradnl"/>
        </w:rPr>
        <w:t>para que</w:t>
      </w:r>
      <w:r w:rsidR="008800DF" w:rsidRPr="00AB4289">
        <w:rPr>
          <w:sz w:val="28"/>
          <w:szCs w:val="28"/>
          <w:lang w:val="es-ES_tradnl"/>
        </w:rPr>
        <w:t>, si aún no lo han hecho,</w:t>
      </w:r>
      <w:r w:rsidR="00020B47" w:rsidRPr="00AB4289">
        <w:rPr>
          <w:sz w:val="28"/>
          <w:szCs w:val="28"/>
          <w:lang w:val="es-ES_tradnl"/>
        </w:rPr>
        <w:t xml:space="preserve"> remitan y mantengan actualizada la información que, conforme a las leyes 190 de 1995, 270 de 1996 y 2013 de 2019, debe ser publicada. Garantizar la transparencia en el ejercicio de la función judicial requiere del compromiso de todos los magistrados -incluidos quienes integramos esta </w:t>
      </w:r>
      <w:r w:rsidR="000D2207" w:rsidRPr="00AB4289">
        <w:rPr>
          <w:sz w:val="28"/>
          <w:szCs w:val="28"/>
          <w:lang w:val="es-ES_tradnl"/>
        </w:rPr>
        <w:t>C</w:t>
      </w:r>
      <w:r w:rsidR="00020B47" w:rsidRPr="00AB4289">
        <w:rPr>
          <w:sz w:val="28"/>
          <w:szCs w:val="28"/>
          <w:lang w:val="es-ES_tradnl"/>
        </w:rPr>
        <w:t>orporación- con el cumplimiento de los deberes de publicidad. En particular, es fundamental reconocer la importancia de las declaraciones de bienes</w:t>
      </w:r>
      <w:r w:rsidR="008800DF" w:rsidRPr="00AB4289">
        <w:rPr>
          <w:sz w:val="28"/>
          <w:szCs w:val="28"/>
          <w:lang w:val="es-ES_tradnl"/>
        </w:rPr>
        <w:t xml:space="preserve"> y rentas</w:t>
      </w:r>
      <w:r w:rsidR="00020B47" w:rsidRPr="00AB4289">
        <w:rPr>
          <w:sz w:val="28"/>
          <w:szCs w:val="28"/>
          <w:lang w:val="es-ES_tradnl"/>
        </w:rPr>
        <w:t xml:space="preserve">, las declaraciones </w:t>
      </w:r>
      <w:r w:rsidR="008800DF" w:rsidRPr="00AB4289">
        <w:rPr>
          <w:sz w:val="28"/>
          <w:szCs w:val="28"/>
          <w:lang w:val="es-ES_tradnl"/>
        </w:rPr>
        <w:t xml:space="preserve">del impuesto sobre </w:t>
      </w:r>
      <w:r w:rsidR="009D01F0" w:rsidRPr="00AB4289">
        <w:rPr>
          <w:sz w:val="28"/>
          <w:szCs w:val="28"/>
          <w:lang w:val="es-ES_tradnl"/>
        </w:rPr>
        <w:t>l</w:t>
      </w:r>
      <w:r w:rsidR="008800DF" w:rsidRPr="00AB4289">
        <w:rPr>
          <w:sz w:val="28"/>
          <w:szCs w:val="28"/>
          <w:lang w:val="es-ES_tradnl"/>
        </w:rPr>
        <w:t>a</w:t>
      </w:r>
      <w:r w:rsidR="00020B47" w:rsidRPr="00AB4289">
        <w:rPr>
          <w:sz w:val="28"/>
          <w:szCs w:val="28"/>
          <w:lang w:val="es-ES_tradnl"/>
        </w:rPr>
        <w:t xml:space="preserve"> renta, los conflictos de interés y las hojas de vida como herramientas esenciales para fortalecer el ejercicio de la función judicial, la rendición de cuentas y la democracia en nuestro país.</w:t>
      </w:r>
    </w:p>
    <w:p w14:paraId="2A2BFCA3" w14:textId="77777777" w:rsidR="00020B47" w:rsidRPr="00AB4289" w:rsidRDefault="00020B47" w:rsidP="00B40BE5">
      <w:pPr>
        <w:pStyle w:val="Prrafodelista"/>
        <w:ind w:left="0" w:right="49"/>
        <w:jc w:val="both"/>
        <w:rPr>
          <w:b/>
          <w:bCs/>
          <w:sz w:val="28"/>
          <w:szCs w:val="28"/>
          <w:lang w:val="es-ES_tradnl"/>
        </w:rPr>
      </w:pPr>
    </w:p>
    <w:p w14:paraId="7487C4BD" w14:textId="7A4ADC68" w:rsidR="00020B47" w:rsidRPr="00AB4289" w:rsidRDefault="00020B47" w:rsidP="00B40BE5">
      <w:pPr>
        <w:pStyle w:val="Ttulo1"/>
        <w:numPr>
          <w:ilvl w:val="0"/>
          <w:numId w:val="41"/>
        </w:numPr>
        <w:spacing w:before="0" w:after="0"/>
        <w:jc w:val="both"/>
        <w:rPr>
          <w:rFonts w:ascii="Times New Roman" w:hAnsi="Times New Roman" w:cs="Times New Roman"/>
          <w:b/>
          <w:bCs/>
          <w:color w:val="000000" w:themeColor="text1"/>
          <w:sz w:val="28"/>
          <w:szCs w:val="28"/>
          <w:lang w:val="es-ES_tradnl"/>
        </w:rPr>
      </w:pPr>
      <w:bookmarkStart w:id="32" w:name="_Toc210202236"/>
      <w:r w:rsidRPr="00AB4289">
        <w:rPr>
          <w:rFonts w:ascii="Times New Roman" w:hAnsi="Times New Roman" w:cs="Times New Roman"/>
          <w:b/>
          <w:bCs/>
          <w:color w:val="000000" w:themeColor="text1"/>
          <w:sz w:val="28"/>
          <w:szCs w:val="28"/>
          <w:lang w:val="es-ES_tradnl"/>
        </w:rPr>
        <w:t>DECISIÓN</w:t>
      </w:r>
      <w:bookmarkEnd w:id="32"/>
    </w:p>
    <w:p w14:paraId="17938A76" w14:textId="77777777" w:rsidR="00020B47" w:rsidRPr="00AB4289" w:rsidRDefault="00020B47" w:rsidP="00B40BE5">
      <w:pPr>
        <w:shd w:val="clear" w:color="auto" w:fill="FFFFFF"/>
        <w:ind w:right="49"/>
        <w:contextualSpacing/>
        <w:jc w:val="both"/>
        <w:rPr>
          <w:sz w:val="28"/>
          <w:szCs w:val="28"/>
          <w:lang w:val="es-ES_tradnl"/>
        </w:rPr>
      </w:pPr>
    </w:p>
    <w:p w14:paraId="123397D4" w14:textId="77777777" w:rsidR="00020B47" w:rsidRPr="00AB4289" w:rsidRDefault="00020B47" w:rsidP="00B40BE5">
      <w:pPr>
        <w:shd w:val="clear" w:color="auto" w:fill="FFFFFF"/>
        <w:ind w:right="49"/>
        <w:jc w:val="both"/>
        <w:rPr>
          <w:sz w:val="28"/>
          <w:szCs w:val="28"/>
          <w:lang w:val="es-ES_tradnl"/>
        </w:rPr>
      </w:pPr>
      <w:r w:rsidRPr="00AB4289">
        <w:rPr>
          <w:sz w:val="28"/>
          <w:szCs w:val="28"/>
          <w:lang w:val="es-ES_tradnl"/>
        </w:rPr>
        <w:t>En mérito de lo expuesto, la Sala Plena de la Corte Constitucional, en nombre del pueblo y por mandato de la Constitución,</w:t>
      </w:r>
    </w:p>
    <w:p w14:paraId="60545404" w14:textId="77777777" w:rsidR="00020B47" w:rsidRPr="00AB4289" w:rsidRDefault="00020B47" w:rsidP="00B40BE5">
      <w:pPr>
        <w:shd w:val="clear" w:color="auto" w:fill="FFFFFF"/>
        <w:ind w:right="49"/>
        <w:jc w:val="both"/>
        <w:rPr>
          <w:sz w:val="28"/>
          <w:szCs w:val="28"/>
          <w:lang w:val="es-ES_tradnl"/>
        </w:rPr>
      </w:pPr>
    </w:p>
    <w:p w14:paraId="1E27F98B" w14:textId="77777777" w:rsidR="00020B47" w:rsidRPr="00AB4289" w:rsidRDefault="00020B47" w:rsidP="00B40BE5">
      <w:pPr>
        <w:shd w:val="clear" w:color="auto" w:fill="FFFFFF"/>
        <w:ind w:right="49"/>
        <w:jc w:val="center"/>
        <w:rPr>
          <w:b/>
          <w:bCs/>
          <w:sz w:val="28"/>
          <w:szCs w:val="28"/>
          <w:lang w:val="es-ES_tradnl"/>
        </w:rPr>
      </w:pPr>
      <w:r w:rsidRPr="00AB4289">
        <w:rPr>
          <w:b/>
          <w:bCs/>
          <w:sz w:val="28"/>
          <w:szCs w:val="28"/>
          <w:lang w:val="es-ES_tradnl"/>
        </w:rPr>
        <w:t>RESUELVE</w:t>
      </w:r>
    </w:p>
    <w:p w14:paraId="7E9D0609" w14:textId="77777777" w:rsidR="00020B47" w:rsidRPr="00AB4289" w:rsidRDefault="00020B47" w:rsidP="00B40BE5">
      <w:pPr>
        <w:shd w:val="clear" w:color="auto" w:fill="FFFFFF"/>
        <w:ind w:right="49"/>
        <w:jc w:val="both"/>
        <w:rPr>
          <w:b/>
          <w:bCs/>
          <w:sz w:val="28"/>
          <w:szCs w:val="28"/>
          <w:lang w:val="es-ES_tradnl"/>
        </w:rPr>
      </w:pPr>
    </w:p>
    <w:p w14:paraId="4BC72AF9" w14:textId="1233EBA0" w:rsidR="003319FA" w:rsidRPr="00AB4289" w:rsidRDefault="003319FA" w:rsidP="00B40BE5">
      <w:pPr>
        <w:pStyle w:val="NormalWeb"/>
        <w:spacing w:before="0" w:beforeAutospacing="0" w:after="0" w:afterAutospacing="0"/>
        <w:jc w:val="both"/>
        <w:rPr>
          <w:rFonts w:eastAsia="Century Gothic"/>
          <w:color w:val="000000" w:themeColor="text1"/>
          <w:sz w:val="28"/>
          <w:szCs w:val="28"/>
          <w:lang w:val="es-ES" w:eastAsia="en-US"/>
        </w:rPr>
      </w:pPr>
      <w:r w:rsidRPr="00AB4289">
        <w:rPr>
          <w:rFonts w:eastAsia="Century Gothic"/>
          <w:b/>
          <w:bCs/>
          <w:color w:val="000000" w:themeColor="text1"/>
          <w:sz w:val="28"/>
          <w:szCs w:val="28"/>
          <w:lang w:val="es-ES" w:eastAsia="en-US"/>
        </w:rPr>
        <w:t>PRIMERO. REVOCAR</w:t>
      </w:r>
      <w:r w:rsidRPr="00AB4289">
        <w:rPr>
          <w:rFonts w:eastAsia="Century Gothic"/>
          <w:color w:val="000000" w:themeColor="text1"/>
          <w:sz w:val="28"/>
          <w:szCs w:val="28"/>
          <w:lang w:val="es-ES" w:eastAsia="en-US"/>
        </w:rPr>
        <w:t xml:space="preserve"> la </w:t>
      </w:r>
      <w:r w:rsidR="00614CE7">
        <w:rPr>
          <w:rFonts w:eastAsia="Century Gothic"/>
          <w:color w:val="000000" w:themeColor="text1"/>
          <w:sz w:val="28"/>
          <w:szCs w:val="28"/>
          <w:lang w:val="es-ES" w:eastAsia="en-US"/>
        </w:rPr>
        <w:t>s</w:t>
      </w:r>
      <w:r w:rsidRPr="00AB4289">
        <w:rPr>
          <w:rFonts w:eastAsia="Century Gothic"/>
          <w:color w:val="000000" w:themeColor="text1"/>
          <w:sz w:val="28"/>
          <w:szCs w:val="28"/>
          <w:lang w:val="es-ES" w:eastAsia="en-US"/>
        </w:rPr>
        <w:t xml:space="preserve">entencia del 21 de octubre de 2024 de la Sala de Casación Civil de la Corte Suprema de Justicia, que confirmó la </w:t>
      </w:r>
      <w:r w:rsidR="00614CE7">
        <w:rPr>
          <w:rFonts w:eastAsia="Century Gothic"/>
          <w:color w:val="000000" w:themeColor="text1"/>
          <w:sz w:val="28"/>
          <w:szCs w:val="28"/>
          <w:lang w:val="es-ES" w:eastAsia="en-US"/>
        </w:rPr>
        <w:t>s</w:t>
      </w:r>
      <w:r w:rsidRPr="00AB4289">
        <w:rPr>
          <w:rFonts w:eastAsia="Century Gothic"/>
          <w:color w:val="000000" w:themeColor="text1"/>
          <w:sz w:val="28"/>
          <w:szCs w:val="28"/>
          <w:lang w:val="es-ES" w:eastAsia="en-US"/>
        </w:rPr>
        <w:t xml:space="preserve">entencia del 25 de abril de 2024 de la Sala de Decisión de Tutelas No. 3 de la Sala de Casación Penal de esa Corporación, mediante la cual se declaró la carencia actual de objeto por hecho superado. En su lugar, </w:t>
      </w:r>
      <w:r w:rsidRPr="00AB4289">
        <w:rPr>
          <w:rFonts w:eastAsia="Century Gothic"/>
          <w:b/>
          <w:bCs/>
          <w:color w:val="000000" w:themeColor="text1"/>
          <w:sz w:val="28"/>
          <w:szCs w:val="28"/>
          <w:lang w:val="es-ES" w:eastAsia="en-US"/>
        </w:rPr>
        <w:t xml:space="preserve">TUTELAR </w:t>
      </w:r>
      <w:r w:rsidRPr="00AB4289">
        <w:rPr>
          <w:rFonts w:eastAsia="Century Gothic"/>
          <w:color w:val="000000" w:themeColor="text1"/>
          <w:sz w:val="28"/>
          <w:szCs w:val="28"/>
          <w:lang w:val="es-ES" w:eastAsia="en-US"/>
        </w:rPr>
        <w:t xml:space="preserve">los derechos fundamentales de petición, acceso a la información pública y a la libertad de expresión del señor Juan Pablo Barrientos, por los motivos expuestos en la parte considerativa de esta providencia. </w:t>
      </w:r>
    </w:p>
    <w:p w14:paraId="32C865A1" w14:textId="77777777" w:rsidR="003319FA" w:rsidRPr="00AB4289" w:rsidRDefault="003319FA" w:rsidP="00B40BE5">
      <w:pPr>
        <w:pStyle w:val="NormalWeb"/>
        <w:spacing w:before="0" w:beforeAutospacing="0" w:after="0" w:afterAutospacing="0"/>
        <w:jc w:val="both"/>
        <w:rPr>
          <w:rFonts w:eastAsia="Century Gothic"/>
          <w:color w:val="000000" w:themeColor="text1"/>
          <w:sz w:val="28"/>
          <w:szCs w:val="28"/>
          <w:lang w:val="es-ES" w:eastAsia="en-US"/>
        </w:rPr>
      </w:pPr>
    </w:p>
    <w:p w14:paraId="4CEF9CCA" w14:textId="7FAC4C69" w:rsidR="003319FA" w:rsidRPr="00AB4289" w:rsidRDefault="003319FA" w:rsidP="00B40BE5">
      <w:pPr>
        <w:pStyle w:val="Prrafodelista"/>
        <w:shd w:val="clear" w:color="auto" w:fill="FFFFFF"/>
        <w:ind w:left="0"/>
        <w:jc w:val="both"/>
        <w:rPr>
          <w:color w:val="000000" w:themeColor="text1"/>
          <w:sz w:val="28"/>
          <w:szCs w:val="28"/>
          <w:lang w:val="es-ES"/>
        </w:rPr>
      </w:pPr>
      <w:r w:rsidRPr="00AB4289">
        <w:rPr>
          <w:b/>
          <w:bCs/>
          <w:color w:val="000000" w:themeColor="text1"/>
          <w:sz w:val="28"/>
          <w:szCs w:val="28"/>
          <w:lang w:val="es-ES"/>
        </w:rPr>
        <w:t>SEGUNDO. ORDENAR</w:t>
      </w:r>
      <w:r w:rsidRPr="00AB4289">
        <w:rPr>
          <w:color w:val="000000" w:themeColor="text1"/>
          <w:sz w:val="28"/>
          <w:szCs w:val="28"/>
          <w:lang w:val="es-ES"/>
        </w:rPr>
        <w:t xml:space="preserve"> a la Corte Suprema de Justicia que, en el lapso de cinco (5) días siguientes a la notificación de este fallo, disponga la entrega, en el marco de sus competencias, de la información solicitada por el señor Juan Pablo Barrientos en el derecho de petición presentado el día 9 febrero de 2024, conforme a lo señalado en esta providencia. </w:t>
      </w:r>
    </w:p>
    <w:p w14:paraId="1F5EE047" w14:textId="77777777" w:rsidR="003319FA" w:rsidRPr="00AB4289" w:rsidRDefault="003319FA" w:rsidP="00B40BE5">
      <w:pPr>
        <w:pStyle w:val="Prrafodelista"/>
        <w:shd w:val="clear" w:color="auto" w:fill="FFFFFF"/>
        <w:ind w:left="0"/>
        <w:jc w:val="both"/>
        <w:rPr>
          <w:color w:val="000000" w:themeColor="text1"/>
          <w:sz w:val="28"/>
          <w:szCs w:val="28"/>
          <w:lang w:val="es-ES"/>
        </w:rPr>
      </w:pPr>
    </w:p>
    <w:p w14:paraId="15CED70B" w14:textId="77777777" w:rsidR="003319FA" w:rsidRPr="00AB4289" w:rsidRDefault="003319FA" w:rsidP="00B40BE5">
      <w:pPr>
        <w:pStyle w:val="NormalWeb"/>
        <w:tabs>
          <w:tab w:val="left" w:pos="284"/>
          <w:tab w:val="left" w:pos="426"/>
          <w:tab w:val="left" w:pos="567"/>
        </w:tabs>
        <w:spacing w:before="0" w:beforeAutospacing="0" w:after="0" w:afterAutospacing="0"/>
        <w:ind w:right="49"/>
        <w:jc w:val="both"/>
        <w:rPr>
          <w:rFonts w:eastAsia="Century Gothic"/>
          <w:color w:val="000000" w:themeColor="text1"/>
          <w:sz w:val="28"/>
          <w:szCs w:val="28"/>
          <w:lang w:val="es-ES" w:eastAsia="en-US"/>
        </w:rPr>
      </w:pPr>
      <w:r w:rsidRPr="00AB4289">
        <w:rPr>
          <w:rFonts w:eastAsia="Century Gothic"/>
          <w:b/>
          <w:bCs/>
          <w:color w:val="000000" w:themeColor="text1"/>
          <w:sz w:val="28"/>
          <w:szCs w:val="28"/>
          <w:lang w:val="es-ES" w:eastAsia="en-US"/>
        </w:rPr>
        <w:lastRenderedPageBreak/>
        <w:t>TECERO. ORDENAR</w:t>
      </w:r>
      <w:r w:rsidRPr="00AB4289">
        <w:rPr>
          <w:rFonts w:eastAsia="Century Gothic"/>
          <w:color w:val="000000" w:themeColor="text1"/>
          <w:sz w:val="28"/>
          <w:szCs w:val="28"/>
          <w:lang w:val="es-ES" w:eastAsia="en-US"/>
        </w:rPr>
        <w:t xml:space="preserve"> al Departamento Administrativo de la Función Pública que, en el lapso de treinta (30) días siguientes a la notificación de esta decisión, haga las gestiones necesarias en el “Aplicativo por la Integridad Pública - Consulta Ciudadana” para realizar el registro y actualización de las declaraciones sobre el impuesto de renta, las declaraciones de bienes y rentas, y los registros de conflictos de interés efectivamente presentados por los magistrados titulares de las Altas Cortes.</w:t>
      </w:r>
    </w:p>
    <w:p w14:paraId="3B1C6CE8" w14:textId="77777777" w:rsidR="003319FA" w:rsidRPr="00AB4289" w:rsidRDefault="003319FA" w:rsidP="00B40BE5">
      <w:pPr>
        <w:pStyle w:val="Prrafodelista"/>
        <w:shd w:val="clear" w:color="auto" w:fill="FFFFFF"/>
        <w:ind w:left="0"/>
        <w:jc w:val="both"/>
        <w:rPr>
          <w:color w:val="000000" w:themeColor="text1"/>
          <w:sz w:val="28"/>
          <w:szCs w:val="28"/>
          <w:lang w:val="es-ES"/>
        </w:rPr>
      </w:pPr>
    </w:p>
    <w:p w14:paraId="4C8AC4B1" w14:textId="77777777" w:rsidR="003319FA" w:rsidRPr="00AB4289" w:rsidRDefault="003319FA" w:rsidP="00B40BE5">
      <w:pPr>
        <w:pStyle w:val="Prrafodelista"/>
        <w:shd w:val="clear" w:color="auto" w:fill="FFFFFF"/>
        <w:ind w:left="0"/>
        <w:jc w:val="both"/>
        <w:rPr>
          <w:color w:val="000000" w:themeColor="text1"/>
          <w:sz w:val="28"/>
          <w:szCs w:val="28"/>
          <w:lang w:val="es-ES"/>
        </w:rPr>
      </w:pPr>
      <w:r w:rsidRPr="00AB4289">
        <w:rPr>
          <w:b/>
          <w:bCs/>
          <w:color w:val="000000" w:themeColor="text1"/>
          <w:sz w:val="28"/>
          <w:szCs w:val="28"/>
          <w:lang w:val="es-ES"/>
        </w:rPr>
        <w:t>CUARTO. ORDENAR</w:t>
      </w:r>
      <w:r w:rsidRPr="00AB4289">
        <w:rPr>
          <w:color w:val="000000" w:themeColor="text1"/>
          <w:sz w:val="28"/>
          <w:szCs w:val="28"/>
          <w:lang w:val="es-ES"/>
        </w:rPr>
        <w:t xml:space="preserve"> al Consejo Superior de la Judicatura que, en el lapso de treinta (30) días siguientes a la notificación de esta decisión, haga las gestiones necesarias en el “Portal Transparencia” de la página web de la Rama Judicial para realizar el registro y actualización de las declaraciones sobre el impuesto de renta, las declaraciones de bienes y rentas, los registros de conflictos de interés y las hojas de vida efectivamente presentados por los magistrados titulares de las Altas Cortes.</w:t>
      </w:r>
    </w:p>
    <w:p w14:paraId="02A88DED" w14:textId="77777777" w:rsidR="003319FA" w:rsidRPr="00AB4289" w:rsidRDefault="003319FA" w:rsidP="00B40BE5">
      <w:pPr>
        <w:pStyle w:val="Prrafodelista"/>
        <w:shd w:val="clear" w:color="auto" w:fill="FFFFFF"/>
        <w:ind w:left="0"/>
        <w:jc w:val="both"/>
        <w:rPr>
          <w:color w:val="000000" w:themeColor="text1"/>
          <w:sz w:val="28"/>
          <w:szCs w:val="28"/>
          <w:lang w:val="es-ES"/>
        </w:rPr>
      </w:pPr>
    </w:p>
    <w:p w14:paraId="1759657D" w14:textId="77777777" w:rsidR="003319FA" w:rsidRPr="00AB4289" w:rsidRDefault="003319FA" w:rsidP="00B40BE5">
      <w:pPr>
        <w:pStyle w:val="Prrafodelista"/>
        <w:shd w:val="clear" w:color="auto" w:fill="FFFFFF"/>
        <w:ind w:left="0"/>
        <w:jc w:val="both"/>
        <w:rPr>
          <w:color w:val="000000" w:themeColor="text1"/>
          <w:sz w:val="28"/>
          <w:szCs w:val="28"/>
          <w:lang w:val="es-ES"/>
        </w:rPr>
      </w:pPr>
      <w:r w:rsidRPr="00AB4289">
        <w:rPr>
          <w:b/>
          <w:bCs/>
          <w:color w:val="000000" w:themeColor="text1"/>
          <w:sz w:val="28"/>
          <w:szCs w:val="28"/>
          <w:lang w:val="es-ES"/>
        </w:rPr>
        <w:t>QUINTO. EXHORTAR</w:t>
      </w:r>
      <w:r w:rsidRPr="00AB4289">
        <w:rPr>
          <w:color w:val="000000" w:themeColor="text1"/>
          <w:sz w:val="28"/>
          <w:szCs w:val="28"/>
          <w:lang w:val="es-ES"/>
        </w:rPr>
        <w:t xml:space="preserve"> a las Presidencias, Secretarías o dependencias que custodian, poseen o controlan la información de los servidores judiciales en cada una de las Altas Cortes para que gestionen y ejerzan el control necesario para asegurar que los funcionarios que están obligados a entregar la información señalada en la Ley 2013 de 2019 cumplan con sus deberes de envío de la información tanto al aplicativo del Consejo Superior de la Judicatura como al aplicativo del Departamento Administrativo de la Función Pública.</w:t>
      </w:r>
    </w:p>
    <w:p w14:paraId="5B971C37" w14:textId="77777777" w:rsidR="003319FA" w:rsidRPr="00AB4289" w:rsidRDefault="003319FA" w:rsidP="00B40BE5">
      <w:pPr>
        <w:pStyle w:val="Prrafodelista"/>
        <w:shd w:val="clear" w:color="auto" w:fill="FFFFFF"/>
        <w:ind w:left="0"/>
        <w:jc w:val="both"/>
        <w:rPr>
          <w:color w:val="000000" w:themeColor="text1"/>
          <w:sz w:val="28"/>
          <w:szCs w:val="28"/>
          <w:lang w:val="es-ES"/>
        </w:rPr>
      </w:pPr>
    </w:p>
    <w:p w14:paraId="4F22567A" w14:textId="22DE13AC" w:rsidR="003319FA" w:rsidRPr="00AB4289" w:rsidRDefault="003319FA" w:rsidP="00B40BE5">
      <w:pPr>
        <w:pStyle w:val="Prrafodelista"/>
        <w:shd w:val="clear" w:color="auto" w:fill="FFFFFF"/>
        <w:ind w:left="0"/>
        <w:jc w:val="both"/>
        <w:rPr>
          <w:color w:val="000000" w:themeColor="text1"/>
          <w:sz w:val="28"/>
          <w:szCs w:val="28"/>
          <w:lang w:val="es-ES"/>
        </w:rPr>
      </w:pPr>
      <w:r w:rsidRPr="00AB4289">
        <w:rPr>
          <w:b/>
          <w:bCs/>
          <w:color w:val="000000" w:themeColor="text1"/>
          <w:sz w:val="28"/>
          <w:szCs w:val="28"/>
        </w:rPr>
        <w:t>S</w:t>
      </w:r>
      <w:r w:rsidR="009C3FCB" w:rsidRPr="00AB4289">
        <w:rPr>
          <w:b/>
          <w:bCs/>
          <w:color w:val="000000" w:themeColor="text1"/>
          <w:sz w:val="28"/>
          <w:szCs w:val="28"/>
        </w:rPr>
        <w:t>EXTO</w:t>
      </w:r>
      <w:r w:rsidRPr="00AB4289">
        <w:rPr>
          <w:b/>
          <w:bCs/>
          <w:color w:val="000000" w:themeColor="text1"/>
          <w:sz w:val="28"/>
          <w:szCs w:val="28"/>
        </w:rPr>
        <w:t>. EXHORTAR</w:t>
      </w:r>
      <w:r w:rsidRPr="00AB4289">
        <w:rPr>
          <w:color w:val="000000" w:themeColor="text1"/>
          <w:sz w:val="28"/>
          <w:szCs w:val="28"/>
        </w:rPr>
        <w:t xml:space="preserve"> al Departamento Administrativo de la Función Pública y al Consejo Superior de la Judicatura para que, en caso de que aún no lo hayan hecho, dentro de los treinta (30) días siguientes a la notificación de este </w:t>
      </w:r>
      <w:proofErr w:type="gramStart"/>
      <w:r w:rsidRPr="00AB4289">
        <w:rPr>
          <w:color w:val="000000" w:themeColor="text1"/>
          <w:sz w:val="28"/>
          <w:szCs w:val="28"/>
        </w:rPr>
        <w:t>fallo,  revisen</w:t>
      </w:r>
      <w:proofErr w:type="gramEnd"/>
      <w:r w:rsidRPr="00AB4289">
        <w:rPr>
          <w:color w:val="000000" w:themeColor="text1"/>
          <w:sz w:val="28"/>
          <w:szCs w:val="28"/>
        </w:rPr>
        <w:t xml:space="preserve"> el diseño de los aplicativos para asegurarse de que no se exija a los funcionarios consignar información sensible, sino únicamente aquella que corresponda a la expresamente señalada por la Ley 2013 de 2019. Es decir, a aquella cuya divulgación ha sido ordenada de manera directa por el legislador.   </w:t>
      </w:r>
      <w:r w:rsidRPr="00AB4289">
        <w:rPr>
          <w:color w:val="000000" w:themeColor="text1"/>
          <w:sz w:val="28"/>
          <w:szCs w:val="28"/>
          <w:lang w:val="es-ES"/>
        </w:rPr>
        <w:t> </w:t>
      </w:r>
    </w:p>
    <w:p w14:paraId="735C60C2" w14:textId="77777777" w:rsidR="003319FA" w:rsidRPr="00AB4289" w:rsidRDefault="003319FA" w:rsidP="00B40BE5">
      <w:pPr>
        <w:shd w:val="clear" w:color="auto" w:fill="FFFFFF"/>
        <w:jc w:val="both"/>
        <w:rPr>
          <w:color w:val="000000" w:themeColor="text1"/>
          <w:sz w:val="28"/>
          <w:szCs w:val="28"/>
          <w:lang w:val="es-ES"/>
        </w:rPr>
      </w:pPr>
    </w:p>
    <w:p w14:paraId="39F8D588" w14:textId="130128A9" w:rsidR="003319FA" w:rsidRPr="00AB4289" w:rsidRDefault="009C3FCB" w:rsidP="00B40BE5">
      <w:pPr>
        <w:pStyle w:val="Prrafodelista"/>
        <w:shd w:val="clear" w:color="auto" w:fill="FFFFFF"/>
        <w:ind w:left="0"/>
        <w:jc w:val="both"/>
        <w:rPr>
          <w:color w:val="000000" w:themeColor="text1"/>
          <w:sz w:val="28"/>
          <w:szCs w:val="28"/>
          <w:lang w:val="es-ES"/>
        </w:rPr>
      </w:pPr>
      <w:r w:rsidRPr="00AB4289">
        <w:rPr>
          <w:b/>
          <w:bCs/>
          <w:color w:val="000000" w:themeColor="text1"/>
          <w:sz w:val="28"/>
          <w:szCs w:val="28"/>
          <w:lang w:val="es-ES"/>
        </w:rPr>
        <w:t>S</w:t>
      </w:r>
      <w:r w:rsidR="001D120D" w:rsidRPr="00AB4289">
        <w:rPr>
          <w:b/>
          <w:bCs/>
          <w:color w:val="000000" w:themeColor="text1"/>
          <w:sz w:val="28"/>
          <w:szCs w:val="28"/>
          <w:lang w:val="es-ES"/>
        </w:rPr>
        <w:t>É</w:t>
      </w:r>
      <w:r w:rsidRPr="00AB4289">
        <w:rPr>
          <w:b/>
          <w:bCs/>
          <w:color w:val="000000" w:themeColor="text1"/>
          <w:sz w:val="28"/>
          <w:szCs w:val="28"/>
          <w:lang w:val="es-ES"/>
        </w:rPr>
        <w:t>PTIMO</w:t>
      </w:r>
      <w:r w:rsidR="003319FA" w:rsidRPr="00AB4289">
        <w:rPr>
          <w:b/>
          <w:bCs/>
          <w:color w:val="000000" w:themeColor="text1"/>
          <w:sz w:val="28"/>
          <w:szCs w:val="28"/>
          <w:lang w:val="es-ES"/>
        </w:rPr>
        <w:t xml:space="preserve">. </w:t>
      </w:r>
      <w:r w:rsidR="003319FA" w:rsidRPr="00AB4289">
        <w:rPr>
          <w:color w:val="000000" w:themeColor="text1"/>
          <w:sz w:val="28"/>
          <w:szCs w:val="28"/>
          <w:lang w:val="es-ES"/>
        </w:rPr>
        <w:t xml:space="preserve">Por Secretaría General de esta Corporación, </w:t>
      </w:r>
      <w:r w:rsidR="003319FA" w:rsidRPr="00AB4289">
        <w:rPr>
          <w:b/>
          <w:bCs/>
          <w:color w:val="000000" w:themeColor="text1"/>
          <w:sz w:val="28"/>
          <w:szCs w:val="28"/>
          <w:lang w:val="es-ES"/>
        </w:rPr>
        <w:t xml:space="preserve">LÍBRENSE </w:t>
      </w:r>
      <w:r w:rsidR="003319FA" w:rsidRPr="00AB4289">
        <w:rPr>
          <w:color w:val="000000" w:themeColor="text1"/>
          <w:sz w:val="28"/>
          <w:szCs w:val="28"/>
          <w:lang w:val="es-ES"/>
        </w:rPr>
        <w:t>las comunicaciones de que trata el artículo 36 del Decreto 2591 de 1991, para los efectos allí contemplados.</w:t>
      </w:r>
    </w:p>
    <w:p w14:paraId="1A24A131" w14:textId="77777777" w:rsidR="003319FA" w:rsidRDefault="003319FA" w:rsidP="00B40BE5">
      <w:pPr>
        <w:ind w:right="49"/>
        <w:jc w:val="both"/>
        <w:rPr>
          <w:rFonts w:eastAsia="Century Gothic"/>
          <w:color w:val="000000" w:themeColor="text1"/>
          <w:sz w:val="28"/>
          <w:szCs w:val="28"/>
          <w:lang w:val="es-ES"/>
        </w:rPr>
      </w:pPr>
    </w:p>
    <w:p w14:paraId="0D175FF7" w14:textId="77777777" w:rsidR="00C831E3" w:rsidRDefault="00C831E3" w:rsidP="00B40BE5">
      <w:pPr>
        <w:ind w:right="49"/>
        <w:jc w:val="both"/>
        <w:rPr>
          <w:rFonts w:eastAsia="Century Gothic"/>
          <w:color w:val="000000" w:themeColor="text1"/>
          <w:sz w:val="28"/>
          <w:szCs w:val="28"/>
          <w:lang w:val="es-ES"/>
        </w:rPr>
      </w:pPr>
    </w:p>
    <w:p w14:paraId="0A48A607" w14:textId="77777777" w:rsidR="003319FA" w:rsidRPr="003319FA" w:rsidRDefault="003319FA" w:rsidP="00B40BE5">
      <w:pPr>
        <w:ind w:right="49"/>
        <w:jc w:val="both"/>
        <w:rPr>
          <w:rFonts w:eastAsia="Century Gothic"/>
          <w:color w:val="000000" w:themeColor="text1"/>
          <w:sz w:val="28"/>
          <w:szCs w:val="28"/>
          <w:lang w:val="es-ES"/>
        </w:rPr>
      </w:pPr>
      <w:r w:rsidRPr="00AB4289">
        <w:rPr>
          <w:rFonts w:eastAsia="Century Gothic"/>
          <w:color w:val="000000" w:themeColor="text1"/>
          <w:sz w:val="28"/>
          <w:szCs w:val="28"/>
          <w:lang w:val="es-ES"/>
        </w:rPr>
        <w:t>Notifíquese, comuníquese y cúmplase.</w:t>
      </w:r>
      <w:r w:rsidRPr="003319FA">
        <w:rPr>
          <w:rFonts w:eastAsia="Century Gothic"/>
          <w:color w:val="000000" w:themeColor="text1"/>
          <w:sz w:val="28"/>
          <w:szCs w:val="28"/>
          <w:lang w:val="es-ES"/>
        </w:rPr>
        <w:t xml:space="preserve"> </w:t>
      </w:r>
    </w:p>
    <w:p w14:paraId="20160A20" w14:textId="77777777" w:rsidR="003319FA" w:rsidRPr="003319FA" w:rsidRDefault="003319FA" w:rsidP="00B40BE5">
      <w:pPr>
        <w:pStyle w:val="NormalWeb"/>
        <w:spacing w:before="0" w:beforeAutospacing="0" w:after="0" w:afterAutospacing="0"/>
        <w:jc w:val="both"/>
        <w:rPr>
          <w:rFonts w:eastAsia="Century Gothic"/>
          <w:color w:val="000000" w:themeColor="text1"/>
          <w:lang w:val="es-ES" w:eastAsia="en-US"/>
        </w:rPr>
      </w:pPr>
    </w:p>
    <w:p w14:paraId="6B851062" w14:textId="6AD279CF"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2264445A" w14:textId="77777777" w:rsidR="001F0D7E" w:rsidRDefault="001F0D7E" w:rsidP="001F0D7E">
      <w:pPr>
        <w:pStyle w:val="Prrafodelista"/>
        <w:autoSpaceDE w:val="0"/>
        <w:autoSpaceDN w:val="0"/>
        <w:adjustRightInd w:val="0"/>
        <w:ind w:left="0"/>
        <w:jc w:val="center"/>
        <w:rPr>
          <w:rFonts w:eastAsiaTheme="minorHAnsi"/>
          <w:sz w:val="28"/>
          <w:szCs w:val="28"/>
          <w:lang w:val="es-ES_tradnl" w:eastAsia="en-US"/>
        </w:rPr>
      </w:pPr>
    </w:p>
    <w:p w14:paraId="2797DDEE" w14:textId="17A9F474"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455CE42A" w14:textId="463A3497"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JORGE ENRIQUE IBÁÑEZ NAJAR</w:t>
      </w:r>
    </w:p>
    <w:p w14:paraId="4200721A" w14:textId="20137251"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Presidente</w:t>
      </w:r>
    </w:p>
    <w:p w14:paraId="25154998" w14:textId="7B454FA1"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2D0CD318" w14:textId="600B0015"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210F0098" w14:textId="57968E53"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0BB00891" w14:textId="74C8C633"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NATALIA ÁNGEL CABO</w:t>
      </w:r>
    </w:p>
    <w:p w14:paraId="556882B2" w14:textId="0AEF2BF8"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Magistrada</w:t>
      </w:r>
    </w:p>
    <w:p w14:paraId="14768FC1" w14:textId="1E75EE5D"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2D461E5C" w14:textId="76076837"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1535FA0C" w14:textId="52C65FC5"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722C0983" w14:textId="44D04A7F"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HECTOR ALFONSO CARVAJAL LONDOÑO</w:t>
      </w:r>
    </w:p>
    <w:p w14:paraId="05C6B30C" w14:textId="5CF082DF"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Magistrado</w:t>
      </w:r>
    </w:p>
    <w:p w14:paraId="11D991A9" w14:textId="1C07A8C1"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6CE1BE5D" w14:textId="2B50F637"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5C025C58" w14:textId="619D76EE"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71EFEA97" w14:textId="415FF3AF"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JUAN CARLOS CORTÉS GONZÁLEZ</w:t>
      </w:r>
    </w:p>
    <w:p w14:paraId="1914643B" w14:textId="02ADFBC8"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Magistrado</w:t>
      </w:r>
    </w:p>
    <w:p w14:paraId="67A0DA3B" w14:textId="1868C921"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06F8C78A" w14:textId="110BB6BA"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096DBCE3" w14:textId="51F41699"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71F9D4E2" w14:textId="53E299CC"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LINA MARCELA ESCOBAR MARTÍNEZ</w:t>
      </w:r>
    </w:p>
    <w:p w14:paraId="3732F855" w14:textId="3F3F213E"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Magistrada</w:t>
      </w:r>
    </w:p>
    <w:p w14:paraId="73EB1106" w14:textId="58803E36"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4ADF902F" w14:textId="7DAB2A7F"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2A8A38A8" w14:textId="13AC5BE0"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3E803BBB" w14:textId="0489C5D9"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VLADIMIR FERNÁNDEZ ANDRADE</w:t>
      </w:r>
    </w:p>
    <w:p w14:paraId="3477D4FF" w14:textId="675A75D8"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Magistrado</w:t>
      </w:r>
    </w:p>
    <w:p w14:paraId="1467C1DA" w14:textId="2D124956"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31942922" w14:textId="1BFABC5E"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7D1932C5" w14:textId="4ABD9A7D"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57608670" w14:textId="5E3002C0"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PAOLA ANDREA MENESES MOSQUERA</w:t>
      </w:r>
    </w:p>
    <w:p w14:paraId="72E674EF" w14:textId="21E3599A"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Magistrada</w:t>
      </w:r>
    </w:p>
    <w:p w14:paraId="29F12D6E" w14:textId="6FC647BC"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24BAEFA2" w14:textId="3287E8E7"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22FEB199" w14:textId="1FEFFF98"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5F237EDA" w14:textId="55F6E957"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MIGUEL POLO ROSERO</w:t>
      </w:r>
    </w:p>
    <w:p w14:paraId="7C628E49" w14:textId="5E701BDA"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Magistrado</w:t>
      </w:r>
    </w:p>
    <w:p w14:paraId="0DE965B9" w14:textId="0DB2CB24"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lastRenderedPageBreak/>
        <w:t>Aclaración de voto</w:t>
      </w:r>
    </w:p>
    <w:p w14:paraId="1F27D7A2" w14:textId="67B1B193"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26F64300" w14:textId="50750E5F"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35B53545" w14:textId="03C95AFB"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3D790B42" w14:textId="1B19D716"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JOSE FERNANDO REYES CUARTAS</w:t>
      </w:r>
    </w:p>
    <w:p w14:paraId="495D3631" w14:textId="25C5F8A4"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Magistrado</w:t>
      </w:r>
    </w:p>
    <w:p w14:paraId="36E06AF8" w14:textId="415A497B"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Con salvamento de voto</w:t>
      </w:r>
    </w:p>
    <w:p w14:paraId="3FC1D71D" w14:textId="5121092C"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7B69B253" w14:textId="20EB1616"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75BB0E40" w14:textId="241E994C"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p>
    <w:p w14:paraId="11E9CB18" w14:textId="4E41CC1A"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ANDREA LILIANA ROMERO LOPEZ</w:t>
      </w:r>
    </w:p>
    <w:p w14:paraId="4D3FE88C" w14:textId="6902D4D6" w:rsidR="00DC5AE1" w:rsidRDefault="00DC5AE1" w:rsidP="001F0D7E">
      <w:pPr>
        <w:pStyle w:val="Prrafodelista"/>
        <w:autoSpaceDE w:val="0"/>
        <w:autoSpaceDN w:val="0"/>
        <w:adjustRightInd w:val="0"/>
        <w:ind w:left="0"/>
        <w:jc w:val="center"/>
        <w:rPr>
          <w:rFonts w:eastAsiaTheme="minorHAnsi"/>
          <w:sz w:val="28"/>
          <w:szCs w:val="28"/>
          <w:lang w:val="es-ES_tradnl" w:eastAsia="en-US"/>
        </w:rPr>
      </w:pPr>
      <w:r w:rsidRPr="00DC5AE1">
        <w:rPr>
          <w:rFonts w:eastAsiaTheme="minorHAnsi"/>
          <w:sz w:val="28"/>
          <w:szCs w:val="28"/>
          <w:lang w:val="es-ES_tradnl" w:eastAsia="en-US"/>
        </w:rPr>
        <w:t>Secretaria General</w:t>
      </w:r>
    </w:p>
    <w:sectPr w:rsidR="00DC5AE1" w:rsidSect="00276FFC">
      <w:footerReference w:type="even"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F886" w14:textId="77777777" w:rsidR="00B44965" w:rsidRDefault="00B44965" w:rsidP="0050063B">
      <w:r>
        <w:separator/>
      </w:r>
    </w:p>
  </w:endnote>
  <w:endnote w:type="continuationSeparator" w:id="0">
    <w:p w14:paraId="657C6561" w14:textId="77777777" w:rsidR="00B44965" w:rsidRDefault="00B44965" w:rsidP="0050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Work Sans">
    <w:charset w:val="00"/>
    <w:family w:val="auto"/>
    <w:pitch w:val="variable"/>
    <w:sig w:usb0="A00000FF" w:usb1="5000E07B" w:usb2="00000000"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22396936"/>
      <w:docPartObj>
        <w:docPartGallery w:val="Page Numbers (Bottom of Page)"/>
        <w:docPartUnique/>
      </w:docPartObj>
    </w:sdtPr>
    <w:sdtEndPr>
      <w:rPr>
        <w:rStyle w:val="Nmerodepgina"/>
      </w:rPr>
    </w:sdtEndPr>
    <w:sdtContent>
      <w:p w14:paraId="55E6AA40" w14:textId="5DAB87B8" w:rsidR="005F666D" w:rsidRDefault="005F666D" w:rsidP="004B26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B3D9E18" w14:textId="77777777" w:rsidR="005F666D" w:rsidRDefault="005F666D" w:rsidP="005F666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45161763"/>
      <w:docPartObj>
        <w:docPartGallery w:val="Page Numbers (Bottom of Page)"/>
        <w:docPartUnique/>
      </w:docPartObj>
    </w:sdtPr>
    <w:sdtEndPr>
      <w:rPr>
        <w:rStyle w:val="Nmerodepgina"/>
      </w:rPr>
    </w:sdtEndPr>
    <w:sdtContent>
      <w:p w14:paraId="1D5C9FA9" w14:textId="77B77249" w:rsidR="005F666D" w:rsidRDefault="005F666D" w:rsidP="004B26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52</w:t>
        </w:r>
        <w:r>
          <w:rPr>
            <w:rStyle w:val="Nmerodepgina"/>
          </w:rPr>
          <w:fldChar w:fldCharType="end"/>
        </w:r>
      </w:p>
    </w:sdtContent>
  </w:sdt>
  <w:p w14:paraId="75857EC1" w14:textId="77777777" w:rsidR="005F666D" w:rsidRDefault="005F666D" w:rsidP="005F666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A9B57" w14:textId="77777777" w:rsidR="00B44965" w:rsidRDefault="00B44965" w:rsidP="0050063B">
      <w:r>
        <w:separator/>
      </w:r>
    </w:p>
  </w:footnote>
  <w:footnote w:type="continuationSeparator" w:id="0">
    <w:p w14:paraId="22221D9E" w14:textId="77777777" w:rsidR="00B44965" w:rsidRDefault="00B44965" w:rsidP="0050063B">
      <w:r>
        <w:continuationSeparator/>
      </w:r>
    </w:p>
  </w:footnote>
  <w:footnote w:id="1">
    <w:p w14:paraId="09933BF4" w14:textId="77777777" w:rsidR="00A23883" w:rsidRPr="00AB4289" w:rsidRDefault="00A23883"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Expediente digital. Archivo denominado “2_11001023000020240038000-(2024-11-08 12-48-57)-1731088137-1.pdf”. </w:t>
      </w:r>
    </w:p>
  </w:footnote>
  <w:footnote w:id="2">
    <w:p w14:paraId="706FC4B9" w14:textId="77777777" w:rsidR="00A23883" w:rsidRPr="00AB4289" w:rsidRDefault="00A23883"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Expediente digital. Archivo denominado “2_11001023000020240038000-(2024-11-08 12-48-</w:t>
      </w:r>
      <w:r w:rsidRPr="00AB4289">
        <w:rPr>
          <w:rFonts w:cs="Times New Roman"/>
          <w:lang w:val="es-ES_tradnl"/>
        </w:rPr>
        <w:t>57)-1731088137-1.pdf”. Anexo 1.</w:t>
      </w:r>
    </w:p>
  </w:footnote>
  <w:footnote w:id="3">
    <w:p w14:paraId="0ADAD92F" w14:textId="77777777" w:rsidR="00A23883" w:rsidRPr="00AB4289" w:rsidRDefault="00A23883"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Expediente digital. Archivo </w:t>
      </w:r>
      <w:r w:rsidRPr="00AB4289">
        <w:rPr>
          <w:rFonts w:cs="Times New Roman"/>
          <w:lang w:val="es-ES_tradnl"/>
        </w:rPr>
        <w:t>denominado“2_11001023000020240038000-(2024-11-08 12-48-57)-1731088137-1.pdf”.</w:t>
      </w:r>
    </w:p>
  </w:footnote>
  <w:footnote w:id="4">
    <w:p w14:paraId="08CA89D0" w14:textId="77777777" w:rsidR="00A23883" w:rsidRPr="00AB4289" w:rsidRDefault="00A23883" w:rsidP="0045457F">
      <w:pPr>
        <w:pStyle w:val="Textonotapie"/>
        <w:rPr>
          <w:rFonts w:cs="Times New Roman"/>
          <w:vertAlign w:val="superscript"/>
          <w:lang w:val="es-ES_tradnl"/>
        </w:rPr>
      </w:pPr>
      <w:r w:rsidRPr="00AB4289">
        <w:rPr>
          <w:rStyle w:val="Refdenotaalpie"/>
          <w:rFonts w:cs="Times New Roman"/>
          <w:lang w:val="es-ES_tradnl"/>
        </w:rPr>
        <w:footnoteRef/>
      </w:r>
      <w:r w:rsidRPr="00AB4289">
        <w:rPr>
          <w:rFonts w:cs="Times New Roman"/>
          <w:vertAlign w:val="superscript"/>
          <w:lang w:val="es-ES_tradnl"/>
        </w:rPr>
        <w:t xml:space="preserve"> </w:t>
      </w:r>
      <w:r w:rsidRPr="00AB4289">
        <w:rPr>
          <w:rFonts w:cs="Times New Roman"/>
          <w:lang w:val="es-ES_tradnl"/>
        </w:rPr>
        <w:t>Expediente digital. Archivo denominado “2_11001023000020240038000-(2024-11-08 12-48-</w:t>
      </w:r>
      <w:r w:rsidRPr="00AB4289">
        <w:rPr>
          <w:rFonts w:cs="Times New Roman"/>
          <w:lang w:val="es-ES_tradnl"/>
        </w:rPr>
        <w:t>57)-1731088137-1.pdf”. Página 1.</w:t>
      </w:r>
    </w:p>
  </w:footnote>
  <w:footnote w:id="5">
    <w:p w14:paraId="5D15AAB5" w14:textId="48E35B1E" w:rsidR="00A23883" w:rsidRPr="00AB4289" w:rsidRDefault="00A23883"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Por medio de la cual se regula el Derecho Fundamental de Petición y se sustituye un título del Código de Procedimiento Administrativo y de lo Contencioso Administrativo</w:t>
      </w:r>
      <w:r w:rsidR="0079686C" w:rsidRPr="00AB4289">
        <w:rPr>
          <w:rFonts w:cs="Times New Roman"/>
          <w:lang w:val="es-ES_tradnl"/>
        </w:rPr>
        <w:t>.</w:t>
      </w:r>
    </w:p>
  </w:footnote>
  <w:footnote w:id="6">
    <w:p w14:paraId="2342B9CC" w14:textId="7502CF14" w:rsidR="00A23883" w:rsidRPr="00AB4289" w:rsidRDefault="00A23883"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vertAlign w:val="superscript"/>
          <w:lang w:val="es-ES_tradnl"/>
        </w:rPr>
        <w:t xml:space="preserve"> </w:t>
      </w:r>
      <w:r w:rsidRPr="00AB4289">
        <w:rPr>
          <w:rFonts w:cs="Times New Roman"/>
          <w:lang w:val="es-ES_tradnl"/>
        </w:rPr>
        <w:t>El artículo 13 establece que “</w:t>
      </w:r>
      <w:r w:rsidR="0079686C" w:rsidRPr="00AB4289">
        <w:rPr>
          <w:rFonts w:cs="Times New Roman"/>
          <w:lang w:val="es-ES_tradnl"/>
        </w:rPr>
        <w:t>t</w:t>
      </w:r>
      <w:r w:rsidRPr="00AB4289">
        <w:rPr>
          <w:rFonts w:cs="Times New Roman"/>
          <w:lang w:val="es-ES_tradnl"/>
        </w:rPr>
        <w: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p>
  </w:footnote>
  <w:footnote w:id="7">
    <w:p w14:paraId="51DE8AFE" w14:textId="3234BE53" w:rsidR="00A23883" w:rsidRPr="00AB4289" w:rsidRDefault="00A23883"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vertAlign w:val="superscript"/>
          <w:lang w:val="es-ES_tradnl"/>
        </w:rPr>
        <w:t xml:space="preserve"> </w:t>
      </w:r>
      <w:r w:rsidRPr="00AB4289">
        <w:rPr>
          <w:rFonts w:cs="Times New Roman"/>
          <w:lang w:val="es-ES_tradnl"/>
        </w:rPr>
        <w:t>El artículo 19 establece “</w:t>
      </w:r>
      <w:r w:rsidR="0079686C" w:rsidRPr="00AB4289">
        <w:rPr>
          <w:rFonts w:cs="Times New Roman"/>
          <w:lang w:val="es-ES_tradnl"/>
        </w:rPr>
        <w:t>t</w:t>
      </w:r>
      <w:r w:rsidRPr="00AB4289">
        <w:rPr>
          <w:rFonts w:cs="Times New Roman"/>
          <w:lang w:val="es-ES_tradnl"/>
        </w:rPr>
        <w: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footnote>
  <w:footnote w:id="8">
    <w:p w14:paraId="618721D7" w14:textId="77777777" w:rsidR="00A23883" w:rsidRPr="00AB4289" w:rsidRDefault="00A23883"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Expediente digital. Archivo “</w:t>
      </w:r>
      <w:hyperlink r:id="rId1" w:tgtFrame="_new" w:tooltip="03AUTOADMISORIOYOINADMISORIO.pdf" w:history="1">
        <w:r w:rsidRPr="00AB4289">
          <w:rPr>
            <w:rFonts w:cs="Times New Roman"/>
            <w:shd w:val="clear" w:color="auto" w:fill="FFFFFF"/>
            <w:lang w:val="es-ES_tradnl"/>
          </w:rPr>
          <w:t>Auto Admisorio YO Inadmisorio</w:t>
        </w:r>
      </w:hyperlink>
      <w:r w:rsidRPr="00AB4289">
        <w:rPr>
          <w:rFonts w:cs="Times New Roman"/>
          <w:lang w:val="es-ES_tradnl"/>
        </w:rPr>
        <w:t>”, p. 2.</w:t>
      </w:r>
    </w:p>
  </w:footnote>
  <w:footnote w:id="9">
    <w:p w14:paraId="182A20B5" w14:textId="77777777" w:rsidR="00A23883" w:rsidRPr="00AB4289" w:rsidRDefault="00A23883" w:rsidP="0045457F">
      <w:pPr>
        <w:pStyle w:val="Textonotapie"/>
        <w:rPr>
          <w:rFonts w:cs="Times New Roman"/>
          <w:vertAlign w:val="superscript"/>
          <w:lang w:val="es-ES_tradnl"/>
        </w:rPr>
      </w:pPr>
      <w:r w:rsidRPr="00AB4289">
        <w:rPr>
          <w:rStyle w:val="Refdenotaalpie"/>
          <w:rFonts w:cs="Times New Roman"/>
          <w:lang w:val="es-ES_tradnl"/>
        </w:rPr>
        <w:footnoteRef/>
      </w:r>
      <w:r w:rsidRPr="00AB4289">
        <w:rPr>
          <w:rFonts w:cs="Times New Roman"/>
          <w:lang w:val="es-ES_tradnl"/>
        </w:rPr>
        <w:t>Expediente digital. Archivo denominado“2_11001023000020240038000-(2024-11-08 12-48-57)-1731088137-1.pdf”.</w:t>
      </w:r>
    </w:p>
  </w:footnote>
  <w:footnote w:id="10">
    <w:p w14:paraId="23356CF0" w14:textId="77777777" w:rsidR="00A23883" w:rsidRPr="00AB4289" w:rsidRDefault="00A23883"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Expediente digital. Archivo denominado “5_11001023000020240038000-(2024-11-08 12-48-57)-1731088137-4”.</w:t>
      </w:r>
    </w:p>
  </w:footnote>
  <w:footnote w:id="11">
    <w:p w14:paraId="38D09906" w14:textId="20FF32DD" w:rsidR="000B7720" w:rsidRPr="00AB4289" w:rsidRDefault="000B7720"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eastAsia="es-CO"/>
        </w:rPr>
        <w:t>Mediante oficio DP-CSJ -No.° 0042 del 4 de marzo de 2024.</w:t>
      </w:r>
    </w:p>
  </w:footnote>
  <w:footnote w:id="12">
    <w:p w14:paraId="61C8D661" w14:textId="05718FD0" w:rsidR="00A23883" w:rsidRPr="00AB4289" w:rsidRDefault="00A23883" w:rsidP="0045457F">
      <w:pPr>
        <w:pStyle w:val="NormalWeb"/>
        <w:shd w:val="clear" w:color="auto" w:fill="FFFFFF"/>
        <w:spacing w:before="0" w:beforeAutospacing="0" w:after="0" w:afterAutospacing="0"/>
        <w:jc w:val="both"/>
        <w:rPr>
          <w:color w:val="000000" w:themeColor="text1"/>
          <w:sz w:val="20"/>
          <w:szCs w:val="20"/>
          <w:lang w:val="es-ES_tradnl"/>
        </w:rPr>
      </w:pPr>
      <w:r w:rsidRPr="00AB4289">
        <w:rPr>
          <w:rStyle w:val="Refdenotaalpie"/>
          <w:rFonts w:cs="Times New Roman"/>
          <w:color w:val="000000" w:themeColor="text1"/>
          <w:sz w:val="20"/>
          <w:szCs w:val="20"/>
          <w:lang w:val="es-ES_tradnl"/>
        </w:rPr>
        <w:footnoteRef/>
      </w:r>
      <w:r w:rsidRPr="00AB4289">
        <w:rPr>
          <w:color w:val="000000" w:themeColor="text1"/>
          <w:sz w:val="20"/>
          <w:szCs w:val="20"/>
          <w:lang w:val="es-ES_tradnl"/>
        </w:rPr>
        <w:t xml:space="preserve"> </w:t>
      </w:r>
      <w:r w:rsidR="00484DCF" w:rsidRPr="00AB4289">
        <w:rPr>
          <w:color w:val="000000" w:themeColor="text1"/>
          <w:sz w:val="20"/>
          <w:szCs w:val="20"/>
          <w:lang w:val="es-ES_tradnl"/>
        </w:rPr>
        <w:t>“</w:t>
      </w:r>
      <w:r w:rsidR="0079686C" w:rsidRPr="00AB4289">
        <w:rPr>
          <w:b/>
          <w:bCs/>
          <w:color w:val="000000" w:themeColor="text1"/>
          <w:sz w:val="20"/>
          <w:szCs w:val="20"/>
          <w:lang w:val="es-ES_tradnl"/>
        </w:rPr>
        <w:t>Artículo 24</w:t>
      </w:r>
      <w:r w:rsidRPr="00AB4289">
        <w:rPr>
          <w:b/>
          <w:bCs/>
          <w:color w:val="000000" w:themeColor="text1"/>
          <w:sz w:val="20"/>
          <w:szCs w:val="20"/>
          <w:lang w:val="es-ES_tradnl" w:eastAsia="es-CO"/>
        </w:rPr>
        <w:t>. Informaciones y documentos reservados</w:t>
      </w:r>
      <w:r w:rsidRPr="00AB4289">
        <w:rPr>
          <w:color w:val="000000" w:themeColor="text1"/>
          <w:sz w:val="20"/>
          <w:szCs w:val="20"/>
          <w:lang w:val="es-ES_tradnl" w:eastAsia="es-CO"/>
        </w:rPr>
        <w:t>. Solo tendrán carácter reservado las informaciones y documentos expresamente</w:t>
      </w:r>
      <w:r w:rsidRPr="00AB4289">
        <w:rPr>
          <w:color w:val="000000" w:themeColor="text1"/>
          <w:sz w:val="20"/>
          <w:szCs w:val="20"/>
          <w:lang w:val="es-ES_tradnl"/>
        </w:rPr>
        <w:t xml:space="preserve"> </w:t>
      </w:r>
      <w:r w:rsidRPr="00AB4289">
        <w:rPr>
          <w:color w:val="000000" w:themeColor="text1"/>
          <w:sz w:val="20"/>
          <w:szCs w:val="20"/>
          <w:lang w:val="es-ES_tradnl" w:eastAsia="es-CO"/>
        </w:rPr>
        <w:t>sometidos a reserva por la Constitución Política o la ley, y en especial: (…) 3. Los que involucren derechos a la privacidad e intimidad de las personas, incluidas en las hojas de vida, la historia laboral y los expedientes pensionales y demás registros de personal que obren en los archivos de las instituciones públicas o privadas, así como la historia clínica”.</w:t>
      </w:r>
    </w:p>
  </w:footnote>
  <w:footnote w:id="13">
    <w:p w14:paraId="70D542B8" w14:textId="77777777" w:rsidR="00A23883" w:rsidRPr="00AB4289" w:rsidRDefault="00A23883"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Expediente digital. Archivo denominado “6_11001023000020240038000-(2024-11-08 12-48-57)-1731088137-5”.</w:t>
      </w:r>
    </w:p>
  </w:footnote>
  <w:footnote w:id="14">
    <w:p w14:paraId="406D73DF" w14:textId="77777777" w:rsidR="00A23883" w:rsidRPr="00AB4289" w:rsidRDefault="00A23883"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vertAlign w:val="superscript"/>
          <w:lang w:val="es-ES_tradnl"/>
        </w:rPr>
        <w:t xml:space="preserve"> </w:t>
      </w:r>
      <w:r w:rsidRPr="00AB4289">
        <w:rPr>
          <w:rFonts w:cs="Times New Roman"/>
          <w:lang w:val="es-ES_tradnl"/>
        </w:rPr>
        <w:t>Expediente digital. Archivo denominado “6_11001023000020240038000-(2024-11-08 12-48-57)-1731088137-5”. Página 4.</w:t>
      </w:r>
    </w:p>
  </w:footnote>
  <w:footnote w:id="15">
    <w:p w14:paraId="4203028F" w14:textId="13D6F2ED" w:rsidR="00A23883" w:rsidRPr="00AB4289" w:rsidRDefault="00A23883"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vertAlign w:val="superscript"/>
          <w:lang w:val="es-ES_tradnl"/>
        </w:rPr>
        <w:t xml:space="preserve"> </w:t>
      </w:r>
      <w:r w:rsidRPr="00AB4289">
        <w:rPr>
          <w:rFonts w:cs="Times New Roman"/>
          <w:lang w:val="es-ES_tradnl"/>
        </w:rPr>
        <w:t>Expediente digital. Archivo denominado “7_11001023000020240038000-(2024-11-08 12-48-57)-1731088137-6.pdf”</w:t>
      </w:r>
      <w:r w:rsidR="0079686C" w:rsidRPr="00AB4289">
        <w:rPr>
          <w:rFonts w:cs="Times New Roman"/>
          <w:lang w:val="es-ES_tradnl"/>
        </w:rPr>
        <w:t>.</w:t>
      </w:r>
    </w:p>
  </w:footnote>
  <w:footnote w:id="16">
    <w:p w14:paraId="5EA0DC7F" w14:textId="6492A35D" w:rsidR="000B7720" w:rsidRPr="00AB4289" w:rsidRDefault="000B7720"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A través del auto de 28 de febrero de 2025.</w:t>
      </w:r>
    </w:p>
  </w:footnote>
  <w:footnote w:id="17">
    <w:p w14:paraId="4B531A19" w14:textId="77777777" w:rsidR="007D0D2D" w:rsidRPr="00AB4289" w:rsidRDefault="007D0D2D"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La Sala seleccionó el caso con el criterio de “Necesidad de pronunciarse sobre una determinada línea jurisprudencial”.</w:t>
      </w:r>
    </w:p>
  </w:footnote>
  <w:footnote w:id="18">
    <w:p w14:paraId="786096BC" w14:textId="3FF67E4F" w:rsidR="00CE1F19" w:rsidRPr="00AB4289" w:rsidRDefault="00CE1F19"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w:t>
      </w:r>
      <w:r w:rsidR="00BD51C7" w:rsidRPr="00AB4289">
        <w:rPr>
          <w:rFonts w:cs="Times New Roman"/>
          <w:lang w:val="es-ES_tradnl"/>
        </w:rPr>
        <w:t>Esta exigencia significa que el derecho para cuya protección se interpone la acción sea un derecho fundamental propio del demandante y no de otra persona. Lo anterior no se opone a que la defensa de los derechos fundamentales no pueda lograrse a través de representante legal, apoderado judicial o aun de un agente oficioso.</w:t>
      </w:r>
    </w:p>
  </w:footnote>
  <w:footnote w:id="19">
    <w:p w14:paraId="38268BD6" w14:textId="2D035B54" w:rsidR="00CE1F19" w:rsidRPr="00AB4289" w:rsidRDefault="00CE1F19"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w:t>
      </w:r>
      <w:r w:rsidR="005F6C00" w:rsidRPr="00AB4289">
        <w:rPr>
          <w:rFonts w:cs="Times New Roman"/>
          <w:lang w:val="es-ES_tradnl"/>
        </w:rPr>
        <w:t>El requisito de legitimación en la causa por pasiva exige que la acción de tutela sea interpuesta en contra del sujeto presuntamente responsable de la vulneración o amenaza de los derechos fundamentales o el que esté llamado a solventar las pretensiones, sea este una entidad pública o un particular.</w:t>
      </w:r>
    </w:p>
  </w:footnote>
  <w:footnote w:id="20">
    <w:p w14:paraId="74875809" w14:textId="05B6B9E5" w:rsidR="00247920" w:rsidRPr="00AB4289" w:rsidRDefault="00282D4E" w:rsidP="0045457F">
      <w:pPr>
        <w:pStyle w:val="NormalWeb"/>
        <w:tabs>
          <w:tab w:val="left" w:pos="284"/>
          <w:tab w:val="left" w:pos="426"/>
          <w:tab w:val="left" w:pos="567"/>
        </w:tabs>
        <w:spacing w:before="0" w:beforeAutospacing="0" w:after="0" w:afterAutospacing="0"/>
        <w:ind w:right="49"/>
        <w:jc w:val="both"/>
        <w:rPr>
          <w:color w:val="000000" w:themeColor="text1"/>
          <w:sz w:val="20"/>
          <w:szCs w:val="20"/>
          <w:lang w:val="es-ES_tradnl"/>
        </w:rPr>
      </w:pPr>
      <w:r w:rsidRPr="00AB4289">
        <w:rPr>
          <w:rStyle w:val="Refdenotaalpie"/>
          <w:rFonts w:cs="Times New Roman"/>
          <w:color w:val="000000" w:themeColor="text1"/>
          <w:sz w:val="20"/>
          <w:szCs w:val="20"/>
        </w:rPr>
        <w:footnoteRef/>
      </w:r>
      <w:r w:rsidRPr="00AB4289">
        <w:rPr>
          <w:color w:val="000000" w:themeColor="text1"/>
          <w:sz w:val="20"/>
          <w:szCs w:val="20"/>
        </w:rPr>
        <w:t xml:space="preserve"> </w:t>
      </w:r>
      <w:r w:rsidR="00247920" w:rsidRPr="00AB4289">
        <w:rPr>
          <w:color w:val="000000" w:themeColor="text1"/>
          <w:sz w:val="20"/>
          <w:szCs w:val="20"/>
          <w:lang w:val="es-ES_tradnl"/>
        </w:rPr>
        <w:t>Sobre este punto, la sentencias T-165 de 2020 y T-454 de 2024 establecieron que existe una unidad de imputación entre las instituciones y quienes actúan en su nombre, lo que implica que no es necesario verificar la legitimación en la causa por pasiva respecto de las personas naturales que obran en representación de la entidad demandada. Ello obedece a que el comportamiento institucional se materializa a través de las decisiones y actuaciones de sus directivos en el ejercicio de sus funciones.</w:t>
      </w:r>
    </w:p>
    <w:p w14:paraId="74D02789" w14:textId="074950E0" w:rsidR="00282D4E" w:rsidRPr="00AB4289" w:rsidRDefault="00282D4E" w:rsidP="0045457F">
      <w:pPr>
        <w:pStyle w:val="Textonotapie"/>
        <w:rPr>
          <w:rFonts w:cs="Times New Roman"/>
          <w:lang w:val="es-ES_tradnl"/>
        </w:rPr>
      </w:pPr>
    </w:p>
  </w:footnote>
  <w:footnote w:id="21">
    <w:p w14:paraId="390CAF28" w14:textId="6D952D65" w:rsidR="00055EAE" w:rsidRPr="00AB4289" w:rsidRDefault="00055EAE">
      <w:pPr>
        <w:pStyle w:val="Textonotapie"/>
        <w:rPr>
          <w:lang w:val="es-ES_tradnl"/>
        </w:rPr>
      </w:pPr>
      <w:r w:rsidRPr="00AB4289">
        <w:rPr>
          <w:rStyle w:val="Refdenotaalpie"/>
        </w:rPr>
        <w:footnoteRef/>
      </w:r>
      <w:r w:rsidRPr="00AB4289">
        <w:t xml:space="preserve"> </w:t>
      </w:r>
      <w:r w:rsidR="008741BA" w:rsidRPr="00AB4289">
        <w:t xml:space="preserve">El artículo 2 de esta disposición </w:t>
      </w:r>
      <w:r w:rsidR="008741BA" w:rsidRPr="00AB4289">
        <w:rPr>
          <w:rFonts w:eastAsiaTheme="minorEastAsia" w:cs="Times New Roman"/>
          <w:lang w:eastAsia="en-US"/>
        </w:rPr>
        <w:t>establece que los magistrados de las Altas Cortes, Tribunales y de la Justicia Especial para la Paz, el Fiscal General de la Nación, fiscales locales, seccionales y jueces de la República deberán</w:t>
      </w:r>
      <w:r w:rsidR="008741BA" w:rsidRPr="00AB4289">
        <w:rPr>
          <w:rFonts w:ascii="Work Sans" w:hAnsi="Work Sans"/>
          <w:color w:val="333333"/>
          <w:sz w:val="25"/>
          <w:szCs w:val="25"/>
          <w:shd w:val="clear" w:color="auto" w:fill="FFFFFF"/>
        </w:rPr>
        <w:t xml:space="preserve"> </w:t>
      </w:r>
      <w:r w:rsidR="008741BA" w:rsidRPr="00AB4289">
        <w:t>publicar y divulgar la declaración de bienes y rentas, del registro de conflictos de interés y la declaración del impuesto sobre la renta y complementarios.</w:t>
      </w:r>
    </w:p>
  </w:footnote>
  <w:footnote w:id="22">
    <w:p w14:paraId="04074EE5" w14:textId="4C3C2363" w:rsidR="00055EAE" w:rsidRPr="00AB4289" w:rsidRDefault="00055EAE">
      <w:pPr>
        <w:pStyle w:val="Textonotapie"/>
        <w:rPr>
          <w:lang w:val="es-ES_tradnl"/>
        </w:rPr>
      </w:pPr>
      <w:r w:rsidRPr="00AB4289">
        <w:rPr>
          <w:rStyle w:val="Refdenotaalpie"/>
        </w:rPr>
        <w:footnoteRef/>
      </w:r>
      <w:r w:rsidRPr="00AB4289">
        <w:t xml:space="preserve"> </w:t>
      </w:r>
      <w:r w:rsidR="009B5489" w:rsidRPr="00AB4289">
        <w:t xml:space="preserve">El artículo 2 establece en su numeral </w:t>
      </w:r>
      <w:r w:rsidR="009B5489" w:rsidRPr="00AB4289">
        <w:rPr>
          <w:rFonts w:eastAsiaTheme="minorEastAsia" w:cs="Times New Roman"/>
          <w:lang w:eastAsia="en-US"/>
        </w:rPr>
        <w:t>11 que los Magistrados, Magistrados Auxiliares de Altas Cortes y Tribunales, jueces de la República, Fiscal General de la Nación, Vicefiscal General de la Nación, Delegados y directores de la Fiscalía General de la Nación son personas expuestas políticamente</w:t>
      </w:r>
      <w:r w:rsidR="008741BA" w:rsidRPr="00AB4289">
        <w:rPr>
          <w:rFonts w:eastAsiaTheme="minorEastAsia" w:cs="Times New Roman"/>
          <w:lang w:eastAsia="en-US"/>
        </w:rPr>
        <w:t>.</w:t>
      </w:r>
    </w:p>
  </w:footnote>
  <w:footnote w:id="23">
    <w:p w14:paraId="3526A90C" w14:textId="0B017D23" w:rsidR="00243509" w:rsidRPr="00AB4289" w:rsidRDefault="00243509"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Por medio del cual se establece el Reglamento General de la Corte Suprema de Justicia. </w:t>
      </w:r>
    </w:p>
  </w:footnote>
  <w:footnote w:id="24">
    <w:p w14:paraId="61DC07B0" w14:textId="195F202B" w:rsidR="00247920" w:rsidRPr="00AB4289" w:rsidRDefault="00247920" w:rsidP="0045457F">
      <w:pPr>
        <w:pStyle w:val="Textonotapie"/>
        <w:rPr>
          <w:rFonts w:eastAsiaTheme="minorEastAsia" w:cs="Times New Roman"/>
          <w:lang w:eastAsia="en-US"/>
        </w:rPr>
      </w:pPr>
      <w:r w:rsidRPr="00AB4289">
        <w:rPr>
          <w:rStyle w:val="Refdenotaalpie"/>
          <w:rFonts w:cs="Times New Roman"/>
        </w:rPr>
        <w:footnoteRef/>
      </w:r>
      <w:r w:rsidRPr="00AB4289">
        <w:rPr>
          <w:rFonts w:cs="Times New Roman"/>
        </w:rPr>
        <w:t xml:space="preserve"> </w:t>
      </w:r>
      <w:r w:rsidR="004D2C6B" w:rsidRPr="00AB4289">
        <w:rPr>
          <w:rFonts w:eastAsiaTheme="minorEastAsia" w:cs="Times New Roman"/>
          <w:lang w:eastAsia="en-US"/>
        </w:rPr>
        <w:t>El artículo 13 de la Ley 190 de 1995 establece que será requisito para la posesión y para el desempeño del cargo la declaración bajo juramento del nombrado, donde conste la identificación de sus bienes</w:t>
      </w:r>
      <w:r w:rsidR="00F61636" w:rsidRPr="00AB4289">
        <w:rPr>
          <w:rFonts w:eastAsiaTheme="minorEastAsia" w:cs="Times New Roman"/>
          <w:lang w:eastAsia="en-US"/>
        </w:rPr>
        <w:t xml:space="preserve"> y el artículo 3 de la misma disposición establece que la</w:t>
      </w:r>
      <w:r w:rsidR="00F61636" w:rsidRPr="00AB4289">
        <w:t xml:space="preserve"> persona seleccionada deberá aportar todos los documentos que acreditan la información contenida en el formato único de hoja de vida</w:t>
      </w:r>
      <w:r w:rsidR="004D2C6B" w:rsidRPr="00AB4289">
        <w:rPr>
          <w:rFonts w:eastAsiaTheme="minorEastAsia" w:cs="Times New Roman"/>
          <w:lang w:eastAsia="en-US"/>
        </w:rPr>
        <w:t>.</w:t>
      </w:r>
      <w:r w:rsidR="00AB7766" w:rsidRPr="00AB4289">
        <w:rPr>
          <w:rFonts w:eastAsiaTheme="minorEastAsia" w:cs="Times New Roman"/>
          <w:lang w:eastAsia="en-US"/>
        </w:rPr>
        <w:t xml:space="preserve"> Así mismo, el artículo 2.2.5.1.9 del </w:t>
      </w:r>
      <w:r w:rsidR="00A40E42" w:rsidRPr="00AB4289">
        <w:rPr>
          <w:rFonts w:eastAsiaTheme="minorEastAsia" w:cs="Times New Roman"/>
          <w:lang w:eastAsia="en-US"/>
        </w:rPr>
        <w:t>D</w:t>
      </w:r>
      <w:r w:rsidR="00AB7766" w:rsidRPr="00AB4289">
        <w:rPr>
          <w:rFonts w:eastAsiaTheme="minorEastAsia" w:cs="Times New Roman"/>
          <w:lang w:eastAsia="en-US"/>
        </w:rPr>
        <w:t>ecreto 1083 de 2015</w:t>
      </w:r>
      <w:r w:rsidR="00F61636" w:rsidRPr="00AB4289">
        <w:rPr>
          <w:rFonts w:eastAsiaTheme="minorEastAsia" w:cs="Times New Roman"/>
          <w:lang w:eastAsia="en-US"/>
        </w:rPr>
        <w:t xml:space="preserve"> </w:t>
      </w:r>
      <w:r w:rsidR="00AB7766" w:rsidRPr="00AB4289">
        <w:rPr>
          <w:rFonts w:eastAsiaTheme="minorEastAsia" w:cs="Times New Roman"/>
          <w:lang w:eastAsia="en-US"/>
        </w:rPr>
        <w:t>-</w:t>
      </w:r>
      <w:r w:rsidR="00F61636" w:rsidRPr="00AB4289">
        <w:rPr>
          <w:rFonts w:eastAsiaTheme="minorEastAsia" w:cs="Times New Roman"/>
          <w:lang w:eastAsia="en-US"/>
        </w:rPr>
        <w:t>p</w:t>
      </w:r>
      <w:r w:rsidR="00AB7766" w:rsidRPr="00AB4289">
        <w:rPr>
          <w:rFonts w:eastAsiaTheme="minorEastAsia" w:cs="Times New Roman"/>
          <w:lang w:eastAsia="en-US"/>
        </w:rPr>
        <w:t>or medio del cual se expide el Decreto Único Reglamentario del Sector de Función Pública- establece que para el momento de posesión en un empleo público, la persona deberá haber diligenciado el formato de hoja de vida adoptado para el efecto por el Departamento Administrativo de la Función Pública.</w:t>
      </w:r>
      <w:r w:rsidR="00F61636" w:rsidRPr="00AB4289">
        <w:rPr>
          <w:rFonts w:eastAsiaTheme="minorEastAsia" w:cs="Times New Roman"/>
          <w:lang w:eastAsia="en-US"/>
        </w:rPr>
        <w:t xml:space="preserve"> </w:t>
      </w:r>
    </w:p>
  </w:footnote>
  <w:footnote w:id="25">
    <w:p w14:paraId="74E3454D" w14:textId="3A8E3DD4" w:rsidR="00E61611" w:rsidRPr="00AB4289" w:rsidRDefault="00E61611">
      <w:pPr>
        <w:pStyle w:val="Textonotapie"/>
        <w:rPr>
          <w:lang w:val="es-ES_tradnl"/>
        </w:rPr>
      </w:pPr>
      <w:r w:rsidRPr="00AB4289">
        <w:rPr>
          <w:rFonts w:eastAsiaTheme="minorEastAsia" w:cs="Times New Roman"/>
          <w:vertAlign w:val="superscript"/>
          <w:lang w:eastAsia="en-US"/>
        </w:rPr>
        <w:footnoteRef/>
      </w:r>
      <w:r w:rsidRPr="00AB4289">
        <w:rPr>
          <w:rFonts w:eastAsiaTheme="minorEastAsia" w:cs="Times New Roman"/>
          <w:lang w:eastAsia="en-US"/>
        </w:rPr>
        <w:t xml:space="preserve"> </w:t>
      </w:r>
      <w:r w:rsidR="00AB4289" w:rsidRPr="00AB4289">
        <w:rPr>
          <w:rFonts w:eastAsiaTheme="minorEastAsia" w:cs="Times New Roman"/>
          <w:lang w:eastAsia="en-US"/>
        </w:rPr>
        <w:t>En efecto, el artículo 5 de la Ley 1712 de 2014 estableció que es sujeto obligado “toda entidad pública, incluyendo las pertenecientes a todas las Ramas del Poder Público, en todos los niveles de la estructura estatal, central o descentralizada por servicios o territorialmente, en los órdenes nacional, departamental, municipal y distrital”.</w:t>
      </w:r>
    </w:p>
  </w:footnote>
  <w:footnote w:id="26">
    <w:p w14:paraId="12B35619" w14:textId="110CE6D0" w:rsidR="00B66B21" w:rsidRPr="00AB4289" w:rsidRDefault="00B66B21">
      <w:pPr>
        <w:pStyle w:val="Textonotapie"/>
        <w:rPr>
          <w:lang w:val="es-ES_tradnl"/>
        </w:rPr>
      </w:pPr>
      <w:r w:rsidRPr="00AB4289">
        <w:rPr>
          <w:rStyle w:val="Refdenotaalpie"/>
        </w:rPr>
        <w:footnoteRef/>
      </w:r>
      <w:r w:rsidRPr="00AB4289">
        <w:t xml:space="preserve"> </w:t>
      </w:r>
      <w:r w:rsidRPr="00AB4289">
        <w:rPr>
          <w:lang w:val="es-ES_tradnl"/>
        </w:rPr>
        <w:t xml:space="preserve">Artículo 3 de la Ley 1712 de 2014. </w:t>
      </w:r>
    </w:p>
  </w:footnote>
  <w:footnote w:id="27">
    <w:p w14:paraId="0F3AD859" w14:textId="2992F865" w:rsidR="00B66B21" w:rsidRPr="00AB4289" w:rsidRDefault="00B66B21">
      <w:pPr>
        <w:pStyle w:val="Textonotapie"/>
        <w:rPr>
          <w:lang w:val="es-ES_tradnl"/>
        </w:rPr>
      </w:pPr>
      <w:r w:rsidRPr="00AB4289">
        <w:rPr>
          <w:rStyle w:val="Refdenotaalpie"/>
        </w:rPr>
        <w:footnoteRef/>
      </w:r>
      <w:r w:rsidRPr="00AB4289">
        <w:t xml:space="preserve"> </w:t>
      </w:r>
      <w:r w:rsidRPr="00AB4289">
        <w:rPr>
          <w:lang w:val="es-ES_tradnl"/>
        </w:rPr>
        <w:t xml:space="preserve">Artículo 2 de la Ley 1712 de 2014. </w:t>
      </w:r>
    </w:p>
  </w:footnote>
  <w:footnote w:id="28">
    <w:p w14:paraId="03104967" w14:textId="655DDBAC" w:rsidR="000B7720" w:rsidRPr="00AB4289" w:rsidRDefault="000B7720"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Auto de 7 de julio de 2025.</w:t>
      </w:r>
    </w:p>
  </w:footnote>
  <w:footnote w:id="29">
    <w:p w14:paraId="67808F4E" w14:textId="59A3B97F" w:rsidR="004514E9" w:rsidRPr="00AB4289" w:rsidRDefault="004514E9"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F42DF3" w:rsidRPr="00AB4289">
        <w:rPr>
          <w:rFonts w:cs="Times New Roman"/>
        </w:rPr>
        <w:t>Según esa disposición, e</w:t>
      </w:r>
      <w:r w:rsidRPr="00AB4289">
        <w:rPr>
          <w:rFonts w:cs="Times New Roman"/>
        </w:rPr>
        <w:t>l Departamento Administrativo de la Función Pública deberá crear, actualizar y permitir la consulta pública de la lista de las Personas Expuestas Políticamente (PEP) que se encuentren registradas en el Sistema de Información y Gestión del Empleo Público (SIGEP) o en el aplicativo que se disponga para tales efectos</w:t>
      </w:r>
      <w:r w:rsidR="004973F6" w:rsidRPr="00AB4289">
        <w:rPr>
          <w:rFonts w:cs="Times New Roman"/>
        </w:rPr>
        <w:t>.</w:t>
      </w:r>
    </w:p>
  </w:footnote>
  <w:footnote w:id="30">
    <w:p w14:paraId="0055FE4A" w14:textId="49F24A18" w:rsidR="004514E9" w:rsidRPr="00AB4289" w:rsidRDefault="004514E9"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F61636" w:rsidRPr="00AB4289">
        <w:rPr>
          <w:rFonts w:cs="Times New Roman"/>
        </w:rPr>
        <w:t>En dichas circulares el Consejo Superior de la Judicatura señala que, con el fin de garantizar el cumplimiento de los principios de justicia abierta, transparencia, publicidad y acceso a la información pública, el Consejo Superior de la Judicatura y la Comisión de Justicia Abierta presenta a los servidores judiciales el formulario para la publicación proactiva de las declaraciones de bienes y rentas, del impuesto de renta y complementarios y el registro de los conflictos de interés, en el espacio de transparencia activa del Portal Web de la Rama Judicial.</w:t>
      </w:r>
      <w:r w:rsidR="004973F6" w:rsidRPr="00AB4289">
        <w:rPr>
          <w:rFonts w:cs="Times New Roman"/>
        </w:rPr>
        <w:t xml:space="preserve"> </w:t>
      </w:r>
    </w:p>
  </w:footnote>
  <w:footnote w:id="31">
    <w:p w14:paraId="4361DD45" w14:textId="1A331535" w:rsidR="00FD11AC" w:rsidRPr="00AB4289" w:rsidRDefault="00FD11AC"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El</w:t>
      </w:r>
      <w:r w:rsidR="00F8558F" w:rsidRPr="00AB4289">
        <w:rPr>
          <w:rFonts w:cs="Times New Roman"/>
          <w:lang w:val="es-ES_tradnl"/>
        </w:rPr>
        <w:t xml:space="preserve"> </w:t>
      </w:r>
      <w:r w:rsidRPr="00AB4289">
        <w:rPr>
          <w:rFonts w:cs="Times New Roman"/>
          <w:lang w:val="es-ES_tradnl"/>
        </w:rPr>
        <w:t>requisito de inmediatez</w:t>
      </w:r>
      <w:r w:rsidR="0079686C" w:rsidRPr="00AB4289">
        <w:rPr>
          <w:rFonts w:cs="Times New Roman"/>
          <w:lang w:val="es-ES_tradnl"/>
        </w:rPr>
        <w:t xml:space="preserve"> </w:t>
      </w:r>
      <w:r w:rsidRPr="00AB4289">
        <w:rPr>
          <w:rFonts w:cs="Times New Roman"/>
          <w:lang w:val="es-ES_tradnl"/>
        </w:rPr>
        <w:t>le impone al tutelante el deber de formular la acción de</w:t>
      </w:r>
      <w:r w:rsidR="00F8558F" w:rsidRPr="00AB4289">
        <w:rPr>
          <w:rFonts w:cs="Times New Roman"/>
          <w:lang w:val="es-ES_tradnl"/>
        </w:rPr>
        <w:t xml:space="preserve"> </w:t>
      </w:r>
      <w:r w:rsidRPr="00AB4289">
        <w:rPr>
          <w:rFonts w:cs="Times New Roman"/>
          <w:lang w:val="es-ES_tradnl"/>
        </w:rPr>
        <w:t>tutela</w:t>
      </w:r>
      <w:r w:rsidR="00F8558F" w:rsidRPr="00AB4289">
        <w:rPr>
          <w:rFonts w:cs="Times New Roman"/>
          <w:lang w:val="es-ES_tradnl"/>
        </w:rPr>
        <w:t xml:space="preserve"> </w:t>
      </w:r>
      <w:r w:rsidRPr="00AB4289">
        <w:rPr>
          <w:rFonts w:cs="Times New Roman"/>
          <w:lang w:val="es-ES_tradnl"/>
        </w:rPr>
        <w:t>en un término prudente y razonable respecto del hecho o la conducta que causa la vulneración de derechos fundamentales que permita la protección inmediata del derecho fundamental presuntamente transgredido y/o amenazado.</w:t>
      </w:r>
    </w:p>
  </w:footnote>
  <w:footnote w:id="32">
    <w:p w14:paraId="7617470B" w14:textId="3353CB20" w:rsidR="004A0B6C" w:rsidRPr="00AB4289" w:rsidRDefault="004A0B6C" w:rsidP="0045457F">
      <w:pPr>
        <w:pStyle w:val="NormalWeb"/>
        <w:shd w:val="clear" w:color="auto" w:fill="FFFFFF"/>
        <w:spacing w:before="0" w:beforeAutospacing="0" w:after="0" w:afterAutospacing="0"/>
        <w:jc w:val="both"/>
        <w:rPr>
          <w:color w:val="000000" w:themeColor="text1"/>
          <w:sz w:val="20"/>
          <w:szCs w:val="20"/>
          <w:lang w:val="es-ES_tradnl"/>
        </w:rPr>
      </w:pPr>
      <w:r w:rsidRPr="00AB4289">
        <w:rPr>
          <w:rStyle w:val="Refdenotaalpie"/>
          <w:rFonts w:cs="Times New Roman"/>
          <w:color w:val="000000" w:themeColor="text1"/>
          <w:sz w:val="20"/>
          <w:szCs w:val="20"/>
          <w:lang w:val="es-ES_tradnl"/>
        </w:rPr>
        <w:footnoteRef/>
      </w:r>
      <w:r w:rsidR="00EC13A3" w:rsidRPr="00AB4289">
        <w:rPr>
          <w:color w:val="000000" w:themeColor="text1"/>
          <w:sz w:val="20"/>
          <w:szCs w:val="20"/>
          <w:lang w:val="es-ES_tradnl"/>
        </w:rPr>
        <w:t>Artículo 14. (…) Las peticiones de documentos y de información deberán resolverse dentro de los diez (10) días siguientes a su recepción. Si en ese lapso no se ha dado respuesta al peticionario, se entenderá, para todos los efectos legales, que la respectiva solicitud ha sido aceptada y, por consiguiente, la administración ya no podrá negar la entrega de dichos documentos al peticionario, y como consecuencia las copias se entregarán dentro de los tres (3) días siguientes.</w:t>
      </w:r>
    </w:p>
  </w:footnote>
  <w:footnote w:id="33">
    <w:p w14:paraId="141E7FFB" w14:textId="09559578" w:rsidR="00525032" w:rsidRPr="00AB4289" w:rsidRDefault="00525032" w:rsidP="0045457F">
      <w:pPr>
        <w:pStyle w:val="Textonotapie"/>
        <w:rPr>
          <w:rFonts w:cs="Times New Roman"/>
          <w:lang w:val="es-ES_tradnl"/>
        </w:rPr>
      </w:pPr>
      <w:r w:rsidRPr="00AB4289">
        <w:rPr>
          <w:rStyle w:val="Refdenotaalpie"/>
          <w:rFonts w:cs="Times New Roman"/>
          <w:lang w:val="es-ES_tradnl"/>
        </w:rPr>
        <w:footnoteRef/>
      </w:r>
      <w:r w:rsidR="00F8558F" w:rsidRPr="00AB4289">
        <w:rPr>
          <w:rFonts w:cs="Times New Roman"/>
          <w:lang w:val="es-ES_tradnl"/>
        </w:rPr>
        <w:t>La jurisprudencia constitucional ha entendido que el requisito de subsidiariedad exige que el peticionario despliegue de manera diligente las acciones judiciales que estén a su disposición, siempre y cuando ellas sean idóneas y efectivas para la protección de los derechos que se consideran vulnerados o amenazados. Ha sostenido también que una acción judicial es idónea cuando es materialmente apta para producir el efecto protector de los derechos fundamentales, y es efectiva cuando está diseñada para brindar una protección oportuna a los derechos amenazados o vulnerados.</w:t>
      </w:r>
    </w:p>
  </w:footnote>
  <w:footnote w:id="34">
    <w:p w14:paraId="352E685D" w14:textId="2A632443" w:rsidR="00A44047" w:rsidRPr="00AB4289" w:rsidRDefault="00A44047"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Así, se repite que la respuesta a</w:t>
      </w:r>
      <w:r w:rsidR="00706BA8">
        <w:rPr>
          <w:rFonts w:cs="Times New Roman"/>
          <w:lang w:val="es-ES_tradnl"/>
        </w:rPr>
        <w:t xml:space="preserve"> la solicitud </w:t>
      </w:r>
      <w:r w:rsidRPr="00AB4289">
        <w:rPr>
          <w:rFonts w:cs="Times New Roman"/>
          <w:lang w:val="es-ES_tradnl"/>
        </w:rPr>
        <w:t>emitida por la Corte Suprema de Justicia le fue notificada al accionante el 5 de abril del 2024</w:t>
      </w:r>
    </w:p>
  </w:footnote>
  <w:footnote w:id="35">
    <w:p w14:paraId="49832187" w14:textId="64F8E2AA" w:rsidR="00086C66" w:rsidRPr="00AB4289" w:rsidRDefault="00086C66"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Archivo denominado: 5_11001023000020240038000-(2024-11-08 12-48-57)-1731088137-4. Folio 5.</w:t>
      </w:r>
    </w:p>
  </w:footnote>
  <w:footnote w:id="36">
    <w:p w14:paraId="61CC3C81" w14:textId="77777777" w:rsidR="00260D7A" w:rsidRPr="00AB4289" w:rsidRDefault="00260D7A"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Sentencia T-062 de 2025.</w:t>
      </w:r>
    </w:p>
  </w:footnote>
  <w:footnote w:id="37">
    <w:p w14:paraId="733A1D04" w14:textId="77777777" w:rsidR="00260D7A" w:rsidRPr="00AB4289" w:rsidRDefault="00260D7A"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Sentencia T-200 de 2022.</w:t>
      </w:r>
    </w:p>
  </w:footnote>
  <w:footnote w:id="38">
    <w:p w14:paraId="177821D6" w14:textId="77777777" w:rsidR="00260D7A" w:rsidRPr="00AB4289" w:rsidRDefault="00260D7A"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Sentencia SU-552 de 2019 y T-200 de 2022.</w:t>
      </w:r>
    </w:p>
  </w:footnote>
  <w:footnote w:id="39">
    <w:p w14:paraId="5B0F3DFB" w14:textId="791015B3" w:rsidR="00260D7A" w:rsidRPr="00AB4289" w:rsidRDefault="00260D7A" w:rsidP="0045457F">
      <w:pPr>
        <w:pStyle w:val="Textonotapie"/>
        <w:rPr>
          <w:lang w:val="es-ES_tradnl"/>
        </w:rPr>
      </w:pPr>
      <w:r w:rsidRPr="00AB4289">
        <w:rPr>
          <w:rStyle w:val="Refdenotaalpie"/>
          <w:rFonts w:cs="Times New Roman"/>
        </w:rPr>
        <w:footnoteRef/>
      </w:r>
      <w:r w:rsidRPr="00AB4289">
        <w:rPr>
          <w:rFonts w:cs="Times New Roman"/>
        </w:rPr>
        <w:t xml:space="preserve"> Sentencia T-200 de 2022</w:t>
      </w:r>
      <w:r w:rsidR="00081B3B" w:rsidRPr="00AB4289">
        <w:rPr>
          <w:rFonts w:cs="Times New Roman"/>
        </w:rPr>
        <w:t xml:space="preserve"> y T-092 de 2024. </w:t>
      </w:r>
    </w:p>
  </w:footnote>
  <w:footnote w:id="40">
    <w:p w14:paraId="715DD512" w14:textId="417313F8" w:rsidR="007D122C" w:rsidRPr="00AB4289" w:rsidRDefault="007D122C"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Sentencia SU 191 de 2022</w:t>
      </w:r>
    </w:p>
  </w:footnote>
  <w:footnote w:id="41">
    <w:p w14:paraId="2DF4885A" w14:textId="4215765E" w:rsidR="007D122C" w:rsidRPr="00AB4289" w:rsidRDefault="007D122C"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45457F" w:rsidRPr="00AB4289">
        <w:rPr>
          <w:rFonts w:cs="Times New Roman"/>
          <w:shd w:val="clear" w:color="auto" w:fill="FFFFFF"/>
        </w:rPr>
        <w:t xml:space="preserve">Las sentencias T-329 de 2021 y T-206 de 2018 señalaron que la claridad exige que la respuesta sea </w:t>
      </w:r>
      <w:r w:rsidRPr="00AB4289">
        <w:rPr>
          <w:rFonts w:cs="Times New Roman"/>
          <w:shd w:val="clear" w:color="auto" w:fill="FFFFFF"/>
        </w:rPr>
        <w:t>inteligible y contentiva de argumentos de fácil comprensión</w:t>
      </w:r>
      <w:r w:rsidR="0045457F" w:rsidRPr="00AB4289">
        <w:rPr>
          <w:rFonts w:cs="Times New Roman"/>
          <w:shd w:val="clear" w:color="auto" w:fill="FFFFFF"/>
        </w:rPr>
        <w:t>.</w:t>
      </w:r>
    </w:p>
  </w:footnote>
  <w:footnote w:id="42">
    <w:p w14:paraId="04BEC44C" w14:textId="2E18A129" w:rsidR="007D122C" w:rsidRPr="00AB4289" w:rsidRDefault="007D122C"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45457F" w:rsidRPr="00AB4289">
        <w:rPr>
          <w:rFonts w:cs="Times New Roman"/>
          <w:shd w:val="clear" w:color="auto" w:fill="FFFFFF"/>
        </w:rPr>
        <w:t>Las sentencias T-329 de 2021 y T-206 de 2018 señalaron que la precisión exige que la respuesta atienda directamente lo pedido sin reparar en información impertinente y sin incurrir en fórmulas evasivas o elusivas.</w:t>
      </w:r>
    </w:p>
  </w:footnote>
  <w:footnote w:id="43">
    <w:p w14:paraId="541A49F1" w14:textId="0B3D19DA" w:rsidR="007D122C" w:rsidRPr="00AB4289" w:rsidRDefault="007D122C"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45457F" w:rsidRPr="00AB4289">
        <w:rPr>
          <w:rFonts w:cs="Times New Roman"/>
          <w:shd w:val="clear" w:color="auto" w:fill="FFFFFF"/>
        </w:rPr>
        <w:t>Las sentencias T-329 de 2021 y T-206 de 2018 señalaron que la congruencia exige que la respuesta abarque la materia objeto de la petición y sea conforme con lo solicitado.</w:t>
      </w:r>
    </w:p>
  </w:footnote>
  <w:footnote w:id="44">
    <w:p w14:paraId="4A4E7485" w14:textId="4C6A90E6" w:rsidR="007D122C" w:rsidRPr="00AB4289" w:rsidRDefault="007D122C"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45457F" w:rsidRPr="00AB4289">
        <w:rPr>
          <w:rFonts w:cs="Times New Roman"/>
          <w:shd w:val="clear" w:color="auto" w:fill="FFFFFF"/>
        </w:rPr>
        <w:t>Las sentencias T-329 de 2021 y T-206 de 2018 señalaron que este requisito exige que, si la respuesta se produce con motivo de un derecho de petición [formulado] dentro de un procedimiento del que conoce la autoridad de la cual el interesado requiere la información, no basta con ofrecer una respuesta como si se tratara de una petición aislada o</w:t>
      </w:r>
      <w:r w:rsidR="006D2418" w:rsidRPr="00AB4289">
        <w:rPr>
          <w:rFonts w:cs="Times New Roman"/>
          <w:shd w:val="clear" w:color="auto" w:fill="FFFFFF"/>
        </w:rPr>
        <w:t xml:space="preserve"> </w:t>
      </w:r>
      <w:r w:rsidR="0045457F" w:rsidRPr="00AB4289">
        <w:rPr>
          <w:rFonts w:cs="Times New Roman"/>
          <w:shd w:val="clear" w:color="auto" w:fill="FFFFFF"/>
        </w:rPr>
        <w:t>[nueva], sino que, si resulta relevante, debe darse cuenta del trámite que se ha surtido y de las razones por las cuales la petición resulta o no procedente</w:t>
      </w:r>
      <w:r w:rsidR="00F15A27">
        <w:rPr>
          <w:rFonts w:cs="Times New Roman"/>
          <w:shd w:val="clear" w:color="auto" w:fill="FFFFFF"/>
        </w:rPr>
        <w:t>.</w:t>
      </w:r>
    </w:p>
  </w:footnote>
  <w:footnote w:id="45">
    <w:p w14:paraId="1E542D70" w14:textId="5F62FF3E" w:rsidR="0045457F" w:rsidRPr="00AB4289" w:rsidRDefault="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Sentencia T-324 de 2024.</w:t>
      </w:r>
    </w:p>
  </w:footnote>
  <w:footnote w:id="46">
    <w:p w14:paraId="52F5F941" w14:textId="1F7B1877" w:rsidR="000B7720" w:rsidRPr="00AB4289" w:rsidRDefault="000B7720"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eastAsia="es-CO"/>
        </w:rPr>
        <w:t>Mediante oficio DP-CSJ -No.° 0042 del 4 de marzo de 2024.</w:t>
      </w:r>
    </w:p>
  </w:footnote>
  <w:footnote w:id="47">
    <w:p w14:paraId="5CC92604" w14:textId="76BC91AB" w:rsidR="00513449" w:rsidRPr="00AB4289" w:rsidRDefault="00513449"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b/>
          <w:bCs/>
          <w:lang w:val="es-ES_tradnl"/>
        </w:rPr>
        <w:t xml:space="preserve"> </w:t>
      </w:r>
      <w:r w:rsidR="0079686C" w:rsidRPr="00AB4289">
        <w:rPr>
          <w:rFonts w:cs="Times New Roman"/>
          <w:lang w:val="es-ES_tradnl"/>
        </w:rPr>
        <w:t>Sentencias C-872 de 2003 y C-274 de 2013 y T-067 de 2025.</w:t>
      </w:r>
    </w:p>
  </w:footnote>
  <w:footnote w:id="48">
    <w:p w14:paraId="19C687B5" w14:textId="77777777" w:rsidR="0071622B" w:rsidRPr="00AB4289" w:rsidRDefault="0071622B"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Constitución Política de 1991, artículo 74.</w:t>
      </w:r>
    </w:p>
  </w:footnote>
  <w:footnote w:id="49">
    <w:p w14:paraId="59EF93FF" w14:textId="3B2D3DD0" w:rsidR="00E3255A" w:rsidRPr="00AB4289" w:rsidRDefault="00E3255A"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La Carta de Santo Domingo por el Libre Acceso a la Información Pública de la Unesco. En este instrumento se desarrollaron distintas consideraciones entre las cuales se destacó que: (i) el acceso a la información pública es un derecho humano universal y (ii) un principio democrático que tiene relación con el derecho a la información, a la libertad de expresión y a la libertad de prensa.</w:t>
      </w:r>
    </w:p>
  </w:footnote>
  <w:footnote w:id="50">
    <w:p w14:paraId="67C5DDE1" w14:textId="6C1031C0" w:rsidR="007805B1" w:rsidRPr="00AB4289" w:rsidRDefault="007805B1"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La jurisprudencia de la Corte Interamericana de Derechos Humanos (Corte IDH) también ha consolidado el deber de los Estados de garantizar este derecho, y estableció principios como el de máxima divulgación, el cual impone la presunción de acceso a toda información pública</w:t>
      </w:r>
      <w:r w:rsidR="009B203C" w:rsidRPr="00AB4289">
        <w:rPr>
          <w:rFonts w:cs="Times New Roman"/>
          <w:lang w:val="es-ES_tradnl"/>
        </w:rPr>
        <w:t>.</w:t>
      </w:r>
      <w:r w:rsidR="006D4B00" w:rsidRPr="00AB4289">
        <w:rPr>
          <w:rFonts w:cs="Times New Roman"/>
        </w:rPr>
        <w:t xml:space="preserve"> En ese sentido ver: Corte Interamericana de Derechos Humanos. Sentencia de 19 de septiembre de 2006, caso Claude y otros vs. Chile y sentencia de 1 de febrero de 2006, caso López Álvarez vs. Honduras. </w:t>
      </w:r>
    </w:p>
  </w:footnote>
  <w:footnote w:id="51">
    <w:p w14:paraId="381BBBE3" w14:textId="060F8479" w:rsidR="0071622B" w:rsidRPr="00AB4289" w:rsidRDefault="0071622B"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vertAlign w:val="superscript"/>
          <w:lang w:val="es-ES_tradnl"/>
        </w:rPr>
        <w:t xml:space="preserve"> </w:t>
      </w:r>
      <w:r w:rsidRPr="00AB4289">
        <w:rPr>
          <w:rFonts w:cs="Times New Roman"/>
          <w:lang w:val="es-ES_tradnl"/>
        </w:rPr>
        <w:t>Sentencia</w:t>
      </w:r>
      <w:r w:rsidR="005919D4" w:rsidRPr="00AB4289">
        <w:rPr>
          <w:rFonts w:cs="Times New Roman"/>
          <w:lang w:val="es-ES_tradnl"/>
        </w:rPr>
        <w:t>s</w:t>
      </w:r>
      <w:r w:rsidRPr="00AB4289">
        <w:rPr>
          <w:rFonts w:cs="Times New Roman"/>
          <w:lang w:val="es-ES_tradnl"/>
        </w:rPr>
        <w:t xml:space="preserve"> T-1029 de 2005</w:t>
      </w:r>
      <w:r w:rsidR="005919D4" w:rsidRPr="00AB4289">
        <w:rPr>
          <w:rFonts w:cs="Times New Roman"/>
          <w:lang w:val="es-ES_tradnl"/>
        </w:rPr>
        <w:t>, T-324 de 2024 y T-454 de 2024.</w:t>
      </w:r>
    </w:p>
  </w:footnote>
  <w:footnote w:id="52">
    <w:p w14:paraId="05FE2D2C" w14:textId="44561C81" w:rsidR="00504010" w:rsidRPr="00AB4289" w:rsidRDefault="00504010">
      <w:pPr>
        <w:pStyle w:val="Textonotapie"/>
        <w:rPr>
          <w:lang w:val="es-ES_tradnl"/>
        </w:rPr>
      </w:pPr>
      <w:r w:rsidRPr="00AB4289">
        <w:rPr>
          <w:rStyle w:val="Refdenotaalpie"/>
        </w:rPr>
        <w:footnoteRef/>
      </w:r>
      <w:r w:rsidRPr="00AB4289">
        <w:t xml:space="preserve"> Sentencia T-145 de 2019.</w:t>
      </w:r>
    </w:p>
  </w:footnote>
  <w:footnote w:id="53">
    <w:p w14:paraId="56F6470F" w14:textId="11BB8FDF" w:rsidR="00504010" w:rsidRPr="00AB4289" w:rsidRDefault="00504010">
      <w:pPr>
        <w:pStyle w:val="Textonotapie"/>
        <w:rPr>
          <w:lang w:val="es-ES_tradnl"/>
        </w:rPr>
      </w:pPr>
      <w:r w:rsidRPr="00AB4289">
        <w:rPr>
          <w:rStyle w:val="Refdenotaalpie"/>
        </w:rPr>
        <w:footnoteRef/>
      </w:r>
      <w:r w:rsidRPr="00AB4289">
        <w:t xml:space="preserve"> Sentencias T-330 de 2021 y T-454 de 2024.</w:t>
      </w:r>
    </w:p>
  </w:footnote>
  <w:footnote w:id="54">
    <w:p w14:paraId="5C944DBA" w14:textId="33895257" w:rsidR="00360684" w:rsidRPr="00AB4289" w:rsidRDefault="00360684"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w:t>
      </w:r>
      <w:r w:rsidR="00EF66A0" w:rsidRPr="00AB4289">
        <w:rPr>
          <w:rFonts w:cs="Times New Roman"/>
          <w:lang w:val="es-ES_tradnl"/>
        </w:rPr>
        <w:t>Por medio de la cual se crea la Ley de Transparencia y del Derecho de Acceso a la Información Pública Nacional y se dictan otras disposiciones.</w:t>
      </w:r>
    </w:p>
  </w:footnote>
  <w:footnote w:id="55">
    <w:p w14:paraId="7E3E61B9" w14:textId="6D1FCAC7" w:rsidR="005919D4" w:rsidRPr="00AB4289" w:rsidRDefault="005919D4"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w:t>
      </w:r>
      <w:r w:rsidR="004C68EE" w:rsidRPr="00AB4289">
        <w:rPr>
          <w:rFonts w:cs="Times New Roman"/>
          <w:lang w:val="es-ES_tradnl"/>
        </w:rPr>
        <w:t>En ese sentido ver la sentencia C-274 de 2014</w:t>
      </w:r>
      <w:r w:rsidR="008A48F0" w:rsidRPr="00AB4289">
        <w:rPr>
          <w:rFonts w:cs="Times New Roman"/>
          <w:lang w:val="es-ES_tradnl"/>
        </w:rPr>
        <w:t>,</w:t>
      </w:r>
      <w:r w:rsidR="004C68EE" w:rsidRPr="00AB4289">
        <w:rPr>
          <w:rFonts w:cs="Times New Roman"/>
          <w:lang w:val="es-ES_tradnl"/>
        </w:rPr>
        <w:t xml:space="preserve"> que analizó la constitucionalidad de esta norma. Así mismo, la Corte Constitucional </w:t>
      </w:r>
      <w:r w:rsidR="008A48F0" w:rsidRPr="00AB4289">
        <w:rPr>
          <w:rFonts w:cs="Times New Roman"/>
          <w:lang w:val="es-ES_tradnl"/>
        </w:rPr>
        <w:t xml:space="preserve">desarrolló </w:t>
      </w:r>
      <w:r w:rsidR="00181141" w:rsidRPr="00AB4289">
        <w:rPr>
          <w:rFonts w:cs="Times New Roman"/>
          <w:lang w:val="es-ES_tradnl"/>
        </w:rPr>
        <w:t xml:space="preserve">un análisis sobre el régimen de acceso a la información pública </w:t>
      </w:r>
      <w:r w:rsidR="008A48F0" w:rsidRPr="00AB4289">
        <w:rPr>
          <w:rFonts w:cs="Times New Roman"/>
          <w:lang w:val="es-ES_tradnl"/>
        </w:rPr>
        <w:t>en la</w:t>
      </w:r>
      <w:r w:rsidR="00181141" w:rsidRPr="00AB4289">
        <w:rPr>
          <w:rFonts w:cs="Times New Roman"/>
          <w:lang w:val="es-ES_tradnl"/>
        </w:rPr>
        <w:t>s</w:t>
      </w:r>
      <w:r w:rsidR="008A48F0" w:rsidRPr="00AB4289">
        <w:rPr>
          <w:rFonts w:cs="Times New Roman"/>
          <w:lang w:val="es-ES_tradnl"/>
        </w:rPr>
        <w:t xml:space="preserve"> sentencia</w:t>
      </w:r>
      <w:r w:rsidR="00181141" w:rsidRPr="00AB4289">
        <w:rPr>
          <w:rFonts w:cs="Times New Roman"/>
          <w:lang w:val="es-ES_tradnl"/>
        </w:rPr>
        <w:t xml:space="preserve">s C-221 de 2016, T- 487 de 2017, T- 398 de 2023, T-254 de 2024, T-454 de 2024 y </w:t>
      </w:r>
      <w:r w:rsidR="008A48F0" w:rsidRPr="00AB4289">
        <w:rPr>
          <w:rFonts w:cs="Times New Roman"/>
          <w:lang w:val="es-ES_tradnl"/>
        </w:rPr>
        <w:t>T-067 de 2025.</w:t>
      </w:r>
    </w:p>
  </w:footnote>
  <w:footnote w:id="56">
    <w:p w14:paraId="7AF3B3FA" w14:textId="3F69CE97" w:rsidR="00A645CA" w:rsidRPr="00AB4289" w:rsidRDefault="00A645CA"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Sentencia C-274 de 2013</w:t>
      </w:r>
      <w:r w:rsidR="000D37ED" w:rsidRPr="00AB4289">
        <w:rPr>
          <w:rFonts w:cs="Times New Roman"/>
        </w:rPr>
        <w:t>.</w:t>
      </w:r>
    </w:p>
  </w:footnote>
  <w:footnote w:id="57">
    <w:p w14:paraId="745EAA12" w14:textId="34EE9228" w:rsidR="000D37ED" w:rsidRPr="00AB4289" w:rsidRDefault="000D37ED">
      <w:pPr>
        <w:pStyle w:val="Textonotapie"/>
        <w:rPr>
          <w:rFonts w:cs="Times New Roman"/>
          <w:lang w:val="es-ES_tradnl"/>
        </w:rPr>
      </w:pPr>
      <w:r w:rsidRPr="00AB4289">
        <w:rPr>
          <w:rStyle w:val="Refdenotaalpie"/>
          <w:rFonts w:cs="Times New Roman"/>
        </w:rPr>
        <w:footnoteRef/>
      </w:r>
      <w:r w:rsidRPr="00AB4289">
        <w:rPr>
          <w:rFonts w:cs="Times New Roman"/>
        </w:rPr>
        <w:t xml:space="preserve"> Sentencia T-280 de 2022.</w:t>
      </w:r>
    </w:p>
  </w:footnote>
  <w:footnote w:id="58">
    <w:p w14:paraId="67EB7A90" w14:textId="7AA85578" w:rsidR="000D37ED" w:rsidRPr="00AB4289" w:rsidRDefault="000D37ED">
      <w:pPr>
        <w:pStyle w:val="Textonotapie"/>
        <w:rPr>
          <w:rFonts w:cs="Times New Roman"/>
          <w:lang w:val="es-ES_tradnl"/>
        </w:rPr>
      </w:pPr>
      <w:r w:rsidRPr="00AB4289">
        <w:rPr>
          <w:rStyle w:val="Refdenotaalpie"/>
          <w:rFonts w:cs="Times New Roman"/>
        </w:rPr>
        <w:footnoteRef/>
      </w:r>
      <w:r w:rsidRPr="00AB4289">
        <w:rPr>
          <w:rFonts w:cs="Times New Roman"/>
        </w:rPr>
        <w:t xml:space="preserve"> Ibid.</w:t>
      </w:r>
    </w:p>
  </w:footnote>
  <w:footnote w:id="59">
    <w:p w14:paraId="3E00710B" w14:textId="28F95FFF" w:rsidR="000D37ED" w:rsidRPr="00AB4289" w:rsidRDefault="000D37ED">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color w:val="2D2D2D"/>
          <w:shd w:val="clear" w:color="auto" w:fill="FFFFFF"/>
        </w:rPr>
        <w:t>Sentencia T-787 de 2004.</w:t>
      </w:r>
    </w:p>
  </w:footnote>
  <w:footnote w:id="60">
    <w:p w14:paraId="5EE2F175" w14:textId="57F3F11B" w:rsidR="000D37ED" w:rsidRPr="00AB4289" w:rsidRDefault="000D37ED">
      <w:pPr>
        <w:pStyle w:val="Textonotapie"/>
        <w:rPr>
          <w:rFonts w:cs="Times New Roman"/>
          <w:lang w:val="es-ES_tradnl"/>
        </w:rPr>
      </w:pPr>
      <w:r w:rsidRPr="00AB4289">
        <w:rPr>
          <w:rStyle w:val="Refdenotaalpie"/>
          <w:rFonts w:cs="Times New Roman"/>
        </w:rPr>
        <w:footnoteRef/>
      </w:r>
      <w:r w:rsidRPr="00AB4289">
        <w:rPr>
          <w:rFonts w:cs="Times New Roman"/>
        </w:rPr>
        <w:t xml:space="preserve"> Sentencia T-324 de 2024.</w:t>
      </w:r>
    </w:p>
  </w:footnote>
  <w:footnote w:id="61">
    <w:p w14:paraId="18E9AECF" w14:textId="2D75591A" w:rsidR="000D37ED" w:rsidRPr="00AB4289" w:rsidRDefault="000D37ED">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color w:val="2D2D2D"/>
          <w:shd w:val="clear" w:color="auto" w:fill="FFFFFF"/>
        </w:rPr>
        <w:t>Sentencia C-1011 de 2008.</w:t>
      </w:r>
    </w:p>
  </w:footnote>
  <w:footnote w:id="62">
    <w:p w14:paraId="19310225" w14:textId="46D2C699" w:rsidR="00504010" w:rsidRPr="00AB4289" w:rsidRDefault="00504010">
      <w:pPr>
        <w:pStyle w:val="Textonotapie"/>
        <w:rPr>
          <w:lang w:val="es-ES_tradnl"/>
        </w:rPr>
      </w:pPr>
      <w:r w:rsidRPr="00AB4289">
        <w:rPr>
          <w:rStyle w:val="Refdenotaalpie"/>
        </w:rPr>
        <w:footnoteRef/>
      </w:r>
      <w:r w:rsidRPr="00AB4289">
        <w:t xml:space="preserve"> </w:t>
      </w:r>
      <w:r w:rsidR="00540A0A" w:rsidRPr="00AB4289">
        <w:rPr>
          <w:rFonts w:cs="Times New Roman"/>
        </w:rPr>
        <w:t>Por la cual se dictan las disposiciones generales del hábeas data y se regula el manejo de la información contenida en bases de datos personales, en especial la financiera, crediticia, comercial, de servicios y la proveniente de terceros países y se dictan otras disposiciones.</w:t>
      </w:r>
    </w:p>
  </w:footnote>
  <w:footnote w:id="63">
    <w:p w14:paraId="6EAFD64A" w14:textId="6C935E60" w:rsidR="00504010" w:rsidRPr="00AB4289" w:rsidRDefault="00504010">
      <w:pPr>
        <w:pStyle w:val="Textonotapie"/>
        <w:rPr>
          <w:lang w:val="es-ES_tradnl"/>
        </w:rPr>
      </w:pPr>
      <w:r w:rsidRPr="00AB4289">
        <w:rPr>
          <w:rStyle w:val="Refdenotaalpie"/>
        </w:rPr>
        <w:footnoteRef/>
      </w:r>
      <w:r w:rsidRPr="00AB4289">
        <w:t xml:space="preserve"> </w:t>
      </w:r>
      <w:r w:rsidR="00540A0A" w:rsidRPr="00AB4289">
        <w:rPr>
          <w:rFonts w:cs="Times New Roman"/>
        </w:rPr>
        <w:t>Por la cual se dictan disposiciones generales para la protección de datos personales.</w:t>
      </w:r>
    </w:p>
  </w:footnote>
  <w:footnote w:id="64">
    <w:p w14:paraId="323D444D" w14:textId="5C240380" w:rsidR="000D37ED" w:rsidRPr="00AB4289" w:rsidRDefault="000D37ED">
      <w:pPr>
        <w:pStyle w:val="Textonotapie"/>
        <w:rPr>
          <w:rFonts w:cs="Times New Roman"/>
          <w:lang w:val="es-ES_tradnl"/>
        </w:rPr>
      </w:pPr>
      <w:r w:rsidRPr="00AB4289">
        <w:rPr>
          <w:rStyle w:val="Refdenotaalpie"/>
          <w:rFonts w:cs="Times New Roman"/>
        </w:rPr>
        <w:footnoteRef/>
      </w:r>
      <w:r w:rsidRPr="00AB4289">
        <w:rPr>
          <w:rFonts w:cs="Times New Roman"/>
        </w:rPr>
        <w:t xml:space="preserve"> El artículo 3 de la Ley 1581 de 2012, define el dato personal como “cualquier información vinculada o que pueda asociarse a una o varias personas naturales determinadas o determinables”.</w:t>
      </w:r>
    </w:p>
  </w:footnote>
  <w:footnote w:id="65">
    <w:p w14:paraId="7E7182FD" w14:textId="1860032F" w:rsidR="00ED364C" w:rsidRPr="00AB4289" w:rsidRDefault="00ED364C"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FE240C" w:rsidRPr="00AB4289">
        <w:rPr>
          <w:rFonts w:cs="Times New Roman"/>
        </w:rPr>
        <w:t>Ley 1266 de 2008, artículo 3, literal f.</w:t>
      </w:r>
      <w:r w:rsidR="0022777F" w:rsidRPr="00AB4289">
        <w:rPr>
          <w:rFonts w:cs="Times New Roman"/>
        </w:rPr>
        <w:t xml:space="preserve"> </w:t>
      </w:r>
    </w:p>
  </w:footnote>
  <w:footnote w:id="66">
    <w:p w14:paraId="7444DCF8" w14:textId="3987FBD0" w:rsidR="00D10B72" w:rsidRPr="00AB4289" w:rsidRDefault="00D10B72"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Sentencias T-324 de 2024 y T-454 de 2024.</w:t>
      </w:r>
    </w:p>
  </w:footnote>
  <w:footnote w:id="67">
    <w:p w14:paraId="434F32D8" w14:textId="28323145" w:rsidR="00D10B72" w:rsidRPr="00AB4289" w:rsidRDefault="00D10B72"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Sentencia T-324 de 2024</w:t>
      </w:r>
    </w:p>
  </w:footnote>
  <w:footnote w:id="68">
    <w:p w14:paraId="3D12987D" w14:textId="4EF3A5F8" w:rsidR="00ED364C" w:rsidRPr="00AB4289" w:rsidRDefault="00ED364C"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FE240C" w:rsidRPr="00AB4289">
        <w:rPr>
          <w:rFonts w:cs="Times New Roman"/>
        </w:rPr>
        <w:t>Ley 1266 de 2008, artículo 3, literal g.</w:t>
      </w:r>
    </w:p>
  </w:footnote>
  <w:footnote w:id="69">
    <w:p w14:paraId="2ED8F956" w14:textId="09AF7903" w:rsidR="00D10B72" w:rsidRPr="00AB4289" w:rsidRDefault="00D10B72"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Sentencias T-275 de 2021, T-450 de 2022, T-324 de 2024 y T-454 de 2024.</w:t>
      </w:r>
    </w:p>
  </w:footnote>
  <w:footnote w:id="70">
    <w:p w14:paraId="043CF80B" w14:textId="6BF64B5B" w:rsidR="00ED364C" w:rsidRPr="00AB4289" w:rsidRDefault="00ED364C"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FE240C" w:rsidRPr="00AB4289">
        <w:rPr>
          <w:rFonts w:cs="Times New Roman"/>
        </w:rPr>
        <w:t>Ley 1266 de 2008, artículo 3, literal h.</w:t>
      </w:r>
    </w:p>
  </w:footnote>
  <w:footnote w:id="71">
    <w:p w14:paraId="6A35454F" w14:textId="2665F160" w:rsidR="00CF6364" w:rsidRPr="00AB4289" w:rsidRDefault="00CF6364"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C53C66" w:rsidRPr="00AB4289">
        <w:rPr>
          <w:rFonts w:cs="Times New Roman"/>
        </w:rPr>
        <w:t>Sentencias T-275 de 2021 y T-324 de 2024.</w:t>
      </w:r>
    </w:p>
  </w:footnote>
  <w:footnote w:id="72">
    <w:p w14:paraId="1426D4DD" w14:textId="530AB419" w:rsidR="00ED364C" w:rsidRPr="00AB4289" w:rsidRDefault="00ED364C"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FE240C" w:rsidRPr="00AB4289">
        <w:rPr>
          <w:rFonts w:cs="Times New Roman"/>
          <w:lang w:val="es-ES"/>
        </w:rPr>
        <w:t>Ley 1581 de 2012, artículo 5.</w:t>
      </w:r>
    </w:p>
  </w:footnote>
  <w:footnote w:id="73">
    <w:p w14:paraId="58F1B3FC" w14:textId="65268AE5" w:rsidR="00CF6364" w:rsidRPr="00AB4289" w:rsidRDefault="00CF6364"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Sentencia</w:t>
      </w:r>
      <w:r w:rsidR="00D10B72" w:rsidRPr="00AB4289">
        <w:rPr>
          <w:rFonts w:cs="Times New Roman"/>
          <w:lang w:val="es-ES_tradnl"/>
        </w:rPr>
        <w:t>s</w:t>
      </w:r>
      <w:r w:rsidRPr="00AB4289">
        <w:rPr>
          <w:rFonts w:cs="Times New Roman"/>
          <w:lang w:val="es-ES_tradnl"/>
        </w:rPr>
        <w:t xml:space="preserve"> </w:t>
      </w:r>
      <w:r w:rsidR="00D10B72" w:rsidRPr="00AB4289">
        <w:rPr>
          <w:rFonts w:cs="Times New Roman"/>
        </w:rPr>
        <w:t>C-1011 de 2008,</w:t>
      </w:r>
      <w:r w:rsidR="00D10B72" w:rsidRPr="00AB4289">
        <w:rPr>
          <w:rFonts w:cs="Times New Roman"/>
          <w:shd w:val="clear" w:color="auto" w:fill="FFFFFF"/>
        </w:rPr>
        <w:t xml:space="preserve"> </w:t>
      </w:r>
      <w:r w:rsidRPr="00AB4289">
        <w:rPr>
          <w:rFonts w:cs="Times New Roman"/>
          <w:lang w:val="es-ES_tradnl"/>
        </w:rPr>
        <w:t>T-114 de 2018</w:t>
      </w:r>
      <w:r w:rsidR="00D10B72" w:rsidRPr="00AB4289">
        <w:rPr>
          <w:rFonts w:cs="Times New Roman"/>
          <w:lang w:val="es-ES_tradnl"/>
        </w:rPr>
        <w:t xml:space="preserve"> y SU -139 de 2021.</w:t>
      </w:r>
    </w:p>
  </w:footnote>
  <w:footnote w:id="74">
    <w:p w14:paraId="3016A583" w14:textId="6687653A" w:rsidR="00F5717F" w:rsidRPr="00AB4289" w:rsidRDefault="00F5717F"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821DC8" w:rsidRPr="00AB4289">
        <w:rPr>
          <w:rFonts w:cs="Times New Roman"/>
        </w:rPr>
        <w:t>Artículo 28 de la Ley 1712 de 2014. ARTÍCULO</w:t>
      </w:r>
      <w:bookmarkStart w:id="18" w:name="28"/>
      <w:bookmarkEnd w:id="18"/>
      <w:r w:rsidR="00821DC8" w:rsidRPr="00AB4289">
        <w:rPr>
          <w:rFonts w:cs="Times New Roman"/>
        </w:rPr>
        <w:t> 28. Carga de la prueba. Le corresponde al sujeto obligado aportar las razones y pruebas que fundamenten y evidencien que la información solicitada debe permanecer reservada o confidencial. En particular, el sujeto obligado debe demostrar que la información debe relacionarse con un objetivo legítimo establecido legal o constitucionalmente. Además, deberá establecer si se trata de una excepción contenida en los artículos 18 y 19 de esta ley y si la revelación de la información causaría un daño presente, probable y específico que excede el interés público que representa el acceso a la información.</w:t>
      </w:r>
    </w:p>
  </w:footnote>
  <w:footnote w:id="75">
    <w:p w14:paraId="4E31AB80" w14:textId="77777777" w:rsidR="00821DC8" w:rsidRPr="00AB4289" w:rsidRDefault="00821DC8" w:rsidP="0045457F">
      <w:pPr>
        <w:pStyle w:val="Textonotapie"/>
        <w:rPr>
          <w:rFonts w:cs="Times New Roman"/>
          <w:lang w:val="es-ES"/>
        </w:rPr>
      </w:pPr>
      <w:r w:rsidRPr="00AB4289">
        <w:rPr>
          <w:rStyle w:val="Refdenotaalpie"/>
          <w:rFonts w:cs="Times New Roman"/>
        </w:rPr>
        <w:footnoteRef/>
      </w:r>
      <w:r w:rsidRPr="00AB4289">
        <w:rPr>
          <w:rFonts w:cs="Times New Roman"/>
        </w:rPr>
        <w:t xml:space="preserve"> Ley 1712 de 2014, artículo 28.</w:t>
      </w:r>
    </w:p>
  </w:footnote>
  <w:footnote w:id="76">
    <w:p w14:paraId="32A58927" w14:textId="0E3EFC8C" w:rsidR="00043BA6" w:rsidRPr="00AB4289" w:rsidRDefault="00043BA6"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821DC8" w:rsidRPr="00AB4289">
        <w:rPr>
          <w:rFonts w:cs="Times New Roman"/>
        </w:rPr>
        <w:t>Newmann Pont, Vivian (2015). Datos personales en información pública: oscuridad en lo privado y luz en lo público.</w:t>
      </w:r>
      <w:r w:rsidR="00DC7B57" w:rsidRPr="00AB4289">
        <w:rPr>
          <w:rFonts w:cs="Times New Roman"/>
        </w:rPr>
        <w:t xml:space="preserve"> </w:t>
      </w:r>
      <w:r w:rsidR="00821DC8" w:rsidRPr="00AB4289">
        <w:rPr>
          <w:rFonts w:cs="Times New Roman"/>
        </w:rPr>
        <w:t>Dejusticia. Disponible en: https://www.dejusticia.org/publication/datos-personales-en-informacion-publica-oscuridad-en-lo-privado-y-luz-en-lo-publico/.</w:t>
      </w:r>
    </w:p>
  </w:footnote>
  <w:footnote w:id="77">
    <w:p w14:paraId="0D74393C" w14:textId="749271FD" w:rsidR="00821DC8" w:rsidRPr="00AB4289" w:rsidRDefault="00821DC8"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Ver intervención presentada por Transparencia por Colombia y Fundación El Veinte en el presente trámite. </w:t>
      </w:r>
    </w:p>
  </w:footnote>
  <w:footnote w:id="78">
    <w:p w14:paraId="720FC6ED" w14:textId="599A0052" w:rsidR="00043BA6" w:rsidRPr="00AB4289" w:rsidRDefault="00043BA6"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821DC8" w:rsidRPr="00AB4289">
        <w:rPr>
          <w:rFonts w:cs="Times New Roman"/>
        </w:rPr>
        <w:t>Comisión Interamericana de Derechos Humanos (2016). Compilación de informes temáticos contenidos en los Informes Anuales 2013 y 2014 de la Relatoría Especial para la Libertad de Expresión de la Comisión Interamericana de Derechos Humanos. Disponible en: https://www.oas.org/es/cidh/expresion/docs/publicaciones/accesoes.pdf?utm_source=chatgpt.com</w:t>
      </w:r>
    </w:p>
  </w:footnote>
  <w:footnote w:id="79">
    <w:p w14:paraId="494CA4EB" w14:textId="7C86041F" w:rsidR="00043BA6" w:rsidRPr="00AB4289" w:rsidRDefault="00043BA6"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821DC8" w:rsidRPr="00AB4289">
        <w:rPr>
          <w:rFonts w:cs="Times New Roman"/>
        </w:rPr>
        <w:t xml:space="preserve">Ver sentencias T-454 de 2024 y T-067 de 2025. </w:t>
      </w:r>
    </w:p>
  </w:footnote>
  <w:footnote w:id="80">
    <w:p w14:paraId="27D069EE" w14:textId="7B2B1B1A" w:rsidR="00D14A9A" w:rsidRPr="00AB4289" w:rsidRDefault="00D14A9A"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DE2C71" w:rsidRPr="00AB4289">
        <w:rPr>
          <w:rFonts w:cs="Times New Roman"/>
        </w:rPr>
        <w:t>En efecto, varias de las sentencias de la Corte han estado relacionadas con la tensión entre el derecho de acceso a la información y los derechos de intimidad y hábeas data. En ese sentido se puede</w:t>
      </w:r>
      <w:r w:rsidR="008E5A21" w:rsidRPr="00AB4289">
        <w:rPr>
          <w:rFonts w:cs="Times New Roman"/>
        </w:rPr>
        <w:t xml:space="preserve">n ver las sentencias: T-509 de 2020, T-280 de 2022,T-094 de 2020, T-294 de 2023, T-254 de 2024, T-454 de 2024, T-354 de 2024. </w:t>
      </w:r>
    </w:p>
  </w:footnote>
  <w:footnote w:id="81">
    <w:p w14:paraId="40211B8F" w14:textId="4A6E3A80" w:rsidR="00DE2C71" w:rsidRPr="00AB4289" w:rsidRDefault="00DE2C71"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Ver sentencias: </w:t>
      </w:r>
      <w:r w:rsidRPr="00AB4289">
        <w:rPr>
          <w:rFonts w:cs="Times New Roman"/>
          <w:lang w:val="es-MX"/>
        </w:rPr>
        <w:t xml:space="preserve">SU-191 de 2022, </w:t>
      </w:r>
      <w:r w:rsidRPr="00AB4289">
        <w:rPr>
          <w:rFonts w:cs="Times New Roman"/>
        </w:rPr>
        <w:t>T-254</w:t>
      </w:r>
      <w:r w:rsidR="007C5CD4" w:rsidRPr="00AB4289">
        <w:rPr>
          <w:rFonts w:cs="Times New Roman"/>
        </w:rPr>
        <w:t xml:space="preserve"> </w:t>
      </w:r>
      <w:r w:rsidRPr="00AB4289">
        <w:rPr>
          <w:rFonts w:cs="Times New Roman"/>
        </w:rPr>
        <w:t>de 2024</w:t>
      </w:r>
      <w:r w:rsidR="007C5CD4" w:rsidRPr="00AB4289">
        <w:rPr>
          <w:rFonts w:cs="Times New Roman"/>
        </w:rPr>
        <w:t xml:space="preserve"> y</w:t>
      </w:r>
      <w:r w:rsidRPr="00AB4289">
        <w:rPr>
          <w:rFonts w:cs="Times New Roman"/>
        </w:rPr>
        <w:t xml:space="preserve"> T-454 de 2024.</w:t>
      </w:r>
    </w:p>
  </w:footnote>
  <w:footnote w:id="82">
    <w:p w14:paraId="512B25B3" w14:textId="77777777" w:rsidR="00DE2C71" w:rsidRPr="00AB4289" w:rsidRDefault="00DE2C71" w:rsidP="0045457F">
      <w:pPr>
        <w:pStyle w:val="Textonotapie"/>
        <w:rPr>
          <w:rFonts w:cs="Times New Roman"/>
        </w:rPr>
      </w:pPr>
      <w:r w:rsidRPr="00AB4289">
        <w:rPr>
          <w:rStyle w:val="Refdenotaalpie"/>
          <w:rFonts w:cs="Times New Roman"/>
        </w:rPr>
        <w:footnoteRef/>
      </w:r>
      <w:r w:rsidRPr="00AB4289">
        <w:rPr>
          <w:rFonts w:cs="Times New Roman"/>
          <w:vertAlign w:val="superscript"/>
        </w:rPr>
        <w:t xml:space="preserve"> </w:t>
      </w:r>
      <w:r w:rsidRPr="00AB4289">
        <w:rPr>
          <w:rFonts w:cs="Times New Roman"/>
        </w:rPr>
        <w:t xml:space="preserve">Sentencia T- 203 de 2023. </w:t>
      </w:r>
    </w:p>
  </w:footnote>
  <w:footnote w:id="83">
    <w:p w14:paraId="7F521B51" w14:textId="77777777" w:rsidR="00DE2C71" w:rsidRPr="00AB4289" w:rsidRDefault="00DE2C71" w:rsidP="0045457F">
      <w:pPr>
        <w:pStyle w:val="Textonotapie"/>
        <w:rPr>
          <w:rFonts w:cs="Times New Roman"/>
        </w:rPr>
      </w:pPr>
      <w:r w:rsidRPr="00AB4289">
        <w:rPr>
          <w:rStyle w:val="Refdenotaalpie"/>
          <w:rFonts w:cs="Times New Roman"/>
        </w:rPr>
        <w:footnoteRef/>
      </w:r>
      <w:r w:rsidRPr="00AB4289">
        <w:rPr>
          <w:rFonts w:cs="Times New Roman"/>
          <w:vertAlign w:val="superscript"/>
        </w:rPr>
        <w:t xml:space="preserve"> </w:t>
      </w:r>
      <w:r w:rsidRPr="00AB4289">
        <w:rPr>
          <w:rFonts w:cs="Times New Roman"/>
        </w:rPr>
        <w:t>Sentencia T- 245 de 2024.</w:t>
      </w:r>
    </w:p>
  </w:footnote>
  <w:footnote w:id="84">
    <w:p w14:paraId="4E8BEC27" w14:textId="77777777" w:rsidR="002647B5" w:rsidRPr="00AB4289" w:rsidRDefault="002647B5"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w:t>
      </w:r>
      <w:r w:rsidRPr="00AB4289">
        <w:rPr>
          <w:rStyle w:val="nfasis"/>
          <w:rFonts w:eastAsiaTheme="majorEastAsia" w:cs="Times New Roman"/>
          <w:i w:val="0"/>
          <w:iCs w:val="0"/>
          <w:shd w:val="clear" w:color="auto" w:fill="FFFFFF"/>
          <w:lang w:val="es-ES_tradnl"/>
        </w:rPr>
        <w:t>Por la cual se dictan normas orientadas a fortalecer los mecanismos de prevención, investigación y sanción de actos de corrupción y la efectividad del control de la gestión pública.</w:t>
      </w:r>
    </w:p>
  </w:footnote>
  <w:footnote w:id="85">
    <w:p w14:paraId="4C1C9B0F" w14:textId="27E5EBD2" w:rsidR="004C4E5B" w:rsidRPr="00AB4289" w:rsidRDefault="00D2146F" w:rsidP="0045457F">
      <w:pPr>
        <w:pStyle w:val="NormalWeb"/>
        <w:shd w:val="clear" w:color="auto" w:fill="FFFFFF"/>
        <w:spacing w:before="0" w:beforeAutospacing="0" w:after="0" w:afterAutospacing="0"/>
        <w:jc w:val="both"/>
        <w:rPr>
          <w:rStyle w:val="normaltextrun"/>
          <w:rFonts w:eastAsiaTheme="majorEastAsia"/>
          <w:color w:val="000000" w:themeColor="text1"/>
          <w:sz w:val="20"/>
          <w:szCs w:val="20"/>
        </w:rPr>
      </w:pPr>
      <w:r w:rsidRPr="00AB4289">
        <w:rPr>
          <w:rStyle w:val="Refdenotaalpie"/>
          <w:rFonts w:cs="Times New Roman"/>
          <w:color w:val="000000" w:themeColor="text1"/>
          <w:sz w:val="20"/>
          <w:szCs w:val="20"/>
        </w:rPr>
        <w:footnoteRef/>
      </w:r>
      <w:r w:rsidR="004D4238" w:rsidRPr="00AB4289">
        <w:rPr>
          <w:rStyle w:val="normaltextrun"/>
          <w:rFonts w:eastAsiaTheme="majorEastAsia"/>
          <w:color w:val="000000" w:themeColor="text1"/>
          <w:sz w:val="20"/>
          <w:szCs w:val="20"/>
        </w:rPr>
        <w:t xml:space="preserve"> “</w:t>
      </w:r>
      <w:r w:rsidR="004C4E5B" w:rsidRPr="00AB4289">
        <w:rPr>
          <w:rStyle w:val="normaltextrun"/>
          <w:rFonts w:eastAsiaTheme="majorEastAsia"/>
          <w:b/>
          <w:bCs/>
          <w:color w:val="000000" w:themeColor="text1"/>
          <w:sz w:val="20"/>
          <w:szCs w:val="20"/>
        </w:rPr>
        <w:t>ARTÍCULO 9. Información mínima obligatoria respecto a la estructura del sujeto obligado.</w:t>
      </w:r>
      <w:r w:rsidR="004C4E5B" w:rsidRPr="00AB4289">
        <w:rPr>
          <w:rStyle w:val="normaltextrun"/>
          <w:rFonts w:eastAsiaTheme="majorEastAsia"/>
          <w:color w:val="000000" w:themeColor="text1"/>
          <w:sz w:val="20"/>
          <w:szCs w:val="20"/>
        </w:rPr>
        <w:t> Todo sujeto obligado deberá publicar c) Un directorio que incluya el cargo, direcciones de correo electrónico y teléfono del despacho de los empleados y funcionarios.(…) PARÁGRAFO 2. En relación a los literales c) y e) del presente artículo, el Departamento Administrativo de la Función Pública establecerá un formato de información de los servidores públicos y de personas naturales con contratos de prestación de servicios, el cual contendrá los nombres y apellidos completos, ciudad de nacimiento, formación académica, experiencia laboral y profesional de los funcionarios y de los contratistas</w:t>
      </w:r>
      <w:r w:rsidR="004D4238" w:rsidRPr="00AB4289">
        <w:rPr>
          <w:rStyle w:val="normaltextrun"/>
          <w:rFonts w:eastAsiaTheme="majorEastAsia"/>
          <w:color w:val="000000" w:themeColor="text1"/>
          <w:sz w:val="20"/>
          <w:szCs w:val="20"/>
        </w:rPr>
        <w:t>”</w:t>
      </w:r>
      <w:r w:rsidR="004C4E5B" w:rsidRPr="00AB4289">
        <w:rPr>
          <w:rStyle w:val="normaltextrun"/>
          <w:rFonts w:eastAsiaTheme="majorEastAsia"/>
          <w:color w:val="000000" w:themeColor="text1"/>
          <w:sz w:val="20"/>
          <w:szCs w:val="20"/>
        </w:rPr>
        <w:t xml:space="preserve">. </w:t>
      </w:r>
    </w:p>
    <w:p w14:paraId="21F3CCF7" w14:textId="00756C7D" w:rsidR="00D2146F" w:rsidRPr="00AB4289" w:rsidRDefault="00D2146F" w:rsidP="0045457F">
      <w:pPr>
        <w:pStyle w:val="Textonotapie"/>
        <w:rPr>
          <w:rFonts w:cs="Times New Roman"/>
          <w:lang w:val="es-ES_tradnl"/>
        </w:rPr>
      </w:pPr>
    </w:p>
  </w:footnote>
  <w:footnote w:id="86">
    <w:p w14:paraId="31C161BE" w14:textId="3D0DACF3" w:rsidR="008E0CE3" w:rsidRPr="00AB4289" w:rsidRDefault="008E0CE3" w:rsidP="0045457F">
      <w:pPr>
        <w:pStyle w:val="NormalWeb"/>
        <w:shd w:val="clear" w:color="auto" w:fill="FFFFFF"/>
        <w:spacing w:before="0" w:beforeAutospacing="0" w:after="0" w:afterAutospacing="0"/>
        <w:jc w:val="both"/>
        <w:rPr>
          <w:color w:val="000000" w:themeColor="text1"/>
          <w:sz w:val="20"/>
          <w:szCs w:val="20"/>
          <w:lang w:val="es-ES_tradnl"/>
        </w:rPr>
      </w:pPr>
      <w:r w:rsidRPr="00AB4289">
        <w:rPr>
          <w:rStyle w:val="Refdenotaalpie"/>
          <w:rFonts w:cs="Times New Roman"/>
          <w:color w:val="000000" w:themeColor="text1"/>
          <w:sz w:val="20"/>
          <w:szCs w:val="20"/>
          <w:lang w:val="es-ES_tradnl"/>
        </w:rPr>
        <w:footnoteRef/>
      </w:r>
      <w:r w:rsidRPr="00AB4289">
        <w:rPr>
          <w:color w:val="000000" w:themeColor="text1"/>
          <w:sz w:val="20"/>
          <w:szCs w:val="20"/>
          <w:lang w:val="es-ES_tradnl"/>
        </w:rPr>
        <w:t xml:space="preserve"> </w:t>
      </w:r>
      <w:r w:rsidR="00845106" w:rsidRPr="00AB4289">
        <w:rPr>
          <w:color w:val="000000" w:themeColor="text1"/>
          <w:sz w:val="20"/>
          <w:szCs w:val="20"/>
          <w:lang w:val="es-ES_tradnl"/>
        </w:rPr>
        <w:t xml:space="preserve">Artículo 3 de la Ley 1712 de 2014. </w:t>
      </w:r>
      <w:r w:rsidRPr="00AB4289">
        <w:rPr>
          <w:color w:val="000000" w:themeColor="text1"/>
          <w:sz w:val="20"/>
          <w:szCs w:val="20"/>
          <w:lang w:val="es-ES_tradnl"/>
        </w:rPr>
        <w:t>Principio de transparencia. Principio conforme al cual toda la información en poder de los sujetos obligados definidos en esta ley se presume pública, en consecuencia</w:t>
      </w:r>
      <w:r w:rsidR="00A645CA" w:rsidRPr="00AB4289">
        <w:rPr>
          <w:color w:val="000000" w:themeColor="text1"/>
          <w:sz w:val="20"/>
          <w:szCs w:val="20"/>
          <w:lang w:val="es-ES_tradnl"/>
        </w:rPr>
        <w:t>,</w:t>
      </w:r>
      <w:r w:rsidRPr="00AB4289">
        <w:rPr>
          <w:color w:val="000000" w:themeColor="text1"/>
          <w:sz w:val="20"/>
          <w:szCs w:val="20"/>
          <w:lang w:val="es-ES_tradnl"/>
        </w:rPr>
        <w:t xml:space="preserve"> de lo cual dichos sujetos están en el deber de proporcionar y facilitar el acceso a la misma en los términos más amplios posibles y a través de los medios y procedimientos que al efecto establezca la ley, excluyendo solo aquello que esté sujeto a las excepciones constitucionales y legales y bajo el cumplimiento de los requisitos establecidos en esta ley.</w:t>
      </w:r>
    </w:p>
  </w:footnote>
  <w:footnote w:id="87">
    <w:p w14:paraId="67D13DF6" w14:textId="44EB416D" w:rsidR="00FA3EE9" w:rsidRPr="00AB4289" w:rsidRDefault="00FA3EE9" w:rsidP="0045457F">
      <w:pPr>
        <w:autoSpaceDE w:val="0"/>
        <w:autoSpaceDN w:val="0"/>
        <w:adjustRightInd w:val="0"/>
        <w:jc w:val="both"/>
        <w:rPr>
          <w:rFonts w:eastAsiaTheme="minorHAnsi"/>
          <w:color w:val="000000" w:themeColor="text1"/>
          <w:sz w:val="20"/>
          <w:szCs w:val="20"/>
          <w:lang w:val="es-ES_tradnl" w:eastAsia="en-US"/>
        </w:rPr>
      </w:pPr>
      <w:r w:rsidRPr="00AB4289">
        <w:rPr>
          <w:rStyle w:val="Refdenotaalpie"/>
          <w:rFonts w:cs="Times New Roman"/>
          <w:color w:val="000000" w:themeColor="text1"/>
          <w:sz w:val="20"/>
          <w:szCs w:val="20"/>
          <w:lang w:val="es-ES_tradnl"/>
        </w:rPr>
        <w:footnoteRef/>
      </w:r>
      <w:r w:rsidRPr="00AB4289">
        <w:rPr>
          <w:color w:val="000000" w:themeColor="text1"/>
          <w:sz w:val="20"/>
          <w:szCs w:val="20"/>
          <w:lang w:val="es-ES_tradnl"/>
        </w:rPr>
        <w:t xml:space="preserve"> </w:t>
      </w:r>
      <w:r w:rsidR="00CD4B84" w:rsidRPr="00AB4289">
        <w:rPr>
          <w:rFonts w:eastAsiaTheme="minorHAnsi"/>
          <w:color w:val="000000" w:themeColor="text1"/>
          <w:sz w:val="20"/>
          <w:szCs w:val="20"/>
          <w:lang w:val="es-ES_tradnl" w:eastAsia="en-US"/>
        </w:rPr>
        <w:t>En ese sentido, ser puede ver la Sentencia C-276 de 2019</w:t>
      </w:r>
      <w:r w:rsidR="00E10F7E" w:rsidRPr="00AB4289">
        <w:rPr>
          <w:rFonts w:eastAsiaTheme="minorHAnsi"/>
          <w:color w:val="000000" w:themeColor="text1"/>
          <w:sz w:val="20"/>
          <w:szCs w:val="20"/>
          <w:lang w:val="es-ES_tradnl" w:eastAsia="en-US"/>
        </w:rPr>
        <w:t xml:space="preserve">, decisión en </w:t>
      </w:r>
      <w:r w:rsidR="00CD4B84" w:rsidRPr="00AB4289">
        <w:rPr>
          <w:rFonts w:eastAsiaTheme="minorHAnsi"/>
          <w:color w:val="000000" w:themeColor="text1"/>
          <w:sz w:val="20"/>
          <w:szCs w:val="20"/>
          <w:lang w:val="es-ES_tradnl" w:eastAsia="en-US"/>
        </w:rPr>
        <w:t>la</w:t>
      </w:r>
      <w:r w:rsidR="00E10F7E" w:rsidRPr="00AB4289">
        <w:rPr>
          <w:rFonts w:eastAsiaTheme="minorHAnsi"/>
          <w:color w:val="000000" w:themeColor="text1"/>
          <w:sz w:val="20"/>
          <w:szCs w:val="20"/>
          <w:lang w:val="es-ES_tradnl" w:eastAsia="en-US"/>
        </w:rPr>
        <w:t xml:space="preserve"> que la </w:t>
      </w:r>
      <w:r w:rsidR="00CD4B84" w:rsidRPr="00AB4289">
        <w:rPr>
          <w:rFonts w:eastAsiaTheme="minorHAnsi"/>
          <w:color w:val="000000" w:themeColor="text1"/>
          <w:sz w:val="20"/>
          <w:szCs w:val="20"/>
          <w:lang w:val="es-ES_tradnl" w:eastAsia="en-US"/>
        </w:rPr>
        <w:t>Corte</w:t>
      </w:r>
      <w:r w:rsidR="00E10F7E" w:rsidRPr="00AB4289">
        <w:rPr>
          <w:rFonts w:eastAsiaTheme="minorHAnsi"/>
          <w:color w:val="000000" w:themeColor="text1"/>
          <w:sz w:val="20"/>
          <w:szCs w:val="20"/>
          <w:lang w:val="es-ES_tradnl" w:eastAsia="en-US"/>
        </w:rPr>
        <w:t xml:space="preserve"> Constitucional</w:t>
      </w:r>
      <w:r w:rsidR="00CD4B84" w:rsidRPr="00AB4289">
        <w:rPr>
          <w:rFonts w:eastAsiaTheme="minorHAnsi"/>
          <w:color w:val="000000" w:themeColor="text1"/>
          <w:sz w:val="20"/>
          <w:szCs w:val="20"/>
          <w:lang w:val="es-ES_tradnl" w:eastAsia="en-US"/>
        </w:rPr>
        <w:t xml:space="preserve"> consideró que los funcionarios públicos -especialmente los de elección popular- tienen un deber reforzado de transparencia, dado su papel en la toma de decisiones que afectan el interés general. </w:t>
      </w:r>
    </w:p>
  </w:footnote>
  <w:footnote w:id="88">
    <w:p w14:paraId="73065AB6" w14:textId="5F0ACDB9" w:rsidR="00E72050" w:rsidRPr="00AB4289" w:rsidRDefault="00E72050"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Sentencia C-491 de 2002</w:t>
      </w:r>
      <w:r w:rsidR="0079686C" w:rsidRPr="00AB4289">
        <w:rPr>
          <w:rFonts w:cs="Times New Roman"/>
          <w:lang w:val="es-ES_tradnl"/>
        </w:rPr>
        <w:t>.</w:t>
      </w:r>
    </w:p>
  </w:footnote>
  <w:footnote w:id="89">
    <w:p w14:paraId="1B462C3A" w14:textId="770833EE" w:rsidR="00FA410C" w:rsidRPr="00AB4289" w:rsidRDefault="00FA410C" w:rsidP="0045457F">
      <w:pPr>
        <w:pStyle w:val="NormalWeb"/>
        <w:shd w:val="clear" w:color="auto" w:fill="FFFFFF"/>
        <w:spacing w:before="0" w:beforeAutospacing="0" w:after="0" w:afterAutospacing="0"/>
        <w:jc w:val="both"/>
        <w:rPr>
          <w:color w:val="000000" w:themeColor="text1"/>
          <w:sz w:val="20"/>
          <w:szCs w:val="20"/>
          <w:lang w:val="es-ES_tradnl"/>
        </w:rPr>
      </w:pPr>
      <w:r w:rsidRPr="00AB4289">
        <w:rPr>
          <w:rStyle w:val="Refdenotaalpie"/>
          <w:rFonts w:cs="Times New Roman"/>
          <w:color w:val="000000" w:themeColor="text1"/>
          <w:sz w:val="20"/>
          <w:szCs w:val="20"/>
          <w:lang w:val="es-ES_tradnl"/>
        </w:rPr>
        <w:footnoteRef/>
      </w:r>
      <w:r w:rsidRPr="00AB4289">
        <w:rPr>
          <w:color w:val="000000" w:themeColor="text1"/>
          <w:sz w:val="20"/>
          <w:szCs w:val="20"/>
          <w:lang w:val="es-ES_tradnl"/>
        </w:rPr>
        <w:t xml:space="preserve"> </w:t>
      </w:r>
      <w:r w:rsidR="00832D48" w:rsidRPr="00AB4289">
        <w:rPr>
          <w:color w:val="000000" w:themeColor="text1"/>
          <w:sz w:val="20"/>
          <w:szCs w:val="20"/>
          <w:lang w:val="es-ES_tradnl"/>
        </w:rPr>
        <w:t>Tilman Hoppe (2014). El caso de las declaraciones de bienes en el poder judicial: La identificación del enriquecimiento ilícito y los conflictos de intereses. Bergen: Instituto Chr. Michelsen. Disponible en: https://www.cmi.no/publications/file/5136-the-case-for-asset-declarations-in-the-judiciary.pdf.</w:t>
      </w:r>
    </w:p>
  </w:footnote>
  <w:footnote w:id="90">
    <w:p w14:paraId="3C3FF613" w14:textId="0CE0AED2" w:rsidR="00D81AFD" w:rsidRPr="00AB4289" w:rsidRDefault="00D81AFD"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w:t>
      </w:r>
      <w:r w:rsidR="00EA57B2" w:rsidRPr="00AB4289">
        <w:rPr>
          <w:rFonts w:cs="Times New Roman"/>
          <w:lang w:val="es-ES_tradnl"/>
        </w:rPr>
        <w:t>Oficina de las Naciones Unidas para la Fiscalización de Drogas y Prevención del Delito (2000). Informe de la Primera Reunión del Grupo Judicial sobre el Fortalecimiento de la Integridad Judicial. Disponible en: http://bit.ly/1sa6KbC</w:t>
      </w:r>
    </w:p>
  </w:footnote>
  <w:footnote w:id="91">
    <w:p w14:paraId="0238BA47" w14:textId="5517FED4" w:rsidR="00CD1B1F" w:rsidRPr="00AB4289" w:rsidRDefault="00CD1B1F" w:rsidP="0045457F">
      <w:pPr>
        <w:autoSpaceDE w:val="0"/>
        <w:autoSpaceDN w:val="0"/>
        <w:adjustRightInd w:val="0"/>
        <w:jc w:val="both"/>
        <w:rPr>
          <w:rFonts w:eastAsiaTheme="minorHAnsi"/>
          <w:color w:val="000000" w:themeColor="text1"/>
          <w:sz w:val="20"/>
          <w:szCs w:val="20"/>
          <w:lang w:val="es-ES_tradnl" w:eastAsia="en-US"/>
        </w:rPr>
      </w:pPr>
      <w:r w:rsidRPr="00AB4289">
        <w:rPr>
          <w:rStyle w:val="Refdenotaalpie"/>
          <w:rFonts w:cs="Times New Roman"/>
          <w:color w:val="000000" w:themeColor="text1"/>
          <w:sz w:val="20"/>
          <w:szCs w:val="20"/>
          <w:lang w:val="es-ES_tradnl"/>
        </w:rPr>
        <w:footnoteRef/>
      </w:r>
      <w:r w:rsidRPr="00AB4289">
        <w:rPr>
          <w:color w:val="000000" w:themeColor="text1"/>
          <w:sz w:val="20"/>
          <w:szCs w:val="20"/>
          <w:lang w:val="es-ES_tradnl"/>
        </w:rPr>
        <w:t xml:space="preserve"> En ese sentido se resalta que la OCDE ha señalado que, además de las declaraciones de activos y de conflictos de interés es necesaria la auditoría a estas declaraciones. </w:t>
      </w:r>
      <w:r w:rsidR="00E413BD" w:rsidRPr="00AB4289">
        <w:rPr>
          <w:color w:val="000000" w:themeColor="text1"/>
          <w:sz w:val="20"/>
          <w:szCs w:val="20"/>
          <w:lang w:val="es-ES_tradnl"/>
        </w:rPr>
        <w:t>Ver en OCDE (Organización para la Cooperación y el Desarrollo Económicos). 2011. Declaraciones de bienes de los funcionarios públicos: una herramienta para prevenir la corrupción. Disponible en:</w:t>
      </w:r>
      <w:hyperlink r:id="rId2" w:history="1">
        <w:r w:rsidR="00E413BD" w:rsidRPr="00AB4289">
          <w:rPr>
            <w:rStyle w:val="Hipervnculo"/>
            <w:color w:val="000000" w:themeColor="text1"/>
            <w:sz w:val="20"/>
            <w:szCs w:val="20"/>
            <w:lang w:val="es-ES_tradnl"/>
          </w:rPr>
          <w:t>www.oecd.org/dataoecd/40/6/47489446.pdf</w:t>
        </w:r>
      </w:hyperlink>
      <w:r w:rsidR="00E413BD" w:rsidRPr="00AB4289">
        <w:rPr>
          <w:color w:val="000000" w:themeColor="text1"/>
          <w:sz w:val="20"/>
          <w:szCs w:val="20"/>
          <w:lang w:val="es-ES_tradnl"/>
        </w:rPr>
        <w:t>.</w:t>
      </w:r>
    </w:p>
  </w:footnote>
  <w:footnote w:id="92">
    <w:p w14:paraId="607BE2F6" w14:textId="6F6BE67E" w:rsidR="00CD1B1F" w:rsidRPr="00AB4289" w:rsidRDefault="00CD1B1F"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w:t>
      </w:r>
      <w:r w:rsidR="004E4F8D" w:rsidRPr="00AB4289">
        <w:rPr>
          <w:rFonts w:cs="Times New Roman"/>
          <w:lang w:val="es-ES_tradnl"/>
        </w:rPr>
        <w:t>Oficina de las Naciones Unidas para la Fiscalización de Drogas y Prevención del Delito (2021). ¿Esconder o no esconder? Divulgar las finanzas y los intereses. Disponible en: https://www.unodc.org/dohadeclaration/en/news/2021/29/to-hide-or-not-to-hide_disclosing-finances-and-interests.html</w:t>
      </w:r>
    </w:p>
  </w:footnote>
  <w:footnote w:id="93">
    <w:p w14:paraId="29D8A72E" w14:textId="4BA73722" w:rsidR="00CD1B1F" w:rsidRPr="00AB4289" w:rsidRDefault="00CD1B1F"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w:t>
      </w:r>
      <w:r w:rsidR="004E4F8D" w:rsidRPr="00AB4289">
        <w:rPr>
          <w:rFonts w:cs="Times New Roman"/>
          <w:lang w:val="es-ES_tradnl"/>
        </w:rPr>
        <w:t>Tilman Hoppe (2014). El caso de las declaraciones de bienes en el poder judicial: La identificación del enriquecimiento ilícito y los conflictos de intereses. Bergen: Instituto Chr. Michelsen. Disponible en: https://www.cmi.no/publications/file/5136-the-case-for-asset-declarations-in-the-judiciary.pdf.</w:t>
      </w:r>
    </w:p>
  </w:footnote>
  <w:footnote w:id="94">
    <w:p w14:paraId="5343918F" w14:textId="1DCCF961" w:rsidR="007B49FD" w:rsidRPr="00AB4289" w:rsidRDefault="007B49FD" w:rsidP="0045457F">
      <w:pPr>
        <w:autoSpaceDE w:val="0"/>
        <w:autoSpaceDN w:val="0"/>
        <w:adjustRightInd w:val="0"/>
        <w:jc w:val="both"/>
        <w:rPr>
          <w:rFonts w:eastAsiaTheme="minorHAnsi"/>
          <w:color w:val="000000" w:themeColor="text1"/>
          <w:sz w:val="20"/>
          <w:szCs w:val="20"/>
          <w:lang w:val="es-ES_tradnl" w:eastAsia="en-US"/>
        </w:rPr>
      </w:pPr>
      <w:r w:rsidRPr="00AB4289">
        <w:rPr>
          <w:rStyle w:val="Refdenotaalpie"/>
          <w:rFonts w:cs="Times New Roman"/>
          <w:color w:val="000000" w:themeColor="text1"/>
          <w:sz w:val="20"/>
          <w:szCs w:val="20"/>
          <w:lang w:val="es-ES_tradnl"/>
        </w:rPr>
        <w:footnoteRef/>
      </w:r>
      <w:r w:rsidRPr="00AB4289">
        <w:rPr>
          <w:color w:val="000000" w:themeColor="text1"/>
          <w:sz w:val="20"/>
          <w:szCs w:val="20"/>
          <w:lang w:val="es-ES_tradnl"/>
        </w:rPr>
        <w:t xml:space="preserve"> </w:t>
      </w:r>
      <w:r w:rsidR="003F4B50" w:rsidRPr="00AB4289">
        <w:rPr>
          <w:rFonts w:eastAsiaTheme="minorHAnsi"/>
          <w:color w:val="000000" w:themeColor="text1"/>
          <w:sz w:val="20"/>
          <w:szCs w:val="20"/>
          <w:lang w:val="es-ES_tradnl" w:eastAsia="en-US"/>
        </w:rPr>
        <w:t>Asociación civil por la libertad y la justicia (2017). Las declaraciones juradas de los jueces en Argentina: transparencia y control en el poder judicial. Disponible en: https://chequeado.com/justiciapedia/wp-content/uploads/2015/05/PolicyBrief-DDJJ-2.pdf.</w:t>
      </w:r>
    </w:p>
  </w:footnote>
  <w:footnote w:id="95">
    <w:p w14:paraId="5466E3E5" w14:textId="62C6B130" w:rsidR="0041083B" w:rsidRPr="00AB4289" w:rsidRDefault="0041083B" w:rsidP="0045457F">
      <w:pPr>
        <w:pStyle w:val="NormalWeb"/>
        <w:spacing w:before="0" w:beforeAutospacing="0" w:after="0" w:afterAutospacing="0"/>
        <w:jc w:val="both"/>
        <w:rPr>
          <w:color w:val="000000" w:themeColor="text1"/>
          <w:sz w:val="20"/>
          <w:szCs w:val="20"/>
          <w:lang w:val="en-US"/>
        </w:rPr>
      </w:pPr>
      <w:r w:rsidRPr="00AB4289">
        <w:rPr>
          <w:rStyle w:val="Refdenotaalpie"/>
          <w:rFonts w:cs="Times New Roman"/>
          <w:color w:val="000000" w:themeColor="text1"/>
          <w:sz w:val="20"/>
          <w:szCs w:val="20"/>
          <w:lang w:val="es-ES_tradnl"/>
        </w:rPr>
        <w:footnoteRef/>
      </w:r>
      <w:r w:rsidRPr="00AB4289">
        <w:rPr>
          <w:color w:val="000000" w:themeColor="text1"/>
          <w:sz w:val="20"/>
          <w:szCs w:val="20"/>
          <w:lang w:val="es-ES_tradnl"/>
        </w:rPr>
        <w:t xml:space="preserve"> </w:t>
      </w:r>
      <w:r w:rsidR="00782312" w:rsidRPr="00AB4289">
        <w:rPr>
          <w:rFonts w:eastAsiaTheme="minorHAnsi"/>
          <w:color w:val="000000" w:themeColor="text1"/>
          <w:sz w:val="20"/>
          <w:szCs w:val="20"/>
          <w:lang w:val="es-ES_tradnl" w:eastAsia="en-US"/>
        </w:rPr>
        <w:t>Raymond, Nate</w:t>
      </w:r>
      <w:r w:rsidR="00E413BD" w:rsidRPr="00AB4289">
        <w:rPr>
          <w:rFonts w:eastAsiaTheme="minorHAnsi"/>
          <w:color w:val="000000" w:themeColor="text1"/>
          <w:sz w:val="20"/>
          <w:szCs w:val="20"/>
          <w:lang w:val="es-ES_tradnl" w:eastAsia="en-US"/>
        </w:rPr>
        <w:t xml:space="preserve"> </w:t>
      </w:r>
      <w:r w:rsidR="00E413BD" w:rsidRPr="00AB4289">
        <w:rPr>
          <w:color w:val="000000" w:themeColor="text1"/>
          <w:sz w:val="20"/>
          <w:szCs w:val="20"/>
          <w:lang w:val="es-ES_tradnl"/>
        </w:rPr>
        <w:t>(2022).El poder judicial de EE. UU. lanza una base de datos en línea de las declaraciones financieras de los jueces</w:t>
      </w:r>
      <w:r w:rsidR="00782312" w:rsidRPr="00AB4289">
        <w:rPr>
          <w:color w:val="000000" w:themeColor="text1"/>
          <w:sz w:val="20"/>
          <w:szCs w:val="20"/>
          <w:lang w:val="es-ES_tradnl"/>
        </w:rPr>
        <w:t xml:space="preserve">. </w:t>
      </w:r>
      <w:r w:rsidR="00782312" w:rsidRPr="00AB4289">
        <w:rPr>
          <w:color w:val="000000" w:themeColor="text1"/>
          <w:sz w:val="20"/>
          <w:szCs w:val="20"/>
          <w:lang w:val="en-US"/>
        </w:rPr>
        <w:t>Disponible</w:t>
      </w:r>
      <w:r w:rsidR="00782312" w:rsidRPr="00AB4289">
        <w:rPr>
          <w:rFonts w:eastAsiaTheme="minorHAnsi"/>
          <w:color w:val="000000" w:themeColor="text1"/>
          <w:sz w:val="20"/>
          <w:szCs w:val="20"/>
          <w:lang w:val="en-US" w:eastAsia="en-US"/>
        </w:rPr>
        <w:t xml:space="preserve"> en: https://www.reuters.com/legal/government/us-judiciary-launches online-database-judges-financial-disclosures-2022-11-07/</w:t>
      </w:r>
      <w:r w:rsidR="009B2E8D" w:rsidRPr="00AB4289">
        <w:rPr>
          <w:rFonts w:eastAsiaTheme="minorHAnsi"/>
          <w:color w:val="000000" w:themeColor="text1"/>
          <w:sz w:val="20"/>
          <w:szCs w:val="20"/>
          <w:lang w:val="en-US" w:eastAsia="en-US"/>
        </w:rPr>
        <w:t>.</w:t>
      </w:r>
    </w:p>
  </w:footnote>
  <w:footnote w:id="96">
    <w:p w14:paraId="709AA2D9" w14:textId="7D7FE60C" w:rsidR="0041083B" w:rsidRPr="00AB4289" w:rsidRDefault="0041083B"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n-US"/>
        </w:rPr>
        <w:t xml:space="preserve"> </w:t>
      </w:r>
      <w:r w:rsidR="009B2E8D" w:rsidRPr="00AB4289">
        <w:rPr>
          <w:rFonts w:cs="Times New Roman"/>
          <w:lang w:val="en-US"/>
        </w:rPr>
        <w:t xml:space="preserve">Tilman Hoppe (2014). </w:t>
      </w:r>
      <w:r w:rsidR="009B2E8D" w:rsidRPr="00AB4289">
        <w:rPr>
          <w:rFonts w:cs="Times New Roman"/>
          <w:lang w:val="es-ES_tradnl"/>
        </w:rPr>
        <w:t>El caso de las declaraciones de bienes en el poder judicial: La identificación del enriquecimiento ilícito y los conflictos de intereses. Bergen: Instituto Chr. Michelsen. Disponible en: https://www.cmi.no/publications/file/5136-the-case-for-asset-declarations-in-the-judiciary.pdf.</w:t>
      </w:r>
    </w:p>
  </w:footnote>
  <w:footnote w:id="97">
    <w:p w14:paraId="6C973D0A" w14:textId="63EB70C5" w:rsidR="007B49FD" w:rsidRPr="00AB4289" w:rsidRDefault="007B49FD" w:rsidP="0045457F">
      <w:pPr>
        <w:pStyle w:val="Textonotapie"/>
        <w:rPr>
          <w:rFonts w:cs="Times New Roman"/>
          <w:lang w:val="es-ES_tradnl"/>
        </w:rPr>
      </w:pPr>
      <w:r w:rsidRPr="00AB4289">
        <w:rPr>
          <w:rStyle w:val="Refdenotaalpie"/>
          <w:rFonts w:cs="Times New Roman"/>
          <w:lang w:val="es-ES_tradnl"/>
        </w:rPr>
        <w:footnoteRef/>
      </w:r>
      <w:r w:rsidR="00E10F7E" w:rsidRPr="00AB4289">
        <w:rPr>
          <w:rFonts w:cs="Times New Roman"/>
          <w:lang w:val="es-ES_tradnl"/>
        </w:rPr>
        <w:t xml:space="preserve">Esta afirmación se basa en un estudio elaborado por la Regional School of Public Administration (ReSPA), en el cual se analizaron los efectos prácticos de los sistemas de declaración de activos de jueces en varios países de Europa del Este. </w:t>
      </w:r>
      <w:r w:rsidR="00E10F7E" w:rsidRPr="00AB4289">
        <w:rPr>
          <w:rFonts w:cs="Times New Roman"/>
          <w:lang w:val="en-US"/>
        </w:rPr>
        <w:t xml:space="preserve">En ese sentido, ver: </w:t>
      </w:r>
      <w:r w:rsidR="003919A2" w:rsidRPr="00AB4289">
        <w:rPr>
          <w:rFonts w:cs="Times New Roman"/>
          <w:lang w:val="en-US"/>
        </w:rPr>
        <w:t xml:space="preserve">Respa (Regional School of Public Administration (2013). Comparative Study: Income and Asset Declarations in Practice. </w:t>
      </w:r>
      <w:r w:rsidR="003919A2" w:rsidRPr="00AB4289">
        <w:rPr>
          <w:rFonts w:cs="Times New Roman"/>
          <w:lang w:val="es-ES_tradnl"/>
        </w:rPr>
        <w:t>Danilovgrad, Montenegro. Estudio comparativo: La declaración de la renta y de bienes en la práctica. Danilovgrad, Montenegro.</w:t>
      </w:r>
      <w:r w:rsidR="00E10F7E" w:rsidRPr="00AB4289">
        <w:rPr>
          <w:rFonts w:cs="Times New Roman"/>
          <w:lang w:val="es-ES_tradnl"/>
        </w:rPr>
        <w:t xml:space="preserve"> Disponible en: http://respaweb.eu/11/library#respa-publications-and-research-18</w:t>
      </w:r>
    </w:p>
  </w:footnote>
  <w:footnote w:id="98">
    <w:p w14:paraId="555993BB" w14:textId="6E89AE30" w:rsidR="003F4B50" w:rsidRPr="00AB4289" w:rsidRDefault="003F4B50"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w:t>
      </w:r>
      <w:r w:rsidR="00522E93" w:rsidRPr="00AB4289">
        <w:rPr>
          <w:rFonts w:cs="Times New Roman"/>
          <w:lang w:val="es-ES_tradnl"/>
        </w:rPr>
        <w:t>Tilman Hoppe (2014). El caso de las declaraciones de bienes en el poder judicial: La identificación del enriquecimiento ilícito y los conflictos de intereses. Bergen: Instituto Chr. Michelsen. Disponible en: https://www.cmi.no/publications/file/5136-the-case-for-asset-declarations-in-the-judiciary.pdf.</w:t>
      </w:r>
    </w:p>
  </w:footnote>
  <w:footnote w:id="99">
    <w:p w14:paraId="747CBAD4" w14:textId="07A87809" w:rsidR="00181141" w:rsidRPr="00AB4289" w:rsidRDefault="00181141" w:rsidP="0045457F">
      <w:pPr>
        <w:pStyle w:val="Textonotapie"/>
        <w:rPr>
          <w:rFonts w:cs="Times New Roman"/>
          <w:lang w:val="es-ES_tradnl"/>
        </w:rPr>
      </w:pPr>
      <w:r w:rsidRPr="00AB4289">
        <w:rPr>
          <w:rStyle w:val="Refdenotaalpie"/>
          <w:rFonts w:cs="Times New Roman"/>
        </w:rPr>
        <w:footnoteRef/>
      </w:r>
      <w:r w:rsidR="0099367C" w:rsidRPr="00AB4289">
        <w:rPr>
          <w:rFonts w:cs="Times New Roman"/>
        </w:rPr>
        <w:t xml:space="preserve"> “</w:t>
      </w:r>
      <w:r w:rsidR="0099367C" w:rsidRPr="00AB4289">
        <w:rPr>
          <w:rFonts w:cs="Times New Roman"/>
          <w:b/>
          <w:bCs/>
        </w:rPr>
        <w:t>ARTÍCULO 13</w:t>
      </w:r>
      <w:r w:rsidRPr="00AB4289">
        <w:rPr>
          <w:rFonts w:cs="Times New Roman"/>
        </w:rPr>
        <w:t xml:space="preserve">. </w:t>
      </w:r>
      <w:r w:rsidRPr="00AB4289">
        <w:rPr>
          <w:rFonts w:cs="Times New Roman"/>
          <w:lang w:val="es-ES_tradnl"/>
        </w:rPr>
        <w:t>Será requisito para la posesión y para el desempeño del cargo la declaración bajo juramento del nombrado, donde conste la identificación de sus bienes. Tal información deberá ser actualizada cada año y, en todo caso, al momento de su retiro</w:t>
      </w:r>
      <w:r w:rsidR="003159B1" w:rsidRPr="00AB4289">
        <w:rPr>
          <w:rFonts w:cs="Times New Roman"/>
          <w:lang w:val="es-ES_tradnl"/>
        </w:rPr>
        <w:t>”</w:t>
      </w:r>
      <w:r w:rsidRPr="00AB4289">
        <w:rPr>
          <w:rFonts w:cs="Times New Roman"/>
          <w:lang w:val="es-ES_tradnl"/>
        </w:rPr>
        <w:t>.</w:t>
      </w:r>
    </w:p>
  </w:footnote>
  <w:footnote w:id="100">
    <w:p w14:paraId="3D1D066F" w14:textId="192326DF" w:rsidR="00181141" w:rsidRPr="00AB4289" w:rsidRDefault="00181141"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Por la cual se dictan normas tendientes a preservar la moralidad en la Administración Pública y se fijan disposiciones con el fin de erradicar la corrupción administrativa.</w:t>
      </w:r>
    </w:p>
  </w:footnote>
  <w:footnote w:id="101">
    <w:p w14:paraId="79EFD750" w14:textId="6B4C9105" w:rsidR="00181141" w:rsidRPr="00AB4289" w:rsidRDefault="00181141" w:rsidP="0045457F">
      <w:pPr>
        <w:shd w:val="clear" w:color="auto" w:fill="FFFFFF"/>
        <w:jc w:val="both"/>
        <w:rPr>
          <w:color w:val="000000" w:themeColor="text1"/>
          <w:sz w:val="20"/>
          <w:szCs w:val="20"/>
        </w:rPr>
      </w:pPr>
      <w:r w:rsidRPr="00AB4289">
        <w:rPr>
          <w:rStyle w:val="Refdenotaalpie"/>
          <w:rFonts w:cs="Times New Roman"/>
          <w:color w:val="000000" w:themeColor="text1"/>
          <w:sz w:val="20"/>
          <w:szCs w:val="20"/>
        </w:rPr>
        <w:footnoteRef/>
      </w:r>
      <w:r w:rsidRPr="00AB4289">
        <w:rPr>
          <w:color w:val="000000" w:themeColor="text1"/>
          <w:sz w:val="20"/>
          <w:szCs w:val="20"/>
        </w:rPr>
        <w:t xml:space="preserve"> </w:t>
      </w:r>
      <w:r w:rsidR="0099367C" w:rsidRPr="00AB4289">
        <w:rPr>
          <w:color w:val="000000" w:themeColor="text1"/>
          <w:sz w:val="20"/>
          <w:szCs w:val="20"/>
        </w:rPr>
        <w:t>“</w:t>
      </w:r>
      <w:r w:rsidRPr="00AB4289">
        <w:rPr>
          <w:b/>
          <w:bCs/>
          <w:color w:val="000000" w:themeColor="text1"/>
          <w:sz w:val="20"/>
          <w:szCs w:val="20"/>
          <w:lang w:val="es-ES_tradnl"/>
        </w:rPr>
        <w:t>A</w:t>
      </w:r>
      <w:r w:rsidR="0099367C" w:rsidRPr="00AB4289">
        <w:rPr>
          <w:b/>
          <w:bCs/>
          <w:color w:val="000000" w:themeColor="text1"/>
          <w:sz w:val="20"/>
          <w:szCs w:val="20"/>
          <w:lang w:val="es-ES_tradnl"/>
        </w:rPr>
        <w:t>RTÍCULO</w:t>
      </w:r>
      <w:r w:rsidRPr="00AB4289">
        <w:rPr>
          <w:b/>
          <w:bCs/>
          <w:color w:val="000000" w:themeColor="text1"/>
          <w:sz w:val="20"/>
          <w:szCs w:val="20"/>
          <w:lang w:val="es-ES_tradnl"/>
        </w:rPr>
        <w:t xml:space="preserve"> 153</w:t>
      </w:r>
      <w:r w:rsidRPr="00AB4289">
        <w:rPr>
          <w:color w:val="000000" w:themeColor="text1"/>
          <w:sz w:val="20"/>
          <w:szCs w:val="20"/>
          <w:lang w:val="es-ES_tradnl"/>
        </w:rPr>
        <w:t>. Antes de tomar posesión del cargo; cada dos años; al retirarse de este; cuando la autoridad competente se lo solicite o cada vez que su patrimonio y rentas varíen significativamente, declarar bajo juramento, el monto de sus bienes y rentas</w:t>
      </w:r>
      <w:r w:rsidR="0099367C" w:rsidRPr="00AB4289">
        <w:rPr>
          <w:color w:val="000000" w:themeColor="text1"/>
          <w:sz w:val="20"/>
          <w:szCs w:val="20"/>
          <w:lang w:val="es-ES_tradnl"/>
        </w:rPr>
        <w:t>”</w:t>
      </w:r>
      <w:r w:rsidRPr="00AB4289">
        <w:rPr>
          <w:color w:val="000000" w:themeColor="text1"/>
          <w:sz w:val="20"/>
          <w:szCs w:val="20"/>
          <w:lang w:val="es-ES_tradnl"/>
        </w:rPr>
        <w:t>.</w:t>
      </w:r>
    </w:p>
  </w:footnote>
  <w:footnote w:id="102">
    <w:p w14:paraId="69B90695" w14:textId="77777777" w:rsidR="00BC0665" w:rsidRPr="00AB4289" w:rsidRDefault="00BC0665" w:rsidP="00BC0665">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Por medio del cual se busca garantizar el cumplimiento de los principios de transparencia y publicidad mediante la publicación de las declaraciones de bienes, renta y el registro de los conflictos de interés.</w:t>
      </w:r>
    </w:p>
  </w:footnote>
  <w:footnote w:id="103">
    <w:p w14:paraId="49269F0E" w14:textId="791D68B0" w:rsidR="00BC0665" w:rsidRPr="00AB4289" w:rsidRDefault="00BC0665" w:rsidP="00BC0665">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Artículo 2 de la Ley 2013 de 2019.</w:t>
      </w:r>
    </w:p>
  </w:footnote>
  <w:footnote w:id="104">
    <w:p w14:paraId="417201EA" w14:textId="4872D037" w:rsidR="00181141" w:rsidRPr="00AB4289" w:rsidRDefault="00181141" w:rsidP="0045457F">
      <w:pPr>
        <w:pStyle w:val="Textonotapie"/>
        <w:rPr>
          <w:rFonts w:cs="Times New Roman"/>
          <w:lang w:val="es-ES_tradnl"/>
        </w:rPr>
      </w:pPr>
      <w:r w:rsidRPr="00AB4289">
        <w:rPr>
          <w:rStyle w:val="Refdenotaalpie"/>
          <w:rFonts w:cs="Times New Roman"/>
        </w:rPr>
        <w:footnoteRef/>
      </w:r>
      <w:r w:rsidR="0099367C" w:rsidRPr="00AB4289">
        <w:rPr>
          <w:rFonts w:cs="Times New Roman"/>
        </w:rPr>
        <w:t xml:space="preserve"> </w:t>
      </w:r>
      <w:r w:rsidR="004508E9" w:rsidRPr="00AB4289">
        <w:rPr>
          <w:rFonts w:cs="Times New Roman"/>
        </w:rPr>
        <w:t>En ese sentido se pueden ver el Acuerdo PSAA12-9294 del 5 de marzo de 201</w:t>
      </w:r>
      <w:r w:rsidR="007A21A2" w:rsidRPr="00AB4289">
        <w:rPr>
          <w:rFonts w:cs="Times New Roman"/>
        </w:rPr>
        <w:t xml:space="preserve">2, la Circular PCSJC20-36 del 18 de noviembre de 2020 y </w:t>
      </w:r>
      <w:r w:rsidR="004508E9" w:rsidRPr="00AB4289">
        <w:rPr>
          <w:rFonts w:cs="Times New Roman"/>
        </w:rPr>
        <w:t xml:space="preserve"> la Circular PCSJS25-8 del 3 de marzo de 2025.</w:t>
      </w:r>
    </w:p>
  </w:footnote>
  <w:footnote w:id="105">
    <w:p w14:paraId="2AFA0BCF" w14:textId="35708AFC" w:rsidR="00722350" w:rsidRPr="00AB4289" w:rsidRDefault="00722350"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w:t>
      </w:r>
      <w:r w:rsidR="003159B1" w:rsidRPr="00AB4289">
        <w:rPr>
          <w:rFonts w:cs="Times New Roman"/>
          <w:shd w:val="clear" w:color="auto" w:fill="FFFFFF"/>
          <w:lang w:val="es-ES_tradnl"/>
        </w:rPr>
        <w:t>“</w:t>
      </w:r>
      <w:r w:rsidRPr="00AB4289">
        <w:rPr>
          <w:rFonts w:cs="Times New Roman"/>
          <w:shd w:val="clear" w:color="auto" w:fill="FFFFFF"/>
          <w:lang w:val="es-ES_tradnl"/>
        </w:rPr>
        <w:t>Por el cual se modifican y adicionan algunos artículos al Decreto 1081 de 2015, Único Reglamentario del Sector Presidencia de la República, en lo relacionado con el régimen de las Personas Expuestas Políticamente (PEP)</w:t>
      </w:r>
      <w:r w:rsidR="003159B1" w:rsidRPr="00AB4289">
        <w:rPr>
          <w:rFonts w:cs="Times New Roman"/>
          <w:shd w:val="clear" w:color="auto" w:fill="FFFFFF"/>
          <w:lang w:val="es-ES_tradnl"/>
        </w:rPr>
        <w:t>”</w:t>
      </w:r>
      <w:r w:rsidR="00E413BD" w:rsidRPr="00AB4289">
        <w:rPr>
          <w:rFonts w:cs="Times New Roman"/>
          <w:shd w:val="clear" w:color="auto" w:fill="FFFFFF"/>
          <w:lang w:val="es-ES_tradnl"/>
        </w:rPr>
        <w:t>.</w:t>
      </w:r>
    </w:p>
  </w:footnote>
  <w:footnote w:id="106">
    <w:p w14:paraId="6EECB87C" w14:textId="0C1E2C3E" w:rsidR="00722350" w:rsidRPr="00AB4289" w:rsidRDefault="00722350"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w:t>
      </w:r>
      <w:r w:rsidRPr="00AB4289">
        <w:rPr>
          <w:rFonts w:cs="Times New Roman"/>
          <w:shd w:val="clear" w:color="auto" w:fill="FFFFFF"/>
          <w:lang w:val="es-ES_tradnl"/>
        </w:rPr>
        <w:t xml:space="preserve">Artículo 7 del </w:t>
      </w:r>
      <w:r w:rsidRPr="00AB4289">
        <w:rPr>
          <w:rFonts w:eastAsiaTheme="minorHAnsi" w:cs="Times New Roman"/>
          <w:lang w:val="es-ES_tradnl" w:eastAsia="en-US"/>
        </w:rPr>
        <w:t>Decreto 831 de 2021.</w:t>
      </w:r>
    </w:p>
  </w:footnote>
  <w:footnote w:id="107">
    <w:p w14:paraId="5594E5D5" w14:textId="01C72EE0" w:rsidR="00B01608" w:rsidRPr="00AB4289" w:rsidRDefault="00B01608" w:rsidP="0045457F">
      <w:pPr>
        <w:pStyle w:val="NormalWeb"/>
        <w:shd w:val="clear" w:color="auto" w:fill="FFFFFF"/>
        <w:spacing w:before="0" w:beforeAutospacing="0" w:after="0" w:afterAutospacing="0"/>
        <w:jc w:val="both"/>
        <w:rPr>
          <w:color w:val="000000" w:themeColor="text1"/>
          <w:sz w:val="20"/>
          <w:szCs w:val="20"/>
        </w:rPr>
      </w:pPr>
      <w:r w:rsidRPr="00AB4289">
        <w:rPr>
          <w:rStyle w:val="Refdenotaalpie"/>
          <w:rFonts w:cs="Times New Roman"/>
          <w:color w:val="000000" w:themeColor="text1"/>
          <w:sz w:val="20"/>
          <w:szCs w:val="20"/>
        </w:rPr>
        <w:footnoteRef/>
      </w:r>
      <w:r w:rsidR="007C5CD4" w:rsidRPr="00AB4289">
        <w:rPr>
          <w:color w:val="000000" w:themeColor="text1"/>
          <w:sz w:val="20"/>
          <w:szCs w:val="20"/>
        </w:rPr>
        <w:t>“</w:t>
      </w:r>
      <w:r w:rsidR="00C509BB" w:rsidRPr="00AB4289">
        <w:rPr>
          <w:color w:val="000000" w:themeColor="text1"/>
          <w:sz w:val="20"/>
          <w:szCs w:val="20"/>
          <w:lang w:val="es-ES_tradnl"/>
        </w:rPr>
        <w:t>ARTÍCULO</w:t>
      </w:r>
      <w:bookmarkStart w:id="23" w:name="9"/>
      <w:bookmarkEnd w:id="23"/>
      <w:r w:rsidR="00C509BB" w:rsidRPr="00AB4289">
        <w:rPr>
          <w:color w:val="000000" w:themeColor="text1"/>
          <w:sz w:val="20"/>
          <w:szCs w:val="20"/>
          <w:lang w:val="es-ES_tradnl"/>
        </w:rPr>
        <w:t> 9. Información mínima obligatoria respecto a la estructura del sujeto obligado</w:t>
      </w:r>
      <w:r w:rsidR="00C509BB" w:rsidRPr="00AB4289">
        <w:rPr>
          <w:rStyle w:val="nfasis"/>
          <w:rFonts w:eastAsiaTheme="majorEastAsia"/>
          <w:i w:val="0"/>
          <w:iCs w:val="0"/>
          <w:color w:val="000000" w:themeColor="text1"/>
          <w:sz w:val="20"/>
          <w:szCs w:val="20"/>
        </w:rPr>
        <w:t>. </w:t>
      </w:r>
      <w:r w:rsidR="00C509BB" w:rsidRPr="00AB4289">
        <w:rPr>
          <w:color w:val="000000" w:themeColor="text1"/>
          <w:sz w:val="20"/>
          <w:szCs w:val="20"/>
        </w:rPr>
        <w:t>Todo sujeto obligado deberá publicar la siguiente información mínima obligatoria de manera proactiva en los sistemas de información del Estado o herramientas que lo sustituyan: (…) c) Un directorio que incluya el cargo, direcciones de correo electrónico y teléfono del despacho de los empleados y funcionarios y las escalas salariales correspondientes a las categorías de todos los servidores que trabajan en el sujeto obligado, de conformidad con el formato de información de servidores públicos y contratistas</w:t>
      </w:r>
      <w:r w:rsidR="007C5CD4" w:rsidRPr="00AB4289">
        <w:rPr>
          <w:color w:val="000000" w:themeColor="text1"/>
          <w:sz w:val="20"/>
          <w:szCs w:val="20"/>
        </w:rPr>
        <w:t>”</w:t>
      </w:r>
      <w:r w:rsidR="00C509BB" w:rsidRPr="00AB4289">
        <w:rPr>
          <w:color w:val="000000" w:themeColor="text1"/>
          <w:sz w:val="20"/>
          <w:szCs w:val="20"/>
        </w:rPr>
        <w:t>.</w:t>
      </w:r>
    </w:p>
  </w:footnote>
  <w:footnote w:id="108">
    <w:p w14:paraId="760AF329" w14:textId="473FA0CC" w:rsidR="00247B84" w:rsidRPr="00AB4289" w:rsidRDefault="00247B84" w:rsidP="0045457F">
      <w:pPr>
        <w:pStyle w:val="Textonotapie"/>
        <w:rPr>
          <w:rFonts w:cs="Times New Roman"/>
          <w:b/>
          <w:bCs/>
          <w:lang w:val="es-ES_tradnl"/>
        </w:rPr>
      </w:pPr>
      <w:r w:rsidRPr="00AB4289">
        <w:rPr>
          <w:rStyle w:val="Refdenotaalpie"/>
          <w:rFonts w:cs="Times New Roman"/>
        </w:rPr>
        <w:footnoteRef/>
      </w:r>
      <w:r w:rsidRPr="00AB4289">
        <w:rPr>
          <w:rFonts w:cs="Times New Roman"/>
        </w:rPr>
        <w:t xml:space="preserve"> PARÁGRAFO</w:t>
      </w:r>
      <w:bookmarkStart w:id="24" w:name="9.p2"/>
      <w:bookmarkEnd w:id="24"/>
      <w:r w:rsidRPr="00AB4289">
        <w:rPr>
          <w:rFonts w:cs="Times New Roman"/>
        </w:rPr>
        <w:t> 2. En relación a los literales c) y e) del presente artículo, el Departamento Administrativo de la Función Pública establecerá un formato de información de los servidores públicos y de personas naturales con contratos de prestación de servicios, el cual contendrá los nombres y apellidos completos, ciudad de nacimiento, formación académica, experiencia laboral y profesional de los funcionarios y de los contratistas</w:t>
      </w:r>
      <w:r w:rsidR="007A3223" w:rsidRPr="00AB4289">
        <w:rPr>
          <w:rFonts w:cs="Times New Roman"/>
        </w:rPr>
        <w:t>” ( negrilla propia)</w:t>
      </w:r>
      <w:r w:rsidR="007A3223" w:rsidRPr="00AB4289">
        <w:rPr>
          <w:rFonts w:cs="Times New Roman"/>
          <w:shd w:val="clear" w:color="auto" w:fill="FFFFFF"/>
        </w:rPr>
        <w:t>.</w:t>
      </w:r>
    </w:p>
  </w:footnote>
  <w:footnote w:id="109">
    <w:p w14:paraId="29E5AA9C" w14:textId="236DFEA4" w:rsidR="00C509BB" w:rsidRPr="00AB4289" w:rsidRDefault="00C509BB"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En el siguiente </w:t>
      </w:r>
      <w:r w:rsidR="002A23BE" w:rsidRPr="00AB4289">
        <w:rPr>
          <w:rFonts w:cs="Times New Roman"/>
        </w:rPr>
        <w:t>hipervínculo</w:t>
      </w:r>
      <w:r w:rsidRPr="00AB4289">
        <w:rPr>
          <w:rFonts w:cs="Times New Roman"/>
        </w:rPr>
        <w:t xml:space="preserve"> se puede ver el ejemplo del formato de hojas de vida presentado en el Portal Transparencia: </w:t>
      </w:r>
      <w:hyperlink r:id="rId3" w:history="1">
        <w:r w:rsidR="009D01F0" w:rsidRPr="00AB4289">
          <w:rPr>
            <w:rStyle w:val="Hipervnculo"/>
            <w:rFonts w:cs="Times New Roman"/>
            <w:color w:val="000000" w:themeColor="text1"/>
          </w:rPr>
          <w:t>hoja de vida</w:t>
        </w:r>
      </w:hyperlink>
      <w:r w:rsidR="002A23BE" w:rsidRPr="00AB4289">
        <w:rPr>
          <w:rFonts w:cs="Times New Roman"/>
        </w:rPr>
        <w:t>.</w:t>
      </w:r>
    </w:p>
  </w:footnote>
  <w:footnote w:id="110">
    <w:p w14:paraId="31BD1121" w14:textId="5AA30652" w:rsidR="00ED2BB5" w:rsidRPr="00AB4289" w:rsidRDefault="00ED2BB5" w:rsidP="0045457F">
      <w:pPr>
        <w:jc w:val="both"/>
        <w:rPr>
          <w:color w:val="000000" w:themeColor="text1"/>
          <w:sz w:val="20"/>
          <w:szCs w:val="20"/>
          <w:lang w:val="es-ES_tradnl"/>
        </w:rPr>
      </w:pPr>
      <w:r w:rsidRPr="00AB4289">
        <w:rPr>
          <w:rStyle w:val="Refdenotaalpie"/>
          <w:rFonts w:cs="Times New Roman"/>
          <w:color w:val="000000" w:themeColor="text1"/>
          <w:sz w:val="20"/>
          <w:szCs w:val="20"/>
        </w:rPr>
        <w:footnoteRef/>
      </w:r>
      <w:r w:rsidRPr="00AB4289">
        <w:rPr>
          <w:color w:val="000000" w:themeColor="text1"/>
          <w:sz w:val="20"/>
          <w:szCs w:val="20"/>
          <w:lang w:val="es-ES_tradnl"/>
        </w:rPr>
        <w:t xml:space="preserve">Instructivo para la publicación y la divulgación de la Declaración de Bienes y Rentas y registro de </w:t>
      </w:r>
      <w:r w:rsidR="00C509BB" w:rsidRPr="00AB4289">
        <w:rPr>
          <w:color w:val="000000" w:themeColor="text1"/>
          <w:sz w:val="20"/>
          <w:szCs w:val="20"/>
          <w:lang w:val="es-ES_tradnl"/>
        </w:rPr>
        <w:t>conflictos</w:t>
      </w:r>
      <w:r w:rsidRPr="00AB4289">
        <w:rPr>
          <w:color w:val="000000" w:themeColor="text1"/>
          <w:sz w:val="20"/>
          <w:szCs w:val="20"/>
          <w:lang w:val="es-ES_tradnl"/>
        </w:rPr>
        <w:t xml:space="preserve"> de interés en el portal web de la rama judicial. Disponible en</w:t>
      </w:r>
      <w:r w:rsidR="002A23BE" w:rsidRPr="00AB4289">
        <w:rPr>
          <w:color w:val="000000" w:themeColor="text1"/>
          <w:sz w:val="20"/>
          <w:szCs w:val="20"/>
          <w:lang w:val="es-ES_tradnl"/>
        </w:rPr>
        <w:t xml:space="preserve"> el siguiente hipervínculo</w:t>
      </w:r>
      <w:r w:rsidRPr="00AB4289">
        <w:rPr>
          <w:color w:val="000000" w:themeColor="text1"/>
          <w:sz w:val="20"/>
          <w:szCs w:val="20"/>
          <w:lang w:val="es-ES_tradnl"/>
        </w:rPr>
        <w:t>:</w:t>
      </w:r>
      <w:r w:rsidRPr="00AB4289">
        <w:rPr>
          <w:color w:val="000000" w:themeColor="text1"/>
          <w:sz w:val="20"/>
          <w:szCs w:val="20"/>
        </w:rPr>
        <w:t xml:space="preserve"> </w:t>
      </w:r>
      <w:hyperlink r:id="rId4" w:history="1">
        <w:r w:rsidR="002A23BE" w:rsidRPr="00AB4289">
          <w:rPr>
            <w:rStyle w:val="Hipervnculo"/>
            <w:color w:val="000000" w:themeColor="text1"/>
            <w:sz w:val="20"/>
            <w:szCs w:val="20"/>
          </w:rPr>
          <w:t>Instructivo</w:t>
        </w:r>
      </w:hyperlink>
      <w:r w:rsidR="002A23BE" w:rsidRPr="00AB4289">
        <w:rPr>
          <w:color w:val="000000" w:themeColor="text1"/>
          <w:sz w:val="20"/>
          <w:szCs w:val="20"/>
        </w:rPr>
        <w:t>.</w:t>
      </w:r>
    </w:p>
  </w:footnote>
  <w:footnote w:id="111">
    <w:p w14:paraId="6499B3C3" w14:textId="5DE1C66C" w:rsidR="00B01608" w:rsidRPr="00AB4289" w:rsidRDefault="00B01608"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C509BB" w:rsidRPr="00AB4289">
        <w:rPr>
          <w:rFonts w:cs="Times New Roman"/>
        </w:rPr>
        <w:t>Por medio de la cual se regula el Derecho Fundamental de Petición y se sustituye un título del Código de Procedimiento Administrativo y de lo Contencioso Administrativo.</w:t>
      </w:r>
    </w:p>
  </w:footnote>
  <w:footnote w:id="112">
    <w:p w14:paraId="46F36B76" w14:textId="6B7B4FCF" w:rsidR="000B1B8F" w:rsidRPr="00AB4289" w:rsidRDefault="000B1B8F"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La Corte se pronunció en un sentido similar en la sentencia T-454 de 2024, en la que el accionante era el mismo periodista, pero su solicitud se presentó ante una institución educativa diferente, que era de carácter privado. En dicha decisión, también se resolvió que los documentos públicos debían ser entregados y que los datos</w:t>
      </w:r>
      <w:r w:rsidR="005C3FE9" w:rsidRPr="00AB4289">
        <w:rPr>
          <w:rFonts w:cs="Times New Roman"/>
          <w:lang w:val="es-ES_tradnl"/>
        </w:rPr>
        <w:t xml:space="preserve"> semiprivados tenían especial relevancia constitucional po</w:t>
      </w:r>
      <w:r w:rsidR="005D7172" w:rsidRPr="00AB4289">
        <w:rPr>
          <w:rFonts w:cs="Times New Roman"/>
          <w:lang w:val="es-ES_tradnl"/>
        </w:rPr>
        <w:t xml:space="preserve">r permitir el control social </w:t>
      </w:r>
      <w:r w:rsidR="00D52DEB" w:rsidRPr="00AB4289">
        <w:rPr>
          <w:rFonts w:cs="Times New Roman"/>
          <w:lang w:val="es-ES_tradnl"/>
        </w:rPr>
        <w:t>sobre</w:t>
      </w:r>
      <w:r w:rsidR="005D7172" w:rsidRPr="00AB4289">
        <w:rPr>
          <w:rFonts w:cs="Times New Roman"/>
          <w:lang w:val="es-ES_tradnl"/>
        </w:rPr>
        <w:t xml:space="preserve"> una persona de alta relevancia pública y por haber sido solicitados por un periodista en el marco de una investigación.</w:t>
      </w:r>
    </w:p>
  </w:footnote>
  <w:footnote w:id="113">
    <w:p w14:paraId="7A285A0B" w14:textId="4110B71A" w:rsidR="0079004E" w:rsidRPr="00AB4289" w:rsidRDefault="0079004E"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García Villegas, M., &amp; Ceballos Bedoya, M. A. (2019). La profesión jurídica en Colombia: Falta de reglas y exceso de mercado. Dejusticia. </w:t>
      </w:r>
      <w:r w:rsidR="001B206C" w:rsidRPr="00AB4289">
        <w:rPr>
          <w:rFonts w:cs="Times New Roman"/>
          <w:lang w:val="es-ES_tradnl"/>
        </w:rPr>
        <w:t>Disponible en: https://www.dejusticia.org/wp-content/uploads/2019/08/La-Profesio%CC%81n-Juri%CC%81dica-En-Colombia.pdf.</w:t>
      </w:r>
    </w:p>
  </w:footnote>
  <w:footnote w:id="114">
    <w:p w14:paraId="293F6724" w14:textId="1BA82C3A" w:rsidR="0025377E" w:rsidRPr="00AB4289" w:rsidRDefault="0025377E" w:rsidP="0045457F">
      <w:pPr>
        <w:pStyle w:val="Textonotapie"/>
        <w:rPr>
          <w:rFonts w:cs="Times New Roman"/>
          <w:lang w:val="es-ES_tradnl"/>
        </w:rPr>
      </w:pPr>
      <w:r w:rsidRPr="00AB4289">
        <w:rPr>
          <w:rStyle w:val="Refdenotaalpie"/>
          <w:rFonts w:cs="Times New Roman"/>
          <w:lang w:val="es-ES_tradnl"/>
        </w:rPr>
        <w:footnoteRef/>
      </w:r>
      <w:r w:rsidRPr="00AB4289">
        <w:rPr>
          <w:rFonts w:cs="Times New Roman"/>
          <w:lang w:val="es-ES_tradnl"/>
        </w:rPr>
        <w:t xml:space="preserve"> </w:t>
      </w:r>
      <w:r w:rsidR="001B206C" w:rsidRPr="00AB4289">
        <w:rPr>
          <w:rFonts w:cs="Times New Roman"/>
          <w:lang w:val="es-ES_tradnl"/>
        </w:rPr>
        <w:t>Alianza Más Información Más Derechos (2017). Informe de resultados de la veeduría al cumplimiento de las obligaciones de transparencia activa y pasiva por parte de las cuatro Altas Cortes y de la Fiscalía General de la Nación. Disponible en: https://masinformacionmasderechos.co/wp-content/uploads/2018/03/Informe-T-Conjueces-e-inhabilidades-16-02-18.pdf.</w:t>
      </w:r>
    </w:p>
  </w:footnote>
  <w:footnote w:id="115">
    <w:p w14:paraId="3345C291" w14:textId="049142ED" w:rsidR="00D52DEB" w:rsidRPr="00AB4289" w:rsidRDefault="00020B47" w:rsidP="0045457F">
      <w:pPr>
        <w:pStyle w:val="Textonotapie"/>
        <w:rPr>
          <w:rFonts w:cs="Times New Roman"/>
        </w:rPr>
      </w:pPr>
      <w:r w:rsidRPr="00AB4289">
        <w:rPr>
          <w:rStyle w:val="Refdenotaalpie"/>
          <w:rFonts w:cs="Times New Roman"/>
        </w:rPr>
        <w:footnoteRef/>
      </w:r>
      <w:r w:rsidRPr="00AB4289">
        <w:rPr>
          <w:rFonts w:cs="Times New Roman"/>
        </w:rPr>
        <w:t xml:space="preserve"> </w:t>
      </w:r>
      <w:r w:rsidR="00EA1ADF" w:rsidRPr="00AB4289">
        <w:rPr>
          <w:rFonts w:cs="Times New Roman"/>
          <w:lang w:val="es-ES_tradnl"/>
        </w:rPr>
        <w:t xml:space="preserve">En efecto, según el artículo 4 del </w:t>
      </w:r>
      <w:r w:rsidR="00EA1ADF" w:rsidRPr="00AB4289">
        <w:rPr>
          <w:rFonts w:cs="Times New Roman"/>
        </w:rPr>
        <w:t>el Acuerdo 2035 de 2023- que modificó el Reglamento de la Corte Suprema de Justicia- dentro de las funciones de la Secretaría de esta Corporación está “llevar el archivo de las hojas de vida de los funcionarios y de los empleados de la Corte; la de los magistrados de los Tribunales Superiores de Distrito Judicial, y actualizar, en coordinación con el Consejo Superior de la Judicatura, el Registro Nacional de Servidores Judiciales en cuanto se refiere a la Corte”.</w:t>
      </w:r>
      <w:r w:rsidR="008C511F" w:rsidRPr="00AB4289">
        <w:rPr>
          <w:rFonts w:cs="Times New Roman"/>
        </w:rPr>
        <w:t xml:space="preserve"> </w:t>
      </w:r>
      <w:r w:rsidR="00D52DEB" w:rsidRPr="00AB4289">
        <w:rPr>
          <w:rFonts w:cs="Times New Roman"/>
        </w:rPr>
        <w:t>Además, el Acuerdo 2175 de 2023, que contiene el Reglamento de la Corte Suprema de Justicia, establece que la Secretaría General es la dependencia encargada no solo de custodiar las hojas de vida, sino también de recibir los documentos que acreditan el cumplimiento de los requisitos académicos y laborales de los magistrados. En virtud de ello, dicha Secretaría tiene el deber de conservar esta documentación de manera adecuada. Sobre esta obligación, la Corte Constitucional señaló en la sentencia T-398 de 2015 que las entidades públicas, sin importar su nivel, son responsables de mantener la información bajo su custodia y, en particular, de conservar diligentemente los documentos que reposan en sus archivos, es especial aquellas relacionadas con la historia laboral de sus trabajadores.</w:t>
      </w:r>
    </w:p>
  </w:footnote>
  <w:footnote w:id="116">
    <w:p w14:paraId="07F28A11" w14:textId="2F220C28" w:rsidR="00451E93" w:rsidRPr="00AB4289" w:rsidRDefault="00451E93"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Sentencia C-748 de 2011</w:t>
      </w:r>
    </w:p>
  </w:footnote>
  <w:footnote w:id="117">
    <w:p w14:paraId="0A149C20" w14:textId="1562DAD7" w:rsidR="00FA5118" w:rsidRPr="00AB4289" w:rsidRDefault="00FA5118"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451E93" w:rsidRPr="00AB4289">
        <w:rPr>
          <w:rFonts w:cs="Times New Roman"/>
          <w:lang w:val="es-ES_tradnl"/>
        </w:rPr>
        <w:t xml:space="preserve">Sentencias </w:t>
      </w:r>
      <w:r w:rsidR="00451E93" w:rsidRPr="00AB4289">
        <w:rPr>
          <w:rFonts w:cs="Times New Roman"/>
        </w:rPr>
        <w:t>C-1011 de 2008,</w:t>
      </w:r>
      <w:r w:rsidR="00451E93" w:rsidRPr="00AB4289">
        <w:rPr>
          <w:rFonts w:cs="Times New Roman"/>
          <w:shd w:val="clear" w:color="auto" w:fill="FFFFFF"/>
        </w:rPr>
        <w:t xml:space="preserve"> </w:t>
      </w:r>
      <w:r w:rsidR="00451E93" w:rsidRPr="00AB4289">
        <w:rPr>
          <w:rFonts w:cs="Times New Roman"/>
          <w:lang w:val="es-ES_tradnl"/>
        </w:rPr>
        <w:t>T-114 de 2018 y SU -139 de 2021.</w:t>
      </w:r>
    </w:p>
  </w:footnote>
  <w:footnote w:id="118">
    <w:p w14:paraId="53B63298" w14:textId="77777777" w:rsidR="00FA5118" w:rsidRPr="00AB4289" w:rsidRDefault="00FA5118"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 xml:space="preserve">En </w:t>
      </w:r>
      <w:r w:rsidRPr="00AB4289">
        <w:rPr>
          <w:rStyle w:val="Refdenotaalpie"/>
          <w:rFonts w:cs="Times New Roman"/>
          <w:vertAlign w:val="baseline"/>
        </w:rPr>
        <w:t>efecto, en el Instructivo que realizó el Consejo Superior de la Judicatura para el registro de la información, se señala explícitamente una advertencia para no incluir datos sensibles de la persona</w:t>
      </w:r>
    </w:p>
  </w:footnote>
  <w:footnote w:id="119">
    <w:p w14:paraId="0FBFC930" w14:textId="009E6E0A" w:rsidR="00FA5118" w:rsidRPr="00AB4289" w:rsidRDefault="00FA5118"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Se puede ver que, en</w:t>
      </w:r>
      <w:r w:rsidR="00A55A0D" w:rsidRPr="00AB4289">
        <w:rPr>
          <w:rFonts w:cs="Times New Roman"/>
          <w:lang w:val="es-ES_tradnl"/>
        </w:rPr>
        <w:t xml:space="preserve"> su</w:t>
      </w:r>
      <w:r w:rsidRPr="00AB4289">
        <w:rPr>
          <w:rFonts w:cs="Times New Roman"/>
          <w:lang w:val="es-ES_tradnl"/>
        </w:rPr>
        <w:t xml:space="preserve"> intervención del 22 de mayo de 2025, el señor Juan Pablo Barrientos señaló lo siguiente: “yo no he solicitado datos de salud, origen étnico ni orientación sexual. He solicitado los soportes académicos y de experiencia laboral, que son datos no sensibles según el artículo 3 de la Ley 1581 de 2012”. </w:t>
      </w:r>
    </w:p>
  </w:footnote>
  <w:footnote w:id="120">
    <w:p w14:paraId="3B01813F" w14:textId="30463EA8" w:rsidR="005D7172" w:rsidRPr="00AB4289" w:rsidRDefault="005D7172"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Sentencias T324 de 2024 y T-454 de 2024.</w:t>
      </w:r>
    </w:p>
  </w:footnote>
  <w:footnote w:id="121">
    <w:p w14:paraId="07F613E5" w14:textId="5D8D8FD1" w:rsidR="00B3095C" w:rsidRPr="00AB4289" w:rsidRDefault="00B3095C"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FC41CC" w:rsidRPr="00AB4289">
        <w:rPr>
          <w:rFonts w:cs="Times New Roman"/>
        </w:rPr>
        <w:t>Sentencia T-296 de 2013.</w:t>
      </w:r>
    </w:p>
  </w:footnote>
  <w:footnote w:id="122">
    <w:p w14:paraId="3775DE10" w14:textId="0DADEBE2" w:rsidR="00CF6364" w:rsidRPr="00AB4289" w:rsidRDefault="00CF6364"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En efecto, </w:t>
      </w:r>
      <w:r w:rsidR="00BA2305" w:rsidRPr="00AB4289">
        <w:rPr>
          <w:rFonts w:cs="Times New Roman"/>
        </w:rPr>
        <w:t xml:space="preserve">según </w:t>
      </w:r>
      <w:r w:rsidRPr="00AB4289">
        <w:rPr>
          <w:rFonts w:cs="Times New Roman"/>
        </w:rPr>
        <w:t>el artículo</w:t>
      </w:r>
      <w:r w:rsidR="00BA2305" w:rsidRPr="00AB4289">
        <w:rPr>
          <w:rFonts w:cs="Times New Roman"/>
        </w:rPr>
        <w:t xml:space="preserve"> Ley 1266 de 2008, artículo 3, literal h, son datos privados porque solo son relevantes para su titular. Sin embargo, no son datos sensibles porque no son susceptibles de generar discriminación ni están relacionados con creencias íntimas del titular de la información.</w:t>
      </w:r>
    </w:p>
  </w:footnote>
  <w:footnote w:id="123">
    <w:p w14:paraId="1ACAD949" w14:textId="77777777" w:rsidR="00A55AF4" w:rsidRPr="00AB4289" w:rsidRDefault="00A55AF4" w:rsidP="00A55AF4">
      <w:pPr>
        <w:pStyle w:val="Textonotapie"/>
        <w:rPr>
          <w:lang w:val="es-ES_tradnl"/>
        </w:rPr>
      </w:pPr>
      <w:r w:rsidRPr="00AB4289">
        <w:rPr>
          <w:rStyle w:val="Refdenotaalpie"/>
        </w:rPr>
        <w:footnoteRef/>
      </w:r>
      <w:r w:rsidRPr="00AB4289">
        <w:t xml:space="preserve"> </w:t>
      </w:r>
      <w:r w:rsidRPr="00AB4289">
        <w:rPr>
          <w:lang w:val="es-ES_tradnl"/>
        </w:rPr>
        <w:t xml:space="preserve">Sentencia T-324 de 2024. </w:t>
      </w:r>
    </w:p>
  </w:footnote>
  <w:footnote w:id="124">
    <w:p w14:paraId="4CD50431" w14:textId="77777777" w:rsidR="00020B47" w:rsidRPr="00AB4289" w:rsidRDefault="00020B47" w:rsidP="0045457F">
      <w:pPr>
        <w:pStyle w:val="Textonotapie"/>
        <w:rPr>
          <w:rFonts w:cs="Times New Roman"/>
        </w:rPr>
      </w:pPr>
      <w:r w:rsidRPr="00AB4289">
        <w:rPr>
          <w:rStyle w:val="Refdenotaalpie"/>
          <w:rFonts w:cs="Times New Roman"/>
        </w:rPr>
        <w:footnoteRef/>
      </w:r>
      <w:r w:rsidRPr="00AB4289">
        <w:rPr>
          <w:rFonts w:cs="Times New Roman"/>
        </w:rPr>
        <w:t>En la respuesta enviada por el señor Juan Pablo Barrientos el día 5 de mayo de 2015 en el presente trámite de tutela el periodista señaló que solicita la información porque en 2019 realizó una investigación periodística en la que reveló que cuarenta congresistas en ejercicio habían falseado información en sus hojas de vida.</w:t>
      </w:r>
    </w:p>
  </w:footnote>
  <w:footnote w:id="125">
    <w:p w14:paraId="3F6371C5" w14:textId="6411E80D" w:rsidR="002D009B" w:rsidRPr="00AB4289" w:rsidRDefault="002D009B"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00D2146F" w:rsidRPr="00AB4289">
        <w:rPr>
          <w:rFonts w:cs="Times New Roman"/>
        </w:rPr>
        <w:t xml:space="preserve">Las sentencias T-324 de 2024 y T-454 de 2024 confirmaron que los títulos académicos son información pública en la medida que son documentos públicos, por estar proferidos por una autoridad que ejerce función pública ( las instituciones educativas). </w:t>
      </w:r>
    </w:p>
  </w:footnote>
  <w:footnote w:id="126">
    <w:p w14:paraId="453EA270" w14:textId="6F7DB393" w:rsidR="00F2662F" w:rsidRPr="00AB4289" w:rsidRDefault="002D009B" w:rsidP="0045457F">
      <w:pPr>
        <w:shd w:val="clear" w:color="auto" w:fill="FFFFFF"/>
        <w:jc w:val="both"/>
        <w:textAlignment w:val="baseline"/>
        <w:rPr>
          <w:color w:val="000000" w:themeColor="text1"/>
          <w:sz w:val="20"/>
          <w:szCs w:val="20"/>
        </w:rPr>
      </w:pPr>
      <w:r w:rsidRPr="00AB4289">
        <w:rPr>
          <w:rStyle w:val="Refdenotaalpie"/>
          <w:rFonts w:cs="Times New Roman"/>
          <w:color w:val="000000" w:themeColor="text1"/>
          <w:sz w:val="20"/>
          <w:szCs w:val="20"/>
        </w:rPr>
        <w:footnoteRef/>
      </w:r>
      <w:r w:rsidRPr="00AB4289">
        <w:rPr>
          <w:color w:val="000000" w:themeColor="text1"/>
          <w:sz w:val="20"/>
          <w:szCs w:val="20"/>
        </w:rPr>
        <w:t xml:space="preserve"> </w:t>
      </w:r>
      <w:r w:rsidR="00F2662F" w:rsidRPr="00AB4289">
        <w:rPr>
          <w:color w:val="000000" w:themeColor="text1"/>
          <w:sz w:val="20"/>
          <w:szCs w:val="20"/>
        </w:rPr>
        <w:t>En la sentencia T-296 de 2013 la Corte señaló que a partir del numeral 7 del artículo 57 del Código del</w:t>
      </w:r>
      <w:r w:rsidR="00C90B8F" w:rsidRPr="00AB4289">
        <w:rPr>
          <w:color w:val="000000" w:themeColor="text1"/>
          <w:sz w:val="20"/>
          <w:szCs w:val="20"/>
        </w:rPr>
        <w:t xml:space="preserve"> </w:t>
      </w:r>
      <w:r w:rsidR="00F2662F" w:rsidRPr="00AB4289">
        <w:rPr>
          <w:color w:val="000000" w:themeColor="text1"/>
          <w:sz w:val="20"/>
          <w:szCs w:val="20"/>
        </w:rPr>
        <w:t>Trabajo, la información de entregar la historia laboral, supone que el empleador entregar “al trabajador que lo solicite, a la expiración del contrato, una certificación en que conste el tiempo de servicio, la índole laboral y el salario devengado”</w:t>
      </w:r>
      <w:r w:rsidR="00C90B8F" w:rsidRPr="00AB4289">
        <w:rPr>
          <w:color w:val="000000" w:themeColor="text1"/>
          <w:sz w:val="20"/>
          <w:szCs w:val="20"/>
        </w:rPr>
        <w:t>.</w:t>
      </w:r>
    </w:p>
    <w:p w14:paraId="0EEA811A" w14:textId="77777777" w:rsidR="00F2662F" w:rsidRPr="00AB4289" w:rsidRDefault="00F2662F" w:rsidP="0045457F">
      <w:pPr>
        <w:shd w:val="clear" w:color="auto" w:fill="FFFFFF"/>
        <w:jc w:val="both"/>
        <w:textAlignment w:val="baseline"/>
        <w:rPr>
          <w:color w:val="000000" w:themeColor="text1"/>
          <w:sz w:val="20"/>
          <w:szCs w:val="20"/>
        </w:rPr>
      </w:pPr>
      <w:r w:rsidRPr="00AB4289">
        <w:rPr>
          <w:color w:val="000000" w:themeColor="text1"/>
          <w:sz w:val="20"/>
          <w:szCs w:val="20"/>
        </w:rPr>
        <w:t> </w:t>
      </w:r>
    </w:p>
    <w:p w14:paraId="7FA6F423" w14:textId="556770D3" w:rsidR="002D009B" w:rsidRPr="00AB4289" w:rsidRDefault="002D009B" w:rsidP="0045457F">
      <w:pPr>
        <w:pStyle w:val="Textonotapie"/>
        <w:rPr>
          <w:rFonts w:cs="Times New Roman"/>
          <w:lang w:val="es-ES_tradnl"/>
        </w:rPr>
      </w:pPr>
    </w:p>
  </w:footnote>
  <w:footnote w:id="127">
    <w:p w14:paraId="230EA425" w14:textId="77777777" w:rsidR="00020B47" w:rsidRPr="00AB4289" w:rsidRDefault="00020B47"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Ver intervención presentada por el Consejo de Estado el 5 de mayo de 2025. </w:t>
      </w:r>
    </w:p>
  </w:footnote>
  <w:footnote w:id="128">
    <w:p w14:paraId="06D61104" w14:textId="5E67CB76" w:rsidR="00C21F01" w:rsidRPr="00AB4289" w:rsidRDefault="00C21F01">
      <w:pPr>
        <w:pStyle w:val="Textonotapie"/>
        <w:rPr>
          <w:lang w:val="es-ES_tradnl"/>
        </w:rPr>
      </w:pPr>
      <w:r w:rsidRPr="00AB4289">
        <w:rPr>
          <w:rStyle w:val="Refdenotaalpie"/>
        </w:rPr>
        <w:footnoteRef/>
      </w:r>
      <w:r w:rsidRPr="00AB4289">
        <w:t xml:space="preserve"> En efecto, la Corte tomó como referencia la declaración de renta correspondiente al año gravable 2023, la cual debía presentarse en 2024. No era posible extender el análisis al año gravable 2024 (que se declara en 2025), pues al momento de redactarse esta sentencia aún no habían vencido los plazos fijados en el Decreto 2229 de 2023 para la presentación de dichas declaraciones.</w:t>
      </w:r>
    </w:p>
  </w:footnote>
  <w:footnote w:id="129">
    <w:p w14:paraId="3EA4FDCA" w14:textId="43A370D8" w:rsidR="000A6C19" w:rsidRPr="00AB4289" w:rsidRDefault="000A6C19"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 xml:space="preserve">Para verificar si la información se encontraba en los aplicativos, la Corte buscó si estaban publicados los datos de los 31 magistrados de la Sala Plena de la Corte Suprema, pertenecientes a la Sala de Casación Penal, Sala de Casación Civil, Agraria y Rural, la Sala de Casación Laboral, la Sala Penal de Instrucción, y la Sala Especial de Primera Instancia. </w:t>
      </w:r>
    </w:p>
  </w:footnote>
  <w:footnote w:id="130">
    <w:p w14:paraId="12052E4B" w14:textId="687CE66C" w:rsidR="000B7720" w:rsidRPr="00AB4289" w:rsidRDefault="000B7720"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Mediante oficio DP-CSJ -N° 0042 del 4 de marzo de 2024.</w:t>
      </w:r>
    </w:p>
  </w:footnote>
  <w:footnote w:id="131">
    <w:p w14:paraId="1874228C" w14:textId="77777777" w:rsidR="003D7657" w:rsidRPr="00AB4289" w:rsidRDefault="003D7657"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La diferencia entre el número de magistrados titulares de la Sala Plena de la Corte Suprema de Justicia presentado en este cuadro se explica porque el Consejo Superior de la Judicatura incluyó a los magistrados de la Sala Laboral de Descongestión que, como estableció la Ley 1781 de 2016, cerraron su período en 2024. </w:t>
      </w:r>
    </w:p>
  </w:footnote>
  <w:footnote w:id="132">
    <w:p w14:paraId="7E511C23" w14:textId="2F9F0D48" w:rsidR="00C8538F" w:rsidRPr="00AB4289" w:rsidRDefault="00C8538F"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w:t>
      </w:r>
      <w:r w:rsidRPr="00AB4289">
        <w:rPr>
          <w:rFonts w:cs="Times New Roman"/>
          <w:lang w:val="es-ES_tradnl"/>
        </w:rPr>
        <w:t xml:space="preserve">García Villegas, M., &amp; Ceballos Bedoya, M. A. (2019). La profesión jurídica en Colombia: Falta de reglas y exceso de mercado. Dejusticia. Disponible en: </w:t>
      </w:r>
      <w:hyperlink r:id="rId5" w:history="1">
        <w:r w:rsidRPr="00AB4289">
          <w:rPr>
            <w:rStyle w:val="Hipervnculo"/>
            <w:rFonts w:cs="Times New Roman"/>
            <w:color w:val="000000" w:themeColor="text1"/>
            <w:lang w:val="es-ES_tradnl"/>
          </w:rPr>
          <w:t>https://www.dejusticia.org/wp-content/uploads/2019/08/La-Profesio%CC%81n-Juri%CC%81dica-En-Colombia.pdf</w:t>
        </w:r>
      </w:hyperlink>
      <w:r w:rsidRPr="00AB4289">
        <w:rPr>
          <w:rFonts w:cs="Times New Roman"/>
          <w:lang w:val="es-ES_tradnl"/>
        </w:rPr>
        <w:t>; y Alianza Más Información Más Derechos (2017). Informe de resultados de la veeduría al cumplimiento de las obligaciones de transparencia activa y pasiva por parte de las cuatro Altas Cortes y de la Fiscalía General de la Nación. Disponible en: https://masinformacionmasderechos.co/wp-content/uploads/2018/03/Informe-T-Conjueces-e-inhabilidades-16-02-18.pdf.</w:t>
      </w:r>
    </w:p>
  </w:footnote>
  <w:footnote w:id="133">
    <w:p w14:paraId="17DC2B9B" w14:textId="7161D26E" w:rsidR="005F04CD" w:rsidRPr="00AB4289" w:rsidRDefault="005F04CD">
      <w:pPr>
        <w:pStyle w:val="Textonotapie"/>
        <w:rPr>
          <w:lang w:val="es-ES_tradnl"/>
        </w:rPr>
      </w:pPr>
      <w:r w:rsidRPr="00AB4289">
        <w:rPr>
          <w:rStyle w:val="Refdenotaalpie"/>
        </w:rPr>
        <w:footnoteRef/>
      </w:r>
      <w:r w:rsidRPr="00AB4289">
        <w:t xml:space="preserve"> </w:t>
      </w:r>
      <w:r w:rsidRPr="00AB4289">
        <w:rPr>
          <w:lang w:val="es-ES_tradnl"/>
        </w:rPr>
        <w:t xml:space="preserve">Al respecto, la Corte Constitucional considera que los magistrados de las Altas Cortes, como cualquier servidor público, pueden acreditar el cumplimiento de dicha obligación como mecanismo para exonerarse de cualquier responsabilidad frente a la eventual no publicación de los datos. </w:t>
      </w:r>
    </w:p>
  </w:footnote>
  <w:footnote w:id="134">
    <w:p w14:paraId="3B978E7D" w14:textId="583F3344" w:rsidR="0083131E" w:rsidRPr="00AB4289" w:rsidRDefault="0083131E" w:rsidP="0045457F">
      <w:pPr>
        <w:pStyle w:val="NormalWeb"/>
        <w:shd w:val="clear" w:color="auto" w:fill="FFFFFF"/>
        <w:spacing w:before="0" w:beforeAutospacing="0" w:after="0" w:afterAutospacing="0"/>
        <w:jc w:val="both"/>
        <w:rPr>
          <w:color w:val="000000" w:themeColor="text1"/>
          <w:sz w:val="20"/>
          <w:szCs w:val="20"/>
        </w:rPr>
      </w:pPr>
      <w:r w:rsidRPr="00AB4289">
        <w:rPr>
          <w:rStyle w:val="Refdenotaalpie"/>
          <w:rFonts w:cs="Times New Roman"/>
          <w:color w:val="000000" w:themeColor="text1"/>
          <w:sz w:val="20"/>
          <w:szCs w:val="20"/>
        </w:rPr>
        <w:footnoteRef/>
      </w:r>
      <w:r w:rsidRPr="00AB4289">
        <w:rPr>
          <w:color w:val="000000" w:themeColor="text1"/>
          <w:sz w:val="20"/>
          <w:szCs w:val="20"/>
        </w:rPr>
        <w:t xml:space="preserve"> </w:t>
      </w:r>
      <w:r w:rsidR="004F1C1D" w:rsidRPr="00AB4289">
        <w:rPr>
          <w:color w:val="000000" w:themeColor="text1"/>
          <w:sz w:val="20"/>
          <w:szCs w:val="20"/>
        </w:rPr>
        <w:t xml:space="preserve">El numeral 6 del </w:t>
      </w:r>
      <w:r w:rsidR="004F1C1D" w:rsidRPr="00AB4289">
        <w:rPr>
          <w:color w:val="000000" w:themeColor="text1"/>
          <w:sz w:val="20"/>
          <w:szCs w:val="20"/>
          <w:lang w:val="es-ES_tradnl"/>
        </w:rPr>
        <w:t>Artículo 2.2.17.4 establece que dentro de las obligaciones del Departamento Administrativo de la Función pública está (…) Hacer seguimiento a la operabilidad del Sistema y al cumplimiento de las instituciones públicas en la operación, registro, actualización y gestión del SIGEP</w:t>
      </w:r>
      <w:r w:rsidR="003822D1" w:rsidRPr="00AB4289">
        <w:rPr>
          <w:color w:val="000000" w:themeColor="text1"/>
          <w:sz w:val="20"/>
          <w:szCs w:val="20"/>
          <w:lang w:val="es-ES_tradnl"/>
        </w:rPr>
        <w:t>. Del mismo modo, el artículo 109 de la Ley 2430</w:t>
      </w:r>
      <w:r w:rsidR="009E37C1" w:rsidRPr="00AB4289">
        <w:rPr>
          <w:color w:val="000000" w:themeColor="text1"/>
          <w:sz w:val="20"/>
          <w:szCs w:val="20"/>
          <w:lang w:val="es-ES_tradnl"/>
        </w:rPr>
        <w:t xml:space="preserve"> de 2024</w:t>
      </w:r>
      <w:r w:rsidR="003822D1" w:rsidRPr="00AB4289">
        <w:rPr>
          <w:color w:val="000000" w:themeColor="text1"/>
          <w:sz w:val="20"/>
          <w:szCs w:val="20"/>
          <w:lang w:val="es-ES_tradnl"/>
        </w:rPr>
        <w:t xml:space="preserve"> establece que el Consejo Superior de la Judicatura debe diseñar, desarrollar, poner y mantener en funcionamiento unos adecuados sistemas de información que incluyan la información de los servidores de la Rama Judicial. Además, </w:t>
      </w:r>
      <w:r w:rsidR="003822D1" w:rsidRPr="00AB4289">
        <w:rPr>
          <w:color w:val="000000" w:themeColor="text1"/>
          <w:sz w:val="20"/>
          <w:szCs w:val="20"/>
        </w:rPr>
        <w:t>el Acuerdo PSAA12-9294 del 5 de marzo de 2012, la Circular PCSJC20-36 del 18 de noviembre de 2020 y la Circular PCSJS25-8 del 3 de marzo de 2025 dan cuenta que esta es la institución encargada de gestionar el Portal Transparencia de la página web de la rama judicial</w:t>
      </w:r>
    </w:p>
  </w:footnote>
  <w:footnote w:id="135">
    <w:p w14:paraId="6B1453BF" w14:textId="77777777" w:rsidR="00020B47" w:rsidRPr="00AB4289" w:rsidRDefault="00020B47" w:rsidP="0045457F">
      <w:pPr>
        <w:pStyle w:val="Textonotapie"/>
        <w:rPr>
          <w:rFonts w:cs="Times New Roman"/>
          <w:lang w:val="es-ES_tradnl"/>
        </w:rPr>
      </w:pPr>
      <w:r w:rsidRPr="00AB4289">
        <w:rPr>
          <w:rStyle w:val="Refdenotaalpie"/>
          <w:rFonts w:cs="Times New Roman"/>
        </w:rPr>
        <w:footnoteRef/>
      </w:r>
      <w:r w:rsidRPr="00AB4289">
        <w:rPr>
          <w:rFonts w:cs="Times New Roman"/>
        </w:rPr>
        <w:t xml:space="preserve"> Dentro de la normativa que determina que el Consejo Superior de la Judicatura debe publicar las declaraciones de los servidores no se encontró ninguna obligación relacionada con el reporte del incumplimiento de la entrega de la información ante los entes de control. Por esta razón, la Corte se abstendrá de emitir una orden dirigida al Consejo Superior de la Judicatura sobre este aspecto.  </w:t>
      </w:r>
    </w:p>
  </w:footnote>
  <w:footnote w:id="136">
    <w:p w14:paraId="05DDB236" w14:textId="77777777" w:rsidR="00020B47" w:rsidRPr="000D37ED" w:rsidRDefault="00020B47" w:rsidP="0045457F">
      <w:pPr>
        <w:pStyle w:val="Textonotapie"/>
        <w:rPr>
          <w:rFonts w:cs="Times New Roman"/>
          <w:lang w:val="es-ES_tradnl"/>
        </w:rPr>
      </w:pPr>
      <w:r w:rsidRPr="00AB4289">
        <w:rPr>
          <w:rStyle w:val="Refdenotaalpie"/>
          <w:rFonts w:cs="Times New Roman"/>
        </w:rPr>
        <w:footnoteRef/>
      </w:r>
      <w:r w:rsidRPr="00AB4289">
        <w:rPr>
          <w:rFonts w:cs="Times New Roman"/>
        </w:rPr>
        <w:t>Artículo 3 Acuerdo No. PSAA12-9294 de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A36"/>
    <w:multiLevelType w:val="hybridMultilevel"/>
    <w:tmpl w:val="7CFE7B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CF1230"/>
    <w:multiLevelType w:val="hybridMultilevel"/>
    <w:tmpl w:val="02CCB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96F2D"/>
    <w:multiLevelType w:val="hybridMultilevel"/>
    <w:tmpl w:val="F3C0D370"/>
    <w:lvl w:ilvl="0" w:tplc="A57878B4">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051E1163"/>
    <w:multiLevelType w:val="hybridMultilevel"/>
    <w:tmpl w:val="6E8A0EC6"/>
    <w:lvl w:ilvl="0" w:tplc="2C24CDC8">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4802BB"/>
    <w:multiLevelType w:val="hybridMultilevel"/>
    <w:tmpl w:val="D8584A4A"/>
    <w:lvl w:ilvl="0" w:tplc="782817D0">
      <w:start w:val="1"/>
      <w:numFmt w:val="decimal"/>
      <w:lvlText w:val="%1."/>
      <w:lvlJc w:val="left"/>
      <w:pPr>
        <w:ind w:left="720" w:hanging="360"/>
      </w:pPr>
      <w:rPr>
        <w:rFonts w:hint="default"/>
        <w:b/>
        <w:bCs/>
      </w:rPr>
    </w:lvl>
    <w:lvl w:ilvl="1" w:tplc="054CB368">
      <w:numFmt w:val="bullet"/>
      <w:lvlText w:val="-"/>
      <w:lvlJc w:val="left"/>
      <w:pPr>
        <w:ind w:left="1440" w:hanging="360"/>
      </w:pPr>
      <w:rPr>
        <w:rFonts w:ascii="Times New Roman" w:eastAsia="Times New Roman"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0E1F0B"/>
    <w:multiLevelType w:val="hybridMultilevel"/>
    <w:tmpl w:val="708C47BA"/>
    <w:lvl w:ilvl="0" w:tplc="3B1E50F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602C1D"/>
    <w:multiLevelType w:val="hybridMultilevel"/>
    <w:tmpl w:val="862A9C3A"/>
    <w:lvl w:ilvl="0" w:tplc="C36C7860">
      <w:start w:val="1"/>
      <w:numFmt w:val="low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471798"/>
    <w:multiLevelType w:val="hybridMultilevel"/>
    <w:tmpl w:val="21761892"/>
    <w:lvl w:ilvl="0" w:tplc="7D385444">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0E377526"/>
    <w:multiLevelType w:val="multilevel"/>
    <w:tmpl w:val="1B4C8B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03391C"/>
    <w:multiLevelType w:val="hybridMultilevel"/>
    <w:tmpl w:val="A4503364"/>
    <w:lvl w:ilvl="0" w:tplc="B49C752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5A50B1A"/>
    <w:multiLevelType w:val="hybridMultilevel"/>
    <w:tmpl w:val="5FCEEBEC"/>
    <w:lvl w:ilvl="0" w:tplc="C02270D2">
      <w:start w:val="2"/>
      <w:numFmt w:val="upperRoman"/>
      <w:lvlText w:val="%1."/>
      <w:lvlJc w:val="left"/>
      <w:pPr>
        <w:ind w:left="1003" w:hanging="72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1" w15:restartNumberingAfterBreak="0">
    <w:nsid w:val="23F76B81"/>
    <w:multiLevelType w:val="multilevel"/>
    <w:tmpl w:val="05FCE578"/>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F77D6"/>
    <w:multiLevelType w:val="hybridMultilevel"/>
    <w:tmpl w:val="D374819E"/>
    <w:lvl w:ilvl="0" w:tplc="26FE6C22">
      <w:start w:val="3"/>
      <w:numFmt w:val="bullet"/>
      <w:lvlText w:val="-"/>
      <w:lvlJc w:val="left"/>
      <w:pPr>
        <w:ind w:left="1211" w:hanging="360"/>
      </w:pPr>
      <w:rPr>
        <w:rFonts w:ascii="Times New Roman" w:eastAsia="Times New Roman" w:hAnsi="Times New Roman"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3" w15:restartNumberingAfterBreak="0">
    <w:nsid w:val="2C672AC8"/>
    <w:multiLevelType w:val="hybridMultilevel"/>
    <w:tmpl w:val="FCEA4672"/>
    <w:lvl w:ilvl="0" w:tplc="37B6BCEA">
      <w:start w:val="152"/>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873765"/>
    <w:multiLevelType w:val="hybridMultilevel"/>
    <w:tmpl w:val="B30665D8"/>
    <w:lvl w:ilvl="0" w:tplc="6ADE5FC6">
      <w:start w:val="15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E95995"/>
    <w:multiLevelType w:val="hybridMultilevel"/>
    <w:tmpl w:val="6436D270"/>
    <w:lvl w:ilvl="0" w:tplc="FB4C49B0">
      <w:start w:val="1"/>
      <w:numFmt w:val="decimal"/>
      <w:lvlText w:val="%1."/>
      <w:lvlJc w:val="left"/>
      <w:pPr>
        <w:ind w:left="371" w:hanging="360"/>
      </w:pPr>
      <w:rPr>
        <w:rFonts w:hint="default"/>
      </w:rPr>
    </w:lvl>
    <w:lvl w:ilvl="1" w:tplc="080A0019" w:tentative="1">
      <w:start w:val="1"/>
      <w:numFmt w:val="lowerLetter"/>
      <w:lvlText w:val="%2."/>
      <w:lvlJc w:val="left"/>
      <w:pPr>
        <w:ind w:left="1091" w:hanging="360"/>
      </w:pPr>
    </w:lvl>
    <w:lvl w:ilvl="2" w:tplc="080A001B" w:tentative="1">
      <w:start w:val="1"/>
      <w:numFmt w:val="lowerRoman"/>
      <w:lvlText w:val="%3."/>
      <w:lvlJc w:val="right"/>
      <w:pPr>
        <w:ind w:left="1811" w:hanging="180"/>
      </w:pPr>
    </w:lvl>
    <w:lvl w:ilvl="3" w:tplc="080A000F" w:tentative="1">
      <w:start w:val="1"/>
      <w:numFmt w:val="decimal"/>
      <w:lvlText w:val="%4."/>
      <w:lvlJc w:val="left"/>
      <w:pPr>
        <w:ind w:left="2531" w:hanging="360"/>
      </w:pPr>
    </w:lvl>
    <w:lvl w:ilvl="4" w:tplc="080A0019" w:tentative="1">
      <w:start w:val="1"/>
      <w:numFmt w:val="lowerLetter"/>
      <w:lvlText w:val="%5."/>
      <w:lvlJc w:val="left"/>
      <w:pPr>
        <w:ind w:left="3251" w:hanging="360"/>
      </w:pPr>
    </w:lvl>
    <w:lvl w:ilvl="5" w:tplc="080A001B" w:tentative="1">
      <w:start w:val="1"/>
      <w:numFmt w:val="lowerRoman"/>
      <w:lvlText w:val="%6."/>
      <w:lvlJc w:val="right"/>
      <w:pPr>
        <w:ind w:left="3971" w:hanging="180"/>
      </w:pPr>
    </w:lvl>
    <w:lvl w:ilvl="6" w:tplc="080A000F" w:tentative="1">
      <w:start w:val="1"/>
      <w:numFmt w:val="decimal"/>
      <w:lvlText w:val="%7."/>
      <w:lvlJc w:val="left"/>
      <w:pPr>
        <w:ind w:left="4691" w:hanging="360"/>
      </w:pPr>
    </w:lvl>
    <w:lvl w:ilvl="7" w:tplc="080A0019" w:tentative="1">
      <w:start w:val="1"/>
      <w:numFmt w:val="lowerLetter"/>
      <w:lvlText w:val="%8."/>
      <w:lvlJc w:val="left"/>
      <w:pPr>
        <w:ind w:left="5411" w:hanging="360"/>
      </w:pPr>
    </w:lvl>
    <w:lvl w:ilvl="8" w:tplc="080A001B" w:tentative="1">
      <w:start w:val="1"/>
      <w:numFmt w:val="lowerRoman"/>
      <w:lvlText w:val="%9."/>
      <w:lvlJc w:val="right"/>
      <w:pPr>
        <w:ind w:left="6131" w:hanging="180"/>
      </w:pPr>
    </w:lvl>
  </w:abstractNum>
  <w:abstractNum w:abstractNumId="16" w15:restartNumberingAfterBreak="0">
    <w:nsid w:val="308D5EF0"/>
    <w:multiLevelType w:val="hybridMultilevel"/>
    <w:tmpl w:val="A75C08AE"/>
    <w:lvl w:ilvl="0" w:tplc="68308382">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29A6872"/>
    <w:multiLevelType w:val="hybridMultilevel"/>
    <w:tmpl w:val="71B23E7C"/>
    <w:lvl w:ilvl="0" w:tplc="6ADE5FC6">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47A"/>
    <w:multiLevelType w:val="hybridMultilevel"/>
    <w:tmpl w:val="EEE45DDE"/>
    <w:lvl w:ilvl="0" w:tplc="80C219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C771C2"/>
    <w:multiLevelType w:val="hybridMultilevel"/>
    <w:tmpl w:val="01429394"/>
    <w:lvl w:ilvl="0" w:tplc="653AEA6E">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CC28DD"/>
    <w:multiLevelType w:val="hybridMultilevel"/>
    <w:tmpl w:val="23FCD81A"/>
    <w:lvl w:ilvl="0" w:tplc="FF88AB46">
      <w:start w:val="1"/>
      <w:numFmt w:val="low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36C31FFA"/>
    <w:multiLevelType w:val="hybridMultilevel"/>
    <w:tmpl w:val="C7FA58F6"/>
    <w:lvl w:ilvl="0" w:tplc="6ADE5FC6">
      <w:start w:val="15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355B0F"/>
    <w:multiLevelType w:val="hybridMultilevel"/>
    <w:tmpl w:val="FA4CF784"/>
    <w:lvl w:ilvl="0" w:tplc="9000FAFA">
      <w:start w:val="1"/>
      <w:numFmt w:val="lowerRoman"/>
      <w:lvlText w:val="(%1)"/>
      <w:lvlJc w:val="left"/>
      <w:pPr>
        <w:ind w:left="800" w:hanging="720"/>
      </w:pPr>
      <w:rPr>
        <w:rFonts w:eastAsia="Times New Roman" w:hint="default"/>
        <w:color w:val="auto"/>
        <w:sz w:val="28"/>
      </w:rPr>
    </w:lvl>
    <w:lvl w:ilvl="1" w:tplc="080A0019" w:tentative="1">
      <w:start w:val="1"/>
      <w:numFmt w:val="lowerLetter"/>
      <w:lvlText w:val="%2."/>
      <w:lvlJc w:val="left"/>
      <w:pPr>
        <w:ind w:left="1160" w:hanging="360"/>
      </w:pPr>
    </w:lvl>
    <w:lvl w:ilvl="2" w:tplc="080A001B" w:tentative="1">
      <w:start w:val="1"/>
      <w:numFmt w:val="lowerRoman"/>
      <w:lvlText w:val="%3."/>
      <w:lvlJc w:val="right"/>
      <w:pPr>
        <w:ind w:left="1880" w:hanging="180"/>
      </w:pPr>
    </w:lvl>
    <w:lvl w:ilvl="3" w:tplc="080A000F" w:tentative="1">
      <w:start w:val="1"/>
      <w:numFmt w:val="decimal"/>
      <w:lvlText w:val="%4."/>
      <w:lvlJc w:val="left"/>
      <w:pPr>
        <w:ind w:left="2600" w:hanging="360"/>
      </w:pPr>
    </w:lvl>
    <w:lvl w:ilvl="4" w:tplc="080A0019" w:tentative="1">
      <w:start w:val="1"/>
      <w:numFmt w:val="lowerLetter"/>
      <w:lvlText w:val="%5."/>
      <w:lvlJc w:val="left"/>
      <w:pPr>
        <w:ind w:left="3320" w:hanging="360"/>
      </w:pPr>
    </w:lvl>
    <w:lvl w:ilvl="5" w:tplc="080A001B" w:tentative="1">
      <w:start w:val="1"/>
      <w:numFmt w:val="lowerRoman"/>
      <w:lvlText w:val="%6."/>
      <w:lvlJc w:val="right"/>
      <w:pPr>
        <w:ind w:left="4040" w:hanging="180"/>
      </w:pPr>
    </w:lvl>
    <w:lvl w:ilvl="6" w:tplc="080A000F" w:tentative="1">
      <w:start w:val="1"/>
      <w:numFmt w:val="decimal"/>
      <w:lvlText w:val="%7."/>
      <w:lvlJc w:val="left"/>
      <w:pPr>
        <w:ind w:left="4760" w:hanging="360"/>
      </w:pPr>
    </w:lvl>
    <w:lvl w:ilvl="7" w:tplc="080A0019" w:tentative="1">
      <w:start w:val="1"/>
      <w:numFmt w:val="lowerLetter"/>
      <w:lvlText w:val="%8."/>
      <w:lvlJc w:val="left"/>
      <w:pPr>
        <w:ind w:left="5480" w:hanging="360"/>
      </w:pPr>
    </w:lvl>
    <w:lvl w:ilvl="8" w:tplc="080A001B" w:tentative="1">
      <w:start w:val="1"/>
      <w:numFmt w:val="lowerRoman"/>
      <w:lvlText w:val="%9."/>
      <w:lvlJc w:val="right"/>
      <w:pPr>
        <w:ind w:left="6200" w:hanging="180"/>
      </w:pPr>
    </w:lvl>
  </w:abstractNum>
  <w:abstractNum w:abstractNumId="23" w15:restartNumberingAfterBreak="0">
    <w:nsid w:val="3A341A68"/>
    <w:multiLevelType w:val="hybridMultilevel"/>
    <w:tmpl w:val="ECAE63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9E0A4B"/>
    <w:multiLevelType w:val="hybridMultilevel"/>
    <w:tmpl w:val="2A986EC0"/>
    <w:lvl w:ilvl="0" w:tplc="E2F8BFC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F93042"/>
    <w:multiLevelType w:val="multilevel"/>
    <w:tmpl w:val="2C562FDE"/>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F32780"/>
    <w:multiLevelType w:val="multilevel"/>
    <w:tmpl w:val="CF30F466"/>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1018" w:hanging="432"/>
      </w:pPr>
      <w:rPr>
        <w:rFonts w:hint="default"/>
      </w:rPr>
    </w:lvl>
    <w:lvl w:ilvl="2">
      <w:start w:val="1"/>
      <w:numFmt w:val="decimal"/>
      <w:lvlText w:val="%1.%2.%3."/>
      <w:lvlJc w:val="left"/>
      <w:pPr>
        <w:ind w:left="1450" w:hanging="504"/>
      </w:pPr>
      <w:rPr>
        <w:rFonts w:hint="default"/>
      </w:rPr>
    </w:lvl>
    <w:lvl w:ilvl="3">
      <w:start w:val="1"/>
      <w:numFmt w:val="decimal"/>
      <w:lvlText w:val="%1.%2.%3.%4."/>
      <w:lvlJc w:val="left"/>
      <w:pPr>
        <w:ind w:left="1954" w:hanging="648"/>
      </w:pPr>
      <w:rPr>
        <w:rFonts w:hint="default"/>
      </w:rPr>
    </w:lvl>
    <w:lvl w:ilvl="4">
      <w:start w:val="1"/>
      <w:numFmt w:val="decimal"/>
      <w:lvlText w:val="%1.%2.%3.%4.%5."/>
      <w:lvlJc w:val="left"/>
      <w:pPr>
        <w:ind w:left="2458" w:hanging="792"/>
      </w:pPr>
      <w:rPr>
        <w:rFonts w:hint="default"/>
      </w:rPr>
    </w:lvl>
    <w:lvl w:ilvl="5">
      <w:start w:val="1"/>
      <w:numFmt w:val="decimal"/>
      <w:lvlText w:val="%1.%2.%3.%4.%5.%6."/>
      <w:lvlJc w:val="left"/>
      <w:pPr>
        <w:ind w:left="2962" w:hanging="936"/>
      </w:pPr>
      <w:rPr>
        <w:rFonts w:hint="default"/>
      </w:rPr>
    </w:lvl>
    <w:lvl w:ilvl="6">
      <w:start w:val="1"/>
      <w:numFmt w:val="decimal"/>
      <w:lvlText w:val="%1.%2.%3.%4.%5.%6.%7."/>
      <w:lvlJc w:val="left"/>
      <w:pPr>
        <w:ind w:left="3466" w:hanging="1080"/>
      </w:pPr>
      <w:rPr>
        <w:rFonts w:hint="default"/>
      </w:rPr>
    </w:lvl>
    <w:lvl w:ilvl="7">
      <w:start w:val="1"/>
      <w:numFmt w:val="decimal"/>
      <w:lvlText w:val="%1.%2.%3.%4.%5.%6.%7.%8."/>
      <w:lvlJc w:val="left"/>
      <w:pPr>
        <w:ind w:left="3970" w:hanging="1224"/>
      </w:pPr>
      <w:rPr>
        <w:rFonts w:hint="default"/>
      </w:rPr>
    </w:lvl>
    <w:lvl w:ilvl="8">
      <w:start w:val="1"/>
      <w:numFmt w:val="decimal"/>
      <w:lvlText w:val="%1.%2.%3.%4.%5.%6.%7.%8.%9."/>
      <w:lvlJc w:val="left"/>
      <w:pPr>
        <w:ind w:left="4546" w:hanging="1440"/>
      </w:pPr>
      <w:rPr>
        <w:rFonts w:hint="default"/>
      </w:rPr>
    </w:lvl>
  </w:abstractNum>
  <w:abstractNum w:abstractNumId="27" w15:restartNumberingAfterBreak="0">
    <w:nsid w:val="3E18572A"/>
    <w:multiLevelType w:val="hybridMultilevel"/>
    <w:tmpl w:val="38CEBC90"/>
    <w:lvl w:ilvl="0" w:tplc="F2AC447E">
      <w:start w:val="1"/>
      <w:numFmt w:val="decimal"/>
      <w:lvlText w:val="%1."/>
      <w:lvlJc w:val="left"/>
      <w:pPr>
        <w:ind w:left="360" w:hanging="360"/>
      </w:pPr>
      <w:rPr>
        <w:rFonts w:ascii="Times New Roman" w:hAnsi="Times New Roman" w:cs="Times New Roman"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05C3D97"/>
    <w:multiLevelType w:val="hybridMultilevel"/>
    <w:tmpl w:val="E07ED8DE"/>
    <w:lvl w:ilvl="0" w:tplc="41C240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BC2523"/>
    <w:multiLevelType w:val="multilevel"/>
    <w:tmpl w:val="7308924A"/>
    <w:lvl w:ilvl="0">
      <w:start w:val="1"/>
      <w:numFmt w:val="decimal"/>
      <w:lvlText w:val="%1."/>
      <w:lvlJc w:val="left"/>
      <w:pPr>
        <w:ind w:left="720" w:hanging="360"/>
      </w:pPr>
      <w:rPr>
        <w:rFonts w:hint="default"/>
        <w:b/>
        <w:bCs/>
      </w:rPr>
    </w:lvl>
    <w:lvl w:ilvl="1">
      <w:start w:val="2"/>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0E54469"/>
    <w:multiLevelType w:val="multilevel"/>
    <w:tmpl w:val="3F8EA0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1F761F"/>
    <w:multiLevelType w:val="hybridMultilevel"/>
    <w:tmpl w:val="D8549B8A"/>
    <w:lvl w:ilvl="0" w:tplc="74184F4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9866320"/>
    <w:multiLevelType w:val="multilevel"/>
    <w:tmpl w:val="1700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1B51D0"/>
    <w:multiLevelType w:val="hybridMultilevel"/>
    <w:tmpl w:val="2A5A34CC"/>
    <w:lvl w:ilvl="0" w:tplc="ED46384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CC3DA8"/>
    <w:multiLevelType w:val="hybridMultilevel"/>
    <w:tmpl w:val="04185D38"/>
    <w:lvl w:ilvl="0" w:tplc="4272603A">
      <w:start w:val="1"/>
      <w:numFmt w:val="decimal"/>
      <w:lvlText w:val="%1."/>
      <w:lvlJc w:val="left"/>
      <w:pPr>
        <w:ind w:left="786" w:hanging="360"/>
      </w:pPr>
      <w:rPr>
        <w:rFonts w:hint="default"/>
        <w:b w:val="0"/>
        <w:bCs w:val="0"/>
        <w:i w:val="0"/>
        <w:iCs w:val="0"/>
        <w:sz w:val="28"/>
        <w:szCs w:val="28"/>
      </w:rPr>
    </w:lvl>
    <w:lvl w:ilvl="1" w:tplc="33CA1F04">
      <w:start w:val="1"/>
      <w:numFmt w:val="lowerRoman"/>
      <w:lvlText w:val="(%2)"/>
      <w:lvlJc w:val="left"/>
      <w:pPr>
        <w:ind w:left="1800" w:hanging="72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522C3611"/>
    <w:multiLevelType w:val="hybridMultilevel"/>
    <w:tmpl w:val="01CA066C"/>
    <w:lvl w:ilvl="0" w:tplc="AE4C0F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2677074"/>
    <w:multiLevelType w:val="hybridMultilevel"/>
    <w:tmpl w:val="E4B8102E"/>
    <w:lvl w:ilvl="0" w:tplc="35A8BD68">
      <w:start w:val="1"/>
      <w:numFmt w:val="low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7" w15:restartNumberingAfterBreak="0">
    <w:nsid w:val="531B7A6F"/>
    <w:multiLevelType w:val="multilevel"/>
    <w:tmpl w:val="D53E40F6"/>
    <w:lvl w:ilvl="0">
      <w:start w:val="1"/>
      <w:numFmt w:val="decimal"/>
      <w:lvlText w:val="%1."/>
      <w:lvlJc w:val="left"/>
      <w:pPr>
        <w:ind w:left="586" w:hanging="360"/>
      </w:pPr>
      <w:rPr>
        <w:rFonts w:hint="default"/>
        <w:b w:val="0"/>
        <w:bCs w:val="0"/>
      </w:rPr>
    </w:lvl>
    <w:lvl w:ilvl="1">
      <w:start w:val="1"/>
      <w:numFmt w:val="decimal"/>
      <w:lvlText w:val="%1.%2."/>
      <w:lvlJc w:val="left"/>
      <w:pPr>
        <w:ind w:left="1018" w:hanging="432"/>
      </w:pPr>
      <w:rPr>
        <w:rFonts w:hint="default"/>
        <w:b/>
        <w:bCs w:val="0"/>
      </w:rPr>
    </w:lvl>
    <w:lvl w:ilvl="2">
      <w:start w:val="1"/>
      <w:numFmt w:val="decimal"/>
      <w:lvlText w:val="%1.%2.%3."/>
      <w:lvlJc w:val="left"/>
      <w:pPr>
        <w:ind w:left="1450" w:hanging="504"/>
      </w:pPr>
      <w:rPr>
        <w:rFonts w:hint="default"/>
      </w:rPr>
    </w:lvl>
    <w:lvl w:ilvl="3">
      <w:start w:val="1"/>
      <w:numFmt w:val="decimal"/>
      <w:lvlText w:val="%1.%2.%3.%4."/>
      <w:lvlJc w:val="left"/>
      <w:pPr>
        <w:ind w:left="1954" w:hanging="648"/>
      </w:pPr>
      <w:rPr>
        <w:rFonts w:hint="default"/>
      </w:rPr>
    </w:lvl>
    <w:lvl w:ilvl="4">
      <w:start w:val="1"/>
      <w:numFmt w:val="decimal"/>
      <w:lvlText w:val="%1.%2.%3.%4.%5."/>
      <w:lvlJc w:val="left"/>
      <w:pPr>
        <w:ind w:left="2458" w:hanging="792"/>
      </w:pPr>
      <w:rPr>
        <w:rFonts w:hint="default"/>
      </w:rPr>
    </w:lvl>
    <w:lvl w:ilvl="5">
      <w:start w:val="1"/>
      <w:numFmt w:val="decimal"/>
      <w:lvlText w:val="%1.%2.%3.%4.%5.%6."/>
      <w:lvlJc w:val="left"/>
      <w:pPr>
        <w:ind w:left="2962" w:hanging="936"/>
      </w:pPr>
      <w:rPr>
        <w:rFonts w:hint="default"/>
      </w:rPr>
    </w:lvl>
    <w:lvl w:ilvl="6">
      <w:start w:val="1"/>
      <w:numFmt w:val="decimal"/>
      <w:lvlText w:val="%1.%2.%3.%4.%5.%6.%7."/>
      <w:lvlJc w:val="left"/>
      <w:pPr>
        <w:ind w:left="3466" w:hanging="1080"/>
      </w:pPr>
      <w:rPr>
        <w:rFonts w:hint="default"/>
      </w:rPr>
    </w:lvl>
    <w:lvl w:ilvl="7">
      <w:start w:val="1"/>
      <w:numFmt w:val="decimal"/>
      <w:lvlText w:val="%1.%2.%3.%4.%5.%6.%7.%8."/>
      <w:lvlJc w:val="left"/>
      <w:pPr>
        <w:ind w:left="3970" w:hanging="1224"/>
      </w:pPr>
      <w:rPr>
        <w:rFonts w:hint="default"/>
      </w:rPr>
    </w:lvl>
    <w:lvl w:ilvl="8">
      <w:start w:val="1"/>
      <w:numFmt w:val="decimal"/>
      <w:lvlText w:val="%1.%2.%3.%4.%5.%6.%7.%8.%9."/>
      <w:lvlJc w:val="left"/>
      <w:pPr>
        <w:ind w:left="4546" w:hanging="1440"/>
      </w:pPr>
      <w:rPr>
        <w:rFonts w:hint="default"/>
      </w:rPr>
    </w:lvl>
  </w:abstractNum>
  <w:abstractNum w:abstractNumId="38" w15:restartNumberingAfterBreak="0">
    <w:nsid w:val="59584FE8"/>
    <w:multiLevelType w:val="hybridMultilevel"/>
    <w:tmpl w:val="F9409960"/>
    <w:lvl w:ilvl="0" w:tplc="AC2EE93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BEE7F98"/>
    <w:multiLevelType w:val="hybridMultilevel"/>
    <w:tmpl w:val="1D2C7658"/>
    <w:lvl w:ilvl="0" w:tplc="3DB48F3A">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A31ADD"/>
    <w:multiLevelType w:val="multilevel"/>
    <w:tmpl w:val="9FF4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EA2BF9"/>
    <w:multiLevelType w:val="hybridMultilevel"/>
    <w:tmpl w:val="476C6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14F52FF"/>
    <w:multiLevelType w:val="hybridMultilevel"/>
    <w:tmpl w:val="DF36C806"/>
    <w:lvl w:ilvl="0" w:tplc="59EC18E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6CC69CE"/>
    <w:multiLevelType w:val="hybridMultilevel"/>
    <w:tmpl w:val="D200F424"/>
    <w:lvl w:ilvl="0" w:tplc="ADCA9AC4">
      <w:start w:val="1"/>
      <w:numFmt w:val="decimal"/>
      <w:lvlText w:val="%1."/>
      <w:lvlJc w:val="left"/>
      <w:pPr>
        <w:ind w:left="720" w:hanging="360"/>
      </w:pPr>
      <w:rPr>
        <w:rFonts w:ascii="Times New Roman" w:hAnsi="Times New Roman" w:cs="Times New Roman"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7307546"/>
    <w:multiLevelType w:val="hybridMultilevel"/>
    <w:tmpl w:val="8736A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74631FE"/>
    <w:multiLevelType w:val="multilevel"/>
    <w:tmpl w:val="9782C274"/>
    <w:lvl w:ilvl="0">
      <w:start w:val="1"/>
      <w:numFmt w:val="upperRoman"/>
      <w:lvlText w:val="%1."/>
      <w:lvlJc w:val="left"/>
      <w:pPr>
        <w:ind w:left="1080" w:hanging="72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97172C0"/>
    <w:multiLevelType w:val="multilevel"/>
    <w:tmpl w:val="08C02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F4B67E4"/>
    <w:multiLevelType w:val="hybridMultilevel"/>
    <w:tmpl w:val="CE120860"/>
    <w:lvl w:ilvl="0" w:tplc="0F58FB7E">
      <w:start w:val="2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56C0F29"/>
    <w:multiLevelType w:val="hybridMultilevel"/>
    <w:tmpl w:val="79F42308"/>
    <w:lvl w:ilvl="0" w:tplc="7F683B5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7327E00"/>
    <w:multiLevelType w:val="multilevel"/>
    <w:tmpl w:val="4970C4BE"/>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DB08B3"/>
    <w:multiLevelType w:val="multilevel"/>
    <w:tmpl w:val="F26A52B0"/>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7CCB3D9B"/>
    <w:multiLevelType w:val="hybridMultilevel"/>
    <w:tmpl w:val="E0D6F3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37907543">
    <w:abstractNumId w:val="45"/>
  </w:num>
  <w:num w:numId="2" w16cid:durableId="680622384">
    <w:abstractNumId w:val="26"/>
  </w:num>
  <w:num w:numId="3" w16cid:durableId="205221861">
    <w:abstractNumId w:val="5"/>
  </w:num>
  <w:num w:numId="4" w16cid:durableId="1279872460">
    <w:abstractNumId w:val="10"/>
  </w:num>
  <w:num w:numId="5" w16cid:durableId="1855999895">
    <w:abstractNumId w:val="27"/>
  </w:num>
  <w:num w:numId="6" w16cid:durableId="1245841024">
    <w:abstractNumId w:val="47"/>
  </w:num>
  <w:num w:numId="7" w16cid:durableId="1363482789">
    <w:abstractNumId w:val="40"/>
  </w:num>
  <w:num w:numId="8" w16cid:durableId="594632701">
    <w:abstractNumId w:val="1"/>
  </w:num>
  <w:num w:numId="9" w16cid:durableId="1011641959">
    <w:abstractNumId w:val="4"/>
  </w:num>
  <w:num w:numId="10" w16cid:durableId="424309349">
    <w:abstractNumId w:val="25"/>
  </w:num>
  <w:num w:numId="11" w16cid:durableId="801658807">
    <w:abstractNumId w:val="37"/>
  </w:num>
  <w:num w:numId="12" w16cid:durableId="1416394689">
    <w:abstractNumId w:val="46"/>
  </w:num>
  <w:num w:numId="13" w16cid:durableId="974289207">
    <w:abstractNumId w:val="34"/>
  </w:num>
  <w:num w:numId="14" w16cid:durableId="151652370">
    <w:abstractNumId w:val="20"/>
  </w:num>
  <w:num w:numId="15" w16cid:durableId="1524323825">
    <w:abstractNumId w:val="35"/>
  </w:num>
  <w:num w:numId="16" w16cid:durableId="997153928">
    <w:abstractNumId w:val="2"/>
  </w:num>
  <w:num w:numId="17" w16cid:durableId="209462180">
    <w:abstractNumId w:val="31"/>
  </w:num>
  <w:num w:numId="18" w16cid:durableId="327442607">
    <w:abstractNumId w:val="51"/>
  </w:num>
  <w:num w:numId="19" w16cid:durableId="1247963008">
    <w:abstractNumId w:val="9"/>
  </w:num>
  <w:num w:numId="20" w16cid:durableId="1973948385">
    <w:abstractNumId w:val="15"/>
  </w:num>
  <w:num w:numId="21" w16cid:durableId="791677150">
    <w:abstractNumId w:val="11"/>
  </w:num>
  <w:num w:numId="22" w16cid:durableId="514927517">
    <w:abstractNumId w:val="8"/>
  </w:num>
  <w:num w:numId="23" w16cid:durableId="240408253">
    <w:abstractNumId w:val="3"/>
  </w:num>
  <w:num w:numId="24" w16cid:durableId="1848981175">
    <w:abstractNumId w:val="7"/>
  </w:num>
  <w:num w:numId="25" w16cid:durableId="2098093888">
    <w:abstractNumId w:val="19"/>
  </w:num>
  <w:num w:numId="26" w16cid:durableId="868447960">
    <w:abstractNumId w:val="42"/>
  </w:num>
  <w:num w:numId="27" w16cid:durableId="1772972642">
    <w:abstractNumId w:val="24"/>
  </w:num>
  <w:num w:numId="28" w16cid:durableId="708913422">
    <w:abstractNumId w:val="39"/>
  </w:num>
  <w:num w:numId="29" w16cid:durableId="1607031357">
    <w:abstractNumId w:val="38"/>
  </w:num>
  <w:num w:numId="30" w16cid:durableId="507334099">
    <w:abstractNumId w:val="49"/>
  </w:num>
  <w:num w:numId="31" w16cid:durableId="2111465465">
    <w:abstractNumId w:val="41"/>
  </w:num>
  <w:num w:numId="32" w16cid:durableId="1856066917">
    <w:abstractNumId w:val="29"/>
  </w:num>
  <w:num w:numId="33" w16cid:durableId="1728727107">
    <w:abstractNumId w:val="12"/>
  </w:num>
  <w:num w:numId="34" w16cid:durableId="903565842">
    <w:abstractNumId w:val="14"/>
  </w:num>
  <w:num w:numId="35" w16cid:durableId="1823741679">
    <w:abstractNumId w:val="21"/>
  </w:num>
  <w:num w:numId="36" w16cid:durableId="192154647">
    <w:abstractNumId w:val="23"/>
  </w:num>
  <w:num w:numId="37" w16cid:durableId="1295991190">
    <w:abstractNumId w:val="0"/>
  </w:num>
  <w:num w:numId="38" w16cid:durableId="305548801">
    <w:abstractNumId w:val="17"/>
  </w:num>
  <w:num w:numId="39" w16cid:durableId="1203519883">
    <w:abstractNumId w:val="30"/>
  </w:num>
  <w:num w:numId="40" w16cid:durableId="658072043">
    <w:abstractNumId w:val="13"/>
  </w:num>
  <w:num w:numId="41" w16cid:durableId="1958290918">
    <w:abstractNumId w:val="50"/>
  </w:num>
  <w:num w:numId="42" w16cid:durableId="2034722013">
    <w:abstractNumId w:val="43"/>
  </w:num>
  <w:num w:numId="43" w16cid:durableId="1747992318">
    <w:abstractNumId w:val="18"/>
  </w:num>
  <w:num w:numId="44" w16cid:durableId="2034726306">
    <w:abstractNumId w:val="36"/>
  </w:num>
  <w:num w:numId="45" w16cid:durableId="1177310489">
    <w:abstractNumId w:val="28"/>
  </w:num>
  <w:num w:numId="46" w16cid:durableId="1584752972">
    <w:abstractNumId w:val="22"/>
  </w:num>
  <w:num w:numId="47" w16cid:durableId="1894534442">
    <w:abstractNumId w:val="32"/>
  </w:num>
  <w:num w:numId="48" w16cid:durableId="1879198948">
    <w:abstractNumId w:val="6"/>
  </w:num>
  <w:num w:numId="49" w16cid:durableId="1436095931">
    <w:abstractNumId w:val="33"/>
  </w:num>
  <w:num w:numId="50" w16cid:durableId="835850009">
    <w:abstractNumId w:val="48"/>
  </w:num>
  <w:num w:numId="51" w16cid:durableId="1056776011">
    <w:abstractNumId w:val="16"/>
  </w:num>
  <w:num w:numId="52" w16cid:durableId="118019265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63B"/>
    <w:rsid w:val="000014D8"/>
    <w:rsid w:val="00006CFE"/>
    <w:rsid w:val="00020B47"/>
    <w:rsid w:val="000237FD"/>
    <w:rsid w:val="00025671"/>
    <w:rsid w:val="000332E4"/>
    <w:rsid w:val="00033F7D"/>
    <w:rsid w:val="000345CA"/>
    <w:rsid w:val="00035F73"/>
    <w:rsid w:val="00036E79"/>
    <w:rsid w:val="0004011A"/>
    <w:rsid w:val="000401DC"/>
    <w:rsid w:val="000413F8"/>
    <w:rsid w:val="00041C6B"/>
    <w:rsid w:val="00043BA6"/>
    <w:rsid w:val="000442F6"/>
    <w:rsid w:val="0004671A"/>
    <w:rsid w:val="00047D61"/>
    <w:rsid w:val="00050974"/>
    <w:rsid w:val="00055EAE"/>
    <w:rsid w:val="00060409"/>
    <w:rsid w:val="00061771"/>
    <w:rsid w:val="0006593D"/>
    <w:rsid w:val="000673E6"/>
    <w:rsid w:val="00067DDF"/>
    <w:rsid w:val="00072924"/>
    <w:rsid w:val="0007505A"/>
    <w:rsid w:val="000752F0"/>
    <w:rsid w:val="0007790C"/>
    <w:rsid w:val="00077BF4"/>
    <w:rsid w:val="00077D8A"/>
    <w:rsid w:val="00081B3B"/>
    <w:rsid w:val="00086C66"/>
    <w:rsid w:val="00086E1B"/>
    <w:rsid w:val="000904CD"/>
    <w:rsid w:val="00091907"/>
    <w:rsid w:val="00093B63"/>
    <w:rsid w:val="0009459E"/>
    <w:rsid w:val="0009544C"/>
    <w:rsid w:val="0009777B"/>
    <w:rsid w:val="00097BCA"/>
    <w:rsid w:val="000A0220"/>
    <w:rsid w:val="000A0252"/>
    <w:rsid w:val="000A4D95"/>
    <w:rsid w:val="000A65C9"/>
    <w:rsid w:val="000A6C19"/>
    <w:rsid w:val="000B1B8F"/>
    <w:rsid w:val="000B22A5"/>
    <w:rsid w:val="000B25B3"/>
    <w:rsid w:val="000B7720"/>
    <w:rsid w:val="000C28A0"/>
    <w:rsid w:val="000C3E90"/>
    <w:rsid w:val="000D0864"/>
    <w:rsid w:val="000D2207"/>
    <w:rsid w:val="000D37ED"/>
    <w:rsid w:val="000D4FE1"/>
    <w:rsid w:val="000E0C80"/>
    <w:rsid w:val="000E19E5"/>
    <w:rsid w:val="000E4701"/>
    <w:rsid w:val="000F0085"/>
    <w:rsid w:val="000F1E7B"/>
    <w:rsid w:val="000F4233"/>
    <w:rsid w:val="000F50E6"/>
    <w:rsid w:val="000F72FE"/>
    <w:rsid w:val="00102547"/>
    <w:rsid w:val="001040EF"/>
    <w:rsid w:val="00104549"/>
    <w:rsid w:val="00107BB5"/>
    <w:rsid w:val="00110D09"/>
    <w:rsid w:val="001114C1"/>
    <w:rsid w:val="0011425D"/>
    <w:rsid w:val="0011428A"/>
    <w:rsid w:val="00122B41"/>
    <w:rsid w:val="00122FA6"/>
    <w:rsid w:val="00124116"/>
    <w:rsid w:val="001243FC"/>
    <w:rsid w:val="00127B99"/>
    <w:rsid w:val="001315F4"/>
    <w:rsid w:val="0013393D"/>
    <w:rsid w:val="00135145"/>
    <w:rsid w:val="00137B95"/>
    <w:rsid w:val="00146C95"/>
    <w:rsid w:val="00146CF5"/>
    <w:rsid w:val="00151850"/>
    <w:rsid w:val="0015493D"/>
    <w:rsid w:val="001557F9"/>
    <w:rsid w:val="0015650E"/>
    <w:rsid w:val="00157EDA"/>
    <w:rsid w:val="00160984"/>
    <w:rsid w:val="00163166"/>
    <w:rsid w:val="00170C30"/>
    <w:rsid w:val="0017150B"/>
    <w:rsid w:val="001721E2"/>
    <w:rsid w:val="0017268E"/>
    <w:rsid w:val="001744C6"/>
    <w:rsid w:val="00175F8A"/>
    <w:rsid w:val="00176965"/>
    <w:rsid w:val="001807C9"/>
    <w:rsid w:val="00180820"/>
    <w:rsid w:val="00181141"/>
    <w:rsid w:val="001827C9"/>
    <w:rsid w:val="00184022"/>
    <w:rsid w:val="00184D3D"/>
    <w:rsid w:val="00186864"/>
    <w:rsid w:val="00190B11"/>
    <w:rsid w:val="0019131A"/>
    <w:rsid w:val="0019284B"/>
    <w:rsid w:val="001932CA"/>
    <w:rsid w:val="00196027"/>
    <w:rsid w:val="001978BE"/>
    <w:rsid w:val="001A1C3B"/>
    <w:rsid w:val="001A465F"/>
    <w:rsid w:val="001A5670"/>
    <w:rsid w:val="001A7B17"/>
    <w:rsid w:val="001B206C"/>
    <w:rsid w:val="001C01F9"/>
    <w:rsid w:val="001C1629"/>
    <w:rsid w:val="001C5035"/>
    <w:rsid w:val="001C6ED3"/>
    <w:rsid w:val="001D120D"/>
    <w:rsid w:val="001D14D1"/>
    <w:rsid w:val="001D2BA5"/>
    <w:rsid w:val="001E25CC"/>
    <w:rsid w:val="001E6063"/>
    <w:rsid w:val="001E64F9"/>
    <w:rsid w:val="001E7638"/>
    <w:rsid w:val="001F0D7E"/>
    <w:rsid w:val="001F2D89"/>
    <w:rsid w:val="001F3D2E"/>
    <w:rsid w:val="001F506B"/>
    <w:rsid w:val="001F51DB"/>
    <w:rsid w:val="001F6D54"/>
    <w:rsid w:val="00203FA8"/>
    <w:rsid w:val="002110CA"/>
    <w:rsid w:val="002169CF"/>
    <w:rsid w:val="00217C6E"/>
    <w:rsid w:val="00220780"/>
    <w:rsid w:val="00221BA6"/>
    <w:rsid w:val="00222621"/>
    <w:rsid w:val="00223790"/>
    <w:rsid w:val="0022777F"/>
    <w:rsid w:val="00232237"/>
    <w:rsid w:val="002324F4"/>
    <w:rsid w:val="00235EC8"/>
    <w:rsid w:val="0023666D"/>
    <w:rsid w:val="00243509"/>
    <w:rsid w:val="00245BD3"/>
    <w:rsid w:val="00247920"/>
    <w:rsid w:val="00247B84"/>
    <w:rsid w:val="00250F5C"/>
    <w:rsid w:val="002530CB"/>
    <w:rsid w:val="0025377E"/>
    <w:rsid w:val="00254C7D"/>
    <w:rsid w:val="002576D9"/>
    <w:rsid w:val="00260637"/>
    <w:rsid w:val="00260D7A"/>
    <w:rsid w:val="002647B5"/>
    <w:rsid w:val="0026497A"/>
    <w:rsid w:val="002661F6"/>
    <w:rsid w:val="002671EE"/>
    <w:rsid w:val="00267285"/>
    <w:rsid w:val="0026763E"/>
    <w:rsid w:val="0027195C"/>
    <w:rsid w:val="00272EC1"/>
    <w:rsid w:val="0027578A"/>
    <w:rsid w:val="00276FFC"/>
    <w:rsid w:val="002777B6"/>
    <w:rsid w:val="002820E4"/>
    <w:rsid w:val="00282D4E"/>
    <w:rsid w:val="00290961"/>
    <w:rsid w:val="00291A54"/>
    <w:rsid w:val="00291DB1"/>
    <w:rsid w:val="00293688"/>
    <w:rsid w:val="00293762"/>
    <w:rsid w:val="002947C9"/>
    <w:rsid w:val="00295052"/>
    <w:rsid w:val="002A1248"/>
    <w:rsid w:val="002A23BE"/>
    <w:rsid w:val="002A3AA4"/>
    <w:rsid w:val="002B3274"/>
    <w:rsid w:val="002B4B47"/>
    <w:rsid w:val="002B5DD4"/>
    <w:rsid w:val="002B7468"/>
    <w:rsid w:val="002C32A7"/>
    <w:rsid w:val="002C468F"/>
    <w:rsid w:val="002C5F7A"/>
    <w:rsid w:val="002D009B"/>
    <w:rsid w:val="002D6C5E"/>
    <w:rsid w:val="002E025E"/>
    <w:rsid w:val="002E1972"/>
    <w:rsid w:val="002E1C83"/>
    <w:rsid w:val="002E3E54"/>
    <w:rsid w:val="002E4432"/>
    <w:rsid w:val="002E4FBA"/>
    <w:rsid w:val="002E6171"/>
    <w:rsid w:val="002E7FAE"/>
    <w:rsid w:val="00300B58"/>
    <w:rsid w:val="00306CB4"/>
    <w:rsid w:val="00306EFD"/>
    <w:rsid w:val="003112E3"/>
    <w:rsid w:val="00311E1B"/>
    <w:rsid w:val="0031281C"/>
    <w:rsid w:val="00315680"/>
    <w:rsid w:val="003159B1"/>
    <w:rsid w:val="003231BF"/>
    <w:rsid w:val="00323FA6"/>
    <w:rsid w:val="00327C2E"/>
    <w:rsid w:val="003319FA"/>
    <w:rsid w:val="00333383"/>
    <w:rsid w:val="00335C4C"/>
    <w:rsid w:val="0034018A"/>
    <w:rsid w:val="0034344F"/>
    <w:rsid w:val="00345132"/>
    <w:rsid w:val="00347646"/>
    <w:rsid w:val="00351676"/>
    <w:rsid w:val="00352033"/>
    <w:rsid w:val="003534E5"/>
    <w:rsid w:val="00360684"/>
    <w:rsid w:val="00361358"/>
    <w:rsid w:val="0036172B"/>
    <w:rsid w:val="00362548"/>
    <w:rsid w:val="00362FB1"/>
    <w:rsid w:val="003631FF"/>
    <w:rsid w:val="00363FC5"/>
    <w:rsid w:val="003645B5"/>
    <w:rsid w:val="00367B30"/>
    <w:rsid w:val="00374349"/>
    <w:rsid w:val="00374FF1"/>
    <w:rsid w:val="00377420"/>
    <w:rsid w:val="003804CC"/>
    <w:rsid w:val="003822D1"/>
    <w:rsid w:val="003869C9"/>
    <w:rsid w:val="003919A2"/>
    <w:rsid w:val="00393248"/>
    <w:rsid w:val="00396B40"/>
    <w:rsid w:val="00397184"/>
    <w:rsid w:val="003A1EB4"/>
    <w:rsid w:val="003B47DF"/>
    <w:rsid w:val="003B67E1"/>
    <w:rsid w:val="003B7A87"/>
    <w:rsid w:val="003C0D10"/>
    <w:rsid w:val="003C27C2"/>
    <w:rsid w:val="003D0E60"/>
    <w:rsid w:val="003D4E5C"/>
    <w:rsid w:val="003D7657"/>
    <w:rsid w:val="003E0685"/>
    <w:rsid w:val="003E2877"/>
    <w:rsid w:val="003E3640"/>
    <w:rsid w:val="003E36EF"/>
    <w:rsid w:val="003E430E"/>
    <w:rsid w:val="003E510B"/>
    <w:rsid w:val="003F1A87"/>
    <w:rsid w:val="003F237B"/>
    <w:rsid w:val="003F45FB"/>
    <w:rsid w:val="003F4B50"/>
    <w:rsid w:val="004029E8"/>
    <w:rsid w:val="00403FB4"/>
    <w:rsid w:val="00407860"/>
    <w:rsid w:val="004104FB"/>
    <w:rsid w:val="0041083B"/>
    <w:rsid w:val="00411A74"/>
    <w:rsid w:val="00412EFF"/>
    <w:rsid w:val="00414978"/>
    <w:rsid w:val="00414A13"/>
    <w:rsid w:val="00415944"/>
    <w:rsid w:val="00423D09"/>
    <w:rsid w:val="00427306"/>
    <w:rsid w:val="00427C23"/>
    <w:rsid w:val="00432FAC"/>
    <w:rsid w:val="00435F10"/>
    <w:rsid w:val="00436CF3"/>
    <w:rsid w:val="004464C4"/>
    <w:rsid w:val="004471F1"/>
    <w:rsid w:val="004508E9"/>
    <w:rsid w:val="004514E9"/>
    <w:rsid w:val="00451E93"/>
    <w:rsid w:val="0045457F"/>
    <w:rsid w:val="00461DC4"/>
    <w:rsid w:val="004631BF"/>
    <w:rsid w:val="00463696"/>
    <w:rsid w:val="0046640C"/>
    <w:rsid w:val="00470CCB"/>
    <w:rsid w:val="00470D84"/>
    <w:rsid w:val="00482930"/>
    <w:rsid w:val="00484DCF"/>
    <w:rsid w:val="00490F7B"/>
    <w:rsid w:val="0049129E"/>
    <w:rsid w:val="00493D87"/>
    <w:rsid w:val="004949E1"/>
    <w:rsid w:val="0049590D"/>
    <w:rsid w:val="004973F6"/>
    <w:rsid w:val="004A0B6C"/>
    <w:rsid w:val="004A1993"/>
    <w:rsid w:val="004A324B"/>
    <w:rsid w:val="004A7788"/>
    <w:rsid w:val="004B09AC"/>
    <w:rsid w:val="004B0E20"/>
    <w:rsid w:val="004B26EB"/>
    <w:rsid w:val="004B606C"/>
    <w:rsid w:val="004B70EE"/>
    <w:rsid w:val="004C2DB7"/>
    <w:rsid w:val="004C374F"/>
    <w:rsid w:val="004C4E5B"/>
    <w:rsid w:val="004C4FF8"/>
    <w:rsid w:val="004C675E"/>
    <w:rsid w:val="004C68EE"/>
    <w:rsid w:val="004C7BB9"/>
    <w:rsid w:val="004D2C6B"/>
    <w:rsid w:val="004D3490"/>
    <w:rsid w:val="004D36DA"/>
    <w:rsid w:val="004D4238"/>
    <w:rsid w:val="004D4BC5"/>
    <w:rsid w:val="004D7C02"/>
    <w:rsid w:val="004E066B"/>
    <w:rsid w:val="004E317C"/>
    <w:rsid w:val="004E4F8D"/>
    <w:rsid w:val="004E58DB"/>
    <w:rsid w:val="004F0CDE"/>
    <w:rsid w:val="004F1C1D"/>
    <w:rsid w:val="004F3F88"/>
    <w:rsid w:val="004F426D"/>
    <w:rsid w:val="004F5901"/>
    <w:rsid w:val="004F5B69"/>
    <w:rsid w:val="004F6763"/>
    <w:rsid w:val="0050011E"/>
    <w:rsid w:val="0050063B"/>
    <w:rsid w:val="00502208"/>
    <w:rsid w:val="00502F5B"/>
    <w:rsid w:val="00504010"/>
    <w:rsid w:val="00505148"/>
    <w:rsid w:val="00507275"/>
    <w:rsid w:val="005075EB"/>
    <w:rsid w:val="00507EDB"/>
    <w:rsid w:val="005111C2"/>
    <w:rsid w:val="0051308C"/>
    <w:rsid w:val="00513449"/>
    <w:rsid w:val="00513992"/>
    <w:rsid w:val="005141D0"/>
    <w:rsid w:val="00516D11"/>
    <w:rsid w:val="00517DF0"/>
    <w:rsid w:val="00522E93"/>
    <w:rsid w:val="00525032"/>
    <w:rsid w:val="00526464"/>
    <w:rsid w:val="0053160A"/>
    <w:rsid w:val="00535A31"/>
    <w:rsid w:val="0053719C"/>
    <w:rsid w:val="00540A0A"/>
    <w:rsid w:val="00541C52"/>
    <w:rsid w:val="00541EE3"/>
    <w:rsid w:val="0054230A"/>
    <w:rsid w:val="005429EE"/>
    <w:rsid w:val="005520AF"/>
    <w:rsid w:val="00553D0A"/>
    <w:rsid w:val="00555427"/>
    <w:rsid w:val="005555A8"/>
    <w:rsid w:val="00557B89"/>
    <w:rsid w:val="005605BC"/>
    <w:rsid w:val="00560E89"/>
    <w:rsid w:val="00561B1F"/>
    <w:rsid w:val="00562D64"/>
    <w:rsid w:val="00574776"/>
    <w:rsid w:val="005756FA"/>
    <w:rsid w:val="0057758B"/>
    <w:rsid w:val="0058290C"/>
    <w:rsid w:val="0058462A"/>
    <w:rsid w:val="005851CE"/>
    <w:rsid w:val="00585D2D"/>
    <w:rsid w:val="0058792B"/>
    <w:rsid w:val="005919D4"/>
    <w:rsid w:val="005925AB"/>
    <w:rsid w:val="005931CB"/>
    <w:rsid w:val="005958A9"/>
    <w:rsid w:val="005A143E"/>
    <w:rsid w:val="005A1965"/>
    <w:rsid w:val="005A5F5B"/>
    <w:rsid w:val="005A6022"/>
    <w:rsid w:val="005B3B62"/>
    <w:rsid w:val="005B4B74"/>
    <w:rsid w:val="005B5CC2"/>
    <w:rsid w:val="005B7EE3"/>
    <w:rsid w:val="005C0392"/>
    <w:rsid w:val="005C0567"/>
    <w:rsid w:val="005C112B"/>
    <w:rsid w:val="005C20DA"/>
    <w:rsid w:val="005C2677"/>
    <w:rsid w:val="005C3FE9"/>
    <w:rsid w:val="005D31CA"/>
    <w:rsid w:val="005D7172"/>
    <w:rsid w:val="005E1C7A"/>
    <w:rsid w:val="005F04CD"/>
    <w:rsid w:val="005F09FB"/>
    <w:rsid w:val="005F0E9C"/>
    <w:rsid w:val="005F160E"/>
    <w:rsid w:val="005F4A88"/>
    <w:rsid w:val="005F666D"/>
    <w:rsid w:val="005F6C00"/>
    <w:rsid w:val="005F7D9F"/>
    <w:rsid w:val="00600991"/>
    <w:rsid w:val="00603C36"/>
    <w:rsid w:val="00614833"/>
    <w:rsid w:val="00614CE7"/>
    <w:rsid w:val="00620079"/>
    <w:rsid w:val="00621F43"/>
    <w:rsid w:val="00622DFB"/>
    <w:rsid w:val="0062337E"/>
    <w:rsid w:val="0062449E"/>
    <w:rsid w:val="006272DE"/>
    <w:rsid w:val="00631596"/>
    <w:rsid w:val="006365DD"/>
    <w:rsid w:val="006426EF"/>
    <w:rsid w:val="006465F6"/>
    <w:rsid w:val="00650CF7"/>
    <w:rsid w:val="00651882"/>
    <w:rsid w:val="006535A3"/>
    <w:rsid w:val="00660341"/>
    <w:rsid w:val="006642AD"/>
    <w:rsid w:val="00667BBB"/>
    <w:rsid w:val="00676688"/>
    <w:rsid w:val="00681741"/>
    <w:rsid w:val="006828FF"/>
    <w:rsid w:val="00682B13"/>
    <w:rsid w:val="006851C6"/>
    <w:rsid w:val="00685854"/>
    <w:rsid w:val="00692BD3"/>
    <w:rsid w:val="00693A2B"/>
    <w:rsid w:val="00694F3C"/>
    <w:rsid w:val="00695978"/>
    <w:rsid w:val="00696658"/>
    <w:rsid w:val="00697EBF"/>
    <w:rsid w:val="006B1593"/>
    <w:rsid w:val="006B5B83"/>
    <w:rsid w:val="006B6674"/>
    <w:rsid w:val="006C1D84"/>
    <w:rsid w:val="006C26B6"/>
    <w:rsid w:val="006C29A3"/>
    <w:rsid w:val="006C6E5A"/>
    <w:rsid w:val="006D2418"/>
    <w:rsid w:val="006D4B00"/>
    <w:rsid w:val="006D5643"/>
    <w:rsid w:val="006E063E"/>
    <w:rsid w:val="006E0F5F"/>
    <w:rsid w:val="006E3B64"/>
    <w:rsid w:val="006E79B1"/>
    <w:rsid w:val="006F4A41"/>
    <w:rsid w:val="0070134C"/>
    <w:rsid w:val="0070348A"/>
    <w:rsid w:val="00706BA8"/>
    <w:rsid w:val="00706FF3"/>
    <w:rsid w:val="00707B88"/>
    <w:rsid w:val="00710C96"/>
    <w:rsid w:val="00711192"/>
    <w:rsid w:val="0071469F"/>
    <w:rsid w:val="00715F3C"/>
    <w:rsid w:val="0071622B"/>
    <w:rsid w:val="007200AC"/>
    <w:rsid w:val="00722350"/>
    <w:rsid w:val="0072301F"/>
    <w:rsid w:val="00730F8C"/>
    <w:rsid w:val="00735BA0"/>
    <w:rsid w:val="00735F59"/>
    <w:rsid w:val="0073785F"/>
    <w:rsid w:val="00743CD0"/>
    <w:rsid w:val="00745B82"/>
    <w:rsid w:val="007470B3"/>
    <w:rsid w:val="00757545"/>
    <w:rsid w:val="00764AE3"/>
    <w:rsid w:val="00764B21"/>
    <w:rsid w:val="0077236E"/>
    <w:rsid w:val="007805B1"/>
    <w:rsid w:val="00780E22"/>
    <w:rsid w:val="00782312"/>
    <w:rsid w:val="00782A9E"/>
    <w:rsid w:val="0078430A"/>
    <w:rsid w:val="00784AB8"/>
    <w:rsid w:val="00784C5E"/>
    <w:rsid w:val="00785BA4"/>
    <w:rsid w:val="0079004E"/>
    <w:rsid w:val="00790E7F"/>
    <w:rsid w:val="00791A64"/>
    <w:rsid w:val="00791A6C"/>
    <w:rsid w:val="00793716"/>
    <w:rsid w:val="00794DC7"/>
    <w:rsid w:val="00795B0A"/>
    <w:rsid w:val="0079686C"/>
    <w:rsid w:val="007A21A2"/>
    <w:rsid w:val="007A3223"/>
    <w:rsid w:val="007A5836"/>
    <w:rsid w:val="007B1688"/>
    <w:rsid w:val="007B2748"/>
    <w:rsid w:val="007B49FD"/>
    <w:rsid w:val="007C1051"/>
    <w:rsid w:val="007C3369"/>
    <w:rsid w:val="007C5CD4"/>
    <w:rsid w:val="007D0D2D"/>
    <w:rsid w:val="007D122C"/>
    <w:rsid w:val="007D3AD7"/>
    <w:rsid w:val="007E011C"/>
    <w:rsid w:val="007E132E"/>
    <w:rsid w:val="007E29D2"/>
    <w:rsid w:val="007F04FC"/>
    <w:rsid w:val="007F138B"/>
    <w:rsid w:val="007F76B9"/>
    <w:rsid w:val="00801E67"/>
    <w:rsid w:val="008032C9"/>
    <w:rsid w:val="00805CF3"/>
    <w:rsid w:val="00817952"/>
    <w:rsid w:val="00821DC8"/>
    <w:rsid w:val="00821E4F"/>
    <w:rsid w:val="00826D21"/>
    <w:rsid w:val="0083131E"/>
    <w:rsid w:val="00832D48"/>
    <w:rsid w:val="008347E2"/>
    <w:rsid w:val="00837A28"/>
    <w:rsid w:val="00845106"/>
    <w:rsid w:val="00847147"/>
    <w:rsid w:val="00847CC1"/>
    <w:rsid w:val="00855A1A"/>
    <w:rsid w:val="0085759F"/>
    <w:rsid w:val="0086122D"/>
    <w:rsid w:val="00861A11"/>
    <w:rsid w:val="00862DF8"/>
    <w:rsid w:val="00865380"/>
    <w:rsid w:val="00865900"/>
    <w:rsid w:val="00867BF7"/>
    <w:rsid w:val="008741BA"/>
    <w:rsid w:val="008800DF"/>
    <w:rsid w:val="00885DB1"/>
    <w:rsid w:val="008872B2"/>
    <w:rsid w:val="00893E89"/>
    <w:rsid w:val="0089512B"/>
    <w:rsid w:val="00896FDA"/>
    <w:rsid w:val="008A1F33"/>
    <w:rsid w:val="008A29EF"/>
    <w:rsid w:val="008A3EA9"/>
    <w:rsid w:val="008A48F0"/>
    <w:rsid w:val="008B0A3B"/>
    <w:rsid w:val="008B47CE"/>
    <w:rsid w:val="008B57E7"/>
    <w:rsid w:val="008C0058"/>
    <w:rsid w:val="008C286E"/>
    <w:rsid w:val="008C4023"/>
    <w:rsid w:val="008C511F"/>
    <w:rsid w:val="008D0A38"/>
    <w:rsid w:val="008D1D85"/>
    <w:rsid w:val="008D1EE8"/>
    <w:rsid w:val="008D4F76"/>
    <w:rsid w:val="008E0839"/>
    <w:rsid w:val="008E0CE3"/>
    <w:rsid w:val="008E5A21"/>
    <w:rsid w:val="008F1EE7"/>
    <w:rsid w:val="008F3E2B"/>
    <w:rsid w:val="008F471E"/>
    <w:rsid w:val="00902917"/>
    <w:rsid w:val="0090316F"/>
    <w:rsid w:val="00907911"/>
    <w:rsid w:val="00912B9E"/>
    <w:rsid w:val="009143B9"/>
    <w:rsid w:val="00915466"/>
    <w:rsid w:val="00920DFA"/>
    <w:rsid w:val="00920FF2"/>
    <w:rsid w:val="00926D23"/>
    <w:rsid w:val="0092759C"/>
    <w:rsid w:val="00932962"/>
    <w:rsid w:val="009338EA"/>
    <w:rsid w:val="009359EB"/>
    <w:rsid w:val="00936045"/>
    <w:rsid w:val="00937CB6"/>
    <w:rsid w:val="009434DC"/>
    <w:rsid w:val="00943DD4"/>
    <w:rsid w:val="009457E5"/>
    <w:rsid w:val="009477E4"/>
    <w:rsid w:val="0095011B"/>
    <w:rsid w:val="00950931"/>
    <w:rsid w:val="0096798D"/>
    <w:rsid w:val="00967E71"/>
    <w:rsid w:val="00971803"/>
    <w:rsid w:val="009753B7"/>
    <w:rsid w:val="00977288"/>
    <w:rsid w:val="0098014D"/>
    <w:rsid w:val="0098304E"/>
    <w:rsid w:val="00983434"/>
    <w:rsid w:val="00986B59"/>
    <w:rsid w:val="0099134D"/>
    <w:rsid w:val="00992F74"/>
    <w:rsid w:val="0099367C"/>
    <w:rsid w:val="009A0F25"/>
    <w:rsid w:val="009A3AA2"/>
    <w:rsid w:val="009A76BB"/>
    <w:rsid w:val="009B203C"/>
    <w:rsid w:val="009B2667"/>
    <w:rsid w:val="009B2BB2"/>
    <w:rsid w:val="009B2E8D"/>
    <w:rsid w:val="009B3717"/>
    <w:rsid w:val="009B5489"/>
    <w:rsid w:val="009B606A"/>
    <w:rsid w:val="009B6153"/>
    <w:rsid w:val="009B7238"/>
    <w:rsid w:val="009C3FCB"/>
    <w:rsid w:val="009C6639"/>
    <w:rsid w:val="009D01F0"/>
    <w:rsid w:val="009D48BA"/>
    <w:rsid w:val="009D4BD8"/>
    <w:rsid w:val="009D4C14"/>
    <w:rsid w:val="009D5778"/>
    <w:rsid w:val="009E267D"/>
    <w:rsid w:val="009E37C1"/>
    <w:rsid w:val="009E79DD"/>
    <w:rsid w:val="009F1453"/>
    <w:rsid w:val="009F43BC"/>
    <w:rsid w:val="009F59F2"/>
    <w:rsid w:val="00A01D36"/>
    <w:rsid w:val="00A03077"/>
    <w:rsid w:val="00A04654"/>
    <w:rsid w:val="00A07866"/>
    <w:rsid w:val="00A079A6"/>
    <w:rsid w:val="00A07A1D"/>
    <w:rsid w:val="00A10BBD"/>
    <w:rsid w:val="00A12459"/>
    <w:rsid w:val="00A1598C"/>
    <w:rsid w:val="00A16F4B"/>
    <w:rsid w:val="00A228FA"/>
    <w:rsid w:val="00A23883"/>
    <w:rsid w:val="00A23E3D"/>
    <w:rsid w:val="00A26EC2"/>
    <w:rsid w:val="00A30EB2"/>
    <w:rsid w:val="00A31F5F"/>
    <w:rsid w:val="00A32D07"/>
    <w:rsid w:val="00A370DC"/>
    <w:rsid w:val="00A37162"/>
    <w:rsid w:val="00A40335"/>
    <w:rsid w:val="00A40E42"/>
    <w:rsid w:val="00A410A3"/>
    <w:rsid w:val="00A44047"/>
    <w:rsid w:val="00A44FAB"/>
    <w:rsid w:val="00A52FB4"/>
    <w:rsid w:val="00A54AB6"/>
    <w:rsid w:val="00A55886"/>
    <w:rsid w:val="00A55A0D"/>
    <w:rsid w:val="00A55AE4"/>
    <w:rsid w:val="00A55AF4"/>
    <w:rsid w:val="00A5778B"/>
    <w:rsid w:val="00A578A1"/>
    <w:rsid w:val="00A60096"/>
    <w:rsid w:val="00A62977"/>
    <w:rsid w:val="00A63584"/>
    <w:rsid w:val="00A645CA"/>
    <w:rsid w:val="00A76723"/>
    <w:rsid w:val="00A801FA"/>
    <w:rsid w:val="00A866B5"/>
    <w:rsid w:val="00A87F38"/>
    <w:rsid w:val="00A907D6"/>
    <w:rsid w:val="00A91E87"/>
    <w:rsid w:val="00A96E8F"/>
    <w:rsid w:val="00AA1B04"/>
    <w:rsid w:val="00AA25EE"/>
    <w:rsid w:val="00AA26A9"/>
    <w:rsid w:val="00AA7CBB"/>
    <w:rsid w:val="00AB0688"/>
    <w:rsid w:val="00AB12D1"/>
    <w:rsid w:val="00AB4289"/>
    <w:rsid w:val="00AB7766"/>
    <w:rsid w:val="00AC1FF1"/>
    <w:rsid w:val="00AC5A23"/>
    <w:rsid w:val="00AC62DF"/>
    <w:rsid w:val="00AD084D"/>
    <w:rsid w:val="00AE1AFF"/>
    <w:rsid w:val="00AE2480"/>
    <w:rsid w:val="00AE2D1B"/>
    <w:rsid w:val="00AE32E9"/>
    <w:rsid w:val="00AE67F5"/>
    <w:rsid w:val="00AE7DF8"/>
    <w:rsid w:val="00AF1BFE"/>
    <w:rsid w:val="00AF4563"/>
    <w:rsid w:val="00AF45EC"/>
    <w:rsid w:val="00AF5A90"/>
    <w:rsid w:val="00AF7498"/>
    <w:rsid w:val="00B01608"/>
    <w:rsid w:val="00B04017"/>
    <w:rsid w:val="00B04F2E"/>
    <w:rsid w:val="00B12DD9"/>
    <w:rsid w:val="00B132F9"/>
    <w:rsid w:val="00B13C20"/>
    <w:rsid w:val="00B236ED"/>
    <w:rsid w:val="00B24737"/>
    <w:rsid w:val="00B30132"/>
    <w:rsid w:val="00B3057C"/>
    <w:rsid w:val="00B3095C"/>
    <w:rsid w:val="00B32A03"/>
    <w:rsid w:val="00B40BE5"/>
    <w:rsid w:val="00B42393"/>
    <w:rsid w:val="00B43CD7"/>
    <w:rsid w:val="00B44965"/>
    <w:rsid w:val="00B52715"/>
    <w:rsid w:val="00B529DC"/>
    <w:rsid w:val="00B601B1"/>
    <w:rsid w:val="00B60D70"/>
    <w:rsid w:val="00B616BC"/>
    <w:rsid w:val="00B66B21"/>
    <w:rsid w:val="00B70AD1"/>
    <w:rsid w:val="00B7124D"/>
    <w:rsid w:val="00B732FA"/>
    <w:rsid w:val="00B737DE"/>
    <w:rsid w:val="00B73D2D"/>
    <w:rsid w:val="00B74793"/>
    <w:rsid w:val="00B7669B"/>
    <w:rsid w:val="00B76F8F"/>
    <w:rsid w:val="00B77567"/>
    <w:rsid w:val="00B809D0"/>
    <w:rsid w:val="00B814D5"/>
    <w:rsid w:val="00B83F87"/>
    <w:rsid w:val="00B9536A"/>
    <w:rsid w:val="00B96FAA"/>
    <w:rsid w:val="00BA2305"/>
    <w:rsid w:val="00BA23DC"/>
    <w:rsid w:val="00BA2D11"/>
    <w:rsid w:val="00BA4FBC"/>
    <w:rsid w:val="00BA75B9"/>
    <w:rsid w:val="00BB0CB5"/>
    <w:rsid w:val="00BB1668"/>
    <w:rsid w:val="00BB67AC"/>
    <w:rsid w:val="00BC0665"/>
    <w:rsid w:val="00BC6D37"/>
    <w:rsid w:val="00BD0BB8"/>
    <w:rsid w:val="00BD0F30"/>
    <w:rsid w:val="00BD3CC2"/>
    <w:rsid w:val="00BD51C7"/>
    <w:rsid w:val="00BE251D"/>
    <w:rsid w:val="00BE509B"/>
    <w:rsid w:val="00BE5C71"/>
    <w:rsid w:val="00BE735C"/>
    <w:rsid w:val="00BE7463"/>
    <w:rsid w:val="00BF17EB"/>
    <w:rsid w:val="00BF41F0"/>
    <w:rsid w:val="00BF49C4"/>
    <w:rsid w:val="00BF53D7"/>
    <w:rsid w:val="00BF5458"/>
    <w:rsid w:val="00C03F70"/>
    <w:rsid w:val="00C0779C"/>
    <w:rsid w:val="00C11517"/>
    <w:rsid w:val="00C154A8"/>
    <w:rsid w:val="00C162D5"/>
    <w:rsid w:val="00C21F01"/>
    <w:rsid w:val="00C30291"/>
    <w:rsid w:val="00C40151"/>
    <w:rsid w:val="00C40F44"/>
    <w:rsid w:val="00C41E02"/>
    <w:rsid w:val="00C41F45"/>
    <w:rsid w:val="00C45900"/>
    <w:rsid w:val="00C47C34"/>
    <w:rsid w:val="00C509BB"/>
    <w:rsid w:val="00C53C66"/>
    <w:rsid w:val="00C5438D"/>
    <w:rsid w:val="00C54719"/>
    <w:rsid w:val="00C562DA"/>
    <w:rsid w:val="00C62C98"/>
    <w:rsid w:val="00C6305C"/>
    <w:rsid w:val="00C727E9"/>
    <w:rsid w:val="00C73726"/>
    <w:rsid w:val="00C756DA"/>
    <w:rsid w:val="00C831E3"/>
    <w:rsid w:val="00C8538F"/>
    <w:rsid w:val="00C862FB"/>
    <w:rsid w:val="00C90B8F"/>
    <w:rsid w:val="00C930F5"/>
    <w:rsid w:val="00C9506A"/>
    <w:rsid w:val="00C963C6"/>
    <w:rsid w:val="00CB6A53"/>
    <w:rsid w:val="00CB6AF0"/>
    <w:rsid w:val="00CC13F2"/>
    <w:rsid w:val="00CC7F4E"/>
    <w:rsid w:val="00CD06A2"/>
    <w:rsid w:val="00CD1B1F"/>
    <w:rsid w:val="00CD4B84"/>
    <w:rsid w:val="00CD552F"/>
    <w:rsid w:val="00CD5BF3"/>
    <w:rsid w:val="00CD6BC2"/>
    <w:rsid w:val="00CD6DE8"/>
    <w:rsid w:val="00CE022E"/>
    <w:rsid w:val="00CE1F19"/>
    <w:rsid w:val="00CE3363"/>
    <w:rsid w:val="00CE456C"/>
    <w:rsid w:val="00CF42FA"/>
    <w:rsid w:val="00CF6364"/>
    <w:rsid w:val="00D02601"/>
    <w:rsid w:val="00D04D2E"/>
    <w:rsid w:val="00D060CA"/>
    <w:rsid w:val="00D07D42"/>
    <w:rsid w:val="00D10B72"/>
    <w:rsid w:val="00D10FE7"/>
    <w:rsid w:val="00D14A9A"/>
    <w:rsid w:val="00D17749"/>
    <w:rsid w:val="00D2146F"/>
    <w:rsid w:val="00D22F20"/>
    <w:rsid w:val="00D320F2"/>
    <w:rsid w:val="00D325F9"/>
    <w:rsid w:val="00D3395E"/>
    <w:rsid w:val="00D358E6"/>
    <w:rsid w:val="00D36393"/>
    <w:rsid w:val="00D36A69"/>
    <w:rsid w:val="00D41A23"/>
    <w:rsid w:val="00D52DEB"/>
    <w:rsid w:val="00D57D2D"/>
    <w:rsid w:val="00D61FF1"/>
    <w:rsid w:val="00D63DF1"/>
    <w:rsid w:val="00D6519C"/>
    <w:rsid w:val="00D70B2F"/>
    <w:rsid w:val="00D74990"/>
    <w:rsid w:val="00D75AC9"/>
    <w:rsid w:val="00D764E2"/>
    <w:rsid w:val="00D803B8"/>
    <w:rsid w:val="00D81AFD"/>
    <w:rsid w:val="00D837E7"/>
    <w:rsid w:val="00D83D2E"/>
    <w:rsid w:val="00D87F07"/>
    <w:rsid w:val="00D90177"/>
    <w:rsid w:val="00DA0D6E"/>
    <w:rsid w:val="00DA4002"/>
    <w:rsid w:val="00DA4989"/>
    <w:rsid w:val="00DA68FC"/>
    <w:rsid w:val="00DC18BB"/>
    <w:rsid w:val="00DC394E"/>
    <w:rsid w:val="00DC5AE1"/>
    <w:rsid w:val="00DC62CE"/>
    <w:rsid w:val="00DC7B57"/>
    <w:rsid w:val="00DE249F"/>
    <w:rsid w:val="00DE28AC"/>
    <w:rsid w:val="00DE2C71"/>
    <w:rsid w:val="00DE481F"/>
    <w:rsid w:val="00DE6534"/>
    <w:rsid w:val="00DF14FF"/>
    <w:rsid w:val="00DF18BD"/>
    <w:rsid w:val="00DF5A11"/>
    <w:rsid w:val="00DF5EF7"/>
    <w:rsid w:val="00DF6497"/>
    <w:rsid w:val="00DF721A"/>
    <w:rsid w:val="00E01159"/>
    <w:rsid w:val="00E04928"/>
    <w:rsid w:val="00E07474"/>
    <w:rsid w:val="00E10F7E"/>
    <w:rsid w:val="00E12D49"/>
    <w:rsid w:val="00E30EBD"/>
    <w:rsid w:val="00E3255A"/>
    <w:rsid w:val="00E34B59"/>
    <w:rsid w:val="00E40546"/>
    <w:rsid w:val="00E413BD"/>
    <w:rsid w:val="00E42B81"/>
    <w:rsid w:val="00E43260"/>
    <w:rsid w:val="00E4379C"/>
    <w:rsid w:val="00E45EE7"/>
    <w:rsid w:val="00E523A6"/>
    <w:rsid w:val="00E524EF"/>
    <w:rsid w:val="00E61611"/>
    <w:rsid w:val="00E65318"/>
    <w:rsid w:val="00E7016C"/>
    <w:rsid w:val="00E70CC1"/>
    <w:rsid w:val="00E72050"/>
    <w:rsid w:val="00E73D9E"/>
    <w:rsid w:val="00E8482E"/>
    <w:rsid w:val="00E86F1F"/>
    <w:rsid w:val="00E907E6"/>
    <w:rsid w:val="00E965EB"/>
    <w:rsid w:val="00EA174F"/>
    <w:rsid w:val="00EA1ADF"/>
    <w:rsid w:val="00EA2517"/>
    <w:rsid w:val="00EA57B2"/>
    <w:rsid w:val="00EA6AEA"/>
    <w:rsid w:val="00EB30CE"/>
    <w:rsid w:val="00EC12C0"/>
    <w:rsid w:val="00EC13A3"/>
    <w:rsid w:val="00EC204F"/>
    <w:rsid w:val="00EC2C5F"/>
    <w:rsid w:val="00EC6160"/>
    <w:rsid w:val="00EC6A54"/>
    <w:rsid w:val="00ED222B"/>
    <w:rsid w:val="00ED2BB5"/>
    <w:rsid w:val="00ED364C"/>
    <w:rsid w:val="00ED464E"/>
    <w:rsid w:val="00ED5593"/>
    <w:rsid w:val="00ED5C73"/>
    <w:rsid w:val="00ED7C68"/>
    <w:rsid w:val="00EE0E8F"/>
    <w:rsid w:val="00EE1100"/>
    <w:rsid w:val="00EE2332"/>
    <w:rsid w:val="00EE4641"/>
    <w:rsid w:val="00EE5024"/>
    <w:rsid w:val="00EE6957"/>
    <w:rsid w:val="00EE728C"/>
    <w:rsid w:val="00EF2BAF"/>
    <w:rsid w:val="00EF66A0"/>
    <w:rsid w:val="00EF7837"/>
    <w:rsid w:val="00F01B45"/>
    <w:rsid w:val="00F02B8A"/>
    <w:rsid w:val="00F0332B"/>
    <w:rsid w:val="00F077D3"/>
    <w:rsid w:val="00F12DE3"/>
    <w:rsid w:val="00F15A27"/>
    <w:rsid w:val="00F15C6F"/>
    <w:rsid w:val="00F15F27"/>
    <w:rsid w:val="00F16321"/>
    <w:rsid w:val="00F24E4A"/>
    <w:rsid w:val="00F2662F"/>
    <w:rsid w:val="00F32EDA"/>
    <w:rsid w:val="00F34E78"/>
    <w:rsid w:val="00F35A1A"/>
    <w:rsid w:val="00F376B7"/>
    <w:rsid w:val="00F37ADA"/>
    <w:rsid w:val="00F37E7E"/>
    <w:rsid w:val="00F42DF3"/>
    <w:rsid w:val="00F5142F"/>
    <w:rsid w:val="00F52C72"/>
    <w:rsid w:val="00F5595C"/>
    <w:rsid w:val="00F5717F"/>
    <w:rsid w:val="00F61636"/>
    <w:rsid w:val="00F729BD"/>
    <w:rsid w:val="00F72CF7"/>
    <w:rsid w:val="00F83FB0"/>
    <w:rsid w:val="00F85148"/>
    <w:rsid w:val="00F85193"/>
    <w:rsid w:val="00F8558F"/>
    <w:rsid w:val="00F874C6"/>
    <w:rsid w:val="00F91AFD"/>
    <w:rsid w:val="00F9386B"/>
    <w:rsid w:val="00F95D56"/>
    <w:rsid w:val="00F970D7"/>
    <w:rsid w:val="00FA3D37"/>
    <w:rsid w:val="00FA3EE9"/>
    <w:rsid w:val="00FA410C"/>
    <w:rsid w:val="00FA5118"/>
    <w:rsid w:val="00FB2919"/>
    <w:rsid w:val="00FB3FEB"/>
    <w:rsid w:val="00FB4038"/>
    <w:rsid w:val="00FB49B2"/>
    <w:rsid w:val="00FB5622"/>
    <w:rsid w:val="00FB67E4"/>
    <w:rsid w:val="00FC41CC"/>
    <w:rsid w:val="00FC4E06"/>
    <w:rsid w:val="00FC784A"/>
    <w:rsid w:val="00FD0E4A"/>
    <w:rsid w:val="00FD0EA7"/>
    <w:rsid w:val="00FD11AC"/>
    <w:rsid w:val="00FD2903"/>
    <w:rsid w:val="00FE0409"/>
    <w:rsid w:val="00FE240C"/>
    <w:rsid w:val="00FE699B"/>
    <w:rsid w:val="00FE76AB"/>
    <w:rsid w:val="00FF09C9"/>
    <w:rsid w:val="00FF6C9D"/>
    <w:rsid w:val="00FF76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7434"/>
  <w15:chartTrackingRefBased/>
  <w15:docId w15:val="{84308909-9E2E-F74B-B807-4AE87583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2D1"/>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5006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5006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50063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0063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0063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0063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063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063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063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texto de nota al p"/>
    <w:basedOn w:val="Normal"/>
    <w:link w:val="TextonotapieCar"/>
    <w:autoRedefine/>
    <w:uiPriority w:val="99"/>
    <w:unhideWhenUsed/>
    <w:qFormat/>
    <w:rsid w:val="003C27C2"/>
    <w:pPr>
      <w:jc w:val="both"/>
    </w:pPr>
    <w:rPr>
      <w:rFonts w:cs="Times New Roman (Cuerpo en alfa"/>
      <w:color w:val="000000" w:themeColor="text1"/>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3C27C2"/>
    <w:rPr>
      <w:rFonts w:ascii="Times New Roman" w:eastAsia="Times New Roman" w:hAnsi="Times New Roman" w:cs="Times New Roman (Cuerpo en alfa"/>
      <w:color w:val="000000" w:themeColor="text1"/>
      <w:sz w:val="20"/>
      <w:szCs w:val="20"/>
      <w:lang w:eastAsia="es-MX"/>
    </w:rPr>
  </w:style>
  <w:style w:type="character" w:customStyle="1" w:styleId="Ttulo1Car">
    <w:name w:val="Título 1 Car"/>
    <w:basedOn w:val="Fuentedeprrafopredeter"/>
    <w:link w:val="Ttulo1"/>
    <w:uiPriority w:val="9"/>
    <w:rsid w:val="0050063B"/>
    <w:rPr>
      <w:rFonts w:asciiTheme="majorHAnsi" w:eastAsiaTheme="majorEastAsia" w:hAnsiTheme="majorHAnsi" w:cstheme="majorBidi"/>
      <w:color w:val="2F5496" w:themeColor="accent1" w:themeShade="BF"/>
      <w:sz w:val="40"/>
      <w:szCs w:val="40"/>
      <w:lang w:val="es-ES"/>
    </w:rPr>
  </w:style>
  <w:style w:type="character" w:customStyle="1" w:styleId="Ttulo2Car">
    <w:name w:val="Título 2 Car"/>
    <w:basedOn w:val="Fuentedeprrafopredeter"/>
    <w:link w:val="Ttulo2"/>
    <w:uiPriority w:val="9"/>
    <w:rsid w:val="0050063B"/>
    <w:rPr>
      <w:rFonts w:asciiTheme="majorHAnsi" w:eastAsiaTheme="majorEastAsia" w:hAnsiTheme="majorHAnsi" w:cstheme="majorBidi"/>
      <w:color w:val="2F5496" w:themeColor="accent1" w:themeShade="BF"/>
      <w:sz w:val="32"/>
      <w:szCs w:val="32"/>
      <w:lang w:val="es-ES"/>
    </w:rPr>
  </w:style>
  <w:style w:type="character" w:customStyle="1" w:styleId="Ttulo3Car">
    <w:name w:val="Título 3 Car"/>
    <w:basedOn w:val="Fuentedeprrafopredeter"/>
    <w:link w:val="Ttulo3"/>
    <w:uiPriority w:val="9"/>
    <w:rsid w:val="0050063B"/>
    <w:rPr>
      <w:rFonts w:eastAsiaTheme="majorEastAsia" w:cstheme="majorBidi"/>
      <w:color w:val="2F5496" w:themeColor="accent1" w:themeShade="BF"/>
      <w:sz w:val="28"/>
      <w:szCs w:val="28"/>
      <w:lang w:val="es-ES"/>
    </w:rPr>
  </w:style>
  <w:style w:type="character" w:customStyle="1" w:styleId="Ttulo4Car">
    <w:name w:val="Título 4 Car"/>
    <w:basedOn w:val="Fuentedeprrafopredeter"/>
    <w:link w:val="Ttulo4"/>
    <w:uiPriority w:val="9"/>
    <w:semiHidden/>
    <w:rsid w:val="0050063B"/>
    <w:rPr>
      <w:rFonts w:eastAsiaTheme="majorEastAsia" w:cstheme="majorBidi"/>
      <w:i/>
      <w:iCs/>
      <w:color w:val="2F5496" w:themeColor="accent1" w:themeShade="BF"/>
      <w:lang w:val="es-ES"/>
    </w:rPr>
  </w:style>
  <w:style w:type="character" w:customStyle="1" w:styleId="Ttulo5Car">
    <w:name w:val="Título 5 Car"/>
    <w:basedOn w:val="Fuentedeprrafopredeter"/>
    <w:link w:val="Ttulo5"/>
    <w:uiPriority w:val="9"/>
    <w:semiHidden/>
    <w:rsid w:val="0050063B"/>
    <w:rPr>
      <w:rFonts w:eastAsiaTheme="majorEastAsia" w:cstheme="majorBidi"/>
      <w:color w:val="2F5496" w:themeColor="accent1" w:themeShade="BF"/>
      <w:lang w:val="es-ES"/>
    </w:rPr>
  </w:style>
  <w:style w:type="character" w:customStyle="1" w:styleId="Ttulo6Car">
    <w:name w:val="Título 6 Car"/>
    <w:basedOn w:val="Fuentedeprrafopredeter"/>
    <w:link w:val="Ttulo6"/>
    <w:uiPriority w:val="9"/>
    <w:semiHidden/>
    <w:rsid w:val="0050063B"/>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50063B"/>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50063B"/>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50063B"/>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50063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063B"/>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50063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063B"/>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50063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0063B"/>
    <w:rPr>
      <w:i/>
      <w:iCs/>
      <w:color w:val="404040" w:themeColor="text1" w:themeTint="BF"/>
      <w:lang w:val="es-ES"/>
    </w:rPr>
  </w:style>
  <w:style w:type="paragraph" w:styleId="Prrafodelista">
    <w:name w:val="List Paragraph"/>
    <w:aliases w:val="titulo 3,Párrafo de lista1,Bolita,Bullets,Ha,List Paragraph_0,List Paragraph_1,List Paragraph1,lp1,parrafo,Párrafo de lista Numerado,Segundo nivel de viñetas,Lista vistosa - Énfasis 11,List Paragraph 1,HOJA,BOLADEF,BOLA,párrafo numerado"/>
    <w:basedOn w:val="Normal"/>
    <w:link w:val="PrrafodelistaCar"/>
    <w:uiPriority w:val="34"/>
    <w:qFormat/>
    <w:rsid w:val="0050063B"/>
    <w:pPr>
      <w:ind w:left="720"/>
      <w:contextualSpacing/>
    </w:pPr>
  </w:style>
  <w:style w:type="character" w:styleId="nfasisintenso">
    <w:name w:val="Intense Emphasis"/>
    <w:basedOn w:val="Fuentedeprrafopredeter"/>
    <w:uiPriority w:val="21"/>
    <w:qFormat/>
    <w:rsid w:val="0050063B"/>
    <w:rPr>
      <w:i/>
      <w:iCs/>
      <w:color w:val="2F5496" w:themeColor="accent1" w:themeShade="BF"/>
    </w:rPr>
  </w:style>
  <w:style w:type="paragraph" w:styleId="Citadestacada">
    <w:name w:val="Intense Quote"/>
    <w:basedOn w:val="Normal"/>
    <w:next w:val="Normal"/>
    <w:link w:val="CitadestacadaCar"/>
    <w:uiPriority w:val="30"/>
    <w:qFormat/>
    <w:rsid w:val="00500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0063B"/>
    <w:rPr>
      <w:i/>
      <w:iCs/>
      <w:color w:val="2F5496" w:themeColor="accent1" w:themeShade="BF"/>
      <w:lang w:val="es-ES"/>
    </w:rPr>
  </w:style>
  <w:style w:type="character" w:styleId="Referenciaintensa">
    <w:name w:val="Intense Reference"/>
    <w:basedOn w:val="Fuentedeprrafopredeter"/>
    <w:uiPriority w:val="32"/>
    <w:qFormat/>
    <w:rsid w:val="0050063B"/>
    <w:rPr>
      <w:b/>
      <w:bCs/>
      <w:smallCaps/>
      <w:color w:val="2F5496" w:themeColor="accent1" w:themeShade="BF"/>
      <w:spacing w:val="5"/>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link w:val="4GChar"/>
    <w:uiPriority w:val="99"/>
    <w:unhideWhenUsed/>
    <w:qFormat/>
    <w:rsid w:val="00E73D9E"/>
    <w:rPr>
      <w:rFonts w:cs="Times New Roman (Cuerpo en alfa"/>
      <w:vertAlign w:val="superscript"/>
    </w:rPr>
  </w:style>
  <w:style w:type="paragraph" w:styleId="NormalWeb">
    <w:name w:val="Normal (Web)"/>
    <w:basedOn w:val="Normal"/>
    <w:uiPriority w:val="99"/>
    <w:unhideWhenUsed/>
    <w:rsid w:val="0050063B"/>
    <w:pPr>
      <w:spacing w:before="100" w:beforeAutospacing="1" w:after="100" w:afterAutospacing="1"/>
    </w:p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E73D9E"/>
    <w:pPr>
      <w:jc w:val="both"/>
    </w:pPr>
    <w:rPr>
      <w:rFonts w:asciiTheme="minorHAnsi" w:eastAsiaTheme="minorHAnsi" w:hAnsiTheme="minorHAnsi" w:cs="Times New Roman (Cuerpo en alfa"/>
      <w:vertAlign w:val="superscript"/>
      <w:lang w:eastAsia="en-US"/>
    </w:rPr>
  </w:style>
  <w:style w:type="character" w:customStyle="1" w:styleId="PrrafodelistaCar">
    <w:name w:val="Párrafo de lista Car"/>
    <w:aliases w:val="titulo 3 Car,Párrafo de lista1 Car,Bolita Car,Bullets Car,Ha Car,List Paragraph_0 Car,List Paragraph_1 Car,List Paragraph1 Car,lp1 Car,parrafo Car,Párrafo de lista Numerado Car,Segundo nivel de viñetas Car,List Paragraph 1 Car"/>
    <w:link w:val="Prrafodelista"/>
    <w:uiPriority w:val="34"/>
    <w:qFormat/>
    <w:locked/>
    <w:rsid w:val="0050063B"/>
    <w:rPr>
      <w:lang w:val="es-ES"/>
    </w:rPr>
  </w:style>
  <w:style w:type="paragraph" w:styleId="Sangradetextonormal">
    <w:name w:val="Body Text Indent"/>
    <w:basedOn w:val="Normal"/>
    <w:link w:val="SangradetextonormalCar"/>
    <w:uiPriority w:val="99"/>
    <w:semiHidden/>
    <w:unhideWhenUsed/>
    <w:rsid w:val="0050063B"/>
    <w:pPr>
      <w:spacing w:after="120"/>
      <w:ind w:left="283"/>
      <w:jc w:val="both"/>
    </w:pPr>
    <w:rPr>
      <w:rFonts w:eastAsia="SimSun"/>
      <w:sz w:val="28"/>
      <w:szCs w:val="28"/>
      <w:lang w:val="es-ES" w:eastAsia="es-ES"/>
    </w:rPr>
  </w:style>
  <w:style w:type="character" w:customStyle="1" w:styleId="SangradetextonormalCar">
    <w:name w:val="Sangría de texto normal Car"/>
    <w:basedOn w:val="Fuentedeprrafopredeter"/>
    <w:link w:val="Sangradetextonormal"/>
    <w:uiPriority w:val="99"/>
    <w:semiHidden/>
    <w:rsid w:val="0050063B"/>
    <w:rPr>
      <w:rFonts w:ascii="Times New Roman" w:eastAsia="SimSun" w:hAnsi="Times New Roman" w:cs="Times New Roman"/>
      <w:sz w:val="28"/>
      <w:szCs w:val="28"/>
      <w:lang w:val="es-ES" w:eastAsia="es-ES"/>
    </w:rPr>
  </w:style>
  <w:style w:type="paragraph" w:styleId="Encabezado">
    <w:name w:val="header"/>
    <w:basedOn w:val="Normal"/>
    <w:link w:val="EncabezadoCar"/>
    <w:uiPriority w:val="99"/>
    <w:unhideWhenUsed/>
    <w:rsid w:val="00525032"/>
    <w:pPr>
      <w:tabs>
        <w:tab w:val="center" w:pos="4252"/>
        <w:tab w:val="right" w:pos="8504"/>
      </w:tabs>
    </w:pPr>
  </w:style>
  <w:style w:type="character" w:customStyle="1" w:styleId="EncabezadoCar">
    <w:name w:val="Encabezado Car"/>
    <w:basedOn w:val="Fuentedeprrafopredeter"/>
    <w:link w:val="Encabezado"/>
    <w:uiPriority w:val="99"/>
    <w:rsid w:val="00525032"/>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E73D9E"/>
    <w:pPr>
      <w:tabs>
        <w:tab w:val="center" w:pos="4252"/>
        <w:tab w:val="right" w:pos="8504"/>
      </w:tabs>
    </w:pPr>
  </w:style>
  <w:style w:type="character" w:customStyle="1" w:styleId="PiedepginaCar">
    <w:name w:val="Pie de página Car"/>
    <w:basedOn w:val="Fuentedeprrafopredeter"/>
    <w:link w:val="Piedepgina"/>
    <w:uiPriority w:val="99"/>
    <w:rsid w:val="00E73D9E"/>
    <w:rPr>
      <w:rFonts w:ascii="Times New Roman" w:eastAsia="Times New Roman" w:hAnsi="Times New Roman" w:cs="Times New Roman"/>
      <w:lang w:eastAsia="es-MX"/>
    </w:rPr>
  </w:style>
  <w:style w:type="paragraph" w:customStyle="1" w:styleId="Piedepagina">
    <w:name w:val="Pie de pagina"/>
    <w:aliases w:val="Nota de pie,Ref. de nota al pie2"/>
    <w:basedOn w:val="Normal"/>
    <w:uiPriority w:val="99"/>
    <w:qFormat/>
    <w:rsid w:val="00423D09"/>
    <w:pPr>
      <w:spacing w:after="160" w:line="240" w:lineRule="exact"/>
    </w:pPr>
    <w:rPr>
      <w:rFonts w:asciiTheme="minorHAnsi" w:eastAsiaTheme="minorHAnsi" w:hAnsiTheme="minorHAnsi" w:cstheme="minorBidi"/>
      <w:sz w:val="22"/>
      <w:szCs w:val="22"/>
      <w:vertAlign w:val="superscript"/>
      <w:lang w:eastAsia="en-US"/>
    </w:rPr>
  </w:style>
  <w:style w:type="character" w:styleId="Fuerte">
    <w:name w:val="Strong"/>
    <w:basedOn w:val="Fuentedeprrafopredeter"/>
    <w:uiPriority w:val="22"/>
    <w:qFormat/>
    <w:rsid w:val="00F874C6"/>
    <w:rPr>
      <w:b/>
      <w:bCs/>
    </w:rPr>
  </w:style>
  <w:style w:type="paragraph" w:customStyle="1" w:styleId="Default">
    <w:name w:val="Default"/>
    <w:rsid w:val="002947C9"/>
    <w:pPr>
      <w:autoSpaceDE w:val="0"/>
      <w:autoSpaceDN w:val="0"/>
      <w:adjustRightInd w:val="0"/>
    </w:pPr>
    <w:rPr>
      <w:rFonts w:ascii="Times New Roman" w:hAnsi="Times New Roman" w:cs="Times New Roman"/>
      <w:color w:val="000000"/>
      <w:lang w:val="es-MX"/>
    </w:rPr>
  </w:style>
  <w:style w:type="character" w:styleId="nfasis">
    <w:name w:val="Emphasis"/>
    <w:basedOn w:val="Fuentedeprrafopredeter"/>
    <w:uiPriority w:val="20"/>
    <w:qFormat/>
    <w:rsid w:val="008347E2"/>
    <w:rPr>
      <w:i/>
      <w:iCs/>
    </w:rPr>
  </w:style>
  <w:style w:type="character" w:styleId="Hipervnculo">
    <w:name w:val="Hyperlink"/>
    <w:basedOn w:val="Fuentedeprrafopredeter"/>
    <w:uiPriority w:val="99"/>
    <w:unhideWhenUsed/>
    <w:rsid w:val="008347E2"/>
    <w:rPr>
      <w:color w:val="0000FF"/>
      <w:u w:val="single"/>
    </w:rPr>
  </w:style>
  <w:style w:type="character" w:customStyle="1" w:styleId="Mencinsinresolver1">
    <w:name w:val="Mención sin resolver1"/>
    <w:basedOn w:val="Fuentedeprrafopredeter"/>
    <w:uiPriority w:val="99"/>
    <w:semiHidden/>
    <w:unhideWhenUsed/>
    <w:rsid w:val="00782312"/>
    <w:rPr>
      <w:color w:val="605E5C"/>
      <w:shd w:val="clear" w:color="auto" w:fill="E1DFDD"/>
    </w:rPr>
  </w:style>
  <w:style w:type="character" w:customStyle="1" w:styleId="normaltextrun">
    <w:name w:val="normaltextrun"/>
    <w:basedOn w:val="Fuentedeprrafopredeter"/>
    <w:rsid w:val="00EF7837"/>
  </w:style>
  <w:style w:type="character" w:styleId="Hipervnculovisitado">
    <w:name w:val="FollowedHyperlink"/>
    <w:basedOn w:val="Fuentedeprrafopredeter"/>
    <w:uiPriority w:val="99"/>
    <w:semiHidden/>
    <w:unhideWhenUsed/>
    <w:rsid w:val="00B60D70"/>
    <w:rPr>
      <w:color w:val="954F72" w:themeColor="followedHyperlink"/>
      <w:u w:val="single"/>
    </w:rPr>
  </w:style>
  <w:style w:type="paragraph" w:styleId="Textoindependiente">
    <w:name w:val="Body Text"/>
    <w:basedOn w:val="Normal"/>
    <w:link w:val="TextoindependienteCar"/>
    <w:uiPriority w:val="99"/>
    <w:unhideWhenUsed/>
    <w:rsid w:val="00F85193"/>
    <w:pPr>
      <w:spacing w:after="120"/>
    </w:pPr>
  </w:style>
  <w:style w:type="character" w:customStyle="1" w:styleId="TextoindependienteCar">
    <w:name w:val="Texto independiente Car"/>
    <w:basedOn w:val="Fuentedeprrafopredeter"/>
    <w:link w:val="Textoindependiente"/>
    <w:uiPriority w:val="99"/>
    <w:rsid w:val="00F85193"/>
    <w:rPr>
      <w:rFonts w:ascii="Times New Roman" w:eastAsia="Times New Roman" w:hAnsi="Times New Roman" w:cs="Times New Roman"/>
      <w:lang w:eastAsia="es-MX"/>
    </w:rPr>
  </w:style>
  <w:style w:type="paragraph" w:customStyle="1" w:styleId="paragraph">
    <w:name w:val="paragraph"/>
    <w:basedOn w:val="Normal"/>
    <w:rsid w:val="00A23883"/>
    <w:pPr>
      <w:spacing w:before="100" w:beforeAutospacing="1" w:after="100" w:afterAutospacing="1"/>
    </w:pPr>
    <w:rPr>
      <w:lang w:val="en-US" w:eastAsia="en-US"/>
    </w:rPr>
  </w:style>
  <w:style w:type="paragraph" w:styleId="Sinespaciado">
    <w:name w:val="No Spacing"/>
    <w:link w:val="SinespaciadoCar"/>
    <w:uiPriority w:val="1"/>
    <w:qFormat/>
    <w:rsid w:val="00B7669B"/>
  </w:style>
  <w:style w:type="character" w:customStyle="1" w:styleId="SinespaciadoCar">
    <w:name w:val="Sin espaciado Car"/>
    <w:link w:val="Sinespaciado"/>
    <w:uiPriority w:val="1"/>
    <w:rsid w:val="00B7669B"/>
  </w:style>
  <w:style w:type="paragraph" w:styleId="Revisin">
    <w:name w:val="Revision"/>
    <w:hidden/>
    <w:uiPriority w:val="99"/>
    <w:semiHidden/>
    <w:rsid w:val="0057758B"/>
    <w:rPr>
      <w:rFonts w:ascii="Times New Roman" w:eastAsia="Times New Roman" w:hAnsi="Times New Roman" w:cs="Times New Roman"/>
      <w:lang w:eastAsia="es-MX"/>
    </w:rPr>
  </w:style>
  <w:style w:type="character" w:styleId="Refdecomentario">
    <w:name w:val="annotation reference"/>
    <w:basedOn w:val="Fuentedeprrafopredeter"/>
    <w:uiPriority w:val="99"/>
    <w:semiHidden/>
    <w:unhideWhenUsed/>
    <w:rsid w:val="00484DCF"/>
    <w:rPr>
      <w:sz w:val="16"/>
      <w:szCs w:val="16"/>
    </w:rPr>
  </w:style>
  <w:style w:type="paragraph" w:styleId="Textocomentario">
    <w:name w:val="annotation text"/>
    <w:basedOn w:val="Normal"/>
    <w:link w:val="TextocomentarioCar"/>
    <w:uiPriority w:val="99"/>
    <w:semiHidden/>
    <w:unhideWhenUsed/>
    <w:rsid w:val="00484DCF"/>
    <w:rPr>
      <w:sz w:val="20"/>
      <w:szCs w:val="20"/>
    </w:rPr>
  </w:style>
  <w:style w:type="character" w:customStyle="1" w:styleId="TextocomentarioCar">
    <w:name w:val="Texto comentario Car"/>
    <w:basedOn w:val="Fuentedeprrafopredeter"/>
    <w:link w:val="Textocomentario"/>
    <w:uiPriority w:val="99"/>
    <w:semiHidden/>
    <w:rsid w:val="00484DCF"/>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484DCF"/>
    <w:rPr>
      <w:b/>
      <w:bCs/>
    </w:rPr>
  </w:style>
  <w:style w:type="character" w:customStyle="1" w:styleId="AsuntodelcomentarioCar">
    <w:name w:val="Asunto del comentario Car"/>
    <w:basedOn w:val="TextocomentarioCar"/>
    <w:link w:val="Asuntodelcomentario"/>
    <w:uiPriority w:val="99"/>
    <w:semiHidden/>
    <w:rsid w:val="00484DCF"/>
    <w:rPr>
      <w:rFonts w:ascii="Times New Roman" w:eastAsia="Times New Roman" w:hAnsi="Times New Roman" w:cs="Times New Roman"/>
      <w:b/>
      <w:bCs/>
      <w:sz w:val="20"/>
      <w:szCs w:val="20"/>
      <w:lang w:eastAsia="es-MX"/>
    </w:rPr>
  </w:style>
  <w:style w:type="table" w:customStyle="1" w:styleId="Tablaconcuadrcula1">
    <w:name w:val="Tabla con cuadrícula1"/>
    <w:basedOn w:val="Tablanormal"/>
    <w:next w:val="Tablaconcuadrcula"/>
    <w:uiPriority w:val="39"/>
    <w:rsid w:val="00412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12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Fuentedeprrafopredeter"/>
    <w:rsid w:val="00020B47"/>
  </w:style>
  <w:style w:type="paragraph" w:styleId="TtuloTDC">
    <w:name w:val="TOC Heading"/>
    <w:basedOn w:val="Ttulo1"/>
    <w:next w:val="Normal"/>
    <w:uiPriority w:val="39"/>
    <w:unhideWhenUsed/>
    <w:qFormat/>
    <w:rsid w:val="002169CF"/>
    <w:pPr>
      <w:spacing w:before="480" w:after="0" w:line="276" w:lineRule="auto"/>
      <w:outlineLvl w:val="9"/>
    </w:pPr>
    <w:rPr>
      <w:b/>
      <w:bCs/>
      <w:sz w:val="28"/>
      <w:szCs w:val="28"/>
    </w:rPr>
  </w:style>
  <w:style w:type="paragraph" w:styleId="TDC1">
    <w:name w:val="toc 1"/>
    <w:basedOn w:val="Normal"/>
    <w:next w:val="Normal"/>
    <w:autoRedefine/>
    <w:uiPriority w:val="39"/>
    <w:unhideWhenUsed/>
    <w:rsid w:val="002169CF"/>
    <w:pPr>
      <w:spacing w:before="120"/>
    </w:pPr>
    <w:rPr>
      <w:rFonts w:asciiTheme="minorHAnsi" w:hAnsiTheme="minorHAnsi" w:cstheme="minorHAnsi"/>
      <w:b/>
      <w:bCs/>
      <w:i/>
      <w:iCs/>
    </w:rPr>
  </w:style>
  <w:style w:type="paragraph" w:styleId="TDC2">
    <w:name w:val="toc 2"/>
    <w:basedOn w:val="Normal"/>
    <w:next w:val="Normal"/>
    <w:autoRedefine/>
    <w:uiPriority w:val="39"/>
    <w:unhideWhenUsed/>
    <w:rsid w:val="002169CF"/>
    <w:pPr>
      <w:spacing w:before="120"/>
      <w:ind w:left="240"/>
    </w:pPr>
    <w:rPr>
      <w:rFonts w:asciiTheme="minorHAnsi" w:hAnsiTheme="minorHAnsi" w:cstheme="minorHAnsi"/>
      <w:b/>
      <w:bCs/>
      <w:sz w:val="22"/>
      <w:szCs w:val="22"/>
    </w:rPr>
  </w:style>
  <w:style w:type="paragraph" w:styleId="TDC3">
    <w:name w:val="toc 3"/>
    <w:basedOn w:val="Normal"/>
    <w:next w:val="Normal"/>
    <w:autoRedefine/>
    <w:uiPriority w:val="39"/>
    <w:semiHidden/>
    <w:unhideWhenUsed/>
    <w:rsid w:val="002169CF"/>
    <w:pPr>
      <w:ind w:left="480"/>
    </w:pPr>
    <w:rPr>
      <w:rFonts w:asciiTheme="minorHAnsi" w:hAnsiTheme="minorHAnsi" w:cstheme="minorHAnsi"/>
      <w:sz w:val="20"/>
      <w:szCs w:val="20"/>
    </w:rPr>
  </w:style>
  <w:style w:type="paragraph" w:styleId="TDC4">
    <w:name w:val="toc 4"/>
    <w:basedOn w:val="Normal"/>
    <w:next w:val="Normal"/>
    <w:autoRedefine/>
    <w:uiPriority w:val="39"/>
    <w:semiHidden/>
    <w:unhideWhenUsed/>
    <w:rsid w:val="002169CF"/>
    <w:pPr>
      <w:ind w:left="720"/>
    </w:pPr>
    <w:rPr>
      <w:rFonts w:asciiTheme="minorHAnsi" w:hAnsiTheme="minorHAnsi" w:cstheme="minorHAnsi"/>
      <w:sz w:val="20"/>
      <w:szCs w:val="20"/>
    </w:rPr>
  </w:style>
  <w:style w:type="paragraph" w:styleId="TDC5">
    <w:name w:val="toc 5"/>
    <w:basedOn w:val="Normal"/>
    <w:next w:val="Normal"/>
    <w:autoRedefine/>
    <w:uiPriority w:val="39"/>
    <w:semiHidden/>
    <w:unhideWhenUsed/>
    <w:rsid w:val="002169CF"/>
    <w:pPr>
      <w:ind w:left="960"/>
    </w:pPr>
    <w:rPr>
      <w:rFonts w:asciiTheme="minorHAnsi" w:hAnsiTheme="minorHAnsi" w:cstheme="minorHAnsi"/>
      <w:sz w:val="20"/>
      <w:szCs w:val="20"/>
    </w:rPr>
  </w:style>
  <w:style w:type="paragraph" w:styleId="TDC6">
    <w:name w:val="toc 6"/>
    <w:basedOn w:val="Normal"/>
    <w:next w:val="Normal"/>
    <w:autoRedefine/>
    <w:uiPriority w:val="39"/>
    <w:semiHidden/>
    <w:unhideWhenUsed/>
    <w:rsid w:val="002169CF"/>
    <w:pPr>
      <w:ind w:left="1200"/>
    </w:pPr>
    <w:rPr>
      <w:rFonts w:asciiTheme="minorHAnsi" w:hAnsiTheme="minorHAnsi" w:cstheme="minorHAnsi"/>
      <w:sz w:val="20"/>
      <w:szCs w:val="20"/>
    </w:rPr>
  </w:style>
  <w:style w:type="paragraph" w:styleId="TDC7">
    <w:name w:val="toc 7"/>
    <w:basedOn w:val="Normal"/>
    <w:next w:val="Normal"/>
    <w:autoRedefine/>
    <w:uiPriority w:val="39"/>
    <w:semiHidden/>
    <w:unhideWhenUsed/>
    <w:rsid w:val="002169CF"/>
    <w:pPr>
      <w:ind w:left="1440"/>
    </w:pPr>
    <w:rPr>
      <w:rFonts w:asciiTheme="minorHAnsi" w:hAnsiTheme="minorHAnsi" w:cstheme="minorHAnsi"/>
      <w:sz w:val="20"/>
      <w:szCs w:val="20"/>
    </w:rPr>
  </w:style>
  <w:style w:type="paragraph" w:styleId="TDC8">
    <w:name w:val="toc 8"/>
    <w:basedOn w:val="Normal"/>
    <w:next w:val="Normal"/>
    <w:autoRedefine/>
    <w:uiPriority w:val="39"/>
    <w:semiHidden/>
    <w:unhideWhenUsed/>
    <w:rsid w:val="002169CF"/>
    <w:pPr>
      <w:ind w:left="1680"/>
    </w:pPr>
    <w:rPr>
      <w:rFonts w:asciiTheme="minorHAnsi" w:hAnsiTheme="minorHAnsi" w:cstheme="minorHAnsi"/>
      <w:sz w:val="20"/>
      <w:szCs w:val="20"/>
    </w:rPr>
  </w:style>
  <w:style w:type="paragraph" w:styleId="TDC9">
    <w:name w:val="toc 9"/>
    <w:basedOn w:val="Normal"/>
    <w:next w:val="Normal"/>
    <w:autoRedefine/>
    <w:uiPriority w:val="39"/>
    <w:semiHidden/>
    <w:unhideWhenUsed/>
    <w:rsid w:val="002169CF"/>
    <w:pPr>
      <w:ind w:left="1920"/>
    </w:pPr>
    <w:rPr>
      <w:rFonts w:asciiTheme="minorHAnsi" w:hAnsiTheme="minorHAnsi" w:cstheme="minorHAnsi"/>
      <w:sz w:val="20"/>
      <w:szCs w:val="20"/>
    </w:rPr>
  </w:style>
  <w:style w:type="character" w:styleId="Nmerodepgina">
    <w:name w:val="page number"/>
    <w:basedOn w:val="Fuentedeprrafopredeter"/>
    <w:uiPriority w:val="99"/>
    <w:semiHidden/>
    <w:unhideWhenUsed/>
    <w:rsid w:val="005F666D"/>
  </w:style>
  <w:style w:type="character" w:customStyle="1" w:styleId="eop">
    <w:name w:val="eop"/>
    <w:basedOn w:val="Fuentedeprrafopredeter"/>
    <w:rsid w:val="00451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682">
      <w:bodyDiv w:val="1"/>
      <w:marLeft w:val="0"/>
      <w:marRight w:val="0"/>
      <w:marTop w:val="0"/>
      <w:marBottom w:val="0"/>
      <w:divBdr>
        <w:top w:val="none" w:sz="0" w:space="0" w:color="auto"/>
        <w:left w:val="none" w:sz="0" w:space="0" w:color="auto"/>
        <w:bottom w:val="none" w:sz="0" w:space="0" w:color="auto"/>
        <w:right w:val="none" w:sz="0" w:space="0" w:color="auto"/>
      </w:divBdr>
    </w:div>
    <w:div w:id="63185414">
      <w:bodyDiv w:val="1"/>
      <w:marLeft w:val="0"/>
      <w:marRight w:val="0"/>
      <w:marTop w:val="0"/>
      <w:marBottom w:val="0"/>
      <w:divBdr>
        <w:top w:val="none" w:sz="0" w:space="0" w:color="auto"/>
        <w:left w:val="none" w:sz="0" w:space="0" w:color="auto"/>
        <w:bottom w:val="none" w:sz="0" w:space="0" w:color="auto"/>
        <w:right w:val="none" w:sz="0" w:space="0" w:color="auto"/>
      </w:divBdr>
    </w:div>
    <w:div w:id="97530125">
      <w:bodyDiv w:val="1"/>
      <w:marLeft w:val="0"/>
      <w:marRight w:val="0"/>
      <w:marTop w:val="0"/>
      <w:marBottom w:val="0"/>
      <w:divBdr>
        <w:top w:val="none" w:sz="0" w:space="0" w:color="auto"/>
        <w:left w:val="none" w:sz="0" w:space="0" w:color="auto"/>
        <w:bottom w:val="none" w:sz="0" w:space="0" w:color="auto"/>
        <w:right w:val="none" w:sz="0" w:space="0" w:color="auto"/>
      </w:divBdr>
    </w:div>
    <w:div w:id="128866635">
      <w:bodyDiv w:val="1"/>
      <w:marLeft w:val="0"/>
      <w:marRight w:val="0"/>
      <w:marTop w:val="0"/>
      <w:marBottom w:val="0"/>
      <w:divBdr>
        <w:top w:val="none" w:sz="0" w:space="0" w:color="auto"/>
        <w:left w:val="none" w:sz="0" w:space="0" w:color="auto"/>
        <w:bottom w:val="none" w:sz="0" w:space="0" w:color="auto"/>
        <w:right w:val="none" w:sz="0" w:space="0" w:color="auto"/>
      </w:divBdr>
    </w:div>
    <w:div w:id="135418613">
      <w:bodyDiv w:val="1"/>
      <w:marLeft w:val="0"/>
      <w:marRight w:val="0"/>
      <w:marTop w:val="0"/>
      <w:marBottom w:val="0"/>
      <w:divBdr>
        <w:top w:val="none" w:sz="0" w:space="0" w:color="auto"/>
        <w:left w:val="none" w:sz="0" w:space="0" w:color="auto"/>
        <w:bottom w:val="none" w:sz="0" w:space="0" w:color="auto"/>
        <w:right w:val="none" w:sz="0" w:space="0" w:color="auto"/>
      </w:divBdr>
    </w:div>
    <w:div w:id="136068194">
      <w:bodyDiv w:val="1"/>
      <w:marLeft w:val="0"/>
      <w:marRight w:val="0"/>
      <w:marTop w:val="0"/>
      <w:marBottom w:val="0"/>
      <w:divBdr>
        <w:top w:val="none" w:sz="0" w:space="0" w:color="auto"/>
        <w:left w:val="none" w:sz="0" w:space="0" w:color="auto"/>
        <w:bottom w:val="none" w:sz="0" w:space="0" w:color="auto"/>
        <w:right w:val="none" w:sz="0" w:space="0" w:color="auto"/>
      </w:divBdr>
    </w:div>
    <w:div w:id="141971223">
      <w:bodyDiv w:val="1"/>
      <w:marLeft w:val="0"/>
      <w:marRight w:val="0"/>
      <w:marTop w:val="0"/>
      <w:marBottom w:val="0"/>
      <w:divBdr>
        <w:top w:val="none" w:sz="0" w:space="0" w:color="auto"/>
        <w:left w:val="none" w:sz="0" w:space="0" w:color="auto"/>
        <w:bottom w:val="none" w:sz="0" w:space="0" w:color="auto"/>
        <w:right w:val="none" w:sz="0" w:space="0" w:color="auto"/>
      </w:divBdr>
    </w:div>
    <w:div w:id="151871740">
      <w:bodyDiv w:val="1"/>
      <w:marLeft w:val="0"/>
      <w:marRight w:val="0"/>
      <w:marTop w:val="0"/>
      <w:marBottom w:val="0"/>
      <w:divBdr>
        <w:top w:val="none" w:sz="0" w:space="0" w:color="auto"/>
        <w:left w:val="none" w:sz="0" w:space="0" w:color="auto"/>
        <w:bottom w:val="none" w:sz="0" w:space="0" w:color="auto"/>
        <w:right w:val="none" w:sz="0" w:space="0" w:color="auto"/>
      </w:divBdr>
    </w:div>
    <w:div w:id="159388639">
      <w:bodyDiv w:val="1"/>
      <w:marLeft w:val="0"/>
      <w:marRight w:val="0"/>
      <w:marTop w:val="0"/>
      <w:marBottom w:val="0"/>
      <w:divBdr>
        <w:top w:val="none" w:sz="0" w:space="0" w:color="auto"/>
        <w:left w:val="none" w:sz="0" w:space="0" w:color="auto"/>
        <w:bottom w:val="none" w:sz="0" w:space="0" w:color="auto"/>
        <w:right w:val="none" w:sz="0" w:space="0" w:color="auto"/>
      </w:divBdr>
    </w:div>
    <w:div w:id="485975658">
      <w:bodyDiv w:val="1"/>
      <w:marLeft w:val="0"/>
      <w:marRight w:val="0"/>
      <w:marTop w:val="0"/>
      <w:marBottom w:val="0"/>
      <w:divBdr>
        <w:top w:val="none" w:sz="0" w:space="0" w:color="auto"/>
        <w:left w:val="none" w:sz="0" w:space="0" w:color="auto"/>
        <w:bottom w:val="none" w:sz="0" w:space="0" w:color="auto"/>
        <w:right w:val="none" w:sz="0" w:space="0" w:color="auto"/>
      </w:divBdr>
    </w:div>
    <w:div w:id="492572460">
      <w:bodyDiv w:val="1"/>
      <w:marLeft w:val="0"/>
      <w:marRight w:val="0"/>
      <w:marTop w:val="0"/>
      <w:marBottom w:val="0"/>
      <w:divBdr>
        <w:top w:val="none" w:sz="0" w:space="0" w:color="auto"/>
        <w:left w:val="none" w:sz="0" w:space="0" w:color="auto"/>
        <w:bottom w:val="none" w:sz="0" w:space="0" w:color="auto"/>
        <w:right w:val="none" w:sz="0" w:space="0" w:color="auto"/>
      </w:divBdr>
    </w:div>
    <w:div w:id="518544250">
      <w:bodyDiv w:val="1"/>
      <w:marLeft w:val="0"/>
      <w:marRight w:val="0"/>
      <w:marTop w:val="0"/>
      <w:marBottom w:val="0"/>
      <w:divBdr>
        <w:top w:val="none" w:sz="0" w:space="0" w:color="auto"/>
        <w:left w:val="none" w:sz="0" w:space="0" w:color="auto"/>
        <w:bottom w:val="none" w:sz="0" w:space="0" w:color="auto"/>
        <w:right w:val="none" w:sz="0" w:space="0" w:color="auto"/>
      </w:divBdr>
    </w:div>
    <w:div w:id="603733966">
      <w:bodyDiv w:val="1"/>
      <w:marLeft w:val="0"/>
      <w:marRight w:val="0"/>
      <w:marTop w:val="0"/>
      <w:marBottom w:val="0"/>
      <w:divBdr>
        <w:top w:val="none" w:sz="0" w:space="0" w:color="auto"/>
        <w:left w:val="none" w:sz="0" w:space="0" w:color="auto"/>
        <w:bottom w:val="none" w:sz="0" w:space="0" w:color="auto"/>
        <w:right w:val="none" w:sz="0" w:space="0" w:color="auto"/>
      </w:divBdr>
    </w:div>
    <w:div w:id="605844199">
      <w:bodyDiv w:val="1"/>
      <w:marLeft w:val="0"/>
      <w:marRight w:val="0"/>
      <w:marTop w:val="0"/>
      <w:marBottom w:val="0"/>
      <w:divBdr>
        <w:top w:val="none" w:sz="0" w:space="0" w:color="auto"/>
        <w:left w:val="none" w:sz="0" w:space="0" w:color="auto"/>
        <w:bottom w:val="none" w:sz="0" w:space="0" w:color="auto"/>
        <w:right w:val="none" w:sz="0" w:space="0" w:color="auto"/>
      </w:divBdr>
    </w:div>
    <w:div w:id="689180039">
      <w:bodyDiv w:val="1"/>
      <w:marLeft w:val="0"/>
      <w:marRight w:val="0"/>
      <w:marTop w:val="0"/>
      <w:marBottom w:val="0"/>
      <w:divBdr>
        <w:top w:val="none" w:sz="0" w:space="0" w:color="auto"/>
        <w:left w:val="none" w:sz="0" w:space="0" w:color="auto"/>
        <w:bottom w:val="none" w:sz="0" w:space="0" w:color="auto"/>
        <w:right w:val="none" w:sz="0" w:space="0" w:color="auto"/>
      </w:divBdr>
    </w:div>
    <w:div w:id="701905015">
      <w:bodyDiv w:val="1"/>
      <w:marLeft w:val="0"/>
      <w:marRight w:val="0"/>
      <w:marTop w:val="0"/>
      <w:marBottom w:val="0"/>
      <w:divBdr>
        <w:top w:val="none" w:sz="0" w:space="0" w:color="auto"/>
        <w:left w:val="none" w:sz="0" w:space="0" w:color="auto"/>
        <w:bottom w:val="none" w:sz="0" w:space="0" w:color="auto"/>
        <w:right w:val="none" w:sz="0" w:space="0" w:color="auto"/>
      </w:divBdr>
      <w:divsChild>
        <w:div w:id="194079803">
          <w:marLeft w:val="0"/>
          <w:marRight w:val="0"/>
          <w:marTop w:val="0"/>
          <w:marBottom w:val="0"/>
          <w:divBdr>
            <w:top w:val="none" w:sz="0" w:space="0" w:color="auto"/>
            <w:left w:val="none" w:sz="0" w:space="0" w:color="auto"/>
            <w:bottom w:val="none" w:sz="0" w:space="0" w:color="auto"/>
            <w:right w:val="none" w:sz="0" w:space="0" w:color="auto"/>
          </w:divBdr>
          <w:divsChild>
            <w:div w:id="7287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3663">
      <w:bodyDiv w:val="1"/>
      <w:marLeft w:val="0"/>
      <w:marRight w:val="0"/>
      <w:marTop w:val="0"/>
      <w:marBottom w:val="0"/>
      <w:divBdr>
        <w:top w:val="none" w:sz="0" w:space="0" w:color="auto"/>
        <w:left w:val="none" w:sz="0" w:space="0" w:color="auto"/>
        <w:bottom w:val="none" w:sz="0" w:space="0" w:color="auto"/>
        <w:right w:val="none" w:sz="0" w:space="0" w:color="auto"/>
      </w:divBdr>
    </w:div>
    <w:div w:id="833648155">
      <w:bodyDiv w:val="1"/>
      <w:marLeft w:val="0"/>
      <w:marRight w:val="0"/>
      <w:marTop w:val="0"/>
      <w:marBottom w:val="0"/>
      <w:divBdr>
        <w:top w:val="none" w:sz="0" w:space="0" w:color="auto"/>
        <w:left w:val="none" w:sz="0" w:space="0" w:color="auto"/>
        <w:bottom w:val="none" w:sz="0" w:space="0" w:color="auto"/>
        <w:right w:val="none" w:sz="0" w:space="0" w:color="auto"/>
      </w:divBdr>
    </w:div>
    <w:div w:id="853609996">
      <w:bodyDiv w:val="1"/>
      <w:marLeft w:val="0"/>
      <w:marRight w:val="0"/>
      <w:marTop w:val="0"/>
      <w:marBottom w:val="0"/>
      <w:divBdr>
        <w:top w:val="none" w:sz="0" w:space="0" w:color="auto"/>
        <w:left w:val="none" w:sz="0" w:space="0" w:color="auto"/>
        <w:bottom w:val="none" w:sz="0" w:space="0" w:color="auto"/>
        <w:right w:val="none" w:sz="0" w:space="0" w:color="auto"/>
      </w:divBdr>
    </w:div>
    <w:div w:id="917135869">
      <w:bodyDiv w:val="1"/>
      <w:marLeft w:val="0"/>
      <w:marRight w:val="0"/>
      <w:marTop w:val="0"/>
      <w:marBottom w:val="0"/>
      <w:divBdr>
        <w:top w:val="none" w:sz="0" w:space="0" w:color="auto"/>
        <w:left w:val="none" w:sz="0" w:space="0" w:color="auto"/>
        <w:bottom w:val="none" w:sz="0" w:space="0" w:color="auto"/>
        <w:right w:val="none" w:sz="0" w:space="0" w:color="auto"/>
      </w:divBdr>
    </w:div>
    <w:div w:id="973406814">
      <w:bodyDiv w:val="1"/>
      <w:marLeft w:val="0"/>
      <w:marRight w:val="0"/>
      <w:marTop w:val="0"/>
      <w:marBottom w:val="0"/>
      <w:divBdr>
        <w:top w:val="none" w:sz="0" w:space="0" w:color="auto"/>
        <w:left w:val="none" w:sz="0" w:space="0" w:color="auto"/>
        <w:bottom w:val="none" w:sz="0" w:space="0" w:color="auto"/>
        <w:right w:val="none" w:sz="0" w:space="0" w:color="auto"/>
      </w:divBdr>
    </w:div>
    <w:div w:id="994265261">
      <w:bodyDiv w:val="1"/>
      <w:marLeft w:val="0"/>
      <w:marRight w:val="0"/>
      <w:marTop w:val="0"/>
      <w:marBottom w:val="0"/>
      <w:divBdr>
        <w:top w:val="none" w:sz="0" w:space="0" w:color="auto"/>
        <w:left w:val="none" w:sz="0" w:space="0" w:color="auto"/>
        <w:bottom w:val="none" w:sz="0" w:space="0" w:color="auto"/>
        <w:right w:val="none" w:sz="0" w:space="0" w:color="auto"/>
      </w:divBdr>
    </w:div>
    <w:div w:id="1004210661">
      <w:bodyDiv w:val="1"/>
      <w:marLeft w:val="0"/>
      <w:marRight w:val="0"/>
      <w:marTop w:val="0"/>
      <w:marBottom w:val="0"/>
      <w:divBdr>
        <w:top w:val="none" w:sz="0" w:space="0" w:color="auto"/>
        <w:left w:val="none" w:sz="0" w:space="0" w:color="auto"/>
        <w:bottom w:val="none" w:sz="0" w:space="0" w:color="auto"/>
        <w:right w:val="none" w:sz="0" w:space="0" w:color="auto"/>
      </w:divBdr>
    </w:div>
    <w:div w:id="1020011348">
      <w:bodyDiv w:val="1"/>
      <w:marLeft w:val="0"/>
      <w:marRight w:val="0"/>
      <w:marTop w:val="0"/>
      <w:marBottom w:val="0"/>
      <w:divBdr>
        <w:top w:val="none" w:sz="0" w:space="0" w:color="auto"/>
        <w:left w:val="none" w:sz="0" w:space="0" w:color="auto"/>
        <w:bottom w:val="none" w:sz="0" w:space="0" w:color="auto"/>
        <w:right w:val="none" w:sz="0" w:space="0" w:color="auto"/>
      </w:divBdr>
    </w:div>
    <w:div w:id="1045982961">
      <w:bodyDiv w:val="1"/>
      <w:marLeft w:val="0"/>
      <w:marRight w:val="0"/>
      <w:marTop w:val="0"/>
      <w:marBottom w:val="0"/>
      <w:divBdr>
        <w:top w:val="none" w:sz="0" w:space="0" w:color="auto"/>
        <w:left w:val="none" w:sz="0" w:space="0" w:color="auto"/>
        <w:bottom w:val="none" w:sz="0" w:space="0" w:color="auto"/>
        <w:right w:val="none" w:sz="0" w:space="0" w:color="auto"/>
      </w:divBdr>
    </w:div>
    <w:div w:id="1047681719">
      <w:bodyDiv w:val="1"/>
      <w:marLeft w:val="0"/>
      <w:marRight w:val="0"/>
      <w:marTop w:val="0"/>
      <w:marBottom w:val="0"/>
      <w:divBdr>
        <w:top w:val="none" w:sz="0" w:space="0" w:color="auto"/>
        <w:left w:val="none" w:sz="0" w:space="0" w:color="auto"/>
        <w:bottom w:val="none" w:sz="0" w:space="0" w:color="auto"/>
        <w:right w:val="none" w:sz="0" w:space="0" w:color="auto"/>
      </w:divBdr>
    </w:div>
    <w:div w:id="1058358928">
      <w:bodyDiv w:val="1"/>
      <w:marLeft w:val="0"/>
      <w:marRight w:val="0"/>
      <w:marTop w:val="0"/>
      <w:marBottom w:val="0"/>
      <w:divBdr>
        <w:top w:val="none" w:sz="0" w:space="0" w:color="auto"/>
        <w:left w:val="none" w:sz="0" w:space="0" w:color="auto"/>
        <w:bottom w:val="none" w:sz="0" w:space="0" w:color="auto"/>
        <w:right w:val="none" w:sz="0" w:space="0" w:color="auto"/>
      </w:divBdr>
    </w:div>
    <w:div w:id="1077945199">
      <w:bodyDiv w:val="1"/>
      <w:marLeft w:val="0"/>
      <w:marRight w:val="0"/>
      <w:marTop w:val="0"/>
      <w:marBottom w:val="0"/>
      <w:divBdr>
        <w:top w:val="none" w:sz="0" w:space="0" w:color="auto"/>
        <w:left w:val="none" w:sz="0" w:space="0" w:color="auto"/>
        <w:bottom w:val="none" w:sz="0" w:space="0" w:color="auto"/>
        <w:right w:val="none" w:sz="0" w:space="0" w:color="auto"/>
      </w:divBdr>
      <w:divsChild>
        <w:div w:id="526215944">
          <w:marLeft w:val="0"/>
          <w:marRight w:val="0"/>
          <w:marTop w:val="0"/>
          <w:marBottom w:val="0"/>
          <w:divBdr>
            <w:top w:val="none" w:sz="0" w:space="0" w:color="auto"/>
            <w:left w:val="none" w:sz="0" w:space="0" w:color="auto"/>
            <w:bottom w:val="none" w:sz="0" w:space="0" w:color="auto"/>
            <w:right w:val="none" w:sz="0" w:space="0" w:color="auto"/>
          </w:divBdr>
        </w:div>
      </w:divsChild>
    </w:div>
    <w:div w:id="1084841048">
      <w:bodyDiv w:val="1"/>
      <w:marLeft w:val="0"/>
      <w:marRight w:val="0"/>
      <w:marTop w:val="0"/>
      <w:marBottom w:val="0"/>
      <w:divBdr>
        <w:top w:val="none" w:sz="0" w:space="0" w:color="auto"/>
        <w:left w:val="none" w:sz="0" w:space="0" w:color="auto"/>
        <w:bottom w:val="none" w:sz="0" w:space="0" w:color="auto"/>
        <w:right w:val="none" w:sz="0" w:space="0" w:color="auto"/>
      </w:divBdr>
    </w:div>
    <w:div w:id="1106467657">
      <w:bodyDiv w:val="1"/>
      <w:marLeft w:val="0"/>
      <w:marRight w:val="0"/>
      <w:marTop w:val="0"/>
      <w:marBottom w:val="0"/>
      <w:divBdr>
        <w:top w:val="none" w:sz="0" w:space="0" w:color="auto"/>
        <w:left w:val="none" w:sz="0" w:space="0" w:color="auto"/>
        <w:bottom w:val="none" w:sz="0" w:space="0" w:color="auto"/>
        <w:right w:val="none" w:sz="0" w:space="0" w:color="auto"/>
      </w:divBdr>
    </w:div>
    <w:div w:id="1106582607">
      <w:bodyDiv w:val="1"/>
      <w:marLeft w:val="0"/>
      <w:marRight w:val="0"/>
      <w:marTop w:val="0"/>
      <w:marBottom w:val="0"/>
      <w:divBdr>
        <w:top w:val="none" w:sz="0" w:space="0" w:color="auto"/>
        <w:left w:val="none" w:sz="0" w:space="0" w:color="auto"/>
        <w:bottom w:val="none" w:sz="0" w:space="0" w:color="auto"/>
        <w:right w:val="none" w:sz="0" w:space="0" w:color="auto"/>
      </w:divBdr>
    </w:div>
    <w:div w:id="1206721389">
      <w:bodyDiv w:val="1"/>
      <w:marLeft w:val="0"/>
      <w:marRight w:val="0"/>
      <w:marTop w:val="0"/>
      <w:marBottom w:val="0"/>
      <w:divBdr>
        <w:top w:val="none" w:sz="0" w:space="0" w:color="auto"/>
        <w:left w:val="none" w:sz="0" w:space="0" w:color="auto"/>
        <w:bottom w:val="none" w:sz="0" w:space="0" w:color="auto"/>
        <w:right w:val="none" w:sz="0" w:space="0" w:color="auto"/>
      </w:divBdr>
    </w:div>
    <w:div w:id="1256019380">
      <w:bodyDiv w:val="1"/>
      <w:marLeft w:val="0"/>
      <w:marRight w:val="0"/>
      <w:marTop w:val="0"/>
      <w:marBottom w:val="0"/>
      <w:divBdr>
        <w:top w:val="none" w:sz="0" w:space="0" w:color="auto"/>
        <w:left w:val="none" w:sz="0" w:space="0" w:color="auto"/>
        <w:bottom w:val="none" w:sz="0" w:space="0" w:color="auto"/>
        <w:right w:val="none" w:sz="0" w:space="0" w:color="auto"/>
      </w:divBdr>
    </w:div>
    <w:div w:id="1309629702">
      <w:bodyDiv w:val="1"/>
      <w:marLeft w:val="0"/>
      <w:marRight w:val="0"/>
      <w:marTop w:val="0"/>
      <w:marBottom w:val="0"/>
      <w:divBdr>
        <w:top w:val="none" w:sz="0" w:space="0" w:color="auto"/>
        <w:left w:val="none" w:sz="0" w:space="0" w:color="auto"/>
        <w:bottom w:val="none" w:sz="0" w:space="0" w:color="auto"/>
        <w:right w:val="none" w:sz="0" w:space="0" w:color="auto"/>
      </w:divBdr>
    </w:div>
    <w:div w:id="1369063134">
      <w:bodyDiv w:val="1"/>
      <w:marLeft w:val="0"/>
      <w:marRight w:val="0"/>
      <w:marTop w:val="0"/>
      <w:marBottom w:val="0"/>
      <w:divBdr>
        <w:top w:val="none" w:sz="0" w:space="0" w:color="auto"/>
        <w:left w:val="none" w:sz="0" w:space="0" w:color="auto"/>
        <w:bottom w:val="none" w:sz="0" w:space="0" w:color="auto"/>
        <w:right w:val="none" w:sz="0" w:space="0" w:color="auto"/>
      </w:divBdr>
    </w:div>
    <w:div w:id="1441561267">
      <w:bodyDiv w:val="1"/>
      <w:marLeft w:val="0"/>
      <w:marRight w:val="0"/>
      <w:marTop w:val="0"/>
      <w:marBottom w:val="0"/>
      <w:divBdr>
        <w:top w:val="none" w:sz="0" w:space="0" w:color="auto"/>
        <w:left w:val="none" w:sz="0" w:space="0" w:color="auto"/>
        <w:bottom w:val="none" w:sz="0" w:space="0" w:color="auto"/>
        <w:right w:val="none" w:sz="0" w:space="0" w:color="auto"/>
      </w:divBdr>
    </w:div>
    <w:div w:id="1468006466">
      <w:bodyDiv w:val="1"/>
      <w:marLeft w:val="0"/>
      <w:marRight w:val="0"/>
      <w:marTop w:val="0"/>
      <w:marBottom w:val="0"/>
      <w:divBdr>
        <w:top w:val="none" w:sz="0" w:space="0" w:color="auto"/>
        <w:left w:val="none" w:sz="0" w:space="0" w:color="auto"/>
        <w:bottom w:val="none" w:sz="0" w:space="0" w:color="auto"/>
        <w:right w:val="none" w:sz="0" w:space="0" w:color="auto"/>
      </w:divBdr>
    </w:div>
    <w:div w:id="1519150309">
      <w:bodyDiv w:val="1"/>
      <w:marLeft w:val="0"/>
      <w:marRight w:val="0"/>
      <w:marTop w:val="0"/>
      <w:marBottom w:val="0"/>
      <w:divBdr>
        <w:top w:val="none" w:sz="0" w:space="0" w:color="auto"/>
        <w:left w:val="none" w:sz="0" w:space="0" w:color="auto"/>
        <w:bottom w:val="none" w:sz="0" w:space="0" w:color="auto"/>
        <w:right w:val="none" w:sz="0" w:space="0" w:color="auto"/>
      </w:divBdr>
    </w:div>
    <w:div w:id="1544363183">
      <w:bodyDiv w:val="1"/>
      <w:marLeft w:val="0"/>
      <w:marRight w:val="0"/>
      <w:marTop w:val="0"/>
      <w:marBottom w:val="0"/>
      <w:divBdr>
        <w:top w:val="none" w:sz="0" w:space="0" w:color="auto"/>
        <w:left w:val="none" w:sz="0" w:space="0" w:color="auto"/>
        <w:bottom w:val="none" w:sz="0" w:space="0" w:color="auto"/>
        <w:right w:val="none" w:sz="0" w:space="0" w:color="auto"/>
      </w:divBdr>
    </w:div>
    <w:div w:id="1589466607">
      <w:bodyDiv w:val="1"/>
      <w:marLeft w:val="0"/>
      <w:marRight w:val="0"/>
      <w:marTop w:val="0"/>
      <w:marBottom w:val="0"/>
      <w:divBdr>
        <w:top w:val="none" w:sz="0" w:space="0" w:color="auto"/>
        <w:left w:val="none" w:sz="0" w:space="0" w:color="auto"/>
        <w:bottom w:val="none" w:sz="0" w:space="0" w:color="auto"/>
        <w:right w:val="none" w:sz="0" w:space="0" w:color="auto"/>
      </w:divBdr>
    </w:div>
    <w:div w:id="1590117951">
      <w:bodyDiv w:val="1"/>
      <w:marLeft w:val="0"/>
      <w:marRight w:val="0"/>
      <w:marTop w:val="0"/>
      <w:marBottom w:val="0"/>
      <w:divBdr>
        <w:top w:val="none" w:sz="0" w:space="0" w:color="auto"/>
        <w:left w:val="none" w:sz="0" w:space="0" w:color="auto"/>
        <w:bottom w:val="none" w:sz="0" w:space="0" w:color="auto"/>
        <w:right w:val="none" w:sz="0" w:space="0" w:color="auto"/>
      </w:divBdr>
    </w:div>
    <w:div w:id="1592395111">
      <w:bodyDiv w:val="1"/>
      <w:marLeft w:val="0"/>
      <w:marRight w:val="0"/>
      <w:marTop w:val="0"/>
      <w:marBottom w:val="0"/>
      <w:divBdr>
        <w:top w:val="none" w:sz="0" w:space="0" w:color="auto"/>
        <w:left w:val="none" w:sz="0" w:space="0" w:color="auto"/>
        <w:bottom w:val="none" w:sz="0" w:space="0" w:color="auto"/>
        <w:right w:val="none" w:sz="0" w:space="0" w:color="auto"/>
      </w:divBdr>
    </w:div>
    <w:div w:id="1711295156">
      <w:bodyDiv w:val="1"/>
      <w:marLeft w:val="0"/>
      <w:marRight w:val="0"/>
      <w:marTop w:val="0"/>
      <w:marBottom w:val="0"/>
      <w:divBdr>
        <w:top w:val="none" w:sz="0" w:space="0" w:color="auto"/>
        <w:left w:val="none" w:sz="0" w:space="0" w:color="auto"/>
        <w:bottom w:val="none" w:sz="0" w:space="0" w:color="auto"/>
        <w:right w:val="none" w:sz="0" w:space="0" w:color="auto"/>
      </w:divBdr>
      <w:divsChild>
        <w:div w:id="466168862">
          <w:marLeft w:val="0"/>
          <w:marRight w:val="0"/>
          <w:marTop w:val="0"/>
          <w:marBottom w:val="0"/>
          <w:divBdr>
            <w:top w:val="none" w:sz="0" w:space="0" w:color="auto"/>
            <w:left w:val="none" w:sz="0" w:space="0" w:color="auto"/>
            <w:bottom w:val="none" w:sz="0" w:space="0" w:color="auto"/>
            <w:right w:val="none" w:sz="0" w:space="0" w:color="auto"/>
          </w:divBdr>
        </w:div>
        <w:div w:id="2136292882">
          <w:marLeft w:val="0"/>
          <w:marRight w:val="0"/>
          <w:marTop w:val="0"/>
          <w:marBottom w:val="0"/>
          <w:divBdr>
            <w:top w:val="none" w:sz="0" w:space="0" w:color="auto"/>
            <w:left w:val="none" w:sz="0" w:space="0" w:color="auto"/>
            <w:bottom w:val="none" w:sz="0" w:space="0" w:color="auto"/>
            <w:right w:val="none" w:sz="0" w:space="0" w:color="auto"/>
          </w:divBdr>
        </w:div>
      </w:divsChild>
    </w:div>
    <w:div w:id="1711421229">
      <w:bodyDiv w:val="1"/>
      <w:marLeft w:val="0"/>
      <w:marRight w:val="0"/>
      <w:marTop w:val="0"/>
      <w:marBottom w:val="0"/>
      <w:divBdr>
        <w:top w:val="none" w:sz="0" w:space="0" w:color="auto"/>
        <w:left w:val="none" w:sz="0" w:space="0" w:color="auto"/>
        <w:bottom w:val="none" w:sz="0" w:space="0" w:color="auto"/>
        <w:right w:val="none" w:sz="0" w:space="0" w:color="auto"/>
      </w:divBdr>
    </w:div>
    <w:div w:id="1713460204">
      <w:bodyDiv w:val="1"/>
      <w:marLeft w:val="0"/>
      <w:marRight w:val="0"/>
      <w:marTop w:val="0"/>
      <w:marBottom w:val="0"/>
      <w:divBdr>
        <w:top w:val="none" w:sz="0" w:space="0" w:color="auto"/>
        <w:left w:val="none" w:sz="0" w:space="0" w:color="auto"/>
        <w:bottom w:val="none" w:sz="0" w:space="0" w:color="auto"/>
        <w:right w:val="none" w:sz="0" w:space="0" w:color="auto"/>
      </w:divBdr>
    </w:div>
    <w:div w:id="1734349265">
      <w:bodyDiv w:val="1"/>
      <w:marLeft w:val="0"/>
      <w:marRight w:val="0"/>
      <w:marTop w:val="0"/>
      <w:marBottom w:val="0"/>
      <w:divBdr>
        <w:top w:val="none" w:sz="0" w:space="0" w:color="auto"/>
        <w:left w:val="none" w:sz="0" w:space="0" w:color="auto"/>
        <w:bottom w:val="none" w:sz="0" w:space="0" w:color="auto"/>
        <w:right w:val="none" w:sz="0" w:space="0" w:color="auto"/>
      </w:divBdr>
    </w:div>
    <w:div w:id="1769547633">
      <w:bodyDiv w:val="1"/>
      <w:marLeft w:val="0"/>
      <w:marRight w:val="0"/>
      <w:marTop w:val="0"/>
      <w:marBottom w:val="0"/>
      <w:divBdr>
        <w:top w:val="none" w:sz="0" w:space="0" w:color="auto"/>
        <w:left w:val="none" w:sz="0" w:space="0" w:color="auto"/>
        <w:bottom w:val="none" w:sz="0" w:space="0" w:color="auto"/>
        <w:right w:val="none" w:sz="0" w:space="0" w:color="auto"/>
      </w:divBdr>
    </w:div>
    <w:div w:id="1907455505">
      <w:bodyDiv w:val="1"/>
      <w:marLeft w:val="0"/>
      <w:marRight w:val="0"/>
      <w:marTop w:val="0"/>
      <w:marBottom w:val="0"/>
      <w:divBdr>
        <w:top w:val="none" w:sz="0" w:space="0" w:color="auto"/>
        <w:left w:val="none" w:sz="0" w:space="0" w:color="auto"/>
        <w:bottom w:val="none" w:sz="0" w:space="0" w:color="auto"/>
        <w:right w:val="none" w:sz="0" w:space="0" w:color="auto"/>
      </w:divBdr>
    </w:div>
    <w:div w:id="1910115446">
      <w:bodyDiv w:val="1"/>
      <w:marLeft w:val="0"/>
      <w:marRight w:val="0"/>
      <w:marTop w:val="0"/>
      <w:marBottom w:val="0"/>
      <w:divBdr>
        <w:top w:val="none" w:sz="0" w:space="0" w:color="auto"/>
        <w:left w:val="none" w:sz="0" w:space="0" w:color="auto"/>
        <w:bottom w:val="none" w:sz="0" w:space="0" w:color="auto"/>
        <w:right w:val="none" w:sz="0" w:space="0" w:color="auto"/>
      </w:divBdr>
    </w:div>
    <w:div w:id="1938054904">
      <w:bodyDiv w:val="1"/>
      <w:marLeft w:val="0"/>
      <w:marRight w:val="0"/>
      <w:marTop w:val="0"/>
      <w:marBottom w:val="0"/>
      <w:divBdr>
        <w:top w:val="none" w:sz="0" w:space="0" w:color="auto"/>
        <w:left w:val="none" w:sz="0" w:space="0" w:color="auto"/>
        <w:bottom w:val="none" w:sz="0" w:space="0" w:color="auto"/>
        <w:right w:val="none" w:sz="0" w:space="0" w:color="auto"/>
      </w:divBdr>
    </w:div>
    <w:div w:id="1944871984">
      <w:bodyDiv w:val="1"/>
      <w:marLeft w:val="0"/>
      <w:marRight w:val="0"/>
      <w:marTop w:val="0"/>
      <w:marBottom w:val="0"/>
      <w:divBdr>
        <w:top w:val="none" w:sz="0" w:space="0" w:color="auto"/>
        <w:left w:val="none" w:sz="0" w:space="0" w:color="auto"/>
        <w:bottom w:val="none" w:sz="0" w:space="0" w:color="auto"/>
        <w:right w:val="none" w:sz="0" w:space="0" w:color="auto"/>
      </w:divBdr>
    </w:div>
    <w:div w:id="1999720946">
      <w:bodyDiv w:val="1"/>
      <w:marLeft w:val="0"/>
      <w:marRight w:val="0"/>
      <w:marTop w:val="0"/>
      <w:marBottom w:val="0"/>
      <w:divBdr>
        <w:top w:val="none" w:sz="0" w:space="0" w:color="auto"/>
        <w:left w:val="none" w:sz="0" w:space="0" w:color="auto"/>
        <w:bottom w:val="none" w:sz="0" w:space="0" w:color="auto"/>
        <w:right w:val="none" w:sz="0" w:space="0" w:color="auto"/>
      </w:divBdr>
    </w:div>
    <w:div w:id="2008554097">
      <w:bodyDiv w:val="1"/>
      <w:marLeft w:val="0"/>
      <w:marRight w:val="0"/>
      <w:marTop w:val="0"/>
      <w:marBottom w:val="0"/>
      <w:divBdr>
        <w:top w:val="none" w:sz="0" w:space="0" w:color="auto"/>
        <w:left w:val="none" w:sz="0" w:space="0" w:color="auto"/>
        <w:bottom w:val="none" w:sz="0" w:space="0" w:color="auto"/>
        <w:right w:val="none" w:sz="0" w:space="0" w:color="auto"/>
      </w:divBdr>
    </w:div>
    <w:div w:id="2053187058">
      <w:bodyDiv w:val="1"/>
      <w:marLeft w:val="0"/>
      <w:marRight w:val="0"/>
      <w:marTop w:val="0"/>
      <w:marBottom w:val="0"/>
      <w:divBdr>
        <w:top w:val="none" w:sz="0" w:space="0" w:color="auto"/>
        <w:left w:val="none" w:sz="0" w:space="0" w:color="auto"/>
        <w:bottom w:val="none" w:sz="0" w:space="0" w:color="auto"/>
        <w:right w:val="none" w:sz="0" w:space="0" w:color="auto"/>
      </w:divBdr>
    </w:div>
    <w:div w:id="2085181574">
      <w:bodyDiv w:val="1"/>
      <w:marLeft w:val="0"/>
      <w:marRight w:val="0"/>
      <w:marTop w:val="0"/>
      <w:marBottom w:val="0"/>
      <w:divBdr>
        <w:top w:val="none" w:sz="0" w:space="0" w:color="auto"/>
        <w:left w:val="none" w:sz="0" w:space="0" w:color="auto"/>
        <w:bottom w:val="none" w:sz="0" w:space="0" w:color="auto"/>
        <w:right w:val="none" w:sz="0" w:space="0" w:color="auto"/>
      </w:divBdr>
    </w:div>
    <w:div w:id="2088917624">
      <w:bodyDiv w:val="1"/>
      <w:marLeft w:val="0"/>
      <w:marRight w:val="0"/>
      <w:marTop w:val="0"/>
      <w:marBottom w:val="0"/>
      <w:divBdr>
        <w:top w:val="none" w:sz="0" w:space="0" w:color="auto"/>
        <w:left w:val="none" w:sz="0" w:space="0" w:color="auto"/>
        <w:bottom w:val="none" w:sz="0" w:space="0" w:color="auto"/>
        <w:right w:val="none" w:sz="0" w:space="0" w:color="auto"/>
      </w:divBdr>
    </w:div>
    <w:div w:id="210472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fdci/consultaCiudadana/in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amajudicial.gov.co/mapa-transparencia" TargetMode="External"/><Relationship Id="rId4" Type="http://schemas.openxmlformats.org/officeDocument/2006/relationships/settings" Target="settings.xml"/><Relationship Id="rId9" Type="http://schemas.openxmlformats.org/officeDocument/2006/relationships/hyperlink" Target="https://www.ramajudicial.gov.co/mapa-transparenci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amajudicial.gov.co/ley-de-transparencia?p_p_id=ley_transparencia_WAR_ley_transparenciaportlet&amp;p_p_lifecycle=2&amp;p_p_state=normal&amp;p_p_mode=view&amp;p_p_cacheability=cacheLevelPage&amp;_ley_transparencia_WAR_ley_transparenciaportlet_pagina=obtenerArchivo&amp;_ley_transparencia_WAR_ley_transparenciaportlet_archivo_solicitado=hoja_vida&amp;_ley_transparencia_WAR_ley_transparenciaportlet_id=44500" TargetMode="External"/><Relationship Id="rId2" Type="http://schemas.openxmlformats.org/officeDocument/2006/relationships/hyperlink" Target="http://www.oecd.org/dataoecd/40/6/47489446.pdf" TargetMode="External"/><Relationship Id="rId1" Type="http://schemas.openxmlformats.org/officeDocument/2006/relationships/hyperlink" Target="https://siicor.corteconstitucional.gov.co/desarrollo/zipExpedientes/file.php?Id=504D955D94EB6E1AC9ACDB1CE3683076FDD1B903" TargetMode="External"/><Relationship Id="rId5" Type="http://schemas.openxmlformats.org/officeDocument/2006/relationships/hyperlink" Target="https://www.dejusticia.org/wp-content/uploads/2019/08/La-Profesio%CC%81n-Juri%CC%81dica-En-Colombia.pdf" TargetMode="External"/><Relationship Id="rId4" Type="http://schemas.openxmlformats.org/officeDocument/2006/relationships/hyperlink" Target="https://actosadministrativos.ramajudicial.gov.co/GetFile.ashx?url=%7E%2FApp_Data%2FUpload%2FPCSJC20-36Anex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1EA30-85CB-4A9C-A237-CECC2297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18299</Words>
  <Characters>100649</Characters>
  <Application>Microsoft Office Word</Application>
  <DocSecurity>0</DocSecurity>
  <Lines>838</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Fernanda Guarín Bedoya</dc:creator>
  <cp:keywords/>
  <dc:description/>
  <cp:lastModifiedBy>Paulino Jose Solano Camargo</cp:lastModifiedBy>
  <cp:revision>2</cp:revision>
  <dcterms:created xsi:type="dcterms:W3CDTF">2026-02-07T22:11:00Z</dcterms:created>
  <dcterms:modified xsi:type="dcterms:W3CDTF">2026-02-07T22:11:00Z</dcterms:modified>
</cp:coreProperties>
</file>